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page" w:horzAnchor="margin" w:tblpX="-292" w:tblpY="621"/>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5072"/>
        <w:gridCol w:w="3699"/>
      </w:tblGrid>
      <w:tr w:rsidR="004655FD" w:rsidRPr="007F45C6" w14:paraId="545D2C3D" w14:textId="77777777" w:rsidTr="00D85B51">
        <w:trPr>
          <w:trHeight w:val="709"/>
        </w:trPr>
        <w:tc>
          <w:tcPr>
            <w:tcW w:w="976" w:type="dxa"/>
            <w:tcBorders>
              <w:bottom w:val="single" w:sz="12" w:space="0" w:color="auto"/>
            </w:tcBorders>
          </w:tcPr>
          <w:p w14:paraId="6B6EF53D" w14:textId="77777777" w:rsidR="004655FD" w:rsidRPr="007F45C6" w:rsidRDefault="004655FD" w:rsidP="00D85B51">
            <w:pPr>
              <w:kinsoku w:val="0"/>
              <w:overflowPunct w:val="0"/>
              <w:autoSpaceDE w:val="0"/>
              <w:autoSpaceDN w:val="0"/>
              <w:rPr>
                <w:snapToGrid w:val="0"/>
                <w:kern w:val="22"/>
              </w:rPr>
            </w:pPr>
            <w:bookmarkStart w:id="0" w:name="CoverTitleBookmark"/>
            <w:r w:rsidRPr="007F45C6">
              <w:rPr>
                <w:noProof/>
                <w:snapToGrid w:val="0"/>
                <w:kern w:val="22"/>
                <w:lang w:val="en-CA" w:eastAsia="en-CA"/>
              </w:rPr>
              <w:drawing>
                <wp:inline distT="0" distB="0" distL="0" distR="0" wp14:anchorId="3F58B96B" wp14:editId="49CE176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072" w:type="dxa"/>
            <w:tcBorders>
              <w:bottom w:val="single" w:sz="12" w:space="0" w:color="auto"/>
            </w:tcBorders>
          </w:tcPr>
          <w:p w14:paraId="1AC31E19" w14:textId="77777777" w:rsidR="004655FD" w:rsidRPr="007F45C6" w:rsidRDefault="004655FD" w:rsidP="00D85B51">
            <w:pPr>
              <w:kinsoku w:val="0"/>
              <w:overflowPunct w:val="0"/>
              <w:autoSpaceDE w:val="0"/>
              <w:autoSpaceDN w:val="0"/>
              <w:rPr>
                <w:snapToGrid w:val="0"/>
                <w:kern w:val="22"/>
              </w:rPr>
            </w:pPr>
            <w:r w:rsidRPr="007F45C6">
              <w:rPr>
                <w:noProof/>
                <w:snapToGrid w:val="0"/>
                <w:kern w:val="22"/>
                <w:lang w:val="en-CA" w:eastAsia="en-CA"/>
              </w:rPr>
              <w:drawing>
                <wp:inline distT="0" distB="0" distL="0" distR="0" wp14:anchorId="0264F34F" wp14:editId="75D6E135">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3699" w:type="dxa"/>
            <w:tcBorders>
              <w:bottom w:val="single" w:sz="12" w:space="0" w:color="auto"/>
            </w:tcBorders>
          </w:tcPr>
          <w:p w14:paraId="4A665F27" w14:textId="77777777" w:rsidR="004655FD" w:rsidRPr="007F45C6" w:rsidRDefault="004655FD" w:rsidP="00D85B51">
            <w:pPr>
              <w:kinsoku w:val="0"/>
              <w:overflowPunct w:val="0"/>
              <w:autoSpaceDE w:val="0"/>
              <w:autoSpaceDN w:val="0"/>
              <w:jc w:val="right"/>
              <w:rPr>
                <w:rFonts w:ascii="Arial" w:hAnsi="Arial" w:cs="Arial"/>
                <w:b/>
                <w:snapToGrid w:val="0"/>
                <w:kern w:val="22"/>
                <w:sz w:val="32"/>
                <w:szCs w:val="32"/>
              </w:rPr>
            </w:pPr>
            <w:r w:rsidRPr="007F45C6">
              <w:rPr>
                <w:rFonts w:ascii="Arial" w:hAnsi="Arial" w:cs="Arial"/>
                <w:b/>
                <w:snapToGrid w:val="0"/>
                <w:kern w:val="22"/>
                <w:sz w:val="32"/>
                <w:szCs w:val="32"/>
              </w:rPr>
              <w:t>CBD</w:t>
            </w:r>
          </w:p>
        </w:tc>
      </w:tr>
      <w:tr w:rsidR="004655FD" w:rsidRPr="007F45C6" w14:paraId="6CE740F0" w14:textId="77777777" w:rsidTr="00D85B51">
        <w:tc>
          <w:tcPr>
            <w:tcW w:w="6048" w:type="dxa"/>
            <w:gridSpan w:val="2"/>
            <w:tcBorders>
              <w:top w:val="single" w:sz="12" w:space="0" w:color="auto"/>
              <w:bottom w:val="single" w:sz="36" w:space="0" w:color="auto"/>
            </w:tcBorders>
            <w:vAlign w:val="center"/>
          </w:tcPr>
          <w:p w14:paraId="15770E88" w14:textId="77777777" w:rsidR="004655FD" w:rsidRPr="007F45C6" w:rsidRDefault="004655FD" w:rsidP="00D85B51">
            <w:pPr>
              <w:kinsoku w:val="0"/>
              <w:overflowPunct w:val="0"/>
              <w:autoSpaceDE w:val="0"/>
              <w:autoSpaceDN w:val="0"/>
              <w:rPr>
                <w:snapToGrid w:val="0"/>
                <w:kern w:val="22"/>
              </w:rPr>
            </w:pPr>
            <w:r w:rsidRPr="007F45C6">
              <w:rPr>
                <w:noProof/>
                <w:snapToGrid w:val="0"/>
                <w:kern w:val="22"/>
                <w:lang w:val="en-CA" w:eastAsia="en-CA"/>
              </w:rPr>
              <w:drawing>
                <wp:inline distT="0" distB="0" distL="0" distR="0" wp14:anchorId="4F8AA158" wp14:editId="145C9DE4">
                  <wp:extent cx="2887853" cy="1080000"/>
                  <wp:effectExtent l="0" t="0" r="8255" b="12700"/>
                  <wp:docPr id="71" name="Picture 71"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3699" w:type="dxa"/>
            <w:tcBorders>
              <w:top w:val="single" w:sz="12" w:space="0" w:color="auto"/>
              <w:bottom w:val="single" w:sz="36" w:space="0" w:color="auto"/>
            </w:tcBorders>
          </w:tcPr>
          <w:p w14:paraId="1375403D" w14:textId="77777777" w:rsidR="004655FD" w:rsidRPr="007F45C6" w:rsidRDefault="004655FD" w:rsidP="00D85B51">
            <w:pPr>
              <w:kinsoku w:val="0"/>
              <w:overflowPunct w:val="0"/>
              <w:autoSpaceDE w:val="0"/>
              <w:autoSpaceDN w:val="0"/>
              <w:ind w:left="1038"/>
              <w:rPr>
                <w:snapToGrid w:val="0"/>
                <w:kern w:val="22"/>
                <w:szCs w:val="22"/>
              </w:rPr>
            </w:pPr>
            <w:r w:rsidRPr="007F45C6">
              <w:rPr>
                <w:snapToGrid w:val="0"/>
                <w:kern w:val="22"/>
                <w:szCs w:val="22"/>
              </w:rPr>
              <w:t>Distr.</w:t>
            </w:r>
          </w:p>
          <w:p w14:paraId="142E2CEB" w14:textId="77777777" w:rsidR="004655FD" w:rsidRPr="007F45C6" w:rsidRDefault="007E7B1B" w:rsidP="00D85B51">
            <w:pPr>
              <w:kinsoku w:val="0"/>
              <w:overflowPunct w:val="0"/>
              <w:autoSpaceDE w:val="0"/>
              <w:autoSpaceDN w:val="0"/>
              <w:ind w:left="1038"/>
              <w:rPr>
                <w:snapToGrid w:val="0"/>
                <w:kern w:val="22"/>
                <w:szCs w:val="22"/>
              </w:rPr>
            </w:pPr>
            <w:sdt>
              <w:sdtPr>
                <w:rPr>
                  <w:snapToGrid w:val="0"/>
                  <w:kern w:val="22"/>
                  <w:szCs w:val="22"/>
                </w:rPr>
                <w:alias w:val="Status"/>
                <w:tag w:val=""/>
                <w:id w:val="307985777"/>
                <w:placeholder>
                  <w:docPart w:val="5107CB8A6EC6455BBD45CD687CB44A93"/>
                </w:placeholder>
                <w:dataBinding w:prefixMappings="xmlns:ns0='http://purl.org/dc/elements/1.1/' xmlns:ns1='http://schemas.openxmlformats.org/package/2006/metadata/core-properties' " w:xpath="/ns1:coreProperties[1]/ns1:contentStatus[1]" w:storeItemID="{6C3C8BC8-F283-45AE-878A-BAB7291924A1}"/>
                <w:text/>
              </w:sdtPr>
              <w:sdtEndPr/>
              <w:sdtContent>
                <w:r w:rsidR="004655FD">
                  <w:rPr>
                    <w:snapToGrid w:val="0"/>
                    <w:kern w:val="22"/>
                    <w:szCs w:val="22"/>
                  </w:rPr>
                  <w:t>GENERAL</w:t>
                </w:r>
              </w:sdtContent>
            </w:sdt>
          </w:p>
          <w:p w14:paraId="4A7DF528" w14:textId="77777777" w:rsidR="004655FD" w:rsidRPr="007F45C6" w:rsidRDefault="004655FD" w:rsidP="00D85B51">
            <w:pPr>
              <w:kinsoku w:val="0"/>
              <w:overflowPunct w:val="0"/>
              <w:autoSpaceDE w:val="0"/>
              <w:autoSpaceDN w:val="0"/>
              <w:ind w:left="1038"/>
              <w:rPr>
                <w:snapToGrid w:val="0"/>
                <w:kern w:val="22"/>
                <w:szCs w:val="22"/>
              </w:rPr>
            </w:pPr>
          </w:p>
          <w:p w14:paraId="5D32EBCD" w14:textId="77777777" w:rsidR="004655FD" w:rsidRPr="007F45C6" w:rsidRDefault="004655FD" w:rsidP="00D85B51">
            <w:pPr>
              <w:kinsoku w:val="0"/>
              <w:overflowPunct w:val="0"/>
              <w:autoSpaceDE w:val="0"/>
              <w:autoSpaceDN w:val="0"/>
              <w:ind w:left="1038"/>
              <w:rPr>
                <w:snapToGrid w:val="0"/>
                <w:kern w:val="22"/>
                <w:szCs w:val="22"/>
              </w:rPr>
            </w:pPr>
            <w:r w:rsidRPr="00205DA6">
              <w:rPr>
                <w:snapToGrid w:val="0"/>
                <w:kern w:val="22"/>
                <w:lang w:val="en-US"/>
              </w:rPr>
              <w:t>CBD/COP/14/INF/29</w:t>
            </w:r>
          </w:p>
          <w:p w14:paraId="058D0360" w14:textId="77777777" w:rsidR="004655FD" w:rsidRPr="007F45C6" w:rsidRDefault="007E7B1B" w:rsidP="00D85B51">
            <w:pPr>
              <w:kinsoku w:val="0"/>
              <w:overflowPunct w:val="0"/>
              <w:autoSpaceDE w:val="0"/>
              <w:autoSpaceDN w:val="0"/>
              <w:ind w:left="1038"/>
              <w:rPr>
                <w:snapToGrid w:val="0"/>
                <w:kern w:val="22"/>
                <w:szCs w:val="22"/>
              </w:rPr>
            </w:pPr>
            <w:sdt>
              <w:sdtPr>
                <w:rPr>
                  <w:snapToGrid w:val="0"/>
                  <w:kern w:val="22"/>
                  <w:szCs w:val="22"/>
                </w:rPr>
                <w:alias w:val="Publish Date"/>
                <w:tag w:val=""/>
                <w:id w:val="276757068"/>
                <w:placeholder>
                  <w:docPart w:val="C481CFAC5A784509BD652F83C8CB79F8"/>
                </w:placeholder>
                <w:dataBinding w:prefixMappings="xmlns:ns0='http://schemas.microsoft.com/office/2006/coverPageProps' " w:xpath="/ns0:CoverPageProperties[1]/ns0:PublishDate[1]" w:storeItemID="{55AF091B-3C7A-41E3-B477-F2FDAA23CFDA}"/>
                <w:date w:fullDate="2018-11-09T00:00:00Z">
                  <w:dateFormat w:val="d MMMM yyyy"/>
                  <w:lid w:val="en-US"/>
                  <w:storeMappedDataAs w:val="dateTime"/>
                  <w:calendar w:val="gregorian"/>
                </w:date>
              </w:sdtPr>
              <w:sdtEndPr/>
              <w:sdtContent>
                <w:r w:rsidR="004655FD">
                  <w:rPr>
                    <w:snapToGrid w:val="0"/>
                    <w:kern w:val="22"/>
                    <w:szCs w:val="22"/>
                  </w:rPr>
                  <w:t>9 November 2018</w:t>
                </w:r>
              </w:sdtContent>
            </w:sdt>
          </w:p>
          <w:p w14:paraId="0DC71C92" w14:textId="77777777" w:rsidR="004655FD" w:rsidRPr="007F45C6" w:rsidRDefault="004655FD" w:rsidP="00D85B51">
            <w:pPr>
              <w:kinsoku w:val="0"/>
              <w:overflowPunct w:val="0"/>
              <w:autoSpaceDE w:val="0"/>
              <w:autoSpaceDN w:val="0"/>
              <w:ind w:left="1038"/>
              <w:rPr>
                <w:snapToGrid w:val="0"/>
                <w:kern w:val="22"/>
                <w:szCs w:val="22"/>
              </w:rPr>
            </w:pPr>
          </w:p>
          <w:p w14:paraId="2A9FC456" w14:textId="77777777" w:rsidR="004655FD" w:rsidRPr="007F45C6" w:rsidRDefault="004655FD" w:rsidP="00D85B51">
            <w:pPr>
              <w:kinsoku w:val="0"/>
              <w:overflowPunct w:val="0"/>
              <w:autoSpaceDE w:val="0"/>
              <w:autoSpaceDN w:val="0"/>
              <w:ind w:left="1038"/>
              <w:rPr>
                <w:snapToGrid w:val="0"/>
                <w:kern w:val="22"/>
                <w:szCs w:val="22"/>
              </w:rPr>
            </w:pPr>
            <w:r w:rsidRPr="007039A9">
              <w:rPr>
                <w:snapToGrid w:val="0"/>
                <w:kern w:val="22"/>
                <w:szCs w:val="22"/>
              </w:rPr>
              <w:t>ENGLISH</w:t>
            </w:r>
            <w:r w:rsidR="00D85B51">
              <w:rPr>
                <w:snapToGrid w:val="0"/>
                <w:kern w:val="22"/>
                <w:szCs w:val="22"/>
              </w:rPr>
              <w:t xml:space="preserve"> ONLY</w:t>
            </w:r>
          </w:p>
          <w:p w14:paraId="4E3BF307" w14:textId="77777777" w:rsidR="004655FD" w:rsidRPr="007F45C6" w:rsidRDefault="004655FD" w:rsidP="00D85B51">
            <w:pPr>
              <w:kinsoku w:val="0"/>
              <w:overflowPunct w:val="0"/>
              <w:autoSpaceDE w:val="0"/>
              <w:autoSpaceDN w:val="0"/>
              <w:rPr>
                <w:snapToGrid w:val="0"/>
                <w:kern w:val="22"/>
              </w:rPr>
            </w:pPr>
          </w:p>
        </w:tc>
      </w:tr>
    </w:tbl>
    <w:p w14:paraId="7EB31884" w14:textId="77777777" w:rsidR="004655FD" w:rsidRPr="007F45C6" w:rsidRDefault="004655FD" w:rsidP="007E7B1B">
      <w:pPr>
        <w:pStyle w:val="Cornernotation"/>
        <w:kinsoku w:val="0"/>
        <w:overflowPunct w:val="0"/>
        <w:autoSpaceDE w:val="0"/>
        <w:autoSpaceDN w:val="0"/>
        <w:ind w:right="3633"/>
        <w:rPr>
          <w:snapToGrid w:val="0"/>
          <w:color w:val="000000"/>
          <w:kern w:val="22"/>
          <w:shd w:val="clear" w:color="auto" w:fill="FFFFFF"/>
        </w:rPr>
      </w:pPr>
      <w:r w:rsidRPr="007F45C6">
        <w:rPr>
          <w:snapToGrid w:val="0"/>
          <w:kern w:val="22"/>
        </w:rPr>
        <w:t xml:space="preserve">CONFERENCE OF THE PARTIES TO THE CONVENTION ON BIOLOGICAL DIVERSITY </w:t>
      </w:r>
    </w:p>
    <w:p w14:paraId="37C07E5C" w14:textId="77777777" w:rsidR="004655FD" w:rsidRPr="007F45C6" w:rsidRDefault="00D85B51" w:rsidP="00D85B51">
      <w:pPr>
        <w:pStyle w:val="Cornernotation"/>
        <w:kinsoku w:val="0"/>
        <w:overflowPunct w:val="0"/>
        <w:autoSpaceDE w:val="0"/>
        <w:autoSpaceDN w:val="0"/>
        <w:ind w:right="3491"/>
        <w:rPr>
          <w:snapToGrid w:val="0"/>
          <w:color w:val="000000"/>
          <w:kern w:val="22"/>
        </w:rPr>
      </w:pPr>
      <w:r>
        <w:rPr>
          <w:snapToGrid w:val="0"/>
          <w:color w:val="000000"/>
          <w:kern w:val="22"/>
        </w:rPr>
        <w:t>Fourteenth</w:t>
      </w:r>
      <w:r w:rsidR="004655FD" w:rsidRPr="007F45C6">
        <w:rPr>
          <w:snapToGrid w:val="0"/>
          <w:color w:val="000000"/>
          <w:kern w:val="22"/>
        </w:rPr>
        <w:t xml:space="preserve"> meeting</w:t>
      </w:r>
      <w:bookmarkStart w:id="1" w:name="_GoBack"/>
      <w:bookmarkEnd w:id="1"/>
    </w:p>
    <w:p w14:paraId="6EBC5361" w14:textId="77777777" w:rsidR="004655FD" w:rsidRDefault="004655FD" w:rsidP="00D85B51">
      <w:pPr>
        <w:pStyle w:val="Cornernotation"/>
        <w:kinsoku w:val="0"/>
        <w:overflowPunct w:val="0"/>
        <w:autoSpaceDE w:val="0"/>
        <w:autoSpaceDN w:val="0"/>
        <w:ind w:right="3491"/>
        <w:rPr>
          <w:snapToGrid w:val="0"/>
          <w:color w:val="000000"/>
          <w:kern w:val="22"/>
        </w:rPr>
      </w:pPr>
      <w:r w:rsidRPr="00320EB1">
        <w:rPr>
          <w:snapToGrid w:val="0"/>
          <w:kern w:val="22"/>
          <w:szCs w:val="22"/>
          <w:lang w:eastAsia="nb-NO"/>
        </w:rPr>
        <w:t>Sharm El-Sheikh, Egypt</w:t>
      </w:r>
      <w:r w:rsidRPr="007F45C6">
        <w:rPr>
          <w:snapToGrid w:val="0"/>
          <w:color w:val="000000"/>
          <w:kern w:val="22"/>
        </w:rPr>
        <w:t>, 1</w:t>
      </w:r>
      <w:r>
        <w:rPr>
          <w:snapToGrid w:val="0"/>
          <w:color w:val="000000"/>
          <w:kern w:val="22"/>
        </w:rPr>
        <w:t>7</w:t>
      </w:r>
      <w:r w:rsidRPr="007F45C6">
        <w:rPr>
          <w:snapToGrid w:val="0"/>
          <w:color w:val="000000"/>
          <w:kern w:val="22"/>
        </w:rPr>
        <w:t>-2</w:t>
      </w:r>
      <w:r>
        <w:rPr>
          <w:snapToGrid w:val="0"/>
          <w:color w:val="000000"/>
          <w:kern w:val="22"/>
        </w:rPr>
        <w:t>9</w:t>
      </w:r>
      <w:r w:rsidRPr="007F45C6">
        <w:rPr>
          <w:snapToGrid w:val="0"/>
          <w:color w:val="000000"/>
          <w:kern w:val="22"/>
        </w:rPr>
        <w:t xml:space="preserve"> November 2018</w:t>
      </w:r>
    </w:p>
    <w:p w14:paraId="49D7A6C6" w14:textId="77777777" w:rsidR="004655FD" w:rsidRPr="007F45C6" w:rsidRDefault="004655FD" w:rsidP="00D85B51">
      <w:pPr>
        <w:pStyle w:val="Cornernotation"/>
        <w:kinsoku w:val="0"/>
        <w:overflowPunct w:val="0"/>
        <w:autoSpaceDE w:val="0"/>
        <w:autoSpaceDN w:val="0"/>
        <w:ind w:right="3491"/>
        <w:rPr>
          <w:snapToGrid w:val="0"/>
          <w:kern w:val="22"/>
          <w:lang w:val="en-US"/>
        </w:rPr>
      </w:pPr>
      <w:r>
        <w:rPr>
          <w:snapToGrid w:val="0"/>
          <w:kern w:val="22"/>
          <w:szCs w:val="22"/>
          <w:lang w:eastAsia="nb-NO"/>
        </w:rPr>
        <w:t>Item 1</w:t>
      </w:r>
      <w:r w:rsidR="0039247B">
        <w:rPr>
          <w:snapToGrid w:val="0"/>
          <w:kern w:val="22"/>
          <w:szCs w:val="22"/>
          <w:lang w:eastAsia="nb-NO"/>
        </w:rPr>
        <w:t>8</w:t>
      </w:r>
      <w:r>
        <w:rPr>
          <w:snapToGrid w:val="0"/>
          <w:kern w:val="22"/>
          <w:szCs w:val="22"/>
          <w:lang w:eastAsia="nb-NO"/>
        </w:rPr>
        <w:t xml:space="preserve"> of the provisional agenda</w:t>
      </w:r>
      <w:r w:rsidR="0039247B" w:rsidRPr="0039247B">
        <w:rPr>
          <w:snapToGrid w:val="0"/>
          <w:kern w:val="22"/>
          <w:szCs w:val="22"/>
          <w:vertAlign w:val="superscript"/>
          <w:lang w:eastAsia="en-CA"/>
        </w:rPr>
        <w:footnoteReference w:customMarkFollows="1" w:id="1"/>
        <w:t>*</w:t>
      </w:r>
    </w:p>
    <w:p w14:paraId="7125E18E" w14:textId="77777777" w:rsidR="004655FD" w:rsidRPr="007F45C6" w:rsidRDefault="004655FD" w:rsidP="004655FD">
      <w:pPr>
        <w:kinsoku w:val="0"/>
        <w:overflowPunct w:val="0"/>
        <w:autoSpaceDE w:val="0"/>
        <w:autoSpaceDN w:val="0"/>
        <w:rPr>
          <w:snapToGrid w:val="0"/>
          <w:kern w:val="22"/>
        </w:rPr>
      </w:pPr>
    </w:p>
    <w:p w14:paraId="554AE671" w14:textId="77777777" w:rsidR="004655FD" w:rsidRPr="008E023D" w:rsidRDefault="007E7B1B" w:rsidP="004655FD">
      <w:pPr>
        <w:kinsoku w:val="0"/>
        <w:overflowPunct w:val="0"/>
        <w:autoSpaceDE w:val="0"/>
        <w:autoSpaceDN w:val="0"/>
        <w:spacing w:before="240" w:after="240"/>
        <w:jc w:val="center"/>
        <w:rPr>
          <w:rFonts w:ascii="Times New Roman Bold" w:hAnsi="Times New Roman Bold" w:cs="Times New Roman Bold"/>
          <w:b/>
          <w:bCs/>
          <w:caps/>
          <w:snapToGrid w:val="0"/>
          <w:kern w:val="22"/>
        </w:rPr>
      </w:pPr>
      <w:sdt>
        <w:sdtPr>
          <w:rPr>
            <w:b/>
            <w:sz w:val="22"/>
            <w:lang w:eastAsia="en-US"/>
          </w:rPr>
          <w:alias w:val="Title"/>
          <w:tag w:val=""/>
          <w:id w:val="772832786"/>
          <w:placeholder>
            <w:docPart w:val="BBB95769B7404C98B045FD7EAE6CE519"/>
          </w:placeholder>
          <w:dataBinding w:prefixMappings="xmlns:ns0='http://purl.org/dc/elements/1.1/' xmlns:ns1='http://schemas.openxmlformats.org/package/2006/metadata/core-properties' " w:xpath="/ns1:coreProperties[1]/ns0:title[1]" w:storeItemID="{6C3C8BC8-F283-45AE-878A-BAB7291924A1}"/>
          <w:text/>
        </w:sdtPr>
        <w:sdtEndPr/>
        <w:sdtContent>
          <w:r w:rsidR="00087C93">
            <w:rPr>
              <w:b/>
              <w:sz w:val="22"/>
              <w:lang w:eastAsia="en-US"/>
            </w:rPr>
            <w:t xml:space="preserve">SUBMISSION FROM THE SECRETARIAT OF THE COMMISSION ON GENETIC RESOURCES FOR FOOD AND AGRICULTURE: </w:t>
          </w:r>
          <w:r w:rsidR="004655FD" w:rsidRPr="00F63D94">
            <w:rPr>
              <w:b/>
              <w:sz w:val="22"/>
              <w:lang w:eastAsia="en-US"/>
            </w:rPr>
            <w:t>EXPLORATORY FACT-FINDING SCOPING STUDY ON “DIGITAL SEQUENCE INFORMATION” ON GENETIC RESOURCES FOR FOOD AND AGRICULTURE</w:t>
          </w:r>
        </w:sdtContent>
      </w:sdt>
      <w:r w:rsidR="004655FD" w:rsidRPr="008E023D">
        <w:rPr>
          <w:rFonts w:ascii="Times New Roman Bold" w:hAnsi="Times New Roman Bold" w:cs="Times New Roman Bold"/>
          <w:b/>
          <w:bCs/>
          <w:caps/>
          <w:snapToGrid w:val="0"/>
          <w:kern w:val="22"/>
        </w:rPr>
        <w:t xml:space="preserve"> </w:t>
      </w:r>
    </w:p>
    <w:p w14:paraId="35775F95" w14:textId="77777777" w:rsidR="00F63D94" w:rsidRDefault="004655FD" w:rsidP="004655FD">
      <w:pPr>
        <w:pStyle w:val="Para1"/>
        <w:numPr>
          <w:ilvl w:val="0"/>
          <w:numId w:val="28"/>
        </w:numPr>
        <w:suppressLineNumbers/>
        <w:suppressAutoHyphens/>
        <w:kinsoku w:val="0"/>
        <w:overflowPunct w:val="0"/>
        <w:autoSpaceDE w:val="0"/>
        <w:autoSpaceDN w:val="0"/>
        <w:ind w:left="0" w:firstLine="0"/>
        <w:rPr>
          <w:rFonts w:eastAsia="Malgun Gothic"/>
          <w:kern w:val="22"/>
          <w:lang w:eastAsia="x-none"/>
        </w:rPr>
      </w:pPr>
      <w:r w:rsidRPr="00F63D94">
        <w:rPr>
          <w:rFonts w:eastAsia="Malgun Gothic"/>
          <w:kern w:val="22"/>
          <w:lang w:eastAsia="x-none"/>
        </w:rPr>
        <w:t>Upon the request of the Secretariat of the Commission on Genetic Resources for Food and Agriculture</w:t>
      </w:r>
      <w:r w:rsidR="00F63D94" w:rsidRPr="00F63D94">
        <w:rPr>
          <w:rFonts w:eastAsia="Malgun Gothic"/>
          <w:kern w:val="22"/>
          <w:lang w:eastAsia="x-none"/>
        </w:rPr>
        <w:t xml:space="preserve"> of the Food and Agriculture Organization of the United Nations</w:t>
      </w:r>
      <w:r w:rsidRPr="00F63D94">
        <w:rPr>
          <w:rFonts w:eastAsia="Malgun Gothic"/>
          <w:kern w:val="22"/>
          <w:lang w:eastAsia="x-none"/>
        </w:rPr>
        <w:t xml:space="preserve">, the attached study is made available </w:t>
      </w:r>
      <w:r w:rsidR="00F63D94" w:rsidRPr="00F63D94">
        <w:rPr>
          <w:rFonts w:eastAsia="Malgun Gothic"/>
          <w:kern w:val="22"/>
          <w:lang w:eastAsia="x-none"/>
        </w:rPr>
        <w:t xml:space="preserve">for the information of participants in the </w:t>
      </w:r>
      <w:r w:rsidR="00F63D94">
        <w:rPr>
          <w:rFonts w:eastAsia="Malgun Gothic"/>
          <w:kern w:val="22"/>
          <w:lang w:eastAsia="x-none"/>
        </w:rPr>
        <w:t xml:space="preserve">fourteenth meeting of the Conference of the Parties to the Convention on Biological Diversity and the </w:t>
      </w:r>
      <w:r w:rsidR="00F63D94" w:rsidRPr="00F63D94">
        <w:rPr>
          <w:rFonts w:eastAsia="Malgun Gothic"/>
          <w:kern w:val="22"/>
          <w:lang w:eastAsia="x-none"/>
        </w:rPr>
        <w:t>third meeting of the Conference of the Parties serving as the meeting of the Parties to the Nagoya Protocol.</w:t>
      </w:r>
    </w:p>
    <w:p w14:paraId="3F9AAB80" w14:textId="77777777" w:rsidR="004655FD" w:rsidRPr="00F63D94" w:rsidRDefault="00F63D94" w:rsidP="00F63D94">
      <w:pPr>
        <w:pStyle w:val="Para1"/>
        <w:numPr>
          <w:ilvl w:val="0"/>
          <w:numId w:val="28"/>
        </w:numPr>
        <w:suppressLineNumbers/>
        <w:suppressAutoHyphens/>
        <w:kinsoku w:val="0"/>
        <w:overflowPunct w:val="0"/>
        <w:autoSpaceDE w:val="0"/>
        <w:autoSpaceDN w:val="0"/>
        <w:ind w:left="0" w:firstLine="0"/>
        <w:rPr>
          <w:rFonts w:eastAsia="Malgun Gothic"/>
          <w:kern w:val="22"/>
          <w:lang w:eastAsia="x-none"/>
        </w:rPr>
      </w:pPr>
      <w:r>
        <w:rPr>
          <w:rFonts w:eastAsia="Malgun Gothic"/>
          <w:kern w:val="22"/>
          <w:lang w:eastAsia="x-none"/>
        </w:rPr>
        <w:t xml:space="preserve">The document is being circulated in the </w:t>
      </w:r>
      <w:r w:rsidR="004655FD" w:rsidRPr="00F63D94">
        <w:rPr>
          <w:rFonts w:eastAsia="Malgun Gothic"/>
          <w:kern w:val="22"/>
          <w:lang w:eastAsia="x-none"/>
        </w:rPr>
        <w:t>form</w:t>
      </w:r>
      <w:r>
        <w:rPr>
          <w:rFonts w:eastAsia="Malgun Gothic"/>
          <w:kern w:val="22"/>
          <w:lang w:eastAsia="x-none"/>
        </w:rPr>
        <w:t xml:space="preserve"> and language in which it was</w:t>
      </w:r>
      <w:r w:rsidR="004655FD" w:rsidRPr="00F63D94">
        <w:rPr>
          <w:rFonts w:eastAsia="Malgun Gothic"/>
          <w:kern w:val="22"/>
          <w:lang w:eastAsia="x-none"/>
        </w:rPr>
        <w:t xml:space="preserve"> received</w:t>
      </w:r>
      <w:r>
        <w:rPr>
          <w:rFonts w:eastAsia="Malgun Gothic"/>
          <w:kern w:val="22"/>
          <w:lang w:eastAsia="x-none"/>
        </w:rPr>
        <w:t xml:space="preserve"> by the Secretariat of the Convention on Biological Diversity.</w:t>
      </w:r>
      <w:r w:rsidR="004655FD" w:rsidRPr="00F63D94">
        <w:rPr>
          <w:rFonts w:eastAsia="Malgun Gothic"/>
          <w:kern w:val="22"/>
          <w:lang w:eastAsia="x-none"/>
        </w:rPr>
        <w:t xml:space="preserve"> </w:t>
      </w:r>
    </w:p>
    <w:p w14:paraId="2BB21535" w14:textId="77777777" w:rsidR="0012061B" w:rsidRDefault="0012061B" w:rsidP="004655FD">
      <w:pPr>
        <w:pStyle w:val="DocTitle"/>
        <w:framePr w:w="9323" w:wrap="auto" w:hAnchor="text"/>
        <w:rPr>
          <w:smallCaps/>
        </w:rPr>
        <w:sectPr w:rsidR="0012061B" w:rsidSect="00D85B51">
          <w:headerReference w:type="even" r:id="rId12"/>
          <w:headerReference w:type="default" r:id="rId13"/>
          <w:headerReference w:type="first" r:id="rId14"/>
          <w:pgSz w:w="11900" w:h="16840" w:code="9"/>
          <w:pgMar w:top="601" w:right="1440" w:bottom="1134" w:left="1440" w:header="459" w:footer="720" w:gutter="0"/>
          <w:pgNumType w:start="1"/>
          <w:cols w:space="720"/>
          <w:noEndnote/>
          <w:titlePg/>
          <w:docGrid w:linePitch="326"/>
        </w:sectPr>
      </w:pPr>
    </w:p>
    <w:p w14:paraId="69E46592" w14:textId="77777777" w:rsidR="00E86013" w:rsidRPr="005A69AC" w:rsidRDefault="00AC5FB4" w:rsidP="00E86013">
      <w:pPr>
        <w:pStyle w:val="DocTitle"/>
        <w:rPr>
          <w:rFonts w:cs="Times New Roman"/>
          <w:color w:val="auto"/>
        </w:rPr>
      </w:pPr>
      <w:r>
        <w:rPr>
          <w:smallCaps/>
        </w:rPr>
        <w:lastRenderedPageBreak/>
        <w:t>Commission on Genetic Resources for Food and Agriculture</w:t>
      </w:r>
      <w:r w:rsidR="00E86013" w:rsidRPr="00E86013">
        <w:t xml:space="preserve"> </w:t>
      </w:r>
    </w:p>
    <w:p w14:paraId="7A1991A4" w14:textId="77777777" w:rsidR="00E86013" w:rsidRDefault="00E86013" w:rsidP="00A90795">
      <w:pPr>
        <w:pStyle w:val="MeetingInfo"/>
        <w:pBdr>
          <w:top w:val="single" w:sz="4" w:space="1" w:color="auto"/>
          <w:left w:val="single" w:sz="4" w:space="4" w:color="auto"/>
          <w:bottom w:val="single" w:sz="4" w:space="1" w:color="auto"/>
          <w:right w:val="single" w:sz="4" w:space="4" w:color="auto"/>
          <w:between w:val="none" w:sz="0" w:space="0" w:color="auto"/>
        </w:pBdr>
        <w:rPr>
          <w:b w:val="0"/>
          <w:lang w:val="en-US"/>
        </w:rPr>
      </w:pPr>
      <w:r w:rsidRPr="00E86013">
        <w:t>EXPLORATORY FACT-FINDING SCOPING STUDY ON “DIGITAL SEQUENCE INFORMATION” ON GENETIC RESOURCES FOR FOOD AND AGRICULTURE</w:t>
      </w:r>
      <w:r w:rsidRPr="00E86013">
        <w:br/>
      </w:r>
    </w:p>
    <w:p w14:paraId="41F5273B" w14:textId="77777777" w:rsidR="00E86013" w:rsidRPr="005A69AC" w:rsidRDefault="00E86013" w:rsidP="00A90795">
      <w:pPr>
        <w:pStyle w:val="MeetingInfo"/>
        <w:pBdr>
          <w:top w:val="single" w:sz="4" w:space="1" w:color="auto"/>
          <w:left w:val="single" w:sz="4" w:space="4" w:color="auto"/>
          <w:bottom w:val="single" w:sz="4" w:space="1" w:color="auto"/>
          <w:right w:val="single" w:sz="4" w:space="4" w:color="auto"/>
          <w:between w:val="none" w:sz="0" w:space="0" w:color="auto"/>
        </w:pBdr>
        <w:rPr>
          <w:lang w:val="en-US"/>
        </w:rPr>
      </w:pPr>
      <w:r>
        <w:rPr>
          <w:b w:val="0"/>
          <w:lang w:val="en-US"/>
        </w:rPr>
        <w:t>b</w:t>
      </w:r>
      <w:r w:rsidRPr="005A69AC">
        <w:rPr>
          <w:b w:val="0"/>
          <w:lang w:val="en-US"/>
        </w:rPr>
        <w:t>y</w:t>
      </w:r>
    </w:p>
    <w:p w14:paraId="74EED693" w14:textId="77777777" w:rsidR="00E86013" w:rsidRDefault="00E86013" w:rsidP="00A90795">
      <w:pPr>
        <w:pStyle w:val="MeetingInfo"/>
        <w:pBdr>
          <w:top w:val="single" w:sz="4" w:space="1" w:color="auto"/>
          <w:left w:val="single" w:sz="4" w:space="4" w:color="auto"/>
          <w:bottom w:val="single" w:sz="4" w:space="1" w:color="auto"/>
          <w:right w:val="single" w:sz="4" w:space="4" w:color="auto"/>
          <w:between w:val="none" w:sz="0" w:space="0" w:color="auto"/>
        </w:pBdr>
      </w:pPr>
      <w:r w:rsidRPr="00E86013">
        <w:rPr>
          <w:b w:val="0"/>
          <w:lang w:val="en-US"/>
        </w:rPr>
        <w:t>Jack A. Heinemann</w:t>
      </w:r>
      <w:r w:rsidR="004762A4">
        <w:rPr>
          <w:b w:val="0"/>
          <w:lang w:val="en-US"/>
        </w:rPr>
        <w:t>,</w:t>
      </w:r>
      <w:r w:rsidR="004762A4" w:rsidRPr="00BB7F47">
        <w:rPr>
          <w:rStyle w:val="FootnoteReference"/>
          <w:b w:val="0"/>
          <w:sz w:val="28"/>
          <w:szCs w:val="28"/>
          <w:lang w:val="en-US"/>
        </w:rPr>
        <w:footnoteReference w:id="2"/>
      </w:r>
      <w:r w:rsidR="004762A4">
        <w:rPr>
          <w:b w:val="0"/>
          <w:lang w:val="en-US"/>
        </w:rPr>
        <w:t xml:space="preserve"> </w:t>
      </w:r>
      <w:r w:rsidR="004762A4" w:rsidRPr="00E86013">
        <w:rPr>
          <w:b w:val="0"/>
          <w:lang w:val="en-US"/>
        </w:rPr>
        <w:t>Dorien S. Coray</w:t>
      </w:r>
      <w:r w:rsidR="004762A4">
        <w:rPr>
          <w:rStyle w:val="FootnoteReference"/>
          <w:b w:val="0"/>
          <w:lang w:val="en-US"/>
        </w:rPr>
        <w:t xml:space="preserve"> </w:t>
      </w:r>
      <w:r w:rsidR="00381F8F" w:rsidRPr="00E034B1">
        <w:rPr>
          <w:b w:val="0"/>
          <w:vertAlign w:val="superscript"/>
          <w:lang w:val="en-US"/>
        </w:rPr>
        <w:t>1</w:t>
      </w:r>
      <w:r w:rsidRPr="00E86013">
        <w:rPr>
          <w:b w:val="0"/>
          <w:lang w:val="en-US"/>
        </w:rPr>
        <w:t xml:space="preserve"> and</w:t>
      </w:r>
      <w:r w:rsidR="004762A4" w:rsidRPr="004762A4">
        <w:rPr>
          <w:b w:val="0"/>
          <w:lang w:val="en-US"/>
        </w:rPr>
        <w:t xml:space="preserve"> David S. Thaler</w:t>
      </w:r>
      <w:r w:rsidR="004762A4">
        <w:rPr>
          <w:rStyle w:val="FootnoteReference"/>
          <w:b w:val="0"/>
          <w:lang w:val="en-US"/>
        </w:rPr>
        <w:t xml:space="preserve"> </w:t>
      </w:r>
      <w:r w:rsidR="004762A4" w:rsidRPr="00BB7F47">
        <w:rPr>
          <w:rStyle w:val="FootnoteReference"/>
          <w:b w:val="0"/>
          <w:sz w:val="28"/>
          <w:szCs w:val="28"/>
          <w:lang w:val="en-US"/>
        </w:rPr>
        <w:footnoteReference w:id="3"/>
      </w:r>
      <w:r w:rsidR="004762A4" w:rsidRPr="00381F8F">
        <w:rPr>
          <w:b w:val="0"/>
          <w:lang w:val="en-US"/>
        </w:rPr>
        <w:t xml:space="preserve"> </w:t>
      </w:r>
    </w:p>
    <w:p w14:paraId="09AAC4EF" w14:textId="77777777" w:rsidR="00E86013" w:rsidRDefault="00E86013" w:rsidP="00E86013">
      <w:pPr>
        <w:pStyle w:val="Default"/>
        <w:rPr>
          <w:color w:val="auto"/>
        </w:rPr>
      </w:pPr>
    </w:p>
    <w:p w14:paraId="7751BE4B" w14:textId="77777777" w:rsidR="00E86013" w:rsidRDefault="00E86013" w:rsidP="00E86013">
      <w:pPr>
        <w:pStyle w:val="Default"/>
        <w:rPr>
          <w:color w:val="auto"/>
        </w:rPr>
      </w:pPr>
    </w:p>
    <w:p w14:paraId="15FE294D" w14:textId="77777777" w:rsidR="00E86013" w:rsidRDefault="00E86013" w:rsidP="00C2483A">
      <w:pPr>
        <w:pStyle w:val="Default"/>
        <w:tabs>
          <w:tab w:val="left" w:pos="5593"/>
        </w:tabs>
        <w:rPr>
          <w:color w:val="auto"/>
        </w:rPr>
      </w:pPr>
    </w:p>
    <w:p w14:paraId="528331BC" w14:textId="77777777" w:rsidR="00102724" w:rsidRDefault="00381F8F" w:rsidP="00E034B1">
      <w:pPr>
        <w:pStyle w:val="Default"/>
        <w:spacing w:before="120" w:after="120"/>
        <w:rPr>
          <w:sz w:val="22"/>
          <w:szCs w:val="22"/>
        </w:rPr>
      </w:pPr>
      <w:r w:rsidRPr="00E034B1">
        <w:rPr>
          <w:color w:val="auto"/>
          <w:sz w:val="22"/>
          <w:szCs w:val="22"/>
        </w:rPr>
        <w:t xml:space="preserve">The Commission on Genetic Resources for Food and Agriculture, at its Sixteenth Regular Session, </w:t>
      </w:r>
      <w:r w:rsidR="00A96755" w:rsidRPr="00E034B1">
        <w:rPr>
          <w:color w:val="auto"/>
          <w:sz w:val="22"/>
          <w:szCs w:val="22"/>
        </w:rPr>
        <w:t>established a new work stream on “digital sequence information” (DSI) on genetic resources for food and agriculture (GRFA)</w:t>
      </w:r>
      <w:r w:rsidR="00C2483A">
        <w:rPr>
          <w:color w:val="auto"/>
          <w:sz w:val="22"/>
          <w:szCs w:val="22"/>
        </w:rPr>
        <w:t xml:space="preserve">. It </w:t>
      </w:r>
      <w:r w:rsidR="00A96755" w:rsidRPr="00E034B1">
        <w:rPr>
          <w:color w:val="auto"/>
          <w:sz w:val="22"/>
          <w:szCs w:val="22"/>
        </w:rPr>
        <w:t xml:space="preserve">requested the preparation of </w:t>
      </w:r>
      <w:r w:rsidR="00A96755" w:rsidRPr="00E034B1">
        <w:rPr>
          <w:sz w:val="22"/>
          <w:szCs w:val="22"/>
        </w:rPr>
        <w:t xml:space="preserve">an exploratory fact-finding scoping study on DSI on GRFA with information on, </w:t>
      </w:r>
      <w:r w:rsidR="00A96755" w:rsidRPr="00E034B1">
        <w:rPr>
          <w:i/>
          <w:sz w:val="22"/>
          <w:szCs w:val="22"/>
        </w:rPr>
        <w:t>inter alia</w:t>
      </w:r>
      <w:r w:rsidR="00A96755" w:rsidRPr="00E034B1">
        <w:rPr>
          <w:sz w:val="22"/>
          <w:szCs w:val="22"/>
        </w:rPr>
        <w:t>, terminology used in this area, actors involved with DSI on GRFA, the types and extent of uses of DSI on GRFA as well as on relevance of DSI on GRFA f</w:t>
      </w:r>
      <w:r w:rsidR="00C2483A">
        <w:rPr>
          <w:sz w:val="22"/>
          <w:szCs w:val="22"/>
        </w:rPr>
        <w:t>or food security and nutrition.</w:t>
      </w:r>
    </w:p>
    <w:p w14:paraId="0E17CD12" w14:textId="77777777" w:rsidR="00A96755" w:rsidRPr="00E034B1" w:rsidRDefault="00A96755" w:rsidP="00E034B1">
      <w:pPr>
        <w:pStyle w:val="Default"/>
        <w:spacing w:before="120" w:after="120"/>
        <w:rPr>
          <w:sz w:val="22"/>
          <w:szCs w:val="22"/>
        </w:rPr>
      </w:pPr>
      <w:r w:rsidRPr="00E034B1">
        <w:rPr>
          <w:sz w:val="22"/>
          <w:szCs w:val="22"/>
        </w:rPr>
        <w:t>This background study paper has been commissioned by the Secretariat with a view to facilitate consideration by the Commission of the implications of the use of DSI on GRFA for the conservation and sustainable use of GRFA, including exchange, access and the fair and equitable sharing of the b</w:t>
      </w:r>
      <w:r w:rsidR="00C2483A">
        <w:rPr>
          <w:sz w:val="22"/>
          <w:szCs w:val="22"/>
        </w:rPr>
        <w:t>enefits arising from their use.</w:t>
      </w:r>
    </w:p>
    <w:p w14:paraId="4222E1DD" w14:textId="77777777" w:rsidR="00102724" w:rsidRDefault="001A01F1" w:rsidP="00E034B1">
      <w:pPr>
        <w:pStyle w:val="Default"/>
        <w:spacing w:before="120" w:after="120"/>
        <w:rPr>
          <w:color w:val="auto"/>
          <w:sz w:val="22"/>
          <w:szCs w:val="22"/>
        </w:rPr>
      </w:pPr>
      <w:r>
        <w:rPr>
          <w:color w:val="auto"/>
          <w:sz w:val="22"/>
          <w:szCs w:val="22"/>
        </w:rPr>
        <w:t xml:space="preserve">The </w:t>
      </w:r>
      <w:r w:rsidR="00A96755" w:rsidRPr="00E034B1">
        <w:rPr>
          <w:sz w:val="22"/>
          <w:szCs w:val="22"/>
        </w:rPr>
        <w:t xml:space="preserve">Commission’s intergovernmental technical working groups on animal, aquatic, forest and plant genetic resources </w:t>
      </w:r>
      <w:r>
        <w:rPr>
          <w:color w:val="auto"/>
          <w:sz w:val="22"/>
          <w:szCs w:val="22"/>
        </w:rPr>
        <w:t xml:space="preserve">and its </w:t>
      </w:r>
      <w:r w:rsidRPr="001B2649">
        <w:rPr>
          <w:color w:val="auto"/>
          <w:sz w:val="22"/>
          <w:szCs w:val="22"/>
        </w:rPr>
        <w:t>Expert Group on Micro-organism and Invertebrate Genetic Resources for Food and Agriculture</w:t>
      </w:r>
      <w:r>
        <w:rPr>
          <w:color w:val="auto"/>
          <w:sz w:val="22"/>
          <w:szCs w:val="22"/>
        </w:rPr>
        <w:t xml:space="preserve"> reviewed and provided inputs to earlier versions of the study</w:t>
      </w:r>
      <w:r w:rsidR="00A96755" w:rsidRPr="00E034B1">
        <w:rPr>
          <w:sz w:val="22"/>
          <w:szCs w:val="22"/>
        </w:rPr>
        <w:t>.</w:t>
      </w:r>
      <w:r w:rsidR="00A96755">
        <w:rPr>
          <w:color w:val="auto"/>
          <w:sz w:val="22"/>
          <w:szCs w:val="22"/>
        </w:rPr>
        <w:t xml:space="preserve"> </w:t>
      </w:r>
    </w:p>
    <w:p w14:paraId="4F3FA936" w14:textId="77777777" w:rsidR="00E86013" w:rsidRPr="00E034B1" w:rsidRDefault="00E86013" w:rsidP="00E034B1">
      <w:pPr>
        <w:pStyle w:val="Default"/>
        <w:spacing w:before="120" w:after="120"/>
        <w:rPr>
          <w:b/>
          <w:bCs/>
          <w:color w:val="auto"/>
          <w:sz w:val="22"/>
          <w:szCs w:val="22"/>
        </w:rPr>
      </w:pPr>
      <w:r w:rsidRPr="00E034B1">
        <w:rPr>
          <w:b/>
          <w:bCs/>
          <w:sz w:val="22"/>
          <w:szCs w:val="22"/>
        </w:rPr>
        <w:t>The content of this document is entirely the responsibility of the authors, and does not necessarily represent the views of the FAO or its Members.</w:t>
      </w:r>
    </w:p>
    <w:p w14:paraId="584B52DC" w14:textId="77777777" w:rsidR="00E86013" w:rsidRPr="005A69AC" w:rsidRDefault="00E86013" w:rsidP="00E86013">
      <w:pPr>
        <w:pStyle w:val="Default"/>
        <w:rPr>
          <w:color w:val="auto"/>
          <w:sz w:val="22"/>
          <w:szCs w:val="22"/>
        </w:rPr>
      </w:pPr>
    </w:p>
    <w:p w14:paraId="5CB69E62" w14:textId="77777777" w:rsidR="00412626" w:rsidRDefault="00412626">
      <w:pPr>
        <w:rPr>
          <w:sz w:val="22"/>
          <w:szCs w:val="22"/>
        </w:rPr>
      </w:pPr>
      <w:r>
        <w:rPr>
          <w:sz w:val="22"/>
          <w:szCs w:val="22"/>
        </w:rPr>
        <w:br w:type="page"/>
      </w:r>
    </w:p>
    <w:bookmarkEnd w:id="0"/>
    <w:p w14:paraId="64E6F4FC" w14:textId="77777777" w:rsidR="00B942B9" w:rsidRPr="00E034B1" w:rsidRDefault="00B942B9" w:rsidP="00E034B1">
      <w:pPr>
        <w:pBdr>
          <w:top w:val="single" w:sz="4" w:space="6" w:color="auto"/>
          <w:bottom w:val="single" w:sz="4" w:space="6" w:color="auto"/>
        </w:pBdr>
        <w:jc w:val="center"/>
        <w:rPr>
          <w:rStyle w:val="Bold"/>
          <w:sz w:val="22"/>
          <w:szCs w:val="22"/>
        </w:rPr>
      </w:pPr>
      <w:r w:rsidRPr="00E034B1">
        <w:rPr>
          <w:rStyle w:val="Bold"/>
          <w:sz w:val="22"/>
          <w:szCs w:val="22"/>
        </w:rPr>
        <w:lastRenderedPageBreak/>
        <w:t>TABLE OF CONTENTS</w:t>
      </w:r>
    </w:p>
    <w:p w14:paraId="0B514A28" w14:textId="77777777" w:rsidR="00B942B9" w:rsidRPr="00102724" w:rsidRDefault="00B942B9" w:rsidP="00DB04CA">
      <w:pPr>
        <w:pStyle w:val="NewPara"/>
        <w:spacing w:before="120" w:after="120"/>
        <w:rPr>
          <w:rStyle w:val="Bold"/>
          <w:b w:val="0"/>
        </w:rPr>
      </w:pPr>
    </w:p>
    <w:p w14:paraId="48969581" w14:textId="77777777" w:rsidR="00B942B9" w:rsidRPr="00102724" w:rsidRDefault="006054EE" w:rsidP="00DB04CA">
      <w:pPr>
        <w:spacing w:before="120" w:after="120"/>
        <w:jc w:val="right"/>
        <w:rPr>
          <w:i/>
          <w:sz w:val="22"/>
          <w:szCs w:val="22"/>
        </w:rPr>
      </w:pPr>
      <w:r w:rsidRPr="00102724">
        <w:rPr>
          <w:i/>
          <w:sz w:val="22"/>
          <w:szCs w:val="22"/>
        </w:rPr>
        <w:t>Pages</w:t>
      </w:r>
    </w:p>
    <w:p w14:paraId="53F25FD0" w14:textId="77777777" w:rsidR="00B942B9" w:rsidRPr="00E034B1" w:rsidRDefault="00985C51" w:rsidP="00A43161">
      <w:pPr>
        <w:pStyle w:val="ListParagraph"/>
        <w:tabs>
          <w:tab w:val="right" w:pos="8647"/>
        </w:tabs>
        <w:ind w:left="709"/>
        <w:contextualSpacing w:val="0"/>
        <w:rPr>
          <w:sz w:val="22"/>
          <w:szCs w:val="22"/>
        </w:rPr>
      </w:pPr>
      <w:r w:rsidRPr="00E034B1">
        <w:rPr>
          <w:b/>
          <w:sz w:val="22"/>
          <w:szCs w:val="22"/>
        </w:rPr>
        <w:t>Abbreviations</w:t>
      </w:r>
      <w:r w:rsidR="00B942B9" w:rsidRPr="00E034B1">
        <w:rPr>
          <w:sz w:val="22"/>
          <w:szCs w:val="22"/>
        </w:rPr>
        <w:tab/>
      </w:r>
      <w:r w:rsidR="00D224C0" w:rsidRPr="00E034B1">
        <w:rPr>
          <w:sz w:val="22"/>
          <w:szCs w:val="22"/>
        </w:rPr>
        <w:t>4</w:t>
      </w:r>
    </w:p>
    <w:p w14:paraId="14528243" w14:textId="77777777" w:rsidR="00A43161" w:rsidRPr="00E034B1" w:rsidRDefault="00A43161" w:rsidP="00A90795">
      <w:pPr>
        <w:pStyle w:val="ListParagraph"/>
        <w:tabs>
          <w:tab w:val="right" w:pos="8647"/>
        </w:tabs>
        <w:ind w:left="709"/>
        <w:contextualSpacing w:val="0"/>
        <w:rPr>
          <w:b/>
          <w:sz w:val="22"/>
          <w:szCs w:val="22"/>
        </w:rPr>
      </w:pPr>
      <w:r w:rsidRPr="00E034B1">
        <w:rPr>
          <w:b/>
          <w:sz w:val="22"/>
          <w:szCs w:val="22"/>
        </w:rPr>
        <w:t xml:space="preserve">Executive </w:t>
      </w:r>
      <w:r w:rsidR="00A90795" w:rsidRPr="00E034B1">
        <w:rPr>
          <w:b/>
          <w:sz w:val="22"/>
          <w:szCs w:val="22"/>
        </w:rPr>
        <w:t>report</w:t>
      </w:r>
      <w:r w:rsidR="00520441" w:rsidRPr="00E034B1">
        <w:rPr>
          <w:b/>
          <w:sz w:val="22"/>
          <w:szCs w:val="22"/>
        </w:rPr>
        <w:tab/>
      </w:r>
      <w:r w:rsidR="00102724">
        <w:rPr>
          <w:sz w:val="22"/>
          <w:szCs w:val="22"/>
        </w:rPr>
        <w:t>5</w:t>
      </w:r>
    </w:p>
    <w:p w14:paraId="3C5BF3B2" w14:textId="77777777" w:rsidR="002273F2" w:rsidRPr="00E034B1" w:rsidRDefault="00985C51" w:rsidP="00A43161">
      <w:pPr>
        <w:pStyle w:val="ListParagraph"/>
        <w:numPr>
          <w:ilvl w:val="0"/>
          <w:numId w:val="1"/>
        </w:numPr>
        <w:tabs>
          <w:tab w:val="right" w:pos="8647"/>
        </w:tabs>
        <w:ind w:left="709" w:hanging="567"/>
        <w:contextualSpacing w:val="0"/>
        <w:rPr>
          <w:b/>
          <w:sz w:val="22"/>
          <w:szCs w:val="22"/>
          <w:lang w:eastAsia="pl-PL"/>
        </w:rPr>
      </w:pPr>
      <w:r w:rsidRPr="00E034B1">
        <w:rPr>
          <w:b/>
          <w:sz w:val="22"/>
          <w:szCs w:val="22"/>
          <w:lang w:eastAsia="pl-PL"/>
        </w:rPr>
        <w:t>Introduction</w:t>
      </w:r>
      <w:r w:rsidR="00773953" w:rsidRPr="00E034B1">
        <w:rPr>
          <w:b/>
          <w:sz w:val="22"/>
          <w:szCs w:val="22"/>
          <w:lang w:eastAsia="pl-PL"/>
        </w:rPr>
        <w:tab/>
      </w:r>
      <w:r w:rsidR="00D224C0" w:rsidRPr="00E034B1">
        <w:rPr>
          <w:sz w:val="22"/>
          <w:szCs w:val="22"/>
          <w:lang w:eastAsia="pl-PL"/>
        </w:rPr>
        <w:t>2</w:t>
      </w:r>
      <w:r w:rsidR="00102724">
        <w:rPr>
          <w:sz w:val="22"/>
          <w:szCs w:val="22"/>
          <w:lang w:eastAsia="pl-PL"/>
        </w:rPr>
        <w:t>5</w:t>
      </w:r>
    </w:p>
    <w:p w14:paraId="2EA0C5B6" w14:textId="77777777" w:rsidR="006054EE" w:rsidRPr="00E034B1" w:rsidRDefault="008F3EE6" w:rsidP="00A43161">
      <w:pPr>
        <w:pStyle w:val="ListParagraph"/>
        <w:tabs>
          <w:tab w:val="right" w:pos="8647"/>
        </w:tabs>
        <w:contextualSpacing w:val="0"/>
        <w:rPr>
          <w:noProof/>
          <w:sz w:val="22"/>
          <w:szCs w:val="22"/>
        </w:rPr>
      </w:pPr>
      <w:r w:rsidRPr="00E034B1">
        <w:rPr>
          <w:noProof/>
          <w:sz w:val="22"/>
          <w:szCs w:val="22"/>
        </w:rPr>
        <w:t>1.1</w:t>
      </w:r>
      <w:r w:rsidR="006054EE" w:rsidRPr="00E034B1">
        <w:rPr>
          <w:noProof/>
          <w:sz w:val="22"/>
          <w:szCs w:val="22"/>
        </w:rPr>
        <w:t xml:space="preserve"> Co-evolving technologies</w:t>
      </w:r>
      <w:r w:rsidR="006054EE" w:rsidRPr="00E034B1">
        <w:rPr>
          <w:noProof/>
          <w:sz w:val="22"/>
          <w:szCs w:val="22"/>
        </w:rPr>
        <w:tab/>
      </w:r>
      <w:r w:rsidR="00D224C0" w:rsidRPr="00E034B1">
        <w:rPr>
          <w:noProof/>
          <w:sz w:val="22"/>
          <w:szCs w:val="22"/>
        </w:rPr>
        <w:t>2</w:t>
      </w:r>
      <w:r w:rsidR="00102724">
        <w:rPr>
          <w:noProof/>
          <w:sz w:val="22"/>
          <w:szCs w:val="22"/>
        </w:rPr>
        <w:t>7</w:t>
      </w:r>
    </w:p>
    <w:p w14:paraId="68CDACFC" w14:textId="77777777" w:rsidR="006054EE" w:rsidRPr="00E034B1" w:rsidRDefault="008F3EE6" w:rsidP="00A43161">
      <w:pPr>
        <w:pStyle w:val="ListParagraph"/>
        <w:tabs>
          <w:tab w:val="right" w:pos="8647"/>
        </w:tabs>
        <w:contextualSpacing w:val="0"/>
        <w:rPr>
          <w:noProof/>
          <w:sz w:val="22"/>
          <w:szCs w:val="22"/>
        </w:rPr>
      </w:pPr>
      <w:r w:rsidRPr="00E034B1">
        <w:rPr>
          <w:noProof/>
          <w:sz w:val="22"/>
          <w:szCs w:val="22"/>
        </w:rPr>
        <w:t>1.2</w:t>
      </w:r>
      <w:r w:rsidR="006054EE" w:rsidRPr="00E034B1">
        <w:rPr>
          <w:noProof/>
          <w:sz w:val="22"/>
          <w:szCs w:val="22"/>
        </w:rPr>
        <w:t xml:space="preserve"> Interchangeability</w:t>
      </w:r>
      <w:r w:rsidR="00296EEA" w:rsidRPr="00E034B1">
        <w:rPr>
          <w:noProof/>
          <w:sz w:val="22"/>
          <w:szCs w:val="22"/>
        </w:rPr>
        <w:t xml:space="preserve"> of material</w:t>
      </w:r>
      <w:r w:rsidR="006054EE" w:rsidRPr="00E034B1">
        <w:rPr>
          <w:noProof/>
          <w:sz w:val="22"/>
          <w:szCs w:val="22"/>
        </w:rPr>
        <w:tab/>
      </w:r>
      <w:r w:rsidR="00102724">
        <w:rPr>
          <w:noProof/>
          <w:sz w:val="22"/>
          <w:szCs w:val="22"/>
        </w:rPr>
        <w:t>29</w:t>
      </w:r>
    </w:p>
    <w:p w14:paraId="35721F88" w14:textId="77777777" w:rsidR="006054EE" w:rsidRPr="00E034B1" w:rsidRDefault="008F3EE6" w:rsidP="00A90795">
      <w:pPr>
        <w:pStyle w:val="ListParagraph"/>
        <w:tabs>
          <w:tab w:val="right" w:pos="8647"/>
        </w:tabs>
        <w:contextualSpacing w:val="0"/>
        <w:rPr>
          <w:i/>
          <w:sz w:val="22"/>
          <w:szCs w:val="22"/>
          <w:lang w:eastAsia="pl-PL"/>
        </w:rPr>
      </w:pPr>
      <w:r w:rsidRPr="00E034B1">
        <w:rPr>
          <w:sz w:val="22"/>
          <w:szCs w:val="22"/>
          <w:lang w:eastAsia="pl-PL"/>
        </w:rPr>
        <w:t>1.3</w:t>
      </w:r>
      <w:r w:rsidR="006054EE" w:rsidRPr="00E034B1">
        <w:rPr>
          <w:sz w:val="22"/>
          <w:szCs w:val="22"/>
          <w:lang w:eastAsia="pl-PL"/>
        </w:rPr>
        <w:t xml:space="preserve"> What</w:t>
      </w:r>
      <w:r w:rsidR="00A90795" w:rsidRPr="00E034B1">
        <w:rPr>
          <w:sz w:val="22"/>
          <w:szCs w:val="22"/>
          <w:lang w:eastAsia="pl-PL"/>
        </w:rPr>
        <w:t xml:space="preserve"> i</w:t>
      </w:r>
      <w:r w:rsidR="006054EE" w:rsidRPr="00E034B1">
        <w:rPr>
          <w:sz w:val="22"/>
          <w:szCs w:val="22"/>
          <w:lang w:eastAsia="pl-PL"/>
        </w:rPr>
        <w:t>s next</w:t>
      </w:r>
      <w:r w:rsidR="006054EE" w:rsidRPr="00E034B1">
        <w:rPr>
          <w:i/>
          <w:sz w:val="22"/>
          <w:szCs w:val="22"/>
          <w:lang w:eastAsia="pl-PL"/>
        </w:rPr>
        <w:tab/>
      </w:r>
      <w:r w:rsidR="00102724">
        <w:rPr>
          <w:sz w:val="22"/>
          <w:szCs w:val="22"/>
          <w:lang w:eastAsia="pl-PL"/>
        </w:rPr>
        <w:t>29</w:t>
      </w:r>
    </w:p>
    <w:p w14:paraId="76307207" w14:textId="77777777" w:rsidR="00B942B9" w:rsidRPr="00E034B1" w:rsidRDefault="00DB61B0" w:rsidP="00A43161">
      <w:pPr>
        <w:pStyle w:val="ListParagraph"/>
        <w:numPr>
          <w:ilvl w:val="0"/>
          <w:numId w:val="1"/>
        </w:numPr>
        <w:tabs>
          <w:tab w:val="right" w:pos="8647"/>
        </w:tabs>
        <w:ind w:left="709" w:hanging="567"/>
        <w:contextualSpacing w:val="0"/>
        <w:rPr>
          <w:sz w:val="22"/>
          <w:szCs w:val="22"/>
          <w:lang w:eastAsia="pl-PL"/>
        </w:rPr>
      </w:pPr>
      <w:r w:rsidRPr="00E034B1">
        <w:rPr>
          <w:b/>
          <w:sz w:val="22"/>
          <w:szCs w:val="22"/>
          <w:lang w:eastAsia="pl-PL"/>
        </w:rPr>
        <w:t>Terminology and definitions</w:t>
      </w:r>
      <w:r w:rsidR="00773953" w:rsidRPr="00E034B1">
        <w:rPr>
          <w:b/>
          <w:sz w:val="22"/>
          <w:szCs w:val="22"/>
          <w:lang w:eastAsia="pl-PL"/>
        </w:rPr>
        <w:tab/>
      </w:r>
      <w:r w:rsidR="00426654" w:rsidRPr="00E034B1">
        <w:rPr>
          <w:sz w:val="22"/>
          <w:szCs w:val="22"/>
          <w:lang w:eastAsia="pl-PL"/>
        </w:rPr>
        <w:t>3</w:t>
      </w:r>
      <w:r w:rsidR="00102724">
        <w:rPr>
          <w:sz w:val="22"/>
          <w:szCs w:val="22"/>
          <w:lang w:eastAsia="pl-PL"/>
        </w:rPr>
        <w:t>1</w:t>
      </w:r>
    </w:p>
    <w:p w14:paraId="3B937DA4" w14:textId="77777777" w:rsidR="0049559D" w:rsidRPr="00E034B1" w:rsidRDefault="008F3EE6" w:rsidP="00A43161">
      <w:pPr>
        <w:pStyle w:val="ListParagraph"/>
        <w:tabs>
          <w:tab w:val="right" w:pos="8647"/>
        </w:tabs>
        <w:ind w:left="709"/>
        <w:contextualSpacing w:val="0"/>
        <w:rPr>
          <w:noProof/>
          <w:sz w:val="22"/>
          <w:szCs w:val="22"/>
        </w:rPr>
      </w:pPr>
      <w:r w:rsidRPr="00E034B1">
        <w:rPr>
          <w:noProof/>
          <w:sz w:val="22"/>
          <w:szCs w:val="22"/>
        </w:rPr>
        <w:t>2</w:t>
      </w:r>
      <w:r w:rsidR="0077010A" w:rsidRPr="00E034B1">
        <w:rPr>
          <w:noProof/>
          <w:sz w:val="22"/>
          <w:szCs w:val="22"/>
        </w:rPr>
        <w:t xml:space="preserve">.1 </w:t>
      </w:r>
      <w:r w:rsidR="00426654" w:rsidRPr="00E034B1">
        <w:rPr>
          <w:noProof/>
          <w:sz w:val="22"/>
          <w:szCs w:val="22"/>
        </w:rPr>
        <w:t>Terminology</w:t>
      </w:r>
      <w:r w:rsidR="00426654" w:rsidRPr="00E034B1">
        <w:rPr>
          <w:noProof/>
          <w:sz w:val="22"/>
          <w:szCs w:val="22"/>
        </w:rPr>
        <w:tab/>
        <w:t>3</w:t>
      </w:r>
      <w:r w:rsidR="00102724">
        <w:rPr>
          <w:noProof/>
          <w:sz w:val="22"/>
          <w:szCs w:val="22"/>
        </w:rPr>
        <w:t>1</w:t>
      </w:r>
    </w:p>
    <w:p w14:paraId="2447C33D" w14:textId="77777777" w:rsidR="0077010A" w:rsidRPr="00E034B1" w:rsidRDefault="0049559D" w:rsidP="00A43161">
      <w:pPr>
        <w:pStyle w:val="ListParagraph"/>
        <w:tabs>
          <w:tab w:val="right" w:pos="8647"/>
        </w:tabs>
        <w:ind w:firstLine="414"/>
        <w:contextualSpacing w:val="0"/>
        <w:rPr>
          <w:i/>
          <w:noProof/>
          <w:sz w:val="22"/>
          <w:szCs w:val="22"/>
        </w:rPr>
      </w:pPr>
      <w:r w:rsidRPr="00E034B1">
        <w:rPr>
          <w:i/>
          <w:noProof/>
          <w:sz w:val="22"/>
          <w:szCs w:val="22"/>
        </w:rPr>
        <w:t xml:space="preserve">2.1.1 </w:t>
      </w:r>
      <w:r w:rsidR="0077010A" w:rsidRPr="00E034B1">
        <w:rPr>
          <w:i/>
          <w:noProof/>
          <w:sz w:val="22"/>
          <w:szCs w:val="22"/>
        </w:rPr>
        <w:t>Genetic sequence data</w:t>
      </w:r>
      <w:r w:rsidR="0077010A" w:rsidRPr="00E034B1">
        <w:rPr>
          <w:i/>
          <w:noProof/>
          <w:sz w:val="22"/>
          <w:szCs w:val="22"/>
        </w:rPr>
        <w:tab/>
      </w:r>
      <w:r w:rsidR="00426654" w:rsidRPr="00E034B1">
        <w:rPr>
          <w:noProof/>
          <w:sz w:val="22"/>
          <w:szCs w:val="22"/>
        </w:rPr>
        <w:t>3</w:t>
      </w:r>
      <w:r w:rsidR="00102724">
        <w:rPr>
          <w:noProof/>
          <w:sz w:val="22"/>
          <w:szCs w:val="22"/>
        </w:rPr>
        <w:t>1</w:t>
      </w:r>
    </w:p>
    <w:p w14:paraId="7019B9A6" w14:textId="77777777" w:rsidR="0077010A" w:rsidRPr="00E034B1" w:rsidRDefault="008F3EE6" w:rsidP="00A43161">
      <w:pPr>
        <w:pStyle w:val="ListParagraph"/>
        <w:tabs>
          <w:tab w:val="right" w:pos="8647"/>
        </w:tabs>
        <w:ind w:firstLine="414"/>
        <w:contextualSpacing w:val="0"/>
        <w:rPr>
          <w:i/>
          <w:noProof/>
          <w:sz w:val="22"/>
          <w:szCs w:val="22"/>
        </w:rPr>
      </w:pPr>
      <w:r w:rsidRPr="00E034B1">
        <w:rPr>
          <w:i/>
          <w:noProof/>
          <w:sz w:val="22"/>
          <w:szCs w:val="22"/>
        </w:rPr>
        <w:t>2</w:t>
      </w:r>
      <w:r w:rsidR="0077010A" w:rsidRPr="00E034B1">
        <w:rPr>
          <w:i/>
          <w:noProof/>
          <w:sz w:val="22"/>
          <w:szCs w:val="22"/>
        </w:rPr>
        <w:t>.</w:t>
      </w:r>
      <w:r w:rsidR="0049559D" w:rsidRPr="00E034B1">
        <w:rPr>
          <w:i/>
          <w:noProof/>
          <w:sz w:val="22"/>
          <w:szCs w:val="22"/>
        </w:rPr>
        <w:t>1.</w:t>
      </w:r>
      <w:r w:rsidR="0077010A" w:rsidRPr="00E034B1">
        <w:rPr>
          <w:i/>
          <w:noProof/>
          <w:sz w:val="22"/>
          <w:szCs w:val="22"/>
        </w:rPr>
        <w:t>2 Genetic information, genetic material and genomic sequence data</w:t>
      </w:r>
      <w:r w:rsidR="0077010A" w:rsidRPr="00E034B1">
        <w:rPr>
          <w:i/>
          <w:noProof/>
          <w:sz w:val="22"/>
          <w:szCs w:val="22"/>
        </w:rPr>
        <w:tab/>
      </w:r>
      <w:r w:rsidR="00426654" w:rsidRPr="00E034B1">
        <w:rPr>
          <w:noProof/>
          <w:sz w:val="22"/>
          <w:szCs w:val="22"/>
        </w:rPr>
        <w:t>3</w:t>
      </w:r>
      <w:r w:rsidR="00102724">
        <w:rPr>
          <w:noProof/>
          <w:sz w:val="22"/>
          <w:szCs w:val="22"/>
        </w:rPr>
        <w:t>1</w:t>
      </w:r>
    </w:p>
    <w:p w14:paraId="25F401E1" w14:textId="77777777" w:rsidR="0077010A" w:rsidRPr="00E034B1" w:rsidRDefault="008F3EE6" w:rsidP="00A43161">
      <w:pPr>
        <w:pStyle w:val="ListParagraph"/>
        <w:tabs>
          <w:tab w:val="right" w:pos="8647"/>
        </w:tabs>
        <w:ind w:firstLine="414"/>
        <w:contextualSpacing w:val="0"/>
        <w:rPr>
          <w:i/>
          <w:noProof/>
          <w:sz w:val="22"/>
          <w:szCs w:val="22"/>
        </w:rPr>
      </w:pPr>
      <w:r w:rsidRPr="00E034B1">
        <w:rPr>
          <w:i/>
          <w:noProof/>
          <w:sz w:val="22"/>
          <w:szCs w:val="22"/>
        </w:rPr>
        <w:t>2</w:t>
      </w:r>
      <w:r w:rsidR="0077010A" w:rsidRPr="00E034B1">
        <w:rPr>
          <w:i/>
          <w:noProof/>
          <w:sz w:val="22"/>
          <w:szCs w:val="22"/>
        </w:rPr>
        <w:t>.</w:t>
      </w:r>
      <w:r w:rsidR="0049559D" w:rsidRPr="00E034B1">
        <w:rPr>
          <w:i/>
          <w:noProof/>
          <w:sz w:val="22"/>
          <w:szCs w:val="22"/>
        </w:rPr>
        <w:t>1.</w:t>
      </w:r>
      <w:r w:rsidR="0077010A" w:rsidRPr="00E034B1">
        <w:rPr>
          <w:i/>
          <w:noProof/>
          <w:sz w:val="22"/>
          <w:szCs w:val="22"/>
        </w:rPr>
        <w:t xml:space="preserve">3 </w:t>
      </w:r>
      <w:r w:rsidR="00755767" w:rsidRPr="00E034B1">
        <w:rPr>
          <w:i/>
          <w:noProof/>
          <w:sz w:val="22"/>
          <w:szCs w:val="22"/>
        </w:rPr>
        <w:t>De</w:t>
      </w:r>
      <w:r w:rsidR="0077010A" w:rsidRPr="00E034B1">
        <w:rPr>
          <w:i/>
          <w:noProof/>
          <w:sz w:val="22"/>
          <w:szCs w:val="22"/>
        </w:rPr>
        <w:t>materialized genetic resources</w:t>
      </w:r>
      <w:r w:rsidR="00B54F50" w:rsidRPr="00E034B1">
        <w:rPr>
          <w:i/>
          <w:noProof/>
          <w:sz w:val="22"/>
          <w:szCs w:val="22"/>
        </w:rPr>
        <w:tab/>
      </w:r>
      <w:r w:rsidR="00426654" w:rsidRPr="00E034B1">
        <w:rPr>
          <w:noProof/>
          <w:sz w:val="22"/>
          <w:szCs w:val="22"/>
        </w:rPr>
        <w:t>3</w:t>
      </w:r>
      <w:r w:rsidR="00102724">
        <w:rPr>
          <w:noProof/>
          <w:sz w:val="22"/>
          <w:szCs w:val="22"/>
        </w:rPr>
        <w:t>3</w:t>
      </w:r>
    </w:p>
    <w:p w14:paraId="1CF8CFDC" w14:textId="77777777" w:rsidR="00755767" w:rsidRPr="00E034B1" w:rsidRDefault="008F3EE6" w:rsidP="00A43161">
      <w:pPr>
        <w:pStyle w:val="ListParagraph"/>
        <w:tabs>
          <w:tab w:val="right" w:pos="8647"/>
        </w:tabs>
        <w:ind w:left="709"/>
        <w:contextualSpacing w:val="0"/>
        <w:rPr>
          <w:noProof/>
          <w:sz w:val="22"/>
          <w:szCs w:val="22"/>
        </w:rPr>
      </w:pPr>
      <w:r w:rsidRPr="00E034B1">
        <w:rPr>
          <w:noProof/>
          <w:sz w:val="22"/>
          <w:szCs w:val="22"/>
        </w:rPr>
        <w:t>2</w:t>
      </w:r>
      <w:r w:rsidR="00755767" w:rsidRPr="00E034B1">
        <w:rPr>
          <w:noProof/>
          <w:sz w:val="22"/>
          <w:szCs w:val="22"/>
        </w:rPr>
        <w:t>.</w:t>
      </w:r>
      <w:r w:rsidR="0049559D" w:rsidRPr="00E034B1">
        <w:rPr>
          <w:noProof/>
          <w:sz w:val="22"/>
          <w:szCs w:val="22"/>
        </w:rPr>
        <w:t>2</w:t>
      </w:r>
      <w:r w:rsidR="00755767" w:rsidRPr="00E034B1">
        <w:rPr>
          <w:noProof/>
          <w:sz w:val="22"/>
          <w:szCs w:val="22"/>
        </w:rPr>
        <w:t xml:space="preserve"> Common characteristics of terms</w:t>
      </w:r>
      <w:r w:rsidR="00755767" w:rsidRPr="00E034B1">
        <w:rPr>
          <w:noProof/>
          <w:sz w:val="22"/>
          <w:szCs w:val="22"/>
        </w:rPr>
        <w:tab/>
      </w:r>
      <w:r w:rsidR="00426654" w:rsidRPr="00E034B1">
        <w:rPr>
          <w:noProof/>
          <w:sz w:val="22"/>
          <w:szCs w:val="22"/>
        </w:rPr>
        <w:t>3</w:t>
      </w:r>
      <w:r w:rsidR="00102724">
        <w:rPr>
          <w:noProof/>
          <w:sz w:val="22"/>
          <w:szCs w:val="22"/>
        </w:rPr>
        <w:t>4</w:t>
      </w:r>
    </w:p>
    <w:p w14:paraId="104AEA77" w14:textId="77777777" w:rsidR="00755767" w:rsidRPr="00E034B1" w:rsidRDefault="008F3EE6" w:rsidP="00A43161">
      <w:pPr>
        <w:pStyle w:val="ListParagraph"/>
        <w:tabs>
          <w:tab w:val="right" w:pos="8647"/>
        </w:tabs>
        <w:ind w:firstLine="414"/>
        <w:contextualSpacing w:val="0"/>
        <w:rPr>
          <w:noProof/>
          <w:sz w:val="22"/>
          <w:szCs w:val="22"/>
        </w:rPr>
      </w:pPr>
      <w:r w:rsidRPr="00E034B1">
        <w:rPr>
          <w:i/>
          <w:noProof/>
          <w:sz w:val="22"/>
          <w:szCs w:val="22"/>
        </w:rPr>
        <w:t>2</w:t>
      </w:r>
      <w:r w:rsidR="00755767" w:rsidRPr="00E034B1">
        <w:rPr>
          <w:i/>
          <w:noProof/>
          <w:sz w:val="22"/>
          <w:szCs w:val="22"/>
        </w:rPr>
        <w:t>.</w:t>
      </w:r>
      <w:r w:rsidR="0049559D" w:rsidRPr="00E034B1">
        <w:rPr>
          <w:i/>
          <w:noProof/>
          <w:sz w:val="22"/>
          <w:szCs w:val="22"/>
        </w:rPr>
        <w:t>2</w:t>
      </w:r>
      <w:r w:rsidR="00755767" w:rsidRPr="00E034B1">
        <w:rPr>
          <w:i/>
          <w:noProof/>
          <w:sz w:val="22"/>
          <w:szCs w:val="22"/>
        </w:rPr>
        <w:t>.1 Beyond DNA</w:t>
      </w:r>
      <w:r w:rsidR="00755767" w:rsidRPr="00E034B1">
        <w:rPr>
          <w:noProof/>
          <w:sz w:val="22"/>
          <w:szCs w:val="22"/>
        </w:rPr>
        <w:tab/>
      </w:r>
      <w:r w:rsidR="00426654" w:rsidRPr="00E034B1">
        <w:rPr>
          <w:noProof/>
          <w:sz w:val="22"/>
          <w:szCs w:val="22"/>
        </w:rPr>
        <w:t>3</w:t>
      </w:r>
      <w:r w:rsidR="00102724">
        <w:rPr>
          <w:noProof/>
          <w:sz w:val="22"/>
          <w:szCs w:val="22"/>
        </w:rPr>
        <w:t>4</w:t>
      </w:r>
    </w:p>
    <w:p w14:paraId="25118BE8" w14:textId="77777777" w:rsidR="00755767" w:rsidRPr="00E034B1" w:rsidRDefault="008F3EE6" w:rsidP="00A43161">
      <w:pPr>
        <w:pStyle w:val="ListParagraph"/>
        <w:tabs>
          <w:tab w:val="right" w:pos="8647"/>
        </w:tabs>
        <w:ind w:firstLine="414"/>
        <w:contextualSpacing w:val="0"/>
        <w:rPr>
          <w:noProof/>
          <w:sz w:val="22"/>
          <w:szCs w:val="22"/>
        </w:rPr>
      </w:pPr>
      <w:r w:rsidRPr="00E034B1">
        <w:rPr>
          <w:i/>
          <w:noProof/>
          <w:sz w:val="22"/>
          <w:szCs w:val="22"/>
        </w:rPr>
        <w:t>2</w:t>
      </w:r>
      <w:r w:rsidR="00755767" w:rsidRPr="00E034B1">
        <w:rPr>
          <w:i/>
          <w:noProof/>
          <w:sz w:val="22"/>
          <w:szCs w:val="22"/>
        </w:rPr>
        <w:t>.</w:t>
      </w:r>
      <w:r w:rsidR="0049559D" w:rsidRPr="00E034B1">
        <w:rPr>
          <w:i/>
          <w:noProof/>
          <w:sz w:val="22"/>
          <w:szCs w:val="22"/>
        </w:rPr>
        <w:t>2</w:t>
      </w:r>
      <w:r w:rsidR="00755767" w:rsidRPr="00E034B1">
        <w:rPr>
          <w:i/>
          <w:noProof/>
          <w:sz w:val="22"/>
          <w:szCs w:val="22"/>
        </w:rPr>
        <w:t>.2 Codes</w:t>
      </w:r>
      <w:r w:rsidR="00426654" w:rsidRPr="00E034B1">
        <w:rPr>
          <w:noProof/>
          <w:sz w:val="22"/>
          <w:szCs w:val="22"/>
        </w:rPr>
        <w:t xml:space="preserve"> </w:t>
      </w:r>
      <w:r w:rsidR="00426654" w:rsidRPr="00E034B1">
        <w:rPr>
          <w:noProof/>
          <w:sz w:val="22"/>
          <w:szCs w:val="22"/>
        </w:rPr>
        <w:tab/>
        <w:t>3</w:t>
      </w:r>
      <w:r w:rsidR="00102724">
        <w:rPr>
          <w:noProof/>
          <w:sz w:val="22"/>
          <w:szCs w:val="22"/>
        </w:rPr>
        <w:t>5</w:t>
      </w:r>
    </w:p>
    <w:p w14:paraId="2D31115C" w14:textId="77777777" w:rsidR="00755767" w:rsidRPr="00E034B1" w:rsidRDefault="00F34C5B" w:rsidP="00A43161">
      <w:pPr>
        <w:pStyle w:val="ListParagraph"/>
        <w:tabs>
          <w:tab w:val="right" w:pos="8647"/>
        </w:tabs>
        <w:ind w:firstLine="414"/>
        <w:contextualSpacing w:val="0"/>
        <w:rPr>
          <w:noProof/>
          <w:sz w:val="22"/>
          <w:szCs w:val="22"/>
        </w:rPr>
      </w:pPr>
      <w:r w:rsidRPr="00E034B1">
        <w:rPr>
          <w:i/>
          <w:noProof/>
          <w:sz w:val="22"/>
          <w:szCs w:val="22"/>
        </w:rPr>
        <w:t>2</w:t>
      </w:r>
      <w:r w:rsidR="00755767" w:rsidRPr="00E034B1">
        <w:rPr>
          <w:i/>
          <w:noProof/>
          <w:sz w:val="22"/>
          <w:szCs w:val="22"/>
        </w:rPr>
        <w:t>.</w:t>
      </w:r>
      <w:r w:rsidR="0049559D" w:rsidRPr="00E034B1">
        <w:rPr>
          <w:i/>
          <w:noProof/>
          <w:sz w:val="22"/>
          <w:szCs w:val="22"/>
        </w:rPr>
        <w:t>2</w:t>
      </w:r>
      <w:r w:rsidR="00755767" w:rsidRPr="00E034B1">
        <w:rPr>
          <w:i/>
          <w:noProof/>
          <w:sz w:val="22"/>
          <w:szCs w:val="22"/>
        </w:rPr>
        <w:t>.3 Epigenetics</w:t>
      </w:r>
      <w:r w:rsidR="00755767" w:rsidRPr="00E034B1">
        <w:rPr>
          <w:noProof/>
          <w:sz w:val="22"/>
          <w:szCs w:val="22"/>
        </w:rPr>
        <w:tab/>
      </w:r>
      <w:r w:rsidR="00102724">
        <w:rPr>
          <w:noProof/>
          <w:sz w:val="22"/>
          <w:szCs w:val="22"/>
        </w:rPr>
        <w:t>39</w:t>
      </w:r>
    </w:p>
    <w:p w14:paraId="4E73B43D" w14:textId="77777777" w:rsidR="00755767" w:rsidRPr="00E034B1" w:rsidRDefault="008F3EE6" w:rsidP="00A43161">
      <w:pPr>
        <w:pStyle w:val="ListParagraph"/>
        <w:tabs>
          <w:tab w:val="right" w:pos="8647"/>
        </w:tabs>
        <w:ind w:firstLine="414"/>
        <w:contextualSpacing w:val="0"/>
        <w:rPr>
          <w:noProof/>
          <w:sz w:val="22"/>
          <w:szCs w:val="22"/>
        </w:rPr>
      </w:pPr>
      <w:r w:rsidRPr="00E034B1">
        <w:rPr>
          <w:i/>
          <w:noProof/>
          <w:sz w:val="22"/>
          <w:szCs w:val="22"/>
        </w:rPr>
        <w:t>2</w:t>
      </w:r>
      <w:r w:rsidR="00755767" w:rsidRPr="00E034B1">
        <w:rPr>
          <w:i/>
          <w:noProof/>
          <w:sz w:val="22"/>
          <w:szCs w:val="22"/>
        </w:rPr>
        <w:t>.</w:t>
      </w:r>
      <w:r w:rsidR="0049559D" w:rsidRPr="00E034B1">
        <w:rPr>
          <w:i/>
          <w:noProof/>
          <w:sz w:val="22"/>
          <w:szCs w:val="22"/>
        </w:rPr>
        <w:t>2</w:t>
      </w:r>
      <w:r w:rsidR="00755767" w:rsidRPr="00E034B1">
        <w:rPr>
          <w:i/>
          <w:noProof/>
          <w:sz w:val="22"/>
          <w:szCs w:val="22"/>
        </w:rPr>
        <w:t>.4 Phenomics</w:t>
      </w:r>
      <w:r w:rsidR="00755767" w:rsidRPr="00E034B1">
        <w:rPr>
          <w:noProof/>
          <w:sz w:val="22"/>
          <w:szCs w:val="22"/>
        </w:rPr>
        <w:tab/>
      </w:r>
      <w:r w:rsidR="00426654" w:rsidRPr="00E034B1">
        <w:rPr>
          <w:noProof/>
          <w:sz w:val="22"/>
          <w:szCs w:val="22"/>
        </w:rPr>
        <w:t>4</w:t>
      </w:r>
      <w:r w:rsidR="00102724">
        <w:rPr>
          <w:noProof/>
          <w:sz w:val="22"/>
          <w:szCs w:val="22"/>
        </w:rPr>
        <w:t>0</w:t>
      </w:r>
    </w:p>
    <w:p w14:paraId="47D65C61" w14:textId="77777777" w:rsidR="00755767" w:rsidRPr="00E034B1" w:rsidRDefault="008F3EE6" w:rsidP="00A43161">
      <w:pPr>
        <w:pStyle w:val="ListParagraph"/>
        <w:tabs>
          <w:tab w:val="right" w:pos="8647"/>
        </w:tabs>
        <w:ind w:left="709"/>
        <w:contextualSpacing w:val="0"/>
        <w:rPr>
          <w:noProof/>
          <w:sz w:val="22"/>
          <w:szCs w:val="22"/>
        </w:rPr>
      </w:pPr>
      <w:r w:rsidRPr="00E034B1">
        <w:rPr>
          <w:noProof/>
          <w:sz w:val="22"/>
          <w:szCs w:val="22"/>
        </w:rPr>
        <w:t>2</w:t>
      </w:r>
      <w:r w:rsidR="00755767" w:rsidRPr="00E034B1">
        <w:rPr>
          <w:noProof/>
          <w:sz w:val="22"/>
          <w:szCs w:val="22"/>
        </w:rPr>
        <w:t>.</w:t>
      </w:r>
      <w:r w:rsidR="0049559D" w:rsidRPr="00E034B1">
        <w:rPr>
          <w:noProof/>
          <w:sz w:val="22"/>
          <w:szCs w:val="22"/>
        </w:rPr>
        <w:t>3</w:t>
      </w:r>
      <w:r w:rsidR="00755767" w:rsidRPr="00E034B1">
        <w:rPr>
          <w:noProof/>
          <w:sz w:val="22"/>
          <w:szCs w:val="22"/>
        </w:rPr>
        <w:t xml:space="preserve"> </w:t>
      </w:r>
      <w:r w:rsidR="0075718A" w:rsidRPr="00E034B1">
        <w:rPr>
          <w:noProof/>
          <w:sz w:val="22"/>
          <w:szCs w:val="22"/>
        </w:rPr>
        <w:t>C</w:t>
      </w:r>
      <w:r w:rsidR="00426654" w:rsidRPr="00E034B1">
        <w:rPr>
          <w:noProof/>
          <w:sz w:val="22"/>
          <w:szCs w:val="22"/>
        </w:rPr>
        <w:t>onclusion</w:t>
      </w:r>
      <w:r w:rsidR="00426654" w:rsidRPr="00E034B1">
        <w:rPr>
          <w:noProof/>
          <w:sz w:val="22"/>
          <w:szCs w:val="22"/>
        </w:rPr>
        <w:tab/>
        <w:t>4</w:t>
      </w:r>
      <w:r w:rsidR="00102724">
        <w:rPr>
          <w:noProof/>
          <w:sz w:val="22"/>
          <w:szCs w:val="22"/>
        </w:rPr>
        <w:t>1</w:t>
      </w:r>
    </w:p>
    <w:p w14:paraId="05A2D560" w14:textId="77777777" w:rsidR="00B942B9" w:rsidRPr="00E034B1" w:rsidRDefault="007B76EB" w:rsidP="00A43161">
      <w:pPr>
        <w:pStyle w:val="ListParagraph"/>
        <w:numPr>
          <w:ilvl w:val="0"/>
          <w:numId w:val="1"/>
        </w:numPr>
        <w:tabs>
          <w:tab w:val="right" w:pos="8647"/>
        </w:tabs>
        <w:ind w:left="709" w:hanging="567"/>
        <w:contextualSpacing w:val="0"/>
        <w:rPr>
          <w:b/>
          <w:sz w:val="22"/>
          <w:szCs w:val="22"/>
          <w:lang w:eastAsia="pl-PL"/>
        </w:rPr>
      </w:pPr>
      <w:r w:rsidRPr="00E034B1">
        <w:rPr>
          <w:b/>
          <w:sz w:val="22"/>
          <w:szCs w:val="22"/>
          <w:lang w:eastAsia="pl-PL"/>
        </w:rPr>
        <w:t xml:space="preserve">Current status of biotechnologies using DSI in the management of </w:t>
      </w:r>
      <w:r w:rsidRPr="00E034B1">
        <w:rPr>
          <w:b/>
          <w:sz w:val="22"/>
          <w:szCs w:val="22"/>
          <w:lang w:eastAsia="pl-PL"/>
        </w:rPr>
        <w:br/>
        <w:t xml:space="preserve">GRFA and agroecosystems and the types and extent of current uses of </w:t>
      </w:r>
      <w:r w:rsidR="0075718A" w:rsidRPr="00E034B1">
        <w:rPr>
          <w:b/>
          <w:sz w:val="22"/>
          <w:szCs w:val="22"/>
          <w:lang w:eastAsia="pl-PL"/>
        </w:rPr>
        <w:br/>
      </w:r>
      <w:r w:rsidRPr="00E034B1">
        <w:rPr>
          <w:b/>
          <w:sz w:val="22"/>
          <w:szCs w:val="22"/>
          <w:lang w:eastAsia="pl-PL"/>
        </w:rPr>
        <w:t>DSI on GRFA in biotechnologies</w:t>
      </w:r>
      <w:r w:rsidR="002273F2" w:rsidRPr="00E034B1">
        <w:rPr>
          <w:b/>
          <w:sz w:val="22"/>
          <w:szCs w:val="22"/>
          <w:lang w:eastAsia="pl-PL"/>
        </w:rPr>
        <w:t xml:space="preserve"> </w:t>
      </w:r>
      <w:r w:rsidR="00773953" w:rsidRPr="00E034B1">
        <w:rPr>
          <w:b/>
          <w:sz w:val="22"/>
          <w:szCs w:val="22"/>
          <w:lang w:eastAsia="pl-PL"/>
        </w:rPr>
        <w:tab/>
      </w:r>
      <w:r w:rsidR="00426654" w:rsidRPr="00E034B1">
        <w:rPr>
          <w:sz w:val="22"/>
          <w:szCs w:val="22"/>
          <w:lang w:eastAsia="pl-PL"/>
        </w:rPr>
        <w:t>4</w:t>
      </w:r>
      <w:r w:rsidR="00102724">
        <w:rPr>
          <w:sz w:val="22"/>
          <w:szCs w:val="22"/>
          <w:lang w:eastAsia="pl-PL"/>
        </w:rPr>
        <w:t>2</w:t>
      </w:r>
    </w:p>
    <w:p w14:paraId="52E07913" w14:textId="77777777" w:rsidR="005E7255" w:rsidRPr="00E034B1" w:rsidRDefault="008F3EE6" w:rsidP="00A43161">
      <w:pPr>
        <w:pStyle w:val="ListParagraph"/>
        <w:tabs>
          <w:tab w:val="right" w:pos="8647"/>
        </w:tabs>
        <w:ind w:left="709"/>
        <w:contextualSpacing w:val="0"/>
        <w:rPr>
          <w:sz w:val="22"/>
          <w:szCs w:val="22"/>
          <w:lang w:eastAsia="pl-PL"/>
        </w:rPr>
      </w:pPr>
      <w:r w:rsidRPr="00E034B1">
        <w:rPr>
          <w:sz w:val="22"/>
          <w:szCs w:val="22"/>
          <w:lang w:eastAsia="pl-PL"/>
        </w:rPr>
        <w:t>3</w:t>
      </w:r>
      <w:r w:rsidR="00410021" w:rsidRPr="00E034B1">
        <w:rPr>
          <w:sz w:val="22"/>
          <w:szCs w:val="22"/>
          <w:lang w:eastAsia="pl-PL"/>
        </w:rPr>
        <w:t xml:space="preserve">.1 </w:t>
      </w:r>
      <w:r w:rsidR="00426654" w:rsidRPr="00E034B1">
        <w:rPr>
          <w:sz w:val="22"/>
          <w:szCs w:val="22"/>
          <w:lang w:eastAsia="pl-PL"/>
        </w:rPr>
        <w:t>Characterization</w:t>
      </w:r>
      <w:r w:rsidR="00426654" w:rsidRPr="00E034B1">
        <w:rPr>
          <w:sz w:val="22"/>
          <w:szCs w:val="22"/>
          <w:lang w:eastAsia="pl-PL"/>
        </w:rPr>
        <w:tab/>
        <w:t>4</w:t>
      </w:r>
      <w:r w:rsidR="00102724">
        <w:rPr>
          <w:sz w:val="22"/>
          <w:szCs w:val="22"/>
          <w:lang w:eastAsia="pl-PL"/>
        </w:rPr>
        <w:t>2</w:t>
      </w:r>
    </w:p>
    <w:p w14:paraId="0891A665" w14:textId="77777777" w:rsidR="005B51A3" w:rsidRPr="00E034B1" w:rsidRDefault="005B51A3" w:rsidP="005B51A3">
      <w:pPr>
        <w:pStyle w:val="ListParagraph"/>
        <w:tabs>
          <w:tab w:val="right" w:pos="8647"/>
        </w:tabs>
        <w:ind w:firstLine="414"/>
        <w:contextualSpacing w:val="0"/>
        <w:rPr>
          <w:noProof/>
          <w:sz w:val="22"/>
          <w:szCs w:val="22"/>
        </w:rPr>
      </w:pPr>
      <w:r w:rsidRPr="00E034B1">
        <w:rPr>
          <w:i/>
          <w:noProof/>
          <w:sz w:val="22"/>
          <w:szCs w:val="22"/>
        </w:rPr>
        <w:t>3.1.1 Animal genetic resources</w:t>
      </w:r>
      <w:r w:rsidRPr="00E034B1">
        <w:rPr>
          <w:noProof/>
          <w:sz w:val="22"/>
          <w:szCs w:val="22"/>
        </w:rPr>
        <w:tab/>
      </w:r>
      <w:r w:rsidR="000F20FB" w:rsidRPr="00E034B1">
        <w:rPr>
          <w:noProof/>
          <w:sz w:val="22"/>
          <w:szCs w:val="22"/>
        </w:rPr>
        <w:t>4</w:t>
      </w:r>
      <w:r w:rsidR="00102724">
        <w:rPr>
          <w:noProof/>
          <w:sz w:val="22"/>
          <w:szCs w:val="22"/>
        </w:rPr>
        <w:t>3</w:t>
      </w:r>
    </w:p>
    <w:p w14:paraId="56A93806" w14:textId="77777777" w:rsidR="005B51A3" w:rsidRPr="00E034B1" w:rsidRDefault="005B51A3" w:rsidP="005B51A3">
      <w:pPr>
        <w:pStyle w:val="ListParagraph"/>
        <w:tabs>
          <w:tab w:val="right" w:pos="8647"/>
        </w:tabs>
        <w:ind w:firstLine="414"/>
        <w:contextualSpacing w:val="0"/>
        <w:rPr>
          <w:noProof/>
          <w:sz w:val="22"/>
          <w:szCs w:val="22"/>
        </w:rPr>
      </w:pPr>
      <w:r w:rsidRPr="00E034B1">
        <w:rPr>
          <w:i/>
          <w:noProof/>
          <w:sz w:val="22"/>
          <w:szCs w:val="22"/>
        </w:rPr>
        <w:t>3.1.2 Aquatic genetic resources</w:t>
      </w:r>
      <w:r w:rsidRPr="00E034B1">
        <w:rPr>
          <w:noProof/>
          <w:sz w:val="22"/>
          <w:szCs w:val="22"/>
        </w:rPr>
        <w:tab/>
      </w:r>
      <w:r w:rsidR="000F20FB" w:rsidRPr="00E034B1">
        <w:rPr>
          <w:noProof/>
          <w:sz w:val="22"/>
          <w:szCs w:val="22"/>
        </w:rPr>
        <w:t>4</w:t>
      </w:r>
      <w:r w:rsidR="00102724">
        <w:rPr>
          <w:noProof/>
          <w:sz w:val="22"/>
          <w:szCs w:val="22"/>
        </w:rPr>
        <w:t>4</w:t>
      </w:r>
    </w:p>
    <w:p w14:paraId="34D71506" w14:textId="77777777" w:rsidR="005B51A3" w:rsidRPr="00E034B1" w:rsidRDefault="005B51A3" w:rsidP="005B51A3">
      <w:pPr>
        <w:pStyle w:val="ListParagraph"/>
        <w:tabs>
          <w:tab w:val="right" w:pos="8647"/>
        </w:tabs>
        <w:ind w:firstLine="414"/>
        <w:contextualSpacing w:val="0"/>
        <w:rPr>
          <w:noProof/>
          <w:sz w:val="22"/>
          <w:szCs w:val="22"/>
        </w:rPr>
      </w:pPr>
      <w:r w:rsidRPr="00E034B1">
        <w:rPr>
          <w:i/>
          <w:noProof/>
          <w:sz w:val="22"/>
          <w:szCs w:val="22"/>
        </w:rPr>
        <w:t>3.1.3 Forest genetic resources</w:t>
      </w:r>
      <w:r w:rsidRPr="00E034B1">
        <w:rPr>
          <w:noProof/>
          <w:sz w:val="22"/>
          <w:szCs w:val="22"/>
        </w:rPr>
        <w:tab/>
      </w:r>
      <w:r w:rsidR="000F20FB" w:rsidRPr="00E034B1">
        <w:rPr>
          <w:noProof/>
          <w:sz w:val="22"/>
          <w:szCs w:val="22"/>
        </w:rPr>
        <w:t>4</w:t>
      </w:r>
      <w:r w:rsidR="00102724">
        <w:rPr>
          <w:noProof/>
          <w:sz w:val="22"/>
          <w:szCs w:val="22"/>
        </w:rPr>
        <w:t>4</w:t>
      </w:r>
    </w:p>
    <w:p w14:paraId="3A4E4EA9" w14:textId="77777777" w:rsidR="005B51A3" w:rsidRPr="00E034B1" w:rsidRDefault="005B51A3" w:rsidP="005B51A3">
      <w:pPr>
        <w:pStyle w:val="ListParagraph"/>
        <w:tabs>
          <w:tab w:val="right" w:pos="8647"/>
        </w:tabs>
        <w:ind w:firstLine="414"/>
        <w:contextualSpacing w:val="0"/>
        <w:rPr>
          <w:i/>
          <w:noProof/>
          <w:sz w:val="22"/>
          <w:szCs w:val="22"/>
        </w:rPr>
      </w:pPr>
      <w:r w:rsidRPr="00E034B1">
        <w:rPr>
          <w:i/>
          <w:noProof/>
          <w:sz w:val="22"/>
          <w:szCs w:val="22"/>
        </w:rPr>
        <w:t>3.1.4 Microbial genetic resources</w:t>
      </w:r>
      <w:r w:rsidR="00305EB7" w:rsidRPr="00E034B1">
        <w:rPr>
          <w:i/>
          <w:noProof/>
          <w:sz w:val="22"/>
          <w:szCs w:val="22"/>
        </w:rPr>
        <w:tab/>
      </w:r>
      <w:r w:rsidR="000F20FB" w:rsidRPr="00E034B1">
        <w:rPr>
          <w:noProof/>
          <w:sz w:val="22"/>
          <w:szCs w:val="22"/>
        </w:rPr>
        <w:t>4</w:t>
      </w:r>
      <w:r w:rsidR="00102724">
        <w:rPr>
          <w:noProof/>
          <w:sz w:val="22"/>
          <w:szCs w:val="22"/>
        </w:rPr>
        <w:t>5</w:t>
      </w:r>
    </w:p>
    <w:p w14:paraId="692C8E2C" w14:textId="77777777" w:rsidR="005B51A3" w:rsidRPr="00E034B1" w:rsidRDefault="005B51A3" w:rsidP="005B51A3">
      <w:pPr>
        <w:pStyle w:val="ListParagraph"/>
        <w:tabs>
          <w:tab w:val="right" w:pos="8647"/>
        </w:tabs>
        <w:ind w:firstLine="414"/>
        <w:contextualSpacing w:val="0"/>
        <w:rPr>
          <w:noProof/>
          <w:sz w:val="22"/>
          <w:szCs w:val="22"/>
        </w:rPr>
      </w:pPr>
      <w:r w:rsidRPr="00E034B1">
        <w:rPr>
          <w:i/>
          <w:noProof/>
          <w:sz w:val="22"/>
          <w:szCs w:val="22"/>
        </w:rPr>
        <w:t>3.1.5 Plant genetic resources</w:t>
      </w:r>
      <w:r w:rsidRPr="00E034B1">
        <w:rPr>
          <w:noProof/>
          <w:sz w:val="22"/>
          <w:szCs w:val="22"/>
        </w:rPr>
        <w:tab/>
      </w:r>
      <w:r w:rsidR="00305EB7" w:rsidRPr="00E034B1">
        <w:rPr>
          <w:noProof/>
          <w:sz w:val="22"/>
          <w:szCs w:val="22"/>
        </w:rPr>
        <w:t>4</w:t>
      </w:r>
      <w:r w:rsidR="00102724">
        <w:rPr>
          <w:noProof/>
          <w:sz w:val="22"/>
          <w:szCs w:val="22"/>
        </w:rPr>
        <w:t>6</w:t>
      </w:r>
    </w:p>
    <w:p w14:paraId="6D571396" w14:textId="77777777" w:rsidR="007E32E6" w:rsidRPr="00E034B1" w:rsidRDefault="008F3EE6" w:rsidP="00A43161">
      <w:pPr>
        <w:pStyle w:val="ListParagraph"/>
        <w:tabs>
          <w:tab w:val="right" w:pos="8647"/>
        </w:tabs>
        <w:ind w:left="709"/>
        <w:contextualSpacing w:val="0"/>
        <w:rPr>
          <w:noProof/>
          <w:sz w:val="22"/>
          <w:szCs w:val="22"/>
        </w:rPr>
      </w:pPr>
      <w:r w:rsidRPr="00E034B1">
        <w:rPr>
          <w:sz w:val="22"/>
          <w:szCs w:val="22"/>
          <w:lang w:eastAsia="pl-PL"/>
        </w:rPr>
        <w:t>3</w:t>
      </w:r>
      <w:r w:rsidR="005E7255" w:rsidRPr="00E034B1">
        <w:rPr>
          <w:sz w:val="22"/>
          <w:szCs w:val="22"/>
          <w:lang w:eastAsia="pl-PL"/>
        </w:rPr>
        <w:t>.2 Conservation</w:t>
      </w:r>
      <w:r w:rsidR="00426654" w:rsidRPr="00E034B1">
        <w:rPr>
          <w:noProof/>
          <w:sz w:val="22"/>
          <w:szCs w:val="22"/>
        </w:rPr>
        <w:tab/>
        <w:t>4</w:t>
      </w:r>
      <w:r w:rsidR="00102724">
        <w:rPr>
          <w:noProof/>
          <w:sz w:val="22"/>
          <w:szCs w:val="22"/>
        </w:rPr>
        <w:t>6</w:t>
      </w:r>
    </w:p>
    <w:p w14:paraId="40974705" w14:textId="77777777" w:rsidR="005B51A3" w:rsidRPr="00E034B1" w:rsidRDefault="005B51A3" w:rsidP="005B51A3">
      <w:pPr>
        <w:pStyle w:val="ListParagraph"/>
        <w:tabs>
          <w:tab w:val="right" w:pos="8647"/>
        </w:tabs>
        <w:ind w:firstLine="414"/>
        <w:contextualSpacing w:val="0"/>
        <w:rPr>
          <w:noProof/>
          <w:sz w:val="22"/>
          <w:szCs w:val="22"/>
        </w:rPr>
      </w:pPr>
      <w:r w:rsidRPr="00E034B1">
        <w:rPr>
          <w:i/>
          <w:noProof/>
          <w:sz w:val="22"/>
          <w:szCs w:val="22"/>
        </w:rPr>
        <w:t>3.2.1 Animal genetic resources</w:t>
      </w:r>
      <w:r w:rsidRPr="00E034B1">
        <w:rPr>
          <w:noProof/>
          <w:sz w:val="22"/>
          <w:szCs w:val="22"/>
        </w:rPr>
        <w:tab/>
      </w:r>
      <w:r w:rsidR="000F20FB" w:rsidRPr="00E034B1">
        <w:rPr>
          <w:noProof/>
          <w:sz w:val="22"/>
          <w:szCs w:val="22"/>
        </w:rPr>
        <w:t>4</w:t>
      </w:r>
      <w:r w:rsidR="00102724">
        <w:rPr>
          <w:noProof/>
          <w:sz w:val="22"/>
          <w:szCs w:val="22"/>
        </w:rPr>
        <w:t>6</w:t>
      </w:r>
    </w:p>
    <w:p w14:paraId="068C6974" w14:textId="77777777" w:rsidR="005B51A3" w:rsidRPr="00E034B1" w:rsidRDefault="005B51A3" w:rsidP="005B51A3">
      <w:pPr>
        <w:pStyle w:val="ListParagraph"/>
        <w:tabs>
          <w:tab w:val="right" w:pos="8647"/>
        </w:tabs>
        <w:ind w:firstLine="414"/>
        <w:contextualSpacing w:val="0"/>
        <w:rPr>
          <w:noProof/>
          <w:sz w:val="22"/>
          <w:szCs w:val="22"/>
        </w:rPr>
      </w:pPr>
      <w:r w:rsidRPr="00E034B1">
        <w:rPr>
          <w:i/>
          <w:noProof/>
          <w:sz w:val="22"/>
          <w:szCs w:val="22"/>
        </w:rPr>
        <w:t>3.2.2 Aquatic genetic resources</w:t>
      </w:r>
      <w:r w:rsidRPr="00E034B1">
        <w:rPr>
          <w:noProof/>
          <w:sz w:val="22"/>
          <w:szCs w:val="22"/>
        </w:rPr>
        <w:tab/>
      </w:r>
      <w:r w:rsidR="000F20FB" w:rsidRPr="00E034B1">
        <w:rPr>
          <w:noProof/>
          <w:sz w:val="22"/>
          <w:szCs w:val="22"/>
        </w:rPr>
        <w:t>4</w:t>
      </w:r>
      <w:r w:rsidR="00102724">
        <w:rPr>
          <w:noProof/>
          <w:sz w:val="22"/>
          <w:szCs w:val="22"/>
        </w:rPr>
        <w:t>7</w:t>
      </w:r>
    </w:p>
    <w:p w14:paraId="53B64A6D" w14:textId="77777777" w:rsidR="005B51A3" w:rsidRPr="00E034B1" w:rsidRDefault="005B51A3" w:rsidP="005B51A3">
      <w:pPr>
        <w:pStyle w:val="ListParagraph"/>
        <w:tabs>
          <w:tab w:val="right" w:pos="8647"/>
        </w:tabs>
        <w:ind w:firstLine="414"/>
        <w:contextualSpacing w:val="0"/>
        <w:rPr>
          <w:noProof/>
          <w:sz w:val="22"/>
          <w:szCs w:val="22"/>
        </w:rPr>
      </w:pPr>
      <w:r w:rsidRPr="00E034B1">
        <w:rPr>
          <w:i/>
          <w:noProof/>
          <w:sz w:val="22"/>
          <w:szCs w:val="22"/>
        </w:rPr>
        <w:t>3.2.3 Forest genetic resources</w:t>
      </w:r>
      <w:r w:rsidRPr="00E034B1">
        <w:rPr>
          <w:noProof/>
          <w:sz w:val="22"/>
          <w:szCs w:val="22"/>
        </w:rPr>
        <w:tab/>
      </w:r>
      <w:r w:rsidR="00D224C0" w:rsidRPr="00E034B1">
        <w:rPr>
          <w:noProof/>
          <w:sz w:val="22"/>
          <w:szCs w:val="22"/>
        </w:rPr>
        <w:t>4</w:t>
      </w:r>
      <w:r w:rsidR="00102724">
        <w:rPr>
          <w:noProof/>
          <w:sz w:val="22"/>
          <w:szCs w:val="22"/>
        </w:rPr>
        <w:t>8</w:t>
      </w:r>
    </w:p>
    <w:p w14:paraId="135215C9" w14:textId="77777777" w:rsidR="005B51A3" w:rsidRPr="00E034B1" w:rsidRDefault="005B51A3" w:rsidP="005B51A3">
      <w:pPr>
        <w:pStyle w:val="ListParagraph"/>
        <w:tabs>
          <w:tab w:val="right" w:pos="8647"/>
        </w:tabs>
        <w:ind w:firstLine="414"/>
        <w:contextualSpacing w:val="0"/>
        <w:rPr>
          <w:i/>
          <w:noProof/>
          <w:sz w:val="22"/>
          <w:szCs w:val="22"/>
        </w:rPr>
      </w:pPr>
      <w:r w:rsidRPr="00E034B1">
        <w:rPr>
          <w:i/>
          <w:noProof/>
          <w:sz w:val="22"/>
          <w:szCs w:val="22"/>
        </w:rPr>
        <w:t>3.2.4 Microbial genetic resources</w:t>
      </w:r>
      <w:r w:rsidR="00305EB7" w:rsidRPr="00E034B1">
        <w:rPr>
          <w:i/>
          <w:noProof/>
          <w:sz w:val="22"/>
          <w:szCs w:val="22"/>
        </w:rPr>
        <w:tab/>
      </w:r>
      <w:r w:rsidR="00D224C0" w:rsidRPr="00E034B1">
        <w:rPr>
          <w:noProof/>
          <w:sz w:val="22"/>
          <w:szCs w:val="22"/>
        </w:rPr>
        <w:t>4</w:t>
      </w:r>
      <w:r w:rsidR="00102724">
        <w:rPr>
          <w:noProof/>
          <w:sz w:val="22"/>
          <w:szCs w:val="22"/>
        </w:rPr>
        <w:t>8</w:t>
      </w:r>
    </w:p>
    <w:p w14:paraId="4F1A7FDC" w14:textId="77777777" w:rsidR="005B51A3" w:rsidRPr="00E034B1" w:rsidRDefault="005B51A3" w:rsidP="005B51A3">
      <w:pPr>
        <w:pStyle w:val="ListParagraph"/>
        <w:tabs>
          <w:tab w:val="right" w:pos="8647"/>
        </w:tabs>
        <w:ind w:firstLine="414"/>
        <w:contextualSpacing w:val="0"/>
        <w:rPr>
          <w:noProof/>
          <w:sz w:val="22"/>
          <w:szCs w:val="22"/>
        </w:rPr>
      </w:pPr>
      <w:r w:rsidRPr="00E034B1">
        <w:rPr>
          <w:i/>
          <w:noProof/>
          <w:sz w:val="22"/>
          <w:szCs w:val="22"/>
        </w:rPr>
        <w:t>3.2.5 Plant genetic resources</w:t>
      </w:r>
      <w:r w:rsidRPr="00E034B1">
        <w:rPr>
          <w:noProof/>
          <w:sz w:val="22"/>
          <w:szCs w:val="22"/>
        </w:rPr>
        <w:tab/>
      </w:r>
      <w:r w:rsidR="00D224C0" w:rsidRPr="00E034B1">
        <w:rPr>
          <w:noProof/>
          <w:sz w:val="22"/>
          <w:szCs w:val="22"/>
        </w:rPr>
        <w:t>4</w:t>
      </w:r>
      <w:r w:rsidR="00102724">
        <w:rPr>
          <w:noProof/>
          <w:sz w:val="22"/>
          <w:szCs w:val="22"/>
        </w:rPr>
        <w:t>8</w:t>
      </w:r>
    </w:p>
    <w:p w14:paraId="46A7EB78" w14:textId="77777777" w:rsidR="007E32E6" w:rsidRPr="00E034B1" w:rsidRDefault="008F3EE6" w:rsidP="00A43161">
      <w:pPr>
        <w:pStyle w:val="ListParagraph"/>
        <w:tabs>
          <w:tab w:val="right" w:pos="8647"/>
        </w:tabs>
        <w:ind w:left="709"/>
        <w:contextualSpacing w:val="0"/>
        <w:rPr>
          <w:noProof/>
          <w:sz w:val="22"/>
          <w:szCs w:val="22"/>
        </w:rPr>
      </w:pPr>
      <w:r w:rsidRPr="00E034B1">
        <w:rPr>
          <w:noProof/>
          <w:sz w:val="22"/>
          <w:szCs w:val="22"/>
        </w:rPr>
        <w:t>3</w:t>
      </w:r>
      <w:r w:rsidR="0075718A" w:rsidRPr="00E034B1">
        <w:rPr>
          <w:noProof/>
          <w:sz w:val="22"/>
          <w:szCs w:val="22"/>
        </w:rPr>
        <w:t xml:space="preserve">.3 </w:t>
      </w:r>
      <w:r w:rsidR="005E7255" w:rsidRPr="00E034B1">
        <w:rPr>
          <w:bCs/>
          <w:iCs/>
          <w:noProof/>
          <w:sz w:val="22"/>
          <w:szCs w:val="22"/>
        </w:rPr>
        <w:t>Sustainable use of GRFA</w:t>
      </w:r>
      <w:r w:rsidR="00426654" w:rsidRPr="00E034B1">
        <w:rPr>
          <w:noProof/>
          <w:sz w:val="22"/>
          <w:szCs w:val="22"/>
        </w:rPr>
        <w:tab/>
      </w:r>
      <w:r w:rsidR="00102724">
        <w:rPr>
          <w:noProof/>
          <w:sz w:val="22"/>
          <w:szCs w:val="22"/>
        </w:rPr>
        <w:t>49</w:t>
      </w:r>
    </w:p>
    <w:p w14:paraId="33013E8D" w14:textId="77777777" w:rsidR="005B51A3" w:rsidRPr="00E034B1" w:rsidRDefault="005B51A3" w:rsidP="005B51A3">
      <w:pPr>
        <w:pStyle w:val="ListParagraph"/>
        <w:tabs>
          <w:tab w:val="right" w:pos="8647"/>
        </w:tabs>
        <w:ind w:firstLine="414"/>
        <w:contextualSpacing w:val="0"/>
        <w:rPr>
          <w:noProof/>
          <w:sz w:val="22"/>
          <w:szCs w:val="22"/>
        </w:rPr>
      </w:pPr>
      <w:r w:rsidRPr="00E034B1">
        <w:rPr>
          <w:i/>
          <w:noProof/>
          <w:sz w:val="22"/>
          <w:szCs w:val="22"/>
        </w:rPr>
        <w:t>3.3.1 Animal and plant genetic resources</w:t>
      </w:r>
      <w:r w:rsidRPr="00E034B1">
        <w:rPr>
          <w:noProof/>
          <w:sz w:val="22"/>
          <w:szCs w:val="22"/>
        </w:rPr>
        <w:tab/>
      </w:r>
      <w:r w:rsidR="00102724">
        <w:rPr>
          <w:noProof/>
          <w:sz w:val="22"/>
          <w:szCs w:val="22"/>
        </w:rPr>
        <w:t>49</w:t>
      </w:r>
    </w:p>
    <w:p w14:paraId="51C96689" w14:textId="77777777" w:rsidR="005B51A3" w:rsidRPr="00E034B1" w:rsidRDefault="005B51A3" w:rsidP="005B51A3">
      <w:pPr>
        <w:pStyle w:val="ListParagraph"/>
        <w:tabs>
          <w:tab w:val="right" w:pos="8647"/>
        </w:tabs>
        <w:ind w:firstLine="414"/>
        <w:contextualSpacing w:val="0"/>
        <w:rPr>
          <w:noProof/>
          <w:sz w:val="22"/>
          <w:szCs w:val="22"/>
        </w:rPr>
      </w:pPr>
      <w:r w:rsidRPr="00E034B1">
        <w:rPr>
          <w:i/>
          <w:noProof/>
          <w:sz w:val="22"/>
          <w:szCs w:val="22"/>
        </w:rPr>
        <w:t>3.3.2 Aquatic genetic resources</w:t>
      </w:r>
      <w:r w:rsidRPr="00E034B1">
        <w:rPr>
          <w:noProof/>
          <w:sz w:val="22"/>
          <w:szCs w:val="22"/>
        </w:rPr>
        <w:tab/>
      </w:r>
      <w:r w:rsidR="000F20FB" w:rsidRPr="00E034B1">
        <w:rPr>
          <w:noProof/>
          <w:sz w:val="22"/>
          <w:szCs w:val="22"/>
        </w:rPr>
        <w:t>5</w:t>
      </w:r>
      <w:r w:rsidR="00102724">
        <w:rPr>
          <w:noProof/>
          <w:sz w:val="22"/>
          <w:szCs w:val="22"/>
        </w:rPr>
        <w:t>2</w:t>
      </w:r>
    </w:p>
    <w:p w14:paraId="366F8244" w14:textId="77777777" w:rsidR="005B51A3" w:rsidRPr="00E034B1" w:rsidRDefault="005B51A3" w:rsidP="005B51A3">
      <w:pPr>
        <w:pStyle w:val="ListParagraph"/>
        <w:tabs>
          <w:tab w:val="right" w:pos="8647"/>
        </w:tabs>
        <w:ind w:firstLine="414"/>
        <w:contextualSpacing w:val="0"/>
        <w:rPr>
          <w:noProof/>
          <w:sz w:val="22"/>
          <w:szCs w:val="22"/>
        </w:rPr>
      </w:pPr>
      <w:r w:rsidRPr="00E034B1">
        <w:rPr>
          <w:i/>
          <w:noProof/>
          <w:sz w:val="22"/>
          <w:szCs w:val="22"/>
        </w:rPr>
        <w:t>3.3.3 Forest genetic resources</w:t>
      </w:r>
      <w:r w:rsidRPr="00E034B1">
        <w:rPr>
          <w:noProof/>
          <w:sz w:val="22"/>
          <w:szCs w:val="22"/>
        </w:rPr>
        <w:tab/>
      </w:r>
      <w:r w:rsidR="000F20FB" w:rsidRPr="00E034B1">
        <w:rPr>
          <w:noProof/>
          <w:sz w:val="22"/>
          <w:szCs w:val="22"/>
        </w:rPr>
        <w:t>5</w:t>
      </w:r>
      <w:r w:rsidR="00102724">
        <w:rPr>
          <w:noProof/>
          <w:sz w:val="22"/>
          <w:szCs w:val="22"/>
        </w:rPr>
        <w:t>3</w:t>
      </w:r>
    </w:p>
    <w:p w14:paraId="6EE54524" w14:textId="77777777" w:rsidR="005B51A3" w:rsidRPr="00E034B1" w:rsidRDefault="005B51A3" w:rsidP="005B51A3">
      <w:pPr>
        <w:pStyle w:val="ListParagraph"/>
        <w:tabs>
          <w:tab w:val="right" w:pos="8647"/>
        </w:tabs>
        <w:ind w:firstLine="414"/>
        <w:contextualSpacing w:val="0"/>
        <w:rPr>
          <w:noProof/>
          <w:sz w:val="22"/>
          <w:szCs w:val="22"/>
        </w:rPr>
      </w:pPr>
      <w:r w:rsidRPr="00E034B1">
        <w:rPr>
          <w:i/>
          <w:noProof/>
          <w:sz w:val="22"/>
          <w:szCs w:val="22"/>
        </w:rPr>
        <w:t>3.3.4 Microbial genetic resources</w:t>
      </w:r>
      <w:r w:rsidR="00305EB7" w:rsidRPr="00E034B1">
        <w:rPr>
          <w:i/>
          <w:noProof/>
          <w:sz w:val="22"/>
          <w:szCs w:val="22"/>
        </w:rPr>
        <w:tab/>
      </w:r>
      <w:r w:rsidR="00305EB7" w:rsidRPr="00E034B1">
        <w:rPr>
          <w:noProof/>
          <w:sz w:val="22"/>
          <w:szCs w:val="22"/>
        </w:rPr>
        <w:t>5</w:t>
      </w:r>
      <w:r w:rsidR="00102724">
        <w:rPr>
          <w:noProof/>
          <w:sz w:val="22"/>
          <w:szCs w:val="22"/>
        </w:rPr>
        <w:t>3</w:t>
      </w:r>
    </w:p>
    <w:p w14:paraId="6C9A5922" w14:textId="77777777" w:rsidR="00305EB7" w:rsidRPr="00E034B1" w:rsidRDefault="00305EB7" w:rsidP="005B51A3">
      <w:pPr>
        <w:pStyle w:val="ListParagraph"/>
        <w:tabs>
          <w:tab w:val="right" w:pos="8647"/>
        </w:tabs>
        <w:ind w:firstLine="414"/>
        <w:contextualSpacing w:val="0"/>
        <w:rPr>
          <w:i/>
          <w:noProof/>
          <w:sz w:val="22"/>
          <w:szCs w:val="22"/>
        </w:rPr>
      </w:pPr>
      <w:r w:rsidRPr="00E034B1">
        <w:rPr>
          <w:i/>
          <w:sz w:val="22"/>
          <w:szCs w:val="22"/>
          <w:lang w:val="en-US"/>
        </w:rPr>
        <w:t>3.3.5 DSI for generating new products from GRFA</w:t>
      </w:r>
      <w:r w:rsidRPr="00E034B1">
        <w:rPr>
          <w:i/>
          <w:sz w:val="22"/>
          <w:szCs w:val="22"/>
          <w:lang w:val="en-US"/>
        </w:rPr>
        <w:tab/>
      </w:r>
      <w:r w:rsidR="000F20FB" w:rsidRPr="00E034B1">
        <w:rPr>
          <w:sz w:val="22"/>
          <w:szCs w:val="22"/>
          <w:lang w:val="en-US"/>
        </w:rPr>
        <w:t>5</w:t>
      </w:r>
      <w:r w:rsidR="00102724">
        <w:rPr>
          <w:sz w:val="22"/>
          <w:szCs w:val="22"/>
          <w:lang w:val="en-US"/>
        </w:rPr>
        <w:t>4</w:t>
      </w:r>
    </w:p>
    <w:p w14:paraId="785A4C48" w14:textId="77777777" w:rsidR="00410021" w:rsidRPr="00E034B1" w:rsidRDefault="00426654" w:rsidP="00A43161">
      <w:pPr>
        <w:pStyle w:val="ListParagraph"/>
        <w:tabs>
          <w:tab w:val="right" w:pos="8647"/>
        </w:tabs>
        <w:ind w:left="709"/>
        <w:contextualSpacing w:val="0"/>
        <w:rPr>
          <w:sz w:val="22"/>
          <w:szCs w:val="22"/>
          <w:lang w:eastAsia="pl-PL"/>
        </w:rPr>
      </w:pPr>
      <w:r w:rsidRPr="00E034B1">
        <w:rPr>
          <w:sz w:val="22"/>
          <w:szCs w:val="22"/>
          <w:lang w:eastAsia="pl-PL"/>
        </w:rPr>
        <w:t>3.4 Conclusion</w:t>
      </w:r>
      <w:r w:rsidRPr="00E034B1">
        <w:rPr>
          <w:sz w:val="22"/>
          <w:szCs w:val="22"/>
          <w:lang w:eastAsia="pl-PL"/>
        </w:rPr>
        <w:tab/>
        <w:t>5</w:t>
      </w:r>
      <w:r w:rsidR="00102724">
        <w:rPr>
          <w:sz w:val="22"/>
          <w:szCs w:val="22"/>
          <w:lang w:eastAsia="pl-PL"/>
        </w:rPr>
        <w:t>5</w:t>
      </w:r>
    </w:p>
    <w:p w14:paraId="3B2D6BC1" w14:textId="77777777" w:rsidR="002273F2" w:rsidRPr="00E034B1" w:rsidRDefault="007A4DAA" w:rsidP="00A43161">
      <w:pPr>
        <w:pStyle w:val="ListParagraph"/>
        <w:numPr>
          <w:ilvl w:val="0"/>
          <w:numId w:val="1"/>
        </w:numPr>
        <w:tabs>
          <w:tab w:val="right" w:pos="8647"/>
        </w:tabs>
        <w:ind w:left="709" w:hanging="567"/>
        <w:contextualSpacing w:val="0"/>
        <w:rPr>
          <w:b/>
          <w:bCs/>
          <w:sz w:val="22"/>
          <w:szCs w:val="22"/>
        </w:rPr>
      </w:pPr>
      <w:r w:rsidRPr="00E034B1">
        <w:rPr>
          <w:b/>
          <w:noProof/>
          <w:sz w:val="22"/>
          <w:szCs w:val="22"/>
        </w:rPr>
        <w:t>What role does DSI have in research and product development</w:t>
      </w:r>
      <w:r w:rsidRPr="00E034B1">
        <w:rPr>
          <w:b/>
          <w:noProof/>
          <w:sz w:val="22"/>
          <w:szCs w:val="22"/>
        </w:rPr>
        <w:br/>
        <w:t>and GRFA management?</w:t>
      </w:r>
      <w:r w:rsidR="002273F2" w:rsidRPr="00E034B1">
        <w:rPr>
          <w:b/>
          <w:sz w:val="22"/>
          <w:szCs w:val="22"/>
          <w:lang w:eastAsia="pl-PL"/>
        </w:rPr>
        <w:tab/>
      </w:r>
      <w:r w:rsidR="00B3016A" w:rsidRPr="00E034B1">
        <w:rPr>
          <w:sz w:val="22"/>
          <w:szCs w:val="22"/>
          <w:lang w:eastAsia="pl-PL"/>
        </w:rPr>
        <w:t>5</w:t>
      </w:r>
      <w:r w:rsidR="00102724">
        <w:rPr>
          <w:sz w:val="22"/>
          <w:szCs w:val="22"/>
          <w:lang w:eastAsia="pl-PL"/>
        </w:rPr>
        <w:t>6</w:t>
      </w:r>
    </w:p>
    <w:p w14:paraId="588B9FDB" w14:textId="77777777" w:rsidR="007A4DAA" w:rsidRPr="00E034B1" w:rsidRDefault="008F3EE6" w:rsidP="00A43161">
      <w:pPr>
        <w:pStyle w:val="ListParagraph"/>
        <w:tabs>
          <w:tab w:val="right" w:pos="8647"/>
        </w:tabs>
        <w:ind w:left="709"/>
        <w:contextualSpacing w:val="0"/>
        <w:rPr>
          <w:noProof/>
          <w:sz w:val="22"/>
          <w:szCs w:val="22"/>
        </w:rPr>
      </w:pPr>
      <w:r w:rsidRPr="00E034B1">
        <w:rPr>
          <w:noProof/>
          <w:sz w:val="22"/>
          <w:szCs w:val="22"/>
        </w:rPr>
        <w:t>4</w:t>
      </w:r>
      <w:r w:rsidR="007A4DAA" w:rsidRPr="00E034B1">
        <w:rPr>
          <w:noProof/>
          <w:sz w:val="22"/>
          <w:szCs w:val="22"/>
        </w:rPr>
        <w:t xml:space="preserve">.1 </w:t>
      </w:r>
      <w:r w:rsidR="001B0613" w:rsidRPr="00E034B1">
        <w:rPr>
          <w:noProof/>
          <w:sz w:val="22"/>
          <w:szCs w:val="22"/>
        </w:rPr>
        <w:t>DSI in the management of GRFA</w:t>
      </w:r>
      <w:r w:rsidR="00410021" w:rsidRPr="00E034B1">
        <w:rPr>
          <w:noProof/>
          <w:sz w:val="22"/>
          <w:szCs w:val="22"/>
        </w:rPr>
        <w:tab/>
      </w:r>
      <w:r w:rsidR="007F551F" w:rsidRPr="00E034B1">
        <w:rPr>
          <w:noProof/>
          <w:sz w:val="22"/>
          <w:szCs w:val="22"/>
        </w:rPr>
        <w:t>5</w:t>
      </w:r>
      <w:r w:rsidR="00102724">
        <w:rPr>
          <w:noProof/>
          <w:sz w:val="22"/>
          <w:szCs w:val="22"/>
        </w:rPr>
        <w:t>6</w:t>
      </w:r>
    </w:p>
    <w:p w14:paraId="7F807F1A" w14:textId="77777777" w:rsidR="007A4DAA" w:rsidRPr="00E034B1" w:rsidRDefault="008F3EE6" w:rsidP="00A43161">
      <w:pPr>
        <w:pStyle w:val="ListParagraph"/>
        <w:tabs>
          <w:tab w:val="right" w:pos="8647"/>
        </w:tabs>
        <w:ind w:left="709"/>
        <w:contextualSpacing w:val="0"/>
        <w:rPr>
          <w:noProof/>
          <w:sz w:val="22"/>
          <w:szCs w:val="22"/>
        </w:rPr>
      </w:pPr>
      <w:r w:rsidRPr="00E034B1">
        <w:rPr>
          <w:noProof/>
          <w:sz w:val="22"/>
          <w:szCs w:val="22"/>
        </w:rPr>
        <w:t>4</w:t>
      </w:r>
      <w:r w:rsidR="007A4DAA" w:rsidRPr="00E034B1">
        <w:rPr>
          <w:noProof/>
          <w:sz w:val="22"/>
          <w:szCs w:val="22"/>
        </w:rPr>
        <w:t xml:space="preserve">.2 </w:t>
      </w:r>
      <w:r w:rsidR="00596DE3" w:rsidRPr="00E034B1">
        <w:rPr>
          <w:sz w:val="22"/>
          <w:szCs w:val="22"/>
        </w:rPr>
        <w:t xml:space="preserve">DSI </w:t>
      </w:r>
      <w:r w:rsidR="001B0613" w:rsidRPr="00E034B1">
        <w:rPr>
          <w:sz w:val="22"/>
          <w:szCs w:val="22"/>
        </w:rPr>
        <w:t>in synthetic biology applied to GRFA</w:t>
      </w:r>
      <w:r w:rsidR="000F20FB" w:rsidRPr="00E034B1">
        <w:rPr>
          <w:noProof/>
          <w:sz w:val="22"/>
          <w:szCs w:val="22"/>
        </w:rPr>
        <w:tab/>
      </w:r>
      <w:r w:rsidR="00D224C0" w:rsidRPr="00E034B1">
        <w:rPr>
          <w:noProof/>
          <w:sz w:val="22"/>
          <w:szCs w:val="22"/>
        </w:rPr>
        <w:t>5</w:t>
      </w:r>
      <w:r w:rsidR="00102724">
        <w:rPr>
          <w:noProof/>
          <w:sz w:val="22"/>
          <w:szCs w:val="22"/>
        </w:rPr>
        <w:t>7</w:t>
      </w:r>
    </w:p>
    <w:p w14:paraId="7F9913E2" w14:textId="77777777" w:rsidR="007A4DAA" w:rsidRPr="00E034B1" w:rsidRDefault="008F3EE6" w:rsidP="00A43161">
      <w:pPr>
        <w:pStyle w:val="ListParagraph"/>
        <w:tabs>
          <w:tab w:val="right" w:pos="8647"/>
        </w:tabs>
        <w:ind w:left="709"/>
        <w:contextualSpacing w:val="0"/>
        <w:rPr>
          <w:noProof/>
          <w:sz w:val="22"/>
          <w:szCs w:val="22"/>
        </w:rPr>
      </w:pPr>
      <w:r w:rsidRPr="00E034B1">
        <w:rPr>
          <w:noProof/>
          <w:sz w:val="22"/>
          <w:szCs w:val="22"/>
        </w:rPr>
        <w:t>4</w:t>
      </w:r>
      <w:r w:rsidR="0075718A" w:rsidRPr="00E034B1">
        <w:rPr>
          <w:noProof/>
          <w:sz w:val="22"/>
          <w:szCs w:val="22"/>
        </w:rPr>
        <w:t>.3</w:t>
      </w:r>
      <w:r w:rsidR="007A4DAA" w:rsidRPr="00E034B1">
        <w:rPr>
          <w:noProof/>
          <w:sz w:val="22"/>
          <w:szCs w:val="22"/>
        </w:rPr>
        <w:t xml:space="preserve"> </w:t>
      </w:r>
      <w:r w:rsidR="001B0613" w:rsidRPr="00E034B1">
        <w:rPr>
          <w:noProof/>
          <w:sz w:val="22"/>
          <w:szCs w:val="22"/>
        </w:rPr>
        <w:t>DSI can have value separate from biological genetic material</w:t>
      </w:r>
      <w:r w:rsidR="000F20FB" w:rsidRPr="00E034B1">
        <w:rPr>
          <w:noProof/>
          <w:sz w:val="22"/>
          <w:szCs w:val="22"/>
        </w:rPr>
        <w:tab/>
      </w:r>
      <w:r w:rsidR="00D224C0" w:rsidRPr="00E034B1">
        <w:rPr>
          <w:noProof/>
          <w:sz w:val="22"/>
          <w:szCs w:val="22"/>
        </w:rPr>
        <w:t>5</w:t>
      </w:r>
      <w:r w:rsidR="00102724">
        <w:rPr>
          <w:noProof/>
          <w:sz w:val="22"/>
          <w:szCs w:val="22"/>
        </w:rPr>
        <w:t>8</w:t>
      </w:r>
    </w:p>
    <w:p w14:paraId="2E9CC6A7" w14:textId="77777777" w:rsidR="00410021" w:rsidRPr="00E034B1" w:rsidRDefault="000F20FB" w:rsidP="00A43161">
      <w:pPr>
        <w:pStyle w:val="ListParagraph"/>
        <w:tabs>
          <w:tab w:val="right" w:pos="8647"/>
        </w:tabs>
        <w:ind w:left="709"/>
        <w:contextualSpacing w:val="0"/>
        <w:rPr>
          <w:bCs/>
          <w:sz w:val="22"/>
          <w:szCs w:val="22"/>
        </w:rPr>
      </w:pPr>
      <w:r w:rsidRPr="00E034B1">
        <w:rPr>
          <w:bCs/>
          <w:sz w:val="22"/>
          <w:szCs w:val="22"/>
        </w:rPr>
        <w:t>4.4 Conclusion</w:t>
      </w:r>
      <w:r w:rsidRPr="00E034B1">
        <w:rPr>
          <w:bCs/>
          <w:sz w:val="22"/>
          <w:szCs w:val="22"/>
        </w:rPr>
        <w:tab/>
      </w:r>
      <w:r w:rsidR="00102724">
        <w:rPr>
          <w:bCs/>
          <w:sz w:val="22"/>
          <w:szCs w:val="22"/>
        </w:rPr>
        <w:t>59</w:t>
      </w:r>
    </w:p>
    <w:p w14:paraId="4F7DD0C1" w14:textId="77777777" w:rsidR="00B942B9" w:rsidRPr="00E034B1" w:rsidRDefault="007F003C" w:rsidP="00A43161">
      <w:pPr>
        <w:pStyle w:val="ListParagraph"/>
        <w:numPr>
          <w:ilvl w:val="0"/>
          <w:numId w:val="1"/>
        </w:numPr>
        <w:tabs>
          <w:tab w:val="right" w:pos="8647"/>
        </w:tabs>
        <w:ind w:left="709" w:hanging="567"/>
        <w:contextualSpacing w:val="0"/>
        <w:rPr>
          <w:rStyle w:val="z-DSTbox"/>
          <w:b/>
          <w:bCs/>
          <w:sz w:val="22"/>
          <w:szCs w:val="22"/>
        </w:rPr>
      </w:pPr>
      <w:r w:rsidRPr="00E034B1">
        <w:rPr>
          <w:b/>
          <w:noProof/>
          <w:sz w:val="22"/>
          <w:szCs w:val="22"/>
        </w:rPr>
        <w:t xml:space="preserve">Actors </w:t>
      </w:r>
      <w:r w:rsidR="003E5ACC" w:rsidRPr="00E034B1">
        <w:rPr>
          <w:b/>
          <w:noProof/>
          <w:sz w:val="22"/>
          <w:szCs w:val="22"/>
        </w:rPr>
        <w:t>and access</w:t>
      </w:r>
      <w:r w:rsidR="00B942B9" w:rsidRPr="00E034B1">
        <w:rPr>
          <w:rStyle w:val="z-DSTbox"/>
          <w:b/>
          <w:bCs/>
          <w:sz w:val="22"/>
          <w:szCs w:val="22"/>
        </w:rPr>
        <w:tab/>
      </w:r>
      <w:r w:rsidR="00D224C0" w:rsidRPr="00E034B1">
        <w:rPr>
          <w:rStyle w:val="z-DSTbox"/>
          <w:bCs/>
          <w:sz w:val="22"/>
          <w:szCs w:val="22"/>
        </w:rPr>
        <w:t>6</w:t>
      </w:r>
      <w:r w:rsidR="00102724">
        <w:rPr>
          <w:rStyle w:val="z-DSTbox"/>
          <w:bCs/>
          <w:sz w:val="22"/>
          <w:szCs w:val="22"/>
        </w:rPr>
        <w:t>1</w:t>
      </w:r>
    </w:p>
    <w:p w14:paraId="28BE5F05" w14:textId="77777777" w:rsidR="0075718A" w:rsidRPr="00E034B1" w:rsidRDefault="008F3EE6" w:rsidP="00A43161">
      <w:pPr>
        <w:pStyle w:val="ListParagraph"/>
        <w:tabs>
          <w:tab w:val="right" w:pos="8647"/>
        </w:tabs>
        <w:ind w:left="709"/>
        <w:contextualSpacing w:val="0"/>
        <w:rPr>
          <w:noProof/>
          <w:sz w:val="22"/>
          <w:szCs w:val="22"/>
        </w:rPr>
      </w:pPr>
      <w:r w:rsidRPr="00E034B1">
        <w:rPr>
          <w:rStyle w:val="z-DSTbox"/>
          <w:bCs/>
          <w:sz w:val="22"/>
          <w:szCs w:val="22"/>
        </w:rPr>
        <w:t>5</w:t>
      </w:r>
      <w:r w:rsidR="00780BE0" w:rsidRPr="00E034B1">
        <w:rPr>
          <w:rStyle w:val="z-DSTbox"/>
          <w:bCs/>
          <w:sz w:val="22"/>
          <w:szCs w:val="22"/>
        </w:rPr>
        <w:t xml:space="preserve">.1 </w:t>
      </w:r>
      <w:r w:rsidR="0075718A" w:rsidRPr="00E034B1">
        <w:rPr>
          <w:rStyle w:val="z-DSTbox"/>
          <w:bCs/>
          <w:sz w:val="22"/>
          <w:szCs w:val="22"/>
        </w:rPr>
        <w:t>Actors</w:t>
      </w:r>
      <w:r w:rsidR="00535556" w:rsidRPr="00E034B1">
        <w:rPr>
          <w:noProof/>
          <w:sz w:val="22"/>
          <w:szCs w:val="22"/>
        </w:rPr>
        <w:tab/>
      </w:r>
      <w:r w:rsidR="000F20FB" w:rsidRPr="00E034B1">
        <w:rPr>
          <w:noProof/>
          <w:sz w:val="22"/>
          <w:szCs w:val="22"/>
        </w:rPr>
        <w:t>6</w:t>
      </w:r>
      <w:r w:rsidR="00102724">
        <w:rPr>
          <w:noProof/>
          <w:sz w:val="22"/>
          <w:szCs w:val="22"/>
        </w:rPr>
        <w:t>1</w:t>
      </w:r>
    </w:p>
    <w:p w14:paraId="2A5013AA" w14:textId="77777777" w:rsidR="0075718A" w:rsidRPr="00E034B1" w:rsidRDefault="0075718A" w:rsidP="00A43161">
      <w:pPr>
        <w:pStyle w:val="ListParagraph"/>
        <w:tabs>
          <w:tab w:val="right" w:pos="8647"/>
        </w:tabs>
        <w:ind w:left="1276" w:hanging="142"/>
        <w:contextualSpacing w:val="0"/>
        <w:rPr>
          <w:noProof/>
          <w:sz w:val="22"/>
          <w:szCs w:val="22"/>
          <w:lang w:val="mi-NZ"/>
        </w:rPr>
      </w:pPr>
      <w:r w:rsidRPr="00E034B1">
        <w:rPr>
          <w:i/>
          <w:noProof/>
          <w:sz w:val="22"/>
          <w:szCs w:val="22"/>
          <w:lang w:val="mi-NZ"/>
        </w:rPr>
        <w:t>5.1.1 Governments and public sector institutions</w:t>
      </w:r>
      <w:r w:rsidR="000F20FB" w:rsidRPr="00E034B1">
        <w:rPr>
          <w:noProof/>
          <w:sz w:val="22"/>
          <w:szCs w:val="22"/>
          <w:lang w:val="mi-NZ"/>
        </w:rPr>
        <w:tab/>
        <w:t>6</w:t>
      </w:r>
      <w:r w:rsidR="00102724">
        <w:rPr>
          <w:noProof/>
          <w:sz w:val="22"/>
          <w:szCs w:val="22"/>
          <w:lang w:val="mi-NZ"/>
        </w:rPr>
        <w:t>1</w:t>
      </w:r>
    </w:p>
    <w:p w14:paraId="5D0F3A39" w14:textId="77777777" w:rsidR="0075718A" w:rsidRPr="00E034B1" w:rsidRDefault="0075718A" w:rsidP="00A43161">
      <w:pPr>
        <w:pStyle w:val="ListParagraph"/>
        <w:tabs>
          <w:tab w:val="right" w:pos="8647"/>
        </w:tabs>
        <w:ind w:left="1276" w:hanging="142"/>
        <w:contextualSpacing w:val="0"/>
        <w:rPr>
          <w:noProof/>
          <w:sz w:val="22"/>
          <w:szCs w:val="22"/>
          <w:lang w:val="mi-NZ"/>
        </w:rPr>
      </w:pPr>
      <w:r w:rsidRPr="00E034B1">
        <w:rPr>
          <w:i/>
          <w:noProof/>
          <w:sz w:val="22"/>
          <w:szCs w:val="22"/>
          <w:lang w:val="mi-NZ"/>
        </w:rPr>
        <w:t>5.1.2 Journal</w:t>
      </w:r>
      <w:r w:rsidR="001B0613" w:rsidRPr="00E034B1">
        <w:rPr>
          <w:i/>
          <w:noProof/>
          <w:sz w:val="22"/>
          <w:szCs w:val="22"/>
          <w:lang w:val="mi-NZ"/>
        </w:rPr>
        <w:t xml:space="preserve"> editor</w:t>
      </w:r>
      <w:r w:rsidRPr="00E034B1">
        <w:rPr>
          <w:i/>
          <w:noProof/>
          <w:sz w:val="22"/>
          <w:szCs w:val="22"/>
          <w:lang w:val="mi-NZ"/>
        </w:rPr>
        <w:t xml:space="preserve">s and </w:t>
      </w:r>
      <w:r w:rsidR="001B0613" w:rsidRPr="00E034B1">
        <w:rPr>
          <w:i/>
          <w:noProof/>
          <w:sz w:val="22"/>
          <w:szCs w:val="22"/>
          <w:lang w:val="mi-NZ"/>
        </w:rPr>
        <w:t>g</w:t>
      </w:r>
      <w:r w:rsidRPr="00E034B1">
        <w:rPr>
          <w:i/>
          <w:noProof/>
          <w:sz w:val="22"/>
          <w:szCs w:val="22"/>
          <w:lang w:val="mi-NZ"/>
        </w:rPr>
        <w:t>rant</w:t>
      </w:r>
      <w:r w:rsidR="001B0613" w:rsidRPr="00E034B1">
        <w:rPr>
          <w:i/>
          <w:noProof/>
          <w:sz w:val="22"/>
          <w:szCs w:val="22"/>
          <w:lang w:val="mi-NZ"/>
        </w:rPr>
        <w:t>ing bodies</w:t>
      </w:r>
      <w:r w:rsidR="000F20FB" w:rsidRPr="00E034B1">
        <w:rPr>
          <w:noProof/>
          <w:sz w:val="22"/>
          <w:szCs w:val="22"/>
          <w:lang w:val="mi-NZ"/>
        </w:rPr>
        <w:tab/>
        <w:t>6</w:t>
      </w:r>
      <w:r w:rsidR="00102724">
        <w:rPr>
          <w:noProof/>
          <w:sz w:val="22"/>
          <w:szCs w:val="22"/>
          <w:lang w:val="mi-NZ"/>
        </w:rPr>
        <w:t>2</w:t>
      </w:r>
    </w:p>
    <w:p w14:paraId="2C3971E7" w14:textId="77777777" w:rsidR="0075718A" w:rsidRPr="00E034B1" w:rsidRDefault="0075718A" w:rsidP="00A43161">
      <w:pPr>
        <w:pStyle w:val="ListParagraph"/>
        <w:tabs>
          <w:tab w:val="right" w:pos="8647"/>
        </w:tabs>
        <w:ind w:left="1276" w:hanging="142"/>
        <w:contextualSpacing w:val="0"/>
        <w:rPr>
          <w:noProof/>
          <w:sz w:val="22"/>
          <w:szCs w:val="22"/>
          <w:lang w:val="mi-NZ"/>
        </w:rPr>
      </w:pPr>
      <w:r w:rsidRPr="00E034B1">
        <w:rPr>
          <w:i/>
          <w:noProof/>
          <w:sz w:val="22"/>
          <w:szCs w:val="22"/>
          <w:lang w:val="mi-NZ"/>
        </w:rPr>
        <w:t>5.1.3 Private sector and private acting public institutions</w:t>
      </w:r>
      <w:r w:rsidR="00535556" w:rsidRPr="00E034B1">
        <w:rPr>
          <w:noProof/>
          <w:sz w:val="22"/>
          <w:szCs w:val="22"/>
          <w:lang w:val="mi-NZ"/>
        </w:rPr>
        <w:tab/>
      </w:r>
      <w:r w:rsidR="000F20FB" w:rsidRPr="00E034B1">
        <w:rPr>
          <w:noProof/>
          <w:sz w:val="22"/>
          <w:szCs w:val="22"/>
          <w:lang w:val="mi-NZ"/>
        </w:rPr>
        <w:t>6</w:t>
      </w:r>
      <w:r w:rsidR="00102724">
        <w:rPr>
          <w:noProof/>
          <w:sz w:val="22"/>
          <w:szCs w:val="22"/>
          <w:lang w:val="mi-NZ"/>
        </w:rPr>
        <w:t>3</w:t>
      </w:r>
    </w:p>
    <w:p w14:paraId="32D3728D" w14:textId="77777777" w:rsidR="0075718A" w:rsidRPr="00E034B1" w:rsidRDefault="0075718A" w:rsidP="00A43161">
      <w:pPr>
        <w:pStyle w:val="ListParagraph"/>
        <w:tabs>
          <w:tab w:val="right" w:pos="8647"/>
        </w:tabs>
        <w:ind w:left="1276" w:hanging="142"/>
        <w:contextualSpacing w:val="0"/>
        <w:rPr>
          <w:noProof/>
          <w:sz w:val="22"/>
          <w:szCs w:val="22"/>
          <w:lang w:val="mi-NZ"/>
        </w:rPr>
      </w:pPr>
      <w:r w:rsidRPr="00E034B1">
        <w:rPr>
          <w:i/>
          <w:noProof/>
          <w:sz w:val="22"/>
          <w:szCs w:val="22"/>
          <w:lang w:val="mi-NZ"/>
        </w:rPr>
        <w:lastRenderedPageBreak/>
        <w:t>5.1.4</w:t>
      </w:r>
      <w:r w:rsidR="001B0613" w:rsidRPr="00E034B1">
        <w:rPr>
          <w:i/>
          <w:noProof/>
          <w:sz w:val="22"/>
          <w:szCs w:val="22"/>
          <w:lang w:val="mi-NZ"/>
        </w:rPr>
        <w:t xml:space="preserve"> The public</w:t>
      </w:r>
      <w:r w:rsidR="00535556" w:rsidRPr="00E034B1">
        <w:rPr>
          <w:noProof/>
          <w:sz w:val="22"/>
          <w:szCs w:val="22"/>
          <w:lang w:val="mi-NZ"/>
        </w:rPr>
        <w:tab/>
      </w:r>
      <w:r w:rsidR="000F20FB" w:rsidRPr="00E034B1">
        <w:rPr>
          <w:noProof/>
          <w:sz w:val="22"/>
          <w:szCs w:val="22"/>
          <w:lang w:val="mi-NZ"/>
        </w:rPr>
        <w:t>6</w:t>
      </w:r>
      <w:r w:rsidR="00102724">
        <w:rPr>
          <w:noProof/>
          <w:sz w:val="22"/>
          <w:szCs w:val="22"/>
          <w:lang w:val="mi-NZ"/>
        </w:rPr>
        <w:t>4</w:t>
      </w:r>
    </w:p>
    <w:p w14:paraId="74DE5792" w14:textId="77777777" w:rsidR="00780BE0" w:rsidRPr="00E034B1" w:rsidRDefault="008F3EE6" w:rsidP="00A43161">
      <w:pPr>
        <w:pStyle w:val="ListParagraph"/>
        <w:tabs>
          <w:tab w:val="right" w:pos="8647"/>
        </w:tabs>
        <w:ind w:left="709"/>
        <w:contextualSpacing w:val="0"/>
        <w:rPr>
          <w:noProof/>
          <w:sz w:val="22"/>
          <w:szCs w:val="22"/>
        </w:rPr>
      </w:pPr>
      <w:r w:rsidRPr="00E034B1">
        <w:rPr>
          <w:noProof/>
          <w:sz w:val="22"/>
          <w:szCs w:val="22"/>
        </w:rPr>
        <w:t>5</w:t>
      </w:r>
      <w:r w:rsidR="00780BE0" w:rsidRPr="00E034B1">
        <w:rPr>
          <w:noProof/>
          <w:sz w:val="22"/>
          <w:szCs w:val="22"/>
        </w:rPr>
        <w:t xml:space="preserve">.2 </w:t>
      </w:r>
      <w:r w:rsidR="001B0613" w:rsidRPr="00E034B1">
        <w:rPr>
          <w:noProof/>
          <w:sz w:val="22"/>
          <w:szCs w:val="22"/>
        </w:rPr>
        <w:t>Access</w:t>
      </w:r>
      <w:r w:rsidR="000F20FB" w:rsidRPr="00E034B1">
        <w:rPr>
          <w:noProof/>
          <w:sz w:val="22"/>
          <w:szCs w:val="22"/>
        </w:rPr>
        <w:tab/>
        <w:t>6</w:t>
      </w:r>
      <w:r w:rsidR="00102724">
        <w:rPr>
          <w:noProof/>
          <w:sz w:val="22"/>
          <w:szCs w:val="22"/>
        </w:rPr>
        <w:t>5</w:t>
      </w:r>
    </w:p>
    <w:p w14:paraId="10D27FC4" w14:textId="77777777" w:rsidR="00780BE0" w:rsidRPr="00E034B1" w:rsidRDefault="008F3EE6" w:rsidP="00A43161">
      <w:pPr>
        <w:pStyle w:val="ListParagraph"/>
        <w:tabs>
          <w:tab w:val="right" w:pos="8647"/>
        </w:tabs>
        <w:ind w:left="709"/>
        <w:contextualSpacing w:val="0"/>
        <w:rPr>
          <w:rStyle w:val="z-DSTbox"/>
          <w:bCs/>
          <w:sz w:val="22"/>
          <w:szCs w:val="22"/>
        </w:rPr>
      </w:pPr>
      <w:r w:rsidRPr="00E034B1">
        <w:rPr>
          <w:noProof/>
          <w:sz w:val="22"/>
          <w:szCs w:val="22"/>
        </w:rPr>
        <w:t>5</w:t>
      </w:r>
      <w:r w:rsidR="00780BE0" w:rsidRPr="00E034B1">
        <w:rPr>
          <w:noProof/>
          <w:sz w:val="22"/>
          <w:szCs w:val="22"/>
        </w:rPr>
        <w:t>.</w:t>
      </w:r>
      <w:r w:rsidR="0075718A" w:rsidRPr="00E034B1">
        <w:rPr>
          <w:noProof/>
          <w:sz w:val="22"/>
          <w:szCs w:val="22"/>
        </w:rPr>
        <w:t>3</w:t>
      </w:r>
      <w:r w:rsidR="00780BE0" w:rsidRPr="00E034B1">
        <w:rPr>
          <w:noProof/>
          <w:sz w:val="22"/>
          <w:szCs w:val="22"/>
        </w:rPr>
        <w:t xml:space="preserve"> </w:t>
      </w:r>
      <w:r w:rsidR="0075718A" w:rsidRPr="00E034B1">
        <w:rPr>
          <w:noProof/>
          <w:sz w:val="22"/>
          <w:szCs w:val="22"/>
        </w:rPr>
        <w:t>C</w:t>
      </w:r>
      <w:r w:rsidR="00780BE0" w:rsidRPr="00E034B1">
        <w:rPr>
          <w:noProof/>
          <w:sz w:val="22"/>
          <w:szCs w:val="22"/>
        </w:rPr>
        <w:t>oncl</w:t>
      </w:r>
      <w:r w:rsidR="00B6426F" w:rsidRPr="00E034B1">
        <w:rPr>
          <w:noProof/>
          <w:sz w:val="22"/>
          <w:szCs w:val="22"/>
        </w:rPr>
        <w:t>usion</w:t>
      </w:r>
      <w:r w:rsidR="00B6426F" w:rsidRPr="00E034B1">
        <w:rPr>
          <w:noProof/>
          <w:sz w:val="22"/>
          <w:szCs w:val="22"/>
        </w:rPr>
        <w:tab/>
      </w:r>
      <w:r w:rsidR="0049062A" w:rsidRPr="00E034B1">
        <w:rPr>
          <w:noProof/>
          <w:sz w:val="22"/>
          <w:szCs w:val="22"/>
        </w:rPr>
        <w:t>6</w:t>
      </w:r>
      <w:r w:rsidR="00102724">
        <w:rPr>
          <w:noProof/>
          <w:sz w:val="22"/>
          <w:szCs w:val="22"/>
        </w:rPr>
        <w:t>6</w:t>
      </w:r>
    </w:p>
    <w:p w14:paraId="767C4244" w14:textId="77777777" w:rsidR="001B0613" w:rsidRPr="00E034B1" w:rsidRDefault="001B0613" w:rsidP="00A43161">
      <w:pPr>
        <w:pStyle w:val="ListParagraph"/>
        <w:tabs>
          <w:tab w:val="right" w:pos="8647"/>
        </w:tabs>
        <w:ind w:left="709"/>
        <w:contextualSpacing w:val="0"/>
        <w:rPr>
          <w:rStyle w:val="Bold"/>
          <w:sz w:val="22"/>
          <w:szCs w:val="22"/>
        </w:rPr>
      </w:pPr>
      <w:r w:rsidRPr="00E034B1">
        <w:rPr>
          <w:rStyle w:val="Bold"/>
          <w:sz w:val="22"/>
          <w:szCs w:val="22"/>
        </w:rPr>
        <w:t>Conclusion</w:t>
      </w:r>
      <w:r w:rsidRPr="00E034B1">
        <w:rPr>
          <w:rStyle w:val="Bold"/>
          <w:sz w:val="22"/>
          <w:szCs w:val="22"/>
        </w:rPr>
        <w:tab/>
      </w:r>
      <w:r w:rsidR="000F20FB" w:rsidRPr="00E034B1">
        <w:rPr>
          <w:rStyle w:val="Bold"/>
          <w:b w:val="0"/>
          <w:sz w:val="22"/>
          <w:szCs w:val="22"/>
        </w:rPr>
        <w:t>6</w:t>
      </w:r>
      <w:r w:rsidR="00102724">
        <w:rPr>
          <w:rStyle w:val="Bold"/>
          <w:b w:val="0"/>
          <w:sz w:val="22"/>
          <w:szCs w:val="22"/>
        </w:rPr>
        <w:t>7</w:t>
      </w:r>
    </w:p>
    <w:p w14:paraId="18071029" w14:textId="77777777" w:rsidR="002273F2" w:rsidRPr="00E034B1" w:rsidRDefault="00853F44" w:rsidP="00A90795">
      <w:pPr>
        <w:pStyle w:val="ListParagraph"/>
        <w:tabs>
          <w:tab w:val="right" w:pos="8647"/>
        </w:tabs>
        <w:ind w:left="709"/>
        <w:contextualSpacing w:val="0"/>
        <w:rPr>
          <w:rStyle w:val="Bold"/>
          <w:b w:val="0"/>
          <w:sz w:val="22"/>
          <w:szCs w:val="22"/>
        </w:rPr>
      </w:pPr>
      <w:r w:rsidRPr="00E034B1">
        <w:rPr>
          <w:rStyle w:val="Bold"/>
          <w:sz w:val="22"/>
          <w:szCs w:val="22"/>
        </w:rPr>
        <w:t>Reference</w:t>
      </w:r>
      <w:r w:rsidR="00A90795" w:rsidRPr="00E034B1">
        <w:rPr>
          <w:rStyle w:val="Bold"/>
          <w:sz w:val="22"/>
          <w:szCs w:val="22"/>
        </w:rPr>
        <w:t>s</w:t>
      </w:r>
      <w:r w:rsidR="002273F2" w:rsidRPr="00E034B1">
        <w:rPr>
          <w:rStyle w:val="Bold"/>
          <w:b w:val="0"/>
          <w:sz w:val="22"/>
          <w:szCs w:val="22"/>
        </w:rPr>
        <w:tab/>
      </w:r>
      <w:r w:rsidR="00102724">
        <w:rPr>
          <w:rStyle w:val="Bold"/>
          <w:b w:val="0"/>
          <w:sz w:val="22"/>
          <w:szCs w:val="22"/>
        </w:rPr>
        <w:t>69</w:t>
      </w:r>
    </w:p>
    <w:p w14:paraId="6203A645" w14:textId="77777777" w:rsidR="00B942B9" w:rsidRPr="00E034B1" w:rsidRDefault="00156B3A" w:rsidP="00A43161">
      <w:pPr>
        <w:pStyle w:val="ListParagraph"/>
        <w:tabs>
          <w:tab w:val="right" w:pos="8647"/>
        </w:tabs>
        <w:ind w:left="709"/>
        <w:contextualSpacing w:val="0"/>
        <w:rPr>
          <w:sz w:val="22"/>
          <w:szCs w:val="22"/>
        </w:rPr>
      </w:pPr>
      <w:r w:rsidRPr="00E034B1">
        <w:rPr>
          <w:b/>
          <w:sz w:val="22"/>
          <w:szCs w:val="22"/>
          <w:lang w:eastAsia="pl-PL"/>
        </w:rPr>
        <w:t>Glossary</w:t>
      </w:r>
      <w:r w:rsidR="00B942B9" w:rsidRPr="00E034B1">
        <w:rPr>
          <w:sz w:val="22"/>
          <w:szCs w:val="22"/>
        </w:rPr>
        <w:tab/>
      </w:r>
      <w:r w:rsidR="000F20FB" w:rsidRPr="00E034B1">
        <w:rPr>
          <w:sz w:val="22"/>
          <w:szCs w:val="22"/>
        </w:rPr>
        <w:t>8</w:t>
      </w:r>
      <w:r w:rsidR="00102724">
        <w:rPr>
          <w:sz w:val="22"/>
          <w:szCs w:val="22"/>
        </w:rPr>
        <w:t>1</w:t>
      </w:r>
    </w:p>
    <w:p w14:paraId="410E99CE" w14:textId="77777777" w:rsidR="001B2A76" w:rsidRPr="00E034B1" w:rsidRDefault="001B2A76" w:rsidP="00A43161">
      <w:pPr>
        <w:pStyle w:val="ListParagraph"/>
        <w:tabs>
          <w:tab w:val="right" w:pos="8647"/>
        </w:tabs>
        <w:ind w:left="709"/>
        <w:contextualSpacing w:val="0"/>
        <w:rPr>
          <w:sz w:val="22"/>
          <w:szCs w:val="22"/>
          <w:lang w:eastAsia="pl-PL"/>
        </w:rPr>
      </w:pPr>
      <w:r w:rsidRPr="00E034B1">
        <w:rPr>
          <w:b/>
          <w:sz w:val="22"/>
          <w:szCs w:val="22"/>
          <w:lang w:eastAsia="pl-PL"/>
        </w:rPr>
        <w:t>Annex</w:t>
      </w:r>
      <w:r w:rsidRPr="00E034B1">
        <w:rPr>
          <w:b/>
          <w:sz w:val="22"/>
          <w:szCs w:val="22"/>
          <w:lang w:eastAsia="pl-PL"/>
        </w:rPr>
        <w:tab/>
      </w:r>
      <w:r w:rsidR="000F20FB" w:rsidRPr="00E034B1">
        <w:rPr>
          <w:sz w:val="22"/>
          <w:szCs w:val="22"/>
          <w:lang w:eastAsia="pl-PL"/>
        </w:rPr>
        <w:t>8</w:t>
      </w:r>
      <w:r w:rsidR="00102724">
        <w:rPr>
          <w:sz w:val="22"/>
          <w:szCs w:val="22"/>
          <w:lang w:eastAsia="pl-PL"/>
        </w:rPr>
        <w:t>3</w:t>
      </w:r>
    </w:p>
    <w:p w14:paraId="682F4D86" w14:textId="77777777" w:rsidR="00764144" w:rsidRPr="00E034B1" w:rsidRDefault="00764144" w:rsidP="00764144">
      <w:pPr>
        <w:pStyle w:val="ListParagraph"/>
        <w:tabs>
          <w:tab w:val="right" w:pos="8647"/>
        </w:tabs>
        <w:ind w:left="709"/>
        <w:contextualSpacing w:val="0"/>
        <w:rPr>
          <w:sz w:val="22"/>
          <w:szCs w:val="22"/>
          <w:lang w:eastAsia="pl-PL"/>
        </w:rPr>
      </w:pPr>
    </w:p>
    <w:p w14:paraId="79BDF7C6" w14:textId="77777777" w:rsidR="00764144" w:rsidRPr="00E034B1" w:rsidRDefault="00764144" w:rsidP="00764144">
      <w:pPr>
        <w:pStyle w:val="NewPara"/>
        <w:pBdr>
          <w:top w:val="single" w:sz="4" w:space="6" w:color="auto"/>
          <w:bottom w:val="single" w:sz="4" w:space="6" w:color="auto"/>
        </w:pBdr>
        <w:spacing w:before="120" w:after="120"/>
        <w:jc w:val="center"/>
        <w:rPr>
          <w:rStyle w:val="Bold"/>
        </w:rPr>
      </w:pPr>
      <w:r w:rsidRPr="00E034B1">
        <w:rPr>
          <w:rStyle w:val="Bold"/>
        </w:rPr>
        <w:t>Boxes</w:t>
      </w:r>
    </w:p>
    <w:p w14:paraId="07D76EEE" w14:textId="77777777" w:rsidR="00764144" w:rsidRPr="00E034B1" w:rsidRDefault="00764144" w:rsidP="00764144">
      <w:pPr>
        <w:pStyle w:val="ListParagraph"/>
        <w:tabs>
          <w:tab w:val="right" w:pos="8647"/>
        </w:tabs>
        <w:ind w:left="709"/>
        <w:contextualSpacing w:val="0"/>
        <w:rPr>
          <w:b/>
          <w:sz w:val="22"/>
          <w:szCs w:val="22"/>
          <w:lang w:eastAsia="pl-PL"/>
        </w:rPr>
      </w:pPr>
    </w:p>
    <w:p w14:paraId="6EC747A5" w14:textId="77777777" w:rsidR="00764144" w:rsidRPr="00E034B1" w:rsidRDefault="00764144" w:rsidP="00764144">
      <w:pPr>
        <w:pStyle w:val="ListParagraph"/>
        <w:tabs>
          <w:tab w:val="right" w:pos="8647"/>
        </w:tabs>
        <w:ind w:left="709"/>
        <w:contextualSpacing w:val="0"/>
        <w:rPr>
          <w:sz w:val="22"/>
          <w:szCs w:val="22"/>
          <w:lang w:eastAsia="pl-PL"/>
        </w:rPr>
      </w:pPr>
      <w:r w:rsidRPr="00E034B1">
        <w:rPr>
          <w:sz w:val="22"/>
          <w:szCs w:val="22"/>
          <w:lang w:eastAsia="pl-PL"/>
        </w:rPr>
        <w:t>Box 1</w:t>
      </w:r>
      <w:r w:rsidRPr="00E034B1">
        <w:rPr>
          <w:sz w:val="22"/>
          <w:szCs w:val="22"/>
          <w:lang w:eastAsia="pl-PL"/>
        </w:rPr>
        <w:tab/>
        <w:t>2</w:t>
      </w:r>
      <w:r w:rsidR="00102724">
        <w:rPr>
          <w:sz w:val="22"/>
          <w:szCs w:val="22"/>
          <w:lang w:eastAsia="pl-PL"/>
        </w:rPr>
        <w:t>0</w:t>
      </w:r>
    </w:p>
    <w:p w14:paraId="6E148511" w14:textId="77777777" w:rsidR="00764144" w:rsidRPr="00E034B1" w:rsidRDefault="00764144" w:rsidP="00764144">
      <w:pPr>
        <w:pStyle w:val="ListParagraph"/>
        <w:tabs>
          <w:tab w:val="right" w:pos="8647"/>
        </w:tabs>
        <w:ind w:left="709"/>
        <w:contextualSpacing w:val="0"/>
        <w:rPr>
          <w:sz w:val="22"/>
          <w:szCs w:val="22"/>
          <w:lang w:val="it-IT" w:eastAsia="pl-PL"/>
        </w:rPr>
      </w:pPr>
      <w:r w:rsidRPr="00E034B1">
        <w:rPr>
          <w:sz w:val="22"/>
          <w:szCs w:val="22"/>
          <w:lang w:val="it-IT" w:eastAsia="pl-PL"/>
        </w:rPr>
        <w:t>Box 2</w:t>
      </w:r>
      <w:r w:rsidRPr="00E034B1">
        <w:rPr>
          <w:sz w:val="22"/>
          <w:szCs w:val="22"/>
          <w:lang w:val="it-IT" w:eastAsia="pl-PL"/>
        </w:rPr>
        <w:tab/>
        <w:t>2</w:t>
      </w:r>
      <w:r w:rsidR="00102724">
        <w:rPr>
          <w:sz w:val="22"/>
          <w:szCs w:val="22"/>
          <w:lang w:val="it-IT" w:eastAsia="pl-PL"/>
        </w:rPr>
        <w:t>2</w:t>
      </w:r>
    </w:p>
    <w:p w14:paraId="2441CE65" w14:textId="77777777" w:rsidR="00764144" w:rsidRPr="00E034B1" w:rsidRDefault="00764144" w:rsidP="00764144">
      <w:pPr>
        <w:pStyle w:val="ListParagraph"/>
        <w:tabs>
          <w:tab w:val="right" w:pos="8647"/>
        </w:tabs>
        <w:ind w:left="709"/>
        <w:contextualSpacing w:val="0"/>
        <w:rPr>
          <w:sz w:val="22"/>
          <w:szCs w:val="22"/>
          <w:lang w:val="it-IT" w:eastAsia="pl-PL"/>
        </w:rPr>
      </w:pPr>
      <w:r w:rsidRPr="00E034B1">
        <w:rPr>
          <w:sz w:val="22"/>
          <w:szCs w:val="22"/>
          <w:lang w:val="it-IT" w:eastAsia="pl-PL"/>
        </w:rPr>
        <w:t>Box I.1</w:t>
      </w:r>
      <w:r w:rsidRPr="00E034B1">
        <w:rPr>
          <w:sz w:val="22"/>
          <w:szCs w:val="22"/>
          <w:lang w:val="it-IT" w:eastAsia="pl-PL"/>
        </w:rPr>
        <w:tab/>
        <w:t>3</w:t>
      </w:r>
      <w:r w:rsidR="00102724">
        <w:rPr>
          <w:sz w:val="22"/>
          <w:szCs w:val="22"/>
          <w:lang w:val="it-IT" w:eastAsia="pl-PL"/>
        </w:rPr>
        <w:t>7</w:t>
      </w:r>
    </w:p>
    <w:p w14:paraId="0B97BDDB" w14:textId="77777777" w:rsidR="00764144" w:rsidRPr="00E034B1" w:rsidRDefault="00764144" w:rsidP="00764144">
      <w:pPr>
        <w:pStyle w:val="ListParagraph"/>
        <w:tabs>
          <w:tab w:val="right" w:pos="8647"/>
        </w:tabs>
        <w:ind w:left="709"/>
        <w:contextualSpacing w:val="0"/>
        <w:rPr>
          <w:sz w:val="22"/>
          <w:szCs w:val="22"/>
          <w:lang w:val="it-IT" w:eastAsia="pl-PL"/>
        </w:rPr>
      </w:pPr>
      <w:r w:rsidRPr="00E034B1">
        <w:rPr>
          <w:sz w:val="22"/>
          <w:szCs w:val="22"/>
          <w:lang w:val="it-IT" w:eastAsia="pl-PL"/>
        </w:rPr>
        <w:t>Box I.2</w:t>
      </w:r>
      <w:r w:rsidRPr="00E034B1">
        <w:rPr>
          <w:sz w:val="22"/>
          <w:szCs w:val="22"/>
          <w:lang w:val="it-IT" w:eastAsia="pl-PL"/>
        </w:rPr>
        <w:tab/>
        <w:t>3</w:t>
      </w:r>
      <w:r w:rsidR="00102724">
        <w:rPr>
          <w:sz w:val="22"/>
          <w:szCs w:val="22"/>
          <w:lang w:val="it-IT" w:eastAsia="pl-PL"/>
        </w:rPr>
        <w:t>8</w:t>
      </w:r>
    </w:p>
    <w:p w14:paraId="575B20C5" w14:textId="77777777" w:rsidR="000F7A46" w:rsidRPr="00E034B1" w:rsidRDefault="000F7A46" w:rsidP="00A43161">
      <w:pPr>
        <w:pStyle w:val="ListParagraph"/>
        <w:tabs>
          <w:tab w:val="right" w:pos="8647"/>
        </w:tabs>
        <w:ind w:left="709"/>
        <w:contextualSpacing w:val="0"/>
        <w:rPr>
          <w:sz w:val="22"/>
          <w:szCs w:val="22"/>
          <w:lang w:val="it-IT" w:eastAsia="pl-PL"/>
        </w:rPr>
      </w:pPr>
    </w:p>
    <w:p w14:paraId="5E0517D5" w14:textId="77777777" w:rsidR="000F7A46" w:rsidRPr="00E034B1" w:rsidRDefault="000F7A46" w:rsidP="000F7A46">
      <w:pPr>
        <w:pStyle w:val="NewPara"/>
        <w:pBdr>
          <w:top w:val="single" w:sz="4" w:space="6" w:color="auto"/>
          <w:bottom w:val="single" w:sz="4" w:space="6" w:color="auto"/>
        </w:pBdr>
        <w:spacing w:before="120" w:after="120"/>
        <w:jc w:val="center"/>
        <w:rPr>
          <w:rStyle w:val="Bold"/>
          <w:lang w:val="fr-FR"/>
        </w:rPr>
      </w:pPr>
      <w:r w:rsidRPr="00E034B1">
        <w:rPr>
          <w:rStyle w:val="Bold"/>
          <w:lang w:val="fr-FR"/>
        </w:rPr>
        <w:t>Figures</w:t>
      </w:r>
    </w:p>
    <w:p w14:paraId="0470204C" w14:textId="77777777" w:rsidR="000F7A46" w:rsidRPr="00E034B1" w:rsidRDefault="000F7A46" w:rsidP="00A43161">
      <w:pPr>
        <w:pStyle w:val="ListParagraph"/>
        <w:tabs>
          <w:tab w:val="right" w:pos="8647"/>
        </w:tabs>
        <w:ind w:left="709"/>
        <w:contextualSpacing w:val="0"/>
        <w:rPr>
          <w:b/>
          <w:sz w:val="22"/>
          <w:szCs w:val="22"/>
          <w:lang w:val="fr-FR" w:eastAsia="pl-PL"/>
        </w:rPr>
      </w:pPr>
    </w:p>
    <w:p w14:paraId="5C93B5E3" w14:textId="77777777" w:rsidR="000F7A46" w:rsidRPr="00E034B1" w:rsidRDefault="000F7A46" w:rsidP="00A43161">
      <w:pPr>
        <w:pStyle w:val="ListParagraph"/>
        <w:tabs>
          <w:tab w:val="right" w:pos="8647"/>
        </w:tabs>
        <w:ind w:left="709"/>
        <w:contextualSpacing w:val="0"/>
        <w:rPr>
          <w:sz w:val="22"/>
          <w:szCs w:val="22"/>
          <w:lang w:val="fr-FR" w:eastAsia="pl-PL"/>
        </w:rPr>
      </w:pPr>
      <w:r w:rsidRPr="00E034B1">
        <w:rPr>
          <w:sz w:val="22"/>
          <w:szCs w:val="22"/>
          <w:lang w:val="fr-FR" w:eastAsia="pl-PL"/>
        </w:rPr>
        <w:t>Figure 1</w:t>
      </w:r>
      <w:r w:rsidRPr="00E034B1">
        <w:rPr>
          <w:sz w:val="22"/>
          <w:szCs w:val="22"/>
          <w:lang w:val="fr-FR" w:eastAsia="pl-PL"/>
        </w:rPr>
        <w:tab/>
      </w:r>
      <w:r w:rsidR="00102724">
        <w:rPr>
          <w:sz w:val="22"/>
          <w:szCs w:val="22"/>
          <w:lang w:val="fr-FR" w:eastAsia="pl-PL"/>
        </w:rPr>
        <w:t>5</w:t>
      </w:r>
    </w:p>
    <w:p w14:paraId="29B59ABC" w14:textId="77777777" w:rsidR="000F7A46" w:rsidRPr="00E034B1" w:rsidRDefault="000F7A46" w:rsidP="00A43161">
      <w:pPr>
        <w:pStyle w:val="ListParagraph"/>
        <w:tabs>
          <w:tab w:val="right" w:pos="8647"/>
        </w:tabs>
        <w:ind w:left="709"/>
        <w:contextualSpacing w:val="0"/>
        <w:rPr>
          <w:sz w:val="22"/>
          <w:szCs w:val="22"/>
          <w:lang w:val="fr-FR" w:eastAsia="pl-PL"/>
        </w:rPr>
      </w:pPr>
      <w:r w:rsidRPr="00E034B1">
        <w:rPr>
          <w:sz w:val="22"/>
          <w:szCs w:val="22"/>
          <w:lang w:val="fr-FR" w:eastAsia="pl-PL"/>
        </w:rPr>
        <w:t>Figure 2</w:t>
      </w:r>
      <w:r w:rsidRPr="00E034B1">
        <w:rPr>
          <w:sz w:val="22"/>
          <w:szCs w:val="22"/>
          <w:lang w:val="fr-FR" w:eastAsia="pl-PL"/>
        </w:rPr>
        <w:tab/>
      </w:r>
      <w:r w:rsidR="00102724">
        <w:rPr>
          <w:sz w:val="22"/>
          <w:szCs w:val="22"/>
          <w:lang w:val="fr-FR" w:eastAsia="pl-PL"/>
        </w:rPr>
        <w:t>8</w:t>
      </w:r>
    </w:p>
    <w:p w14:paraId="36FDECE6" w14:textId="77777777" w:rsidR="000F7A46" w:rsidRPr="00E034B1" w:rsidRDefault="000F7A46" w:rsidP="00A43161">
      <w:pPr>
        <w:pStyle w:val="ListParagraph"/>
        <w:tabs>
          <w:tab w:val="right" w:pos="8647"/>
        </w:tabs>
        <w:ind w:left="709"/>
        <w:contextualSpacing w:val="0"/>
        <w:rPr>
          <w:sz w:val="22"/>
          <w:szCs w:val="22"/>
          <w:lang w:val="fr-FR" w:eastAsia="pl-PL"/>
        </w:rPr>
      </w:pPr>
      <w:r w:rsidRPr="00E034B1">
        <w:rPr>
          <w:sz w:val="22"/>
          <w:szCs w:val="22"/>
          <w:lang w:val="fr-FR" w:eastAsia="pl-PL"/>
        </w:rPr>
        <w:t>Figure 3</w:t>
      </w:r>
      <w:r w:rsidRPr="00E034B1">
        <w:rPr>
          <w:sz w:val="22"/>
          <w:szCs w:val="22"/>
          <w:lang w:val="fr-FR" w:eastAsia="pl-PL"/>
        </w:rPr>
        <w:tab/>
      </w:r>
      <w:r w:rsidR="00D224C0" w:rsidRPr="00E034B1">
        <w:rPr>
          <w:sz w:val="22"/>
          <w:szCs w:val="22"/>
          <w:lang w:val="fr-FR" w:eastAsia="pl-PL"/>
        </w:rPr>
        <w:t>1</w:t>
      </w:r>
      <w:r w:rsidR="00102724">
        <w:rPr>
          <w:sz w:val="22"/>
          <w:szCs w:val="22"/>
          <w:lang w:val="fr-FR" w:eastAsia="pl-PL"/>
        </w:rPr>
        <w:t>0</w:t>
      </w:r>
    </w:p>
    <w:p w14:paraId="4675FBC9" w14:textId="77777777" w:rsidR="000F7A46" w:rsidRPr="00E034B1" w:rsidRDefault="000F7A46" w:rsidP="00A43161">
      <w:pPr>
        <w:pStyle w:val="ListParagraph"/>
        <w:tabs>
          <w:tab w:val="right" w:pos="8647"/>
        </w:tabs>
        <w:ind w:left="709"/>
        <w:contextualSpacing w:val="0"/>
        <w:rPr>
          <w:sz w:val="22"/>
          <w:szCs w:val="22"/>
          <w:lang w:val="fr-FR" w:eastAsia="pl-PL"/>
        </w:rPr>
      </w:pPr>
      <w:r w:rsidRPr="00E034B1">
        <w:rPr>
          <w:sz w:val="22"/>
          <w:szCs w:val="22"/>
          <w:lang w:val="fr-FR" w:eastAsia="pl-PL"/>
        </w:rPr>
        <w:t>Figure 4</w:t>
      </w:r>
      <w:r w:rsidRPr="00E034B1">
        <w:rPr>
          <w:sz w:val="22"/>
          <w:szCs w:val="22"/>
          <w:lang w:val="fr-FR" w:eastAsia="pl-PL"/>
        </w:rPr>
        <w:tab/>
      </w:r>
      <w:r w:rsidR="00D224C0" w:rsidRPr="00E034B1">
        <w:rPr>
          <w:sz w:val="22"/>
          <w:szCs w:val="22"/>
          <w:lang w:val="fr-FR" w:eastAsia="pl-PL"/>
        </w:rPr>
        <w:t>1</w:t>
      </w:r>
      <w:r w:rsidR="00102724">
        <w:rPr>
          <w:sz w:val="22"/>
          <w:szCs w:val="22"/>
          <w:lang w:val="fr-FR" w:eastAsia="pl-PL"/>
        </w:rPr>
        <w:t>1</w:t>
      </w:r>
    </w:p>
    <w:p w14:paraId="37492BC1" w14:textId="77777777" w:rsidR="000F7A46" w:rsidRPr="00E034B1" w:rsidRDefault="000F7A46" w:rsidP="00A43161">
      <w:pPr>
        <w:pStyle w:val="ListParagraph"/>
        <w:tabs>
          <w:tab w:val="right" w:pos="8647"/>
        </w:tabs>
        <w:ind w:left="709"/>
        <w:contextualSpacing w:val="0"/>
        <w:rPr>
          <w:sz w:val="22"/>
          <w:szCs w:val="22"/>
          <w:lang w:val="fr-FR" w:eastAsia="pl-PL"/>
        </w:rPr>
      </w:pPr>
      <w:r w:rsidRPr="00E034B1">
        <w:rPr>
          <w:sz w:val="22"/>
          <w:szCs w:val="22"/>
          <w:lang w:val="fr-FR" w:eastAsia="pl-PL"/>
        </w:rPr>
        <w:t>Figure 5</w:t>
      </w:r>
      <w:r w:rsidRPr="00E034B1">
        <w:rPr>
          <w:sz w:val="22"/>
          <w:szCs w:val="22"/>
          <w:lang w:val="fr-FR" w:eastAsia="pl-PL"/>
        </w:rPr>
        <w:tab/>
      </w:r>
      <w:r w:rsidR="00D224C0" w:rsidRPr="00E034B1">
        <w:rPr>
          <w:sz w:val="22"/>
          <w:szCs w:val="22"/>
          <w:lang w:val="fr-FR" w:eastAsia="pl-PL"/>
        </w:rPr>
        <w:t>1</w:t>
      </w:r>
      <w:r w:rsidR="00102724">
        <w:rPr>
          <w:sz w:val="22"/>
          <w:szCs w:val="22"/>
          <w:lang w:val="fr-FR" w:eastAsia="pl-PL"/>
        </w:rPr>
        <w:t>3</w:t>
      </w:r>
    </w:p>
    <w:p w14:paraId="0D206DDF" w14:textId="77777777" w:rsidR="000F7A46" w:rsidRPr="00E034B1" w:rsidRDefault="000F7A46" w:rsidP="00A43161">
      <w:pPr>
        <w:pStyle w:val="ListParagraph"/>
        <w:tabs>
          <w:tab w:val="right" w:pos="8647"/>
        </w:tabs>
        <w:ind w:left="709"/>
        <w:contextualSpacing w:val="0"/>
        <w:rPr>
          <w:sz w:val="22"/>
          <w:szCs w:val="22"/>
          <w:lang w:val="fr-FR" w:eastAsia="pl-PL"/>
        </w:rPr>
      </w:pPr>
      <w:r w:rsidRPr="00E034B1">
        <w:rPr>
          <w:sz w:val="22"/>
          <w:szCs w:val="22"/>
          <w:lang w:val="fr-FR" w:eastAsia="pl-PL"/>
        </w:rPr>
        <w:t>Figure 6</w:t>
      </w:r>
      <w:r w:rsidRPr="00E034B1">
        <w:rPr>
          <w:sz w:val="22"/>
          <w:szCs w:val="22"/>
          <w:lang w:val="fr-FR" w:eastAsia="pl-PL"/>
        </w:rPr>
        <w:tab/>
        <w:t>1</w:t>
      </w:r>
      <w:r w:rsidR="00102724">
        <w:rPr>
          <w:sz w:val="22"/>
          <w:szCs w:val="22"/>
          <w:lang w:val="fr-FR" w:eastAsia="pl-PL"/>
        </w:rPr>
        <w:t>5</w:t>
      </w:r>
    </w:p>
    <w:p w14:paraId="3023C6ED" w14:textId="77777777" w:rsidR="000F7A46" w:rsidRPr="00E034B1" w:rsidRDefault="000F7A46" w:rsidP="00A43161">
      <w:pPr>
        <w:pStyle w:val="ListParagraph"/>
        <w:tabs>
          <w:tab w:val="right" w:pos="8647"/>
        </w:tabs>
        <w:ind w:left="709"/>
        <w:contextualSpacing w:val="0"/>
        <w:rPr>
          <w:sz w:val="22"/>
          <w:szCs w:val="22"/>
          <w:lang w:val="fr-FR" w:eastAsia="pl-PL"/>
        </w:rPr>
      </w:pPr>
      <w:r w:rsidRPr="00E034B1">
        <w:rPr>
          <w:sz w:val="22"/>
          <w:szCs w:val="22"/>
          <w:lang w:val="fr-FR" w:eastAsia="pl-PL"/>
        </w:rPr>
        <w:t>Figure 7</w:t>
      </w:r>
      <w:r w:rsidRPr="00E034B1">
        <w:rPr>
          <w:sz w:val="22"/>
          <w:szCs w:val="22"/>
          <w:lang w:val="fr-FR" w:eastAsia="pl-PL"/>
        </w:rPr>
        <w:tab/>
        <w:t>2</w:t>
      </w:r>
      <w:r w:rsidR="00102724">
        <w:rPr>
          <w:sz w:val="22"/>
          <w:szCs w:val="22"/>
          <w:lang w:val="fr-FR" w:eastAsia="pl-PL"/>
        </w:rPr>
        <w:t>3</w:t>
      </w:r>
    </w:p>
    <w:p w14:paraId="67932D70" w14:textId="77777777" w:rsidR="00D224C0" w:rsidRPr="00E034B1" w:rsidRDefault="00D224C0">
      <w:pPr>
        <w:pStyle w:val="ListParagraph"/>
        <w:tabs>
          <w:tab w:val="right" w:pos="8647"/>
        </w:tabs>
        <w:ind w:left="709"/>
        <w:contextualSpacing w:val="0"/>
        <w:rPr>
          <w:sz w:val="22"/>
          <w:szCs w:val="22"/>
          <w:lang w:val="fr-FR" w:eastAsia="pl-PL"/>
        </w:rPr>
      </w:pPr>
      <w:r w:rsidRPr="00E034B1">
        <w:rPr>
          <w:sz w:val="22"/>
          <w:szCs w:val="22"/>
          <w:lang w:val="fr-FR" w:eastAsia="pl-PL"/>
        </w:rPr>
        <w:t>Figure I.1</w:t>
      </w:r>
      <w:r w:rsidRPr="00E034B1">
        <w:rPr>
          <w:sz w:val="22"/>
          <w:szCs w:val="22"/>
          <w:lang w:val="fr-FR" w:eastAsia="pl-PL"/>
        </w:rPr>
        <w:tab/>
        <w:t>2</w:t>
      </w:r>
      <w:r w:rsidR="00102724">
        <w:rPr>
          <w:sz w:val="22"/>
          <w:szCs w:val="22"/>
          <w:lang w:val="fr-FR" w:eastAsia="pl-PL"/>
        </w:rPr>
        <w:t>7</w:t>
      </w:r>
    </w:p>
    <w:p w14:paraId="14431C7F" w14:textId="77777777" w:rsidR="00D224C0" w:rsidRPr="00E034B1" w:rsidRDefault="00D224C0">
      <w:pPr>
        <w:pStyle w:val="ListParagraph"/>
        <w:tabs>
          <w:tab w:val="right" w:pos="8647"/>
        </w:tabs>
        <w:ind w:left="709"/>
        <w:contextualSpacing w:val="0"/>
        <w:rPr>
          <w:sz w:val="22"/>
          <w:szCs w:val="22"/>
          <w:lang w:val="fr-FR" w:eastAsia="pl-PL"/>
        </w:rPr>
      </w:pPr>
      <w:r w:rsidRPr="00E034B1">
        <w:rPr>
          <w:sz w:val="22"/>
          <w:szCs w:val="22"/>
          <w:lang w:val="fr-FR" w:eastAsia="pl-PL"/>
        </w:rPr>
        <w:t>Figure I.2</w:t>
      </w:r>
      <w:r w:rsidRPr="00E034B1">
        <w:rPr>
          <w:sz w:val="22"/>
          <w:szCs w:val="22"/>
          <w:lang w:val="fr-FR" w:eastAsia="pl-PL"/>
        </w:rPr>
        <w:tab/>
        <w:t>3</w:t>
      </w:r>
      <w:r w:rsidR="00102724">
        <w:rPr>
          <w:sz w:val="22"/>
          <w:szCs w:val="22"/>
          <w:lang w:val="fr-FR" w:eastAsia="pl-PL"/>
        </w:rPr>
        <w:t>2</w:t>
      </w:r>
    </w:p>
    <w:p w14:paraId="6DA902CF" w14:textId="77777777" w:rsidR="00D224C0" w:rsidRPr="00E034B1" w:rsidRDefault="00D224C0">
      <w:pPr>
        <w:pStyle w:val="ListParagraph"/>
        <w:tabs>
          <w:tab w:val="right" w:pos="8647"/>
        </w:tabs>
        <w:ind w:left="709"/>
        <w:contextualSpacing w:val="0"/>
        <w:rPr>
          <w:sz w:val="22"/>
          <w:szCs w:val="22"/>
          <w:lang w:val="fr-FR" w:eastAsia="pl-PL"/>
        </w:rPr>
      </w:pPr>
      <w:r w:rsidRPr="00E034B1">
        <w:rPr>
          <w:sz w:val="22"/>
          <w:szCs w:val="22"/>
          <w:lang w:val="fr-FR" w:eastAsia="pl-PL"/>
        </w:rPr>
        <w:t>Figure I.3</w:t>
      </w:r>
      <w:r w:rsidRPr="00E034B1">
        <w:rPr>
          <w:sz w:val="22"/>
          <w:szCs w:val="22"/>
          <w:lang w:val="fr-FR" w:eastAsia="pl-PL"/>
        </w:rPr>
        <w:tab/>
        <w:t>3</w:t>
      </w:r>
      <w:r w:rsidR="00102724">
        <w:rPr>
          <w:sz w:val="22"/>
          <w:szCs w:val="22"/>
          <w:lang w:val="fr-FR" w:eastAsia="pl-PL"/>
        </w:rPr>
        <w:t>5</w:t>
      </w:r>
    </w:p>
    <w:p w14:paraId="07DDB4C4" w14:textId="77777777" w:rsidR="00D224C0" w:rsidRPr="00E034B1" w:rsidRDefault="00D224C0">
      <w:pPr>
        <w:pStyle w:val="ListParagraph"/>
        <w:tabs>
          <w:tab w:val="right" w:pos="8647"/>
        </w:tabs>
        <w:ind w:left="709"/>
        <w:contextualSpacing w:val="0"/>
        <w:rPr>
          <w:b/>
          <w:sz w:val="22"/>
          <w:szCs w:val="22"/>
          <w:lang w:val="fr-FR" w:eastAsia="pl-PL"/>
        </w:rPr>
      </w:pPr>
      <w:r w:rsidRPr="00E034B1">
        <w:rPr>
          <w:sz w:val="22"/>
          <w:szCs w:val="22"/>
          <w:lang w:val="fr-FR" w:eastAsia="pl-PL"/>
        </w:rPr>
        <w:t>Figure I.4</w:t>
      </w:r>
      <w:r w:rsidRPr="00E034B1">
        <w:rPr>
          <w:sz w:val="22"/>
          <w:szCs w:val="22"/>
          <w:lang w:val="fr-FR" w:eastAsia="pl-PL"/>
        </w:rPr>
        <w:tab/>
        <w:t>5</w:t>
      </w:r>
      <w:r w:rsidR="00102724">
        <w:rPr>
          <w:sz w:val="22"/>
          <w:szCs w:val="22"/>
          <w:lang w:val="fr-FR" w:eastAsia="pl-PL"/>
        </w:rPr>
        <w:t>2</w:t>
      </w:r>
    </w:p>
    <w:p w14:paraId="5F6C7687" w14:textId="77777777" w:rsidR="000F7A46" w:rsidRPr="00E034B1" w:rsidRDefault="000F7A46" w:rsidP="000F7A46">
      <w:pPr>
        <w:pStyle w:val="ListParagraph"/>
        <w:tabs>
          <w:tab w:val="right" w:pos="8647"/>
        </w:tabs>
        <w:ind w:left="709"/>
        <w:contextualSpacing w:val="0"/>
        <w:rPr>
          <w:sz w:val="22"/>
          <w:szCs w:val="22"/>
          <w:lang w:val="fr-FR" w:eastAsia="pl-PL"/>
        </w:rPr>
      </w:pPr>
    </w:p>
    <w:p w14:paraId="5F0C0324" w14:textId="77777777" w:rsidR="000F7A46" w:rsidRPr="00E034B1" w:rsidRDefault="000F7A46" w:rsidP="000F7A46">
      <w:pPr>
        <w:pStyle w:val="NewPara"/>
        <w:pBdr>
          <w:top w:val="single" w:sz="4" w:space="6" w:color="auto"/>
          <w:bottom w:val="single" w:sz="4" w:space="6" w:color="auto"/>
        </w:pBdr>
        <w:spacing w:before="120" w:after="120"/>
        <w:jc w:val="center"/>
        <w:rPr>
          <w:rStyle w:val="Bold"/>
        </w:rPr>
      </w:pPr>
      <w:r w:rsidRPr="00E034B1">
        <w:rPr>
          <w:rStyle w:val="Bold"/>
        </w:rPr>
        <w:t>Tables</w:t>
      </w:r>
    </w:p>
    <w:p w14:paraId="6AE15DB5" w14:textId="77777777" w:rsidR="000F7A46" w:rsidRPr="00E034B1" w:rsidRDefault="000F7A46" w:rsidP="000F7A46">
      <w:pPr>
        <w:pStyle w:val="ListParagraph"/>
        <w:tabs>
          <w:tab w:val="right" w:pos="8647"/>
        </w:tabs>
        <w:ind w:left="709"/>
        <w:contextualSpacing w:val="0"/>
        <w:rPr>
          <w:b/>
          <w:sz w:val="22"/>
          <w:szCs w:val="22"/>
          <w:lang w:eastAsia="pl-PL"/>
        </w:rPr>
      </w:pPr>
    </w:p>
    <w:p w14:paraId="62D4DC97" w14:textId="77777777" w:rsidR="000F7A46" w:rsidRPr="00E034B1" w:rsidRDefault="000F7A46" w:rsidP="000F7A46">
      <w:pPr>
        <w:pStyle w:val="ListParagraph"/>
        <w:tabs>
          <w:tab w:val="right" w:pos="8647"/>
        </w:tabs>
        <w:ind w:left="709"/>
        <w:contextualSpacing w:val="0"/>
        <w:rPr>
          <w:sz w:val="22"/>
          <w:szCs w:val="22"/>
          <w:lang w:eastAsia="pl-PL"/>
        </w:rPr>
      </w:pPr>
      <w:r w:rsidRPr="00E034B1">
        <w:rPr>
          <w:sz w:val="22"/>
          <w:szCs w:val="22"/>
          <w:lang w:eastAsia="pl-PL"/>
        </w:rPr>
        <w:t>Table 1A</w:t>
      </w:r>
      <w:r w:rsidRPr="00E034B1">
        <w:rPr>
          <w:sz w:val="22"/>
          <w:szCs w:val="22"/>
          <w:lang w:eastAsia="pl-PL"/>
        </w:rPr>
        <w:tab/>
        <w:t>1</w:t>
      </w:r>
      <w:r w:rsidR="00102724">
        <w:rPr>
          <w:sz w:val="22"/>
          <w:szCs w:val="22"/>
          <w:lang w:eastAsia="pl-PL"/>
        </w:rPr>
        <w:t>6</w:t>
      </w:r>
    </w:p>
    <w:p w14:paraId="1B1F862B" w14:textId="77777777" w:rsidR="000F7A46" w:rsidRPr="00E034B1" w:rsidRDefault="000F7A46" w:rsidP="000F7A46">
      <w:pPr>
        <w:pStyle w:val="ListParagraph"/>
        <w:tabs>
          <w:tab w:val="right" w:pos="8647"/>
        </w:tabs>
        <w:ind w:left="709"/>
        <w:contextualSpacing w:val="0"/>
        <w:rPr>
          <w:sz w:val="22"/>
          <w:szCs w:val="22"/>
          <w:lang w:eastAsia="pl-PL"/>
        </w:rPr>
      </w:pPr>
      <w:r w:rsidRPr="00E034B1">
        <w:rPr>
          <w:sz w:val="22"/>
          <w:szCs w:val="22"/>
          <w:lang w:eastAsia="pl-PL"/>
        </w:rPr>
        <w:t>Table 1B</w:t>
      </w:r>
      <w:r w:rsidRPr="00E034B1">
        <w:rPr>
          <w:sz w:val="22"/>
          <w:szCs w:val="22"/>
          <w:lang w:eastAsia="pl-PL"/>
        </w:rPr>
        <w:tab/>
      </w:r>
      <w:r w:rsidR="00D224C0" w:rsidRPr="00E034B1">
        <w:rPr>
          <w:sz w:val="22"/>
          <w:szCs w:val="22"/>
          <w:lang w:eastAsia="pl-PL"/>
        </w:rPr>
        <w:t>1</w:t>
      </w:r>
      <w:r w:rsidR="00102724">
        <w:rPr>
          <w:sz w:val="22"/>
          <w:szCs w:val="22"/>
          <w:lang w:eastAsia="pl-PL"/>
        </w:rPr>
        <w:t>7</w:t>
      </w:r>
    </w:p>
    <w:p w14:paraId="236AD605" w14:textId="77777777" w:rsidR="000F7A46" w:rsidRPr="00E034B1" w:rsidRDefault="000F7A46" w:rsidP="000F7A46">
      <w:pPr>
        <w:pStyle w:val="ListParagraph"/>
        <w:tabs>
          <w:tab w:val="right" w:pos="8647"/>
        </w:tabs>
        <w:ind w:left="709"/>
        <w:contextualSpacing w:val="0"/>
        <w:rPr>
          <w:sz w:val="22"/>
          <w:szCs w:val="22"/>
          <w:lang w:eastAsia="pl-PL"/>
        </w:rPr>
      </w:pPr>
      <w:r w:rsidRPr="00E034B1">
        <w:rPr>
          <w:sz w:val="22"/>
          <w:szCs w:val="22"/>
          <w:lang w:eastAsia="pl-PL"/>
        </w:rPr>
        <w:t>Table I.1</w:t>
      </w:r>
      <w:r w:rsidRPr="00E034B1">
        <w:rPr>
          <w:sz w:val="22"/>
          <w:szCs w:val="22"/>
          <w:lang w:eastAsia="pl-PL"/>
        </w:rPr>
        <w:tab/>
        <w:t>4</w:t>
      </w:r>
      <w:r w:rsidR="00102724">
        <w:rPr>
          <w:sz w:val="22"/>
          <w:szCs w:val="22"/>
          <w:lang w:eastAsia="pl-PL"/>
        </w:rPr>
        <w:t>0</w:t>
      </w:r>
    </w:p>
    <w:p w14:paraId="54A152B6" w14:textId="77777777" w:rsidR="000F7A46" w:rsidRPr="00E034B1" w:rsidRDefault="000F7A46">
      <w:pPr>
        <w:pStyle w:val="ListParagraph"/>
        <w:tabs>
          <w:tab w:val="right" w:pos="8647"/>
        </w:tabs>
        <w:ind w:left="709"/>
        <w:contextualSpacing w:val="0"/>
        <w:rPr>
          <w:b/>
          <w:sz w:val="22"/>
          <w:szCs w:val="22"/>
          <w:lang w:eastAsia="pl-PL"/>
        </w:rPr>
      </w:pPr>
      <w:r w:rsidRPr="00E034B1">
        <w:rPr>
          <w:sz w:val="22"/>
          <w:szCs w:val="22"/>
          <w:lang w:eastAsia="pl-PL"/>
        </w:rPr>
        <w:t xml:space="preserve">Table </w:t>
      </w:r>
      <w:r w:rsidR="00D224C0" w:rsidRPr="00E034B1">
        <w:rPr>
          <w:sz w:val="22"/>
          <w:szCs w:val="22"/>
          <w:lang w:eastAsia="pl-PL"/>
        </w:rPr>
        <w:t>I</w:t>
      </w:r>
      <w:r w:rsidRPr="00E034B1">
        <w:rPr>
          <w:sz w:val="22"/>
          <w:szCs w:val="22"/>
          <w:lang w:eastAsia="pl-PL"/>
        </w:rPr>
        <w:t>.</w:t>
      </w:r>
      <w:r w:rsidR="00D224C0" w:rsidRPr="00E034B1">
        <w:rPr>
          <w:sz w:val="22"/>
          <w:szCs w:val="22"/>
          <w:lang w:eastAsia="pl-PL"/>
        </w:rPr>
        <w:t>2</w:t>
      </w:r>
      <w:r w:rsidRPr="00E034B1">
        <w:rPr>
          <w:sz w:val="22"/>
          <w:szCs w:val="22"/>
          <w:lang w:eastAsia="pl-PL"/>
        </w:rPr>
        <w:tab/>
        <w:t>6</w:t>
      </w:r>
      <w:r w:rsidR="00102724">
        <w:rPr>
          <w:sz w:val="22"/>
          <w:szCs w:val="22"/>
          <w:lang w:eastAsia="pl-PL"/>
        </w:rPr>
        <w:t>4</w:t>
      </w:r>
    </w:p>
    <w:p w14:paraId="4BEEE23D" w14:textId="77777777" w:rsidR="000F7A46" w:rsidRPr="00E034B1" w:rsidRDefault="000F7A46" w:rsidP="000F7A46">
      <w:pPr>
        <w:pStyle w:val="ListParagraph"/>
        <w:tabs>
          <w:tab w:val="right" w:pos="8647"/>
        </w:tabs>
        <w:ind w:left="709"/>
        <w:contextualSpacing w:val="0"/>
        <w:rPr>
          <w:b/>
          <w:sz w:val="22"/>
          <w:szCs w:val="22"/>
          <w:lang w:eastAsia="pl-PL"/>
        </w:rPr>
      </w:pPr>
    </w:p>
    <w:p w14:paraId="266A1B00" w14:textId="77777777" w:rsidR="00572EE7" w:rsidRDefault="00572EE7">
      <w:pPr>
        <w:rPr>
          <w:i/>
          <w:sz w:val="22"/>
          <w:szCs w:val="22"/>
        </w:rPr>
      </w:pPr>
      <w:r>
        <w:rPr>
          <w:i/>
        </w:rPr>
        <w:br w:type="page"/>
      </w:r>
    </w:p>
    <w:p w14:paraId="4F9A8480" w14:textId="77777777" w:rsidR="009A581C" w:rsidRPr="00E034B1" w:rsidRDefault="009A581C" w:rsidP="00E034B1">
      <w:pPr>
        <w:pStyle w:val="TableEntry"/>
        <w:spacing w:before="100" w:beforeAutospacing="1" w:after="100" w:afterAutospacing="1"/>
        <w:jc w:val="center"/>
        <w:rPr>
          <w:b/>
        </w:rPr>
      </w:pPr>
      <w:r w:rsidRPr="00E034B1">
        <w:rPr>
          <w:b/>
        </w:rPr>
        <w:lastRenderedPageBreak/>
        <w:t>ABBREVIATIONS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5"/>
        <w:gridCol w:w="7242"/>
      </w:tblGrid>
      <w:tr w:rsidR="00A90795" w:rsidRPr="00102724" w14:paraId="35BB8D75" w14:textId="77777777" w:rsidTr="00842949">
        <w:tc>
          <w:tcPr>
            <w:tcW w:w="1382" w:type="dxa"/>
          </w:tcPr>
          <w:p w14:paraId="75D9F07F" w14:textId="77777777" w:rsidR="00A90795" w:rsidRPr="00E034B1" w:rsidRDefault="00A90795" w:rsidP="00E034B1">
            <w:pPr>
              <w:spacing w:before="100" w:beforeAutospacing="1" w:after="100" w:afterAutospacing="1"/>
              <w:rPr>
                <w:sz w:val="22"/>
                <w:szCs w:val="22"/>
              </w:rPr>
            </w:pPr>
            <w:r w:rsidRPr="00E034B1">
              <w:rPr>
                <w:sz w:val="22"/>
                <w:szCs w:val="22"/>
              </w:rPr>
              <w:t>ABS</w:t>
            </w:r>
          </w:p>
        </w:tc>
        <w:tc>
          <w:tcPr>
            <w:tcW w:w="7458" w:type="dxa"/>
          </w:tcPr>
          <w:p w14:paraId="44EC3BB6" w14:textId="77777777" w:rsidR="00A90795" w:rsidRPr="00102724" w:rsidRDefault="00A90795" w:rsidP="00E034B1">
            <w:pPr>
              <w:spacing w:before="120" w:after="100" w:afterAutospacing="1"/>
              <w:rPr>
                <w:rFonts w:eastAsia="Calibri"/>
                <w:bCs/>
                <w:sz w:val="22"/>
                <w:szCs w:val="22"/>
                <w:lang w:val="mi-NZ" w:eastAsia="en-US"/>
              </w:rPr>
            </w:pPr>
            <w:r w:rsidRPr="00102724">
              <w:rPr>
                <w:rFonts w:eastAsia="Calibri"/>
                <w:bCs/>
                <w:sz w:val="22"/>
                <w:szCs w:val="22"/>
                <w:lang w:val="mi-NZ" w:eastAsia="en-US"/>
              </w:rPr>
              <w:t>access and benefit-sharing</w:t>
            </w:r>
          </w:p>
        </w:tc>
      </w:tr>
      <w:tr w:rsidR="00037AFF" w:rsidRPr="00102724" w14:paraId="787F2A67" w14:textId="77777777" w:rsidTr="00842949">
        <w:tc>
          <w:tcPr>
            <w:tcW w:w="1382" w:type="dxa"/>
          </w:tcPr>
          <w:p w14:paraId="772EA142" w14:textId="77777777" w:rsidR="00037AFF" w:rsidRPr="00E034B1" w:rsidRDefault="00037AFF" w:rsidP="00E034B1">
            <w:pPr>
              <w:spacing w:before="100" w:beforeAutospacing="1" w:after="100" w:afterAutospacing="1"/>
              <w:rPr>
                <w:sz w:val="22"/>
                <w:szCs w:val="22"/>
              </w:rPr>
            </w:pPr>
            <w:r w:rsidRPr="00E034B1">
              <w:rPr>
                <w:sz w:val="22"/>
                <w:szCs w:val="22"/>
              </w:rPr>
              <w:t>AFLP</w:t>
            </w:r>
          </w:p>
        </w:tc>
        <w:tc>
          <w:tcPr>
            <w:tcW w:w="7458" w:type="dxa"/>
          </w:tcPr>
          <w:p w14:paraId="52ED666C" w14:textId="77777777" w:rsidR="00037AFF" w:rsidRPr="00E034B1" w:rsidRDefault="005F0F3C" w:rsidP="00E034B1">
            <w:pPr>
              <w:spacing w:before="120" w:after="100" w:afterAutospacing="1"/>
              <w:rPr>
                <w:sz w:val="22"/>
                <w:szCs w:val="22"/>
              </w:rPr>
            </w:pPr>
            <w:r w:rsidRPr="00102724">
              <w:rPr>
                <w:rFonts w:eastAsia="Calibri"/>
                <w:bCs/>
                <w:sz w:val="22"/>
                <w:szCs w:val="22"/>
                <w:lang w:val="mi-NZ" w:eastAsia="en-US"/>
              </w:rPr>
              <w:t>amplified fragment length polymorphisms</w:t>
            </w:r>
          </w:p>
        </w:tc>
      </w:tr>
      <w:tr w:rsidR="00952151" w:rsidRPr="00102724" w14:paraId="36415B49" w14:textId="77777777" w:rsidTr="00842949">
        <w:tc>
          <w:tcPr>
            <w:tcW w:w="1382" w:type="dxa"/>
          </w:tcPr>
          <w:p w14:paraId="418AA435" w14:textId="77777777" w:rsidR="00952151" w:rsidRPr="00E034B1" w:rsidRDefault="00952151" w:rsidP="00E034B1">
            <w:pPr>
              <w:spacing w:before="100" w:beforeAutospacing="1" w:after="100" w:afterAutospacing="1"/>
              <w:rPr>
                <w:sz w:val="22"/>
                <w:szCs w:val="22"/>
              </w:rPr>
            </w:pPr>
            <w:r w:rsidRPr="00E034B1">
              <w:rPr>
                <w:sz w:val="22"/>
                <w:szCs w:val="22"/>
              </w:rPr>
              <w:t>AGR</w:t>
            </w:r>
          </w:p>
        </w:tc>
        <w:tc>
          <w:tcPr>
            <w:tcW w:w="7458" w:type="dxa"/>
          </w:tcPr>
          <w:p w14:paraId="7ECA6994" w14:textId="77777777" w:rsidR="00952151" w:rsidRPr="00E034B1" w:rsidRDefault="00A90795" w:rsidP="00E034B1">
            <w:pPr>
              <w:spacing w:before="120" w:after="100" w:afterAutospacing="1"/>
              <w:rPr>
                <w:sz w:val="22"/>
                <w:szCs w:val="22"/>
              </w:rPr>
            </w:pPr>
            <w:r w:rsidRPr="00E034B1">
              <w:rPr>
                <w:sz w:val="22"/>
                <w:szCs w:val="22"/>
              </w:rPr>
              <w:t xml:space="preserve">animal genetic resources </w:t>
            </w:r>
            <w:r w:rsidR="00526279" w:rsidRPr="00E034B1">
              <w:rPr>
                <w:sz w:val="22"/>
                <w:szCs w:val="22"/>
              </w:rPr>
              <w:t>(including invertebrates)</w:t>
            </w:r>
          </w:p>
        </w:tc>
      </w:tr>
      <w:tr w:rsidR="00952151" w:rsidRPr="00102724" w14:paraId="3B5134BC" w14:textId="77777777" w:rsidTr="00842949">
        <w:tc>
          <w:tcPr>
            <w:tcW w:w="1382" w:type="dxa"/>
          </w:tcPr>
          <w:p w14:paraId="0457D790" w14:textId="77777777" w:rsidR="00952151" w:rsidRPr="00E034B1" w:rsidRDefault="00952151" w:rsidP="00E034B1">
            <w:pPr>
              <w:spacing w:before="100" w:beforeAutospacing="1" w:after="100" w:afterAutospacing="1"/>
              <w:rPr>
                <w:sz w:val="22"/>
                <w:szCs w:val="22"/>
              </w:rPr>
            </w:pPr>
            <w:r w:rsidRPr="00E034B1">
              <w:rPr>
                <w:sz w:val="22"/>
                <w:szCs w:val="22"/>
              </w:rPr>
              <w:t>AqGR</w:t>
            </w:r>
          </w:p>
        </w:tc>
        <w:tc>
          <w:tcPr>
            <w:tcW w:w="7458" w:type="dxa"/>
          </w:tcPr>
          <w:p w14:paraId="38F57333" w14:textId="77777777" w:rsidR="00952151" w:rsidRPr="00E034B1" w:rsidRDefault="00A90795" w:rsidP="00E034B1">
            <w:pPr>
              <w:spacing w:before="120" w:after="100" w:afterAutospacing="1"/>
              <w:rPr>
                <w:sz w:val="22"/>
                <w:szCs w:val="22"/>
              </w:rPr>
            </w:pPr>
            <w:r w:rsidRPr="00E034B1">
              <w:rPr>
                <w:sz w:val="22"/>
                <w:szCs w:val="22"/>
              </w:rPr>
              <w:t xml:space="preserve">aquatic genetic resources </w:t>
            </w:r>
            <w:r w:rsidR="00526279" w:rsidRPr="00E034B1">
              <w:rPr>
                <w:sz w:val="22"/>
                <w:szCs w:val="22"/>
              </w:rPr>
              <w:t>(including invertebrates)</w:t>
            </w:r>
          </w:p>
        </w:tc>
      </w:tr>
      <w:tr w:rsidR="009A581C" w:rsidRPr="00102724" w14:paraId="3541796C" w14:textId="77777777" w:rsidTr="00842949">
        <w:tc>
          <w:tcPr>
            <w:tcW w:w="1382" w:type="dxa"/>
          </w:tcPr>
          <w:p w14:paraId="3560D588" w14:textId="77777777" w:rsidR="009A581C" w:rsidRPr="00E034B1" w:rsidRDefault="009A581C" w:rsidP="00E034B1">
            <w:pPr>
              <w:spacing w:before="100" w:beforeAutospacing="1" w:after="100" w:afterAutospacing="1"/>
              <w:rPr>
                <w:sz w:val="22"/>
                <w:szCs w:val="22"/>
              </w:rPr>
            </w:pPr>
            <w:r w:rsidRPr="00E034B1">
              <w:rPr>
                <w:sz w:val="22"/>
                <w:szCs w:val="22"/>
              </w:rPr>
              <w:t>CBD</w:t>
            </w:r>
          </w:p>
        </w:tc>
        <w:tc>
          <w:tcPr>
            <w:tcW w:w="7458" w:type="dxa"/>
          </w:tcPr>
          <w:p w14:paraId="5EEC95F3" w14:textId="77777777" w:rsidR="009A581C" w:rsidRPr="00E034B1" w:rsidRDefault="009A581C" w:rsidP="00E034B1">
            <w:pPr>
              <w:spacing w:before="120" w:after="100" w:afterAutospacing="1"/>
              <w:rPr>
                <w:sz w:val="22"/>
                <w:szCs w:val="22"/>
              </w:rPr>
            </w:pPr>
            <w:r w:rsidRPr="00E034B1">
              <w:rPr>
                <w:sz w:val="22"/>
                <w:szCs w:val="22"/>
              </w:rPr>
              <w:t>Convention on Biological Diversity</w:t>
            </w:r>
          </w:p>
        </w:tc>
      </w:tr>
      <w:tr w:rsidR="009A581C" w:rsidRPr="00102724" w14:paraId="34F68C23" w14:textId="77777777" w:rsidTr="00842949">
        <w:tc>
          <w:tcPr>
            <w:tcW w:w="1382" w:type="dxa"/>
          </w:tcPr>
          <w:p w14:paraId="2BDBFE86" w14:textId="77777777" w:rsidR="009A581C" w:rsidRPr="00E034B1" w:rsidRDefault="009A581C" w:rsidP="00E034B1">
            <w:pPr>
              <w:spacing w:before="100" w:beforeAutospacing="1" w:after="100" w:afterAutospacing="1"/>
              <w:rPr>
                <w:sz w:val="22"/>
                <w:szCs w:val="22"/>
              </w:rPr>
            </w:pPr>
            <w:r w:rsidRPr="00E034B1">
              <w:rPr>
                <w:sz w:val="22"/>
                <w:szCs w:val="22"/>
              </w:rPr>
              <w:t>CRISPR</w:t>
            </w:r>
          </w:p>
        </w:tc>
        <w:tc>
          <w:tcPr>
            <w:tcW w:w="7458" w:type="dxa"/>
          </w:tcPr>
          <w:p w14:paraId="31C02FCD" w14:textId="77777777" w:rsidR="009A581C" w:rsidRPr="00E034B1" w:rsidRDefault="009A581C" w:rsidP="00E034B1">
            <w:pPr>
              <w:spacing w:before="120" w:after="100" w:afterAutospacing="1"/>
              <w:rPr>
                <w:sz w:val="22"/>
                <w:szCs w:val="22"/>
              </w:rPr>
            </w:pPr>
            <w:r w:rsidRPr="00E034B1">
              <w:rPr>
                <w:sz w:val="22"/>
                <w:szCs w:val="22"/>
              </w:rPr>
              <w:t xml:space="preserve">clustered regularly interspaced short palindromic repeats </w:t>
            </w:r>
          </w:p>
        </w:tc>
      </w:tr>
      <w:tr w:rsidR="009A581C" w:rsidRPr="00102724" w14:paraId="3CEBB21C" w14:textId="77777777" w:rsidTr="00842949">
        <w:tc>
          <w:tcPr>
            <w:tcW w:w="1382" w:type="dxa"/>
          </w:tcPr>
          <w:p w14:paraId="716AEB2F" w14:textId="77777777" w:rsidR="009A581C" w:rsidRPr="00E034B1" w:rsidRDefault="009A581C" w:rsidP="00E034B1">
            <w:pPr>
              <w:spacing w:before="100" w:beforeAutospacing="1" w:after="100" w:afterAutospacing="1"/>
              <w:rPr>
                <w:sz w:val="22"/>
                <w:szCs w:val="22"/>
              </w:rPr>
            </w:pPr>
            <w:r w:rsidRPr="00E034B1">
              <w:rPr>
                <w:sz w:val="22"/>
                <w:szCs w:val="22"/>
              </w:rPr>
              <w:t>DSI</w:t>
            </w:r>
          </w:p>
        </w:tc>
        <w:tc>
          <w:tcPr>
            <w:tcW w:w="7458" w:type="dxa"/>
          </w:tcPr>
          <w:p w14:paraId="2DCD6D6D" w14:textId="77777777" w:rsidR="009A581C" w:rsidRPr="00E034B1" w:rsidRDefault="009A581C" w:rsidP="00E034B1">
            <w:pPr>
              <w:spacing w:before="120" w:after="100" w:afterAutospacing="1"/>
              <w:rPr>
                <w:sz w:val="22"/>
                <w:szCs w:val="22"/>
              </w:rPr>
            </w:pPr>
            <w:r w:rsidRPr="00E034B1">
              <w:rPr>
                <w:sz w:val="22"/>
                <w:szCs w:val="22"/>
              </w:rPr>
              <w:t>digital sequence information</w:t>
            </w:r>
          </w:p>
        </w:tc>
      </w:tr>
      <w:tr w:rsidR="009A581C" w:rsidRPr="00102724" w14:paraId="58DA495D" w14:textId="77777777" w:rsidTr="00842949">
        <w:tc>
          <w:tcPr>
            <w:tcW w:w="1382" w:type="dxa"/>
          </w:tcPr>
          <w:p w14:paraId="391CA8E6" w14:textId="77777777" w:rsidR="009A581C" w:rsidRPr="00E034B1" w:rsidRDefault="009A581C" w:rsidP="00E034B1">
            <w:pPr>
              <w:spacing w:before="100" w:beforeAutospacing="1" w:after="100" w:afterAutospacing="1"/>
              <w:rPr>
                <w:sz w:val="22"/>
                <w:szCs w:val="22"/>
              </w:rPr>
            </w:pPr>
            <w:r w:rsidRPr="00E034B1">
              <w:rPr>
                <w:sz w:val="22"/>
                <w:szCs w:val="22"/>
              </w:rPr>
              <w:t>DNA</w:t>
            </w:r>
          </w:p>
        </w:tc>
        <w:tc>
          <w:tcPr>
            <w:tcW w:w="7458" w:type="dxa"/>
          </w:tcPr>
          <w:p w14:paraId="1B885965" w14:textId="77777777" w:rsidR="009A581C" w:rsidRPr="00E034B1" w:rsidRDefault="009A581C" w:rsidP="00E034B1">
            <w:pPr>
              <w:spacing w:before="120" w:after="100" w:afterAutospacing="1"/>
              <w:rPr>
                <w:sz w:val="22"/>
                <w:szCs w:val="22"/>
              </w:rPr>
            </w:pPr>
            <w:r w:rsidRPr="00E034B1">
              <w:rPr>
                <w:sz w:val="22"/>
                <w:szCs w:val="22"/>
              </w:rPr>
              <w:t>deoxyribonucleic acid</w:t>
            </w:r>
          </w:p>
        </w:tc>
      </w:tr>
      <w:tr w:rsidR="009A581C" w:rsidRPr="00102724" w14:paraId="4DBCED28" w14:textId="77777777" w:rsidTr="00842949">
        <w:tc>
          <w:tcPr>
            <w:tcW w:w="1382" w:type="dxa"/>
          </w:tcPr>
          <w:p w14:paraId="493D4E2D" w14:textId="77777777" w:rsidR="009A581C" w:rsidRPr="00E034B1" w:rsidRDefault="009A581C" w:rsidP="00E034B1">
            <w:pPr>
              <w:spacing w:before="100" w:beforeAutospacing="1" w:after="100" w:afterAutospacing="1"/>
              <w:rPr>
                <w:sz w:val="22"/>
                <w:szCs w:val="22"/>
              </w:rPr>
            </w:pPr>
            <w:r w:rsidRPr="00E034B1">
              <w:rPr>
                <w:sz w:val="22"/>
                <w:szCs w:val="22"/>
              </w:rPr>
              <w:t>EBI</w:t>
            </w:r>
          </w:p>
        </w:tc>
        <w:tc>
          <w:tcPr>
            <w:tcW w:w="7458" w:type="dxa"/>
          </w:tcPr>
          <w:p w14:paraId="4FECE292" w14:textId="77777777" w:rsidR="009A581C" w:rsidRPr="00E034B1" w:rsidRDefault="009A581C" w:rsidP="00E034B1">
            <w:pPr>
              <w:spacing w:before="120" w:after="100" w:afterAutospacing="1"/>
              <w:rPr>
                <w:sz w:val="22"/>
                <w:szCs w:val="22"/>
              </w:rPr>
            </w:pPr>
            <w:r w:rsidRPr="00E034B1">
              <w:rPr>
                <w:sz w:val="22"/>
                <w:szCs w:val="22"/>
              </w:rPr>
              <w:t>European Bioinformatics Institute</w:t>
            </w:r>
          </w:p>
        </w:tc>
      </w:tr>
      <w:tr w:rsidR="005F0F3C" w:rsidRPr="00102724" w14:paraId="0F35ADB2" w14:textId="77777777" w:rsidTr="00842949">
        <w:tc>
          <w:tcPr>
            <w:tcW w:w="1382" w:type="dxa"/>
          </w:tcPr>
          <w:p w14:paraId="63E2E382" w14:textId="77777777" w:rsidR="005F0F3C" w:rsidRPr="00E034B1" w:rsidRDefault="005F0F3C" w:rsidP="00E034B1">
            <w:pPr>
              <w:spacing w:before="100" w:beforeAutospacing="1" w:after="100" w:afterAutospacing="1"/>
              <w:rPr>
                <w:sz w:val="22"/>
                <w:szCs w:val="22"/>
              </w:rPr>
            </w:pPr>
            <w:r w:rsidRPr="00E034B1">
              <w:rPr>
                <w:sz w:val="22"/>
                <w:szCs w:val="22"/>
              </w:rPr>
              <w:t>epiQTL</w:t>
            </w:r>
          </w:p>
        </w:tc>
        <w:tc>
          <w:tcPr>
            <w:tcW w:w="7458" w:type="dxa"/>
          </w:tcPr>
          <w:p w14:paraId="123ED31D" w14:textId="77777777" w:rsidR="005F0F3C" w:rsidRPr="00E034B1" w:rsidRDefault="005F0F3C" w:rsidP="00E034B1">
            <w:pPr>
              <w:spacing w:before="120" w:after="100" w:afterAutospacing="1"/>
              <w:rPr>
                <w:sz w:val="22"/>
                <w:szCs w:val="22"/>
              </w:rPr>
            </w:pPr>
            <w:r w:rsidRPr="00E034B1">
              <w:rPr>
                <w:sz w:val="22"/>
                <w:szCs w:val="22"/>
              </w:rPr>
              <w:t>epigenetic quantitative trait loci</w:t>
            </w:r>
          </w:p>
        </w:tc>
      </w:tr>
      <w:tr w:rsidR="009A581C" w:rsidRPr="00102724" w14:paraId="5B62D443" w14:textId="77777777" w:rsidTr="00842949">
        <w:tc>
          <w:tcPr>
            <w:tcW w:w="1382" w:type="dxa"/>
          </w:tcPr>
          <w:p w14:paraId="195534F2" w14:textId="77777777" w:rsidR="009A581C" w:rsidRPr="00E034B1" w:rsidRDefault="009A581C" w:rsidP="00E034B1">
            <w:pPr>
              <w:spacing w:before="100" w:beforeAutospacing="1" w:after="100" w:afterAutospacing="1"/>
              <w:rPr>
                <w:sz w:val="22"/>
                <w:szCs w:val="22"/>
              </w:rPr>
            </w:pPr>
            <w:r w:rsidRPr="00E034B1">
              <w:rPr>
                <w:sz w:val="22"/>
                <w:szCs w:val="22"/>
              </w:rPr>
              <w:t>EU</w:t>
            </w:r>
          </w:p>
        </w:tc>
        <w:tc>
          <w:tcPr>
            <w:tcW w:w="7458" w:type="dxa"/>
          </w:tcPr>
          <w:p w14:paraId="74DCF2FD" w14:textId="77777777" w:rsidR="009A581C" w:rsidRPr="00E034B1" w:rsidRDefault="009A581C" w:rsidP="00E034B1">
            <w:pPr>
              <w:spacing w:before="120" w:after="100" w:afterAutospacing="1"/>
              <w:rPr>
                <w:sz w:val="22"/>
                <w:szCs w:val="22"/>
              </w:rPr>
            </w:pPr>
            <w:r w:rsidRPr="00E034B1">
              <w:rPr>
                <w:sz w:val="22"/>
                <w:szCs w:val="22"/>
              </w:rPr>
              <w:t>European Union</w:t>
            </w:r>
          </w:p>
        </w:tc>
      </w:tr>
      <w:tr w:rsidR="00952151" w:rsidRPr="00102724" w14:paraId="79981276" w14:textId="77777777" w:rsidTr="00842949">
        <w:tc>
          <w:tcPr>
            <w:tcW w:w="1382" w:type="dxa"/>
          </w:tcPr>
          <w:p w14:paraId="7975EE05" w14:textId="77777777" w:rsidR="00952151" w:rsidRPr="00E034B1" w:rsidRDefault="00952151" w:rsidP="00E034B1">
            <w:pPr>
              <w:spacing w:before="100" w:beforeAutospacing="1" w:after="100" w:afterAutospacing="1"/>
              <w:rPr>
                <w:sz w:val="22"/>
                <w:szCs w:val="22"/>
              </w:rPr>
            </w:pPr>
            <w:r w:rsidRPr="00E034B1">
              <w:rPr>
                <w:sz w:val="22"/>
                <w:szCs w:val="22"/>
              </w:rPr>
              <w:t>FGR</w:t>
            </w:r>
          </w:p>
        </w:tc>
        <w:tc>
          <w:tcPr>
            <w:tcW w:w="7458" w:type="dxa"/>
          </w:tcPr>
          <w:p w14:paraId="3C39344C" w14:textId="77777777" w:rsidR="00952151" w:rsidRPr="00E034B1" w:rsidRDefault="00A90795" w:rsidP="00E034B1">
            <w:pPr>
              <w:spacing w:before="120" w:after="100" w:afterAutospacing="1"/>
              <w:rPr>
                <w:sz w:val="22"/>
                <w:szCs w:val="22"/>
              </w:rPr>
            </w:pPr>
            <w:r w:rsidRPr="00E034B1">
              <w:rPr>
                <w:sz w:val="22"/>
                <w:szCs w:val="22"/>
              </w:rPr>
              <w:t>forest genetic resources</w:t>
            </w:r>
          </w:p>
        </w:tc>
      </w:tr>
      <w:tr w:rsidR="009A581C" w:rsidRPr="00102724" w14:paraId="7277D208" w14:textId="77777777" w:rsidTr="00842949">
        <w:tc>
          <w:tcPr>
            <w:tcW w:w="1382" w:type="dxa"/>
          </w:tcPr>
          <w:p w14:paraId="5A092450" w14:textId="77777777" w:rsidR="009A581C" w:rsidRPr="00E034B1" w:rsidRDefault="009A581C" w:rsidP="00E034B1">
            <w:pPr>
              <w:spacing w:before="100" w:beforeAutospacing="1" w:after="100" w:afterAutospacing="1"/>
              <w:rPr>
                <w:sz w:val="22"/>
                <w:szCs w:val="22"/>
              </w:rPr>
            </w:pPr>
            <w:r w:rsidRPr="00E034B1">
              <w:rPr>
                <w:sz w:val="22"/>
                <w:szCs w:val="22"/>
              </w:rPr>
              <w:t>GIS/GLIS</w:t>
            </w:r>
          </w:p>
        </w:tc>
        <w:tc>
          <w:tcPr>
            <w:tcW w:w="7458" w:type="dxa"/>
          </w:tcPr>
          <w:p w14:paraId="2BC2FD30" w14:textId="77777777" w:rsidR="009A581C" w:rsidRPr="00E034B1" w:rsidRDefault="009A581C" w:rsidP="00E034B1">
            <w:pPr>
              <w:spacing w:before="120" w:after="100" w:afterAutospacing="1"/>
              <w:rPr>
                <w:sz w:val="22"/>
                <w:szCs w:val="22"/>
              </w:rPr>
            </w:pPr>
            <w:r w:rsidRPr="00E034B1">
              <w:rPr>
                <w:sz w:val="22"/>
                <w:szCs w:val="22"/>
                <w:lang w:val="mi-NZ"/>
              </w:rPr>
              <w:t>Global Information System</w:t>
            </w:r>
          </w:p>
        </w:tc>
      </w:tr>
      <w:tr w:rsidR="009A581C" w:rsidRPr="00102724" w14:paraId="10A92C45" w14:textId="77777777" w:rsidTr="00842949">
        <w:tc>
          <w:tcPr>
            <w:tcW w:w="1382" w:type="dxa"/>
          </w:tcPr>
          <w:p w14:paraId="79C17490" w14:textId="77777777" w:rsidR="009A581C" w:rsidRPr="00E034B1" w:rsidRDefault="009A581C" w:rsidP="00E034B1">
            <w:pPr>
              <w:spacing w:before="100" w:beforeAutospacing="1" w:after="100" w:afterAutospacing="1"/>
              <w:rPr>
                <w:sz w:val="22"/>
                <w:szCs w:val="22"/>
              </w:rPr>
            </w:pPr>
            <w:r w:rsidRPr="00E034B1">
              <w:rPr>
                <w:sz w:val="22"/>
                <w:szCs w:val="22"/>
              </w:rPr>
              <w:t>GRFA</w:t>
            </w:r>
          </w:p>
        </w:tc>
        <w:tc>
          <w:tcPr>
            <w:tcW w:w="7458" w:type="dxa"/>
          </w:tcPr>
          <w:p w14:paraId="0DA1BBAA" w14:textId="77777777" w:rsidR="009A581C" w:rsidRPr="00E034B1" w:rsidRDefault="009A581C" w:rsidP="00E034B1">
            <w:pPr>
              <w:spacing w:before="120" w:after="100" w:afterAutospacing="1"/>
              <w:rPr>
                <w:sz w:val="22"/>
                <w:szCs w:val="22"/>
              </w:rPr>
            </w:pPr>
            <w:r w:rsidRPr="00E034B1">
              <w:rPr>
                <w:sz w:val="22"/>
                <w:szCs w:val="22"/>
              </w:rPr>
              <w:t xml:space="preserve">genetic resources </w:t>
            </w:r>
            <w:r w:rsidR="007C5876" w:rsidRPr="00E034B1">
              <w:rPr>
                <w:sz w:val="22"/>
                <w:szCs w:val="22"/>
              </w:rPr>
              <w:t xml:space="preserve">for </w:t>
            </w:r>
            <w:r w:rsidRPr="00E034B1">
              <w:rPr>
                <w:sz w:val="22"/>
                <w:szCs w:val="22"/>
              </w:rPr>
              <w:t>food and agriculture</w:t>
            </w:r>
          </w:p>
        </w:tc>
      </w:tr>
      <w:tr w:rsidR="009A581C" w:rsidRPr="00102724" w14:paraId="1EC8B42B" w14:textId="77777777" w:rsidTr="00842949">
        <w:tc>
          <w:tcPr>
            <w:tcW w:w="1382" w:type="dxa"/>
          </w:tcPr>
          <w:p w14:paraId="45141FCB" w14:textId="77777777" w:rsidR="009A581C" w:rsidRPr="00E034B1" w:rsidRDefault="009A581C" w:rsidP="00E034B1">
            <w:pPr>
              <w:spacing w:before="100" w:beforeAutospacing="1" w:after="100" w:afterAutospacing="1"/>
              <w:rPr>
                <w:sz w:val="22"/>
                <w:szCs w:val="22"/>
              </w:rPr>
            </w:pPr>
            <w:r w:rsidRPr="00E034B1">
              <w:rPr>
                <w:sz w:val="22"/>
                <w:szCs w:val="22"/>
              </w:rPr>
              <w:t>GSD</w:t>
            </w:r>
          </w:p>
        </w:tc>
        <w:tc>
          <w:tcPr>
            <w:tcW w:w="7458" w:type="dxa"/>
          </w:tcPr>
          <w:p w14:paraId="30148896" w14:textId="77777777" w:rsidR="009A581C" w:rsidRPr="00E034B1" w:rsidRDefault="009A581C" w:rsidP="00E034B1">
            <w:pPr>
              <w:spacing w:before="120" w:after="100" w:afterAutospacing="1"/>
              <w:rPr>
                <w:sz w:val="22"/>
                <w:szCs w:val="22"/>
              </w:rPr>
            </w:pPr>
            <w:r w:rsidRPr="00E034B1">
              <w:rPr>
                <w:sz w:val="22"/>
                <w:szCs w:val="22"/>
              </w:rPr>
              <w:t>genetic sequence data</w:t>
            </w:r>
          </w:p>
        </w:tc>
      </w:tr>
      <w:tr w:rsidR="00347C01" w:rsidRPr="00102724" w14:paraId="11CC2B29" w14:textId="77777777" w:rsidTr="00842949">
        <w:tc>
          <w:tcPr>
            <w:tcW w:w="1382" w:type="dxa"/>
          </w:tcPr>
          <w:p w14:paraId="14B488A6" w14:textId="77777777" w:rsidR="00347C01" w:rsidRPr="00E034B1" w:rsidRDefault="00347C01" w:rsidP="00E034B1">
            <w:pPr>
              <w:spacing w:before="100" w:beforeAutospacing="1" w:after="100" w:afterAutospacing="1"/>
              <w:rPr>
                <w:sz w:val="22"/>
                <w:szCs w:val="22"/>
              </w:rPr>
            </w:pPr>
            <w:r w:rsidRPr="00E034B1">
              <w:rPr>
                <w:sz w:val="22"/>
                <w:szCs w:val="22"/>
              </w:rPr>
              <w:t>GWAS</w:t>
            </w:r>
          </w:p>
        </w:tc>
        <w:tc>
          <w:tcPr>
            <w:tcW w:w="7458" w:type="dxa"/>
          </w:tcPr>
          <w:p w14:paraId="6CEB1687" w14:textId="77777777" w:rsidR="00347C01" w:rsidRPr="00E034B1" w:rsidRDefault="00A90795" w:rsidP="00E034B1">
            <w:pPr>
              <w:spacing w:before="120" w:after="100" w:afterAutospacing="1"/>
              <w:rPr>
                <w:sz w:val="22"/>
                <w:szCs w:val="22"/>
              </w:rPr>
            </w:pPr>
            <w:r w:rsidRPr="00E034B1">
              <w:rPr>
                <w:sz w:val="22"/>
                <w:szCs w:val="22"/>
              </w:rPr>
              <w:t>genome</w:t>
            </w:r>
            <w:r w:rsidR="00347C01" w:rsidRPr="00E034B1">
              <w:rPr>
                <w:sz w:val="22"/>
                <w:szCs w:val="22"/>
              </w:rPr>
              <w:t>-wide association study</w:t>
            </w:r>
          </w:p>
        </w:tc>
      </w:tr>
      <w:tr w:rsidR="009A581C" w:rsidRPr="00102724" w14:paraId="610C1599" w14:textId="77777777" w:rsidTr="00842949">
        <w:tc>
          <w:tcPr>
            <w:tcW w:w="1382" w:type="dxa"/>
          </w:tcPr>
          <w:p w14:paraId="60A08FF2" w14:textId="77777777" w:rsidR="009A581C" w:rsidRPr="00E034B1" w:rsidRDefault="009A581C" w:rsidP="00E034B1">
            <w:pPr>
              <w:spacing w:before="100" w:beforeAutospacing="1" w:after="100" w:afterAutospacing="1"/>
              <w:rPr>
                <w:sz w:val="22"/>
                <w:szCs w:val="22"/>
              </w:rPr>
            </w:pPr>
            <w:r w:rsidRPr="00E034B1">
              <w:rPr>
                <w:sz w:val="22"/>
                <w:szCs w:val="22"/>
              </w:rPr>
              <w:t>ITPGRFA (Treaty)</w:t>
            </w:r>
          </w:p>
        </w:tc>
        <w:tc>
          <w:tcPr>
            <w:tcW w:w="7458" w:type="dxa"/>
          </w:tcPr>
          <w:p w14:paraId="0ABF1EC5" w14:textId="77777777" w:rsidR="009A581C" w:rsidRPr="00E034B1" w:rsidRDefault="009A581C" w:rsidP="00E034B1">
            <w:pPr>
              <w:spacing w:before="120" w:after="100" w:afterAutospacing="1"/>
              <w:rPr>
                <w:sz w:val="22"/>
                <w:szCs w:val="22"/>
              </w:rPr>
            </w:pPr>
            <w:r w:rsidRPr="00E034B1">
              <w:rPr>
                <w:sz w:val="22"/>
                <w:szCs w:val="22"/>
              </w:rPr>
              <w:t xml:space="preserve">International Treaty on Plant Genetic Resources </w:t>
            </w:r>
            <w:r w:rsidR="007C5876" w:rsidRPr="00E034B1">
              <w:rPr>
                <w:sz w:val="22"/>
                <w:szCs w:val="22"/>
              </w:rPr>
              <w:t xml:space="preserve">for </w:t>
            </w:r>
            <w:r w:rsidRPr="00E034B1">
              <w:rPr>
                <w:sz w:val="22"/>
                <w:szCs w:val="22"/>
              </w:rPr>
              <w:t>Food and Agriculture</w:t>
            </w:r>
          </w:p>
        </w:tc>
      </w:tr>
      <w:tr w:rsidR="009A581C" w:rsidRPr="00D85B51" w14:paraId="2E2BF545" w14:textId="77777777" w:rsidTr="00842949">
        <w:tc>
          <w:tcPr>
            <w:tcW w:w="1382" w:type="dxa"/>
          </w:tcPr>
          <w:p w14:paraId="27A58AF7" w14:textId="77777777" w:rsidR="009A581C" w:rsidRPr="00E034B1" w:rsidRDefault="009A581C" w:rsidP="00E034B1">
            <w:pPr>
              <w:spacing w:before="100" w:beforeAutospacing="1" w:after="100" w:afterAutospacing="1"/>
              <w:rPr>
                <w:sz w:val="22"/>
                <w:szCs w:val="22"/>
              </w:rPr>
            </w:pPr>
            <w:r w:rsidRPr="00E034B1">
              <w:rPr>
                <w:sz w:val="22"/>
                <w:szCs w:val="22"/>
              </w:rPr>
              <w:t>mQTL</w:t>
            </w:r>
          </w:p>
        </w:tc>
        <w:tc>
          <w:tcPr>
            <w:tcW w:w="7458" w:type="dxa"/>
          </w:tcPr>
          <w:p w14:paraId="14D0ED4A" w14:textId="77777777" w:rsidR="009A581C" w:rsidRPr="00E034B1" w:rsidRDefault="009A581C" w:rsidP="00E034B1">
            <w:pPr>
              <w:spacing w:before="120" w:after="100" w:afterAutospacing="1"/>
              <w:rPr>
                <w:sz w:val="22"/>
                <w:szCs w:val="22"/>
                <w:lang w:val="fr-FR"/>
              </w:rPr>
            </w:pPr>
            <w:r w:rsidRPr="00E034B1">
              <w:rPr>
                <w:sz w:val="22"/>
                <w:szCs w:val="22"/>
                <w:lang w:val="fr-FR"/>
              </w:rPr>
              <w:t>metabolomic quantitative trait loc</w:t>
            </w:r>
            <w:r w:rsidR="007C5876" w:rsidRPr="00E034B1">
              <w:rPr>
                <w:sz w:val="22"/>
                <w:szCs w:val="22"/>
                <w:lang w:val="fr-FR"/>
              </w:rPr>
              <w:t>us/loc</w:t>
            </w:r>
            <w:r w:rsidRPr="00E034B1">
              <w:rPr>
                <w:sz w:val="22"/>
                <w:szCs w:val="22"/>
                <w:lang w:val="fr-FR"/>
              </w:rPr>
              <w:t>i</w:t>
            </w:r>
          </w:p>
        </w:tc>
      </w:tr>
      <w:tr w:rsidR="009A581C" w:rsidRPr="00102724" w14:paraId="4FBB6CDC" w14:textId="77777777" w:rsidTr="00842949">
        <w:tc>
          <w:tcPr>
            <w:tcW w:w="1382" w:type="dxa"/>
          </w:tcPr>
          <w:p w14:paraId="676D132F" w14:textId="77777777" w:rsidR="009A581C" w:rsidRPr="00E034B1" w:rsidRDefault="009A581C" w:rsidP="00E034B1">
            <w:pPr>
              <w:spacing w:before="100" w:beforeAutospacing="1" w:after="100" w:afterAutospacing="1"/>
              <w:rPr>
                <w:sz w:val="22"/>
                <w:szCs w:val="22"/>
              </w:rPr>
            </w:pPr>
            <w:r w:rsidRPr="00E034B1">
              <w:rPr>
                <w:sz w:val="22"/>
                <w:szCs w:val="22"/>
              </w:rPr>
              <w:t>MAS</w:t>
            </w:r>
            <w:r w:rsidR="003B6DEE" w:rsidRPr="00E034B1">
              <w:rPr>
                <w:sz w:val="22"/>
                <w:szCs w:val="22"/>
              </w:rPr>
              <w:t>/B</w:t>
            </w:r>
          </w:p>
        </w:tc>
        <w:tc>
          <w:tcPr>
            <w:tcW w:w="7458" w:type="dxa"/>
          </w:tcPr>
          <w:p w14:paraId="5E85D7FA" w14:textId="77777777" w:rsidR="009A581C" w:rsidRPr="00E034B1" w:rsidRDefault="009A581C" w:rsidP="00E034B1">
            <w:pPr>
              <w:spacing w:before="120" w:after="100" w:afterAutospacing="1"/>
              <w:rPr>
                <w:sz w:val="22"/>
                <w:szCs w:val="22"/>
              </w:rPr>
            </w:pPr>
            <w:r w:rsidRPr="00E034B1">
              <w:rPr>
                <w:sz w:val="22"/>
                <w:szCs w:val="22"/>
              </w:rPr>
              <w:t>marker assisted selection</w:t>
            </w:r>
            <w:r w:rsidR="003B6DEE" w:rsidRPr="00E034B1">
              <w:rPr>
                <w:sz w:val="22"/>
                <w:szCs w:val="22"/>
              </w:rPr>
              <w:t>/breeding</w:t>
            </w:r>
          </w:p>
        </w:tc>
      </w:tr>
      <w:tr w:rsidR="00952151" w:rsidRPr="00102724" w14:paraId="2E026126" w14:textId="77777777" w:rsidTr="00842949">
        <w:tc>
          <w:tcPr>
            <w:tcW w:w="1382" w:type="dxa"/>
          </w:tcPr>
          <w:p w14:paraId="644C01FF" w14:textId="77777777" w:rsidR="00952151" w:rsidRPr="00E034B1" w:rsidRDefault="00952151" w:rsidP="00E034B1">
            <w:pPr>
              <w:spacing w:before="100" w:beforeAutospacing="1" w:after="100" w:afterAutospacing="1"/>
              <w:rPr>
                <w:sz w:val="22"/>
                <w:szCs w:val="22"/>
              </w:rPr>
            </w:pPr>
            <w:r w:rsidRPr="00E034B1">
              <w:rPr>
                <w:sz w:val="22"/>
                <w:szCs w:val="22"/>
              </w:rPr>
              <w:t>M</w:t>
            </w:r>
            <w:r w:rsidR="00AB3257" w:rsidRPr="00E034B1">
              <w:rPr>
                <w:sz w:val="22"/>
                <w:szCs w:val="22"/>
              </w:rPr>
              <w:t>o</w:t>
            </w:r>
            <w:r w:rsidRPr="00E034B1">
              <w:rPr>
                <w:sz w:val="22"/>
                <w:szCs w:val="22"/>
              </w:rPr>
              <w:t>GR</w:t>
            </w:r>
          </w:p>
        </w:tc>
        <w:tc>
          <w:tcPr>
            <w:tcW w:w="7458" w:type="dxa"/>
          </w:tcPr>
          <w:p w14:paraId="52F577D1" w14:textId="77777777" w:rsidR="00952151" w:rsidRPr="00E034B1" w:rsidRDefault="00A90795" w:rsidP="00E034B1">
            <w:pPr>
              <w:spacing w:before="120" w:after="100" w:afterAutospacing="1"/>
              <w:rPr>
                <w:sz w:val="22"/>
                <w:szCs w:val="22"/>
              </w:rPr>
            </w:pPr>
            <w:r w:rsidRPr="00E034B1">
              <w:rPr>
                <w:sz w:val="22"/>
                <w:szCs w:val="22"/>
              </w:rPr>
              <w:t>micro</w:t>
            </w:r>
            <w:r w:rsidR="00AB3257" w:rsidRPr="00E034B1">
              <w:rPr>
                <w:sz w:val="22"/>
                <w:szCs w:val="22"/>
              </w:rPr>
              <w:t xml:space="preserve">-organism </w:t>
            </w:r>
            <w:r w:rsidRPr="00E034B1">
              <w:rPr>
                <w:sz w:val="22"/>
                <w:szCs w:val="22"/>
              </w:rPr>
              <w:t>genetic resources</w:t>
            </w:r>
          </w:p>
        </w:tc>
      </w:tr>
      <w:tr w:rsidR="009A581C" w:rsidRPr="00102724" w14:paraId="08B2DE39" w14:textId="77777777" w:rsidTr="00842949">
        <w:tc>
          <w:tcPr>
            <w:tcW w:w="1382" w:type="dxa"/>
          </w:tcPr>
          <w:p w14:paraId="2C55A893" w14:textId="77777777" w:rsidR="009A581C" w:rsidRPr="00E034B1" w:rsidRDefault="009A581C" w:rsidP="00E034B1">
            <w:pPr>
              <w:spacing w:before="100" w:beforeAutospacing="1" w:after="100" w:afterAutospacing="1"/>
              <w:rPr>
                <w:sz w:val="22"/>
                <w:szCs w:val="22"/>
              </w:rPr>
            </w:pPr>
            <w:r w:rsidRPr="00E034B1">
              <w:rPr>
                <w:sz w:val="22"/>
                <w:szCs w:val="22"/>
              </w:rPr>
              <w:t>MTA</w:t>
            </w:r>
          </w:p>
        </w:tc>
        <w:tc>
          <w:tcPr>
            <w:tcW w:w="7458" w:type="dxa"/>
          </w:tcPr>
          <w:p w14:paraId="6D30EAF6" w14:textId="77777777" w:rsidR="009A581C" w:rsidRPr="00E034B1" w:rsidRDefault="009A581C" w:rsidP="00E034B1">
            <w:pPr>
              <w:spacing w:before="120" w:after="100" w:afterAutospacing="1"/>
              <w:rPr>
                <w:sz w:val="22"/>
                <w:szCs w:val="22"/>
              </w:rPr>
            </w:pPr>
            <w:r w:rsidRPr="00E034B1">
              <w:rPr>
                <w:sz w:val="22"/>
                <w:szCs w:val="22"/>
              </w:rPr>
              <w:t>material transfer agreement</w:t>
            </w:r>
          </w:p>
        </w:tc>
      </w:tr>
      <w:tr w:rsidR="009A581C" w:rsidRPr="00102724" w14:paraId="10946FB2" w14:textId="77777777" w:rsidTr="00842949">
        <w:tc>
          <w:tcPr>
            <w:tcW w:w="1382" w:type="dxa"/>
          </w:tcPr>
          <w:p w14:paraId="5103F81D" w14:textId="77777777" w:rsidR="009A581C" w:rsidRPr="00E034B1" w:rsidRDefault="009A581C" w:rsidP="00E034B1">
            <w:pPr>
              <w:spacing w:before="100" w:beforeAutospacing="1" w:after="100" w:afterAutospacing="1"/>
              <w:rPr>
                <w:sz w:val="22"/>
                <w:szCs w:val="22"/>
              </w:rPr>
            </w:pPr>
            <w:r w:rsidRPr="00E034B1">
              <w:rPr>
                <w:sz w:val="22"/>
                <w:szCs w:val="22"/>
              </w:rPr>
              <w:t>ODM</w:t>
            </w:r>
          </w:p>
        </w:tc>
        <w:tc>
          <w:tcPr>
            <w:tcW w:w="7458" w:type="dxa"/>
          </w:tcPr>
          <w:p w14:paraId="20524E59" w14:textId="77777777" w:rsidR="009A581C" w:rsidRPr="00E034B1" w:rsidRDefault="009A581C" w:rsidP="00E034B1">
            <w:pPr>
              <w:spacing w:before="120" w:after="100" w:afterAutospacing="1"/>
              <w:rPr>
                <w:sz w:val="22"/>
                <w:szCs w:val="22"/>
              </w:rPr>
            </w:pPr>
            <w:r w:rsidRPr="00E034B1">
              <w:rPr>
                <w:sz w:val="22"/>
                <w:szCs w:val="22"/>
              </w:rPr>
              <w:t>oligonucleotide-directed mutagenesis</w:t>
            </w:r>
          </w:p>
        </w:tc>
      </w:tr>
      <w:tr w:rsidR="009A581C" w:rsidRPr="00102724" w14:paraId="7ABC3DA0" w14:textId="77777777" w:rsidTr="00842949">
        <w:tc>
          <w:tcPr>
            <w:tcW w:w="1382" w:type="dxa"/>
          </w:tcPr>
          <w:p w14:paraId="298DBE75" w14:textId="77777777" w:rsidR="009A581C" w:rsidRPr="00E034B1" w:rsidRDefault="0033663F" w:rsidP="00E034B1">
            <w:pPr>
              <w:spacing w:before="100" w:beforeAutospacing="1" w:after="100" w:afterAutospacing="1"/>
              <w:rPr>
                <w:sz w:val="22"/>
                <w:szCs w:val="22"/>
              </w:rPr>
            </w:pPr>
            <w:r w:rsidRPr="00E034B1">
              <w:rPr>
                <w:sz w:val="22"/>
                <w:szCs w:val="22"/>
              </w:rPr>
              <w:t>omics</w:t>
            </w:r>
          </w:p>
        </w:tc>
        <w:tc>
          <w:tcPr>
            <w:tcW w:w="7458" w:type="dxa"/>
          </w:tcPr>
          <w:p w14:paraId="3DD04A39" w14:textId="77777777" w:rsidR="009A581C" w:rsidRPr="00E034B1" w:rsidRDefault="009A581C" w:rsidP="00E034B1">
            <w:pPr>
              <w:spacing w:before="120" w:after="100" w:afterAutospacing="1"/>
              <w:rPr>
                <w:sz w:val="22"/>
                <w:szCs w:val="22"/>
              </w:rPr>
            </w:pPr>
            <w:r w:rsidRPr="00E034B1">
              <w:rPr>
                <w:sz w:val="22"/>
                <w:szCs w:val="22"/>
              </w:rPr>
              <w:t>Refers to terms that end in omic, such as genomics, epigenomics, transcriptomics, proteomics, metabolomics</w:t>
            </w:r>
          </w:p>
        </w:tc>
      </w:tr>
      <w:tr w:rsidR="00952151" w:rsidRPr="00102724" w14:paraId="7FE59413" w14:textId="77777777" w:rsidTr="00842949">
        <w:tc>
          <w:tcPr>
            <w:tcW w:w="1382" w:type="dxa"/>
          </w:tcPr>
          <w:p w14:paraId="229529EC" w14:textId="77777777" w:rsidR="00952151" w:rsidRPr="00E034B1" w:rsidRDefault="00952151" w:rsidP="00E034B1">
            <w:pPr>
              <w:spacing w:before="100" w:beforeAutospacing="1" w:after="100" w:afterAutospacing="1"/>
              <w:rPr>
                <w:sz w:val="22"/>
                <w:szCs w:val="22"/>
              </w:rPr>
            </w:pPr>
            <w:r w:rsidRPr="00E034B1">
              <w:rPr>
                <w:sz w:val="22"/>
                <w:szCs w:val="22"/>
              </w:rPr>
              <w:t>PGR</w:t>
            </w:r>
          </w:p>
        </w:tc>
        <w:tc>
          <w:tcPr>
            <w:tcW w:w="7458" w:type="dxa"/>
          </w:tcPr>
          <w:p w14:paraId="4F7613E2" w14:textId="77777777" w:rsidR="00952151" w:rsidRPr="00E034B1" w:rsidRDefault="00A90795" w:rsidP="00E034B1">
            <w:pPr>
              <w:spacing w:before="120" w:after="100" w:afterAutospacing="1"/>
              <w:rPr>
                <w:sz w:val="22"/>
                <w:szCs w:val="22"/>
              </w:rPr>
            </w:pPr>
            <w:r w:rsidRPr="00E034B1">
              <w:rPr>
                <w:sz w:val="22"/>
                <w:szCs w:val="22"/>
              </w:rPr>
              <w:t>plant genetic resources</w:t>
            </w:r>
          </w:p>
        </w:tc>
      </w:tr>
      <w:tr w:rsidR="009A581C" w:rsidRPr="00102724" w14:paraId="284210C7" w14:textId="77777777" w:rsidTr="00842949">
        <w:tc>
          <w:tcPr>
            <w:tcW w:w="1382" w:type="dxa"/>
          </w:tcPr>
          <w:p w14:paraId="256E87FA" w14:textId="77777777" w:rsidR="009A581C" w:rsidRPr="00E034B1" w:rsidRDefault="009A581C" w:rsidP="00E034B1">
            <w:pPr>
              <w:spacing w:before="100" w:beforeAutospacing="1" w:after="100" w:afterAutospacing="1"/>
              <w:rPr>
                <w:sz w:val="22"/>
                <w:szCs w:val="22"/>
              </w:rPr>
            </w:pPr>
            <w:r w:rsidRPr="00E034B1">
              <w:rPr>
                <w:sz w:val="22"/>
                <w:szCs w:val="22"/>
              </w:rPr>
              <w:t>QTL</w:t>
            </w:r>
          </w:p>
        </w:tc>
        <w:tc>
          <w:tcPr>
            <w:tcW w:w="7458" w:type="dxa"/>
          </w:tcPr>
          <w:p w14:paraId="1C634B07" w14:textId="77777777" w:rsidR="009A581C" w:rsidRPr="00E034B1" w:rsidRDefault="009A581C" w:rsidP="00E034B1">
            <w:pPr>
              <w:spacing w:before="120" w:after="100" w:afterAutospacing="1"/>
              <w:rPr>
                <w:sz w:val="22"/>
                <w:szCs w:val="22"/>
              </w:rPr>
            </w:pPr>
            <w:r w:rsidRPr="00E034B1">
              <w:rPr>
                <w:sz w:val="22"/>
                <w:szCs w:val="22"/>
              </w:rPr>
              <w:t>quantitative trait locus/loci</w:t>
            </w:r>
          </w:p>
        </w:tc>
      </w:tr>
      <w:tr w:rsidR="00037AFF" w:rsidRPr="00102724" w14:paraId="29785EC1" w14:textId="77777777" w:rsidTr="00842949">
        <w:tc>
          <w:tcPr>
            <w:tcW w:w="1382" w:type="dxa"/>
          </w:tcPr>
          <w:p w14:paraId="098A75D7" w14:textId="77777777" w:rsidR="00037AFF" w:rsidRPr="00E034B1" w:rsidRDefault="00037AFF" w:rsidP="00E034B1">
            <w:pPr>
              <w:spacing w:before="100" w:beforeAutospacing="1" w:after="100" w:afterAutospacing="1"/>
              <w:rPr>
                <w:sz w:val="22"/>
                <w:szCs w:val="22"/>
              </w:rPr>
            </w:pPr>
            <w:r w:rsidRPr="00E034B1">
              <w:rPr>
                <w:sz w:val="22"/>
                <w:szCs w:val="22"/>
              </w:rPr>
              <w:t>RAPD</w:t>
            </w:r>
          </w:p>
        </w:tc>
        <w:tc>
          <w:tcPr>
            <w:tcW w:w="7458" w:type="dxa"/>
          </w:tcPr>
          <w:p w14:paraId="1FD780E4" w14:textId="77777777" w:rsidR="00037AFF" w:rsidRPr="00E034B1" w:rsidRDefault="005F0F3C" w:rsidP="00E034B1">
            <w:pPr>
              <w:spacing w:before="120" w:after="100" w:afterAutospacing="1"/>
              <w:rPr>
                <w:sz w:val="22"/>
                <w:szCs w:val="22"/>
              </w:rPr>
            </w:pPr>
            <w:r w:rsidRPr="00102724">
              <w:rPr>
                <w:rFonts w:eastAsia="Calibri"/>
                <w:bCs/>
                <w:sz w:val="22"/>
                <w:szCs w:val="22"/>
                <w:lang w:val="mi-NZ" w:eastAsia="en-US"/>
              </w:rPr>
              <w:t>random amplification of polymorphic DNA</w:t>
            </w:r>
          </w:p>
        </w:tc>
      </w:tr>
      <w:tr w:rsidR="005F0F3C" w:rsidRPr="00102724" w14:paraId="2547E458" w14:textId="77777777" w:rsidTr="00842949">
        <w:tc>
          <w:tcPr>
            <w:tcW w:w="1382" w:type="dxa"/>
          </w:tcPr>
          <w:p w14:paraId="09D7E73C" w14:textId="77777777" w:rsidR="005F0F3C" w:rsidRPr="00E034B1" w:rsidRDefault="005F0F3C" w:rsidP="00E034B1">
            <w:pPr>
              <w:spacing w:before="100" w:beforeAutospacing="1" w:after="100" w:afterAutospacing="1"/>
              <w:rPr>
                <w:sz w:val="22"/>
                <w:szCs w:val="22"/>
              </w:rPr>
            </w:pPr>
            <w:r w:rsidRPr="00E034B1">
              <w:rPr>
                <w:sz w:val="22"/>
                <w:szCs w:val="22"/>
              </w:rPr>
              <w:t>RFLP</w:t>
            </w:r>
          </w:p>
        </w:tc>
        <w:tc>
          <w:tcPr>
            <w:tcW w:w="7458" w:type="dxa"/>
          </w:tcPr>
          <w:p w14:paraId="3ACEA976" w14:textId="77777777" w:rsidR="005F0F3C" w:rsidRPr="00E034B1" w:rsidRDefault="005F0F3C" w:rsidP="00E034B1">
            <w:pPr>
              <w:spacing w:before="120" w:after="100" w:afterAutospacing="1"/>
              <w:rPr>
                <w:sz w:val="22"/>
                <w:szCs w:val="22"/>
              </w:rPr>
            </w:pPr>
            <w:r w:rsidRPr="00E034B1">
              <w:rPr>
                <w:sz w:val="22"/>
                <w:szCs w:val="22"/>
              </w:rPr>
              <w:t>restriction fragment length polymorphism</w:t>
            </w:r>
          </w:p>
        </w:tc>
      </w:tr>
      <w:tr w:rsidR="009A581C" w:rsidRPr="00102724" w14:paraId="0E361ECB" w14:textId="77777777" w:rsidTr="00842949">
        <w:tc>
          <w:tcPr>
            <w:tcW w:w="1382" w:type="dxa"/>
          </w:tcPr>
          <w:p w14:paraId="520FBA97" w14:textId="77777777" w:rsidR="009A581C" w:rsidRPr="00E034B1" w:rsidRDefault="009A581C" w:rsidP="00E034B1">
            <w:pPr>
              <w:spacing w:before="100" w:beforeAutospacing="1" w:after="100" w:afterAutospacing="1"/>
              <w:rPr>
                <w:sz w:val="22"/>
                <w:szCs w:val="22"/>
              </w:rPr>
            </w:pPr>
            <w:r w:rsidRPr="00E034B1">
              <w:rPr>
                <w:sz w:val="22"/>
                <w:szCs w:val="22"/>
              </w:rPr>
              <w:t>RNA</w:t>
            </w:r>
          </w:p>
        </w:tc>
        <w:tc>
          <w:tcPr>
            <w:tcW w:w="7458" w:type="dxa"/>
          </w:tcPr>
          <w:p w14:paraId="40761CA8" w14:textId="77777777" w:rsidR="009A581C" w:rsidRPr="00E034B1" w:rsidRDefault="009A581C" w:rsidP="00E034B1">
            <w:pPr>
              <w:spacing w:before="120" w:after="100" w:afterAutospacing="1"/>
              <w:rPr>
                <w:sz w:val="22"/>
                <w:szCs w:val="22"/>
              </w:rPr>
            </w:pPr>
            <w:r w:rsidRPr="00E034B1">
              <w:rPr>
                <w:sz w:val="22"/>
                <w:szCs w:val="22"/>
              </w:rPr>
              <w:t>ribonucleic acid</w:t>
            </w:r>
          </w:p>
        </w:tc>
      </w:tr>
      <w:tr w:rsidR="009A581C" w:rsidRPr="00102724" w14:paraId="62E37B9D" w14:textId="77777777" w:rsidTr="00842949">
        <w:tc>
          <w:tcPr>
            <w:tcW w:w="1382" w:type="dxa"/>
          </w:tcPr>
          <w:p w14:paraId="4D480958" w14:textId="77777777" w:rsidR="009A581C" w:rsidRPr="00E034B1" w:rsidRDefault="009A581C" w:rsidP="00E034B1">
            <w:pPr>
              <w:spacing w:before="100" w:beforeAutospacing="1" w:after="100" w:afterAutospacing="1"/>
              <w:rPr>
                <w:sz w:val="22"/>
                <w:szCs w:val="22"/>
              </w:rPr>
            </w:pPr>
            <w:r w:rsidRPr="00E034B1">
              <w:rPr>
                <w:sz w:val="22"/>
                <w:szCs w:val="22"/>
              </w:rPr>
              <w:t>SNP</w:t>
            </w:r>
          </w:p>
        </w:tc>
        <w:tc>
          <w:tcPr>
            <w:tcW w:w="7458" w:type="dxa"/>
          </w:tcPr>
          <w:p w14:paraId="5F9B4644" w14:textId="77777777" w:rsidR="009A581C" w:rsidRPr="00E034B1" w:rsidRDefault="009A581C" w:rsidP="00E034B1">
            <w:pPr>
              <w:spacing w:before="120" w:after="100" w:afterAutospacing="1"/>
              <w:rPr>
                <w:sz w:val="22"/>
                <w:szCs w:val="22"/>
              </w:rPr>
            </w:pPr>
            <w:r w:rsidRPr="00E034B1">
              <w:rPr>
                <w:sz w:val="22"/>
                <w:szCs w:val="22"/>
              </w:rPr>
              <w:t>single nucleotide polymorphism</w:t>
            </w:r>
          </w:p>
        </w:tc>
      </w:tr>
      <w:tr w:rsidR="00037AFF" w:rsidRPr="00102724" w14:paraId="609506A0" w14:textId="77777777" w:rsidTr="00842949">
        <w:tc>
          <w:tcPr>
            <w:tcW w:w="1382" w:type="dxa"/>
          </w:tcPr>
          <w:p w14:paraId="4C0A18DD" w14:textId="77777777" w:rsidR="00037AFF" w:rsidRPr="00E034B1" w:rsidRDefault="00037AFF" w:rsidP="00E034B1">
            <w:pPr>
              <w:spacing w:before="100" w:beforeAutospacing="1" w:after="100" w:afterAutospacing="1"/>
              <w:rPr>
                <w:sz w:val="22"/>
                <w:szCs w:val="22"/>
              </w:rPr>
            </w:pPr>
            <w:r w:rsidRPr="00E034B1">
              <w:rPr>
                <w:sz w:val="22"/>
                <w:szCs w:val="22"/>
              </w:rPr>
              <w:t>WGS/NGS</w:t>
            </w:r>
          </w:p>
        </w:tc>
        <w:tc>
          <w:tcPr>
            <w:tcW w:w="7458" w:type="dxa"/>
          </w:tcPr>
          <w:p w14:paraId="3A68C687" w14:textId="77777777" w:rsidR="00037AFF" w:rsidRPr="00E034B1" w:rsidRDefault="00037AFF" w:rsidP="00E034B1">
            <w:pPr>
              <w:spacing w:before="120" w:after="100" w:afterAutospacing="1"/>
              <w:rPr>
                <w:sz w:val="22"/>
                <w:szCs w:val="22"/>
              </w:rPr>
            </w:pPr>
            <w:r w:rsidRPr="00E034B1">
              <w:rPr>
                <w:sz w:val="22"/>
                <w:szCs w:val="22"/>
              </w:rPr>
              <w:t>whole genome sequencing/next-generation genome sequencing</w:t>
            </w:r>
          </w:p>
        </w:tc>
      </w:tr>
    </w:tbl>
    <w:p w14:paraId="502C234E" w14:textId="77777777" w:rsidR="00842949" w:rsidRDefault="009A581C" w:rsidP="00763A2E">
      <w:pPr>
        <w:pStyle w:val="ListParagraph"/>
        <w:spacing w:before="120" w:after="120"/>
        <w:ind w:left="1080"/>
        <w:jc w:val="center"/>
        <w:rPr>
          <w:b/>
          <w:caps/>
          <w:sz w:val="22"/>
          <w:szCs w:val="22"/>
        </w:rPr>
      </w:pPr>
      <w:r w:rsidRPr="0062120B">
        <w:rPr>
          <w:b/>
          <w:caps/>
          <w:sz w:val="22"/>
          <w:szCs w:val="22"/>
        </w:rPr>
        <w:br w:type="page"/>
      </w:r>
    </w:p>
    <w:p w14:paraId="485358DA" w14:textId="77777777" w:rsidR="00A43161" w:rsidRPr="00A43161" w:rsidRDefault="00A43161" w:rsidP="003540C8">
      <w:pPr>
        <w:pStyle w:val="ListParagraph"/>
        <w:spacing w:before="120" w:after="120"/>
        <w:ind w:left="0"/>
        <w:jc w:val="center"/>
        <w:rPr>
          <w:b/>
          <w:caps/>
        </w:rPr>
      </w:pPr>
      <w:r w:rsidRPr="00A43161">
        <w:rPr>
          <w:b/>
          <w:caps/>
        </w:rPr>
        <w:lastRenderedPageBreak/>
        <w:t xml:space="preserve">Executive </w:t>
      </w:r>
      <w:r w:rsidR="00FF67AF">
        <w:rPr>
          <w:b/>
          <w:caps/>
        </w:rPr>
        <w:t>REPORT</w:t>
      </w:r>
    </w:p>
    <w:p w14:paraId="40848427" w14:textId="77777777" w:rsidR="00842949" w:rsidRPr="00A43161" w:rsidRDefault="00842949" w:rsidP="00A43161">
      <w:pPr>
        <w:pStyle w:val="ListParagraph"/>
        <w:spacing w:before="120" w:after="120"/>
        <w:ind w:left="0"/>
        <w:rPr>
          <w:b/>
          <w:caps/>
        </w:rPr>
      </w:pPr>
    </w:p>
    <w:p w14:paraId="36CEA7A8" w14:textId="77777777" w:rsidR="003C6202" w:rsidRPr="003C6202" w:rsidRDefault="003C6202" w:rsidP="003C6202">
      <w:pPr>
        <w:shd w:val="clear" w:color="auto" w:fill="E0E0E0"/>
        <w:spacing w:after="120"/>
        <w:rPr>
          <w:rFonts w:eastAsia="Calibri"/>
          <w:sz w:val="20"/>
          <w:szCs w:val="22"/>
          <w:lang w:val="mi-NZ" w:eastAsia="en-US"/>
        </w:rPr>
      </w:pPr>
      <w:r w:rsidRPr="003C6202">
        <w:rPr>
          <w:rFonts w:eastAsia="Calibri"/>
          <w:sz w:val="20"/>
          <w:szCs w:val="22"/>
          <w:lang w:val="en-US" w:eastAsia="en-US"/>
        </w:rPr>
        <w:t>“</w:t>
      </w:r>
      <w:r w:rsidRPr="003C6202">
        <w:rPr>
          <w:rFonts w:eastAsia="Calibri"/>
          <w:sz w:val="20"/>
          <w:szCs w:val="22"/>
          <w:lang w:val="mi-NZ" w:eastAsia="en-US"/>
        </w:rPr>
        <w:t>The CBD and Nagoya Protocol contemplate regulation of the physical transfer of tangible genetic or biological material from a provider country to a user, pursuant to an ABS agreement. New technologies emerging from synthetic biology fundamentally change that paradigm, however. The genome of a particular species may now be sequenced within a provider country and that information may be transferred digitally to a company or research entity for downloading to a DNA synthesizer. As a result, synthetic biology technologies beg the question of whether ABS requirements should apply to the use of digital sequence information from genetic resources</w:t>
      </w:r>
      <w:r w:rsidRPr="003C6202">
        <w:rPr>
          <w:rFonts w:eastAsia="Calibri"/>
          <w:sz w:val="20"/>
          <w:szCs w:val="22"/>
          <w:lang w:val="en-US" w:eastAsia="en-US"/>
        </w:rPr>
        <w:t>”</w:t>
      </w:r>
      <w:r w:rsidR="00AD68C9">
        <w:rPr>
          <w:rFonts w:eastAsia="Calibri"/>
          <w:sz w:val="20"/>
          <w:szCs w:val="22"/>
          <w:lang w:val="en-US" w:eastAsia="en-US"/>
        </w:rPr>
        <w:t xml:space="preserve"> </w:t>
      </w:r>
      <w:r w:rsidR="001C037C">
        <w:rPr>
          <w:rFonts w:eastAsia="Calibri"/>
          <w:noProof/>
          <w:sz w:val="20"/>
          <w:szCs w:val="22"/>
          <w:lang w:val="en-US" w:eastAsia="en-US"/>
        </w:rPr>
        <w:t>(Manheim, 2016)</w:t>
      </w:r>
      <w:r w:rsidR="00AD68C9">
        <w:rPr>
          <w:rFonts w:eastAsia="Calibri"/>
          <w:sz w:val="20"/>
          <w:szCs w:val="22"/>
          <w:lang w:val="en-US" w:eastAsia="en-US"/>
        </w:rPr>
        <w:t>.</w:t>
      </w:r>
    </w:p>
    <w:p w14:paraId="3102A98E" w14:textId="77777777" w:rsidR="003C6202" w:rsidRDefault="003C6202" w:rsidP="00842949">
      <w:pPr>
        <w:spacing w:after="120"/>
        <w:rPr>
          <w:rFonts w:eastAsia="Calibri"/>
          <w:sz w:val="22"/>
          <w:szCs w:val="22"/>
          <w:lang w:val="en-US" w:eastAsia="en-US"/>
        </w:rPr>
      </w:pPr>
    </w:p>
    <w:p w14:paraId="4E2F780A" w14:textId="77777777" w:rsidR="00DC6CB3" w:rsidRPr="00A43161" w:rsidRDefault="00A43161" w:rsidP="00DC6CB3">
      <w:pPr>
        <w:pStyle w:val="TableEntry"/>
        <w:keepNext/>
        <w:spacing w:before="120" w:after="120"/>
        <w:rPr>
          <w:b/>
          <w:sz w:val="24"/>
          <w:szCs w:val="24"/>
        </w:rPr>
      </w:pPr>
      <w:r w:rsidRPr="00A43161">
        <w:rPr>
          <w:b/>
          <w:sz w:val="24"/>
          <w:szCs w:val="24"/>
        </w:rPr>
        <w:t>Study questions and key findings</w:t>
      </w:r>
    </w:p>
    <w:p w14:paraId="0E1CEE1A" w14:textId="77777777" w:rsidR="006239F0" w:rsidRDefault="006239F0" w:rsidP="006239F0">
      <w:pPr>
        <w:spacing w:after="120"/>
        <w:rPr>
          <w:sz w:val="22"/>
          <w:szCs w:val="22"/>
        </w:rPr>
      </w:pPr>
      <w:r w:rsidRPr="00101045">
        <w:rPr>
          <w:sz w:val="22"/>
          <w:szCs w:val="22"/>
        </w:rPr>
        <w:t>This exploratory fact-finding scoping study examines how digital sequence information</w:t>
      </w:r>
      <w:r w:rsidR="00B26DCD">
        <w:rPr>
          <w:sz w:val="22"/>
          <w:szCs w:val="22"/>
        </w:rPr>
        <w:t xml:space="preserve"> (DSI)</w:t>
      </w:r>
      <w:r w:rsidRPr="00101045">
        <w:rPr>
          <w:sz w:val="22"/>
          <w:szCs w:val="22"/>
        </w:rPr>
        <w:t xml:space="preserve"> on genetic resources for food and agriculture is </w:t>
      </w:r>
      <w:r w:rsidR="00B26DCD">
        <w:rPr>
          <w:sz w:val="22"/>
          <w:szCs w:val="22"/>
        </w:rPr>
        <w:t xml:space="preserve">currently </w:t>
      </w:r>
      <w:r w:rsidRPr="00101045">
        <w:rPr>
          <w:sz w:val="22"/>
          <w:szCs w:val="22"/>
        </w:rPr>
        <w:t>being used</w:t>
      </w:r>
      <w:r w:rsidR="00B26DCD">
        <w:rPr>
          <w:sz w:val="22"/>
          <w:szCs w:val="22"/>
        </w:rPr>
        <w:t>,</w:t>
      </w:r>
      <w:r w:rsidRPr="00101045">
        <w:rPr>
          <w:sz w:val="22"/>
          <w:szCs w:val="22"/>
        </w:rPr>
        <w:t xml:space="preserve"> how it might be used in the future and what the implications of its use are and might be in the future for the food and agriculture sector.</w:t>
      </w:r>
    </w:p>
    <w:p w14:paraId="06E72674" w14:textId="77777777" w:rsidR="00112C55" w:rsidRPr="00112C55" w:rsidRDefault="00B26DCD" w:rsidP="00112C55">
      <w:pPr>
        <w:spacing w:after="120"/>
        <w:rPr>
          <w:rFonts w:eastAsia="Calibri"/>
          <w:bCs/>
          <w:sz w:val="22"/>
          <w:szCs w:val="22"/>
          <w:lang w:val="mi-NZ" w:eastAsia="en-US"/>
        </w:rPr>
      </w:pPr>
      <w:r>
        <w:rPr>
          <w:b/>
          <w:noProof/>
          <w:lang w:val="en-CA" w:eastAsia="en-CA"/>
        </w:rPr>
        <mc:AlternateContent>
          <mc:Choice Requires="wps">
            <w:drawing>
              <wp:anchor distT="114935" distB="114935" distL="114300" distR="114300" simplePos="0" relativeHeight="251698176" behindDoc="0" locked="0" layoutInCell="1" allowOverlap="1" wp14:anchorId="5A190EFD" wp14:editId="0E60EB5C">
                <wp:simplePos x="0" y="0"/>
                <wp:positionH relativeFrom="column">
                  <wp:posOffset>24130</wp:posOffset>
                </wp:positionH>
                <wp:positionV relativeFrom="paragraph">
                  <wp:posOffset>1156335</wp:posOffset>
                </wp:positionV>
                <wp:extent cx="5372100" cy="3200400"/>
                <wp:effectExtent l="0" t="0" r="38100" b="25400"/>
                <wp:wrapSquare wrapText="bothSides"/>
                <wp:docPr id="2" name="Text Box 2"/>
                <wp:cNvGraphicFramePr/>
                <a:graphic xmlns:a="http://schemas.openxmlformats.org/drawingml/2006/main">
                  <a:graphicData uri="http://schemas.microsoft.com/office/word/2010/wordprocessingShape">
                    <wps:wsp>
                      <wps:cNvSpPr txBox="1"/>
                      <wps:spPr>
                        <a:xfrm>
                          <a:off x="0" y="0"/>
                          <a:ext cx="5372100" cy="3200400"/>
                        </a:xfrm>
                        <a:prstGeom prst="rect">
                          <a:avLst/>
                        </a:prstGeom>
                        <a:no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3BD7803" w14:textId="77777777" w:rsidR="00F63D94" w:rsidRDefault="00F63D94">
                            <w:r>
                              <w:rPr>
                                <w:rFonts w:eastAsia="Calibri"/>
                                <w:bCs/>
                                <w:noProof/>
                                <w:sz w:val="22"/>
                                <w:szCs w:val="22"/>
                                <w:lang w:val="en-CA" w:eastAsia="en-CA"/>
                              </w:rPr>
                              <w:drawing>
                                <wp:inline distT="0" distB="0" distL="0" distR="0" wp14:anchorId="71A7C52C" wp14:editId="4C442D3B">
                                  <wp:extent cx="3813695" cy="2777392"/>
                                  <wp:effectExtent l="0" t="0" r="0" b="0"/>
                                  <wp:docPr id="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15050" cy="2778379"/>
                                          </a:xfrm>
                                          <a:prstGeom prst="rect">
                                            <a:avLst/>
                                          </a:prstGeom>
                                          <a:noFill/>
                                          <a:ln>
                                            <a:noFill/>
                                          </a:ln>
                                        </pic:spPr>
                                      </pic:pic>
                                    </a:graphicData>
                                  </a:graphic>
                                </wp:inline>
                              </w:drawing>
                            </w:r>
                          </w:p>
                          <w:p w14:paraId="16B1ABC3" w14:textId="77777777" w:rsidR="00F63D94" w:rsidRDefault="00F63D94">
                            <w:r w:rsidRPr="00AE6EBA">
                              <w:rPr>
                                <w:rFonts w:eastAsia="Calibri"/>
                                <w:b/>
                                <w:bCs/>
                                <w:sz w:val="22"/>
                                <w:szCs w:val="22"/>
                                <w:lang w:val="mi-NZ" w:eastAsia="en-US"/>
                              </w:rPr>
                              <w:t>Figure 1.</w:t>
                            </w:r>
                            <w:r>
                              <w:rPr>
                                <w:rFonts w:eastAsia="Calibri"/>
                                <w:bCs/>
                                <w:sz w:val="22"/>
                                <w:szCs w:val="22"/>
                                <w:lang w:val="mi-NZ" w:eastAsia="en-US"/>
                              </w:rPr>
                              <w:t xml:space="preserve"> Uses of GRFA and associated genetic material (arrows indicate direction of resource 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A190EFD" id="_x0000_t202" coordsize="21600,21600" o:spt="202" path="m,l,21600r21600,l21600,xe">
                <v:stroke joinstyle="miter"/>
                <v:path gradientshapeok="t" o:connecttype="rect"/>
              </v:shapetype>
              <v:shape id="Text Box 2" o:spid="_x0000_s1026" type="#_x0000_t202" style="position:absolute;margin-left:1.9pt;margin-top:91.05pt;width:423pt;height:252pt;z-index:251698176;visibility:visible;mso-wrap-style:square;mso-height-percent:0;mso-wrap-distance-left:9pt;mso-wrap-distance-top:9.05pt;mso-wrap-distance-right:9pt;mso-wrap-distance-bottom:9.05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rYJtwIAAMwFAAAOAAAAZHJzL2Uyb0RvYy54bWysVFtP2zAUfp+0/2D5vSQpKZeKFIWiTpMQ&#10;oMHEs+vYNJrj49lumw7tv+/YSUrFeGHaS3LuPuc7l4vLtlFkI6yrQRc0O0opEZpDVevngn5/XIzO&#10;KHGe6Yop0KKgO+Ho5ezzp4utmYoxrEBVwhIMot10awq68t5Mk8TxlWiYOwIjNCol2IZ5ZO1zUlm2&#10;xeiNSsZpepJswVbGAhfOofS6U9JZjC+l4P5OSic8UQXF3Hz82vhdhm8yu2DTZ8vMquZ9GuwfsmhY&#10;rfHRfahr5hlZ2/qvUE3NLTiQ/ohDk4CUNRexBqwmS99U87BiRsRaEBxn9jC5/xeW327uLamrgo4p&#10;0azBFj2K1pMraMk4oLM1bopGDwbNfIti7PIgdygMRbfSNuGP5RDUI867PbYhGEfh5Ph0nKWo4qg7&#10;xtblyGD85NXdWOe/CGhIIApqsXkRU7a5cb4zHUzCaxoWtVKxgUoHgQNVV0EWmTBBYq4s2TDsvW9j&#10;1vjagRVynaeIk9K9wqaYMpIhSEg+dvFlPjkdl6eT89FJOclGeZaejcoyHY+uF2Vapvlifp5f/e7r&#10;GfyTgF2HUaT8TokQVelvQiLmEap3cmWcC+2HfKN1sJJY2Ucce/tYR6zvI84dIugRXwbt985NrcHG&#10;vsQlfYW4+jGkLDt7bO5B3YH07bLtZ2oJ1Q5HykK3ks7wRY1tv2HO3zOLO4ijgnfF3+FHKtgWFHqK&#10;khXYX+/Jgz2uBmop2eJOF9T9XDMrKFFfNS7NeZbn4QhEJseOImMPNctDjV43c8DRyfCCGR7JYO/V&#10;QEoLzROenzK8iiqmOb6NszaQc99dGjxfXJRlNMK1N8zf6AfDQ+gAbxjqx/aJWdNPvscJuoVh+9n0&#10;zQJ0tsFTQ7n2IOu4HQHgDtUeeDwZcb/68xZu0iEfrV6P8OwPAAAA//8DAFBLAwQUAAYACAAAACEA&#10;KyixHOEAAAAJAQAADwAAAGRycy9kb3ducmV2LnhtbEyPQU/CQBCF7yb8h82YeJNt0ZRauyUKITEE&#10;DoAhHpfu2DZ0Z5vuAuXfO570+N6bvPdNPhtsKy7Y+8aRgngcgUAqnWmoUvC5Xz6mIHzQZHTrCBXc&#10;0MOsGN3lOjPuSlu87EIluIR8phXUIXSZlL6s0Wo/dh0SZ9+utzqw7Ctpen3lctvKSRQl0uqGeKHW&#10;Hc5rLE+7s1Xwsb+tttP5JrGr98XX+iD9YblYK/VwP7y9ggg4hL9j+MVndCiY6ejOZLxoFTwxeGA7&#10;ncQgOE+fX9g5KkjSJAZZ5PL/B8UPAAAA//8DAFBLAQItABQABgAIAAAAIQC2gziS/gAAAOEBAAAT&#10;AAAAAAAAAAAAAAAAAAAAAABbQ29udGVudF9UeXBlc10ueG1sUEsBAi0AFAAGAAgAAAAhADj9If/W&#10;AAAAlAEAAAsAAAAAAAAAAAAAAAAALwEAAF9yZWxzLy5yZWxzUEsBAi0AFAAGAAgAAAAhAMq+tgm3&#10;AgAAzAUAAA4AAAAAAAAAAAAAAAAALgIAAGRycy9lMm9Eb2MueG1sUEsBAi0AFAAGAAgAAAAhACso&#10;sRzhAAAACQEAAA8AAAAAAAAAAAAAAAAAEQUAAGRycy9kb3ducmV2LnhtbFBLBQYAAAAABAAEAPMA&#10;AAAfBgAAAAA=&#10;" filled="f" strokecolor="black [3213]">
                <v:textbox>
                  <w:txbxContent>
                    <w:p w14:paraId="03BD7803" w14:textId="77777777" w:rsidR="00F63D94" w:rsidRDefault="00F63D94">
                      <w:r>
                        <w:rPr>
                          <w:rFonts w:eastAsia="Calibri"/>
                          <w:bCs/>
                          <w:noProof/>
                          <w:sz w:val="22"/>
                          <w:szCs w:val="22"/>
                          <w:lang w:val="en-CA" w:eastAsia="en-CA"/>
                        </w:rPr>
                        <w:drawing>
                          <wp:inline distT="0" distB="0" distL="0" distR="0" wp14:anchorId="71A7C52C" wp14:editId="4C442D3B">
                            <wp:extent cx="3813695" cy="2777392"/>
                            <wp:effectExtent l="0" t="0" r="0" b="0"/>
                            <wp:docPr id="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15050" cy="2778379"/>
                                    </a:xfrm>
                                    <a:prstGeom prst="rect">
                                      <a:avLst/>
                                    </a:prstGeom>
                                    <a:noFill/>
                                    <a:ln>
                                      <a:noFill/>
                                    </a:ln>
                                  </pic:spPr>
                                </pic:pic>
                              </a:graphicData>
                            </a:graphic>
                          </wp:inline>
                        </w:drawing>
                      </w:r>
                    </w:p>
                    <w:p w14:paraId="16B1ABC3" w14:textId="77777777" w:rsidR="00F63D94" w:rsidRDefault="00F63D94">
                      <w:r w:rsidRPr="00AE6EBA">
                        <w:rPr>
                          <w:rFonts w:eastAsia="Calibri"/>
                          <w:b/>
                          <w:bCs/>
                          <w:sz w:val="22"/>
                          <w:szCs w:val="22"/>
                          <w:lang w:val="mi-NZ" w:eastAsia="en-US"/>
                        </w:rPr>
                        <w:t>Figure 1.</w:t>
                      </w:r>
                      <w:r>
                        <w:rPr>
                          <w:rFonts w:eastAsia="Calibri"/>
                          <w:bCs/>
                          <w:sz w:val="22"/>
                          <w:szCs w:val="22"/>
                          <w:lang w:val="mi-NZ" w:eastAsia="en-US"/>
                        </w:rPr>
                        <w:t xml:space="preserve"> Uses of GRFA and associated genetic material (arrows indicate direction of resource use)</w:t>
                      </w:r>
                    </w:p>
                  </w:txbxContent>
                </v:textbox>
                <w10:wrap type="square"/>
              </v:shape>
            </w:pict>
          </mc:Fallback>
        </mc:AlternateContent>
      </w:r>
      <w:r w:rsidR="0049559D">
        <w:rPr>
          <w:rFonts w:eastAsia="Calibri"/>
          <w:bCs/>
          <w:sz w:val="22"/>
          <w:szCs w:val="22"/>
          <w:lang w:val="mi-NZ" w:eastAsia="en-US"/>
        </w:rPr>
        <w:t xml:space="preserve">All uses of DSI on </w:t>
      </w:r>
      <w:r>
        <w:rPr>
          <w:rFonts w:eastAsia="Calibri"/>
          <w:bCs/>
          <w:sz w:val="22"/>
          <w:szCs w:val="22"/>
          <w:lang w:val="mi-NZ" w:eastAsia="en-US"/>
        </w:rPr>
        <w:t>genetic resources for food and agriculture (</w:t>
      </w:r>
      <w:r w:rsidR="0049559D">
        <w:rPr>
          <w:rFonts w:eastAsia="Calibri"/>
          <w:bCs/>
          <w:sz w:val="22"/>
          <w:szCs w:val="22"/>
          <w:lang w:val="mi-NZ" w:eastAsia="en-US"/>
        </w:rPr>
        <w:t>GRFA</w:t>
      </w:r>
      <w:r>
        <w:rPr>
          <w:rFonts w:eastAsia="Calibri"/>
          <w:bCs/>
          <w:sz w:val="22"/>
          <w:szCs w:val="22"/>
          <w:lang w:val="mi-NZ" w:eastAsia="en-US"/>
        </w:rPr>
        <w:t>)</w:t>
      </w:r>
      <w:r w:rsidR="0049559D">
        <w:rPr>
          <w:rFonts w:eastAsia="Calibri"/>
          <w:bCs/>
          <w:sz w:val="22"/>
          <w:szCs w:val="22"/>
          <w:lang w:val="mi-NZ" w:eastAsia="en-US"/>
        </w:rPr>
        <w:t xml:space="preserve"> that do or could affect GRFA or the value of GRFA </w:t>
      </w:r>
      <w:r w:rsidR="003521D4">
        <w:rPr>
          <w:rFonts w:eastAsia="Calibri"/>
          <w:bCs/>
          <w:sz w:val="22"/>
          <w:szCs w:val="22"/>
          <w:lang w:val="mi-NZ" w:eastAsia="en-US"/>
        </w:rPr>
        <w:t>are</w:t>
      </w:r>
      <w:r w:rsidR="0049559D">
        <w:rPr>
          <w:rFonts w:eastAsia="Calibri"/>
          <w:bCs/>
          <w:sz w:val="22"/>
          <w:szCs w:val="22"/>
          <w:lang w:val="mi-NZ" w:eastAsia="en-US"/>
        </w:rPr>
        <w:t xml:space="preserve"> within</w:t>
      </w:r>
      <w:r w:rsidR="00E1299F">
        <w:rPr>
          <w:rFonts w:eastAsia="Calibri"/>
          <w:bCs/>
          <w:sz w:val="22"/>
          <w:szCs w:val="22"/>
          <w:lang w:val="mi-NZ" w:eastAsia="en-US"/>
        </w:rPr>
        <w:t xml:space="preserve"> the study’s terms of reference</w:t>
      </w:r>
      <w:r w:rsidR="0049559D">
        <w:rPr>
          <w:rFonts w:eastAsia="Calibri"/>
          <w:bCs/>
          <w:sz w:val="22"/>
          <w:szCs w:val="22"/>
          <w:lang w:val="mi-NZ" w:eastAsia="en-US"/>
        </w:rPr>
        <w:t>. This included</w:t>
      </w:r>
      <w:r w:rsidR="0049559D">
        <w:rPr>
          <w:b/>
          <w:noProof/>
          <w:lang w:val="en-US" w:eastAsia="en-US"/>
        </w:rPr>
        <w:t xml:space="preserve"> </w:t>
      </w:r>
      <w:r w:rsidR="0049559D">
        <w:rPr>
          <w:rFonts w:eastAsia="Calibri"/>
          <w:bCs/>
          <w:sz w:val="22"/>
          <w:szCs w:val="22"/>
          <w:lang w:val="mi-NZ" w:eastAsia="en-US"/>
        </w:rPr>
        <w:t>use</w:t>
      </w:r>
      <w:r w:rsidR="00112C55">
        <w:rPr>
          <w:rFonts w:eastAsia="Calibri"/>
          <w:bCs/>
          <w:sz w:val="22"/>
          <w:szCs w:val="22"/>
          <w:lang w:val="mi-NZ" w:eastAsia="en-US"/>
        </w:rPr>
        <w:t xml:space="preserve"> as food or</w:t>
      </w:r>
      <w:r w:rsidR="0049559D">
        <w:rPr>
          <w:rFonts w:eastAsia="Calibri"/>
          <w:bCs/>
          <w:sz w:val="22"/>
          <w:szCs w:val="22"/>
          <w:lang w:val="mi-NZ" w:eastAsia="en-US"/>
        </w:rPr>
        <w:t xml:space="preserve"> in</w:t>
      </w:r>
      <w:r w:rsidR="00112C55">
        <w:rPr>
          <w:rFonts w:eastAsia="Calibri"/>
          <w:bCs/>
          <w:sz w:val="22"/>
          <w:szCs w:val="22"/>
          <w:lang w:val="mi-NZ" w:eastAsia="en-US"/>
        </w:rPr>
        <w:t xml:space="preserve"> agriculture</w:t>
      </w:r>
      <w:r w:rsidR="0049559D">
        <w:rPr>
          <w:rFonts w:eastAsia="Calibri"/>
          <w:bCs/>
          <w:sz w:val="22"/>
          <w:szCs w:val="22"/>
          <w:lang w:val="mi-NZ" w:eastAsia="en-US"/>
        </w:rPr>
        <w:t xml:space="preserve">, but also </w:t>
      </w:r>
      <w:r w:rsidR="00112C55">
        <w:rPr>
          <w:rFonts w:eastAsia="Calibri"/>
          <w:bCs/>
          <w:sz w:val="22"/>
          <w:szCs w:val="22"/>
          <w:lang w:val="mi-NZ" w:eastAsia="en-US"/>
        </w:rPr>
        <w:t>using DSI to discover or add value to materials derived from GRFA (e.g. amyloid forming proteins, enzymes) or to add value to GRFA (e.g. identification of new traits</w:t>
      </w:r>
      <w:r w:rsidR="007E2FFA">
        <w:rPr>
          <w:rFonts w:eastAsia="Calibri"/>
          <w:bCs/>
          <w:sz w:val="22"/>
          <w:szCs w:val="22"/>
          <w:lang w:val="mi-NZ" w:eastAsia="en-US"/>
        </w:rPr>
        <w:t xml:space="preserve"> in non-GRFA organisms</w:t>
      </w:r>
      <w:r w:rsidR="00112C55">
        <w:rPr>
          <w:rFonts w:eastAsia="Calibri"/>
          <w:bCs/>
          <w:sz w:val="22"/>
          <w:szCs w:val="22"/>
          <w:lang w:val="mi-NZ" w:eastAsia="en-US"/>
        </w:rPr>
        <w:t>, preservation of endangered populations, diagnosis of pathogens</w:t>
      </w:r>
      <w:r w:rsidR="00D72B42">
        <w:rPr>
          <w:rFonts w:eastAsia="Calibri"/>
          <w:bCs/>
          <w:sz w:val="22"/>
          <w:szCs w:val="22"/>
          <w:lang w:val="mi-NZ" w:eastAsia="en-US"/>
        </w:rPr>
        <w:t xml:space="preserve"> in GRFA</w:t>
      </w:r>
      <w:r w:rsidR="00112C55">
        <w:rPr>
          <w:rFonts w:eastAsia="Calibri"/>
          <w:bCs/>
          <w:sz w:val="22"/>
          <w:szCs w:val="22"/>
          <w:lang w:val="mi-NZ" w:eastAsia="en-US"/>
        </w:rPr>
        <w:t>, food</w:t>
      </w:r>
      <w:r w:rsidR="00D72B42">
        <w:rPr>
          <w:rFonts w:eastAsia="Calibri"/>
          <w:bCs/>
          <w:sz w:val="22"/>
          <w:szCs w:val="22"/>
          <w:lang w:val="mi-NZ" w:eastAsia="en-US"/>
        </w:rPr>
        <w:t xml:space="preserve"> processing and</w:t>
      </w:r>
      <w:r w:rsidR="00112C55">
        <w:rPr>
          <w:rFonts w:eastAsia="Calibri"/>
          <w:bCs/>
          <w:sz w:val="22"/>
          <w:szCs w:val="22"/>
          <w:lang w:val="mi-NZ" w:eastAsia="en-US"/>
        </w:rPr>
        <w:t xml:space="preserve"> preservation)</w:t>
      </w:r>
      <w:r w:rsidR="0049559D">
        <w:rPr>
          <w:rFonts w:eastAsia="Calibri"/>
          <w:bCs/>
          <w:sz w:val="22"/>
          <w:szCs w:val="22"/>
          <w:lang w:val="mi-NZ" w:eastAsia="en-US"/>
        </w:rPr>
        <w:t xml:space="preserve"> (Figure 1)</w:t>
      </w:r>
      <w:r w:rsidR="00112C55">
        <w:rPr>
          <w:rFonts w:eastAsia="Calibri"/>
          <w:bCs/>
          <w:sz w:val="22"/>
          <w:szCs w:val="22"/>
          <w:lang w:val="mi-NZ" w:eastAsia="en-US"/>
        </w:rPr>
        <w:t>.</w:t>
      </w:r>
    </w:p>
    <w:p w14:paraId="6CBADCCC" w14:textId="77777777" w:rsidR="006239F0" w:rsidRDefault="006239F0" w:rsidP="007C7235">
      <w:pPr>
        <w:rPr>
          <w:rFonts w:eastAsia="Calibri"/>
          <w:bCs/>
          <w:sz w:val="22"/>
          <w:szCs w:val="22"/>
          <w:lang w:eastAsia="en-US"/>
        </w:rPr>
      </w:pPr>
      <w:r w:rsidRPr="00101045">
        <w:rPr>
          <w:rFonts w:eastAsia="Calibri"/>
          <w:bCs/>
          <w:sz w:val="22"/>
          <w:szCs w:val="22"/>
          <w:lang w:eastAsia="en-US"/>
        </w:rPr>
        <w:t>What is meant by DSI? (</w:t>
      </w:r>
      <w:r w:rsidR="00B26DCD">
        <w:rPr>
          <w:rFonts w:eastAsia="Calibri"/>
          <w:bCs/>
          <w:sz w:val="22"/>
          <w:szCs w:val="22"/>
          <w:lang w:eastAsia="en-US"/>
        </w:rPr>
        <w:t>t</w:t>
      </w:r>
      <w:r w:rsidR="00B26DCD" w:rsidRPr="00101045">
        <w:rPr>
          <w:rFonts w:eastAsia="Calibri"/>
          <w:bCs/>
          <w:sz w:val="22"/>
          <w:szCs w:val="22"/>
          <w:lang w:eastAsia="en-US"/>
        </w:rPr>
        <w:t xml:space="preserve">erminology </w:t>
      </w:r>
      <w:r w:rsidRPr="00101045">
        <w:rPr>
          <w:rFonts w:eastAsia="Calibri"/>
          <w:bCs/>
          <w:sz w:val="22"/>
          <w:szCs w:val="22"/>
          <w:lang w:eastAsia="en-US"/>
        </w:rPr>
        <w:t>in use)</w:t>
      </w:r>
    </w:p>
    <w:p w14:paraId="57B561D6" w14:textId="77777777" w:rsidR="007C7235" w:rsidRDefault="007C7235" w:rsidP="00076763">
      <w:pPr>
        <w:pStyle w:val="ListParagraph"/>
        <w:numPr>
          <w:ilvl w:val="0"/>
          <w:numId w:val="9"/>
        </w:numPr>
        <w:rPr>
          <w:rFonts w:eastAsia="Calibri"/>
          <w:bCs/>
          <w:sz w:val="22"/>
          <w:szCs w:val="22"/>
          <w:lang w:val="en-US" w:eastAsia="en-US"/>
        </w:rPr>
      </w:pPr>
      <w:r w:rsidRPr="004E05C5">
        <w:rPr>
          <w:rFonts w:eastAsia="Calibri"/>
          <w:bCs/>
          <w:sz w:val="22"/>
          <w:szCs w:val="22"/>
          <w:lang w:val="en-US" w:eastAsia="en-US"/>
        </w:rPr>
        <w:t>DSI on GRFA currently in use includes multiple kinds of information</w:t>
      </w:r>
      <w:r w:rsidR="00D72B42">
        <w:rPr>
          <w:rFonts w:eastAsia="Calibri"/>
          <w:bCs/>
          <w:sz w:val="22"/>
          <w:szCs w:val="22"/>
          <w:lang w:val="en-US" w:eastAsia="en-US"/>
        </w:rPr>
        <w:t xml:space="preserve"> usually kept in electronic databases</w:t>
      </w:r>
      <w:r w:rsidRPr="004E05C5">
        <w:rPr>
          <w:rFonts w:eastAsia="Calibri"/>
          <w:bCs/>
          <w:sz w:val="22"/>
          <w:szCs w:val="22"/>
          <w:lang w:val="en-US" w:eastAsia="en-US"/>
        </w:rPr>
        <w:t xml:space="preserve"> about various biological materials found in GRFA, used to manage GRFA, or to derive value from GRFA. Some</w:t>
      </w:r>
    </w:p>
    <w:p w14:paraId="647745F4" w14:textId="77777777" w:rsidR="007C7235" w:rsidRDefault="007C7235" w:rsidP="00076763">
      <w:pPr>
        <w:pStyle w:val="ListParagraph"/>
        <w:numPr>
          <w:ilvl w:val="1"/>
          <w:numId w:val="9"/>
        </w:numPr>
        <w:rPr>
          <w:rFonts w:eastAsia="Calibri"/>
          <w:bCs/>
          <w:sz w:val="22"/>
          <w:szCs w:val="22"/>
          <w:lang w:val="en-US" w:eastAsia="en-US"/>
        </w:rPr>
      </w:pPr>
      <w:r w:rsidRPr="004E05C5">
        <w:rPr>
          <w:rFonts w:eastAsia="Calibri"/>
          <w:bCs/>
          <w:sz w:val="22"/>
          <w:szCs w:val="22"/>
          <w:lang w:val="en-US" w:eastAsia="en-US"/>
        </w:rPr>
        <w:t>but not all DSI on GRFA is DNA (or RNA)</w:t>
      </w:r>
      <w:r w:rsidR="007E2FFA">
        <w:rPr>
          <w:rFonts w:eastAsia="Calibri"/>
          <w:bCs/>
          <w:sz w:val="22"/>
          <w:szCs w:val="22"/>
          <w:lang w:val="en-US" w:eastAsia="en-US"/>
        </w:rPr>
        <w:t xml:space="preserve"> composition information, usually presented as a</w:t>
      </w:r>
      <w:r w:rsidRPr="004E05C5">
        <w:rPr>
          <w:rFonts w:eastAsia="Calibri"/>
          <w:bCs/>
          <w:sz w:val="22"/>
          <w:szCs w:val="22"/>
          <w:lang w:val="en-US" w:eastAsia="en-US"/>
        </w:rPr>
        <w:t xml:space="preserve"> sequence </w:t>
      </w:r>
      <w:r w:rsidR="007E2FFA">
        <w:rPr>
          <w:rFonts w:eastAsia="Calibri"/>
          <w:bCs/>
          <w:sz w:val="22"/>
          <w:szCs w:val="22"/>
          <w:lang w:val="en-US" w:eastAsia="en-US"/>
        </w:rPr>
        <w:t>of nucleotides</w:t>
      </w:r>
      <w:r w:rsidR="00B26DCD">
        <w:rPr>
          <w:rFonts w:eastAsia="Calibri"/>
          <w:bCs/>
          <w:sz w:val="22"/>
          <w:szCs w:val="22"/>
          <w:lang w:val="en-US" w:eastAsia="en-US"/>
        </w:rPr>
        <w:t>;</w:t>
      </w:r>
    </w:p>
    <w:p w14:paraId="4EC37B1B" w14:textId="77777777" w:rsidR="007C7235" w:rsidRDefault="007C7235" w:rsidP="00076763">
      <w:pPr>
        <w:pStyle w:val="ListParagraph"/>
        <w:numPr>
          <w:ilvl w:val="1"/>
          <w:numId w:val="9"/>
        </w:numPr>
        <w:rPr>
          <w:rFonts w:eastAsia="Calibri"/>
          <w:bCs/>
          <w:sz w:val="22"/>
          <w:szCs w:val="22"/>
          <w:lang w:val="en-US" w:eastAsia="en-US"/>
        </w:rPr>
      </w:pPr>
      <w:r w:rsidRPr="004E05C5">
        <w:rPr>
          <w:rFonts w:eastAsia="Calibri"/>
          <w:bCs/>
          <w:sz w:val="22"/>
          <w:szCs w:val="22"/>
          <w:lang w:val="en-US" w:eastAsia="en-US"/>
        </w:rPr>
        <w:t>is sufficient to synthesize a trait without needing to transfer biological genetic material</w:t>
      </w:r>
      <w:r w:rsidR="00B26DCD">
        <w:rPr>
          <w:rFonts w:eastAsia="Calibri"/>
          <w:bCs/>
          <w:sz w:val="22"/>
          <w:szCs w:val="22"/>
          <w:lang w:val="en-US" w:eastAsia="en-US"/>
        </w:rPr>
        <w:t>;</w:t>
      </w:r>
    </w:p>
    <w:p w14:paraId="3C569001" w14:textId="77777777" w:rsidR="007C7235" w:rsidRDefault="007C7235" w:rsidP="00076763">
      <w:pPr>
        <w:pStyle w:val="ListParagraph"/>
        <w:numPr>
          <w:ilvl w:val="1"/>
          <w:numId w:val="9"/>
        </w:numPr>
        <w:rPr>
          <w:rFonts w:eastAsia="Calibri"/>
          <w:bCs/>
          <w:sz w:val="22"/>
          <w:szCs w:val="22"/>
          <w:lang w:val="en-US" w:eastAsia="en-US"/>
        </w:rPr>
      </w:pPr>
      <w:r w:rsidRPr="004E05C5">
        <w:rPr>
          <w:rFonts w:eastAsia="Calibri"/>
          <w:bCs/>
          <w:sz w:val="22"/>
          <w:szCs w:val="22"/>
          <w:lang w:val="en-US" w:eastAsia="en-US"/>
        </w:rPr>
        <w:t>DSI on GRFA that is not DNA or RNA</w:t>
      </w:r>
      <w:r>
        <w:rPr>
          <w:rFonts w:eastAsia="Calibri"/>
          <w:bCs/>
          <w:sz w:val="22"/>
          <w:szCs w:val="22"/>
          <w:lang w:val="en-US" w:eastAsia="en-US"/>
        </w:rPr>
        <w:t xml:space="preserve"> may</w:t>
      </w:r>
      <w:r w:rsidR="00A90795">
        <w:rPr>
          <w:rFonts w:eastAsia="Calibri"/>
          <w:bCs/>
          <w:sz w:val="22"/>
          <w:szCs w:val="22"/>
          <w:lang w:val="en-US" w:eastAsia="en-US"/>
        </w:rPr>
        <w:t>:</w:t>
      </w:r>
    </w:p>
    <w:p w14:paraId="5FDF3DFE" w14:textId="77777777" w:rsidR="007C7235" w:rsidRDefault="007C7235" w:rsidP="00076763">
      <w:pPr>
        <w:pStyle w:val="ListParagraph"/>
        <w:numPr>
          <w:ilvl w:val="2"/>
          <w:numId w:val="9"/>
        </w:numPr>
        <w:rPr>
          <w:rFonts w:eastAsia="Calibri"/>
          <w:bCs/>
          <w:sz w:val="22"/>
          <w:szCs w:val="22"/>
          <w:lang w:val="en-US" w:eastAsia="en-US"/>
        </w:rPr>
      </w:pPr>
      <w:r w:rsidRPr="008D0183">
        <w:rPr>
          <w:rFonts w:eastAsia="Calibri"/>
          <w:bCs/>
          <w:sz w:val="22"/>
          <w:szCs w:val="22"/>
          <w:lang w:val="en-US" w:eastAsia="en-US"/>
        </w:rPr>
        <w:t>be essential to identify or synthesize some traits</w:t>
      </w:r>
      <w:r w:rsidR="00B26DCD">
        <w:rPr>
          <w:rFonts w:eastAsia="Calibri"/>
          <w:bCs/>
          <w:sz w:val="22"/>
          <w:szCs w:val="22"/>
          <w:lang w:val="en-US" w:eastAsia="en-US"/>
        </w:rPr>
        <w:t>;</w:t>
      </w:r>
    </w:p>
    <w:p w14:paraId="125A2BFE" w14:textId="77777777" w:rsidR="007C7235" w:rsidRPr="007C7235" w:rsidRDefault="007C7235" w:rsidP="00076763">
      <w:pPr>
        <w:pStyle w:val="ListParagraph"/>
        <w:numPr>
          <w:ilvl w:val="2"/>
          <w:numId w:val="9"/>
        </w:numPr>
        <w:rPr>
          <w:rFonts w:eastAsia="Calibri"/>
          <w:bCs/>
          <w:sz w:val="22"/>
          <w:szCs w:val="22"/>
          <w:lang w:val="en-US" w:eastAsia="en-US"/>
        </w:rPr>
      </w:pPr>
      <w:r w:rsidRPr="008D0183">
        <w:rPr>
          <w:rFonts w:eastAsia="Calibri"/>
          <w:bCs/>
          <w:sz w:val="22"/>
          <w:szCs w:val="22"/>
          <w:lang w:val="en-US" w:eastAsia="en-US"/>
        </w:rPr>
        <w:t>not require DSI on DNA or RNA to identify or synthesize some traits.</w:t>
      </w:r>
    </w:p>
    <w:p w14:paraId="28566646" w14:textId="77777777" w:rsidR="007C7235" w:rsidRPr="002755D5" w:rsidRDefault="002755D5" w:rsidP="00076763">
      <w:pPr>
        <w:pStyle w:val="ListParagraph"/>
        <w:numPr>
          <w:ilvl w:val="0"/>
          <w:numId w:val="9"/>
        </w:numPr>
        <w:spacing w:after="120"/>
        <w:ind w:left="714" w:hanging="357"/>
        <w:rPr>
          <w:sz w:val="22"/>
          <w:szCs w:val="22"/>
        </w:rPr>
      </w:pPr>
      <w:r w:rsidRPr="00FE4BAA">
        <w:rPr>
          <w:bCs/>
          <w:sz w:val="22"/>
          <w:szCs w:val="22"/>
          <w:lang w:val="en-US"/>
        </w:rPr>
        <w:lastRenderedPageBreak/>
        <w:t>DSI on GRFA is not limited to DSI on organisms that are</w:t>
      </w:r>
      <w:r w:rsidR="00FD2D5C">
        <w:rPr>
          <w:bCs/>
          <w:sz w:val="22"/>
          <w:szCs w:val="22"/>
          <w:lang w:val="en-US"/>
        </w:rPr>
        <w:t xml:space="preserve"> now or ever</w:t>
      </w:r>
      <w:r w:rsidRPr="00FE4BAA">
        <w:rPr>
          <w:bCs/>
          <w:sz w:val="22"/>
          <w:szCs w:val="22"/>
          <w:lang w:val="en-US"/>
        </w:rPr>
        <w:t xml:space="preserve"> GRFA</w:t>
      </w:r>
      <w:r>
        <w:rPr>
          <w:bCs/>
          <w:sz w:val="22"/>
          <w:szCs w:val="22"/>
          <w:lang w:val="en-US"/>
        </w:rPr>
        <w:t>.</w:t>
      </w:r>
      <w:r w:rsidRPr="004E05C5">
        <w:rPr>
          <w:sz w:val="22"/>
          <w:szCs w:val="22"/>
        </w:rPr>
        <w:t xml:space="preserve"> </w:t>
      </w:r>
    </w:p>
    <w:p w14:paraId="159E4B59" w14:textId="77777777" w:rsidR="006239F0" w:rsidRDefault="006239F0" w:rsidP="007C7235">
      <w:pPr>
        <w:rPr>
          <w:rFonts w:eastAsia="Calibri"/>
          <w:bCs/>
          <w:sz w:val="22"/>
          <w:szCs w:val="22"/>
          <w:lang w:eastAsia="en-US"/>
        </w:rPr>
      </w:pPr>
      <w:r w:rsidRPr="00101045">
        <w:rPr>
          <w:rFonts w:eastAsia="Calibri"/>
          <w:bCs/>
          <w:sz w:val="22"/>
          <w:szCs w:val="22"/>
          <w:lang w:eastAsia="en-US"/>
        </w:rPr>
        <w:t>What are the characteristics of DSI and genetic material?</w:t>
      </w:r>
    </w:p>
    <w:p w14:paraId="74BD467B" w14:textId="77777777" w:rsidR="007C7235" w:rsidRPr="007C7235" w:rsidRDefault="007C7235" w:rsidP="00076763">
      <w:pPr>
        <w:pStyle w:val="ListParagraph"/>
        <w:numPr>
          <w:ilvl w:val="0"/>
          <w:numId w:val="11"/>
        </w:numPr>
        <w:rPr>
          <w:rFonts w:eastAsia="Calibri"/>
          <w:bCs/>
          <w:sz w:val="22"/>
          <w:szCs w:val="22"/>
          <w:lang w:eastAsia="en-US"/>
        </w:rPr>
      </w:pPr>
      <w:r w:rsidRPr="007C7235">
        <w:rPr>
          <w:sz w:val="22"/>
          <w:szCs w:val="22"/>
        </w:rPr>
        <w:t>DSI on GRFA contributes to food security and nutrition as a fundamental tool for characterization of GRFA, selection and breeding</w:t>
      </w:r>
      <w:r w:rsidR="00C07805">
        <w:rPr>
          <w:sz w:val="22"/>
          <w:szCs w:val="22"/>
        </w:rPr>
        <w:t xml:space="preserve"> including optimization for environmental context</w:t>
      </w:r>
      <w:r w:rsidRPr="007C7235">
        <w:rPr>
          <w:sz w:val="22"/>
          <w:szCs w:val="22"/>
        </w:rPr>
        <w:t>, creation of new products, food safety and management of GRFA</w:t>
      </w:r>
      <w:r w:rsidR="00C07805">
        <w:rPr>
          <w:sz w:val="22"/>
          <w:szCs w:val="22"/>
        </w:rPr>
        <w:t xml:space="preserve"> including optimization for environmental context</w:t>
      </w:r>
      <w:r w:rsidRPr="007C7235">
        <w:rPr>
          <w:sz w:val="22"/>
          <w:szCs w:val="22"/>
        </w:rPr>
        <w:t>.</w:t>
      </w:r>
    </w:p>
    <w:p w14:paraId="1C45E2E2" w14:textId="77777777" w:rsidR="002755D5" w:rsidRDefault="002755D5" w:rsidP="00076763">
      <w:pPr>
        <w:pStyle w:val="ListParagraph"/>
        <w:numPr>
          <w:ilvl w:val="0"/>
          <w:numId w:val="11"/>
        </w:numPr>
        <w:rPr>
          <w:rFonts w:eastAsia="Calibri"/>
          <w:bCs/>
          <w:sz w:val="22"/>
          <w:szCs w:val="22"/>
          <w:lang w:val="en-US" w:eastAsia="en-US"/>
        </w:rPr>
      </w:pPr>
      <w:r>
        <w:rPr>
          <w:rFonts w:eastAsia="Calibri"/>
          <w:bCs/>
          <w:sz w:val="22"/>
          <w:szCs w:val="22"/>
          <w:lang w:val="en-US" w:eastAsia="en-US"/>
        </w:rPr>
        <w:t>DSI is an essential component of technologies used for the characterization, conservation and sustainable use of GRFA</w:t>
      </w:r>
      <w:r w:rsidRPr="00DC6CB3">
        <w:rPr>
          <w:rFonts w:eastAsia="Calibri"/>
          <w:bCs/>
          <w:sz w:val="22"/>
          <w:szCs w:val="22"/>
          <w:lang w:val="en-US" w:eastAsia="en-US"/>
        </w:rPr>
        <w:t xml:space="preserve"> (e.g. DNA barcodes in biodiversity surveys). The</w:t>
      </w:r>
      <w:r>
        <w:rPr>
          <w:rFonts w:eastAsia="Calibri"/>
          <w:bCs/>
          <w:sz w:val="22"/>
          <w:szCs w:val="22"/>
          <w:lang w:val="en-US" w:eastAsia="en-US"/>
        </w:rPr>
        <w:t xml:space="preserve"> roles of DSI are increasing with new technologies.</w:t>
      </w:r>
    </w:p>
    <w:p w14:paraId="401DB7DE" w14:textId="77777777" w:rsidR="007C7235" w:rsidRPr="002755D5" w:rsidRDefault="002755D5" w:rsidP="00076763">
      <w:pPr>
        <w:pStyle w:val="ListParagraph"/>
        <w:numPr>
          <w:ilvl w:val="0"/>
          <w:numId w:val="11"/>
        </w:numPr>
        <w:spacing w:after="120"/>
        <w:ind w:left="714" w:hanging="357"/>
        <w:rPr>
          <w:rFonts w:eastAsia="Calibri"/>
          <w:bCs/>
          <w:sz w:val="22"/>
          <w:szCs w:val="22"/>
          <w:lang w:eastAsia="en-US"/>
        </w:rPr>
      </w:pPr>
      <w:r w:rsidRPr="002755D5">
        <w:rPr>
          <w:rFonts w:eastAsia="Calibri"/>
          <w:bCs/>
          <w:sz w:val="22"/>
          <w:szCs w:val="22"/>
          <w:lang w:val="en-US" w:eastAsia="en-US"/>
        </w:rPr>
        <w:t>DSI underpins technology for the synthesis of DNA and some kinds of genetic material. Such technologies could one day allow all kinds of genetic or biological material to be synthesized using DSI.</w:t>
      </w:r>
    </w:p>
    <w:p w14:paraId="4F23893A" w14:textId="77777777" w:rsidR="006239F0" w:rsidRDefault="006239F0" w:rsidP="007C7235">
      <w:pPr>
        <w:rPr>
          <w:rFonts w:eastAsia="Calibri"/>
          <w:bCs/>
          <w:sz w:val="22"/>
          <w:szCs w:val="22"/>
          <w:lang w:eastAsia="en-US"/>
        </w:rPr>
      </w:pPr>
      <w:r w:rsidRPr="00101045">
        <w:rPr>
          <w:rFonts w:eastAsia="Calibri"/>
          <w:bCs/>
          <w:sz w:val="22"/>
          <w:szCs w:val="22"/>
          <w:lang w:eastAsia="en-US"/>
        </w:rPr>
        <w:t>What are the characteristics of technologies that use DSI, and what implications do these have for GRFA management?</w:t>
      </w:r>
    </w:p>
    <w:p w14:paraId="21545E26" w14:textId="77777777" w:rsidR="007C7235" w:rsidRDefault="007C7235" w:rsidP="00076763">
      <w:pPr>
        <w:pStyle w:val="ListParagraph"/>
        <w:numPr>
          <w:ilvl w:val="0"/>
          <w:numId w:val="9"/>
        </w:numPr>
        <w:rPr>
          <w:sz w:val="22"/>
          <w:szCs w:val="22"/>
        </w:rPr>
      </w:pPr>
      <w:r>
        <w:rPr>
          <w:sz w:val="22"/>
          <w:szCs w:val="22"/>
        </w:rPr>
        <w:t>DSI makes it easier t</w:t>
      </w:r>
      <w:r w:rsidRPr="004E05C5">
        <w:rPr>
          <w:sz w:val="22"/>
          <w:szCs w:val="22"/>
        </w:rPr>
        <w:t xml:space="preserve">o get value from a genetic resource </w:t>
      </w:r>
      <w:r>
        <w:rPr>
          <w:sz w:val="22"/>
          <w:szCs w:val="22"/>
        </w:rPr>
        <w:t>without</w:t>
      </w:r>
      <w:r w:rsidRPr="004E05C5">
        <w:rPr>
          <w:sz w:val="22"/>
          <w:szCs w:val="22"/>
        </w:rPr>
        <w:t xml:space="preserve"> possessing it or </w:t>
      </w:r>
      <w:r>
        <w:rPr>
          <w:sz w:val="22"/>
          <w:szCs w:val="22"/>
        </w:rPr>
        <w:t xml:space="preserve">even </w:t>
      </w:r>
      <w:r w:rsidRPr="004E05C5">
        <w:rPr>
          <w:sz w:val="22"/>
          <w:szCs w:val="22"/>
        </w:rPr>
        <w:t xml:space="preserve">its DNA. </w:t>
      </w:r>
      <w:r w:rsidR="0049559D">
        <w:rPr>
          <w:sz w:val="22"/>
          <w:szCs w:val="22"/>
        </w:rPr>
        <w:t>A</w:t>
      </w:r>
      <w:r w:rsidRPr="004E05C5">
        <w:rPr>
          <w:sz w:val="22"/>
          <w:szCs w:val="22"/>
        </w:rPr>
        <w:t>ctual or potential differences</w:t>
      </w:r>
      <w:r w:rsidR="0049559D">
        <w:rPr>
          <w:sz w:val="22"/>
          <w:szCs w:val="22"/>
        </w:rPr>
        <w:t xml:space="preserve"> in the characteristics of technologies that use DSI d</w:t>
      </w:r>
      <w:r w:rsidR="00C07805">
        <w:rPr>
          <w:sz w:val="22"/>
          <w:szCs w:val="22"/>
        </w:rPr>
        <w:t>o</w:t>
      </w:r>
      <w:r w:rsidR="0049559D">
        <w:rPr>
          <w:sz w:val="22"/>
          <w:szCs w:val="22"/>
        </w:rPr>
        <w:t xml:space="preserve"> not vary significantly b</w:t>
      </w:r>
      <w:r w:rsidRPr="004E05C5">
        <w:rPr>
          <w:sz w:val="22"/>
          <w:szCs w:val="22"/>
        </w:rPr>
        <w:t>y subsector (animal</w:t>
      </w:r>
      <w:bookmarkStart w:id="2" w:name="_Ref400694727"/>
      <w:r w:rsidR="00526279">
        <w:rPr>
          <w:rStyle w:val="FootnoteReference"/>
        </w:rPr>
        <w:footnoteReference w:id="4"/>
      </w:r>
      <w:bookmarkEnd w:id="2"/>
      <w:r w:rsidRPr="004E05C5">
        <w:rPr>
          <w:sz w:val="22"/>
          <w:szCs w:val="22"/>
        </w:rPr>
        <w:t>,</w:t>
      </w:r>
      <w:r w:rsidR="00526279">
        <w:rPr>
          <w:sz w:val="22"/>
          <w:szCs w:val="22"/>
        </w:rPr>
        <w:t xml:space="preserve"> aquatic</w:t>
      </w:r>
      <w:bookmarkStart w:id="3" w:name="_Ref400694760"/>
      <w:r w:rsidR="00526279">
        <w:rPr>
          <w:rStyle w:val="FootnoteReference"/>
        </w:rPr>
        <w:footnoteReference w:id="5"/>
      </w:r>
      <w:bookmarkEnd w:id="3"/>
      <w:r w:rsidR="00526279">
        <w:rPr>
          <w:sz w:val="22"/>
          <w:szCs w:val="22"/>
        </w:rPr>
        <w:t>, forest, microorganism and</w:t>
      </w:r>
      <w:r w:rsidRPr="004E05C5">
        <w:rPr>
          <w:sz w:val="22"/>
          <w:szCs w:val="22"/>
        </w:rPr>
        <w:t xml:space="preserve"> plant).</w:t>
      </w:r>
    </w:p>
    <w:p w14:paraId="3CAC96BF" w14:textId="77777777" w:rsidR="007C7235" w:rsidRPr="007F03C3" w:rsidRDefault="002755D5" w:rsidP="00076763">
      <w:pPr>
        <w:pStyle w:val="ListParagraph"/>
        <w:numPr>
          <w:ilvl w:val="0"/>
          <w:numId w:val="9"/>
        </w:numPr>
        <w:spacing w:after="120"/>
        <w:ind w:left="714" w:hanging="357"/>
        <w:rPr>
          <w:rFonts w:eastAsia="Calibri"/>
          <w:bCs/>
          <w:sz w:val="22"/>
          <w:szCs w:val="22"/>
          <w:lang w:val="en-US" w:eastAsia="en-US"/>
        </w:rPr>
      </w:pPr>
      <w:r w:rsidRPr="002755D5">
        <w:rPr>
          <w:rFonts w:eastAsia="Calibri"/>
          <w:bCs/>
          <w:sz w:val="22"/>
          <w:szCs w:val="22"/>
          <w:lang w:val="en-US" w:eastAsia="en-US"/>
        </w:rPr>
        <w:t xml:space="preserve">The </w:t>
      </w:r>
      <w:r w:rsidR="00B26DCD">
        <w:rPr>
          <w:rFonts w:eastAsia="Calibri"/>
          <w:bCs/>
          <w:sz w:val="22"/>
          <w:szCs w:val="22"/>
          <w:lang w:val="en-US" w:eastAsia="en-US"/>
        </w:rPr>
        <w:t>s</w:t>
      </w:r>
      <w:r w:rsidR="00B26DCD" w:rsidRPr="002755D5">
        <w:rPr>
          <w:rFonts w:eastAsia="Calibri"/>
          <w:bCs/>
          <w:sz w:val="22"/>
          <w:szCs w:val="22"/>
          <w:lang w:val="en-US" w:eastAsia="en-US"/>
        </w:rPr>
        <w:t xml:space="preserve">tudy </w:t>
      </w:r>
      <w:r w:rsidRPr="002755D5">
        <w:rPr>
          <w:rFonts w:eastAsia="Calibri"/>
          <w:bCs/>
          <w:sz w:val="22"/>
          <w:szCs w:val="22"/>
          <w:lang w:val="en-US" w:eastAsia="en-US"/>
        </w:rPr>
        <w:t>found that DSI was used extensively in all subsectors. Possibly differences in value will emerge where DSI</w:t>
      </w:r>
      <w:r w:rsidR="00C07805">
        <w:rPr>
          <w:rFonts w:eastAsia="Calibri"/>
          <w:bCs/>
          <w:sz w:val="22"/>
          <w:szCs w:val="22"/>
          <w:lang w:val="en-US" w:eastAsia="en-US"/>
        </w:rPr>
        <w:t xml:space="preserve"> on GRFA</w:t>
      </w:r>
      <w:r w:rsidRPr="002755D5">
        <w:rPr>
          <w:rFonts w:eastAsia="Calibri"/>
          <w:bCs/>
          <w:sz w:val="22"/>
          <w:szCs w:val="22"/>
          <w:lang w:val="en-US" w:eastAsia="en-US"/>
        </w:rPr>
        <w:t xml:space="preserve"> also </w:t>
      </w:r>
      <w:r w:rsidR="00C07805">
        <w:rPr>
          <w:rFonts w:eastAsia="Calibri"/>
          <w:bCs/>
          <w:sz w:val="22"/>
          <w:szCs w:val="22"/>
          <w:lang w:val="en-US" w:eastAsia="en-US"/>
        </w:rPr>
        <w:t>informs</w:t>
      </w:r>
      <w:r w:rsidRPr="002755D5">
        <w:rPr>
          <w:rFonts w:eastAsia="Calibri"/>
          <w:bCs/>
          <w:sz w:val="22"/>
          <w:szCs w:val="22"/>
          <w:lang w:val="en-US" w:eastAsia="en-US"/>
        </w:rPr>
        <w:t xml:space="preserve"> non-agricultural applications, such as drug and vaccine development, rather than by subsector application in general.</w:t>
      </w:r>
    </w:p>
    <w:p w14:paraId="441FE70B" w14:textId="77777777" w:rsidR="00734273" w:rsidRDefault="006239F0" w:rsidP="002755D5">
      <w:pPr>
        <w:spacing w:after="120"/>
        <w:rPr>
          <w:rFonts w:eastAsia="Calibri"/>
          <w:bCs/>
          <w:sz w:val="22"/>
          <w:szCs w:val="22"/>
          <w:lang w:eastAsia="en-US"/>
        </w:rPr>
      </w:pPr>
      <w:r w:rsidRPr="00101045">
        <w:rPr>
          <w:rFonts w:eastAsia="Calibri"/>
          <w:bCs/>
          <w:sz w:val="22"/>
          <w:szCs w:val="22"/>
          <w:lang w:eastAsia="en-US"/>
        </w:rPr>
        <w:t>How is DSI stored, exchanged and shared and what implications does this have for GRFA management?</w:t>
      </w:r>
    </w:p>
    <w:p w14:paraId="16EF59AE" w14:textId="77777777" w:rsidR="00734273" w:rsidRPr="00734273" w:rsidRDefault="00734273" w:rsidP="00076763">
      <w:pPr>
        <w:pStyle w:val="ListParagraph"/>
        <w:numPr>
          <w:ilvl w:val="0"/>
          <w:numId w:val="9"/>
        </w:numPr>
        <w:spacing w:after="120"/>
        <w:ind w:left="714" w:hanging="357"/>
        <w:rPr>
          <w:rFonts w:eastAsia="Calibri"/>
          <w:bCs/>
          <w:sz w:val="22"/>
          <w:szCs w:val="22"/>
          <w:lang w:val="en-US" w:eastAsia="en-US"/>
        </w:rPr>
      </w:pPr>
      <w:r>
        <w:rPr>
          <w:rFonts w:eastAsia="Calibri"/>
          <w:bCs/>
          <w:sz w:val="22"/>
          <w:szCs w:val="22"/>
          <w:lang w:val="en-US" w:eastAsia="en-US"/>
        </w:rPr>
        <w:t>DSI on</w:t>
      </w:r>
      <w:r w:rsidRPr="00734273">
        <w:rPr>
          <w:rFonts w:eastAsia="Calibri"/>
          <w:bCs/>
          <w:sz w:val="22"/>
          <w:szCs w:val="22"/>
          <w:lang w:val="en-US" w:eastAsia="en-US"/>
        </w:rPr>
        <w:t xml:space="preserve"> GRFA is stored in electronic</w:t>
      </w:r>
      <w:r w:rsidR="00C07805">
        <w:rPr>
          <w:rFonts w:eastAsia="Calibri"/>
          <w:bCs/>
          <w:sz w:val="22"/>
          <w:szCs w:val="22"/>
          <w:lang w:val="en-US" w:eastAsia="en-US"/>
        </w:rPr>
        <w:t>/</w:t>
      </w:r>
      <w:r w:rsidRPr="00734273">
        <w:rPr>
          <w:rFonts w:eastAsia="Calibri"/>
          <w:bCs/>
          <w:sz w:val="22"/>
          <w:szCs w:val="22"/>
          <w:lang w:val="en-US" w:eastAsia="en-US"/>
        </w:rPr>
        <w:t>digital media. The amount of</w:t>
      </w:r>
      <w:r>
        <w:rPr>
          <w:rFonts w:eastAsia="Calibri"/>
          <w:bCs/>
          <w:sz w:val="22"/>
          <w:szCs w:val="22"/>
          <w:lang w:val="en-US" w:eastAsia="en-US"/>
        </w:rPr>
        <w:t xml:space="preserve"> private</w:t>
      </w:r>
      <w:r w:rsidRPr="00734273">
        <w:rPr>
          <w:rFonts w:eastAsia="Calibri"/>
          <w:bCs/>
          <w:sz w:val="22"/>
          <w:szCs w:val="22"/>
          <w:lang w:val="en-US" w:eastAsia="en-US"/>
        </w:rPr>
        <w:t xml:space="preserve"> </w:t>
      </w:r>
      <w:r>
        <w:rPr>
          <w:rFonts w:eastAsia="Calibri"/>
          <w:bCs/>
          <w:sz w:val="22"/>
          <w:szCs w:val="22"/>
          <w:lang w:val="en-US" w:eastAsia="en-US"/>
        </w:rPr>
        <w:t>DSI on</w:t>
      </w:r>
      <w:r w:rsidRPr="00734273">
        <w:rPr>
          <w:rFonts w:eastAsia="Calibri"/>
          <w:bCs/>
          <w:sz w:val="22"/>
          <w:szCs w:val="22"/>
          <w:lang w:val="en-US" w:eastAsia="en-US"/>
        </w:rPr>
        <w:t xml:space="preserve"> GRFA is unknown. </w:t>
      </w:r>
      <w:r>
        <w:rPr>
          <w:rFonts w:eastAsia="Calibri"/>
          <w:bCs/>
          <w:sz w:val="22"/>
          <w:szCs w:val="22"/>
          <w:lang w:val="en-US" w:eastAsia="en-US"/>
        </w:rPr>
        <w:t>P</w:t>
      </w:r>
      <w:r w:rsidRPr="00734273">
        <w:rPr>
          <w:rFonts w:eastAsia="Calibri"/>
          <w:bCs/>
          <w:sz w:val="22"/>
          <w:szCs w:val="22"/>
          <w:lang w:val="en-US" w:eastAsia="en-US"/>
        </w:rPr>
        <w:t>ublic</w:t>
      </w:r>
      <w:r>
        <w:rPr>
          <w:rFonts w:eastAsia="Calibri"/>
          <w:bCs/>
          <w:sz w:val="22"/>
          <w:szCs w:val="22"/>
          <w:lang w:val="en-US" w:eastAsia="en-US"/>
        </w:rPr>
        <w:t>ly</w:t>
      </w:r>
      <w:r w:rsidRPr="00734273">
        <w:rPr>
          <w:rFonts w:eastAsia="Calibri"/>
          <w:bCs/>
          <w:sz w:val="22"/>
          <w:szCs w:val="22"/>
          <w:lang w:val="en-US" w:eastAsia="en-US"/>
        </w:rPr>
        <w:t xml:space="preserve"> accessible </w:t>
      </w:r>
      <w:r>
        <w:rPr>
          <w:rFonts w:eastAsia="Calibri"/>
          <w:bCs/>
          <w:sz w:val="22"/>
          <w:szCs w:val="22"/>
          <w:lang w:val="en-US" w:eastAsia="en-US"/>
        </w:rPr>
        <w:t>DSI includes the content and functionality of</w:t>
      </w:r>
      <w:r w:rsidRPr="00734273">
        <w:rPr>
          <w:rFonts w:eastAsia="Calibri"/>
          <w:bCs/>
          <w:sz w:val="22"/>
          <w:szCs w:val="22"/>
          <w:lang w:val="en-US" w:eastAsia="en-US"/>
        </w:rPr>
        <w:t xml:space="preserve"> approximately 1</w:t>
      </w:r>
      <w:r w:rsidR="00DD3031">
        <w:rPr>
          <w:rFonts w:eastAsia="Calibri"/>
          <w:bCs/>
          <w:sz w:val="22"/>
          <w:szCs w:val="22"/>
          <w:lang w:val="en-US" w:eastAsia="en-US"/>
        </w:rPr>
        <w:t xml:space="preserve"> </w:t>
      </w:r>
      <w:r w:rsidRPr="00734273">
        <w:rPr>
          <w:rFonts w:eastAsia="Calibri"/>
          <w:bCs/>
          <w:sz w:val="22"/>
          <w:szCs w:val="22"/>
          <w:lang w:val="en-US" w:eastAsia="en-US"/>
        </w:rPr>
        <w:t>700 online databases</w:t>
      </w:r>
      <w:r>
        <w:rPr>
          <w:rFonts w:eastAsia="Calibri"/>
          <w:bCs/>
          <w:sz w:val="22"/>
          <w:szCs w:val="22"/>
          <w:lang w:val="en-US" w:eastAsia="en-US"/>
        </w:rPr>
        <w:t xml:space="preserve"> with infrastructure mainly in developed countries</w:t>
      </w:r>
      <w:r w:rsidRPr="00734273">
        <w:rPr>
          <w:rFonts w:eastAsia="Calibri"/>
          <w:bCs/>
          <w:sz w:val="22"/>
          <w:szCs w:val="22"/>
          <w:lang w:val="en-US" w:eastAsia="en-US"/>
        </w:rPr>
        <w:t>. Continuing funding in an open access model is not assured.</w:t>
      </w:r>
    </w:p>
    <w:p w14:paraId="77502307" w14:textId="77777777" w:rsidR="00734273" w:rsidRDefault="006239F0" w:rsidP="002755D5">
      <w:pPr>
        <w:spacing w:after="120"/>
        <w:rPr>
          <w:rFonts w:eastAsia="Calibri"/>
          <w:bCs/>
          <w:sz w:val="22"/>
          <w:szCs w:val="22"/>
          <w:lang w:eastAsia="en-US"/>
        </w:rPr>
      </w:pPr>
      <w:r w:rsidRPr="00101045">
        <w:rPr>
          <w:rFonts w:eastAsia="Calibri"/>
          <w:bCs/>
          <w:sz w:val="22"/>
          <w:szCs w:val="22"/>
          <w:lang w:eastAsia="en-US"/>
        </w:rPr>
        <w:t>What role does DSI have in research, product development, regulation and intellectual property</w:t>
      </w:r>
      <w:r>
        <w:rPr>
          <w:rFonts w:eastAsia="Calibri"/>
          <w:bCs/>
          <w:sz w:val="22"/>
          <w:szCs w:val="22"/>
          <w:lang w:eastAsia="en-US"/>
        </w:rPr>
        <w:t xml:space="preserve"> (IP)</w:t>
      </w:r>
      <w:r w:rsidR="00734273">
        <w:rPr>
          <w:rFonts w:eastAsia="Calibri"/>
          <w:bCs/>
          <w:sz w:val="22"/>
          <w:szCs w:val="22"/>
          <w:lang w:eastAsia="en-US"/>
        </w:rPr>
        <w:t xml:space="preserve"> claims?</w:t>
      </w:r>
    </w:p>
    <w:p w14:paraId="585CB3EF" w14:textId="77777777" w:rsidR="00D31DC8" w:rsidRDefault="00D31DC8" w:rsidP="00076763">
      <w:pPr>
        <w:pStyle w:val="ListParagraph"/>
        <w:numPr>
          <w:ilvl w:val="0"/>
          <w:numId w:val="9"/>
        </w:numPr>
        <w:spacing w:after="120"/>
        <w:ind w:left="714" w:hanging="357"/>
        <w:rPr>
          <w:rFonts w:eastAsia="Calibri"/>
          <w:bCs/>
          <w:sz w:val="22"/>
          <w:szCs w:val="22"/>
          <w:lang w:val="en-US" w:eastAsia="en-US"/>
        </w:rPr>
      </w:pPr>
      <w:r>
        <w:rPr>
          <w:rFonts w:eastAsia="Calibri"/>
          <w:bCs/>
          <w:sz w:val="22"/>
          <w:szCs w:val="22"/>
          <w:lang w:val="en-US" w:eastAsia="en-US"/>
        </w:rPr>
        <w:t>DSI of one form or another is a component of nearly all research in the biological sciences.</w:t>
      </w:r>
    </w:p>
    <w:p w14:paraId="776FC358" w14:textId="77777777" w:rsidR="00734273" w:rsidRPr="00734273" w:rsidRDefault="00734273" w:rsidP="00076763">
      <w:pPr>
        <w:pStyle w:val="ListParagraph"/>
        <w:numPr>
          <w:ilvl w:val="0"/>
          <w:numId w:val="9"/>
        </w:numPr>
        <w:spacing w:after="120"/>
        <w:ind w:left="714" w:hanging="357"/>
        <w:rPr>
          <w:rFonts w:eastAsia="Calibri"/>
          <w:bCs/>
          <w:sz w:val="22"/>
          <w:szCs w:val="22"/>
          <w:lang w:val="en-US" w:eastAsia="en-US"/>
        </w:rPr>
      </w:pPr>
      <w:r>
        <w:rPr>
          <w:rFonts w:eastAsia="Calibri"/>
          <w:bCs/>
          <w:sz w:val="22"/>
          <w:szCs w:val="22"/>
          <w:lang w:val="en-US" w:eastAsia="en-US"/>
        </w:rPr>
        <w:t>DSI on</w:t>
      </w:r>
      <w:r w:rsidRPr="00734273">
        <w:rPr>
          <w:rFonts w:eastAsia="Calibri"/>
          <w:bCs/>
          <w:sz w:val="22"/>
          <w:szCs w:val="22"/>
          <w:lang w:val="en-US" w:eastAsia="en-US"/>
        </w:rPr>
        <w:t xml:space="preserve"> GRFA </w:t>
      </w:r>
      <w:r>
        <w:rPr>
          <w:rFonts w:eastAsia="Calibri"/>
          <w:bCs/>
          <w:sz w:val="22"/>
          <w:szCs w:val="22"/>
          <w:lang w:val="en-US" w:eastAsia="en-US"/>
        </w:rPr>
        <w:t>is</w:t>
      </w:r>
      <w:r w:rsidRPr="00734273">
        <w:rPr>
          <w:rFonts w:eastAsia="Calibri"/>
          <w:bCs/>
          <w:sz w:val="22"/>
          <w:szCs w:val="22"/>
          <w:lang w:val="en-US" w:eastAsia="en-US"/>
        </w:rPr>
        <w:t xml:space="preserve"> central to product development and intellectual property</w:t>
      </w:r>
      <w:r>
        <w:rPr>
          <w:rFonts w:eastAsia="Calibri"/>
          <w:bCs/>
          <w:sz w:val="22"/>
          <w:szCs w:val="22"/>
          <w:lang w:val="en-US" w:eastAsia="en-US"/>
        </w:rPr>
        <w:t>, and expected to increase in importance especially as DSI on more kinds of organisms becomes relevant to GRFA</w:t>
      </w:r>
      <w:r w:rsidRPr="00734273">
        <w:rPr>
          <w:rFonts w:eastAsia="Calibri"/>
          <w:bCs/>
          <w:sz w:val="22"/>
          <w:szCs w:val="22"/>
          <w:lang w:val="en-US" w:eastAsia="en-US"/>
        </w:rPr>
        <w:t xml:space="preserve">. </w:t>
      </w:r>
      <w:r w:rsidR="00184C9B">
        <w:rPr>
          <w:rFonts w:eastAsia="Calibri"/>
          <w:bCs/>
          <w:sz w:val="22"/>
          <w:szCs w:val="22"/>
          <w:lang w:val="en-US" w:eastAsia="en-US"/>
        </w:rPr>
        <w:t>DSI is used</w:t>
      </w:r>
      <w:r w:rsidRPr="00734273">
        <w:rPr>
          <w:rFonts w:eastAsia="Calibri"/>
          <w:bCs/>
          <w:sz w:val="22"/>
          <w:szCs w:val="22"/>
          <w:lang w:val="en-US" w:eastAsia="en-US"/>
        </w:rPr>
        <w:t xml:space="preserve"> in regulations</w:t>
      </w:r>
      <w:r w:rsidR="00184C9B">
        <w:rPr>
          <w:rFonts w:eastAsia="Calibri"/>
          <w:bCs/>
          <w:sz w:val="22"/>
          <w:szCs w:val="22"/>
          <w:lang w:val="en-US" w:eastAsia="en-US"/>
        </w:rPr>
        <w:t xml:space="preserve"> on food safety, product labeling, and correct identification of food components, which can be important for the conservation of threatened species. It is used to both diagnose diseases in</w:t>
      </w:r>
      <w:r w:rsidR="00C07805">
        <w:rPr>
          <w:rFonts w:eastAsia="Calibri"/>
          <w:bCs/>
          <w:sz w:val="22"/>
          <w:szCs w:val="22"/>
          <w:lang w:val="en-US" w:eastAsia="en-US"/>
        </w:rPr>
        <w:t xml:space="preserve"> all forms of GRFA </w:t>
      </w:r>
      <w:r w:rsidR="00184C9B">
        <w:rPr>
          <w:rFonts w:eastAsia="Calibri"/>
          <w:bCs/>
          <w:sz w:val="22"/>
          <w:szCs w:val="22"/>
          <w:lang w:val="en-US" w:eastAsia="en-US"/>
        </w:rPr>
        <w:t xml:space="preserve">and to design therapeutics </w:t>
      </w:r>
      <w:r w:rsidR="00C07805">
        <w:rPr>
          <w:rFonts w:eastAsia="Calibri"/>
          <w:bCs/>
          <w:sz w:val="22"/>
          <w:szCs w:val="22"/>
          <w:lang w:val="en-US" w:eastAsia="en-US"/>
        </w:rPr>
        <w:t xml:space="preserve">for </w:t>
      </w:r>
      <w:r w:rsidR="00184C9B">
        <w:rPr>
          <w:rFonts w:eastAsia="Calibri"/>
          <w:bCs/>
          <w:sz w:val="22"/>
          <w:szCs w:val="22"/>
          <w:lang w:val="en-US" w:eastAsia="en-US"/>
        </w:rPr>
        <w:t>treat</w:t>
      </w:r>
      <w:r w:rsidR="00C07805">
        <w:rPr>
          <w:rFonts w:eastAsia="Calibri"/>
          <w:bCs/>
          <w:sz w:val="22"/>
          <w:szCs w:val="22"/>
          <w:lang w:val="en-US" w:eastAsia="en-US"/>
        </w:rPr>
        <w:t>ment</w:t>
      </w:r>
      <w:r w:rsidRPr="00734273">
        <w:rPr>
          <w:rFonts w:eastAsia="Calibri"/>
          <w:bCs/>
          <w:sz w:val="22"/>
          <w:szCs w:val="22"/>
          <w:lang w:val="en-US" w:eastAsia="en-US"/>
        </w:rPr>
        <w:t xml:space="preserve">. </w:t>
      </w:r>
    </w:p>
    <w:p w14:paraId="15A5F9E9" w14:textId="77777777" w:rsidR="006239F0" w:rsidRPr="00101045" w:rsidRDefault="006239F0" w:rsidP="002755D5">
      <w:pPr>
        <w:spacing w:after="120"/>
        <w:rPr>
          <w:rFonts w:eastAsia="Calibri"/>
          <w:bCs/>
          <w:sz w:val="22"/>
          <w:szCs w:val="22"/>
          <w:lang w:val="mi-NZ" w:eastAsia="en-US"/>
        </w:rPr>
      </w:pPr>
      <w:r w:rsidRPr="00101045">
        <w:rPr>
          <w:rFonts w:eastAsia="Calibri"/>
          <w:bCs/>
          <w:sz w:val="22"/>
          <w:szCs w:val="22"/>
          <w:lang w:eastAsia="en-US"/>
        </w:rPr>
        <w:t>What role does DSI have for farmers and the broader community? What implications do these have for GRFA management?</w:t>
      </w:r>
    </w:p>
    <w:p w14:paraId="1B712BB3" w14:textId="77777777" w:rsidR="002755D5" w:rsidRDefault="002755D5" w:rsidP="00076763">
      <w:pPr>
        <w:pStyle w:val="ListParagraph"/>
        <w:numPr>
          <w:ilvl w:val="0"/>
          <w:numId w:val="9"/>
        </w:numPr>
        <w:rPr>
          <w:rFonts w:eastAsia="Calibri"/>
          <w:bCs/>
          <w:sz w:val="22"/>
          <w:szCs w:val="22"/>
          <w:lang w:val="en-US" w:eastAsia="en-US"/>
        </w:rPr>
      </w:pPr>
      <w:r>
        <w:rPr>
          <w:rFonts w:eastAsia="Calibri"/>
          <w:bCs/>
          <w:sz w:val="22"/>
          <w:szCs w:val="22"/>
          <w:lang w:val="en-US" w:eastAsia="en-US"/>
        </w:rPr>
        <w:t>Through DSI different kinds of industries and actors become involved with the characterization, conservation and sustainable use of GRFA.</w:t>
      </w:r>
    </w:p>
    <w:p w14:paraId="5FA63383" w14:textId="77777777" w:rsidR="002755D5" w:rsidRDefault="002755D5" w:rsidP="00076763">
      <w:pPr>
        <w:pStyle w:val="ListParagraph"/>
        <w:numPr>
          <w:ilvl w:val="1"/>
          <w:numId w:val="9"/>
        </w:numPr>
        <w:rPr>
          <w:rFonts w:eastAsia="Calibri"/>
          <w:bCs/>
          <w:sz w:val="22"/>
          <w:szCs w:val="22"/>
          <w:lang w:val="en-US" w:eastAsia="en-US"/>
        </w:rPr>
      </w:pPr>
      <w:r>
        <w:rPr>
          <w:rFonts w:eastAsia="Calibri"/>
          <w:bCs/>
          <w:sz w:val="22"/>
          <w:szCs w:val="22"/>
          <w:lang w:val="en-US" w:eastAsia="en-US"/>
        </w:rPr>
        <w:t>Value chains are developing for everything from bionanotechnologies through synthetic biology and biological computing to on-farm hand</w:t>
      </w:r>
      <w:r w:rsidR="00B26DCD">
        <w:rPr>
          <w:rFonts w:eastAsia="Calibri"/>
          <w:bCs/>
          <w:sz w:val="22"/>
          <w:szCs w:val="22"/>
          <w:lang w:val="en-US" w:eastAsia="en-US"/>
        </w:rPr>
        <w:t>-</w:t>
      </w:r>
      <w:r>
        <w:rPr>
          <w:rFonts w:eastAsia="Calibri"/>
          <w:bCs/>
          <w:sz w:val="22"/>
          <w:szCs w:val="22"/>
          <w:lang w:val="en-US" w:eastAsia="en-US"/>
        </w:rPr>
        <w:t>held sequencers and customized management advice.</w:t>
      </w:r>
    </w:p>
    <w:p w14:paraId="06131F5B" w14:textId="77777777" w:rsidR="006239F0" w:rsidRDefault="002755D5" w:rsidP="00076763">
      <w:pPr>
        <w:pStyle w:val="ListParagraph"/>
        <w:numPr>
          <w:ilvl w:val="1"/>
          <w:numId w:val="9"/>
        </w:numPr>
        <w:spacing w:after="120"/>
        <w:ind w:left="1434" w:hanging="357"/>
        <w:rPr>
          <w:rFonts w:eastAsia="Calibri"/>
          <w:bCs/>
          <w:sz w:val="22"/>
          <w:szCs w:val="22"/>
          <w:lang w:val="en-US" w:eastAsia="en-US"/>
        </w:rPr>
      </w:pPr>
      <w:r>
        <w:rPr>
          <w:rFonts w:eastAsia="Calibri"/>
          <w:bCs/>
          <w:sz w:val="22"/>
          <w:szCs w:val="22"/>
          <w:lang w:val="en-US" w:eastAsia="en-US"/>
        </w:rPr>
        <w:t>The decreasing cost of sequencing and synthesis</w:t>
      </w:r>
      <w:r w:rsidR="00AB2F4D">
        <w:rPr>
          <w:rFonts w:eastAsia="Calibri"/>
          <w:bCs/>
          <w:sz w:val="22"/>
          <w:szCs w:val="22"/>
          <w:lang w:val="en-US" w:eastAsia="en-US"/>
        </w:rPr>
        <w:t xml:space="preserve"> in principle</w:t>
      </w:r>
      <w:r>
        <w:rPr>
          <w:rFonts w:eastAsia="Calibri"/>
          <w:bCs/>
          <w:sz w:val="22"/>
          <w:szCs w:val="22"/>
          <w:lang w:val="en-US" w:eastAsia="en-US"/>
        </w:rPr>
        <w:t xml:space="preserve"> provide greater access to tools that can be used directly by </w:t>
      </w:r>
      <w:r w:rsidR="00AB2F4D">
        <w:rPr>
          <w:rFonts w:eastAsia="Calibri"/>
          <w:bCs/>
          <w:sz w:val="22"/>
          <w:szCs w:val="22"/>
          <w:lang w:val="en-US" w:eastAsia="en-US"/>
        </w:rPr>
        <w:t>researchers, the</w:t>
      </w:r>
      <w:r>
        <w:rPr>
          <w:rFonts w:eastAsia="Calibri"/>
          <w:bCs/>
          <w:sz w:val="22"/>
          <w:szCs w:val="22"/>
          <w:lang w:val="en-US" w:eastAsia="en-US"/>
        </w:rPr>
        <w:t xml:space="preserve"> public and farmers, but also by researchers. This can be expected to increase the frequency and quantity of DSI transferred across national borders.</w:t>
      </w:r>
    </w:p>
    <w:p w14:paraId="26A695B7" w14:textId="77777777" w:rsidR="00FF67AF" w:rsidRDefault="00FF67AF" w:rsidP="00076763">
      <w:pPr>
        <w:pStyle w:val="ListParagraph"/>
        <w:numPr>
          <w:ilvl w:val="1"/>
          <w:numId w:val="9"/>
        </w:numPr>
        <w:spacing w:after="120"/>
        <w:ind w:left="1434" w:hanging="357"/>
        <w:rPr>
          <w:rFonts w:eastAsia="Calibri"/>
          <w:bCs/>
          <w:sz w:val="22"/>
          <w:szCs w:val="22"/>
          <w:lang w:val="en-US" w:eastAsia="en-US"/>
        </w:rPr>
      </w:pPr>
      <w:r>
        <w:rPr>
          <w:rFonts w:eastAsia="Calibri"/>
          <w:bCs/>
          <w:sz w:val="22"/>
          <w:szCs w:val="22"/>
          <w:lang w:val="en-US" w:eastAsia="en-US"/>
        </w:rPr>
        <w:lastRenderedPageBreak/>
        <w:t>Despite the decreasing cost of DNA sequencing and synthesis, the cost of working with other kinds of biological material</w:t>
      </w:r>
      <w:r w:rsidR="00AB2F4D">
        <w:rPr>
          <w:rFonts w:eastAsia="Calibri"/>
          <w:bCs/>
          <w:sz w:val="22"/>
          <w:szCs w:val="22"/>
          <w:lang w:val="en-US" w:eastAsia="en-US"/>
        </w:rPr>
        <w:t>,</w:t>
      </w:r>
      <w:r>
        <w:rPr>
          <w:rFonts w:eastAsia="Calibri"/>
          <w:bCs/>
          <w:sz w:val="22"/>
          <w:szCs w:val="22"/>
          <w:lang w:val="en-US" w:eastAsia="en-US"/>
        </w:rPr>
        <w:t xml:space="preserve"> and the high cost of electronic infrastructure and </w:t>
      </w:r>
      <w:r w:rsidR="00AB2F4D">
        <w:rPr>
          <w:rFonts w:eastAsia="Calibri"/>
          <w:bCs/>
          <w:sz w:val="22"/>
          <w:szCs w:val="22"/>
          <w:lang w:val="en-US" w:eastAsia="en-US"/>
        </w:rPr>
        <w:t>specialist training</w:t>
      </w:r>
      <w:r>
        <w:rPr>
          <w:rFonts w:eastAsia="Calibri"/>
          <w:bCs/>
          <w:sz w:val="22"/>
          <w:szCs w:val="22"/>
          <w:lang w:val="en-US" w:eastAsia="en-US"/>
        </w:rPr>
        <w:t xml:space="preserve"> will continue to make it difficult for some countries to use or fully benefit from the use of DSI.</w:t>
      </w:r>
    </w:p>
    <w:p w14:paraId="5FCA5509" w14:textId="77777777" w:rsidR="0047637B" w:rsidRPr="0047637B" w:rsidRDefault="0047637B" w:rsidP="0047637B">
      <w:pPr>
        <w:spacing w:after="120"/>
        <w:rPr>
          <w:rFonts w:eastAsia="Calibri"/>
          <w:sz w:val="22"/>
          <w:szCs w:val="22"/>
          <w:lang w:val="en-US" w:eastAsia="en-US"/>
        </w:rPr>
      </w:pPr>
    </w:p>
    <w:p w14:paraId="702D2604" w14:textId="77777777" w:rsidR="0047637B" w:rsidRPr="00A43161" w:rsidRDefault="00A43161" w:rsidP="0047637B">
      <w:pPr>
        <w:pStyle w:val="TableEntry"/>
        <w:keepNext/>
        <w:spacing w:before="120" w:after="120"/>
        <w:rPr>
          <w:b/>
          <w:sz w:val="24"/>
          <w:szCs w:val="24"/>
        </w:rPr>
      </w:pPr>
      <w:r w:rsidRPr="00A43161">
        <w:rPr>
          <w:b/>
          <w:sz w:val="24"/>
          <w:szCs w:val="24"/>
        </w:rPr>
        <w:t>Introduction</w:t>
      </w:r>
    </w:p>
    <w:p w14:paraId="0F1848F0" w14:textId="77777777" w:rsidR="00842949" w:rsidRPr="00842949" w:rsidRDefault="0079016A" w:rsidP="00A90795">
      <w:pPr>
        <w:spacing w:after="120"/>
        <w:rPr>
          <w:rFonts w:eastAsia="Calibri"/>
          <w:sz w:val="22"/>
          <w:szCs w:val="22"/>
          <w:lang w:val="en-US" w:eastAsia="en-US"/>
        </w:rPr>
      </w:pPr>
      <w:r w:rsidRPr="0079016A">
        <w:rPr>
          <w:rFonts w:eastAsia="Calibri"/>
          <w:sz w:val="22"/>
          <w:szCs w:val="22"/>
          <w:lang w:val="en-US" w:eastAsia="en-US"/>
        </w:rPr>
        <w:t>Can DSI about GRFA increase the value of biological genetic material</w:t>
      </w:r>
      <w:r w:rsidR="005F4BC8">
        <w:rPr>
          <w:rFonts w:eastAsia="Calibri"/>
          <w:sz w:val="22"/>
          <w:szCs w:val="22"/>
          <w:lang w:val="en-US" w:eastAsia="en-US"/>
        </w:rPr>
        <w:t>? Can it</w:t>
      </w:r>
      <w:r w:rsidRPr="0079016A">
        <w:rPr>
          <w:rFonts w:eastAsia="Calibri"/>
          <w:sz w:val="22"/>
          <w:szCs w:val="22"/>
          <w:lang w:val="en-US" w:eastAsia="en-US"/>
        </w:rPr>
        <w:t xml:space="preserve"> in some cases substitute</w:t>
      </w:r>
      <w:r w:rsidR="00842949" w:rsidRPr="00842949">
        <w:rPr>
          <w:rFonts w:eastAsia="Calibri"/>
          <w:sz w:val="22"/>
          <w:szCs w:val="22"/>
          <w:lang w:val="en-US" w:eastAsia="en-US"/>
        </w:rPr>
        <w:t xml:space="preserve"> for possession of the biological genetic material of plants, animals and microbes for some uses </w:t>
      </w:r>
      <w:r w:rsidR="0060643A">
        <w:rPr>
          <w:rFonts w:eastAsia="Calibri"/>
          <w:sz w:val="22"/>
          <w:szCs w:val="22"/>
          <w:lang w:val="en-US" w:eastAsia="en-US"/>
        </w:rPr>
        <w:t>in ways that</w:t>
      </w:r>
      <w:r w:rsidR="00842949" w:rsidRPr="00842949">
        <w:rPr>
          <w:rFonts w:eastAsia="Calibri"/>
          <w:sz w:val="22"/>
          <w:szCs w:val="22"/>
          <w:lang w:val="en-US" w:eastAsia="en-US"/>
        </w:rPr>
        <w:t xml:space="preserve"> it could not before? Can it create value separately from biological genetic material?</w:t>
      </w:r>
    </w:p>
    <w:p w14:paraId="31B2DECE" w14:textId="77777777" w:rsidR="003C2DF4" w:rsidRPr="003C2DF4" w:rsidRDefault="003C2DF4" w:rsidP="00A90795">
      <w:pPr>
        <w:spacing w:after="120"/>
        <w:rPr>
          <w:rFonts w:eastAsia="Calibri"/>
          <w:sz w:val="22"/>
          <w:szCs w:val="22"/>
          <w:lang w:val="en-US" w:eastAsia="en-US"/>
        </w:rPr>
      </w:pPr>
      <w:r w:rsidRPr="003C2DF4">
        <w:rPr>
          <w:rFonts w:eastAsia="Calibri"/>
          <w:sz w:val="22"/>
          <w:szCs w:val="22"/>
          <w:lang w:val="en-US" w:eastAsia="en-US"/>
        </w:rPr>
        <w:t>This report has been prepared to introduce a variety of audiences to the outcome of an exploratory scoping and fact-finding study on the use</w:t>
      </w:r>
      <w:r w:rsidR="0079016A">
        <w:rPr>
          <w:rFonts w:eastAsia="Calibri"/>
          <w:sz w:val="22"/>
          <w:szCs w:val="22"/>
          <w:lang w:val="en-US" w:eastAsia="en-US"/>
        </w:rPr>
        <w:t>s</w:t>
      </w:r>
      <w:r w:rsidRPr="003C2DF4">
        <w:rPr>
          <w:rFonts w:eastAsia="Calibri"/>
          <w:sz w:val="22"/>
          <w:szCs w:val="22"/>
          <w:lang w:val="en-US" w:eastAsia="en-US"/>
        </w:rPr>
        <w:t xml:space="preserve"> of </w:t>
      </w:r>
      <w:r w:rsidR="00B26DCD">
        <w:rPr>
          <w:rFonts w:eastAsia="Calibri"/>
          <w:sz w:val="22"/>
          <w:szCs w:val="22"/>
          <w:lang w:val="en-US" w:eastAsia="en-US"/>
        </w:rPr>
        <w:t>DSI</w:t>
      </w:r>
      <w:r w:rsidRPr="003C2DF4">
        <w:rPr>
          <w:rFonts w:eastAsia="Calibri"/>
          <w:sz w:val="22"/>
          <w:szCs w:val="22"/>
          <w:lang w:val="en-US" w:eastAsia="en-US"/>
        </w:rPr>
        <w:t xml:space="preserve"> on GRFA. It is important to emphasize that the study</w:t>
      </w:r>
      <w:r w:rsidR="008E792D">
        <w:rPr>
          <w:rFonts w:eastAsia="Calibri"/>
          <w:sz w:val="22"/>
          <w:szCs w:val="22"/>
          <w:lang w:val="en-US" w:eastAsia="en-US"/>
        </w:rPr>
        <w:t xml:space="preserve"> included</w:t>
      </w:r>
      <w:r w:rsidRPr="003C2DF4">
        <w:rPr>
          <w:rFonts w:eastAsia="Calibri"/>
          <w:sz w:val="22"/>
          <w:szCs w:val="22"/>
          <w:lang w:val="en-US" w:eastAsia="en-US"/>
        </w:rPr>
        <w:t xml:space="preserve"> GRFA as affected, modified or managed by DS</w:t>
      </w:r>
      <w:r w:rsidR="008E792D">
        <w:rPr>
          <w:rFonts w:eastAsia="Calibri"/>
          <w:sz w:val="22"/>
          <w:szCs w:val="22"/>
          <w:lang w:val="en-US" w:eastAsia="en-US"/>
        </w:rPr>
        <w:t>I, but was not limited to DSI sourced from GRFA</w:t>
      </w:r>
      <w:r w:rsidRPr="003C2DF4">
        <w:rPr>
          <w:rFonts w:eastAsia="Calibri"/>
          <w:sz w:val="22"/>
          <w:szCs w:val="22"/>
          <w:lang w:val="en-US" w:eastAsia="en-US"/>
        </w:rPr>
        <w:t>. The difference in approach places DSI rather than GRFA at the centr</w:t>
      </w:r>
      <w:r w:rsidR="00A90795">
        <w:rPr>
          <w:rFonts w:eastAsia="Calibri"/>
          <w:sz w:val="22"/>
          <w:szCs w:val="22"/>
          <w:lang w:val="en-US" w:eastAsia="en-US"/>
        </w:rPr>
        <w:t>e</w:t>
      </w:r>
      <w:r w:rsidRPr="003C2DF4">
        <w:rPr>
          <w:rFonts w:eastAsia="Calibri"/>
          <w:sz w:val="22"/>
          <w:szCs w:val="22"/>
          <w:lang w:val="en-US" w:eastAsia="en-US"/>
        </w:rPr>
        <w:t xml:space="preserve"> of the study. Recognizing this emphasis on DSI is critical to understand</w:t>
      </w:r>
      <w:r w:rsidR="008E792D">
        <w:rPr>
          <w:rFonts w:eastAsia="Calibri"/>
          <w:sz w:val="22"/>
          <w:szCs w:val="22"/>
          <w:lang w:val="en-US" w:eastAsia="en-US"/>
        </w:rPr>
        <w:t xml:space="preserve"> that</w:t>
      </w:r>
      <w:r w:rsidRPr="003C2DF4">
        <w:rPr>
          <w:rFonts w:eastAsia="Calibri"/>
          <w:sz w:val="22"/>
          <w:szCs w:val="22"/>
          <w:lang w:val="en-US" w:eastAsia="en-US"/>
        </w:rPr>
        <w:t xml:space="preserve"> the value that might come from DSI</w:t>
      </w:r>
      <w:r w:rsidR="008E792D">
        <w:rPr>
          <w:rFonts w:eastAsia="Calibri"/>
          <w:sz w:val="22"/>
          <w:szCs w:val="22"/>
          <w:lang w:val="en-US" w:eastAsia="en-US"/>
        </w:rPr>
        <w:t xml:space="preserve"> </w:t>
      </w:r>
      <w:r w:rsidR="008E792D" w:rsidRPr="005C758C">
        <w:rPr>
          <w:rFonts w:eastAsia="Calibri"/>
          <w:i/>
          <w:sz w:val="22"/>
          <w:szCs w:val="22"/>
          <w:lang w:val="en-US" w:eastAsia="en-US"/>
        </w:rPr>
        <w:t>on</w:t>
      </w:r>
      <w:r w:rsidR="008E792D">
        <w:rPr>
          <w:rFonts w:eastAsia="Calibri"/>
          <w:sz w:val="22"/>
          <w:szCs w:val="22"/>
          <w:lang w:val="en-US" w:eastAsia="en-US"/>
        </w:rPr>
        <w:t xml:space="preserve"> GRFA is sometimes different than the value of DSI </w:t>
      </w:r>
      <w:r w:rsidR="008E792D" w:rsidRPr="005C758C">
        <w:rPr>
          <w:rFonts w:eastAsia="Calibri"/>
          <w:i/>
          <w:sz w:val="22"/>
          <w:szCs w:val="22"/>
          <w:lang w:val="en-US" w:eastAsia="en-US"/>
        </w:rPr>
        <w:t>from</w:t>
      </w:r>
      <w:r w:rsidR="008E792D">
        <w:rPr>
          <w:rFonts w:eastAsia="Calibri"/>
          <w:sz w:val="22"/>
          <w:szCs w:val="22"/>
          <w:lang w:val="en-US" w:eastAsia="en-US"/>
        </w:rPr>
        <w:t xml:space="preserve"> GRFA.</w:t>
      </w:r>
    </w:p>
    <w:p w14:paraId="361A407B" w14:textId="77777777" w:rsidR="00071228" w:rsidRDefault="00AB2F4D" w:rsidP="003C2DF4">
      <w:pPr>
        <w:spacing w:after="120"/>
        <w:rPr>
          <w:rFonts w:eastAsia="Calibri"/>
          <w:sz w:val="22"/>
          <w:szCs w:val="22"/>
          <w:lang w:val="en-US" w:eastAsia="en-US"/>
        </w:rPr>
      </w:pPr>
      <w:r>
        <w:rPr>
          <w:rFonts w:eastAsia="Calibri"/>
          <w:sz w:val="22"/>
          <w:szCs w:val="22"/>
          <w:lang w:val="en-US" w:eastAsia="en-US"/>
        </w:rPr>
        <w:t>T</w:t>
      </w:r>
      <w:r w:rsidR="003C2DF4" w:rsidRPr="003C2DF4">
        <w:rPr>
          <w:rFonts w:eastAsia="Calibri"/>
          <w:sz w:val="22"/>
          <w:szCs w:val="22"/>
          <w:lang w:val="en-US" w:eastAsia="en-US"/>
        </w:rPr>
        <w:t xml:space="preserve">he underlying study did not focus on biosafety or other kinds of risk </w:t>
      </w:r>
      <w:r w:rsidR="003C2DF4">
        <w:rPr>
          <w:rFonts w:eastAsia="Calibri"/>
          <w:sz w:val="22"/>
          <w:szCs w:val="22"/>
          <w:lang w:val="en-US" w:eastAsia="en-US"/>
        </w:rPr>
        <w:t>because</w:t>
      </w:r>
      <w:r w:rsidR="003C2DF4" w:rsidRPr="003C2DF4">
        <w:rPr>
          <w:rFonts w:eastAsia="Calibri"/>
          <w:sz w:val="22"/>
          <w:szCs w:val="22"/>
          <w:lang w:val="en-US" w:eastAsia="en-US"/>
        </w:rPr>
        <w:t xml:space="preserve"> it was recognized that other reports were being prepared that included such perspectives, and the objective of this report was to scope what is and could be</w:t>
      </w:r>
      <w:r w:rsidR="005A155F">
        <w:rPr>
          <w:rFonts w:eastAsia="Calibri"/>
          <w:sz w:val="22"/>
          <w:szCs w:val="22"/>
          <w:lang w:val="en-US" w:eastAsia="en-US"/>
        </w:rPr>
        <w:t xml:space="preserve"> technically achieved</w:t>
      </w:r>
      <w:r w:rsidR="003C2DF4" w:rsidRPr="003C2DF4">
        <w:rPr>
          <w:rFonts w:eastAsia="Calibri"/>
          <w:sz w:val="22"/>
          <w:szCs w:val="22"/>
          <w:lang w:val="en-US" w:eastAsia="en-US"/>
        </w:rPr>
        <w:t xml:space="preserve"> with DSI rather than how DSI should or should not be used</w:t>
      </w:r>
      <w:r w:rsidR="003C2DF4">
        <w:rPr>
          <w:rFonts w:eastAsia="Calibri"/>
          <w:sz w:val="22"/>
          <w:szCs w:val="22"/>
          <w:lang w:val="en-US" w:eastAsia="en-US"/>
        </w:rPr>
        <w:t>, or should or should not be regulated</w:t>
      </w:r>
      <w:r w:rsidR="003C2DF4" w:rsidRPr="003C2DF4">
        <w:rPr>
          <w:rFonts w:eastAsia="Calibri"/>
          <w:sz w:val="22"/>
          <w:szCs w:val="22"/>
          <w:lang w:val="en-US" w:eastAsia="en-US"/>
        </w:rPr>
        <w:t>. Nevertheless,</w:t>
      </w:r>
      <w:r w:rsidR="003C2DF4">
        <w:rPr>
          <w:rFonts w:eastAsia="Calibri"/>
          <w:sz w:val="22"/>
          <w:szCs w:val="22"/>
          <w:lang w:val="en-US" w:eastAsia="en-US"/>
        </w:rPr>
        <w:t xml:space="preserve"> the study did find that</w:t>
      </w:r>
      <w:r w:rsidR="003C2DF4" w:rsidRPr="003C2DF4">
        <w:rPr>
          <w:rFonts w:eastAsia="Calibri"/>
          <w:sz w:val="22"/>
          <w:szCs w:val="22"/>
          <w:lang w:val="en-US" w:eastAsia="en-US"/>
        </w:rPr>
        <w:t xml:space="preserve"> DSI underpins powerful biotechnologies</w:t>
      </w:r>
      <w:r w:rsidR="008E792D">
        <w:rPr>
          <w:rFonts w:eastAsia="Calibri"/>
          <w:sz w:val="22"/>
          <w:szCs w:val="22"/>
          <w:lang w:val="en-US" w:eastAsia="en-US"/>
        </w:rPr>
        <w:t xml:space="preserve"> </w:t>
      </w:r>
      <w:r w:rsidR="008E792D" w:rsidRPr="003C2DF4">
        <w:rPr>
          <w:rFonts w:eastAsia="Calibri"/>
          <w:sz w:val="22"/>
          <w:szCs w:val="22"/>
          <w:lang w:val="en-US" w:eastAsia="en-US"/>
        </w:rPr>
        <w:t>a</w:t>
      </w:r>
      <w:r w:rsidR="008E792D">
        <w:rPr>
          <w:rFonts w:eastAsia="Calibri"/>
          <w:sz w:val="22"/>
          <w:szCs w:val="22"/>
          <w:lang w:val="en-US" w:eastAsia="en-US"/>
        </w:rPr>
        <w:t>s well as resource inventories and conservation.</w:t>
      </w:r>
      <w:r w:rsidR="003C2DF4" w:rsidRPr="003C2DF4">
        <w:rPr>
          <w:rFonts w:eastAsia="Calibri"/>
          <w:sz w:val="22"/>
          <w:szCs w:val="22"/>
          <w:lang w:val="en-US" w:eastAsia="en-US"/>
        </w:rPr>
        <w:t xml:space="preserve"> </w:t>
      </w:r>
      <w:r w:rsidR="008E792D">
        <w:rPr>
          <w:rFonts w:eastAsia="Calibri"/>
          <w:sz w:val="22"/>
          <w:szCs w:val="22"/>
          <w:lang w:val="en-US" w:eastAsia="en-US"/>
        </w:rPr>
        <w:t>Socio-economic implications and potential to</w:t>
      </w:r>
      <w:r w:rsidR="005A155F">
        <w:rPr>
          <w:rFonts w:eastAsia="Calibri"/>
          <w:sz w:val="22"/>
          <w:szCs w:val="22"/>
          <w:lang w:val="en-US" w:eastAsia="en-US"/>
        </w:rPr>
        <w:t xml:space="preserve"> deliver benefits or</w:t>
      </w:r>
      <w:r w:rsidR="003C2DF4" w:rsidRPr="003C2DF4">
        <w:rPr>
          <w:rFonts w:eastAsia="Calibri"/>
          <w:sz w:val="22"/>
          <w:szCs w:val="22"/>
          <w:lang w:val="en-US" w:eastAsia="en-US"/>
        </w:rPr>
        <w:t xml:space="preserve"> cause harm to human health or the environment are</w:t>
      </w:r>
      <w:r w:rsidR="008E792D">
        <w:rPr>
          <w:rFonts w:eastAsia="Calibri"/>
          <w:sz w:val="22"/>
          <w:szCs w:val="22"/>
          <w:lang w:val="en-US" w:eastAsia="en-US"/>
        </w:rPr>
        <w:t xml:space="preserve"> noted b</w:t>
      </w:r>
      <w:r w:rsidR="005C758C">
        <w:rPr>
          <w:rFonts w:eastAsia="Calibri"/>
          <w:sz w:val="22"/>
          <w:szCs w:val="22"/>
          <w:lang w:val="en-US" w:eastAsia="en-US"/>
        </w:rPr>
        <w:t>ut</w:t>
      </w:r>
      <w:r w:rsidR="008E792D">
        <w:rPr>
          <w:rFonts w:eastAsia="Calibri"/>
          <w:sz w:val="22"/>
          <w:szCs w:val="22"/>
          <w:lang w:val="en-US" w:eastAsia="en-US"/>
        </w:rPr>
        <w:t xml:space="preserve"> not considered in depth</w:t>
      </w:r>
      <w:r w:rsidR="003C2DF4" w:rsidRPr="003C2DF4">
        <w:rPr>
          <w:rFonts w:eastAsia="Calibri"/>
          <w:sz w:val="22"/>
          <w:szCs w:val="22"/>
          <w:lang w:val="en-US" w:eastAsia="en-US"/>
        </w:rPr>
        <w:t>.</w:t>
      </w:r>
      <w:r w:rsidR="00071228">
        <w:rPr>
          <w:rFonts w:eastAsia="Calibri"/>
          <w:sz w:val="22"/>
          <w:szCs w:val="22"/>
          <w:lang w:val="en-US" w:eastAsia="en-US"/>
        </w:rPr>
        <w:t xml:space="preserve"> </w:t>
      </w:r>
    </w:p>
    <w:p w14:paraId="282878A4" w14:textId="77777777" w:rsidR="00842949" w:rsidRPr="00842949" w:rsidRDefault="009E490F" w:rsidP="00842949">
      <w:pPr>
        <w:spacing w:after="120"/>
        <w:rPr>
          <w:rFonts w:eastAsia="Calibri"/>
          <w:bCs/>
          <w:sz w:val="22"/>
          <w:szCs w:val="22"/>
          <w:lang w:val="en-US" w:eastAsia="en-US"/>
        </w:rPr>
      </w:pPr>
      <w:r>
        <w:rPr>
          <w:rFonts w:eastAsia="Calibri"/>
          <w:sz w:val="22"/>
          <w:szCs w:val="22"/>
          <w:lang w:val="en-US" w:eastAsia="en-US"/>
        </w:rPr>
        <w:t xml:space="preserve">The report covers </w:t>
      </w:r>
      <w:r w:rsidR="00842949" w:rsidRPr="00842949">
        <w:rPr>
          <w:rFonts w:eastAsia="Calibri"/>
          <w:sz w:val="22"/>
          <w:szCs w:val="22"/>
          <w:lang w:val="en-US" w:eastAsia="en-US"/>
        </w:rPr>
        <w:t xml:space="preserve">existing and emerging uses of, mainly electronic, </w:t>
      </w:r>
      <w:r w:rsidR="0060643A">
        <w:rPr>
          <w:rFonts w:eastAsia="Calibri"/>
          <w:sz w:val="22"/>
          <w:szCs w:val="22"/>
          <w:lang w:val="en-US" w:eastAsia="en-US"/>
        </w:rPr>
        <w:t>bio-</w:t>
      </w:r>
      <w:r w:rsidR="00842949" w:rsidRPr="00842949">
        <w:rPr>
          <w:rFonts w:eastAsia="Calibri"/>
          <w:sz w:val="22"/>
          <w:szCs w:val="22"/>
          <w:lang w:val="en-US" w:eastAsia="en-US"/>
        </w:rPr>
        <w:t>information technology</w:t>
      </w:r>
      <w:r w:rsidR="007804B2">
        <w:rPr>
          <w:rFonts w:eastAsia="Calibri"/>
          <w:sz w:val="22"/>
          <w:szCs w:val="22"/>
          <w:lang w:val="en-US" w:eastAsia="en-US"/>
        </w:rPr>
        <w:t>. These uses</w:t>
      </w:r>
      <w:r w:rsidR="00842949" w:rsidRPr="00842949">
        <w:rPr>
          <w:rFonts w:eastAsia="Calibri"/>
          <w:sz w:val="22"/>
          <w:szCs w:val="22"/>
          <w:lang w:val="en-US" w:eastAsia="en-US"/>
        </w:rPr>
        <w:t xml:space="preserve"> are </w:t>
      </w:r>
      <w:r w:rsidR="00277EAE">
        <w:rPr>
          <w:rFonts w:eastAsia="Calibri"/>
          <w:sz w:val="22"/>
          <w:szCs w:val="22"/>
          <w:lang w:val="en-US" w:eastAsia="en-US"/>
        </w:rPr>
        <w:t>already being</w:t>
      </w:r>
      <w:r w:rsidR="00842949" w:rsidRPr="00842949">
        <w:rPr>
          <w:rFonts w:eastAsia="Calibri"/>
          <w:sz w:val="22"/>
          <w:szCs w:val="22"/>
          <w:lang w:val="en-US" w:eastAsia="en-US"/>
        </w:rPr>
        <w:t xml:space="preserve"> applied to the</w:t>
      </w:r>
      <w:r>
        <w:rPr>
          <w:rFonts w:eastAsia="Calibri"/>
          <w:sz w:val="22"/>
          <w:szCs w:val="22"/>
          <w:lang w:val="en-US" w:eastAsia="en-US"/>
        </w:rPr>
        <w:t xml:space="preserve"> characterization,</w:t>
      </w:r>
      <w:r w:rsidR="00842949" w:rsidRPr="00842949">
        <w:rPr>
          <w:rFonts w:eastAsia="Calibri"/>
          <w:sz w:val="22"/>
          <w:szCs w:val="22"/>
          <w:lang w:val="en-US" w:eastAsia="en-US"/>
        </w:rPr>
        <w:t xml:space="preserve"> conservation and sustainable use of GRFA, including </w:t>
      </w:r>
      <w:r w:rsidR="00842949" w:rsidRPr="00842949">
        <w:rPr>
          <w:rFonts w:eastAsia="Calibri"/>
          <w:bCs/>
          <w:sz w:val="22"/>
          <w:szCs w:val="22"/>
          <w:lang w:val="en-US" w:eastAsia="en-US"/>
        </w:rPr>
        <w:t xml:space="preserve">equitable access or fair opportunity to benefit. </w:t>
      </w:r>
      <w:r w:rsidR="00277EAE" w:rsidRPr="00277EAE">
        <w:rPr>
          <w:rFonts w:eastAsia="Calibri"/>
          <w:bCs/>
          <w:sz w:val="22"/>
          <w:szCs w:val="22"/>
          <w:lang w:val="en-US" w:eastAsia="en-US"/>
        </w:rPr>
        <w:t>The importance of</w:t>
      </w:r>
      <w:r w:rsidR="00277EAE">
        <w:rPr>
          <w:rFonts w:eastAsia="Calibri"/>
          <w:bCs/>
          <w:sz w:val="22"/>
          <w:szCs w:val="22"/>
          <w:lang w:val="en-US" w:eastAsia="en-US"/>
        </w:rPr>
        <w:t xml:space="preserve"> DSI for</w:t>
      </w:r>
      <w:r w:rsidR="00277EAE" w:rsidRPr="00277EAE">
        <w:rPr>
          <w:rFonts w:eastAsia="Calibri"/>
          <w:bCs/>
          <w:sz w:val="22"/>
          <w:szCs w:val="22"/>
          <w:lang w:val="en-US" w:eastAsia="en-US"/>
        </w:rPr>
        <w:t xml:space="preserve"> these technologies is almost certain to increase.</w:t>
      </w:r>
      <w:r w:rsidR="00277EAE">
        <w:rPr>
          <w:rFonts w:eastAsia="Calibri"/>
          <w:bCs/>
          <w:sz w:val="22"/>
          <w:szCs w:val="22"/>
          <w:lang w:val="en-US" w:eastAsia="en-US"/>
        </w:rPr>
        <w:t xml:space="preserve"> </w:t>
      </w:r>
      <w:r w:rsidR="00842949" w:rsidRPr="00842949">
        <w:rPr>
          <w:rFonts w:eastAsia="Calibri"/>
          <w:bCs/>
          <w:sz w:val="22"/>
          <w:szCs w:val="22"/>
          <w:lang w:val="en-US" w:eastAsia="en-US"/>
        </w:rPr>
        <w:t>T</w:t>
      </w:r>
      <w:r w:rsidR="00277EAE">
        <w:rPr>
          <w:rFonts w:eastAsia="Calibri"/>
          <w:bCs/>
          <w:sz w:val="22"/>
          <w:szCs w:val="22"/>
          <w:lang w:val="en-US" w:eastAsia="en-US"/>
        </w:rPr>
        <w:t>his</w:t>
      </w:r>
      <w:r w:rsidR="00842949" w:rsidRPr="00842949">
        <w:rPr>
          <w:rFonts w:eastAsia="Calibri"/>
          <w:bCs/>
          <w:sz w:val="22"/>
          <w:szCs w:val="22"/>
          <w:lang w:val="en-US" w:eastAsia="en-US"/>
        </w:rPr>
        <w:t xml:space="preserve"> report is intended to assist </w:t>
      </w:r>
      <w:r w:rsidR="00B26DCD" w:rsidRPr="00842949">
        <w:rPr>
          <w:rFonts w:eastAsia="Calibri"/>
          <w:bCs/>
          <w:sz w:val="22"/>
          <w:szCs w:val="22"/>
          <w:lang w:val="en-US" w:eastAsia="en-US"/>
        </w:rPr>
        <w:t>policy</w:t>
      </w:r>
      <w:r w:rsidR="00B26DCD">
        <w:rPr>
          <w:rFonts w:eastAsia="Calibri"/>
          <w:bCs/>
          <w:sz w:val="22"/>
          <w:szCs w:val="22"/>
          <w:lang w:val="en-US" w:eastAsia="en-US"/>
        </w:rPr>
        <w:t>-</w:t>
      </w:r>
      <w:r w:rsidR="00842949" w:rsidRPr="00842949">
        <w:rPr>
          <w:rFonts w:eastAsia="Calibri"/>
          <w:bCs/>
          <w:sz w:val="22"/>
          <w:szCs w:val="22"/>
          <w:lang w:val="en-US" w:eastAsia="en-US"/>
        </w:rPr>
        <w:t xml:space="preserve">makers </w:t>
      </w:r>
      <w:r w:rsidR="00B26DCD">
        <w:rPr>
          <w:rFonts w:eastAsia="Calibri"/>
          <w:bCs/>
          <w:sz w:val="22"/>
          <w:szCs w:val="22"/>
          <w:lang w:val="en-US" w:eastAsia="en-US"/>
        </w:rPr>
        <w:t>in</w:t>
      </w:r>
      <w:r w:rsidR="00B26DCD" w:rsidRPr="00842949">
        <w:rPr>
          <w:rFonts w:eastAsia="Calibri"/>
          <w:bCs/>
          <w:sz w:val="22"/>
          <w:szCs w:val="22"/>
          <w:lang w:val="en-US" w:eastAsia="en-US"/>
        </w:rPr>
        <w:t xml:space="preserve"> </w:t>
      </w:r>
      <w:r w:rsidR="00842949" w:rsidRPr="00842949">
        <w:rPr>
          <w:rFonts w:eastAsia="Calibri"/>
          <w:bCs/>
          <w:sz w:val="22"/>
          <w:szCs w:val="22"/>
          <w:lang w:val="en-US" w:eastAsia="en-US"/>
        </w:rPr>
        <w:t>adapting to the scientific changes brought about by both quantitative and qualitative changes in information collection, transmission, applications and inherent value even when it may be uncoupled from the original biological genetic material.</w:t>
      </w:r>
    </w:p>
    <w:p w14:paraId="33A8E9C5" w14:textId="77777777" w:rsidR="006556EC" w:rsidRDefault="00B26DCD" w:rsidP="00842949">
      <w:pPr>
        <w:spacing w:after="120"/>
        <w:rPr>
          <w:rFonts w:eastAsia="Calibri"/>
          <w:bCs/>
          <w:sz w:val="22"/>
          <w:szCs w:val="22"/>
          <w:lang w:val="en-US" w:eastAsia="en-US"/>
        </w:rPr>
      </w:pPr>
      <w:r>
        <w:rPr>
          <w:rFonts w:eastAsia="Calibri"/>
          <w:bCs/>
          <w:sz w:val="22"/>
          <w:szCs w:val="22"/>
          <w:lang w:val="en-US" w:eastAsia="en-US"/>
        </w:rPr>
        <w:t>GRFA</w:t>
      </w:r>
      <w:r w:rsidR="00842949" w:rsidRPr="00842949">
        <w:rPr>
          <w:rFonts w:eastAsia="Calibri"/>
          <w:bCs/>
          <w:sz w:val="22"/>
          <w:szCs w:val="22"/>
          <w:lang w:val="en-US" w:eastAsia="en-US"/>
        </w:rPr>
        <w:t xml:space="preserve"> include plants, animals, fungi and micro</w:t>
      </w:r>
      <w:r w:rsidR="00A90795">
        <w:rPr>
          <w:rFonts w:eastAsia="Calibri"/>
          <w:bCs/>
          <w:sz w:val="22"/>
          <w:szCs w:val="22"/>
          <w:lang w:val="en-US" w:eastAsia="en-US"/>
        </w:rPr>
        <w:t>-</w:t>
      </w:r>
      <w:r w:rsidR="00842949" w:rsidRPr="00842949">
        <w:rPr>
          <w:rFonts w:eastAsia="Calibri"/>
          <w:bCs/>
          <w:sz w:val="22"/>
          <w:szCs w:val="22"/>
          <w:lang w:val="en-US" w:eastAsia="en-US"/>
        </w:rPr>
        <w:t>organisms that we eat (e.g. cassava, poultry,</w:t>
      </w:r>
      <w:r w:rsidR="005F4BC8">
        <w:rPr>
          <w:rFonts w:eastAsia="Calibri"/>
          <w:bCs/>
          <w:sz w:val="22"/>
          <w:szCs w:val="22"/>
          <w:lang w:val="en-US" w:eastAsia="en-US"/>
        </w:rPr>
        <w:t xml:space="preserve"> fish,</w:t>
      </w:r>
      <w:r w:rsidR="00842949" w:rsidRPr="00842949">
        <w:rPr>
          <w:rFonts w:eastAsia="Calibri"/>
          <w:bCs/>
          <w:sz w:val="22"/>
          <w:szCs w:val="22"/>
          <w:lang w:val="en-US" w:eastAsia="en-US"/>
        </w:rPr>
        <w:t xml:space="preserve"> beer, yog</w:t>
      </w:r>
      <w:r>
        <w:rPr>
          <w:rFonts w:eastAsia="Calibri"/>
          <w:bCs/>
          <w:sz w:val="22"/>
          <w:szCs w:val="22"/>
          <w:lang w:val="en-US" w:eastAsia="en-US"/>
        </w:rPr>
        <w:t>h</w:t>
      </w:r>
      <w:r w:rsidR="00842949" w:rsidRPr="00842949">
        <w:rPr>
          <w:rFonts w:eastAsia="Calibri"/>
          <w:bCs/>
          <w:sz w:val="22"/>
          <w:szCs w:val="22"/>
          <w:lang w:val="en-US" w:eastAsia="en-US"/>
        </w:rPr>
        <w:t xml:space="preserve">urt), or provide material and fuel (e.g. </w:t>
      </w:r>
      <w:r w:rsidR="00F40D79">
        <w:rPr>
          <w:rFonts w:eastAsia="Calibri"/>
          <w:bCs/>
          <w:sz w:val="22"/>
          <w:szCs w:val="22"/>
          <w:lang w:val="en-US" w:eastAsia="en-US"/>
        </w:rPr>
        <w:t>forest trees</w:t>
      </w:r>
      <w:r w:rsidR="00842949" w:rsidRPr="00842949">
        <w:rPr>
          <w:rFonts w:eastAsia="Calibri"/>
          <w:bCs/>
          <w:sz w:val="22"/>
          <w:szCs w:val="22"/>
          <w:lang w:val="en-US" w:eastAsia="en-US"/>
        </w:rPr>
        <w:t>),</w:t>
      </w:r>
      <w:r w:rsidR="0060643A">
        <w:rPr>
          <w:rFonts w:eastAsia="Calibri"/>
          <w:bCs/>
          <w:sz w:val="22"/>
          <w:szCs w:val="22"/>
          <w:lang w:val="en-US" w:eastAsia="en-US"/>
        </w:rPr>
        <w:t xml:space="preserve"> industrial and consumer products (e.g. proteins)</w:t>
      </w:r>
      <w:r w:rsidR="00842949" w:rsidRPr="00842949">
        <w:rPr>
          <w:rFonts w:eastAsia="Calibri"/>
          <w:bCs/>
          <w:sz w:val="22"/>
          <w:szCs w:val="22"/>
          <w:lang w:val="en-US" w:eastAsia="en-US"/>
        </w:rPr>
        <w:t xml:space="preserve"> or provide genetic diversity</w:t>
      </w:r>
      <w:r w:rsidR="00F40D79">
        <w:rPr>
          <w:rFonts w:eastAsia="Calibri"/>
          <w:bCs/>
          <w:sz w:val="22"/>
          <w:szCs w:val="22"/>
          <w:lang w:val="en-US" w:eastAsia="en-US"/>
        </w:rPr>
        <w:t xml:space="preserve"> (e.g. wild relatives)</w:t>
      </w:r>
      <w:r w:rsidR="00842949" w:rsidRPr="00842949">
        <w:rPr>
          <w:rFonts w:eastAsia="Calibri"/>
          <w:bCs/>
          <w:sz w:val="22"/>
          <w:szCs w:val="22"/>
          <w:lang w:val="en-US" w:eastAsia="en-US"/>
        </w:rPr>
        <w:t>, services</w:t>
      </w:r>
      <w:r w:rsidR="001F11F2">
        <w:rPr>
          <w:rFonts w:eastAsia="Calibri"/>
          <w:bCs/>
          <w:sz w:val="22"/>
          <w:szCs w:val="22"/>
          <w:lang w:val="en-US" w:eastAsia="en-US"/>
        </w:rPr>
        <w:t xml:space="preserve"> </w:t>
      </w:r>
      <w:r w:rsidR="001F11F2" w:rsidRPr="00842949">
        <w:rPr>
          <w:rFonts w:eastAsia="Calibri"/>
          <w:sz w:val="22"/>
          <w:szCs w:val="22"/>
          <w:lang w:val="en-US" w:eastAsia="en-US"/>
        </w:rPr>
        <w:t>(e.g. soil microbes)</w:t>
      </w:r>
      <w:r w:rsidR="00842949" w:rsidRPr="00842949">
        <w:rPr>
          <w:rFonts w:eastAsia="Calibri"/>
          <w:bCs/>
          <w:sz w:val="22"/>
          <w:szCs w:val="22"/>
          <w:lang w:val="en-US" w:eastAsia="en-US"/>
        </w:rPr>
        <w:t xml:space="preserve"> and resources</w:t>
      </w:r>
      <w:r w:rsidR="001F11F2">
        <w:rPr>
          <w:rFonts w:eastAsia="Calibri"/>
          <w:bCs/>
          <w:sz w:val="22"/>
          <w:szCs w:val="22"/>
          <w:lang w:val="en-US" w:eastAsia="en-US"/>
        </w:rPr>
        <w:t xml:space="preserve"> (e.g. </w:t>
      </w:r>
      <w:r w:rsidR="00F40D79">
        <w:rPr>
          <w:rFonts w:eastAsia="Calibri"/>
          <w:bCs/>
          <w:sz w:val="22"/>
          <w:szCs w:val="22"/>
          <w:lang w:val="en-US" w:eastAsia="en-US"/>
        </w:rPr>
        <w:t>landraces</w:t>
      </w:r>
      <w:r w:rsidR="001F11F2">
        <w:rPr>
          <w:rFonts w:eastAsia="Calibri"/>
          <w:bCs/>
          <w:sz w:val="22"/>
          <w:szCs w:val="22"/>
          <w:lang w:val="en-US" w:eastAsia="en-US"/>
        </w:rPr>
        <w:t>)</w:t>
      </w:r>
      <w:r w:rsidR="00842949" w:rsidRPr="00842949">
        <w:rPr>
          <w:rFonts w:eastAsia="Calibri"/>
          <w:bCs/>
          <w:sz w:val="22"/>
          <w:szCs w:val="22"/>
          <w:lang w:val="en-US" w:eastAsia="en-US"/>
        </w:rPr>
        <w:t xml:space="preserve"> upon which agriculture depends (</w:t>
      </w:r>
      <w:r w:rsidR="00842949" w:rsidRPr="004C7D6B">
        <w:rPr>
          <w:rFonts w:eastAsia="Calibri"/>
          <w:bCs/>
          <w:sz w:val="22"/>
          <w:szCs w:val="22"/>
          <w:lang w:val="en-US" w:eastAsia="en-US"/>
        </w:rPr>
        <w:t xml:space="preserve">Figure </w:t>
      </w:r>
      <w:r w:rsidR="006239F0">
        <w:rPr>
          <w:rFonts w:eastAsia="Calibri"/>
          <w:bCs/>
          <w:sz w:val="22"/>
          <w:szCs w:val="22"/>
          <w:lang w:val="en-US" w:eastAsia="en-US"/>
        </w:rPr>
        <w:t>2</w:t>
      </w:r>
      <w:r w:rsidR="00842949" w:rsidRPr="00842949">
        <w:rPr>
          <w:rFonts w:eastAsia="Calibri"/>
          <w:bCs/>
          <w:sz w:val="22"/>
          <w:szCs w:val="22"/>
          <w:lang w:val="en-US" w:eastAsia="en-US"/>
        </w:rPr>
        <w:t>).</w:t>
      </w:r>
      <w:r w:rsidR="0060643A">
        <w:rPr>
          <w:rFonts w:eastAsia="Calibri"/>
          <w:bCs/>
          <w:sz w:val="22"/>
          <w:szCs w:val="22"/>
          <w:lang w:val="en-US" w:eastAsia="en-US"/>
        </w:rPr>
        <w:t xml:space="preserve"> In the future, they</w:t>
      </w:r>
      <w:r w:rsidR="007778B7">
        <w:rPr>
          <w:rFonts w:eastAsia="Calibri"/>
          <w:bCs/>
          <w:sz w:val="22"/>
          <w:szCs w:val="22"/>
          <w:lang w:val="en-US" w:eastAsia="en-US"/>
        </w:rPr>
        <w:t xml:space="preserve"> even</w:t>
      </w:r>
      <w:r w:rsidR="0060643A">
        <w:rPr>
          <w:rFonts w:eastAsia="Calibri"/>
          <w:bCs/>
          <w:sz w:val="22"/>
          <w:szCs w:val="22"/>
          <w:lang w:val="en-US" w:eastAsia="en-US"/>
        </w:rPr>
        <w:t xml:space="preserve"> may provide computing power</w:t>
      </w:r>
      <w:r w:rsidR="00165D19">
        <w:rPr>
          <w:rFonts w:eastAsia="Calibri"/>
          <w:bCs/>
          <w:sz w:val="22"/>
          <w:szCs w:val="22"/>
          <w:lang w:val="en-US" w:eastAsia="en-US"/>
        </w:rPr>
        <w:t xml:space="preserve"> </w:t>
      </w:r>
      <w:r w:rsidR="001C037C">
        <w:rPr>
          <w:rFonts w:eastAsia="Calibri"/>
          <w:bCs/>
          <w:noProof/>
          <w:sz w:val="22"/>
          <w:szCs w:val="22"/>
          <w:lang w:val="en-US" w:eastAsia="en-US"/>
        </w:rPr>
        <w:t>(The Economist, 2012)</w:t>
      </w:r>
      <w:r w:rsidR="0060643A">
        <w:rPr>
          <w:rFonts w:eastAsia="Calibri"/>
          <w:bCs/>
          <w:sz w:val="22"/>
          <w:szCs w:val="22"/>
          <w:lang w:val="en-US" w:eastAsia="en-US"/>
        </w:rPr>
        <w:t>.</w:t>
      </w:r>
      <w:r w:rsidR="00842949" w:rsidRPr="00842949">
        <w:rPr>
          <w:rFonts w:eastAsia="Calibri"/>
          <w:bCs/>
          <w:sz w:val="22"/>
          <w:szCs w:val="22"/>
          <w:lang w:val="en-US" w:eastAsia="en-US"/>
        </w:rPr>
        <w:t xml:space="preserve"> These resources are continuously being improved through activities such as breeding</w:t>
      </w:r>
      <w:r w:rsidR="00372F3F">
        <w:rPr>
          <w:rFonts w:eastAsia="Calibri"/>
          <w:bCs/>
          <w:sz w:val="22"/>
          <w:szCs w:val="22"/>
          <w:lang w:val="en-US" w:eastAsia="en-US"/>
        </w:rPr>
        <w:t xml:space="preserve"> and management</w:t>
      </w:r>
      <w:r w:rsidR="00842949" w:rsidRPr="00842949">
        <w:rPr>
          <w:rFonts w:eastAsia="Calibri"/>
          <w:bCs/>
          <w:sz w:val="22"/>
          <w:szCs w:val="22"/>
          <w:lang w:val="en-US" w:eastAsia="en-US"/>
        </w:rPr>
        <w:t>, threatened by pests, pollution, disease or loss of genetic diversity</w:t>
      </w:r>
      <w:r w:rsidR="001B654C">
        <w:rPr>
          <w:rFonts w:eastAsia="Calibri"/>
          <w:bCs/>
          <w:sz w:val="22"/>
          <w:szCs w:val="22"/>
          <w:lang w:val="en-US" w:eastAsia="en-US"/>
        </w:rPr>
        <w:t>, and many are yet to discovered and described</w:t>
      </w:r>
      <w:r w:rsidR="00842949" w:rsidRPr="00842949">
        <w:rPr>
          <w:rFonts w:eastAsia="Calibri"/>
          <w:bCs/>
          <w:sz w:val="22"/>
          <w:szCs w:val="22"/>
          <w:lang w:val="en-US" w:eastAsia="en-US"/>
        </w:rPr>
        <w:t>.</w:t>
      </w:r>
    </w:p>
    <w:p w14:paraId="721CFB43" w14:textId="77777777" w:rsidR="007778B7" w:rsidRPr="00842949" w:rsidRDefault="007778B7" w:rsidP="00842949">
      <w:pPr>
        <w:spacing w:after="120"/>
        <w:rPr>
          <w:rFonts w:eastAsia="Calibri"/>
          <w:bCs/>
          <w:sz w:val="22"/>
          <w:szCs w:val="22"/>
          <w:lang w:val="en-US" w:eastAsia="en-US"/>
        </w:rPr>
      </w:pPr>
      <w:r>
        <w:rPr>
          <w:rFonts w:eastAsia="Calibri"/>
          <w:bCs/>
          <w:sz w:val="22"/>
          <w:szCs w:val="22"/>
          <w:lang w:val="en-US" w:eastAsia="en-US"/>
        </w:rPr>
        <w:t>Until recently, to use a</w:t>
      </w:r>
      <w:r w:rsidRPr="00842949">
        <w:rPr>
          <w:rFonts w:eastAsia="Calibri"/>
          <w:bCs/>
          <w:sz w:val="22"/>
          <w:szCs w:val="22"/>
          <w:lang w:val="en-US" w:eastAsia="en-US"/>
        </w:rPr>
        <w:t xml:space="preserve"> genetic resource</w:t>
      </w:r>
      <w:r>
        <w:rPr>
          <w:rFonts w:eastAsia="Calibri"/>
          <w:bCs/>
          <w:sz w:val="22"/>
          <w:szCs w:val="22"/>
          <w:lang w:val="en-US" w:eastAsia="en-US"/>
        </w:rPr>
        <w:t xml:space="preserve"> required possessing it</w:t>
      </w:r>
      <w:r w:rsidRPr="00842949">
        <w:rPr>
          <w:rFonts w:eastAsia="Calibri"/>
          <w:bCs/>
          <w:sz w:val="22"/>
          <w:szCs w:val="22"/>
          <w:lang w:val="en-US" w:eastAsia="en-US"/>
        </w:rPr>
        <w:t>. To move the benefits of a genetic resource to other places, the genetic resource itself had be transported (</w:t>
      </w:r>
      <w:r w:rsidRPr="000E04B6">
        <w:rPr>
          <w:rFonts w:eastAsia="Calibri"/>
          <w:bCs/>
          <w:sz w:val="22"/>
          <w:szCs w:val="22"/>
          <w:lang w:val="en-US" w:eastAsia="en-US"/>
        </w:rPr>
        <w:t xml:space="preserve">Figure </w:t>
      </w:r>
      <w:r w:rsidR="006239F0">
        <w:rPr>
          <w:rFonts w:eastAsia="Calibri"/>
          <w:bCs/>
          <w:sz w:val="22"/>
          <w:szCs w:val="22"/>
          <w:lang w:val="en-US" w:eastAsia="en-US"/>
        </w:rPr>
        <w:t>2</w:t>
      </w:r>
      <w:r w:rsidRPr="00842949">
        <w:rPr>
          <w:rFonts w:eastAsia="Calibri"/>
          <w:bCs/>
          <w:sz w:val="22"/>
          <w:szCs w:val="22"/>
          <w:lang w:val="en-US" w:eastAsia="en-US"/>
        </w:rPr>
        <w:t xml:space="preserve">), such as tomato seeds from plants that originated in South America to Europe and to North America. With the </w:t>
      </w:r>
      <w:r w:rsidR="00CB5832">
        <w:rPr>
          <w:rFonts w:eastAsia="Calibri"/>
          <w:bCs/>
          <w:sz w:val="22"/>
          <w:szCs w:val="22"/>
          <w:lang w:val="en-US" w:eastAsia="en-US"/>
        </w:rPr>
        <w:t>introduction</w:t>
      </w:r>
      <w:r w:rsidRPr="00842949">
        <w:rPr>
          <w:rFonts w:eastAsia="Calibri"/>
          <w:bCs/>
          <w:sz w:val="22"/>
          <w:szCs w:val="22"/>
          <w:lang w:val="en-US" w:eastAsia="en-US"/>
        </w:rPr>
        <w:t xml:space="preserve"> of tissue culturing technologies, just the cells of some organisms </w:t>
      </w:r>
      <w:r w:rsidR="00F40D79">
        <w:rPr>
          <w:rFonts w:eastAsia="Calibri"/>
          <w:bCs/>
          <w:sz w:val="22"/>
          <w:szCs w:val="22"/>
          <w:lang w:val="en-US" w:eastAsia="en-US"/>
        </w:rPr>
        <w:t>were</w:t>
      </w:r>
      <w:r w:rsidR="00F40D79" w:rsidRPr="00842949">
        <w:rPr>
          <w:rFonts w:eastAsia="Calibri"/>
          <w:bCs/>
          <w:sz w:val="22"/>
          <w:szCs w:val="22"/>
          <w:lang w:val="en-US" w:eastAsia="en-US"/>
        </w:rPr>
        <w:t xml:space="preserve"> </w:t>
      </w:r>
      <w:r w:rsidRPr="00842949">
        <w:rPr>
          <w:rFonts w:eastAsia="Calibri"/>
          <w:bCs/>
          <w:sz w:val="22"/>
          <w:szCs w:val="22"/>
          <w:lang w:val="en-US" w:eastAsia="en-US"/>
        </w:rPr>
        <w:t>enough to reconstitute a genetic resource. As the basis for traits became associated with genes, and the material basis of those was linked to DNA, it became possible in some instances to transport just DNA, such as in the form of a</w:t>
      </w:r>
      <w:r w:rsidR="001B654C">
        <w:rPr>
          <w:rFonts w:eastAsia="Calibri"/>
          <w:bCs/>
          <w:sz w:val="22"/>
          <w:szCs w:val="22"/>
          <w:lang w:val="en-US" w:eastAsia="en-US"/>
        </w:rPr>
        <w:t xml:space="preserve"> DNA molecule called a</w:t>
      </w:r>
      <w:r w:rsidRPr="00842949">
        <w:rPr>
          <w:rFonts w:eastAsia="Calibri"/>
          <w:bCs/>
          <w:sz w:val="22"/>
          <w:szCs w:val="22"/>
          <w:lang w:val="en-US" w:eastAsia="en-US"/>
        </w:rPr>
        <w:t xml:space="preserve"> plasmid with a gene from a bacterium intended for insertion into the genome of a plant</w:t>
      </w:r>
      <w:r>
        <w:rPr>
          <w:rFonts w:eastAsia="Calibri"/>
          <w:bCs/>
          <w:sz w:val="22"/>
          <w:szCs w:val="22"/>
          <w:lang w:val="en-US" w:eastAsia="en-US"/>
        </w:rPr>
        <w:t xml:space="preserve"> </w:t>
      </w:r>
      <w:r w:rsidR="001C037C">
        <w:rPr>
          <w:rFonts w:eastAsia="Calibri"/>
          <w:bCs/>
          <w:noProof/>
          <w:sz w:val="22"/>
          <w:szCs w:val="22"/>
          <w:lang w:val="en-US" w:eastAsia="en-US"/>
        </w:rPr>
        <w:t>(Zimkus and Ford, 2014)</w:t>
      </w:r>
      <w:r w:rsidR="00B26DCD">
        <w:rPr>
          <w:rFonts w:eastAsia="Calibri"/>
          <w:bCs/>
          <w:sz w:val="22"/>
          <w:szCs w:val="22"/>
          <w:lang w:val="en-US" w:eastAsia="en-US"/>
        </w:rPr>
        <w:t>.</w:t>
      </w:r>
      <w:r>
        <w:rPr>
          <w:rStyle w:val="FootnoteReference"/>
          <w:rFonts w:eastAsia="Calibri"/>
          <w:bCs/>
          <w:lang w:val="en-US" w:eastAsia="en-US"/>
        </w:rPr>
        <w:footnoteReference w:id="6"/>
      </w:r>
    </w:p>
    <w:p w14:paraId="5CE02B3B" w14:textId="77777777" w:rsidR="00E24026" w:rsidRDefault="004C7D6B" w:rsidP="004C7D6B">
      <w:pPr>
        <w:spacing w:after="120"/>
        <w:rPr>
          <w:rFonts w:eastAsia="Calibri"/>
          <w:bCs/>
          <w:sz w:val="22"/>
          <w:szCs w:val="22"/>
          <w:lang w:val="en-US" w:eastAsia="en-US"/>
        </w:rPr>
      </w:pPr>
      <w:r>
        <w:rPr>
          <w:rFonts w:eastAsia="Calibri"/>
          <w:bCs/>
          <w:noProof/>
          <w:sz w:val="22"/>
          <w:szCs w:val="22"/>
          <w:lang w:val="en-CA" w:eastAsia="en-CA"/>
        </w:rPr>
        <w:lastRenderedPageBreak/>
        <mc:AlternateContent>
          <mc:Choice Requires="wps">
            <w:drawing>
              <wp:anchor distT="114935" distB="114935" distL="114300" distR="114300" simplePos="0" relativeHeight="251672576" behindDoc="0" locked="0" layoutInCell="1" allowOverlap="1" wp14:anchorId="3731EE08" wp14:editId="118578EF">
                <wp:simplePos x="0" y="0"/>
                <wp:positionH relativeFrom="column">
                  <wp:posOffset>24130</wp:posOffset>
                </wp:positionH>
                <wp:positionV relativeFrom="paragraph">
                  <wp:posOffset>2540</wp:posOffset>
                </wp:positionV>
                <wp:extent cx="4686300" cy="3657600"/>
                <wp:effectExtent l="0" t="0" r="38100" b="25400"/>
                <wp:wrapTopAndBottom/>
                <wp:docPr id="12" name="Text Box 12"/>
                <wp:cNvGraphicFramePr/>
                <a:graphic xmlns:a="http://schemas.openxmlformats.org/drawingml/2006/main">
                  <a:graphicData uri="http://schemas.microsoft.com/office/word/2010/wordprocessingShape">
                    <wps:wsp>
                      <wps:cNvSpPr txBox="1"/>
                      <wps:spPr>
                        <a:xfrm>
                          <a:off x="0" y="0"/>
                          <a:ext cx="4686300" cy="3657600"/>
                        </a:xfrm>
                        <a:prstGeom prst="rect">
                          <a:avLst/>
                        </a:prstGeom>
                        <a:no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539672A" w14:textId="77777777" w:rsidR="00F63D94" w:rsidRDefault="00F63D94" w:rsidP="00796D87">
                            <w:r w:rsidRPr="00796D87">
                              <w:rPr>
                                <w:noProof/>
                                <w:lang w:val="en-CA" w:eastAsia="en-CA"/>
                              </w:rPr>
                              <w:drawing>
                                <wp:inline distT="0" distB="0" distL="0" distR="0" wp14:anchorId="6E882133" wp14:editId="776E8986">
                                  <wp:extent cx="4503420" cy="3349492"/>
                                  <wp:effectExtent l="0" t="0" r="0" b="3810"/>
                                  <wp:docPr id="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03420" cy="3349492"/>
                                          </a:xfrm>
                                          <a:prstGeom prst="rect">
                                            <a:avLst/>
                                          </a:prstGeom>
                                          <a:noFill/>
                                          <a:ln>
                                            <a:noFill/>
                                          </a:ln>
                                        </pic:spPr>
                                      </pic:pic>
                                    </a:graphicData>
                                  </a:graphic>
                                </wp:inline>
                              </w:drawing>
                            </w:r>
                          </w:p>
                          <w:p w14:paraId="4637998A" w14:textId="77777777" w:rsidR="00F63D94" w:rsidRDefault="00F63D94" w:rsidP="00796D87">
                            <w:r w:rsidRPr="00B732A9">
                              <w:rPr>
                                <w:rFonts w:eastAsia="Calibri"/>
                                <w:b/>
                                <w:bCs/>
                                <w:sz w:val="22"/>
                                <w:szCs w:val="22"/>
                                <w:lang w:val="en-US" w:eastAsia="en-US"/>
                              </w:rPr>
                              <w:t xml:space="preserve">Figure </w:t>
                            </w:r>
                            <w:r>
                              <w:rPr>
                                <w:rFonts w:eastAsia="Calibri"/>
                                <w:b/>
                                <w:bCs/>
                                <w:sz w:val="22"/>
                                <w:szCs w:val="22"/>
                                <w:lang w:val="en-US" w:eastAsia="en-US"/>
                              </w:rPr>
                              <w:t>2</w:t>
                            </w:r>
                            <w:r>
                              <w:rPr>
                                <w:rFonts w:eastAsia="Calibri"/>
                                <w:bCs/>
                                <w:sz w:val="22"/>
                                <w:szCs w:val="22"/>
                                <w:lang w:val="en-US" w:eastAsia="en-US"/>
                              </w:rPr>
                              <w:t>.</w:t>
                            </w:r>
                            <w:r w:rsidRPr="00842949">
                              <w:rPr>
                                <w:rFonts w:eastAsia="Calibri"/>
                                <w:bCs/>
                                <w:sz w:val="22"/>
                                <w:szCs w:val="22"/>
                                <w:lang w:val="en-US" w:eastAsia="en-US"/>
                              </w:rPr>
                              <w:t xml:space="preserve"> </w:t>
                            </w:r>
                            <w:r>
                              <w:rPr>
                                <w:rFonts w:eastAsia="Calibri"/>
                                <w:bCs/>
                                <w:sz w:val="22"/>
                                <w:szCs w:val="22"/>
                                <w:lang w:val="en-US" w:eastAsia="en-US"/>
                              </w:rPr>
                              <w:t>Mobility of GRFA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1EE08" id="Text Box 12" o:spid="_x0000_s1027" type="#_x0000_t202" style="position:absolute;margin-left:1.9pt;margin-top:.2pt;width:369pt;height:4in;z-index:251672576;visibility:visible;mso-wrap-style:square;mso-width-percent:0;mso-height-percent:0;mso-wrap-distance-left:9pt;mso-wrap-distance-top:9.05pt;mso-wrap-distance-right:9pt;mso-wrap-distance-bottom:9.0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lzPuwIAANUFAAAOAAAAZHJzL2Uyb0RvYy54bWysVN1P2zAQf5+0/8Hye0la0gIRKQpFnSah&#10;gQYTz65j02iOz7PdNt20/31nJykV44VpL8l9++53H5dXbaPIVlhXgy7o+CSlRGgOVa2fC/rtcTk6&#10;p8R5piumQIuC7oWjV/OPHy53JhcTWIOqhCUYRLt8Zwq69t7kSeL4WjTMnYARGpUSbMM8svY5qSzb&#10;YfRGJZM0nSU7sJWxwIVzKL3plHQe40spuL+T0glPVEExNx+/Nn5X4ZvML1n+bJlZ17xPg/1DFg2r&#10;NT56CHXDPCMbW/8Vqqm5BQfSn3BoEpCy5iLWgNWM01fVPKyZEbEWBMeZA0zu/4XlX7b3ltQV9m5C&#10;iWYN9uhRtJ5cQ0tQhPjsjMvR7MGgoW9RjraD3KEwlN1K24Q/FkRQj0jvD+iGaByF2ex8dpqiiqPu&#10;dDY9myGD8ZMXd2Od/ySgIYEoqMX2RVTZ9tb5znQwCa9pWNZKxRYqHQQOVF0FWWTCDImFsmTLsPu+&#10;jVnja0dWyHWeIs5K9wrLMWUkQ5CQfOzjr8X0bFKeTS9Gs3I6HmXj9HxUlulkdLMs0zLNlouL7Pp3&#10;X8/gnwTsOowi5fdKhKhKfxUSUY9QvZEr41xoP+QbrYOVxMre49jbxzpife9x7hBBj/gyaH9wbmoN&#10;NvYlrukLxNX3IWXZ2WNzj+oOpG9XbTduwwitoNrjZFnodtMZvqyx+7fM+XtmcRlxYvDA+Dv8SAW7&#10;gkJPUbIG+/MtebDHHUEtJTtc7oK6HxtmBSXqs8btuRhnWbgGkcmwscjYY83qWKM3zQJwgsZ4ygyP&#10;ZLD3aiClheYJ71AZXkUV0xzfxpEbyIXvTg7eMS7KMhrh/hvmb/WD4SF0QDnM9mP7xKzpF8DjIH2B&#10;4Qyw/NUedLbBU0O58SDruCQB5w7VHn+8HXHN+jsXjtMxH61ervH8DwAAAP//AwBQSwMEFAAGAAgA&#10;AAAhAGe9JCHeAAAABgEAAA8AAABkcnMvZG93bnJldi54bWxMzkFLw0AQBeC74H9YRvBmN9WYSMyk&#10;aEtBSj20leJxm4xJMDsbsts2/feOJz0+3vDmy2ej7dSJBt86RphOIlDEpatarhE+dsu7J1A+GK5M&#10;55gQLuRhVlxf5Sar3Jk3dNqGWskI+8wgNCH0mda+bMgaP3E9sXRfbrAmSBxqXQ3mLOO20/dRlGhr&#10;WpYPjelp3lD5vT1ahLfdZbVJ5++JXb0uPtd77ffLxRrx9mZ8eQYVaAx/x/DLFzoUYjq4I1dedQgP&#10;Ag8IMSgp03gq8YDwmCYx6CLX//nFDwAAAP//AwBQSwECLQAUAAYACAAAACEAtoM4kv4AAADhAQAA&#10;EwAAAAAAAAAAAAAAAAAAAAAAW0NvbnRlbnRfVHlwZXNdLnhtbFBLAQItABQABgAIAAAAIQA4/SH/&#10;1gAAAJQBAAALAAAAAAAAAAAAAAAAAC8BAABfcmVscy8ucmVsc1BLAQItABQABgAIAAAAIQBuFlzP&#10;uwIAANUFAAAOAAAAAAAAAAAAAAAAAC4CAABkcnMvZTJvRG9jLnhtbFBLAQItABQABgAIAAAAIQBn&#10;vSQh3gAAAAYBAAAPAAAAAAAAAAAAAAAAABUFAABkcnMvZG93bnJldi54bWxQSwUGAAAAAAQABADz&#10;AAAAIAYAAAAA&#10;" filled="f" strokecolor="black [3213]">
                <v:textbox>
                  <w:txbxContent>
                    <w:p w14:paraId="4539672A" w14:textId="77777777" w:rsidR="00F63D94" w:rsidRDefault="00F63D94" w:rsidP="00796D87">
                      <w:r w:rsidRPr="00796D87">
                        <w:rPr>
                          <w:noProof/>
                          <w:lang w:val="en-CA" w:eastAsia="en-CA"/>
                        </w:rPr>
                        <w:drawing>
                          <wp:inline distT="0" distB="0" distL="0" distR="0" wp14:anchorId="6E882133" wp14:editId="776E8986">
                            <wp:extent cx="4503420" cy="3349492"/>
                            <wp:effectExtent l="0" t="0" r="0" b="3810"/>
                            <wp:docPr id="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03420" cy="3349492"/>
                                    </a:xfrm>
                                    <a:prstGeom prst="rect">
                                      <a:avLst/>
                                    </a:prstGeom>
                                    <a:noFill/>
                                    <a:ln>
                                      <a:noFill/>
                                    </a:ln>
                                  </pic:spPr>
                                </pic:pic>
                              </a:graphicData>
                            </a:graphic>
                          </wp:inline>
                        </w:drawing>
                      </w:r>
                    </w:p>
                    <w:p w14:paraId="4637998A" w14:textId="77777777" w:rsidR="00F63D94" w:rsidRDefault="00F63D94" w:rsidP="00796D87">
                      <w:r w:rsidRPr="00B732A9">
                        <w:rPr>
                          <w:rFonts w:eastAsia="Calibri"/>
                          <w:b/>
                          <w:bCs/>
                          <w:sz w:val="22"/>
                          <w:szCs w:val="22"/>
                          <w:lang w:val="en-US" w:eastAsia="en-US"/>
                        </w:rPr>
                        <w:t xml:space="preserve">Figure </w:t>
                      </w:r>
                      <w:r>
                        <w:rPr>
                          <w:rFonts w:eastAsia="Calibri"/>
                          <w:b/>
                          <w:bCs/>
                          <w:sz w:val="22"/>
                          <w:szCs w:val="22"/>
                          <w:lang w:val="en-US" w:eastAsia="en-US"/>
                        </w:rPr>
                        <w:t>2</w:t>
                      </w:r>
                      <w:r>
                        <w:rPr>
                          <w:rFonts w:eastAsia="Calibri"/>
                          <w:bCs/>
                          <w:sz w:val="22"/>
                          <w:szCs w:val="22"/>
                          <w:lang w:val="en-US" w:eastAsia="en-US"/>
                        </w:rPr>
                        <w:t>.</w:t>
                      </w:r>
                      <w:r w:rsidRPr="00842949">
                        <w:rPr>
                          <w:rFonts w:eastAsia="Calibri"/>
                          <w:bCs/>
                          <w:sz w:val="22"/>
                          <w:szCs w:val="22"/>
                          <w:lang w:val="en-US" w:eastAsia="en-US"/>
                        </w:rPr>
                        <w:t xml:space="preserve"> </w:t>
                      </w:r>
                      <w:r>
                        <w:rPr>
                          <w:rFonts w:eastAsia="Calibri"/>
                          <w:bCs/>
                          <w:sz w:val="22"/>
                          <w:szCs w:val="22"/>
                          <w:lang w:val="en-US" w:eastAsia="en-US"/>
                        </w:rPr>
                        <w:t>Mobility of GRFA</w:t>
                      </w:r>
                    </w:p>
                  </w:txbxContent>
                </v:textbox>
                <w10:wrap type="topAndBottom"/>
              </v:shape>
            </w:pict>
          </mc:Fallback>
        </mc:AlternateContent>
      </w:r>
      <w:r w:rsidR="007778B7" w:rsidRPr="00842949">
        <w:rPr>
          <w:rFonts w:eastAsia="Calibri"/>
          <w:bCs/>
          <w:sz w:val="22"/>
          <w:szCs w:val="22"/>
          <w:lang w:val="en-US" w:eastAsia="en-US"/>
        </w:rPr>
        <w:t>In even more specialized instances, the biological genetic material is no longer necessary to transport some traits, even organisms, of value. Although at this t</w:t>
      </w:r>
      <w:r w:rsidR="007778B7">
        <w:rPr>
          <w:rFonts w:eastAsia="Calibri"/>
          <w:bCs/>
          <w:sz w:val="22"/>
          <w:szCs w:val="22"/>
          <w:lang w:val="en-US" w:eastAsia="en-US"/>
        </w:rPr>
        <w:t>ime examples are few, the proof-of-</w:t>
      </w:r>
      <w:r w:rsidR="007778B7" w:rsidRPr="00842949">
        <w:rPr>
          <w:rFonts w:eastAsia="Calibri"/>
          <w:bCs/>
          <w:sz w:val="22"/>
          <w:szCs w:val="22"/>
          <w:lang w:val="en-US" w:eastAsia="en-US"/>
        </w:rPr>
        <w:t xml:space="preserve">principle is established by </w:t>
      </w:r>
      <w:r w:rsidR="001B654C">
        <w:rPr>
          <w:rFonts w:eastAsia="Calibri"/>
          <w:bCs/>
          <w:sz w:val="22"/>
          <w:szCs w:val="22"/>
          <w:lang w:val="en-US" w:eastAsia="en-US"/>
        </w:rPr>
        <w:t>the existing examples</w:t>
      </w:r>
      <w:r w:rsidR="007778B7" w:rsidRPr="00842949">
        <w:rPr>
          <w:rFonts w:eastAsia="Calibri"/>
          <w:bCs/>
          <w:sz w:val="22"/>
          <w:szCs w:val="22"/>
          <w:lang w:val="en-US" w:eastAsia="en-US"/>
        </w:rPr>
        <w:t xml:space="preserve">. Moreover, there is </w:t>
      </w:r>
      <w:r w:rsidR="00CB5832">
        <w:rPr>
          <w:rFonts w:eastAsia="Calibri"/>
          <w:bCs/>
          <w:sz w:val="22"/>
          <w:szCs w:val="22"/>
          <w:lang w:val="en-US" w:eastAsia="en-US"/>
        </w:rPr>
        <w:t>growing scientific interest and</w:t>
      </w:r>
      <w:r w:rsidR="007778B7" w:rsidRPr="00842949">
        <w:rPr>
          <w:rFonts w:eastAsia="Calibri"/>
          <w:bCs/>
          <w:sz w:val="22"/>
          <w:szCs w:val="22"/>
          <w:lang w:val="en-US" w:eastAsia="en-US"/>
        </w:rPr>
        <w:t xml:space="preserve"> capacity to not only increase the number of examples, but also the kinds of traits and organisms that may be </w:t>
      </w:r>
      <w:r w:rsidR="007778B7">
        <w:rPr>
          <w:rFonts w:eastAsia="Calibri"/>
          <w:bCs/>
          <w:sz w:val="22"/>
          <w:szCs w:val="22"/>
          <w:lang w:val="en-US" w:eastAsia="en-US"/>
        </w:rPr>
        <w:t>“</w:t>
      </w:r>
      <w:r w:rsidR="007778B7" w:rsidRPr="00842949">
        <w:rPr>
          <w:rFonts w:eastAsia="Calibri"/>
          <w:bCs/>
          <w:sz w:val="22"/>
          <w:szCs w:val="22"/>
          <w:lang w:val="en-US" w:eastAsia="en-US"/>
        </w:rPr>
        <w:t>transported</w:t>
      </w:r>
      <w:r w:rsidR="007778B7">
        <w:rPr>
          <w:rFonts w:eastAsia="Calibri"/>
          <w:bCs/>
          <w:sz w:val="22"/>
          <w:szCs w:val="22"/>
          <w:lang w:val="en-US" w:eastAsia="en-US"/>
        </w:rPr>
        <w:t>”</w:t>
      </w:r>
      <w:r w:rsidR="007778B7" w:rsidRPr="00842949">
        <w:rPr>
          <w:rFonts w:eastAsia="Calibri"/>
          <w:bCs/>
          <w:sz w:val="22"/>
          <w:szCs w:val="22"/>
          <w:lang w:val="en-US" w:eastAsia="en-US"/>
        </w:rPr>
        <w:t xml:space="preserve"> using only genetic information uncoupled from biological genetic material.</w:t>
      </w:r>
    </w:p>
    <w:p w14:paraId="1EE753DF" w14:textId="77777777" w:rsidR="00842949" w:rsidRPr="004E05C5" w:rsidRDefault="00842949" w:rsidP="00BB2198">
      <w:pPr>
        <w:spacing w:after="120"/>
        <w:rPr>
          <w:rFonts w:eastAsia="Calibri"/>
          <w:bCs/>
          <w:sz w:val="22"/>
          <w:szCs w:val="22"/>
          <w:lang w:val="mi-NZ" w:eastAsia="en-US"/>
        </w:rPr>
      </w:pPr>
      <w:r w:rsidRPr="00842949">
        <w:rPr>
          <w:rFonts w:eastAsia="Calibri"/>
          <w:bCs/>
          <w:sz w:val="22"/>
          <w:szCs w:val="22"/>
          <w:lang w:val="en-US" w:eastAsia="en-US"/>
        </w:rPr>
        <w:t>There are still other ways that genetic resources provide value separate from their biological genetic material</w:t>
      </w:r>
      <w:r w:rsidR="00BB2198">
        <w:rPr>
          <w:rFonts w:eastAsia="Calibri"/>
          <w:bCs/>
          <w:sz w:val="22"/>
          <w:szCs w:val="22"/>
          <w:lang w:val="en-US" w:eastAsia="en-US"/>
        </w:rPr>
        <w:t>,</w:t>
      </w:r>
      <w:r w:rsidR="00E5538D">
        <w:rPr>
          <w:rFonts w:eastAsia="Calibri"/>
          <w:bCs/>
          <w:sz w:val="22"/>
          <w:szCs w:val="22"/>
          <w:lang w:val="en-US" w:eastAsia="en-US"/>
        </w:rPr>
        <w:t xml:space="preserve"> </w:t>
      </w:r>
      <w:r w:rsidR="00BB2198">
        <w:rPr>
          <w:rFonts w:eastAsia="Calibri"/>
          <w:bCs/>
          <w:sz w:val="22"/>
          <w:szCs w:val="22"/>
          <w:lang w:val="en-US" w:eastAsia="en-US"/>
        </w:rPr>
        <w:t>t</w:t>
      </w:r>
      <w:r w:rsidR="00E5538D">
        <w:rPr>
          <w:rFonts w:eastAsia="Calibri"/>
          <w:bCs/>
          <w:sz w:val="22"/>
          <w:szCs w:val="22"/>
          <w:lang w:val="en-US" w:eastAsia="en-US"/>
        </w:rPr>
        <w:t>hat is, the dematerialization of use of GRFA.</w:t>
      </w:r>
      <w:bookmarkStart w:id="4" w:name="_Ref400004860"/>
      <w:r w:rsidR="00E5538D" w:rsidRPr="00E5538D">
        <w:rPr>
          <w:rFonts w:eastAsia="Calibri"/>
          <w:bCs/>
          <w:sz w:val="22"/>
          <w:szCs w:val="22"/>
          <w:vertAlign w:val="superscript"/>
          <w:lang w:val="en-US" w:eastAsia="en-US"/>
        </w:rPr>
        <w:footnoteReference w:id="7"/>
      </w:r>
      <w:bookmarkEnd w:id="4"/>
      <w:r w:rsidRPr="00842949">
        <w:rPr>
          <w:rFonts w:eastAsia="Calibri"/>
          <w:bCs/>
          <w:sz w:val="22"/>
          <w:szCs w:val="22"/>
          <w:lang w:val="en-US" w:eastAsia="en-US"/>
        </w:rPr>
        <w:t xml:space="preserve"> For example, in Figure </w:t>
      </w:r>
      <w:r w:rsidR="006239F0">
        <w:rPr>
          <w:rFonts w:eastAsia="Calibri"/>
          <w:bCs/>
          <w:sz w:val="22"/>
          <w:szCs w:val="22"/>
          <w:lang w:val="en-US" w:eastAsia="en-US"/>
        </w:rPr>
        <w:t>2</w:t>
      </w:r>
      <w:r w:rsidRPr="00842949">
        <w:rPr>
          <w:rFonts w:eastAsia="Calibri"/>
          <w:bCs/>
          <w:sz w:val="22"/>
          <w:szCs w:val="22"/>
          <w:lang w:val="en-US" w:eastAsia="en-US"/>
        </w:rPr>
        <w:t xml:space="preserve"> the genetic resource pictured is a kiwi bird</w:t>
      </w:r>
      <w:r w:rsidR="0098004F">
        <w:rPr>
          <w:rFonts w:eastAsia="Calibri"/>
          <w:bCs/>
          <w:sz w:val="22"/>
          <w:szCs w:val="22"/>
          <w:lang w:val="en-US" w:eastAsia="en-US"/>
        </w:rPr>
        <w:t>, indigenous to New Zealand</w:t>
      </w:r>
      <w:r w:rsidRPr="00842949">
        <w:rPr>
          <w:rFonts w:eastAsia="Calibri"/>
          <w:bCs/>
          <w:sz w:val="22"/>
          <w:szCs w:val="22"/>
          <w:lang w:val="en-US" w:eastAsia="en-US"/>
        </w:rPr>
        <w:t>. At first, such an example seems out of place because by law the kiwi bird is not eaten. However, its unique genome is important to GRFA</w:t>
      </w:r>
      <w:r w:rsidR="0098004F">
        <w:rPr>
          <w:rFonts w:eastAsia="Calibri"/>
          <w:bCs/>
          <w:sz w:val="22"/>
          <w:szCs w:val="22"/>
          <w:lang w:val="en-US" w:eastAsia="en-US"/>
        </w:rPr>
        <w:t xml:space="preserve"> </w:t>
      </w:r>
      <w:r w:rsidR="001C037C">
        <w:rPr>
          <w:rFonts w:eastAsia="Calibri"/>
          <w:bCs/>
          <w:noProof/>
          <w:sz w:val="22"/>
          <w:szCs w:val="22"/>
          <w:lang w:eastAsia="en-US"/>
        </w:rPr>
        <w:t>(Le Duc</w:t>
      </w:r>
      <w:r w:rsidR="001C037C" w:rsidRPr="001C037C">
        <w:rPr>
          <w:rFonts w:eastAsia="Calibri"/>
          <w:bCs/>
          <w:i/>
          <w:noProof/>
          <w:sz w:val="22"/>
          <w:szCs w:val="22"/>
          <w:lang w:eastAsia="en-US"/>
        </w:rPr>
        <w:t xml:space="preserve"> et al.</w:t>
      </w:r>
      <w:r w:rsidR="001C037C">
        <w:rPr>
          <w:rFonts w:eastAsia="Calibri"/>
          <w:bCs/>
          <w:noProof/>
          <w:sz w:val="22"/>
          <w:szCs w:val="22"/>
          <w:lang w:eastAsia="en-US"/>
        </w:rPr>
        <w:t>, 2015)</w:t>
      </w:r>
      <w:r w:rsidRPr="00842949">
        <w:rPr>
          <w:rFonts w:eastAsia="Calibri"/>
          <w:bCs/>
          <w:sz w:val="22"/>
          <w:szCs w:val="22"/>
          <w:lang w:val="en-US" w:eastAsia="en-US"/>
        </w:rPr>
        <w:t xml:space="preserve"> both for the genes for traits it carries, and for the genes it does not have. The kiwi bird genome can be </w:t>
      </w:r>
      <w:r w:rsidR="0098004F">
        <w:rPr>
          <w:rFonts w:eastAsia="Calibri"/>
          <w:bCs/>
          <w:sz w:val="22"/>
          <w:szCs w:val="22"/>
          <w:lang w:val="en-US" w:eastAsia="en-US"/>
        </w:rPr>
        <w:t xml:space="preserve">used by comparative genomics to </w:t>
      </w:r>
      <w:r w:rsidR="0098004F" w:rsidRPr="00842949">
        <w:rPr>
          <w:rFonts w:eastAsia="Calibri"/>
          <w:bCs/>
          <w:sz w:val="22"/>
          <w:szCs w:val="22"/>
          <w:lang w:val="en-US" w:eastAsia="en-US"/>
        </w:rPr>
        <w:t xml:space="preserve">provide clues </w:t>
      </w:r>
      <w:r w:rsidR="0098004F" w:rsidRPr="00842949">
        <w:rPr>
          <w:rFonts w:eastAsia="Calibri"/>
          <w:bCs/>
          <w:sz w:val="22"/>
          <w:szCs w:val="22"/>
          <w:lang w:val="en-US" w:eastAsia="en-US"/>
        </w:rPr>
        <w:lastRenderedPageBreak/>
        <w:t>about what unknown genes in organisms that we do eat</w:t>
      </w:r>
      <w:r w:rsidR="00BB2198">
        <w:rPr>
          <w:rFonts w:eastAsia="Calibri"/>
          <w:bCs/>
          <w:sz w:val="22"/>
          <w:szCs w:val="22"/>
          <w:lang w:val="en-US" w:eastAsia="en-US"/>
        </w:rPr>
        <w:t xml:space="preserve"> </w:t>
      </w:r>
      <w:r w:rsidR="00B26DCD">
        <w:rPr>
          <w:rFonts w:eastAsia="Calibri"/>
          <w:bCs/>
          <w:sz w:val="22"/>
          <w:szCs w:val="22"/>
          <w:lang w:val="en-US" w:eastAsia="en-US"/>
        </w:rPr>
        <w:t>–</w:t>
      </w:r>
      <w:r w:rsidR="00BB2198">
        <w:rPr>
          <w:rFonts w:eastAsia="Calibri"/>
          <w:bCs/>
          <w:sz w:val="22"/>
          <w:szCs w:val="22"/>
          <w:lang w:val="en-US" w:eastAsia="en-US"/>
        </w:rPr>
        <w:t xml:space="preserve"> </w:t>
      </w:r>
      <w:r w:rsidR="0098004F">
        <w:rPr>
          <w:rFonts w:eastAsia="Calibri"/>
          <w:bCs/>
          <w:sz w:val="22"/>
          <w:szCs w:val="22"/>
          <w:lang w:val="en-US" w:eastAsia="en-US"/>
        </w:rPr>
        <w:t>both bird and mammal</w:t>
      </w:r>
      <w:r w:rsidR="00B26DCD">
        <w:rPr>
          <w:rFonts w:eastAsia="Calibri"/>
          <w:bCs/>
          <w:sz w:val="22"/>
          <w:szCs w:val="22"/>
          <w:lang w:val="en-US" w:eastAsia="en-US"/>
        </w:rPr>
        <w:t>–</w:t>
      </w:r>
      <w:r w:rsidR="0098004F" w:rsidRPr="00842949">
        <w:rPr>
          <w:rFonts w:eastAsia="Calibri"/>
          <w:bCs/>
          <w:sz w:val="22"/>
          <w:szCs w:val="22"/>
          <w:lang w:val="en-US" w:eastAsia="en-US"/>
        </w:rPr>
        <w:t>may be responsible for traits that may be improved</w:t>
      </w:r>
      <w:r w:rsidR="001F2E09">
        <w:rPr>
          <w:rFonts w:eastAsia="Calibri"/>
          <w:bCs/>
          <w:sz w:val="22"/>
          <w:szCs w:val="22"/>
          <w:lang w:val="en-US" w:eastAsia="en-US"/>
        </w:rPr>
        <w:t xml:space="preserve"> or eliminated</w:t>
      </w:r>
      <w:r w:rsidRPr="00842949">
        <w:rPr>
          <w:rFonts w:eastAsia="Calibri"/>
          <w:bCs/>
          <w:sz w:val="22"/>
          <w:szCs w:val="22"/>
          <w:lang w:val="en-US" w:eastAsia="en-US"/>
        </w:rPr>
        <w:t>. Value is extracted through comparative genomics</w:t>
      </w:r>
      <w:r w:rsidR="0098004F">
        <w:rPr>
          <w:rFonts w:eastAsia="Calibri"/>
          <w:bCs/>
          <w:sz w:val="22"/>
          <w:szCs w:val="22"/>
          <w:lang w:val="en-US" w:eastAsia="en-US"/>
        </w:rPr>
        <w:t xml:space="preserve"> using DSI</w:t>
      </w:r>
      <w:r w:rsidRPr="00842949">
        <w:rPr>
          <w:rFonts w:eastAsia="Calibri"/>
          <w:bCs/>
          <w:sz w:val="22"/>
          <w:szCs w:val="22"/>
          <w:lang w:val="en-US" w:eastAsia="en-US"/>
        </w:rPr>
        <w:t xml:space="preserve"> and does not require possessing a kiwi bird.</w:t>
      </w:r>
    </w:p>
    <w:p w14:paraId="2B8958E5" w14:textId="77777777" w:rsidR="00842949" w:rsidRDefault="00842949" w:rsidP="00842949">
      <w:pPr>
        <w:spacing w:after="120"/>
        <w:rPr>
          <w:rFonts w:eastAsia="Calibri"/>
          <w:bCs/>
          <w:sz w:val="22"/>
          <w:szCs w:val="22"/>
          <w:lang w:val="en-US" w:eastAsia="en-US"/>
        </w:rPr>
      </w:pPr>
      <w:r w:rsidRPr="00842949">
        <w:rPr>
          <w:rFonts w:eastAsia="Calibri"/>
          <w:bCs/>
          <w:sz w:val="22"/>
          <w:szCs w:val="22"/>
          <w:lang w:val="en-US" w:eastAsia="en-US"/>
        </w:rPr>
        <w:t xml:space="preserve">To </w:t>
      </w:r>
      <w:r w:rsidR="00165D19">
        <w:rPr>
          <w:rFonts w:eastAsia="Calibri"/>
          <w:bCs/>
          <w:sz w:val="22"/>
          <w:szCs w:val="22"/>
          <w:lang w:val="en-US" w:eastAsia="en-US"/>
        </w:rPr>
        <w:t>construct</w:t>
      </w:r>
      <w:r w:rsidR="00E33061">
        <w:rPr>
          <w:rFonts w:eastAsia="Calibri"/>
          <w:bCs/>
          <w:sz w:val="22"/>
          <w:szCs w:val="22"/>
          <w:lang w:val="en-US" w:eastAsia="en-US"/>
        </w:rPr>
        <w:t xml:space="preserve"> for the first time</w:t>
      </w:r>
      <w:r w:rsidR="00165D19">
        <w:rPr>
          <w:rFonts w:eastAsia="Calibri"/>
          <w:bCs/>
          <w:sz w:val="22"/>
          <w:szCs w:val="22"/>
          <w:lang w:val="en-US" w:eastAsia="en-US"/>
        </w:rPr>
        <w:t xml:space="preserve"> a version of the</w:t>
      </w:r>
      <w:r w:rsidRPr="00842949">
        <w:rPr>
          <w:rFonts w:eastAsia="Calibri"/>
          <w:bCs/>
          <w:sz w:val="22"/>
          <w:szCs w:val="22"/>
          <w:lang w:val="en-US" w:eastAsia="en-US"/>
        </w:rPr>
        <w:t xml:space="preserve"> kiwi bird genome in the form of </w:t>
      </w:r>
      <w:r w:rsidR="00165D19">
        <w:rPr>
          <w:rFonts w:eastAsia="Calibri"/>
          <w:bCs/>
          <w:sz w:val="22"/>
          <w:szCs w:val="22"/>
          <w:lang w:val="en-US" w:eastAsia="en-US"/>
        </w:rPr>
        <w:t>physical electronic media</w:t>
      </w:r>
      <w:r w:rsidRPr="00842949">
        <w:rPr>
          <w:rFonts w:eastAsia="Calibri"/>
          <w:bCs/>
          <w:sz w:val="22"/>
          <w:szCs w:val="22"/>
          <w:lang w:val="en-US" w:eastAsia="en-US"/>
        </w:rPr>
        <w:t xml:space="preserve">, that is, in the form used by a DNA database such as GenBank </w:t>
      </w:r>
      <w:r w:rsidR="001C037C">
        <w:rPr>
          <w:rFonts w:eastAsia="Calibri"/>
          <w:bCs/>
          <w:noProof/>
          <w:sz w:val="22"/>
          <w:szCs w:val="22"/>
          <w:lang w:val="en-US" w:eastAsia="en-US"/>
        </w:rPr>
        <w:t>(GenBank)</w:t>
      </w:r>
      <w:r w:rsidRPr="00842949">
        <w:rPr>
          <w:rFonts w:eastAsia="Calibri"/>
          <w:bCs/>
          <w:sz w:val="22"/>
          <w:szCs w:val="22"/>
          <w:lang w:val="en-US" w:eastAsia="en-US"/>
        </w:rPr>
        <w:t>, required access to the bird or tissues from the bird. But from as little as a single original sample of biological genetic material, the information could be stored, replicated and transmitted separately as electronic media, and the value of it was obtained without using the kiwi bird bio</w:t>
      </w:r>
      <w:r w:rsidR="00165D19">
        <w:rPr>
          <w:rFonts w:eastAsia="Calibri"/>
          <w:bCs/>
          <w:sz w:val="22"/>
          <w:szCs w:val="22"/>
          <w:lang w:val="en-US" w:eastAsia="en-US"/>
        </w:rPr>
        <w:t>logical material. In fact, only</w:t>
      </w:r>
      <w:r w:rsidRPr="00842949">
        <w:rPr>
          <w:rFonts w:eastAsia="Calibri"/>
          <w:bCs/>
          <w:sz w:val="22"/>
          <w:szCs w:val="22"/>
          <w:lang w:val="en-US" w:eastAsia="en-US"/>
        </w:rPr>
        <w:t xml:space="preserve"> in</w:t>
      </w:r>
      <w:r w:rsidR="00165D19">
        <w:rPr>
          <w:rFonts w:eastAsia="Calibri"/>
          <w:bCs/>
          <w:sz w:val="22"/>
          <w:szCs w:val="22"/>
          <w:lang w:val="en-US" w:eastAsia="en-US"/>
        </w:rPr>
        <w:t xml:space="preserve"> its</w:t>
      </w:r>
      <w:r w:rsidRPr="00842949">
        <w:rPr>
          <w:rFonts w:eastAsia="Calibri"/>
          <w:bCs/>
          <w:sz w:val="22"/>
          <w:szCs w:val="22"/>
          <w:lang w:val="en-US" w:eastAsia="en-US"/>
        </w:rPr>
        <w:t xml:space="preserve"> electronic form could</w:t>
      </w:r>
      <w:r w:rsidR="00165D19">
        <w:rPr>
          <w:rFonts w:eastAsia="Calibri"/>
          <w:bCs/>
          <w:sz w:val="22"/>
          <w:szCs w:val="22"/>
          <w:lang w:val="en-US" w:eastAsia="en-US"/>
        </w:rPr>
        <w:t xml:space="preserve"> the genome</w:t>
      </w:r>
      <w:r w:rsidRPr="00842949">
        <w:rPr>
          <w:rFonts w:eastAsia="Calibri"/>
          <w:bCs/>
          <w:sz w:val="22"/>
          <w:szCs w:val="22"/>
          <w:lang w:val="en-US" w:eastAsia="en-US"/>
        </w:rPr>
        <w:t xml:space="preserve"> be used for a comparative genomics analysis.</w:t>
      </w:r>
    </w:p>
    <w:p w14:paraId="4F241C96" w14:textId="77777777" w:rsidR="00F710D5" w:rsidRDefault="00F710D5" w:rsidP="00842949">
      <w:pPr>
        <w:spacing w:after="120"/>
        <w:rPr>
          <w:rFonts w:eastAsia="Calibri"/>
          <w:bCs/>
          <w:sz w:val="22"/>
          <w:szCs w:val="22"/>
          <w:lang w:val="en-US" w:eastAsia="en-US"/>
        </w:rPr>
      </w:pPr>
      <w:r>
        <w:rPr>
          <w:rFonts w:eastAsia="Calibri"/>
          <w:bCs/>
          <w:sz w:val="22"/>
          <w:szCs w:val="22"/>
          <w:lang w:val="en-US" w:eastAsia="en-US"/>
        </w:rPr>
        <w:t>DSI on GRFA is not limited to DSI on organisms that are GRFA. However,</w:t>
      </w:r>
      <w:r w:rsidR="001F2E09">
        <w:rPr>
          <w:rFonts w:eastAsia="Calibri"/>
          <w:bCs/>
          <w:sz w:val="22"/>
          <w:szCs w:val="22"/>
          <w:lang w:val="en-US" w:eastAsia="en-US"/>
        </w:rPr>
        <w:t xml:space="preserve"> neither are genes. For example, prior to the development of genetic engineering</w:t>
      </w:r>
      <w:r w:rsidR="00B26DCD">
        <w:rPr>
          <w:rFonts w:eastAsia="Calibri"/>
          <w:bCs/>
          <w:sz w:val="22"/>
          <w:szCs w:val="22"/>
          <w:lang w:val="en-US" w:eastAsia="en-US"/>
        </w:rPr>
        <w:t>,</w:t>
      </w:r>
      <w:r w:rsidR="001F2E09">
        <w:rPr>
          <w:rFonts w:eastAsia="Calibri"/>
          <w:bCs/>
          <w:sz w:val="22"/>
          <w:szCs w:val="22"/>
          <w:lang w:val="en-US" w:eastAsia="en-US"/>
        </w:rPr>
        <w:t xml:space="preserve"> the bacterium</w:t>
      </w:r>
      <w:r w:rsidR="001F2E09" w:rsidRPr="00C85D9B">
        <w:rPr>
          <w:rFonts w:eastAsia="Calibri"/>
          <w:bCs/>
          <w:sz w:val="22"/>
          <w:szCs w:val="22"/>
          <w:lang w:val="en-US" w:eastAsia="en-US"/>
        </w:rPr>
        <w:t xml:space="preserve"> </w:t>
      </w:r>
      <w:r w:rsidR="001F2E09" w:rsidRPr="00C85D9B">
        <w:rPr>
          <w:i/>
          <w:iCs/>
          <w:sz w:val="22"/>
          <w:szCs w:val="22"/>
          <w:lang w:val="en-US"/>
        </w:rPr>
        <w:t>Bacillus thuringiensis</w:t>
      </w:r>
      <w:r w:rsidR="001F2E09" w:rsidRPr="00C85D9B">
        <w:rPr>
          <w:rFonts w:eastAsia="Calibri"/>
          <w:bCs/>
          <w:sz w:val="22"/>
          <w:szCs w:val="22"/>
          <w:lang w:val="en-US" w:eastAsia="en-US"/>
        </w:rPr>
        <w:t xml:space="preserve"> wo</w:t>
      </w:r>
      <w:r w:rsidR="001F2E09">
        <w:rPr>
          <w:rFonts w:eastAsia="Calibri"/>
          <w:bCs/>
          <w:sz w:val="22"/>
          <w:szCs w:val="22"/>
          <w:lang w:val="en-US" w:eastAsia="en-US"/>
        </w:rPr>
        <w:t>uld</w:t>
      </w:r>
      <w:r w:rsidR="00A94E9A">
        <w:rPr>
          <w:rFonts w:eastAsia="Calibri"/>
          <w:bCs/>
          <w:sz w:val="22"/>
          <w:szCs w:val="22"/>
          <w:lang w:val="en-US" w:eastAsia="en-US"/>
        </w:rPr>
        <w:t xml:space="preserve"> not</w:t>
      </w:r>
      <w:r w:rsidR="001F2E09">
        <w:rPr>
          <w:rFonts w:eastAsia="Calibri"/>
          <w:bCs/>
          <w:sz w:val="22"/>
          <w:szCs w:val="22"/>
          <w:lang w:val="en-US" w:eastAsia="en-US"/>
        </w:rPr>
        <w:t xml:space="preserve"> have </w:t>
      </w:r>
      <w:r w:rsidR="00A94E9A">
        <w:rPr>
          <w:rFonts w:eastAsia="Calibri"/>
          <w:bCs/>
          <w:sz w:val="22"/>
          <w:szCs w:val="22"/>
          <w:lang w:val="en-US" w:eastAsia="en-US"/>
        </w:rPr>
        <w:t>been food any more than a kiwi bird</w:t>
      </w:r>
      <w:r w:rsidR="001F2E09">
        <w:rPr>
          <w:rFonts w:eastAsia="Calibri"/>
          <w:bCs/>
          <w:sz w:val="22"/>
          <w:szCs w:val="22"/>
          <w:lang w:val="en-US" w:eastAsia="en-US"/>
        </w:rPr>
        <w:t xml:space="preserve">. </w:t>
      </w:r>
      <w:r w:rsidR="00A94E9A">
        <w:rPr>
          <w:rFonts w:eastAsia="Calibri"/>
          <w:bCs/>
          <w:sz w:val="22"/>
          <w:szCs w:val="22"/>
          <w:lang w:val="en-US" w:eastAsia="en-US"/>
        </w:rPr>
        <w:t xml:space="preserve">However, it is clear that the </w:t>
      </w:r>
      <w:r w:rsidR="001F2E09">
        <w:rPr>
          <w:rFonts w:eastAsia="Calibri"/>
          <w:bCs/>
          <w:sz w:val="22"/>
          <w:szCs w:val="22"/>
          <w:lang w:val="en-US" w:eastAsia="en-US"/>
        </w:rPr>
        <w:t xml:space="preserve">genes for its insecticidal proteins have been an important source of traits for some staple crops such as cotton, maize and soybeans </w:t>
      </w:r>
      <w:r w:rsidR="001C037C">
        <w:rPr>
          <w:rFonts w:eastAsia="Calibri"/>
          <w:bCs/>
          <w:noProof/>
          <w:sz w:val="22"/>
          <w:szCs w:val="22"/>
          <w:lang w:val="en-US" w:eastAsia="en-US"/>
        </w:rPr>
        <w:t>(Heisey and Rubenstein, 2015)</w:t>
      </w:r>
      <w:r w:rsidR="001F2E09">
        <w:rPr>
          <w:rFonts w:eastAsia="Calibri"/>
          <w:bCs/>
          <w:sz w:val="22"/>
          <w:szCs w:val="22"/>
          <w:lang w:val="en-US" w:eastAsia="en-US"/>
        </w:rPr>
        <w:t>. More than just a microbe that provides ecosystem services to these crops, it has become part of the genetic constitution</w:t>
      </w:r>
      <w:r w:rsidR="00A94E9A">
        <w:rPr>
          <w:rFonts w:eastAsia="Calibri"/>
          <w:bCs/>
          <w:sz w:val="22"/>
          <w:szCs w:val="22"/>
          <w:lang w:val="en-US" w:eastAsia="en-US"/>
        </w:rPr>
        <w:t xml:space="preserve"> of GRFA</w:t>
      </w:r>
      <w:r w:rsidR="001F2E09">
        <w:rPr>
          <w:rFonts w:eastAsia="Calibri"/>
          <w:bCs/>
          <w:sz w:val="22"/>
          <w:szCs w:val="22"/>
          <w:lang w:val="en-US" w:eastAsia="en-US"/>
        </w:rPr>
        <w:t>.</w:t>
      </w:r>
    </w:p>
    <w:p w14:paraId="376986B3" w14:textId="77777777" w:rsidR="00C85D9B" w:rsidRDefault="00580F0C" w:rsidP="00842949">
      <w:pPr>
        <w:spacing w:after="120"/>
        <w:rPr>
          <w:rFonts w:eastAsia="Calibri"/>
          <w:bCs/>
          <w:sz w:val="22"/>
          <w:szCs w:val="22"/>
          <w:lang w:val="en-US" w:eastAsia="en-US"/>
        </w:rPr>
      </w:pPr>
      <w:r>
        <w:rPr>
          <w:rFonts w:eastAsia="Calibri"/>
          <w:bCs/>
          <w:sz w:val="22"/>
          <w:szCs w:val="22"/>
          <w:lang w:val="en-US" w:eastAsia="en-US"/>
        </w:rPr>
        <w:t xml:space="preserve">The ability of DSI to expand the range of organisms that become resources for food or agriculture is not special to this technology. However, </w:t>
      </w:r>
      <w:r w:rsidR="001F2E09">
        <w:rPr>
          <w:rFonts w:eastAsia="Calibri"/>
          <w:bCs/>
          <w:sz w:val="22"/>
          <w:szCs w:val="22"/>
          <w:lang w:val="en-US" w:eastAsia="en-US"/>
        </w:rPr>
        <w:t xml:space="preserve">as DSI makes it possible to recruit traits from non-GRFA organisms, or to use genomes of non-GRFA organisms to identify genes in organisms that are </w:t>
      </w:r>
      <w:r w:rsidR="00A94E9A">
        <w:rPr>
          <w:rFonts w:eastAsia="Calibri"/>
          <w:bCs/>
          <w:sz w:val="22"/>
          <w:szCs w:val="22"/>
          <w:lang w:val="en-US" w:eastAsia="en-US"/>
        </w:rPr>
        <w:t>used in</w:t>
      </w:r>
      <w:r w:rsidR="001F2E09">
        <w:rPr>
          <w:rFonts w:eastAsia="Calibri"/>
          <w:bCs/>
          <w:sz w:val="22"/>
          <w:szCs w:val="22"/>
          <w:lang w:val="en-US" w:eastAsia="en-US"/>
        </w:rPr>
        <w:t xml:space="preserve"> agriculture, it extends the boundaries of what may be </w:t>
      </w:r>
      <w:r>
        <w:rPr>
          <w:rFonts w:eastAsia="Calibri"/>
          <w:bCs/>
          <w:sz w:val="22"/>
          <w:szCs w:val="22"/>
          <w:lang w:val="en-US" w:eastAsia="en-US"/>
        </w:rPr>
        <w:t>used as</w:t>
      </w:r>
      <w:r w:rsidR="001F2E09">
        <w:rPr>
          <w:rFonts w:eastAsia="Calibri"/>
          <w:bCs/>
          <w:sz w:val="22"/>
          <w:szCs w:val="22"/>
          <w:lang w:val="en-US" w:eastAsia="en-US"/>
        </w:rPr>
        <w:t xml:space="preserve"> GRFA.</w:t>
      </w:r>
    </w:p>
    <w:p w14:paraId="6661638E" w14:textId="77777777" w:rsidR="00C85D9B" w:rsidRPr="00842949" w:rsidRDefault="00C85D9B" w:rsidP="00842949">
      <w:pPr>
        <w:spacing w:after="120"/>
        <w:rPr>
          <w:rFonts w:eastAsia="Calibri"/>
          <w:bCs/>
          <w:sz w:val="22"/>
          <w:szCs w:val="22"/>
          <w:lang w:val="en-US" w:eastAsia="en-US"/>
        </w:rPr>
      </w:pPr>
    </w:p>
    <w:p w14:paraId="41353952" w14:textId="77777777" w:rsidR="00842949" w:rsidRPr="00A43161" w:rsidRDefault="00A43161" w:rsidP="00082787">
      <w:pPr>
        <w:pStyle w:val="TableEntry"/>
        <w:keepNext/>
        <w:spacing w:before="120" w:after="120"/>
        <w:rPr>
          <w:b/>
          <w:sz w:val="24"/>
          <w:szCs w:val="24"/>
        </w:rPr>
      </w:pPr>
      <w:r w:rsidRPr="00A43161">
        <w:rPr>
          <w:b/>
          <w:sz w:val="24"/>
          <w:szCs w:val="24"/>
        </w:rPr>
        <w:t>Terminology</w:t>
      </w:r>
    </w:p>
    <w:p w14:paraId="31E4C67F" w14:textId="77777777" w:rsidR="00842949" w:rsidRPr="00842949" w:rsidRDefault="00B26DCD" w:rsidP="009E796C">
      <w:pPr>
        <w:keepNext/>
        <w:spacing w:after="120"/>
        <w:rPr>
          <w:rFonts w:eastAsia="Calibri"/>
          <w:bCs/>
          <w:sz w:val="22"/>
          <w:szCs w:val="22"/>
          <w:lang w:eastAsia="en-US"/>
        </w:rPr>
      </w:pPr>
      <w:r>
        <w:rPr>
          <w:rFonts w:eastAsia="Calibri"/>
          <w:bCs/>
          <w:sz w:val="22"/>
          <w:szCs w:val="22"/>
          <w:lang w:val="en-US" w:eastAsia="en-US"/>
        </w:rPr>
        <w:t>A</w:t>
      </w:r>
      <w:r w:rsidR="00842949" w:rsidRPr="00842949">
        <w:rPr>
          <w:rFonts w:eastAsia="Calibri"/>
          <w:bCs/>
          <w:sz w:val="22"/>
          <w:szCs w:val="22"/>
          <w:lang w:val="en-US" w:eastAsia="en-US"/>
        </w:rPr>
        <w:t xml:space="preserve"> number of different terms </w:t>
      </w:r>
      <w:r>
        <w:rPr>
          <w:rFonts w:eastAsia="Calibri"/>
          <w:bCs/>
          <w:sz w:val="22"/>
          <w:szCs w:val="22"/>
          <w:lang w:val="en-US" w:eastAsia="en-US"/>
        </w:rPr>
        <w:t xml:space="preserve">are discussed in this report, </w:t>
      </w:r>
      <w:r w:rsidR="00842949" w:rsidRPr="00842949">
        <w:rPr>
          <w:rFonts w:eastAsia="Calibri"/>
          <w:bCs/>
          <w:sz w:val="22"/>
          <w:szCs w:val="22"/>
          <w:lang w:val="en-US" w:eastAsia="en-US"/>
        </w:rPr>
        <w:t>col</w:t>
      </w:r>
      <w:r w:rsidR="00E33061">
        <w:rPr>
          <w:rFonts w:eastAsia="Calibri"/>
          <w:bCs/>
          <w:sz w:val="22"/>
          <w:szCs w:val="22"/>
          <w:lang w:val="en-US" w:eastAsia="en-US"/>
        </w:rPr>
        <w:t>lectively referred to as “digit</w:t>
      </w:r>
      <w:r w:rsidR="00842949" w:rsidRPr="00842949">
        <w:rPr>
          <w:rFonts w:eastAsia="Calibri"/>
          <w:bCs/>
          <w:sz w:val="22"/>
          <w:szCs w:val="22"/>
          <w:lang w:val="en-US" w:eastAsia="en-US"/>
        </w:rPr>
        <w:t xml:space="preserve">al sequence information” (DSI) in accordance with </w:t>
      </w:r>
      <w:r w:rsidR="00842949" w:rsidRPr="00842949">
        <w:rPr>
          <w:rFonts w:eastAsia="Calibri"/>
          <w:bCs/>
          <w:sz w:val="22"/>
          <w:szCs w:val="22"/>
          <w:lang w:eastAsia="en-US"/>
        </w:rPr>
        <w:t xml:space="preserve">decision XIII/16 of the Convention on Biological Diversity (CBD) and the decision of the Commission on Genetic Resources for Food and Agriculture (CGRFA) to establish a new work stream on DSI. They include, </w:t>
      </w:r>
      <w:r w:rsidR="00842949" w:rsidRPr="00E33061">
        <w:rPr>
          <w:rFonts w:eastAsia="Calibri"/>
          <w:bCs/>
          <w:i/>
          <w:sz w:val="22"/>
          <w:szCs w:val="22"/>
          <w:lang w:eastAsia="en-US"/>
        </w:rPr>
        <w:t>inter alia</w:t>
      </w:r>
      <w:r w:rsidR="00842949" w:rsidRPr="00842949">
        <w:rPr>
          <w:rFonts w:eastAsia="Calibri"/>
          <w:bCs/>
          <w:sz w:val="22"/>
          <w:szCs w:val="22"/>
          <w:lang w:eastAsia="en-US"/>
        </w:rPr>
        <w:t>, genetic sequence data, genetic sequence information, genetic information, dematerialized</w:t>
      </w:r>
      <w:r w:rsidR="00263D75">
        <w:rPr>
          <w:rFonts w:eastAsia="Calibri"/>
          <w:bCs/>
          <w:sz w:val="22"/>
          <w:szCs w:val="22"/>
          <w:vertAlign w:val="superscript"/>
          <w:lang w:eastAsia="en-US"/>
        </w:rPr>
        <w:t>6</w:t>
      </w:r>
      <w:r w:rsidR="00842949" w:rsidRPr="00842949">
        <w:rPr>
          <w:rFonts w:eastAsia="Calibri"/>
          <w:bCs/>
          <w:sz w:val="22"/>
          <w:szCs w:val="22"/>
          <w:lang w:eastAsia="en-US"/>
        </w:rPr>
        <w:t xml:space="preserve"> genetic resources and </w:t>
      </w:r>
      <w:r w:rsidR="00842949" w:rsidRPr="00842949">
        <w:rPr>
          <w:rFonts w:eastAsia="Calibri"/>
          <w:bCs/>
          <w:i/>
          <w:sz w:val="22"/>
          <w:szCs w:val="22"/>
          <w:lang w:eastAsia="en-US"/>
        </w:rPr>
        <w:t>in silico</w:t>
      </w:r>
      <w:r w:rsidR="00842949" w:rsidRPr="00842949">
        <w:rPr>
          <w:rFonts w:eastAsia="Calibri"/>
          <w:bCs/>
          <w:sz w:val="22"/>
          <w:szCs w:val="22"/>
          <w:lang w:eastAsia="en-US"/>
        </w:rPr>
        <w:t xml:space="preserve"> utilization </w:t>
      </w:r>
      <w:r w:rsidR="001C037C">
        <w:rPr>
          <w:rFonts w:eastAsia="Calibri"/>
          <w:bCs/>
          <w:noProof/>
          <w:sz w:val="22"/>
          <w:szCs w:val="22"/>
          <w:lang w:val="en-US" w:eastAsia="en-US"/>
        </w:rPr>
        <w:t>(paragraph 86</w:t>
      </w:r>
      <w:r w:rsidR="009E796C">
        <w:rPr>
          <w:rFonts w:eastAsia="Calibri"/>
          <w:bCs/>
          <w:noProof/>
          <w:sz w:val="22"/>
          <w:szCs w:val="22"/>
          <w:lang w:val="en-US" w:eastAsia="en-US"/>
        </w:rPr>
        <w:t>,</w:t>
      </w:r>
      <w:r w:rsidR="001C037C">
        <w:rPr>
          <w:rFonts w:eastAsia="Calibri"/>
          <w:bCs/>
          <w:noProof/>
          <w:sz w:val="22"/>
          <w:szCs w:val="22"/>
          <w:lang w:val="en-US" w:eastAsia="en-US"/>
        </w:rPr>
        <w:t xml:space="preserve"> CGRFA, 2017)</w:t>
      </w:r>
      <w:r w:rsidR="00842949" w:rsidRPr="00842949">
        <w:rPr>
          <w:rFonts w:eastAsia="Calibri"/>
          <w:bCs/>
          <w:sz w:val="22"/>
          <w:szCs w:val="22"/>
          <w:lang w:eastAsia="en-US"/>
        </w:rPr>
        <w:t>.</w:t>
      </w:r>
    </w:p>
    <w:p w14:paraId="309FC975" w14:textId="77777777" w:rsidR="00842949" w:rsidRPr="00842949" w:rsidRDefault="00842949" w:rsidP="00842949">
      <w:pPr>
        <w:spacing w:after="120"/>
        <w:rPr>
          <w:rFonts w:eastAsia="Calibri"/>
          <w:bCs/>
          <w:sz w:val="22"/>
          <w:szCs w:val="22"/>
          <w:lang w:eastAsia="en-US"/>
        </w:rPr>
      </w:pPr>
      <w:r w:rsidRPr="00842949">
        <w:rPr>
          <w:rFonts w:eastAsia="Calibri"/>
          <w:bCs/>
          <w:sz w:val="22"/>
          <w:szCs w:val="22"/>
          <w:lang w:eastAsia="en-US"/>
        </w:rPr>
        <w:t xml:space="preserve">It is not assumed that everyone using the various terms </w:t>
      </w:r>
      <w:r w:rsidR="00A94E9A">
        <w:rPr>
          <w:rFonts w:eastAsia="Calibri"/>
          <w:bCs/>
          <w:sz w:val="22"/>
          <w:szCs w:val="22"/>
          <w:lang w:eastAsia="en-US"/>
        </w:rPr>
        <w:t>associated with</w:t>
      </w:r>
      <w:r w:rsidR="00A94E9A" w:rsidRPr="00842949">
        <w:rPr>
          <w:rFonts w:eastAsia="Calibri"/>
          <w:bCs/>
          <w:sz w:val="22"/>
          <w:szCs w:val="22"/>
          <w:lang w:eastAsia="en-US"/>
        </w:rPr>
        <w:t xml:space="preserve"> </w:t>
      </w:r>
      <w:r w:rsidRPr="00842949">
        <w:rPr>
          <w:rFonts w:eastAsia="Calibri"/>
          <w:bCs/>
          <w:sz w:val="22"/>
          <w:szCs w:val="22"/>
          <w:lang w:eastAsia="en-US"/>
        </w:rPr>
        <w:t>DSI mean</w:t>
      </w:r>
      <w:r w:rsidR="005C758C">
        <w:rPr>
          <w:rFonts w:eastAsia="Calibri"/>
          <w:bCs/>
          <w:sz w:val="22"/>
          <w:szCs w:val="22"/>
          <w:lang w:eastAsia="en-US"/>
        </w:rPr>
        <w:t>s</w:t>
      </w:r>
      <w:r w:rsidRPr="00842949">
        <w:rPr>
          <w:rFonts w:eastAsia="Calibri"/>
          <w:bCs/>
          <w:sz w:val="22"/>
          <w:szCs w:val="22"/>
          <w:lang w:eastAsia="en-US"/>
        </w:rPr>
        <w:t xml:space="preserve"> the same things by them.</w:t>
      </w:r>
      <w:r w:rsidR="0089754A">
        <w:rPr>
          <w:rStyle w:val="FootnoteReference"/>
          <w:rFonts w:eastAsia="Calibri"/>
          <w:bCs/>
          <w:lang w:eastAsia="en-US"/>
        </w:rPr>
        <w:footnoteReference w:id="8"/>
      </w:r>
      <w:r w:rsidRPr="00842949">
        <w:rPr>
          <w:rFonts w:eastAsia="Calibri"/>
          <w:bCs/>
          <w:sz w:val="22"/>
          <w:szCs w:val="22"/>
          <w:lang w:eastAsia="en-US"/>
        </w:rPr>
        <w:t xml:space="preserve"> Therefore, the </w:t>
      </w:r>
      <w:r w:rsidR="00E33061">
        <w:rPr>
          <w:rFonts w:eastAsia="Calibri"/>
          <w:bCs/>
          <w:sz w:val="22"/>
          <w:szCs w:val="22"/>
          <w:lang w:eastAsia="en-US"/>
        </w:rPr>
        <w:t>study</w:t>
      </w:r>
      <w:r w:rsidRPr="00842949">
        <w:rPr>
          <w:rFonts w:eastAsia="Calibri"/>
          <w:bCs/>
          <w:sz w:val="22"/>
          <w:szCs w:val="22"/>
          <w:lang w:eastAsia="en-US"/>
        </w:rPr>
        <w:t xml:space="preserve"> </w:t>
      </w:r>
      <w:r w:rsidR="00E33061">
        <w:rPr>
          <w:rFonts w:eastAsia="Calibri"/>
          <w:bCs/>
          <w:sz w:val="22"/>
          <w:szCs w:val="22"/>
          <w:lang w:eastAsia="en-US"/>
        </w:rPr>
        <w:t>examined</w:t>
      </w:r>
      <w:r w:rsidRPr="00842949">
        <w:rPr>
          <w:rFonts w:eastAsia="Calibri"/>
          <w:bCs/>
          <w:sz w:val="22"/>
          <w:szCs w:val="22"/>
          <w:lang w:eastAsia="en-US"/>
        </w:rPr>
        <w:t xml:space="preserve"> how the terms are used by different actors. This exercise is useful for providing context. It also raises awareness of when different users may be talking</w:t>
      </w:r>
      <w:r w:rsidR="00E33061">
        <w:rPr>
          <w:rFonts w:eastAsia="Calibri"/>
          <w:bCs/>
          <w:sz w:val="22"/>
          <w:szCs w:val="22"/>
          <w:lang w:eastAsia="en-US"/>
        </w:rPr>
        <w:t xml:space="preserve"> past one another without realiz</w:t>
      </w:r>
      <w:r w:rsidRPr="00842949">
        <w:rPr>
          <w:rFonts w:eastAsia="Calibri"/>
          <w:bCs/>
          <w:sz w:val="22"/>
          <w:szCs w:val="22"/>
          <w:lang w:eastAsia="en-US"/>
        </w:rPr>
        <w:t>ing that they are talking about similar things, or indeed are using similar words but wit</w:t>
      </w:r>
      <w:r w:rsidR="00E33061">
        <w:rPr>
          <w:rFonts w:eastAsia="Calibri"/>
          <w:bCs/>
          <w:sz w:val="22"/>
          <w:szCs w:val="22"/>
          <w:lang w:eastAsia="en-US"/>
        </w:rPr>
        <w:t xml:space="preserve">h </w:t>
      </w:r>
      <w:r w:rsidR="00B26DCD">
        <w:rPr>
          <w:rFonts w:eastAsia="Calibri"/>
          <w:bCs/>
          <w:sz w:val="22"/>
          <w:szCs w:val="22"/>
          <w:lang w:eastAsia="en-US"/>
        </w:rPr>
        <w:t xml:space="preserve">a </w:t>
      </w:r>
      <w:r w:rsidR="00E33061">
        <w:rPr>
          <w:rFonts w:eastAsia="Calibri"/>
          <w:bCs/>
          <w:sz w:val="22"/>
          <w:szCs w:val="22"/>
          <w:lang w:eastAsia="en-US"/>
        </w:rPr>
        <w:t>very different understanding of them.</w:t>
      </w:r>
    </w:p>
    <w:p w14:paraId="7D0066BD" w14:textId="77777777" w:rsidR="00842949" w:rsidRPr="00842949" w:rsidRDefault="00842949" w:rsidP="00842949">
      <w:pPr>
        <w:spacing w:after="120"/>
        <w:rPr>
          <w:rFonts w:eastAsia="Calibri"/>
          <w:bCs/>
          <w:sz w:val="22"/>
          <w:szCs w:val="22"/>
          <w:lang w:eastAsia="en-US"/>
        </w:rPr>
      </w:pPr>
      <w:r w:rsidRPr="00842949">
        <w:rPr>
          <w:rFonts w:eastAsia="Calibri"/>
          <w:bCs/>
          <w:sz w:val="22"/>
          <w:szCs w:val="22"/>
          <w:lang w:eastAsia="en-US"/>
        </w:rPr>
        <w:t>This technical scoping study drew primarily from the scientific and related literature</w:t>
      </w:r>
      <w:r w:rsidR="00165D19">
        <w:rPr>
          <w:rFonts w:eastAsia="Calibri"/>
          <w:bCs/>
          <w:sz w:val="22"/>
          <w:szCs w:val="22"/>
          <w:lang w:eastAsia="en-US"/>
        </w:rPr>
        <w:t xml:space="preserve"> but also from other sources such as interviews with scientists and members of civil society</w:t>
      </w:r>
      <w:r w:rsidRPr="00842949">
        <w:rPr>
          <w:rFonts w:eastAsia="Calibri"/>
          <w:bCs/>
          <w:sz w:val="22"/>
          <w:szCs w:val="22"/>
          <w:lang w:eastAsia="en-US"/>
        </w:rPr>
        <w:t xml:space="preserve">. </w:t>
      </w:r>
      <w:r w:rsidR="00165D19">
        <w:rPr>
          <w:rFonts w:eastAsia="Calibri"/>
          <w:bCs/>
          <w:sz w:val="22"/>
          <w:szCs w:val="22"/>
          <w:lang w:eastAsia="en-US"/>
        </w:rPr>
        <w:t>As a consequence,</w:t>
      </w:r>
      <w:r w:rsidRPr="00842949">
        <w:rPr>
          <w:rFonts w:eastAsia="Calibri"/>
          <w:bCs/>
          <w:sz w:val="22"/>
          <w:szCs w:val="22"/>
          <w:lang w:eastAsia="en-US"/>
        </w:rPr>
        <w:t xml:space="preserve"> DSI is used in general to refer to </w:t>
      </w:r>
      <w:r w:rsidR="00960AC0">
        <w:rPr>
          <w:rFonts w:eastAsia="Calibri"/>
          <w:bCs/>
          <w:sz w:val="22"/>
          <w:szCs w:val="22"/>
          <w:lang w:eastAsia="en-US"/>
        </w:rPr>
        <w:t>that which</w:t>
      </w:r>
      <w:r w:rsidRPr="00842949">
        <w:rPr>
          <w:rFonts w:eastAsia="Calibri"/>
          <w:bCs/>
          <w:sz w:val="22"/>
          <w:szCs w:val="22"/>
          <w:lang w:eastAsia="en-US"/>
        </w:rPr>
        <w:t xml:space="preserve"> the scientists and technic</w:t>
      </w:r>
      <w:r w:rsidR="00960AC0">
        <w:rPr>
          <w:rFonts w:eastAsia="Calibri"/>
          <w:bCs/>
          <w:sz w:val="22"/>
          <w:szCs w:val="22"/>
          <w:lang w:eastAsia="en-US"/>
        </w:rPr>
        <w:t>i</w:t>
      </w:r>
      <w:r w:rsidRPr="00842949">
        <w:rPr>
          <w:rFonts w:eastAsia="Calibri"/>
          <w:bCs/>
          <w:sz w:val="22"/>
          <w:szCs w:val="22"/>
          <w:lang w:eastAsia="en-US"/>
        </w:rPr>
        <w:t>ans creating and using DSI generally think</w:t>
      </w:r>
      <w:r w:rsidR="00960AC0">
        <w:rPr>
          <w:rFonts w:eastAsia="Calibri"/>
          <w:bCs/>
          <w:sz w:val="22"/>
          <w:szCs w:val="22"/>
          <w:lang w:eastAsia="en-US"/>
        </w:rPr>
        <w:t xml:space="preserve"> it applies. This </w:t>
      </w:r>
      <w:r w:rsidR="00B26DCD">
        <w:rPr>
          <w:rFonts w:eastAsia="Calibri"/>
          <w:bCs/>
          <w:sz w:val="22"/>
          <w:szCs w:val="22"/>
          <w:lang w:eastAsia="en-US"/>
        </w:rPr>
        <w:t>“</w:t>
      </w:r>
      <w:r w:rsidR="00960AC0">
        <w:rPr>
          <w:rFonts w:eastAsia="Calibri"/>
          <w:bCs/>
          <w:sz w:val="22"/>
          <w:szCs w:val="22"/>
          <w:lang w:eastAsia="en-US"/>
        </w:rPr>
        <w:t>at the coal face</w:t>
      </w:r>
      <w:r w:rsidR="00B26DCD">
        <w:rPr>
          <w:rFonts w:eastAsia="Calibri"/>
          <w:bCs/>
          <w:sz w:val="22"/>
          <w:szCs w:val="22"/>
          <w:lang w:eastAsia="en-US"/>
        </w:rPr>
        <w:t>”</w:t>
      </w:r>
      <w:r w:rsidRPr="00842949">
        <w:rPr>
          <w:rFonts w:eastAsia="Calibri"/>
          <w:bCs/>
          <w:sz w:val="22"/>
          <w:szCs w:val="22"/>
          <w:lang w:eastAsia="en-US"/>
        </w:rPr>
        <w:t xml:space="preserve"> definition has obvious</w:t>
      </w:r>
      <w:r w:rsidR="00960AC0">
        <w:rPr>
          <w:rFonts w:eastAsia="Calibri"/>
          <w:bCs/>
          <w:sz w:val="22"/>
          <w:szCs w:val="22"/>
          <w:lang w:eastAsia="en-US"/>
        </w:rPr>
        <w:t xml:space="preserve"> but unavoidable</w:t>
      </w:r>
      <w:r w:rsidRPr="00842949">
        <w:rPr>
          <w:rFonts w:eastAsia="Calibri"/>
          <w:bCs/>
          <w:sz w:val="22"/>
          <w:szCs w:val="22"/>
          <w:lang w:eastAsia="en-US"/>
        </w:rPr>
        <w:t xml:space="preserve"> limitations. First, the science is constantly evolving</w:t>
      </w:r>
      <w:r w:rsidR="00B26DCD">
        <w:rPr>
          <w:rFonts w:eastAsia="Calibri"/>
          <w:bCs/>
          <w:sz w:val="22"/>
          <w:szCs w:val="22"/>
          <w:lang w:eastAsia="en-US"/>
        </w:rPr>
        <w:t>,</w:t>
      </w:r>
      <w:r w:rsidRPr="00842949">
        <w:rPr>
          <w:rFonts w:eastAsia="Calibri"/>
          <w:bCs/>
          <w:sz w:val="22"/>
          <w:szCs w:val="22"/>
          <w:lang w:eastAsia="en-US"/>
        </w:rPr>
        <w:t xml:space="preserve"> making more precise definitions </w:t>
      </w:r>
      <w:r w:rsidR="004F1A06">
        <w:rPr>
          <w:rFonts w:eastAsia="Calibri"/>
          <w:bCs/>
          <w:sz w:val="22"/>
          <w:szCs w:val="22"/>
          <w:lang w:eastAsia="en-US"/>
        </w:rPr>
        <w:t>potentially arbitrary or prescriptive</w:t>
      </w:r>
      <w:r w:rsidRPr="00842949">
        <w:rPr>
          <w:rFonts w:eastAsia="Calibri"/>
          <w:bCs/>
          <w:sz w:val="22"/>
          <w:szCs w:val="22"/>
          <w:lang w:eastAsia="en-US"/>
        </w:rPr>
        <w:t xml:space="preserve">. Second, the scientific community notably does not use the term DSI (Figure </w:t>
      </w:r>
      <w:r w:rsidR="006239F0">
        <w:rPr>
          <w:rFonts w:eastAsia="Calibri"/>
          <w:bCs/>
          <w:sz w:val="22"/>
          <w:szCs w:val="22"/>
          <w:lang w:eastAsia="en-US"/>
        </w:rPr>
        <w:t>3</w:t>
      </w:r>
      <w:r w:rsidRPr="00842949">
        <w:rPr>
          <w:rFonts w:eastAsia="Calibri"/>
          <w:bCs/>
          <w:sz w:val="22"/>
          <w:szCs w:val="22"/>
          <w:lang w:eastAsia="en-US"/>
        </w:rPr>
        <w:t>), so some judgement must be exercised in linking scientific usage and that of the CBD and CGRFA.</w:t>
      </w:r>
    </w:p>
    <w:p w14:paraId="13726DAE" w14:textId="77777777" w:rsidR="00842949" w:rsidRPr="00842949" w:rsidRDefault="006D6F34" w:rsidP="009E796C">
      <w:pPr>
        <w:spacing w:after="120"/>
        <w:rPr>
          <w:rFonts w:eastAsia="Calibri"/>
          <w:sz w:val="22"/>
          <w:szCs w:val="22"/>
          <w:lang w:val="en-US" w:eastAsia="en-US"/>
        </w:rPr>
      </w:pPr>
      <w:r w:rsidRPr="00842949">
        <w:rPr>
          <w:rFonts w:eastAsia="Calibri"/>
          <w:noProof/>
          <w:sz w:val="22"/>
          <w:szCs w:val="22"/>
          <w:lang w:val="en-CA" w:eastAsia="en-CA"/>
        </w:rPr>
        <w:lastRenderedPageBreak/>
        <mc:AlternateContent>
          <mc:Choice Requires="wps">
            <w:drawing>
              <wp:anchor distT="114935" distB="114935" distL="114300" distR="114300" simplePos="0" relativeHeight="251686912" behindDoc="0" locked="0" layoutInCell="1" allowOverlap="1" wp14:anchorId="487D1C00" wp14:editId="02A8082A">
                <wp:simplePos x="0" y="0"/>
                <wp:positionH relativeFrom="column">
                  <wp:posOffset>24130</wp:posOffset>
                </wp:positionH>
                <wp:positionV relativeFrom="paragraph">
                  <wp:posOffset>116840</wp:posOffset>
                </wp:positionV>
                <wp:extent cx="5143500" cy="3387725"/>
                <wp:effectExtent l="0" t="0" r="38100" b="15875"/>
                <wp:wrapTopAndBottom/>
                <wp:docPr id="5" name="Text Box 5"/>
                <wp:cNvGraphicFramePr/>
                <a:graphic xmlns:a="http://schemas.openxmlformats.org/drawingml/2006/main">
                  <a:graphicData uri="http://schemas.microsoft.com/office/word/2010/wordprocessingShape">
                    <wps:wsp>
                      <wps:cNvSpPr txBox="1"/>
                      <wps:spPr>
                        <a:xfrm>
                          <a:off x="0" y="0"/>
                          <a:ext cx="5143500" cy="3387725"/>
                        </a:xfrm>
                        <a:prstGeom prst="rect">
                          <a:avLst/>
                        </a:prstGeom>
                        <a:ln w="12700" cmpd="sng"/>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2">
                          <a:schemeClr val="dk1"/>
                        </a:lnRef>
                        <a:fillRef idx="1">
                          <a:schemeClr val="lt1"/>
                        </a:fillRef>
                        <a:effectRef idx="0">
                          <a:schemeClr val="dk1"/>
                        </a:effectRef>
                        <a:fontRef idx="minor">
                          <a:schemeClr val="dk1"/>
                        </a:fontRef>
                      </wps:style>
                      <wps:txbx>
                        <w:txbxContent>
                          <w:p w14:paraId="432643BA" w14:textId="77777777" w:rsidR="00F63D94" w:rsidRDefault="00F63D94" w:rsidP="00410D43">
                            <w:r>
                              <w:rPr>
                                <w:noProof/>
                                <w:lang w:val="en-CA" w:eastAsia="en-CA"/>
                              </w:rPr>
                              <w:drawing>
                                <wp:inline distT="0" distB="0" distL="0" distR="0" wp14:anchorId="669EDE60" wp14:editId="77C5FD16">
                                  <wp:extent cx="4935220" cy="2441936"/>
                                  <wp:effectExtent l="0" t="0" r="0" b="0"/>
                                  <wp:docPr id="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35220" cy="2441936"/>
                                          </a:xfrm>
                                          <a:prstGeom prst="rect">
                                            <a:avLst/>
                                          </a:prstGeom>
                                          <a:noFill/>
                                          <a:ln>
                                            <a:noFill/>
                                          </a:ln>
                                        </pic:spPr>
                                      </pic:pic>
                                    </a:graphicData>
                                  </a:graphic>
                                </wp:inline>
                              </w:drawing>
                            </w:r>
                          </w:p>
                          <w:p w14:paraId="2E010DA3" w14:textId="77777777" w:rsidR="00F63D94" w:rsidRDefault="00F63D94" w:rsidP="00410D43">
                            <w:pPr>
                              <w:rPr>
                                <w:sz w:val="22"/>
                              </w:rPr>
                            </w:pPr>
                            <w:r>
                              <w:rPr>
                                <w:b/>
                                <w:sz w:val="22"/>
                              </w:rPr>
                              <w:t>Figure 3</w:t>
                            </w:r>
                            <w:r w:rsidRPr="006F2717">
                              <w:rPr>
                                <w:sz w:val="22"/>
                              </w:rPr>
                              <w:t xml:space="preserve">. </w:t>
                            </w:r>
                            <w:r>
                              <w:rPr>
                                <w:sz w:val="22"/>
                              </w:rPr>
                              <w:t>Use of t</w:t>
                            </w:r>
                            <w:r w:rsidRPr="006F2717">
                              <w:rPr>
                                <w:sz w:val="22"/>
                              </w:rPr>
                              <w:t xml:space="preserve">he terms </w:t>
                            </w:r>
                            <w:r>
                              <w:rPr>
                                <w:sz w:val="22"/>
                              </w:rPr>
                              <w:t>“</w:t>
                            </w:r>
                            <w:r w:rsidRPr="006F2717">
                              <w:rPr>
                                <w:sz w:val="22"/>
                              </w:rPr>
                              <w:t>genetic material</w:t>
                            </w:r>
                            <w:r>
                              <w:rPr>
                                <w:sz w:val="22"/>
                              </w:rPr>
                              <w:t>”</w:t>
                            </w:r>
                            <w:r w:rsidRPr="006F2717">
                              <w:rPr>
                                <w:sz w:val="22"/>
                              </w:rPr>
                              <w:t xml:space="preserve"> and </w:t>
                            </w:r>
                            <w:r>
                              <w:rPr>
                                <w:sz w:val="22"/>
                              </w:rPr>
                              <w:t>“</w:t>
                            </w:r>
                            <w:r w:rsidRPr="006F2717">
                              <w:rPr>
                                <w:sz w:val="22"/>
                              </w:rPr>
                              <w:t>genetic information</w:t>
                            </w:r>
                            <w:r>
                              <w:rPr>
                                <w:sz w:val="22"/>
                              </w:rPr>
                              <w:t>”.</w:t>
                            </w:r>
                          </w:p>
                          <w:p w14:paraId="79750299" w14:textId="77777777" w:rsidR="00F63D94" w:rsidRDefault="00F63D94" w:rsidP="00410D43">
                            <w:pPr>
                              <w:rPr>
                                <w:sz w:val="22"/>
                              </w:rPr>
                            </w:pPr>
                            <w:r>
                              <w:rPr>
                                <w:sz w:val="22"/>
                              </w:rPr>
                              <w:t xml:space="preserve">Note: </w:t>
                            </w:r>
                            <w:r w:rsidRPr="006F2717">
                              <w:rPr>
                                <w:sz w:val="22"/>
                              </w:rPr>
                              <w:t xml:space="preserve">The terms </w:t>
                            </w:r>
                            <w:r>
                              <w:rPr>
                                <w:sz w:val="22"/>
                              </w:rPr>
                              <w:t>“</w:t>
                            </w:r>
                            <w:r w:rsidRPr="006F2717">
                              <w:rPr>
                                <w:sz w:val="22"/>
                              </w:rPr>
                              <w:t>digital sequence information</w:t>
                            </w:r>
                            <w:r>
                              <w:rPr>
                                <w:sz w:val="22"/>
                              </w:rPr>
                              <w:t>”</w:t>
                            </w:r>
                            <w:r w:rsidRPr="006F2717">
                              <w:rPr>
                                <w:sz w:val="22"/>
                              </w:rPr>
                              <w:t xml:space="preserve"> and </w:t>
                            </w:r>
                            <w:r>
                              <w:rPr>
                                <w:sz w:val="22"/>
                              </w:rPr>
                              <w:t>“</w:t>
                            </w:r>
                            <w:r w:rsidRPr="006F2717">
                              <w:rPr>
                                <w:sz w:val="22"/>
                              </w:rPr>
                              <w:t>genetic sequence data</w:t>
                            </w:r>
                            <w:r>
                              <w:rPr>
                                <w:sz w:val="22"/>
                              </w:rPr>
                              <w:t>”</w:t>
                            </w:r>
                            <w:r w:rsidRPr="006F2717">
                              <w:rPr>
                                <w:sz w:val="22"/>
                              </w:rPr>
                              <w:t xml:space="preserve"> return</w:t>
                            </w:r>
                            <w:r>
                              <w:rPr>
                                <w:sz w:val="22"/>
                              </w:rPr>
                              <w:t>ed</w:t>
                            </w:r>
                            <w:r w:rsidRPr="006F2717">
                              <w:rPr>
                                <w:sz w:val="22"/>
                              </w:rPr>
                              <w:t xml:space="preserve"> no results.</w:t>
                            </w:r>
                            <w:r>
                              <w:rPr>
                                <w:sz w:val="22"/>
                              </w:rPr>
                              <w:t xml:space="preserve"> Note increase around the time of</w:t>
                            </w:r>
                            <w:r w:rsidRPr="006F2717">
                              <w:rPr>
                                <w:sz w:val="22"/>
                              </w:rPr>
                              <w:t xml:space="preserve"> the first experiments showing that genes were made of DNA</w:t>
                            </w:r>
                            <w:r>
                              <w:rPr>
                                <w:sz w:val="22"/>
                              </w:rPr>
                              <w:t>.</w:t>
                            </w:r>
                          </w:p>
                          <w:p w14:paraId="18F1A65D" w14:textId="77777777" w:rsidR="00F63D94" w:rsidRPr="006F2717" w:rsidRDefault="00F63D94" w:rsidP="00410D43">
                            <w:pPr>
                              <w:rPr>
                                <w:sz w:val="22"/>
                              </w:rPr>
                            </w:pPr>
                            <w:r w:rsidRPr="00164DA6">
                              <w:rPr>
                                <w:i/>
                                <w:sz w:val="22"/>
                              </w:rPr>
                              <w:t>Source:</w:t>
                            </w:r>
                            <w:r>
                              <w:rPr>
                                <w:sz w:val="22"/>
                              </w:rPr>
                              <w:t xml:space="preserve"> </w:t>
                            </w:r>
                            <w:r>
                              <w:rPr>
                                <w:sz w:val="22"/>
                              </w:rPr>
                              <w:fldChar w:fldCharType="begin"/>
                            </w:r>
                            <w:r>
                              <w:rPr>
                                <w:sz w:val="22"/>
                              </w:rPr>
                              <w:instrText xml:space="preserve"> ADDIN EN.CITE &lt;EndNote&gt;&lt;Cite&gt;&lt;Author&gt;Avery&lt;/Author&gt;&lt;Year&gt;1944&lt;/Year&gt;&lt;RecNum&gt;281&lt;/RecNum&gt;&lt;DisplayText&gt;(Avery&lt;style face="italic"&gt; et al.&lt;/style&gt;, 1944)&lt;/DisplayText&gt;&lt;record&gt;&lt;rec-number&gt;281&lt;/rec-number&gt;&lt;foreign-keys&gt;&lt;key app="EN" db-id="vav00vdrjedrwre5xsc5vxpsx0fp9arstrrf" timestamp="1516565323"&gt;281&lt;/key&gt;&lt;/foreign-keys&gt;&lt;ref-type name="Journal Article"&gt;17&lt;/ref-type&gt;&lt;contributors&gt;&lt;authors&gt;&lt;author&gt;Avery, O.T.&lt;/author&gt;&lt;author&gt;MacLeod, C.M.&lt;/author&gt;&lt;author&gt;McCarty, M.&lt;/author&gt;&lt;/authors&gt;&lt;/contributors&gt;&lt;titles&gt;&lt;title&gt;Studies on the chemical nature of the substance inducing transformation of Pneumococcal types&lt;/title&gt;&lt;secondary-title&gt;Journal Experimental Medicine&lt;/secondary-title&gt;&lt;alt-title&gt;J. Exp. Med.&lt;/alt-title&gt;&lt;/titles&gt;&lt;periodical&gt;&lt;full-title&gt;Journal Experimental Medicine&lt;/full-title&gt;&lt;abbr-1&gt;J. Exp. Med.&lt;/abbr-1&gt;&lt;/periodical&gt;&lt;alt-periodical&gt;&lt;full-title&gt;Journal Experimental Medicine&lt;/full-title&gt;&lt;abbr-1&gt;J. Exp. Med.&lt;/abbr-1&gt;&lt;/alt-periodical&gt;&lt;pages&gt;137-158&lt;/pages&gt;&lt;volume&gt;79&lt;/volume&gt;&lt;dates&gt;&lt;year&gt;1944&lt;/year&gt;&lt;/dates&gt;&lt;urls&gt;&lt;/urls&gt;&lt;/record&gt;&lt;/Cite&gt;&lt;/EndNote&gt;</w:instrText>
                            </w:r>
                            <w:r>
                              <w:rPr>
                                <w:sz w:val="22"/>
                              </w:rPr>
                              <w:fldChar w:fldCharType="separate"/>
                            </w:r>
                            <w:r>
                              <w:rPr>
                                <w:noProof/>
                                <w:sz w:val="22"/>
                              </w:rPr>
                              <w:t>(Avery</w:t>
                            </w:r>
                            <w:r w:rsidRPr="001C037C">
                              <w:rPr>
                                <w:i/>
                                <w:noProof/>
                                <w:sz w:val="22"/>
                              </w:rPr>
                              <w:t xml:space="preserve"> et al.</w:t>
                            </w:r>
                            <w:r>
                              <w:rPr>
                                <w:noProof/>
                                <w:sz w:val="22"/>
                              </w:rPr>
                              <w:t>, 1944)</w:t>
                            </w:r>
                            <w:r>
                              <w:rPr>
                                <w:sz w:val="22"/>
                              </w:rPr>
                              <w:fldChar w:fldCharType="end"/>
                            </w:r>
                            <w:r w:rsidRPr="006F2717">
                              <w:rPr>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87D1C00" id="Text Box 5" o:spid="_x0000_s1028" type="#_x0000_t202" style="position:absolute;margin-left:1.9pt;margin-top:9.2pt;width:405pt;height:266.75pt;z-index:251686912;visibility:visible;mso-wrap-style:square;mso-height-percent:0;mso-wrap-distance-left:9pt;mso-wrap-distance-top:9.05pt;mso-wrap-distance-right:9pt;mso-wrap-distance-bottom:9.05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PLcrAIAAIoFAAAOAAAAZHJzL2Uyb0RvYy54bWysVFtP2zAUfp+0/2D5veRCQktFikJRp0kI&#10;0GDi2XXsNppvs9023bT/vmOnKRVDe5j2khyf85375eq6kwJtmXWtVhXOzlKMmKK6adWqwl+fF6MJ&#10;Rs4T1RChFavwnjl8Pfv44WpnpizXay0aZhEYUW66MxVee2+mSeLomknizrRhCoRcW0k8PO0qaSzZ&#10;gXUpkjxNL5Kdto2xmjLngHvbC/Es2uecUf/AuWMeiQpDbD5+bfwuwzeZXZHpyhKzbukhDPIPUUjS&#10;KnB6NHVLPEEb2/5hSrbUaqe5P6NaJprzlrKYA2STpW+yeVoTw2IuUBxnjmVy/88svd8+WtQ2FS4x&#10;UkRCi55Z59GN7lAZqrMzbgqgJwMw3wEbujzwHTBD0h23MvwhHQRyqPP+WNtgjAKzzIrzMgURBdn5&#10;+WQ8zqP95FXdWOc/MS1RICpsoXmxpmR75zyEAtABErwJhXYQTD6OVqWBHJxa9R0Fr6ATUMF/bMTP&#10;eTnO63F5Obqoy2xUZOlkVNdpPrpd1GmdFov5ZXHzK6iDn0E/Cen3aUbK7wXrfX9hHMoGieUxxjiw&#10;bC4s2hIYteZbLBJYEgqQQYW3QhyVsveUhB+UDtgYfxzio2L6nuKrNzago0et/FFRtkrbvyvzHg8F&#10;OMk1kL5bdnFG8qHzS93sYSCs7hfKGbpooWl3xPlHYmGDoNFwFfwDfLjQ0Cd9oDBaa/vjPX7Aw2CD&#10;FKMdbCS08/uGWIaR+Kxg5C+zoggrHB8FNBMe9lSyPJWojZxr6EQG98fQSAa8FwPJrZYvcDzq4BVE&#10;RFHwXWE/kHPf3wk4PpTVdQTB0hri79STocF0qHIYyefuhVhzmFsPw3Ovh90l0zfj22ODptL1xmve&#10;xtkOde6reqg/LHwcxcNxChfl9B1Rryd09hsAAP//AwBQSwMEFAAGAAgAAAAhABcXkYLdAAAACAEA&#10;AA8AAABkcnMvZG93bnJldi54bWxMj8FOwzAQRO9I/IO1SNyoE0JRGuJUQIWEql4oHHp0420S1V5H&#10;sduEv2d7oseZWc28LZeTs+KMQ+g8KUhnCQik2puOGgU/3x8POYgQNRltPaGCXwywrG5vSl0YP9IX&#10;nrexEVxCodAK2hj7QspQt+h0mPkeibODH5yOLIdGmkGPXO6sfEySZ+l0R7zQ6h7fW6yP25NTsM7w&#10;uMuasAnj4S37NMlqY9crpe7vptcXEBGn+H8MF3xGh4qZ9v5EJgirIGPwyHb+BILjPL0YewXzeboA&#10;WZXy+oHqDwAA//8DAFBLAQItABQABgAIAAAAIQC2gziS/gAAAOEBAAATAAAAAAAAAAAAAAAAAAAA&#10;AABbQ29udGVudF9UeXBlc10ueG1sUEsBAi0AFAAGAAgAAAAhADj9If/WAAAAlAEAAAsAAAAAAAAA&#10;AAAAAAAALwEAAF9yZWxzLy5yZWxzUEsBAi0AFAAGAAgAAAAhAJhE8tysAgAAigUAAA4AAAAAAAAA&#10;AAAAAAAALgIAAGRycy9lMm9Eb2MueG1sUEsBAi0AFAAGAAgAAAAhABcXkYLdAAAACAEAAA8AAAAA&#10;AAAAAAAAAAAABgUAAGRycy9kb3ducmV2LnhtbFBLBQYAAAAABAAEAPMAAAAQBgAAAAA=&#10;" fillcolor="white [3201]" strokecolor="black [3200]" strokeweight="1pt">
                <v:textbox>
                  <w:txbxContent>
                    <w:p w14:paraId="432643BA" w14:textId="77777777" w:rsidR="00F63D94" w:rsidRDefault="00F63D94" w:rsidP="00410D43">
                      <w:r>
                        <w:rPr>
                          <w:noProof/>
                          <w:lang w:val="en-CA" w:eastAsia="en-CA"/>
                        </w:rPr>
                        <w:drawing>
                          <wp:inline distT="0" distB="0" distL="0" distR="0" wp14:anchorId="669EDE60" wp14:editId="77C5FD16">
                            <wp:extent cx="4935220" cy="2441936"/>
                            <wp:effectExtent l="0" t="0" r="0" b="0"/>
                            <wp:docPr id="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35220" cy="2441936"/>
                                    </a:xfrm>
                                    <a:prstGeom prst="rect">
                                      <a:avLst/>
                                    </a:prstGeom>
                                    <a:noFill/>
                                    <a:ln>
                                      <a:noFill/>
                                    </a:ln>
                                  </pic:spPr>
                                </pic:pic>
                              </a:graphicData>
                            </a:graphic>
                          </wp:inline>
                        </w:drawing>
                      </w:r>
                    </w:p>
                    <w:p w14:paraId="2E010DA3" w14:textId="77777777" w:rsidR="00F63D94" w:rsidRDefault="00F63D94" w:rsidP="00410D43">
                      <w:pPr>
                        <w:rPr>
                          <w:sz w:val="22"/>
                        </w:rPr>
                      </w:pPr>
                      <w:r>
                        <w:rPr>
                          <w:b/>
                          <w:sz w:val="22"/>
                        </w:rPr>
                        <w:t>Figure 3</w:t>
                      </w:r>
                      <w:r w:rsidRPr="006F2717">
                        <w:rPr>
                          <w:sz w:val="22"/>
                        </w:rPr>
                        <w:t xml:space="preserve">. </w:t>
                      </w:r>
                      <w:r>
                        <w:rPr>
                          <w:sz w:val="22"/>
                        </w:rPr>
                        <w:t>Use of t</w:t>
                      </w:r>
                      <w:r w:rsidRPr="006F2717">
                        <w:rPr>
                          <w:sz w:val="22"/>
                        </w:rPr>
                        <w:t xml:space="preserve">he terms </w:t>
                      </w:r>
                      <w:r>
                        <w:rPr>
                          <w:sz w:val="22"/>
                        </w:rPr>
                        <w:t>“</w:t>
                      </w:r>
                      <w:r w:rsidRPr="006F2717">
                        <w:rPr>
                          <w:sz w:val="22"/>
                        </w:rPr>
                        <w:t>genetic material</w:t>
                      </w:r>
                      <w:r>
                        <w:rPr>
                          <w:sz w:val="22"/>
                        </w:rPr>
                        <w:t>”</w:t>
                      </w:r>
                      <w:r w:rsidRPr="006F2717">
                        <w:rPr>
                          <w:sz w:val="22"/>
                        </w:rPr>
                        <w:t xml:space="preserve"> and </w:t>
                      </w:r>
                      <w:r>
                        <w:rPr>
                          <w:sz w:val="22"/>
                        </w:rPr>
                        <w:t>“</w:t>
                      </w:r>
                      <w:r w:rsidRPr="006F2717">
                        <w:rPr>
                          <w:sz w:val="22"/>
                        </w:rPr>
                        <w:t>genetic information</w:t>
                      </w:r>
                      <w:r>
                        <w:rPr>
                          <w:sz w:val="22"/>
                        </w:rPr>
                        <w:t>”.</w:t>
                      </w:r>
                    </w:p>
                    <w:p w14:paraId="79750299" w14:textId="77777777" w:rsidR="00F63D94" w:rsidRDefault="00F63D94" w:rsidP="00410D43">
                      <w:pPr>
                        <w:rPr>
                          <w:sz w:val="22"/>
                        </w:rPr>
                      </w:pPr>
                      <w:r>
                        <w:rPr>
                          <w:sz w:val="22"/>
                        </w:rPr>
                        <w:t xml:space="preserve">Note: </w:t>
                      </w:r>
                      <w:r w:rsidRPr="006F2717">
                        <w:rPr>
                          <w:sz w:val="22"/>
                        </w:rPr>
                        <w:t xml:space="preserve">The terms </w:t>
                      </w:r>
                      <w:r>
                        <w:rPr>
                          <w:sz w:val="22"/>
                        </w:rPr>
                        <w:t>“</w:t>
                      </w:r>
                      <w:r w:rsidRPr="006F2717">
                        <w:rPr>
                          <w:sz w:val="22"/>
                        </w:rPr>
                        <w:t>digital sequence information</w:t>
                      </w:r>
                      <w:r>
                        <w:rPr>
                          <w:sz w:val="22"/>
                        </w:rPr>
                        <w:t>”</w:t>
                      </w:r>
                      <w:r w:rsidRPr="006F2717">
                        <w:rPr>
                          <w:sz w:val="22"/>
                        </w:rPr>
                        <w:t xml:space="preserve"> and </w:t>
                      </w:r>
                      <w:r>
                        <w:rPr>
                          <w:sz w:val="22"/>
                        </w:rPr>
                        <w:t>“</w:t>
                      </w:r>
                      <w:r w:rsidRPr="006F2717">
                        <w:rPr>
                          <w:sz w:val="22"/>
                        </w:rPr>
                        <w:t>genetic sequence data</w:t>
                      </w:r>
                      <w:r>
                        <w:rPr>
                          <w:sz w:val="22"/>
                        </w:rPr>
                        <w:t>”</w:t>
                      </w:r>
                      <w:r w:rsidRPr="006F2717">
                        <w:rPr>
                          <w:sz w:val="22"/>
                        </w:rPr>
                        <w:t xml:space="preserve"> return</w:t>
                      </w:r>
                      <w:r>
                        <w:rPr>
                          <w:sz w:val="22"/>
                        </w:rPr>
                        <w:t>ed</w:t>
                      </w:r>
                      <w:r w:rsidRPr="006F2717">
                        <w:rPr>
                          <w:sz w:val="22"/>
                        </w:rPr>
                        <w:t xml:space="preserve"> no results.</w:t>
                      </w:r>
                      <w:r>
                        <w:rPr>
                          <w:sz w:val="22"/>
                        </w:rPr>
                        <w:t xml:space="preserve"> Note increase around the time of</w:t>
                      </w:r>
                      <w:r w:rsidRPr="006F2717">
                        <w:rPr>
                          <w:sz w:val="22"/>
                        </w:rPr>
                        <w:t xml:space="preserve"> the first experiments showing that genes were made of DNA</w:t>
                      </w:r>
                      <w:r>
                        <w:rPr>
                          <w:sz w:val="22"/>
                        </w:rPr>
                        <w:t>.</w:t>
                      </w:r>
                    </w:p>
                    <w:p w14:paraId="18F1A65D" w14:textId="77777777" w:rsidR="00F63D94" w:rsidRPr="006F2717" w:rsidRDefault="00F63D94" w:rsidP="00410D43">
                      <w:pPr>
                        <w:rPr>
                          <w:sz w:val="22"/>
                        </w:rPr>
                      </w:pPr>
                      <w:r w:rsidRPr="00164DA6">
                        <w:rPr>
                          <w:i/>
                          <w:sz w:val="22"/>
                        </w:rPr>
                        <w:t>Source:</w:t>
                      </w:r>
                      <w:r>
                        <w:rPr>
                          <w:sz w:val="22"/>
                        </w:rPr>
                        <w:t xml:space="preserve"> </w:t>
                      </w:r>
                      <w:r>
                        <w:rPr>
                          <w:sz w:val="22"/>
                        </w:rPr>
                        <w:fldChar w:fldCharType="begin"/>
                      </w:r>
                      <w:r>
                        <w:rPr>
                          <w:sz w:val="22"/>
                        </w:rPr>
                        <w:instrText xml:space="preserve"> ADDIN EN.CITE &lt;EndNote&gt;&lt;Cite&gt;&lt;Author&gt;Avery&lt;/Author&gt;&lt;Year&gt;1944&lt;/Year&gt;&lt;RecNum&gt;281&lt;/RecNum&gt;&lt;DisplayText&gt;(Avery&lt;style face="italic"&gt; et al.&lt;/style&gt;, 1944)&lt;/DisplayText&gt;&lt;record&gt;&lt;rec-number&gt;281&lt;/rec-number&gt;&lt;foreign-keys&gt;&lt;key app="EN" db-id="vav00vdrjedrwre5xsc5vxpsx0fp9arstrrf" timestamp="1516565323"&gt;281&lt;/key&gt;&lt;/foreign-keys&gt;&lt;ref-type name="Journal Article"&gt;17&lt;/ref-type&gt;&lt;contributors&gt;&lt;authors&gt;&lt;author&gt;Avery, O.T.&lt;/author&gt;&lt;author&gt;MacLeod, C.M.&lt;/author&gt;&lt;author&gt;McCarty, M.&lt;/author&gt;&lt;/authors&gt;&lt;/contributors&gt;&lt;titles&gt;&lt;title&gt;Studies on the chemical nature of the substance inducing transformation of Pneumococcal types&lt;/title&gt;&lt;secondary-title&gt;Journal Experimental Medicine&lt;/secondary-title&gt;&lt;alt-title&gt;J. Exp. Med.&lt;/alt-title&gt;&lt;/titles&gt;&lt;periodical&gt;&lt;full-title&gt;Journal Experimental Medicine&lt;/full-title&gt;&lt;abbr-1&gt;J. Exp. Med.&lt;/abbr-1&gt;&lt;/periodical&gt;&lt;alt-periodical&gt;&lt;full-title&gt;Journal Experimental Medicine&lt;/full-title&gt;&lt;abbr-1&gt;J. Exp. Med.&lt;/abbr-1&gt;&lt;/alt-periodical&gt;&lt;pages&gt;137-158&lt;/pages&gt;&lt;volume&gt;79&lt;/volume&gt;&lt;dates&gt;&lt;year&gt;1944&lt;/year&gt;&lt;/dates&gt;&lt;urls&gt;&lt;/urls&gt;&lt;/record&gt;&lt;/Cite&gt;&lt;/EndNote&gt;</w:instrText>
                      </w:r>
                      <w:r>
                        <w:rPr>
                          <w:sz w:val="22"/>
                        </w:rPr>
                        <w:fldChar w:fldCharType="separate"/>
                      </w:r>
                      <w:r>
                        <w:rPr>
                          <w:noProof/>
                          <w:sz w:val="22"/>
                        </w:rPr>
                        <w:t>(Avery</w:t>
                      </w:r>
                      <w:r w:rsidRPr="001C037C">
                        <w:rPr>
                          <w:i/>
                          <w:noProof/>
                          <w:sz w:val="22"/>
                        </w:rPr>
                        <w:t xml:space="preserve"> et al.</w:t>
                      </w:r>
                      <w:r>
                        <w:rPr>
                          <w:noProof/>
                          <w:sz w:val="22"/>
                        </w:rPr>
                        <w:t>, 1944)</w:t>
                      </w:r>
                      <w:r>
                        <w:rPr>
                          <w:sz w:val="22"/>
                        </w:rPr>
                        <w:fldChar w:fldCharType="end"/>
                      </w:r>
                      <w:r w:rsidRPr="006F2717">
                        <w:rPr>
                          <w:sz w:val="22"/>
                        </w:rPr>
                        <w:t>.</w:t>
                      </w:r>
                    </w:p>
                  </w:txbxContent>
                </v:textbox>
                <w10:wrap type="topAndBottom"/>
              </v:shape>
            </w:pict>
          </mc:Fallback>
        </mc:AlternateContent>
      </w:r>
      <w:r w:rsidR="00842949" w:rsidRPr="00842949">
        <w:rPr>
          <w:rFonts w:eastAsia="Calibri"/>
          <w:sz w:val="22"/>
          <w:szCs w:val="22"/>
          <w:lang w:val="en-US" w:eastAsia="en-US"/>
        </w:rPr>
        <w:t xml:space="preserve">Notwithstanding those limitations, the use of operational examples provides a strong sense of the scope of real things referred to by the terminology </w:t>
      </w:r>
      <w:r w:rsidR="00520AE6">
        <w:rPr>
          <w:rFonts w:eastAsia="Calibri"/>
          <w:sz w:val="22"/>
          <w:szCs w:val="22"/>
          <w:lang w:val="en-US" w:eastAsia="en-US"/>
        </w:rPr>
        <w:t>associated with</w:t>
      </w:r>
      <w:r w:rsidR="00520AE6" w:rsidRPr="00842949">
        <w:rPr>
          <w:rFonts w:eastAsia="Calibri"/>
          <w:sz w:val="22"/>
          <w:szCs w:val="22"/>
          <w:lang w:val="en-US" w:eastAsia="en-US"/>
        </w:rPr>
        <w:t xml:space="preserve"> </w:t>
      </w:r>
      <w:r w:rsidR="00842949" w:rsidRPr="00842949">
        <w:rPr>
          <w:rFonts w:eastAsia="Calibri"/>
          <w:sz w:val="22"/>
          <w:szCs w:val="22"/>
          <w:lang w:val="en-US" w:eastAsia="en-US"/>
        </w:rPr>
        <w:t>DSI. Over 1</w:t>
      </w:r>
      <w:r w:rsidR="004F1A06">
        <w:rPr>
          <w:rFonts w:eastAsia="Calibri"/>
          <w:sz w:val="22"/>
          <w:szCs w:val="22"/>
          <w:lang w:val="en-US" w:eastAsia="en-US"/>
        </w:rPr>
        <w:t xml:space="preserve"> </w:t>
      </w:r>
      <w:r w:rsidR="00842949" w:rsidRPr="00842949">
        <w:rPr>
          <w:rFonts w:eastAsia="Calibri"/>
          <w:sz w:val="22"/>
          <w:szCs w:val="22"/>
          <w:lang w:val="en-US" w:eastAsia="en-US"/>
        </w:rPr>
        <w:t xml:space="preserve">700 database repositories of information are in routine use as sources of DSI </w:t>
      </w:r>
      <w:r w:rsidR="001C037C">
        <w:rPr>
          <w:rFonts w:eastAsia="Calibri"/>
          <w:noProof/>
          <w:sz w:val="22"/>
          <w:szCs w:val="22"/>
          <w:lang w:eastAsia="en-US"/>
        </w:rPr>
        <w:t>(</w:t>
      </w:r>
      <w:r w:rsidR="009E796C" w:rsidRPr="00E034B1">
        <w:rPr>
          <w:rFonts w:eastAsia="Calibri"/>
          <w:iCs/>
          <w:noProof/>
          <w:sz w:val="22"/>
          <w:szCs w:val="22"/>
          <w:lang w:eastAsia="en-US"/>
        </w:rPr>
        <w:t>Nucleic Acids Research</w:t>
      </w:r>
      <w:r w:rsidR="001C037C">
        <w:rPr>
          <w:rFonts w:eastAsia="Calibri"/>
          <w:noProof/>
          <w:sz w:val="22"/>
          <w:szCs w:val="22"/>
          <w:lang w:eastAsia="en-US"/>
        </w:rPr>
        <w:t>, 2017)</w:t>
      </w:r>
      <w:r w:rsidR="00842949" w:rsidRPr="00842949">
        <w:rPr>
          <w:rFonts w:eastAsia="Calibri"/>
          <w:sz w:val="22"/>
          <w:szCs w:val="22"/>
          <w:lang w:val="en-US" w:eastAsia="en-US"/>
        </w:rPr>
        <w:t>. A few are specialized in storing information about nucleic acids, such as DNA and RNA. Even these store information about, or convert DNA</w:t>
      </w:r>
      <w:r w:rsidR="00960AC0">
        <w:rPr>
          <w:rFonts w:eastAsia="Calibri"/>
          <w:sz w:val="22"/>
          <w:szCs w:val="22"/>
          <w:lang w:val="en-US" w:eastAsia="en-US"/>
        </w:rPr>
        <w:t xml:space="preserve"> </w:t>
      </w:r>
      <w:r w:rsidR="00842949" w:rsidRPr="00842949">
        <w:rPr>
          <w:rFonts w:eastAsia="Calibri"/>
          <w:sz w:val="22"/>
          <w:szCs w:val="22"/>
          <w:lang w:val="en-US" w:eastAsia="en-US"/>
        </w:rPr>
        <w:t>information into, amino acid sequences of proteins. Other types of databases specialize in storing information about differences in sequences. For example, single nucleotide polymorphism (SNP) databases reveal differences in versions of the same gene or genomes of the same species. This variation can be the basis for desirable traits.</w:t>
      </w:r>
    </w:p>
    <w:p w14:paraId="27E659FE" w14:textId="77777777" w:rsidR="00842949" w:rsidRPr="00842949" w:rsidRDefault="004824B5" w:rsidP="00842949">
      <w:pPr>
        <w:spacing w:after="120"/>
        <w:rPr>
          <w:rFonts w:eastAsia="Calibri"/>
          <w:sz w:val="22"/>
          <w:szCs w:val="22"/>
          <w:lang w:val="en-US" w:eastAsia="en-US"/>
        </w:rPr>
      </w:pPr>
      <w:r>
        <w:rPr>
          <w:rFonts w:eastAsia="Calibri"/>
          <w:sz w:val="22"/>
          <w:szCs w:val="22"/>
          <w:lang w:val="en-US" w:eastAsia="en-US"/>
        </w:rPr>
        <w:t>An illustrative definition of DSI is used for</w:t>
      </w:r>
      <w:r w:rsidR="00842949" w:rsidRPr="00842949">
        <w:rPr>
          <w:rFonts w:eastAsia="Calibri"/>
          <w:sz w:val="22"/>
          <w:szCs w:val="22"/>
          <w:lang w:val="en-US" w:eastAsia="en-US"/>
        </w:rPr>
        <w:t xml:space="preserve"> the purposes of this report</w:t>
      </w:r>
      <w:r>
        <w:rPr>
          <w:rFonts w:eastAsia="Calibri"/>
          <w:sz w:val="22"/>
          <w:szCs w:val="22"/>
          <w:lang w:val="en-US" w:eastAsia="en-US"/>
        </w:rPr>
        <w:t>.</w:t>
      </w:r>
      <w:r w:rsidR="00842949" w:rsidRPr="00842949">
        <w:rPr>
          <w:rFonts w:eastAsia="Calibri"/>
          <w:sz w:val="22"/>
          <w:szCs w:val="22"/>
          <w:lang w:val="en-US" w:eastAsia="en-US"/>
        </w:rPr>
        <w:t xml:space="preserve"> DSI</w:t>
      </w:r>
      <w:r>
        <w:rPr>
          <w:rFonts w:eastAsia="Calibri"/>
          <w:sz w:val="22"/>
          <w:szCs w:val="22"/>
          <w:lang w:val="en-US" w:eastAsia="en-US"/>
        </w:rPr>
        <w:t xml:space="preserve"> refers to</w:t>
      </w:r>
      <w:r w:rsidR="00842949" w:rsidRPr="00842949">
        <w:rPr>
          <w:rFonts w:eastAsia="Calibri"/>
          <w:sz w:val="22"/>
          <w:szCs w:val="22"/>
          <w:lang w:val="en-US" w:eastAsia="en-US"/>
        </w:rPr>
        <w:t xml:space="preserve"> the kind of information in or </w:t>
      </w:r>
      <w:r w:rsidR="000B16D4">
        <w:rPr>
          <w:rFonts w:eastAsia="Calibri"/>
          <w:sz w:val="22"/>
          <w:szCs w:val="22"/>
          <w:lang w:val="en-US" w:eastAsia="en-US"/>
        </w:rPr>
        <w:t>that</w:t>
      </w:r>
      <w:r w:rsidR="000B16D4" w:rsidRPr="00842949">
        <w:rPr>
          <w:rFonts w:eastAsia="Calibri"/>
          <w:sz w:val="22"/>
          <w:szCs w:val="22"/>
          <w:lang w:val="en-US" w:eastAsia="en-US"/>
        </w:rPr>
        <w:t xml:space="preserve"> </w:t>
      </w:r>
      <w:r w:rsidR="00842949" w:rsidRPr="00842949">
        <w:rPr>
          <w:rFonts w:eastAsia="Calibri"/>
          <w:sz w:val="22"/>
          <w:szCs w:val="22"/>
          <w:lang w:val="en-US" w:eastAsia="en-US"/>
        </w:rPr>
        <w:t xml:space="preserve">might be added to databases </w:t>
      </w:r>
      <w:r>
        <w:rPr>
          <w:rFonts w:eastAsia="Calibri"/>
          <w:sz w:val="22"/>
          <w:szCs w:val="22"/>
          <w:lang w:val="en-US" w:eastAsia="en-US"/>
        </w:rPr>
        <w:t>of the kind</w:t>
      </w:r>
      <w:r w:rsidR="00842949" w:rsidRPr="00842949">
        <w:rPr>
          <w:rFonts w:eastAsia="Calibri"/>
          <w:sz w:val="22"/>
          <w:szCs w:val="22"/>
          <w:lang w:val="en-US" w:eastAsia="en-US"/>
        </w:rPr>
        <w:t xml:space="preserve"> currently in use</w:t>
      </w:r>
      <w:r>
        <w:rPr>
          <w:rFonts w:eastAsia="Calibri"/>
          <w:sz w:val="22"/>
          <w:szCs w:val="22"/>
          <w:lang w:val="en-US" w:eastAsia="en-US"/>
        </w:rPr>
        <w:t xml:space="preserve"> and collated by the scientific journal </w:t>
      </w:r>
      <w:r w:rsidRPr="004824B5">
        <w:rPr>
          <w:rFonts w:eastAsia="Calibri"/>
          <w:i/>
          <w:sz w:val="22"/>
          <w:szCs w:val="22"/>
          <w:lang w:val="en-US" w:eastAsia="en-US"/>
        </w:rPr>
        <w:t>Nucleic Acids Research</w:t>
      </w:r>
      <w:r>
        <w:rPr>
          <w:rFonts w:eastAsia="Calibri"/>
          <w:sz w:val="22"/>
          <w:szCs w:val="22"/>
          <w:lang w:val="en-US" w:eastAsia="en-US"/>
        </w:rPr>
        <w:t xml:space="preserve"> </w:t>
      </w:r>
      <w:r w:rsidR="001C037C">
        <w:rPr>
          <w:rFonts w:eastAsia="Calibri"/>
          <w:noProof/>
          <w:sz w:val="22"/>
          <w:szCs w:val="22"/>
          <w:lang w:val="en-US" w:eastAsia="en-US"/>
        </w:rPr>
        <w:t>(NAR)</w:t>
      </w:r>
      <w:r w:rsidR="00842949" w:rsidRPr="00842949">
        <w:rPr>
          <w:rFonts w:eastAsia="Calibri"/>
          <w:sz w:val="22"/>
          <w:szCs w:val="22"/>
          <w:lang w:val="en-US" w:eastAsia="en-US"/>
        </w:rPr>
        <w:t>.</w:t>
      </w:r>
    </w:p>
    <w:p w14:paraId="4B173E70" w14:textId="77777777" w:rsidR="00842949" w:rsidRDefault="00842949" w:rsidP="00842949">
      <w:pPr>
        <w:spacing w:after="120"/>
        <w:rPr>
          <w:rFonts w:eastAsia="Calibri"/>
          <w:sz w:val="22"/>
          <w:szCs w:val="22"/>
          <w:lang w:val="en-US" w:eastAsia="en-US"/>
        </w:rPr>
      </w:pPr>
      <w:r w:rsidRPr="00842949">
        <w:rPr>
          <w:rFonts w:eastAsia="Calibri"/>
          <w:sz w:val="22"/>
          <w:szCs w:val="22"/>
          <w:lang w:val="en-US" w:eastAsia="en-US"/>
        </w:rPr>
        <w:t>GRFA is defined in</w:t>
      </w:r>
      <w:r w:rsidRPr="00842949">
        <w:rPr>
          <w:rFonts w:eastAsia="Calibri"/>
          <w:sz w:val="22"/>
          <w:szCs w:val="22"/>
          <w:lang w:eastAsia="en-US"/>
        </w:rPr>
        <w:t xml:space="preserve"> the International Treaty on Plant Genetic Resources for Food and Agriculture (ITPGRFA) to mean “any material of plant origin, including reproductive and vegetative propagating material, containing functional units of heredity”</w:t>
      </w:r>
      <w:r w:rsidR="004F1A06">
        <w:rPr>
          <w:rFonts w:eastAsia="Calibri"/>
          <w:sz w:val="22"/>
          <w:szCs w:val="22"/>
          <w:lang w:eastAsia="en-US"/>
        </w:rPr>
        <w:t xml:space="preserve"> </w:t>
      </w:r>
      <w:r w:rsidR="001C037C">
        <w:rPr>
          <w:rFonts w:eastAsia="Calibri"/>
          <w:noProof/>
          <w:sz w:val="22"/>
          <w:szCs w:val="22"/>
          <w:lang w:eastAsia="en-US"/>
        </w:rPr>
        <w:t>(ITPGRFA)</w:t>
      </w:r>
      <w:r w:rsidRPr="00842949">
        <w:rPr>
          <w:rFonts w:eastAsia="Calibri"/>
          <w:sz w:val="22"/>
          <w:szCs w:val="22"/>
          <w:lang w:val="en-US" w:eastAsia="en-US"/>
        </w:rPr>
        <w:t>.</w:t>
      </w:r>
      <w:r w:rsidR="00195CC5">
        <w:rPr>
          <w:rFonts w:eastAsia="Calibri"/>
          <w:sz w:val="22"/>
          <w:szCs w:val="22"/>
          <w:lang w:val="en-US" w:eastAsia="en-US"/>
        </w:rPr>
        <w:t xml:space="preserve"> That makes GRFA</w:t>
      </w:r>
      <w:r w:rsidR="00195CC5" w:rsidRPr="00842949">
        <w:rPr>
          <w:rFonts w:eastAsia="Calibri"/>
          <w:sz w:val="22"/>
          <w:szCs w:val="22"/>
          <w:lang w:val="en-US" w:eastAsia="en-US"/>
        </w:rPr>
        <w:t xml:space="preserve"> material of</w:t>
      </w:r>
      <w:r w:rsidR="00195CC5">
        <w:rPr>
          <w:rFonts w:eastAsia="Calibri"/>
          <w:sz w:val="22"/>
          <w:szCs w:val="22"/>
          <w:lang w:val="en-US" w:eastAsia="en-US"/>
        </w:rPr>
        <w:t xml:space="preserve"> both</w:t>
      </w:r>
      <w:r w:rsidR="00195CC5" w:rsidRPr="00842949">
        <w:rPr>
          <w:rFonts w:eastAsia="Calibri"/>
          <w:sz w:val="22"/>
          <w:szCs w:val="22"/>
          <w:lang w:val="en-US" w:eastAsia="en-US"/>
        </w:rPr>
        <w:t xml:space="preserve"> biological origin and functional units of heredity</w:t>
      </w:r>
      <w:r w:rsidR="00195CC5">
        <w:rPr>
          <w:rFonts w:eastAsia="Calibri"/>
          <w:sz w:val="22"/>
          <w:szCs w:val="22"/>
          <w:lang w:val="en-US" w:eastAsia="en-US"/>
        </w:rPr>
        <w:t>.</w:t>
      </w:r>
      <w:r w:rsidRPr="00842949">
        <w:rPr>
          <w:rFonts w:eastAsia="Calibri"/>
          <w:sz w:val="22"/>
          <w:szCs w:val="22"/>
          <w:lang w:val="en-US" w:eastAsia="en-US"/>
        </w:rPr>
        <w:t xml:space="preserve"> </w:t>
      </w:r>
      <w:r w:rsidR="00872ABA">
        <w:rPr>
          <w:rFonts w:eastAsia="Calibri"/>
          <w:sz w:val="22"/>
          <w:szCs w:val="22"/>
          <w:lang w:val="en-US" w:eastAsia="en-US"/>
        </w:rPr>
        <w:t>A</w:t>
      </w:r>
      <w:r w:rsidRPr="00842949">
        <w:rPr>
          <w:rFonts w:eastAsia="Calibri"/>
          <w:sz w:val="22"/>
          <w:szCs w:val="22"/>
          <w:lang w:val="en-US" w:eastAsia="en-US"/>
        </w:rPr>
        <w:t xml:space="preserve"> genetic resource includes</w:t>
      </w:r>
      <w:r w:rsidR="00872ABA">
        <w:rPr>
          <w:rFonts w:eastAsia="Calibri"/>
          <w:sz w:val="22"/>
          <w:szCs w:val="22"/>
          <w:lang w:val="en-US" w:eastAsia="en-US"/>
        </w:rPr>
        <w:t xml:space="preserve"> as material of biological origin</w:t>
      </w:r>
      <w:r w:rsidRPr="00842949">
        <w:rPr>
          <w:rFonts w:eastAsia="Calibri"/>
          <w:sz w:val="22"/>
          <w:szCs w:val="22"/>
          <w:lang w:val="en-US" w:eastAsia="en-US"/>
        </w:rPr>
        <w:t xml:space="preserve"> </w:t>
      </w:r>
      <w:r w:rsidRPr="004824B5">
        <w:rPr>
          <w:rFonts w:eastAsia="Calibri"/>
          <w:i/>
          <w:sz w:val="22"/>
          <w:szCs w:val="22"/>
          <w:lang w:val="en-US" w:eastAsia="en-US"/>
        </w:rPr>
        <w:t>inter alia</w:t>
      </w:r>
      <w:r w:rsidRPr="00842949">
        <w:rPr>
          <w:rFonts w:eastAsia="Calibri"/>
          <w:sz w:val="22"/>
          <w:szCs w:val="22"/>
          <w:lang w:val="en-US" w:eastAsia="en-US"/>
        </w:rPr>
        <w:t xml:space="preserve"> RNA, proteins, metabolites and the describable interactions between molecules that may be genetically determined, environmentally induced, or a combination of the two (Figure </w:t>
      </w:r>
      <w:r w:rsidR="006239F0">
        <w:rPr>
          <w:rFonts w:eastAsia="Calibri"/>
          <w:sz w:val="22"/>
          <w:szCs w:val="22"/>
          <w:lang w:val="en-US" w:eastAsia="en-US"/>
        </w:rPr>
        <w:t>4</w:t>
      </w:r>
      <w:r w:rsidRPr="00842949">
        <w:rPr>
          <w:rFonts w:eastAsia="Calibri"/>
          <w:sz w:val="22"/>
          <w:szCs w:val="22"/>
          <w:lang w:val="en-US" w:eastAsia="en-US"/>
        </w:rPr>
        <w:t>).</w:t>
      </w:r>
      <w:r w:rsidR="00960AA3">
        <w:rPr>
          <w:rFonts w:eastAsia="Calibri"/>
          <w:sz w:val="22"/>
          <w:szCs w:val="22"/>
          <w:lang w:val="en-US" w:eastAsia="en-US"/>
        </w:rPr>
        <w:t xml:space="preserve"> </w:t>
      </w:r>
    </w:p>
    <w:p w14:paraId="55C32E5F" w14:textId="77777777" w:rsidR="0095676B" w:rsidRDefault="00842949" w:rsidP="002D71D8">
      <w:pPr>
        <w:spacing w:after="120"/>
        <w:rPr>
          <w:rFonts w:eastAsia="Calibri"/>
          <w:sz w:val="22"/>
          <w:szCs w:val="22"/>
          <w:lang w:val="en-US" w:eastAsia="en-US"/>
        </w:rPr>
      </w:pPr>
      <w:r w:rsidRPr="00842949">
        <w:rPr>
          <w:rFonts w:eastAsia="Calibri"/>
          <w:sz w:val="22"/>
          <w:szCs w:val="22"/>
          <w:lang w:val="en-US" w:eastAsia="en-US"/>
        </w:rPr>
        <w:t xml:space="preserve">Some of these other molecules may also be genes. While it has long been known that the material form of a gene is a nucleic acid (usually DNA), there are other kinds of molecules that also are essential for the </w:t>
      </w:r>
      <w:r w:rsidR="00520AE6" w:rsidRPr="00842949">
        <w:rPr>
          <w:rFonts w:eastAsia="Calibri"/>
          <w:sz w:val="22"/>
          <w:szCs w:val="22"/>
          <w:lang w:val="en-US" w:eastAsia="en-US"/>
        </w:rPr>
        <w:t>propagation</w:t>
      </w:r>
      <w:r w:rsidRPr="00842949">
        <w:rPr>
          <w:rFonts w:eastAsia="Calibri"/>
          <w:sz w:val="22"/>
          <w:szCs w:val="22"/>
          <w:lang w:val="en-US" w:eastAsia="en-US"/>
        </w:rPr>
        <w:t xml:space="preserve"> of some traits </w:t>
      </w:r>
      <w:r w:rsidR="001C037C">
        <w:rPr>
          <w:rFonts w:eastAsia="Calibri"/>
          <w:noProof/>
          <w:sz w:val="22"/>
          <w:szCs w:val="22"/>
          <w:lang w:val="en-US" w:eastAsia="en-US"/>
        </w:rPr>
        <w:t>(Strohman, 1997; Heinemann, 2004)</w:t>
      </w:r>
      <w:r w:rsidR="0023459C">
        <w:rPr>
          <w:rFonts w:eastAsia="Calibri"/>
          <w:sz w:val="22"/>
          <w:szCs w:val="22"/>
          <w:lang w:val="en-US" w:eastAsia="en-US"/>
        </w:rPr>
        <w:t>. This ever-</w:t>
      </w:r>
      <w:r w:rsidRPr="00842949">
        <w:rPr>
          <w:rFonts w:eastAsia="Calibri"/>
          <w:sz w:val="22"/>
          <w:szCs w:val="22"/>
          <w:lang w:val="en-US" w:eastAsia="en-US"/>
        </w:rPr>
        <w:t xml:space="preserve">growing number of </w:t>
      </w:r>
      <w:r w:rsidR="00277EAE">
        <w:rPr>
          <w:rFonts w:eastAsia="Calibri"/>
          <w:sz w:val="22"/>
          <w:szCs w:val="22"/>
          <w:lang w:val="en-US" w:eastAsia="en-US"/>
        </w:rPr>
        <w:t>materials that appear indispensa</w:t>
      </w:r>
      <w:r w:rsidRPr="00842949">
        <w:rPr>
          <w:rFonts w:eastAsia="Calibri"/>
          <w:sz w:val="22"/>
          <w:szCs w:val="22"/>
          <w:lang w:val="en-US" w:eastAsia="en-US"/>
        </w:rPr>
        <w:t xml:space="preserve">ble for the inheritance of some traits </w:t>
      </w:r>
      <w:r w:rsidR="002D71D8">
        <w:rPr>
          <w:rFonts w:eastAsia="Calibri"/>
          <w:sz w:val="22"/>
          <w:szCs w:val="22"/>
          <w:lang w:val="en-US" w:eastAsia="en-US"/>
        </w:rPr>
        <w:t>is</w:t>
      </w:r>
      <w:r w:rsidR="004F1A06">
        <w:rPr>
          <w:rFonts w:eastAsia="Calibri"/>
          <w:sz w:val="22"/>
          <w:szCs w:val="22"/>
          <w:lang w:val="en-US" w:eastAsia="en-US"/>
        </w:rPr>
        <w:t xml:space="preserve"> sometimes</w:t>
      </w:r>
      <w:r w:rsidRPr="00842949">
        <w:rPr>
          <w:rFonts w:eastAsia="Calibri"/>
          <w:sz w:val="22"/>
          <w:szCs w:val="22"/>
          <w:lang w:val="en-US" w:eastAsia="en-US"/>
        </w:rPr>
        <w:t xml:space="preserve"> called</w:t>
      </w:r>
      <w:r w:rsidR="0095676B">
        <w:rPr>
          <w:rFonts w:eastAsia="Calibri"/>
          <w:sz w:val="22"/>
          <w:szCs w:val="22"/>
          <w:lang w:val="en-US" w:eastAsia="en-US"/>
        </w:rPr>
        <w:t xml:space="preserve"> epigenes.</w:t>
      </w:r>
    </w:p>
    <w:p w14:paraId="3BD6CAA1" w14:textId="77777777" w:rsidR="00842949" w:rsidRPr="00842949" w:rsidRDefault="00F13B61" w:rsidP="00842949">
      <w:pPr>
        <w:spacing w:after="120"/>
        <w:rPr>
          <w:rFonts w:eastAsia="Calibri"/>
          <w:sz w:val="22"/>
          <w:szCs w:val="22"/>
          <w:lang w:val="en-US" w:eastAsia="en-US"/>
        </w:rPr>
      </w:pPr>
      <w:r>
        <w:rPr>
          <w:rFonts w:eastAsia="Calibri"/>
          <w:bCs/>
          <w:noProof/>
          <w:sz w:val="22"/>
          <w:szCs w:val="22"/>
          <w:lang w:val="en-CA" w:eastAsia="en-CA"/>
        </w:rPr>
        <w:lastRenderedPageBreak/>
        <mc:AlternateContent>
          <mc:Choice Requires="wps">
            <w:drawing>
              <wp:anchor distT="114935" distB="114935" distL="114300" distR="114300" simplePos="0" relativeHeight="251688960" behindDoc="0" locked="0" layoutInCell="1" allowOverlap="1" wp14:anchorId="034DF6C6" wp14:editId="6100B04B">
                <wp:simplePos x="0" y="0"/>
                <wp:positionH relativeFrom="column">
                  <wp:posOffset>24130</wp:posOffset>
                </wp:positionH>
                <wp:positionV relativeFrom="paragraph">
                  <wp:posOffset>117475</wp:posOffset>
                </wp:positionV>
                <wp:extent cx="5143500" cy="3886200"/>
                <wp:effectExtent l="0" t="0" r="38100" b="25400"/>
                <wp:wrapTopAndBottom/>
                <wp:docPr id="15" name="Text Box 15"/>
                <wp:cNvGraphicFramePr/>
                <a:graphic xmlns:a="http://schemas.openxmlformats.org/drawingml/2006/main">
                  <a:graphicData uri="http://schemas.microsoft.com/office/word/2010/wordprocessingShape">
                    <wps:wsp>
                      <wps:cNvSpPr txBox="1"/>
                      <wps:spPr>
                        <a:xfrm>
                          <a:off x="0" y="0"/>
                          <a:ext cx="5143500" cy="3886200"/>
                        </a:xfrm>
                        <a:prstGeom prst="rect">
                          <a:avLst/>
                        </a:prstGeom>
                        <a:no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12DD2C5" w14:textId="77777777" w:rsidR="00F63D94" w:rsidRDefault="00F63D94" w:rsidP="004D71E0">
                            <w:r>
                              <w:rPr>
                                <w:noProof/>
                                <w:lang w:val="en-CA" w:eastAsia="en-CA"/>
                              </w:rPr>
                              <w:drawing>
                                <wp:inline distT="0" distB="0" distL="0" distR="0" wp14:anchorId="018B2AA2" wp14:editId="52EF4338">
                                  <wp:extent cx="4503420" cy="3527625"/>
                                  <wp:effectExtent l="0" t="0" r="0" b="3175"/>
                                  <wp:docPr id="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03420" cy="3527625"/>
                                          </a:xfrm>
                                          <a:prstGeom prst="rect">
                                            <a:avLst/>
                                          </a:prstGeom>
                                          <a:noFill/>
                                          <a:ln>
                                            <a:noFill/>
                                          </a:ln>
                                        </pic:spPr>
                                      </pic:pic>
                                    </a:graphicData>
                                  </a:graphic>
                                </wp:inline>
                              </w:drawing>
                            </w:r>
                          </w:p>
                          <w:p w14:paraId="15FB96AD" w14:textId="77777777" w:rsidR="00F63D94" w:rsidRDefault="00F63D94" w:rsidP="004D71E0">
                            <w:r w:rsidRPr="00B732A9">
                              <w:rPr>
                                <w:rFonts w:eastAsia="Calibri"/>
                                <w:b/>
                                <w:bCs/>
                                <w:sz w:val="22"/>
                                <w:szCs w:val="22"/>
                                <w:lang w:val="en-US" w:eastAsia="en-US"/>
                              </w:rPr>
                              <w:t xml:space="preserve">Figure </w:t>
                            </w:r>
                            <w:r>
                              <w:rPr>
                                <w:rFonts w:eastAsia="Calibri"/>
                                <w:b/>
                                <w:bCs/>
                                <w:sz w:val="22"/>
                                <w:szCs w:val="22"/>
                                <w:lang w:val="en-US" w:eastAsia="en-US"/>
                              </w:rPr>
                              <w:t>4</w:t>
                            </w:r>
                            <w:r>
                              <w:rPr>
                                <w:rFonts w:eastAsia="Calibri"/>
                                <w:bCs/>
                                <w:sz w:val="22"/>
                                <w:szCs w:val="22"/>
                                <w:lang w:val="en-US" w:eastAsia="en-US"/>
                              </w:rPr>
                              <w:t>.</w:t>
                            </w:r>
                            <w:r w:rsidRPr="00842949">
                              <w:rPr>
                                <w:rFonts w:eastAsia="Calibri"/>
                                <w:bCs/>
                                <w:sz w:val="22"/>
                                <w:szCs w:val="22"/>
                                <w:lang w:val="en-US" w:eastAsia="en-US"/>
                              </w:rPr>
                              <w:t xml:space="preserve"> </w:t>
                            </w:r>
                            <w:r w:rsidRPr="00842949">
                              <w:rPr>
                                <w:rFonts w:eastAsia="Calibri"/>
                                <w:sz w:val="22"/>
                                <w:szCs w:val="22"/>
                                <w:lang w:val="en-US" w:eastAsia="en-US"/>
                              </w:rPr>
                              <w:t xml:space="preserve">GRFA is </w:t>
                            </w:r>
                            <w:r>
                              <w:rPr>
                                <w:rFonts w:eastAsia="Calibri"/>
                                <w:sz w:val="22"/>
                                <w:szCs w:val="22"/>
                                <w:lang w:val="en-US" w:eastAsia="en-US"/>
                              </w:rPr>
                              <w:t>both</w:t>
                            </w:r>
                            <w:r w:rsidRPr="00842949">
                              <w:rPr>
                                <w:rFonts w:eastAsia="Calibri"/>
                                <w:sz w:val="22"/>
                                <w:szCs w:val="22"/>
                                <w:lang w:val="en-US" w:eastAsia="en-US"/>
                              </w:rPr>
                              <w:t xml:space="preserve"> material of biological origin and functional units of heredity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4DF6C6" id="Text Box 15" o:spid="_x0000_s1029" type="#_x0000_t202" style="position:absolute;margin-left:1.9pt;margin-top:9.25pt;width:405pt;height:306pt;z-index:251688960;visibility:visible;mso-wrap-style:square;mso-width-percent:0;mso-height-percent:0;mso-wrap-distance-left:9pt;mso-wrap-distance-top:9.05pt;mso-wrap-distance-right:9pt;mso-wrap-distance-bottom:9.0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CuwIAANUFAAAOAAAAZHJzL2Uyb0RvYy54bWysVN1P2zAQf5+0/8Hye0lSUlYqUhSKOk1C&#10;gAYTz65j02iOz7PdNt20/31nJykV44VpL8n5vu93HxeXbaPIVlhXgy5odpJSIjSHqtbPBf32uBxN&#10;KXGe6Yop0KKge+Ho5fzjh4udmYkxrEFVwhJ0ot1sZwq69t7MksTxtWiYOwEjNAol2IZ5fNrnpLJs&#10;h94blYzT9CzZga2MBS6cQ+51J6Tz6F9Kwf2dlE54ogqKufn4tfG7Ct9kfsFmz5aZdc37NNg/ZNGw&#10;WmPQg6tr5hnZ2PovV03NLTiQ/oRDk4CUNRexBqwmS19V87BmRsRaEBxnDjC5/+eW327vLakr7N2E&#10;Es0a7NGjaD25gpYgC/HZGTdDtQeDir5FPuoOfIfMUHYrbRP+WBBBOSK9P6AbvHFkTrL8dJKiiKPs&#10;dDo9w/4FP8mLubHOfxbQkEAU1GL7Iqpse+N8pzqohGgalrVSsYVKB4YDVVeBFx9hhsRCWbJl2H3f&#10;xqwx2pEWvjpLEWeli8JmmDKSwUlIPvbx12LyaVx+mpyPzspJNsqzdDoqy3Q8ul6WaZnmy8V5fvW7&#10;r2ewTwJ2HUaR8nslglelvwqJqEeo3siVcS60H/KN2kFLYmXvMez1Yx2xvvcYd4igRYwM2h+Mm1qD&#10;jX2Ja/oCcfV9SFl2+tjco7oD6dtVG8ftdBihFVR7nCwL3W46w5c1dv+GOX/PLC4jTgweGH+HH6lg&#10;V1DoKUrWYH++xQ/6uCMopWSHy11Q92PDrKBEfdG4PedZnodrEB85NhYf9liyOpboTbMAnKAMT5nh&#10;kQz6Xg2ktNA84R0qQ1QUMc0xNo7cQC58d3LwjnFRllEJ998wf6MfDA+uA8phth/bJ2ZNvwAeB+kW&#10;hjPAZq/2oNMNlhrKjQdZxyUJOHeo9vjj7Yhr1t+5cJyO31Hr5RrP/wAAAP//AwBQSwMEFAAGAAgA&#10;AAAhABXEuCnfAAAACAEAAA8AAABkcnMvZG93bnJldi54bWxMj0FrwkAQhe+F/odlCt7qxooxpNlI&#10;qwgielCL9Lhmp0lodjZkV43/vuOpHt97w3vfZLPeNuKCna8dKRgNIxBIhTM1lQq+DsvXBIQPmoxu&#10;HKGCG3qY5c9PmU6Nu9IOL/tQCi4hn2oFVQhtKqUvKrTaD12LxNmP66wOLLtSmk5fudw28i2KYml1&#10;TbxQ6RbnFRa/+7NVsDrc1rvpfBvb9efie3OU/rhcbJQavPQf7yAC9uH/GO74jA45M53cmYwXjYIx&#10;gwe2kwkIjpPR3TgpiMfRBGSeyccH8j8AAAD//wMAUEsBAi0AFAAGAAgAAAAhALaDOJL+AAAA4QEA&#10;ABMAAAAAAAAAAAAAAAAAAAAAAFtDb250ZW50X1R5cGVzXS54bWxQSwECLQAUAAYACAAAACEAOP0h&#10;/9YAAACUAQAACwAAAAAAAAAAAAAAAAAvAQAAX3JlbHMvLnJlbHNQSwECLQAUAAYACAAAACEAePtP&#10;wrsCAADVBQAADgAAAAAAAAAAAAAAAAAuAgAAZHJzL2Uyb0RvYy54bWxQSwECLQAUAAYACAAAACEA&#10;FcS4Kd8AAAAIAQAADwAAAAAAAAAAAAAAAAAVBQAAZHJzL2Rvd25yZXYueG1sUEsFBgAAAAAEAAQA&#10;8wAAACEGAAAAAA==&#10;" filled="f" strokecolor="black [3213]">
                <v:textbox>
                  <w:txbxContent>
                    <w:p w14:paraId="412DD2C5" w14:textId="77777777" w:rsidR="00F63D94" w:rsidRDefault="00F63D94" w:rsidP="004D71E0">
                      <w:r>
                        <w:rPr>
                          <w:noProof/>
                          <w:lang w:val="en-CA" w:eastAsia="en-CA"/>
                        </w:rPr>
                        <w:drawing>
                          <wp:inline distT="0" distB="0" distL="0" distR="0" wp14:anchorId="018B2AA2" wp14:editId="52EF4338">
                            <wp:extent cx="4503420" cy="3527625"/>
                            <wp:effectExtent l="0" t="0" r="0" b="3175"/>
                            <wp:docPr id="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03420" cy="3527625"/>
                                    </a:xfrm>
                                    <a:prstGeom prst="rect">
                                      <a:avLst/>
                                    </a:prstGeom>
                                    <a:noFill/>
                                    <a:ln>
                                      <a:noFill/>
                                    </a:ln>
                                  </pic:spPr>
                                </pic:pic>
                              </a:graphicData>
                            </a:graphic>
                          </wp:inline>
                        </w:drawing>
                      </w:r>
                    </w:p>
                    <w:p w14:paraId="15FB96AD" w14:textId="77777777" w:rsidR="00F63D94" w:rsidRDefault="00F63D94" w:rsidP="004D71E0">
                      <w:r w:rsidRPr="00B732A9">
                        <w:rPr>
                          <w:rFonts w:eastAsia="Calibri"/>
                          <w:b/>
                          <w:bCs/>
                          <w:sz w:val="22"/>
                          <w:szCs w:val="22"/>
                          <w:lang w:val="en-US" w:eastAsia="en-US"/>
                        </w:rPr>
                        <w:t xml:space="preserve">Figure </w:t>
                      </w:r>
                      <w:r>
                        <w:rPr>
                          <w:rFonts w:eastAsia="Calibri"/>
                          <w:b/>
                          <w:bCs/>
                          <w:sz w:val="22"/>
                          <w:szCs w:val="22"/>
                          <w:lang w:val="en-US" w:eastAsia="en-US"/>
                        </w:rPr>
                        <w:t>4</w:t>
                      </w:r>
                      <w:r>
                        <w:rPr>
                          <w:rFonts w:eastAsia="Calibri"/>
                          <w:bCs/>
                          <w:sz w:val="22"/>
                          <w:szCs w:val="22"/>
                          <w:lang w:val="en-US" w:eastAsia="en-US"/>
                        </w:rPr>
                        <w:t>.</w:t>
                      </w:r>
                      <w:r w:rsidRPr="00842949">
                        <w:rPr>
                          <w:rFonts w:eastAsia="Calibri"/>
                          <w:bCs/>
                          <w:sz w:val="22"/>
                          <w:szCs w:val="22"/>
                          <w:lang w:val="en-US" w:eastAsia="en-US"/>
                        </w:rPr>
                        <w:t xml:space="preserve"> </w:t>
                      </w:r>
                      <w:r w:rsidRPr="00842949">
                        <w:rPr>
                          <w:rFonts w:eastAsia="Calibri"/>
                          <w:sz w:val="22"/>
                          <w:szCs w:val="22"/>
                          <w:lang w:val="en-US" w:eastAsia="en-US"/>
                        </w:rPr>
                        <w:t xml:space="preserve">GRFA is </w:t>
                      </w:r>
                      <w:r>
                        <w:rPr>
                          <w:rFonts w:eastAsia="Calibri"/>
                          <w:sz w:val="22"/>
                          <w:szCs w:val="22"/>
                          <w:lang w:val="en-US" w:eastAsia="en-US"/>
                        </w:rPr>
                        <w:t>both</w:t>
                      </w:r>
                      <w:r w:rsidRPr="00842949">
                        <w:rPr>
                          <w:rFonts w:eastAsia="Calibri"/>
                          <w:sz w:val="22"/>
                          <w:szCs w:val="22"/>
                          <w:lang w:val="en-US" w:eastAsia="en-US"/>
                        </w:rPr>
                        <w:t xml:space="preserve"> material of biological origin and functional units of heredity</w:t>
                      </w:r>
                    </w:p>
                  </w:txbxContent>
                </v:textbox>
                <w10:wrap type="topAndBottom"/>
              </v:shape>
            </w:pict>
          </mc:Fallback>
        </mc:AlternateContent>
      </w:r>
      <w:r w:rsidR="0095676B">
        <w:rPr>
          <w:rFonts w:eastAsia="Calibri"/>
          <w:sz w:val="22"/>
          <w:szCs w:val="22"/>
          <w:lang w:val="en-US" w:eastAsia="en-US"/>
        </w:rPr>
        <w:t>The context of genetic information can be critical for trait propagation, separate from the DNA of a genome.</w:t>
      </w:r>
      <w:r w:rsidR="0095676B" w:rsidRPr="00277EAE">
        <w:rPr>
          <w:rFonts w:eastAsia="Calibri"/>
          <w:sz w:val="22"/>
          <w:szCs w:val="22"/>
          <w:lang w:val="en-US" w:eastAsia="en-US"/>
        </w:rPr>
        <w:t xml:space="preserve"> </w:t>
      </w:r>
      <w:r w:rsidR="00277EAE" w:rsidRPr="00277EAE">
        <w:rPr>
          <w:rFonts w:eastAsia="Calibri"/>
          <w:sz w:val="22"/>
          <w:szCs w:val="22"/>
          <w:lang w:eastAsia="en-US"/>
        </w:rPr>
        <w:t xml:space="preserve">In </w:t>
      </w:r>
      <w:r w:rsidR="00277EAE">
        <w:rPr>
          <w:rFonts w:eastAsia="Calibri"/>
          <w:sz w:val="22"/>
          <w:szCs w:val="22"/>
          <w:lang w:eastAsia="en-US"/>
        </w:rPr>
        <w:t>a significant number of</w:t>
      </w:r>
      <w:r w:rsidR="00277EAE" w:rsidRPr="00277EAE">
        <w:rPr>
          <w:rFonts w:eastAsia="Calibri"/>
          <w:sz w:val="22"/>
          <w:szCs w:val="22"/>
          <w:lang w:eastAsia="en-US"/>
        </w:rPr>
        <w:t xml:space="preserve"> cases DNA sequence is necessary but not sufficient to establish a hereditary characteristic</w:t>
      </w:r>
      <w:r w:rsidR="000722FF">
        <w:rPr>
          <w:rFonts w:eastAsia="Calibri"/>
          <w:sz w:val="22"/>
          <w:szCs w:val="22"/>
          <w:lang w:eastAsia="en-US"/>
        </w:rPr>
        <w:t xml:space="preserve"> </w:t>
      </w:r>
      <w:r w:rsidR="000722FF">
        <w:rPr>
          <w:rFonts w:eastAsia="Calibri"/>
          <w:noProof/>
          <w:sz w:val="22"/>
          <w:szCs w:val="22"/>
          <w:lang w:eastAsia="en-US"/>
        </w:rPr>
        <w:t>(Ibanez-Escriche and Simianer, 2016)</w:t>
      </w:r>
      <w:r w:rsidR="00277EAE" w:rsidRPr="00277EAE">
        <w:rPr>
          <w:rFonts w:eastAsia="Calibri"/>
          <w:sz w:val="22"/>
          <w:szCs w:val="22"/>
          <w:lang w:eastAsia="en-US"/>
        </w:rPr>
        <w:t>.</w:t>
      </w:r>
      <w:r w:rsidR="004F1A06">
        <w:rPr>
          <w:rFonts w:eastAsia="Calibri"/>
          <w:sz w:val="22"/>
          <w:szCs w:val="22"/>
          <w:lang w:val="en-US" w:eastAsia="en-US"/>
        </w:rPr>
        <w:t xml:space="preserve"> </w:t>
      </w:r>
      <w:r w:rsidR="00960AC0">
        <w:rPr>
          <w:rFonts w:eastAsia="Calibri"/>
          <w:sz w:val="22"/>
          <w:szCs w:val="22"/>
          <w:lang w:val="en-US" w:eastAsia="en-US"/>
        </w:rPr>
        <w:t xml:space="preserve">In analogy with the </w:t>
      </w:r>
      <w:r w:rsidR="00D62594">
        <w:rPr>
          <w:rFonts w:eastAsia="Calibri"/>
          <w:sz w:val="22"/>
          <w:szCs w:val="22"/>
          <w:lang w:val="en-US" w:eastAsia="en-US"/>
        </w:rPr>
        <w:t>“</w:t>
      </w:r>
      <w:r w:rsidR="00960AC0">
        <w:rPr>
          <w:rFonts w:eastAsia="Calibri"/>
          <w:sz w:val="22"/>
          <w:szCs w:val="22"/>
          <w:lang w:val="en-US" w:eastAsia="en-US"/>
        </w:rPr>
        <w:t>genetic code</w:t>
      </w:r>
      <w:r w:rsidR="00D62594">
        <w:rPr>
          <w:rFonts w:eastAsia="Calibri"/>
          <w:sz w:val="22"/>
          <w:szCs w:val="22"/>
          <w:lang w:val="en-US" w:eastAsia="en-US"/>
        </w:rPr>
        <w:t>”</w:t>
      </w:r>
      <w:r w:rsidR="00842949" w:rsidRPr="00842949">
        <w:rPr>
          <w:rFonts w:eastAsia="Calibri"/>
          <w:sz w:val="22"/>
          <w:szCs w:val="22"/>
          <w:lang w:val="en-US" w:eastAsia="en-US"/>
        </w:rPr>
        <w:t xml:space="preserve"> as carried by DNA, traits for which at least one other kind of non-nucleic acid molecule is required for propagation are likened to possessing codes, such as the metabolic, histone, sugar, splicing, tubulin, signaling, ubiquitin and glycomic codes </w:t>
      </w:r>
      <w:r w:rsidR="001C037C">
        <w:rPr>
          <w:rFonts w:eastAsia="Calibri"/>
          <w:noProof/>
          <w:sz w:val="22"/>
          <w:szCs w:val="22"/>
          <w:lang w:val="en-US" w:eastAsia="en-US"/>
        </w:rPr>
        <w:t>(Barbieri, 2018; Buckeridge, 2018; Gabius, 2018; Marijuán</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2018; Prakash and Fournier, 2018)</w:t>
      </w:r>
      <w:r w:rsidR="00842949" w:rsidRPr="00842949">
        <w:rPr>
          <w:rFonts w:eastAsia="Calibri"/>
          <w:sz w:val="22"/>
          <w:szCs w:val="22"/>
          <w:lang w:val="en-US" w:eastAsia="en-US"/>
        </w:rPr>
        <w:t xml:space="preserve">. They are studied in an emerging area called Code Biology </w:t>
      </w:r>
      <w:r w:rsidR="001C037C">
        <w:rPr>
          <w:rFonts w:eastAsia="Calibri"/>
          <w:noProof/>
          <w:sz w:val="22"/>
          <w:szCs w:val="22"/>
          <w:lang w:val="en-US" w:eastAsia="en-US"/>
        </w:rPr>
        <w:t>(Barbieri, 2018)</w:t>
      </w:r>
      <w:r w:rsidR="00842949" w:rsidRPr="00842949">
        <w:rPr>
          <w:rFonts w:eastAsia="Calibri"/>
          <w:sz w:val="22"/>
          <w:szCs w:val="22"/>
          <w:lang w:val="en-US" w:eastAsia="en-US"/>
        </w:rPr>
        <w:t>.</w:t>
      </w:r>
    </w:p>
    <w:p w14:paraId="3A284D58" w14:textId="77777777" w:rsidR="00842949" w:rsidRPr="00842949" w:rsidRDefault="00842949" w:rsidP="00842949">
      <w:pPr>
        <w:spacing w:after="120"/>
        <w:rPr>
          <w:rFonts w:eastAsia="Calibri"/>
          <w:sz w:val="22"/>
          <w:szCs w:val="22"/>
          <w:lang w:val="en-US" w:eastAsia="en-US"/>
        </w:rPr>
      </w:pPr>
      <w:r w:rsidRPr="00842949">
        <w:rPr>
          <w:rFonts w:eastAsia="Calibri"/>
          <w:sz w:val="22"/>
          <w:szCs w:val="22"/>
          <w:lang w:val="en-US" w:eastAsia="en-US"/>
        </w:rPr>
        <w:t>How DSI on GRFA is used by scientists now portents a time when DNA itself may not be centr</w:t>
      </w:r>
      <w:r w:rsidR="002D71D8">
        <w:rPr>
          <w:rFonts w:eastAsia="Calibri"/>
          <w:sz w:val="22"/>
          <w:szCs w:val="22"/>
          <w:lang w:val="en-US" w:eastAsia="en-US"/>
        </w:rPr>
        <w:t>e-</w:t>
      </w:r>
      <w:r w:rsidRPr="00842949">
        <w:rPr>
          <w:rFonts w:eastAsia="Calibri"/>
          <w:sz w:val="22"/>
          <w:szCs w:val="22"/>
          <w:lang w:val="en-US" w:eastAsia="en-US"/>
        </w:rPr>
        <w:t xml:space="preserve"> stage, or at least must share the stage with many more forms of DSI. Knowing this helps to explain why there are so many kinds of databases of DSI on GRFA, and how each contributes essential information necessary to reconstruct a range of different traits.</w:t>
      </w:r>
    </w:p>
    <w:p w14:paraId="372BEE0E" w14:textId="77777777" w:rsidR="00842949" w:rsidRDefault="00842949" w:rsidP="00842949">
      <w:pPr>
        <w:spacing w:after="120"/>
        <w:rPr>
          <w:rFonts w:eastAsia="Calibri"/>
          <w:sz w:val="22"/>
          <w:szCs w:val="22"/>
          <w:lang w:val="en-US" w:eastAsia="en-US"/>
        </w:rPr>
      </w:pPr>
      <w:r w:rsidRPr="00842949">
        <w:rPr>
          <w:rFonts w:eastAsia="Calibri"/>
          <w:sz w:val="22"/>
          <w:szCs w:val="22"/>
          <w:lang w:val="en-US" w:eastAsia="en-US"/>
        </w:rPr>
        <w:t xml:space="preserve">In short, </w:t>
      </w:r>
      <w:r w:rsidRPr="00842949">
        <w:rPr>
          <w:rFonts w:eastAsia="Calibri"/>
          <w:sz w:val="22"/>
          <w:szCs w:val="22"/>
          <w:lang w:eastAsia="en-US"/>
        </w:rPr>
        <w:t>DNA and RNA sequences alone are sometimes sufficient and sometimes not to identify a trait</w:t>
      </w:r>
      <w:r w:rsidRPr="00842949">
        <w:rPr>
          <w:rFonts w:eastAsia="Calibri"/>
          <w:sz w:val="22"/>
          <w:szCs w:val="22"/>
          <w:lang w:val="en-US" w:eastAsia="en-US"/>
        </w:rPr>
        <w:t>; some traits would be impossible to transfer using only DNA. A trait can sometimes even be identified using sequence information from molecules other than DNA</w:t>
      </w:r>
      <w:r w:rsidRPr="00842949">
        <w:rPr>
          <w:rFonts w:eastAsia="Calibri"/>
          <w:sz w:val="22"/>
          <w:szCs w:val="22"/>
          <w:lang w:val="mi-NZ" w:eastAsia="en-US"/>
        </w:rPr>
        <w:t xml:space="preserve">. </w:t>
      </w:r>
      <w:r w:rsidRPr="00842949">
        <w:rPr>
          <w:rFonts w:eastAsia="Calibri"/>
          <w:sz w:val="22"/>
          <w:szCs w:val="22"/>
          <w:lang w:val="en-US" w:eastAsia="en-US"/>
        </w:rPr>
        <w:t>Therefore, to restrict consideration of DSI on GRFA to DNA databases would neither be true to how scientists are already using DSI on GRFA nor</w:t>
      </w:r>
      <w:r w:rsidR="00B95FE1">
        <w:rPr>
          <w:rFonts w:eastAsia="Calibri"/>
          <w:sz w:val="22"/>
          <w:szCs w:val="22"/>
          <w:lang w:val="en-US" w:eastAsia="en-US"/>
        </w:rPr>
        <w:t xml:space="preserve"> fully</w:t>
      </w:r>
      <w:r w:rsidRPr="00842949">
        <w:rPr>
          <w:rFonts w:eastAsia="Calibri"/>
          <w:sz w:val="22"/>
          <w:szCs w:val="22"/>
          <w:lang w:val="en-US" w:eastAsia="en-US"/>
        </w:rPr>
        <w:t xml:space="preserve"> inform future-ready policy.</w:t>
      </w:r>
    </w:p>
    <w:p w14:paraId="2B5854B2" w14:textId="77777777" w:rsidR="00842949" w:rsidRDefault="00520AE6" w:rsidP="00842949">
      <w:pPr>
        <w:spacing w:after="120"/>
        <w:rPr>
          <w:rFonts w:eastAsia="Calibri"/>
          <w:sz w:val="22"/>
          <w:szCs w:val="22"/>
          <w:lang w:val="en-US" w:eastAsia="en-US"/>
        </w:rPr>
      </w:pPr>
      <w:r w:rsidRPr="00842949">
        <w:rPr>
          <w:rFonts w:eastAsia="Calibri"/>
          <w:sz w:val="22"/>
          <w:szCs w:val="22"/>
          <w:lang w:val="en-US" w:eastAsia="en-US"/>
        </w:rPr>
        <w:t>Beyond these practicalities of modern genetic</w:t>
      </w:r>
      <w:r>
        <w:rPr>
          <w:rFonts w:eastAsia="Calibri"/>
          <w:sz w:val="22"/>
          <w:szCs w:val="22"/>
          <w:lang w:val="en-US" w:eastAsia="en-US"/>
        </w:rPr>
        <w:t>s is the technology to synthesiz</w:t>
      </w:r>
      <w:r w:rsidRPr="00842949">
        <w:rPr>
          <w:rFonts w:eastAsia="Calibri"/>
          <w:sz w:val="22"/>
          <w:szCs w:val="22"/>
          <w:lang w:val="en-US" w:eastAsia="en-US"/>
        </w:rPr>
        <w:t xml:space="preserve">e biological and biological genetic material using neither the original source organism nor any biological material from it. </w:t>
      </w:r>
      <w:r w:rsidR="00B95FE1">
        <w:rPr>
          <w:rFonts w:eastAsia="Calibri"/>
          <w:sz w:val="22"/>
          <w:szCs w:val="22"/>
          <w:lang w:val="en-US" w:eastAsia="en-US"/>
        </w:rPr>
        <w:t>Complete genome synthesis has been achieved for types of bacteria</w:t>
      </w:r>
      <w:r w:rsidR="00B43B26">
        <w:rPr>
          <w:rFonts w:eastAsia="Calibri"/>
          <w:sz w:val="22"/>
          <w:szCs w:val="22"/>
          <w:lang w:val="en-US" w:eastAsia="en-US"/>
        </w:rPr>
        <w:t xml:space="preserve"> </w:t>
      </w:r>
      <w:r w:rsidR="001C037C">
        <w:rPr>
          <w:rFonts w:eastAsia="Calibri"/>
          <w:noProof/>
          <w:sz w:val="22"/>
          <w:szCs w:val="22"/>
          <w:lang w:val="en-US" w:eastAsia="en-US"/>
        </w:rPr>
        <w:t>(Gibson, 2014)</w:t>
      </w:r>
      <w:r w:rsidR="00B95FE1">
        <w:rPr>
          <w:rFonts w:eastAsia="Calibri"/>
          <w:sz w:val="22"/>
          <w:szCs w:val="22"/>
          <w:lang w:val="en-US" w:eastAsia="en-US"/>
        </w:rPr>
        <w:t>. Complete synthesis of a few</w:t>
      </w:r>
      <w:r w:rsidRPr="00842949">
        <w:rPr>
          <w:rFonts w:eastAsia="Calibri"/>
          <w:sz w:val="22"/>
          <w:szCs w:val="22"/>
          <w:lang w:val="en-US" w:eastAsia="en-US"/>
        </w:rPr>
        <w:t xml:space="preserve"> viruses</w:t>
      </w:r>
      <w:r w:rsidR="00B95FE1">
        <w:rPr>
          <w:rFonts w:eastAsia="Calibri"/>
          <w:sz w:val="22"/>
          <w:szCs w:val="22"/>
          <w:lang w:val="en-US" w:eastAsia="en-US"/>
        </w:rPr>
        <w:t xml:space="preserve"> has already been demonstrated </w:t>
      </w:r>
      <w:r w:rsidR="001C037C">
        <w:rPr>
          <w:rFonts w:eastAsia="Calibri"/>
          <w:noProof/>
          <w:sz w:val="22"/>
          <w:szCs w:val="22"/>
          <w:lang w:val="en-US" w:eastAsia="en-US"/>
        </w:rPr>
        <w:t>(Wimmer, 2006)</w:t>
      </w:r>
      <w:r w:rsidR="00B95FE1">
        <w:rPr>
          <w:rFonts w:eastAsia="Calibri"/>
          <w:sz w:val="22"/>
          <w:szCs w:val="22"/>
          <w:lang w:val="en-US" w:eastAsia="en-US"/>
        </w:rPr>
        <w:t>.</w:t>
      </w:r>
      <w:r w:rsidRPr="00842949">
        <w:rPr>
          <w:rFonts w:eastAsia="Calibri"/>
          <w:sz w:val="22"/>
          <w:szCs w:val="22"/>
          <w:lang w:val="en-US" w:eastAsia="en-US"/>
        </w:rPr>
        <w:t xml:space="preserve"> </w:t>
      </w:r>
      <w:r w:rsidR="00B43B26">
        <w:rPr>
          <w:rFonts w:eastAsia="Calibri"/>
          <w:sz w:val="22"/>
          <w:szCs w:val="22"/>
          <w:lang w:val="en-US" w:eastAsia="en-US"/>
        </w:rPr>
        <w:t>A</w:t>
      </w:r>
      <w:r w:rsidR="004A7A34">
        <w:rPr>
          <w:rFonts w:eastAsia="Calibri"/>
          <w:sz w:val="22"/>
          <w:szCs w:val="22"/>
          <w:lang w:val="en-US" w:eastAsia="en-US"/>
        </w:rPr>
        <w:t xml:space="preserve"> new machine</w:t>
      </w:r>
      <w:r w:rsidRPr="00842949">
        <w:rPr>
          <w:rFonts w:eastAsia="Calibri"/>
          <w:sz w:val="22"/>
          <w:szCs w:val="22"/>
          <w:lang w:val="en-US" w:eastAsia="en-US"/>
        </w:rPr>
        <w:t xml:space="preserve"> in prototype stage may one day achieve this for cells, possibly</w:t>
      </w:r>
      <w:r>
        <w:rPr>
          <w:rFonts w:eastAsia="Calibri"/>
          <w:sz w:val="22"/>
          <w:szCs w:val="22"/>
          <w:lang w:val="en-US" w:eastAsia="en-US"/>
        </w:rPr>
        <w:t xml:space="preserve"> plant and animal</w:t>
      </w:r>
      <w:r w:rsidRPr="00842949">
        <w:rPr>
          <w:rFonts w:eastAsia="Calibri"/>
          <w:sz w:val="22"/>
          <w:szCs w:val="22"/>
          <w:lang w:val="en-US" w:eastAsia="en-US"/>
        </w:rPr>
        <w:t xml:space="preserve"> zygotes</w:t>
      </w:r>
      <w:r w:rsidR="00B43B26">
        <w:rPr>
          <w:rFonts w:eastAsia="Calibri"/>
          <w:sz w:val="22"/>
          <w:szCs w:val="22"/>
          <w:lang w:val="en-US" w:eastAsia="en-US"/>
        </w:rPr>
        <w:t xml:space="preserve"> </w:t>
      </w:r>
      <w:r w:rsidR="001C037C">
        <w:rPr>
          <w:rFonts w:eastAsia="Calibri"/>
          <w:noProof/>
          <w:sz w:val="22"/>
          <w:szCs w:val="22"/>
          <w:lang w:val="en-US" w:eastAsia="en-US"/>
        </w:rPr>
        <w:t>(Boles</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sidRPr="00842949">
        <w:rPr>
          <w:rFonts w:eastAsia="Calibri"/>
          <w:sz w:val="22"/>
          <w:szCs w:val="22"/>
          <w:lang w:val="en-US" w:eastAsia="en-US"/>
        </w:rPr>
        <w:t>. The synthesis</w:t>
      </w:r>
      <w:r w:rsidR="00B95FE1">
        <w:rPr>
          <w:rFonts w:eastAsia="Calibri"/>
          <w:sz w:val="22"/>
          <w:szCs w:val="22"/>
          <w:lang w:val="en-US" w:eastAsia="en-US"/>
        </w:rPr>
        <w:t xml:space="preserve"> of engineered and novel organisms</w:t>
      </w:r>
      <w:r w:rsidRPr="00842949">
        <w:rPr>
          <w:rFonts w:eastAsia="Calibri"/>
          <w:sz w:val="22"/>
          <w:szCs w:val="22"/>
          <w:lang w:val="en-US" w:eastAsia="en-US"/>
        </w:rPr>
        <w:t xml:space="preserve"> uses DSI of DNA, proteins and possibly other molecules along with subunits of these molecules that may be produced in a laboratory as inputs. Some genetic materials can be constructed using DSI and chemistry, separate from biological genetic material (Figure </w:t>
      </w:r>
      <w:r w:rsidR="006239F0">
        <w:rPr>
          <w:rFonts w:eastAsia="Calibri"/>
          <w:sz w:val="22"/>
          <w:szCs w:val="22"/>
          <w:lang w:val="en-US" w:eastAsia="en-US"/>
        </w:rPr>
        <w:t>5</w:t>
      </w:r>
      <w:r w:rsidRPr="00842949">
        <w:rPr>
          <w:rFonts w:eastAsia="Calibri"/>
          <w:sz w:val="22"/>
          <w:szCs w:val="22"/>
          <w:lang w:val="en-US" w:eastAsia="en-US"/>
        </w:rPr>
        <w:t>).</w:t>
      </w:r>
    </w:p>
    <w:p w14:paraId="76B600AF" w14:textId="77777777" w:rsidR="00E44098" w:rsidRDefault="00E44098" w:rsidP="00842949">
      <w:pPr>
        <w:spacing w:after="120"/>
        <w:rPr>
          <w:rFonts w:eastAsia="Calibri"/>
          <w:sz w:val="22"/>
          <w:szCs w:val="22"/>
          <w:lang w:val="en-US" w:eastAsia="en-US"/>
        </w:rPr>
      </w:pPr>
      <w:r>
        <w:rPr>
          <w:rFonts w:eastAsia="Calibri"/>
          <w:sz w:val="22"/>
          <w:szCs w:val="22"/>
          <w:lang w:val="en-US" w:eastAsia="en-US"/>
        </w:rPr>
        <w:t xml:space="preserve">In summary, it is possible to identify common elements in the various terms that have been collected under the heading </w:t>
      </w:r>
      <w:r w:rsidR="00E333D6">
        <w:rPr>
          <w:rFonts w:eastAsia="Calibri"/>
          <w:sz w:val="22"/>
          <w:szCs w:val="22"/>
          <w:lang w:val="en-US" w:eastAsia="en-US"/>
        </w:rPr>
        <w:t>DSI</w:t>
      </w:r>
      <w:r>
        <w:rPr>
          <w:rFonts w:eastAsia="Calibri"/>
          <w:sz w:val="22"/>
          <w:szCs w:val="22"/>
          <w:lang w:val="en-US" w:eastAsia="en-US"/>
        </w:rPr>
        <w:t xml:space="preserve">. However, this does not mean that those using different terms </w:t>
      </w:r>
      <w:r>
        <w:rPr>
          <w:rFonts w:eastAsia="Calibri"/>
          <w:sz w:val="22"/>
          <w:szCs w:val="22"/>
          <w:lang w:val="en-US" w:eastAsia="en-US"/>
        </w:rPr>
        <w:lastRenderedPageBreak/>
        <w:t>are necessarily talking about the same thing, or that the meaning of terms is static. Different actors can be drawing upon discipline conventions that do not perfectly overlap with other disciplines, such as illustrated by the different history of use of the term genetic material by classical applied animal and plant breeders</w:t>
      </w:r>
      <w:r w:rsidR="0072322C">
        <w:rPr>
          <w:rFonts w:eastAsia="Calibri"/>
          <w:sz w:val="22"/>
          <w:szCs w:val="22"/>
          <w:lang w:val="en-US" w:eastAsia="en-US"/>
        </w:rPr>
        <w:t xml:space="preserve"> (generally the cells or tissues necessary to reproduce an organism)</w:t>
      </w:r>
      <w:r>
        <w:rPr>
          <w:rFonts w:eastAsia="Calibri"/>
          <w:sz w:val="22"/>
          <w:szCs w:val="22"/>
          <w:lang w:val="en-US" w:eastAsia="en-US"/>
        </w:rPr>
        <w:t xml:space="preserve"> compared to molecular biologists</w:t>
      </w:r>
      <w:r w:rsidR="0072322C">
        <w:rPr>
          <w:rFonts w:eastAsia="Calibri"/>
          <w:sz w:val="22"/>
          <w:szCs w:val="22"/>
          <w:lang w:val="en-US" w:eastAsia="en-US"/>
        </w:rPr>
        <w:t xml:space="preserve"> (generally, DNA)</w:t>
      </w:r>
      <w:r>
        <w:rPr>
          <w:rFonts w:eastAsia="Calibri"/>
          <w:sz w:val="22"/>
          <w:szCs w:val="22"/>
          <w:lang w:val="en-US" w:eastAsia="en-US"/>
        </w:rPr>
        <w:t xml:space="preserve"> in the middle of the last </w:t>
      </w:r>
      <w:r w:rsidR="00E333D6">
        <w:rPr>
          <w:rFonts w:eastAsia="Calibri"/>
          <w:sz w:val="22"/>
          <w:szCs w:val="22"/>
          <w:lang w:val="en-US" w:eastAsia="en-US"/>
        </w:rPr>
        <w:t>c</w:t>
      </w:r>
      <w:r>
        <w:rPr>
          <w:rFonts w:eastAsia="Calibri"/>
          <w:sz w:val="22"/>
          <w:szCs w:val="22"/>
          <w:lang w:val="en-US" w:eastAsia="en-US"/>
        </w:rPr>
        <w:t>entury.</w:t>
      </w:r>
    </w:p>
    <w:p w14:paraId="3F45397A" w14:textId="77777777" w:rsidR="00E44098" w:rsidRDefault="00E44098" w:rsidP="00842949">
      <w:pPr>
        <w:spacing w:after="120"/>
        <w:rPr>
          <w:rFonts w:eastAsia="Calibri"/>
          <w:sz w:val="22"/>
          <w:szCs w:val="22"/>
          <w:lang w:val="en-US" w:eastAsia="en-US"/>
        </w:rPr>
      </w:pPr>
      <w:r>
        <w:rPr>
          <w:rFonts w:eastAsia="Calibri"/>
          <w:sz w:val="22"/>
          <w:szCs w:val="22"/>
          <w:lang w:val="en-US" w:eastAsia="en-US"/>
        </w:rPr>
        <w:t>Operational adoption of DSI appears to be mostly unaffected by terminological disputes. From the viewpoint of how DSI is being used on GRFA and the management of GRFA, all information that can be gathered into databases is being used</w:t>
      </w:r>
      <w:r w:rsidR="00B7787D">
        <w:rPr>
          <w:rFonts w:eastAsia="Calibri"/>
          <w:sz w:val="22"/>
          <w:szCs w:val="22"/>
          <w:lang w:val="en-US" w:eastAsia="en-US"/>
        </w:rPr>
        <w:t xml:space="preserve">, including phenotype </w:t>
      </w:r>
      <w:r w:rsidR="00824B97">
        <w:rPr>
          <w:rFonts w:eastAsia="Calibri"/>
          <w:sz w:val="22"/>
          <w:szCs w:val="22"/>
          <w:lang w:val="en-US" w:eastAsia="en-US"/>
        </w:rPr>
        <w:t xml:space="preserve">data </w:t>
      </w:r>
      <w:r w:rsidR="000722FF">
        <w:rPr>
          <w:rFonts w:eastAsia="Calibri"/>
          <w:noProof/>
          <w:sz w:val="22"/>
          <w:szCs w:val="22"/>
          <w:lang w:val="en-US" w:eastAsia="en-US"/>
        </w:rPr>
        <w:t>(Zamir, 2013; Ibanez-Escriche and Simianer, 2016)</w:t>
      </w:r>
      <w:r>
        <w:rPr>
          <w:rFonts w:eastAsia="Calibri"/>
          <w:sz w:val="22"/>
          <w:szCs w:val="22"/>
          <w:lang w:val="en-US" w:eastAsia="en-US"/>
        </w:rPr>
        <w:t xml:space="preserve">. No database is superior to all others in every application of DSI to GRFA. DNA databases are linked to genomic, transcriptomic and proteomic databases (and sometimes these are features of a single database). Metabolomic databases sometimes can be </w:t>
      </w:r>
      <w:r w:rsidR="008301B4">
        <w:rPr>
          <w:rFonts w:eastAsia="Calibri"/>
          <w:sz w:val="22"/>
          <w:szCs w:val="22"/>
          <w:lang w:val="en-US" w:eastAsia="en-US"/>
        </w:rPr>
        <w:t>essential</w:t>
      </w:r>
      <w:r>
        <w:rPr>
          <w:rFonts w:eastAsia="Calibri"/>
          <w:sz w:val="22"/>
          <w:szCs w:val="22"/>
          <w:lang w:val="en-US" w:eastAsia="en-US"/>
        </w:rPr>
        <w:t xml:space="preserve"> for </w:t>
      </w:r>
      <w:r w:rsidR="008301B4">
        <w:rPr>
          <w:rFonts w:eastAsia="Calibri"/>
          <w:sz w:val="22"/>
          <w:szCs w:val="22"/>
          <w:lang w:val="en-US" w:eastAsia="en-US"/>
        </w:rPr>
        <w:t>identification of traits in GRFA</w:t>
      </w:r>
      <w:r>
        <w:rPr>
          <w:rFonts w:eastAsia="Calibri"/>
          <w:sz w:val="22"/>
          <w:szCs w:val="22"/>
          <w:lang w:val="en-US" w:eastAsia="en-US"/>
        </w:rPr>
        <w:t>. The power of the databases is increased because they link phenotypic an</w:t>
      </w:r>
      <w:r w:rsidR="00173B2E">
        <w:rPr>
          <w:rFonts w:eastAsia="Calibri"/>
          <w:sz w:val="22"/>
          <w:szCs w:val="22"/>
          <w:lang w:val="en-US" w:eastAsia="en-US"/>
        </w:rPr>
        <w:t>d metabolic traits to DNA genes</w:t>
      </w:r>
      <w:r>
        <w:rPr>
          <w:rFonts w:eastAsia="Calibri"/>
          <w:sz w:val="22"/>
          <w:szCs w:val="22"/>
          <w:lang w:val="en-US" w:eastAsia="en-US"/>
        </w:rPr>
        <w:t xml:space="preserve"> or</w:t>
      </w:r>
      <w:r w:rsidR="00173B2E">
        <w:rPr>
          <w:rFonts w:eastAsia="Calibri"/>
          <w:sz w:val="22"/>
          <w:szCs w:val="22"/>
          <w:lang w:val="en-US" w:eastAsia="en-US"/>
        </w:rPr>
        <w:t xml:space="preserve"> to</w:t>
      </w:r>
      <w:r>
        <w:rPr>
          <w:rFonts w:eastAsia="Calibri"/>
          <w:sz w:val="22"/>
          <w:szCs w:val="22"/>
          <w:lang w:val="en-US" w:eastAsia="en-US"/>
        </w:rPr>
        <w:t xml:space="preserve"> epigenes</w:t>
      </w:r>
      <w:r w:rsidR="000722FF">
        <w:rPr>
          <w:rFonts w:eastAsia="Calibri"/>
          <w:sz w:val="22"/>
          <w:szCs w:val="22"/>
          <w:lang w:val="en-US" w:eastAsia="en-US"/>
        </w:rPr>
        <w:t xml:space="preserve"> </w:t>
      </w:r>
      <w:r w:rsidR="00C62DA1">
        <w:rPr>
          <w:rFonts w:eastAsia="Calibri"/>
          <w:noProof/>
          <w:sz w:val="22"/>
          <w:szCs w:val="22"/>
          <w:lang w:val="en-US" w:eastAsia="en-US"/>
        </w:rPr>
        <w:t>(Ibanez-Escriche and Simianer, 2016)</w:t>
      </w:r>
      <w:r>
        <w:rPr>
          <w:rFonts w:eastAsia="Calibri"/>
          <w:sz w:val="22"/>
          <w:szCs w:val="22"/>
          <w:lang w:val="en-US" w:eastAsia="en-US"/>
        </w:rPr>
        <w:t>.</w:t>
      </w:r>
    </w:p>
    <w:p w14:paraId="5DBAD98E" w14:textId="77777777" w:rsidR="00E44098" w:rsidRDefault="00E44098" w:rsidP="00842949">
      <w:pPr>
        <w:spacing w:after="120"/>
        <w:rPr>
          <w:rFonts w:eastAsia="Calibri"/>
          <w:sz w:val="22"/>
          <w:szCs w:val="22"/>
          <w:lang w:val="en-US" w:eastAsia="en-US"/>
        </w:rPr>
      </w:pPr>
      <w:r>
        <w:rPr>
          <w:rFonts w:eastAsia="Calibri"/>
          <w:sz w:val="22"/>
          <w:szCs w:val="22"/>
          <w:lang w:val="en-US" w:eastAsia="en-US"/>
        </w:rPr>
        <w:t>It is beyond the scope of this study to resolve discontinuities in terminology adopted by different users.</w:t>
      </w:r>
      <w:r w:rsidRPr="00D431DE">
        <w:rPr>
          <w:rFonts w:eastAsia="Calibri"/>
          <w:sz w:val="22"/>
          <w:szCs w:val="22"/>
          <w:lang w:val="en-US" w:eastAsia="en-US"/>
        </w:rPr>
        <w:t xml:space="preserve"> </w:t>
      </w:r>
      <w:r>
        <w:rPr>
          <w:rFonts w:eastAsia="Calibri"/>
          <w:sz w:val="22"/>
          <w:szCs w:val="22"/>
          <w:lang w:val="en-US" w:eastAsia="en-US"/>
        </w:rPr>
        <w:t xml:space="preserve">Like the definition of the gene itself, sometimes an example (i.e. DNA) is more practical for those working in the discipline than is a more flexible heuristic (i.e. the material basis of heritable traits). For the purpose of communicating the findings of the report on DSI, the term is tied to the operational descriptions of actors </w:t>
      </w:r>
      <w:r w:rsidR="00E333D6">
        <w:rPr>
          <w:rFonts w:eastAsia="Calibri"/>
          <w:sz w:val="22"/>
          <w:szCs w:val="22"/>
          <w:lang w:val="en-US" w:eastAsia="en-US"/>
        </w:rPr>
        <w:t xml:space="preserve">that </w:t>
      </w:r>
      <w:r>
        <w:rPr>
          <w:rFonts w:eastAsia="Calibri"/>
          <w:sz w:val="22"/>
          <w:szCs w:val="22"/>
          <w:lang w:val="en-US" w:eastAsia="en-US"/>
        </w:rPr>
        <w:t xml:space="preserve">map with reasonable consistency to what is in and what could be in the future stored in databases of the type described by </w:t>
      </w:r>
      <w:r w:rsidRPr="00A02F6C">
        <w:rPr>
          <w:rFonts w:eastAsia="Calibri"/>
          <w:i/>
          <w:sz w:val="22"/>
          <w:szCs w:val="22"/>
          <w:lang w:val="en-US" w:eastAsia="en-US"/>
        </w:rPr>
        <w:t>Nucleic Acids Research</w:t>
      </w:r>
      <w:r>
        <w:rPr>
          <w:rFonts w:eastAsia="Calibri"/>
          <w:sz w:val="22"/>
          <w:szCs w:val="22"/>
          <w:lang w:val="en-US" w:eastAsia="en-US"/>
        </w:rPr>
        <w:t xml:space="preserve"> </w:t>
      </w:r>
      <w:r w:rsidR="001C037C">
        <w:rPr>
          <w:rFonts w:eastAsia="Calibri"/>
          <w:noProof/>
          <w:sz w:val="22"/>
          <w:szCs w:val="22"/>
          <w:lang w:val="en-US" w:eastAsia="en-US"/>
        </w:rPr>
        <w:t>(NAR)</w:t>
      </w:r>
      <w:r>
        <w:rPr>
          <w:rFonts w:eastAsia="Calibri"/>
          <w:sz w:val="22"/>
          <w:szCs w:val="22"/>
          <w:lang w:val="en-US" w:eastAsia="en-US"/>
        </w:rPr>
        <w:t xml:space="preserve">, </w:t>
      </w:r>
      <w:r w:rsidRPr="001F73F3">
        <w:rPr>
          <w:rFonts w:eastAsia="Calibri"/>
          <w:sz w:val="22"/>
          <w:szCs w:val="22"/>
          <w:lang w:val="en-US" w:eastAsia="en-US"/>
        </w:rPr>
        <w:t xml:space="preserve">and </w:t>
      </w:r>
      <w:r>
        <w:rPr>
          <w:rFonts w:eastAsia="Calibri"/>
          <w:sz w:val="22"/>
          <w:szCs w:val="22"/>
          <w:lang w:val="en-US" w:eastAsia="en-US"/>
        </w:rPr>
        <w:t>used by the science of bioinformatics.</w:t>
      </w:r>
    </w:p>
    <w:p w14:paraId="64390D6D" w14:textId="77777777" w:rsidR="00260C56" w:rsidRPr="00656B38" w:rsidRDefault="00E44098" w:rsidP="00656B38">
      <w:pPr>
        <w:keepNext/>
        <w:spacing w:after="120"/>
        <w:rPr>
          <w:rFonts w:eastAsia="Calibri"/>
          <w:sz w:val="22"/>
          <w:szCs w:val="22"/>
          <w:lang w:val="en-US" w:eastAsia="en-US"/>
        </w:rPr>
      </w:pPr>
      <w:r w:rsidRPr="000770CD">
        <w:rPr>
          <w:noProof/>
          <w:szCs w:val="22"/>
          <w:lang w:val="en-CA" w:eastAsia="en-CA"/>
        </w:rPr>
        <w:lastRenderedPageBreak/>
        <mc:AlternateContent>
          <mc:Choice Requires="wps">
            <w:drawing>
              <wp:anchor distT="114935" distB="114935" distL="114300" distR="114300" simplePos="0" relativeHeight="251700224" behindDoc="0" locked="0" layoutInCell="1" allowOverlap="1" wp14:anchorId="72781E15" wp14:editId="0526F2F5">
                <wp:simplePos x="0" y="0"/>
                <wp:positionH relativeFrom="column">
                  <wp:posOffset>25400</wp:posOffset>
                </wp:positionH>
                <wp:positionV relativeFrom="paragraph">
                  <wp:posOffset>4445</wp:posOffset>
                </wp:positionV>
                <wp:extent cx="5257800" cy="5611495"/>
                <wp:effectExtent l="0" t="0" r="19050" b="27305"/>
                <wp:wrapTopAndBottom/>
                <wp:docPr id="6" name="Text Box 6"/>
                <wp:cNvGraphicFramePr/>
                <a:graphic xmlns:a="http://schemas.openxmlformats.org/drawingml/2006/main">
                  <a:graphicData uri="http://schemas.microsoft.com/office/word/2010/wordprocessingShape">
                    <wps:wsp>
                      <wps:cNvSpPr txBox="1"/>
                      <wps:spPr>
                        <a:xfrm>
                          <a:off x="0" y="0"/>
                          <a:ext cx="5257800" cy="5611495"/>
                        </a:xfrm>
                        <a:prstGeom prst="rect">
                          <a:avLst/>
                        </a:prstGeom>
                        <a:ln w="12700" cmpd="sng"/>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2">
                          <a:schemeClr val="dk1"/>
                        </a:lnRef>
                        <a:fillRef idx="1">
                          <a:schemeClr val="lt1"/>
                        </a:fillRef>
                        <a:effectRef idx="0">
                          <a:schemeClr val="dk1"/>
                        </a:effectRef>
                        <a:fontRef idx="minor">
                          <a:schemeClr val="dk1"/>
                        </a:fontRef>
                      </wps:style>
                      <wps:txbx>
                        <w:txbxContent>
                          <w:p w14:paraId="2052EEDE" w14:textId="77777777" w:rsidR="00F63D94" w:rsidRDefault="00F63D94" w:rsidP="00E44098">
                            <w:r>
                              <w:rPr>
                                <w:noProof/>
                                <w:lang w:val="en-CA" w:eastAsia="en-CA"/>
                              </w:rPr>
                              <w:drawing>
                                <wp:inline distT="0" distB="0" distL="0" distR="0" wp14:anchorId="3FF2A84A" wp14:editId="5B2F083B">
                                  <wp:extent cx="5062220" cy="397319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it 2 living.jpg"/>
                                          <pic:cNvPicPr/>
                                        </pic:nvPicPr>
                                        <pic:blipFill>
                                          <a:blip r:embed="rId19">
                                            <a:extLst>
                                              <a:ext uri="{28A0092B-C50C-407E-A947-70E740481C1C}">
                                                <a14:useLocalDpi xmlns:a14="http://schemas.microsoft.com/office/drawing/2010/main" val="0"/>
                                              </a:ext>
                                            </a:extLst>
                                          </a:blip>
                                          <a:stretch>
                                            <a:fillRect/>
                                          </a:stretch>
                                        </pic:blipFill>
                                        <pic:spPr>
                                          <a:xfrm>
                                            <a:off x="0" y="0"/>
                                            <a:ext cx="5062220" cy="3973195"/>
                                          </a:xfrm>
                                          <a:prstGeom prst="rect">
                                            <a:avLst/>
                                          </a:prstGeom>
                                        </pic:spPr>
                                      </pic:pic>
                                    </a:graphicData>
                                  </a:graphic>
                                </wp:inline>
                              </w:drawing>
                            </w:r>
                          </w:p>
                          <w:p w14:paraId="28A27804" w14:textId="77777777" w:rsidR="00F63D94" w:rsidRDefault="00F63D94" w:rsidP="00E44098">
                            <w:pPr>
                              <w:rPr>
                                <w:sz w:val="22"/>
                              </w:rPr>
                            </w:pPr>
                            <w:r>
                              <w:rPr>
                                <w:b/>
                                <w:sz w:val="22"/>
                              </w:rPr>
                              <w:t>Figure 5</w:t>
                            </w:r>
                            <w:r w:rsidRPr="004824B5">
                              <w:rPr>
                                <w:sz w:val="22"/>
                              </w:rPr>
                              <w:t>. Moving information between digital and living worlds</w:t>
                            </w:r>
                            <w:r>
                              <w:rPr>
                                <w:sz w:val="22"/>
                              </w:rPr>
                              <w:br/>
                              <w:t>Note:</w:t>
                            </w:r>
                            <w:r w:rsidRPr="004824B5">
                              <w:rPr>
                                <w:sz w:val="22"/>
                              </w:rPr>
                              <w:t xml:space="preserve"> From top left, a cell or organism is a genetic resource from which </w:t>
                            </w:r>
                            <w:r>
                              <w:rPr>
                                <w:sz w:val="22"/>
                              </w:rPr>
                              <w:t>material such as genomic DNA (circle) is extracted</w:t>
                            </w:r>
                            <w:r w:rsidRPr="004824B5">
                              <w:rPr>
                                <w:sz w:val="22"/>
                              </w:rPr>
                              <w:t>. The order of bases in the genome is determined by sequencing and the information is stored as a digital sequence. The information may or may not be further modified and a new genome written, or a genome edited, using the digital information. The synthesized DNA is transferred to a living organism (e.g. yeast) for final assembly of large pieces and may be</w:t>
                            </w:r>
                            <w:r w:rsidRPr="004824B5">
                              <w:rPr>
                                <w:sz w:val="20"/>
                              </w:rPr>
                              <w:t xml:space="preserve"> </w:t>
                            </w:r>
                            <w:r w:rsidRPr="004824B5">
                              <w:rPr>
                                <w:sz w:val="22"/>
                              </w:rPr>
                              <w:t>further transferred to other cells to create a new genetic resource.</w:t>
                            </w:r>
                          </w:p>
                          <w:p w14:paraId="7BE30239" w14:textId="77777777" w:rsidR="00F63D94" w:rsidRPr="004824B5" w:rsidRDefault="00F63D94" w:rsidP="002D71D8">
                            <w:pPr>
                              <w:rPr>
                                <w:sz w:val="22"/>
                              </w:rPr>
                            </w:pPr>
                            <w:r w:rsidRPr="00345B9B">
                              <w:rPr>
                                <w:i/>
                                <w:sz w:val="22"/>
                              </w:rPr>
                              <w:t>Source:</w:t>
                            </w:r>
                            <w:r>
                              <w:rPr>
                                <w:sz w:val="22"/>
                              </w:rPr>
                              <w:t xml:space="preserve"> </w:t>
                            </w:r>
                            <w:r>
                              <w:rPr>
                                <w:sz w:val="22"/>
                              </w:rPr>
                              <w:fldChar w:fldCharType="begin"/>
                            </w:r>
                            <w:r>
                              <w:rPr>
                                <w:sz w:val="22"/>
                              </w:rPr>
                              <w:instrText xml:space="preserve"> ADDIN EN.CITE &lt;EndNote&gt;&lt;Cite&gt;&lt;Author&gt;Gibson&lt;/Author&gt;&lt;Year&gt;2014&lt;/Year&gt;&lt;RecNum&gt;46&lt;/RecNum&gt;&lt;DisplayText&gt;(Gibson, 2014)&lt;/DisplayText&gt;&lt;record&gt;&lt;rec-number&gt;46&lt;/rec-number&gt;&lt;foreign-keys&gt;&lt;key app="EN" db-id="vav00vdrjedrwre5xsc5vxpsx0fp9arstrrf" timestamp="1509420641"&gt;46&lt;/key&gt;&lt;/foreign-keys&gt;&lt;ref-type name="Journal Article"&gt;17&lt;/ref-type&gt;&lt;contributors&gt;&lt;authors&gt;&lt;author&gt;Gibson, D.G.&lt;/author&gt;&lt;/authors&gt;&lt;/contributors&gt;&lt;titles&gt;&lt;title&gt;Programming biological operating systems: genome design, assembly and activation&lt;/title&gt;&lt;secondary-title&gt;Nature Methods&lt;/secondary-title&gt;&lt;alt-title&gt;Nat Method&lt;/alt-title&gt;&lt;/titles&gt;&lt;periodical&gt;&lt;full-title&gt;Nature Methods&lt;/full-title&gt;&lt;abbr-1&gt;Nat Method&lt;/abbr-1&gt;&lt;/periodical&gt;&lt;alt-periodical&gt;&lt;full-title&gt;Nature Methods&lt;/full-title&gt;&lt;abbr-1&gt;Nat Method&lt;/abbr-1&gt;&lt;/alt-periodical&gt;&lt;pages&gt;521-526&lt;/pages&gt;&lt;volume&gt;11&lt;/volume&gt;&lt;dates&gt;&lt;year&gt;2014&lt;/year&gt;&lt;/dates&gt;&lt;urls&gt;&lt;/urls&gt;&lt;/record&gt;&lt;/Cite&gt;&lt;/EndNote&gt;</w:instrText>
                            </w:r>
                            <w:r>
                              <w:rPr>
                                <w:sz w:val="22"/>
                              </w:rPr>
                              <w:fldChar w:fldCharType="separate"/>
                            </w:r>
                            <w:r>
                              <w:rPr>
                                <w:noProof/>
                                <w:sz w:val="22"/>
                              </w:rPr>
                              <w:t>Gibson (2014)</w:t>
                            </w:r>
                            <w:r>
                              <w:rPr>
                                <w:sz w:val="22"/>
                              </w:rPr>
                              <w:fldChar w:fldCharType="end"/>
                            </w:r>
                            <w:r>
                              <w:rPr>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781E15" id="Text Box 6" o:spid="_x0000_s1030" type="#_x0000_t202" style="position:absolute;margin-left:2pt;margin-top:.35pt;width:414pt;height:441.85pt;z-index:251700224;visibility:visible;mso-wrap-style:square;mso-height-percent:0;mso-wrap-distance-left:9pt;mso-wrap-distance-top:9.05pt;mso-wrap-distance-right:9pt;mso-wrap-distance-bottom:9.05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WwOqwIAAIoFAAAOAAAAZHJzL2Uyb0RvYy54bWysVFtr2zAUfh/sPwi9p75gJ02oU9yUjEFp&#10;y9rRZ0WWEjNZ0iQldjb233ck22noyh7GXuyjc75zv1xdd41AB2ZsrWSBk4sYIyapqmq5LfDX5/Xk&#10;EiPriKyIUJIV+Mgsvl5+/HDV6gVL1U6JihkERqRdtLrAO+f0Ioos3bGG2AulmQQhV6YhDp5mG1WG&#10;tGC9EVEax9OoVabSRlFmLXBveyFeBvucM+oeOLfMIVFgiM2Frwnfjf9Gyyuy2BqidzUdwiD/EEVD&#10;aglOT6ZuiSNob+o/TDU1Ncoq7i6oaiLFeU1ZyAGySeI32TztiGYhFyiO1acy2f9nlt4fHg2qqwJP&#10;MZKkgRY9s86hG9Whqa9Oq+0CQE8aYK4DNnR55Ftg+qQ7bhr/h3QQyKHOx1NtvTEKzDzNZ5cxiCjI&#10;8mmSZPPc24le1bWx7hNTDfJEgQ00L9SUHO6s66EjxHsTErUQTDoLVhsNOVi57TsKXkHHo7z/0Iif&#10;q3yWlrN8PpmWeTLJkvhyUpZxOrldl3EZZ+vVPLv5NYQ06kc+/T7NQLmjYL3vL4xD2SCxNMQYBpat&#10;hEEHAqNWfQtFguSEBKRX4bUQJ6XkPSXhRqUBG+IPQ3xSjN9TfPXGRnTwqKQ7KTa1VObvyrzHQ0/O&#10;cvWk6zZdmJFs7PxGVUcYCKP6hbKarmto2h2x7pEY2CBoNFwF9wAfLhT0SQ0URjtlfrzH93gYbJBi&#10;1MJGQju/74lhGInPEkZ+nmSZX+HwyKCZ8DDnks25RO6blYJOJHB/NA2kxzsxktyo5gWOR+m9gohI&#10;Cr4L7EZy5fo7AceHsrIMIFhaTdydfNLUm/ZV9iP53L0Qo4e5dTA892rcXbJ4M7491mtKVe6d4nWY&#10;bV/nvqpD/WHhw3YMx8lflPN3QL2e0OVvAAAA//8DAFBLAwQUAAYACAAAACEAL4HZxdwAAAAGAQAA&#10;DwAAAGRycy9kb3ducmV2LnhtbEyPwU7DMBBE70j8g7VIvVGHJoIoxKmgVSVU9dLCgaMbb5Oo9jqK&#10;3Sb9e5YT3GY0q5m35XJyVlxxCJ0nBU/zBARS7U1HjYKvz81jDiJETUZbT6jghgGW1f1dqQvjR9rj&#10;9RAbwSUUCq2gjbEvpAx1i06Hue+RODv5wenIdmikGfTI5c7KRZI8S6c74oVW97hqsT4fLk7BNsXz&#10;d9qEXRhP7+mHSdY7u10rNXuY3l5BRJzi3zH84jM6VMx09BcyQVgFGX8SFbyA4DBPF2yPLPIsA1mV&#10;8j9+9QMAAP//AwBQSwECLQAUAAYACAAAACEAtoM4kv4AAADhAQAAEwAAAAAAAAAAAAAAAAAAAAAA&#10;W0NvbnRlbnRfVHlwZXNdLnhtbFBLAQItABQABgAIAAAAIQA4/SH/1gAAAJQBAAALAAAAAAAAAAAA&#10;AAAAAC8BAABfcmVscy8ucmVsc1BLAQItABQABgAIAAAAIQDwsWwOqwIAAIoFAAAOAAAAAAAAAAAA&#10;AAAAAC4CAABkcnMvZTJvRG9jLnhtbFBLAQItABQABgAIAAAAIQAvgdnF3AAAAAYBAAAPAAAAAAAA&#10;AAAAAAAAAAUFAABkcnMvZG93bnJldi54bWxQSwUGAAAAAAQABADzAAAADgYAAAAA&#10;" fillcolor="white [3201]" strokecolor="black [3200]" strokeweight="1pt">
                <v:textbox>
                  <w:txbxContent>
                    <w:p w14:paraId="2052EEDE" w14:textId="77777777" w:rsidR="00F63D94" w:rsidRDefault="00F63D94" w:rsidP="00E44098">
                      <w:r>
                        <w:rPr>
                          <w:noProof/>
                          <w:lang w:val="en-CA" w:eastAsia="en-CA"/>
                        </w:rPr>
                        <w:drawing>
                          <wp:inline distT="0" distB="0" distL="0" distR="0" wp14:anchorId="3FF2A84A" wp14:editId="5B2F083B">
                            <wp:extent cx="5062220" cy="397319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it 2 living.jpg"/>
                                    <pic:cNvPicPr/>
                                  </pic:nvPicPr>
                                  <pic:blipFill>
                                    <a:blip r:embed="rId19">
                                      <a:extLst>
                                        <a:ext uri="{28A0092B-C50C-407E-A947-70E740481C1C}">
                                          <a14:useLocalDpi xmlns:a14="http://schemas.microsoft.com/office/drawing/2010/main" val="0"/>
                                        </a:ext>
                                      </a:extLst>
                                    </a:blip>
                                    <a:stretch>
                                      <a:fillRect/>
                                    </a:stretch>
                                  </pic:blipFill>
                                  <pic:spPr>
                                    <a:xfrm>
                                      <a:off x="0" y="0"/>
                                      <a:ext cx="5062220" cy="3973195"/>
                                    </a:xfrm>
                                    <a:prstGeom prst="rect">
                                      <a:avLst/>
                                    </a:prstGeom>
                                  </pic:spPr>
                                </pic:pic>
                              </a:graphicData>
                            </a:graphic>
                          </wp:inline>
                        </w:drawing>
                      </w:r>
                    </w:p>
                    <w:p w14:paraId="28A27804" w14:textId="77777777" w:rsidR="00F63D94" w:rsidRDefault="00F63D94" w:rsidP="00E44098">
                      <w:pPr>
                        <w:rPr>
                          <w:sz w:val="22"/>
                        </w:rPr>
                      </w:pPr>
                      <w:r>
                        <w:rPr>
                          <w:b/>
                          <w:sz w:val="22"/>
                        </w:rPr>
                        <w:t>Figure 5</w:t>
                      </w:r>
                      <w:r w:rsidRPr="004824B5">
                        <w:rPr>
                          <w:sz w:val="22"/>
                        </w:rPr>
                        <w:t>. Moving information between digital and living worlds</w:t>
                      </w:r>
                      <w:r>
                        <w:rPr>
                          <w:sz w:val="22"/>
                        </w:rPr>
                        <w:br/>
                        <w:t>Note:</w:t>
                      </w:r>
                      <w:r w:rsidRPr="004824B5">
                        <w:rPr>
                          <w:sz w:val="22"/>
                        </w:rPr>
                        <w:t xml:space="preserve"> From top left, a cell or organism is a genetic resource from which </w:t>
                      </w:r>
                      <w:r>
                        <w:rPr>
                          <w:sz w:val="22"/>
                        </w:rPr>
                        <w:t>material such as genomic DNA (circle) is extracted</w:t>
                      </w:r>
                      <w:r w:rsidRPr="004824B5">
                        <w:rPr>
                          <w:sz w:val="22"/>
                        </w:rPr>
                        <w:t>. The order of bases in the genome is determined by sequencing and the information is stored as a digital sequence. The information may or may not be further modified and a new genome written, or a genome edited, using the digital information. The synthesized DNA is transferred to a living organism (e.g. yeast) for final assembly of large pieces and may be</w:t>
                      </w:r>
                      <w:r w:rsidRPr="004824B5">
                        <w:rPr>
                          <w:sz w:val="20"/>
                        </w:rPr>
                        <w:t xml:space="preserve"> </w:t>
                      </w:r>
                      <w:r w:rsidRPr="004824B5">
                        <w:rPr>
                          <w:sz w:val="22"/>
                        </w:rPr>
                        <w:t>further transferred to other cells to create a new genetic resource.</w:t>
                      </w:r>
                    </w:p>
                    <w:p w14:paraId="7BE30239" w14:textId="77777777" w:rsidR="00F63D94" w:rsidRPr="004824B5" w:rsidRDefault="00F63D94" w:rsidP="002D71D8">
                      <w:pPr>
                        <w:rPr>
                          <w:sz w:val="22"/>
                        </w:rPr>
                      </w:pPr>
                      <w:r w:rsidRPr="00345B9B">
                        <w:rPr>
                          <w:i/>
                          <w:sz w:val="22"/>
                        </w:rPr>
                        <w:t>Source:</w:t>
                      </w:r>
                      <w:r>
                        <w:rPr>
                          <w:sz w:val="22"/>
                        </w:rPr>
                        <w:t xml:space="preserve"> </w:t>
                      </w:r>
                      <w:r>
                        <w:rPr>
                          <w:sz w:val="22"/>
                        </w:rPr>
                        <w:fldChar w:fldCharType="begin"/>
                      </w:r>
                      <w:r>
                        <w:rPr>
                          <w:sz w:val="22"/>
                        </w:rPr>
                        <w:instrText xml:space="preserve"> ADDIN EN.CITE &lt;EndNote&gt;&lt;Cite&gt;&lt;Author&gt;Gibson&lt;/Author&gt;&lt;Year&gt;2014&lt;/Year&gt;&lt;RecNum&gt;46&lt;/RecNum&gt;&lt;DisplayText&gt;(Gibson, 2014)&lt;/DisplayText&gt;&lt;record&gt;&lt;rec-number&gt;46&lt;/rec-number&gt;&lt;foreign-keys&gt;&lt;key app="EN" db-id="vav00vdrjedrwre5xsc5vxpsx0fp9arstrrf" timestamp="1509420641"&gt;46&lt;/key&gt;&lt;/foreign-keys&gt;&lt;ref-type name="Journal Article"&gt;17&lt;/ref-type&gt;&lt;contributors&gt;&lt;authors&gt;&lt;author&gt;Gibson, D.G.&lt;/author&gt;&lt;/authors&gt;&lt;/contributors&gt;&lt;titles&gt;&lt;title&gt;Programming biological operating systems: genome design, assembly and activation&lt;/title&gt;&lt;secondary-title&gt;Nature Methods&lt;/secondary-title&gt;&lt;alt-title&gt;Nat Method&lt;/alt-title&gt;&lt;/titles&gt;&lt;periodical&gt;&lt;full-title&gt;Nature Methods&lt;/full-title&gt;&lt;abbr-1&gt;Nat Method&lt;/abbr-1&gt;&lt;/periodical&gt;&lt;alt-periodical&gt;&lt;full-title&gt;Nature Methods&lt;/full-title&gt;&lt;abbr-1&gt;Nat Method&lt;/abbr-1&gt;&lt;/alt-periodical&gt;&lt;pages&gt;521-526&lt;/pages&gt;&lt;volume&gt;11&lt;/volume&gt;&lt;dates&gt;&lt;year&gt;2014&lt;/year&gt;&lt;/dates&gt;&lt;urls&gt;&lt;/urls&gt;&lt;/record&gt;&lt;/Cite&gt;&lt;/EndNote&gt;</w:instrText>
                      </w:r>
                      <w:r>
                        <w:rPr>
                          <w:sz w:val="22"/>
                        </w:rPr>
                        <w:fldChar w:fldCharType="separate"/>
                      </w:r>
                      <w:r>
                        <w:rPr>
                          <w:noProof/>
                          <w:sz w:val="22"/>
                        </w:rPr>
                        <w:t>Gibson (2014)</w:t>
                      </w:r>
                      <w:r>
                        <w:rPr>
                          <w:sz w:val="22"/>
                        </w:rPr>
                        <w:fldChar w:fldCharType="end"/>
                      </w:r>
                      <w:r>
                        <w:rPr>
                          <w:sz w:val="22"/>
                        </w:rPr>
                        <w:t>.</w:t>
                      </w:r>
                    </w:p>
                  </w:txbxContent>
                </v:textbox>
                <w10:wrap type="topAndBottom"/>
              </v:shape>
            </w:pict>
          </mc:Fallback>
        </mc:AlternateContent>
      </w:r>
    </w:p>
    <w:p w14:paraId="7BC4FD90" w14:textId="77777777" w:rsidR="00842949" w:rsidRPr="00A43161" w:rsidRDefault="00A43161" w:rsidP="00EA1A53">
      <w:pPr>
        <w:pStyle w:val="TableEntry"/>
        <w:keepNext/>
        <w:spacing w:before="120" w:after="120"/>
        <w:rPr>
          <w:b/>
          <w:sz w:val="24"/>
          <w:szCs w:val="24"/>
        </w:rPr>
      </w:pPr>
      <w:r w:rsidRPr="00A43161">
        <w:rPr>
          <w:b/>
          <w:sz w:val="24"/>
          <w:szCs w:val="24"/>
        </w:rPr>
        <w:t>DSI carries information, as do genes</w:t>
      </w:r>
    </w:p>
    <w:p w14:paraId="4F407DE4" w14:textId="77777777" w:rsidR="00B31C79" w:rsidRPr="001D79B4" w:rsidRDefault="00B31C79" w:rsidP="001D79B4">
      <w:pPr>
        <w:shd w:val="clear" w:color="auto" w:fill="E0E0E0"/>
        <w:spacing w:after="120"/>
        <w:rPr>
          <w:rFonts w:eastAsia="Calibri"/>
          <w:sz w:val="20"/>
          <w:szCs w:val="22"/>
          <w:lang w:val="en-US" w:eastAsia="en-US"/>
        </w:rPr>
      </w:pPr>
      <w:r>
        <w:rPr>
          <w:rFonts w:eastAsia="Calibri"/>
          <w:sz w:val="20"/>
          <w:szCs w:val="22"/>
          <w:lang w:val="en-US" w:eastAsia="en-US"/>
        </w:rPr>
        <w:t>“</w:t>
      </w:r>
      <w:r w:rsidRPr="00B31C79">
        <w:rPr>
          <w:rFonts w:eastAsia="Calibri"/>
          <w:sz w:val="20"/>
          <w:szCs w:val="22"/>
          <w:lang w:val="en-US" w:eastAsia="en-US"/>
        </w:rPr>
        <w:t>Any biology textbook published within the last sixty years states as a fact that genes encode and transmit information. This statement derives from the mid-1940s, when biologists started to equate the activity of genes with a code that transmits instructions and governs all processes and features of living organisms, from respiration to eye color</w:t>
      </w:r>
      <w:r>
        <w:rPr>
          <w:rFonts w:eastAsia="Calibri"/>
          <w:sz w:val="20"/>
          <w:szCs w:val="22"/>
          <w:lang w:val="en-US" w:eastAsia="en-US"/>
        </w:rPr>
        <w:t xml:space="preserve">” </w:t>
      </w:r>
      <w:r w:rsidR="001C037C">
        <w:rPr>
          <w:rFonts w:eastAsia="Calibri"/>
          <w:noProof/>
          <w:sz w:val="20"/>
          <w:szCs w:val="22"/>
          <w:lang w:val="en-US" w:eastAsia="en-US"/>
        </w:rPr>
        <w:t>(García-Sancho, 2015)</w:t>
      </w:r>
      <w:r w:rsidRPr="00B31C79">
        <w:rPr>
          <w:rFonts w:eastAsia="Calibri"/>
          <w:sz w:val="20"/>
          <w:szCs w:val="22"/>
          <w:lang w:val="en-US" w:eastAsia="en-US"/>
        </w:rPr>
        <w:t>.</w:t>
      </w:r>
    </w:p>
    <w:p w14:paraId="782A61FA" w14:textId="77777777" w:rsidR="00842949" w:rsidRDefault="00842949" w:rsidP="00960AA3">
      <w:pPr>
        <w:keepNext/>
        <w:spacing w:after="120"/>
        <w:rPr>
          <w:rFonts w:eastAsia="Calibri"/>
          <w:sz w:val="22"/>
          <w:szCs w:val="22"/>
          <w:lang w:val="en-US" w:eastAsia="en-US"/>
        </w:rPr>
      </w:pPr>
      <w:r w:rsidRPr="00842949">
        <w:rPr>
          <w:rFonts w:eastAsia="Calibri"/>
          <w:sz w:val="22"/>
          <w:szCs w:val="22"/>
          <w:lang w:val="en-US" w:eastAsia="en-US"/>
        </w:rPr>
        <w:t>DSI</w:t>
      </w:r>
      <w:r w:rsidR="00EA1A53">
        <w:rPr>
          <w:rFonts w:eastAsia="Calibri"/>
          <w:sz w:val="22"/>
          <w:szCs w:val="22"/>
          <w:lang w:val="en-US" w:eastAsia="en-US"/>
        </w:rPr>
        <w:t xml:space="preserve"> has qualities that make it</w:t>
      </w:r>
      <w:r w:rsidR="006059FD">
        <w:rPr>
          <w:rFonts w:eastAsia="Calibri"/>
          <w:sz w:val="22"/>
          <w:szCs w:val="22"/>
          <w:lang w:val="en-US" w:eastAsia="en-US"/>
        </w:rPr>
        <w:t xml:space="preserve"> as different to text</w:t>
      </w:r>
      <w:r w:rsidRPr="00842949">
        <w:rPr>
          <w:rFonts w:eastAsia="Calibri"/>
          <w:sz w:val="22"/>
          <w:szCs w:val="22"/>
          <w:lang w:val="en-US" w:eastAsia="en-US"/>
        </w:rPr>
        <w:t xml:space="preserve"> as e</w:t>
      </w:r>
      <w:r w:rsidR="00E333D6">
        <w:rPr>
          <w:rFonts w:eastAsia="Calibri"/>
          <w:sz w:val="22"/>
          <w:szCs w:val="22"/>
          <w:lang w:val="en-US" w:eastAsia="en-US"/>
        </w:rPr>
        <w:t>-</w:t>
      </w:r>
      <w:r w:rsidRPr="00842949">
        <w:rPr>
          <w:rFonts w:eastAsia="Calibri"/>
          <w:sz w:val="22"/>
          <w:szCs w:val="22"/>
          <w:lang w:val="en-US" w:eastAsia="en-US"/>
        </w:rPr>
        <w:t>mail</w:t>
      </w:r>
      <w:r w:rsidR="00032069">
        <w:rPr>
          <w:rFonts w:eastAsia="Calibri"/>
          <w:sz w:val="22"/>
          <w:szCs w:val="22"/>
          <w:lang w:val="en-US" w:eastAsia="en-US"/>
        </w:rPr>
        <w:t xml:space="preserve"> is</w:t>
      </w:r>
      <w:r w:rsidRPr="00842949">
        <w:rPr>
          <w:rFonts w:eastAsia="Calibri"/>
          <w:sz w:val="22"/>
          <w:szCs w:val="22"/>
          <w:lang w:val="en-US" w:eastAsia="en-US"/>
        </w:rPr>
        <w:t xml:space="preserve"> to a handwritten letter. While at the interface a handwritten letter consisting of a string of letters appears the same as those letters displayed on a computer screen, the latter is supported by a large variety of unseen but essential information. Without the accompanying </w:t>
      </w:r>
      <w:r w:rsidR="00960AC0" w:rsidRPr="00842949">
        <w:rPr>
          <w:rFonts w:eastAsia="Calibri"/>
          <w:sz w:val="22"/>
          <w:szCs w:val="22"/>
          <w:lang w:val="en-US" w:eastAsia="en-US"/>
        </w:rPr>
        <w:t>algorithms</w:t>
      </w:r>
      <w:r w:rsidR="004D7A19">
        <w:rPr>
          <w:rFonts w:eastAsia="Calibri"/>
          <w:sz w:val="22"/>
          <w:szCs w:val="22"/>
          <w:lang w:val="en-US" w:eastAsia="en-US"/>
        </w:rPr>
        <w:t>, schema</w:t>
      </w:r>
      <w:r w:rsidRPr="00842949">
        <w:rPr>
          <w:rFonts w:eastAsia="Calibri"/>
          <w:sz w:val="22"/>
          <w:szCs w:val="22"/>
          <w:lang w:val="en-US" w:eastAsia="en-US"/>
        </w:rPr>
        <w:t xml:space="preserve"> and metadata, the string of letters would be meaningless even to the computer.</w:t>
      </w:r>
    </w:p>
    <w:p w14:paraId="0CFD9EF9" w14:textId="77777777" w:rsidR="00842949" w:rsidRPr="00842949" w:rsidRDefault="00842949" w:rsidP="00346BC6">
      <w:pPr>
        <w:spacing w:after="120"/>
        <w:rPr>
          <w:rFonts w:eastAsia="Calibri"/>
          <w:sz w:val="22"/>
          <w:szCs w:val="22"/>
          <w:lang w:val="en-US" w:eastAsia="en-US"/>
        </w:rPr>
      </w:pPr>
      <w:r w:rsidRPr="00842949">
        <w:rPr>
          <w:rFonts w:eastAsia="Calibri"/>
          <w:sz w:val="22"/>
          <w:szCs w:val="22"/>
          <w:lang w:val="en-US" w:eastAsia="en-US"/>
        </w:rPr>
        <w:t xml:space="preserve">It is tempting to imagine </w:t>
      </w:r>
      <w:r w:rsidR="00960AA3">
        <w:rPr>
          <w:rFonts w:eastAsia="Calibri"/>
          <w:sz w:val="22"/>
          <w:szCs w:val="22"/>
          <w:lang w:val="en-US" w:eastAsia="en-US"/>
        </w:rPr>
        <w:t>that a DNA sequencing machine</w:t>
      </w:r>
      <w:r w:rsidR="00960AC0">
        <w:rPr>
          <w:rFonts w:eastAsia="Calibri"/>
          <w:sz w:val="22"/>
          <w:szCs w:val="22"/>
          <w:lang w:val="en-US" w:eastAsia="en-US"/>
        </w:rPr>
        <w:t xml:space="preserve"> </w:t>
      </w:r>
      <w:r w:rsidR="00E333D6">
        <w:rPr>
          <w:rFonts w:eastAsia="Calibri"/>
          <w:sz w:val="22"/>
          <w:szCs w:val="22"/>
          <w:lang w:val="en-US" w:eastAsia="en-US"/>
        </w:rPr>
        <w:t>“</w:t>
      </w:r>
      <w:r w:rsidR="00960AC0">
        <w:rPr>
          <w:rFonts w:eastAsia="Calibri"/>
          <w:sz w:val="22"/>
          <w:szCs w:val="22"/>
          <w:lang w:val="en-US" w:eastAsia="en-US"/>
        </w:rPr>
        <w:t>sees</w:t>
      </w:r>
      <w:r w:rsidR="00E333D6">
        <w:rPr>
          <w:rFonts w:eastAsia="Calibri"/>
          <w:sz w:val="22"/>
          <w:szCs w:val="22"/>
          <w:lang w:val="en-US" w:eastAsia="en-US"/>
        </w:rPr>
        <w:t>”</w:t>
      </w:r>
      <w:r w:rsidRPr="00842949">
        <w:rPr>
          <w:rFonts w:eastAsia="Calibri"/>
          <w:sz w:val="22"/>
          <w:szCs w:val="22"/>
          <w:lang w:val="en-US" w:eastAsia="en-US"/>
        </w:rPr>
        <w:t xml:space="preserve"> the nucleotides in a molecule of DNA</w:t>
      </w:r>
      <w:r w:rsidR="00032069">
        <w:rPr>
          <w:rFonts w:eastAsia="Calibri"/>
          <w:sz w:val="22"/>
          <w:szCs w:val="22"/>
          <w:lang w:val="en-US" w:eastAsia="en-US"/>
        </w:rPr>
        <w:t>,</w:t>
      </w:r>
      <w:r w:rsidR="00032069" w:rsidRPr="00842949">
        <w:rPr>
          <w:rFonts w:eastAsia="Calibri"/>
          <w:sz w:val="22"/>
          <w:szCs w:val="22"/>
          <w:lang w:val="en-US" w:eastAsia="en-US"/>
        </w:rPr>
        <w:t xml:space="preserve"> such as TTATGCCAT</w:t>
      </w:r>
      <w:r w:rsidR="00032069">
        <w:rPr>
          <w:rFonts w:eastAsia="Calibri"/>
          <w:sz w:val="22"/>
          <w:szCs w:val="22"/>
          <w:lang w:val="en-US" w:eastAsia="en-US"/>
        </w:rPr>
        <w:t>,</w:t>
      </w:r>
      <w:r w:rsidRPr="00842949">
        <w:rPr>
          <w:rFonts w:eastAsia="Calibri"/>
          <w:sz w:val="22"/>
          <w:szCs w:val="22"/>
          <w:lang w:val="en-US" w:eastAsia="en-US"/>
        </w:rPr>
        <w:t xml:space="preserve"> and lists them off in order. However,</w:t>
      </w:r>
      <w:r w:rsidR="00960AA3">
        <w:rPr>
          <w:rFonts w:eastAsia="Calibri"/>
          <w:sz w:val="22"/>
          <w:szCs w:val="22"/>
          <w:lang w:val="en-US" w:eastAsia="en-US"/>
        </w:rPr>
        <w:t xml:space="preserve"> in reality</w:t>
      </w:r>
      <w:r w:rsidRPr="00842949">
        <w:rPr>
          <w:rFonts w:eastAsia="Calibri"/>
          <w:sz w:val="22"/>
          <w:szCs w:val="22"/>
          <w:lang w:val="en-US" w:eastAsia="en-US"/>
        </w:rPr>
        <w:t xml:space="preserve"> the machine generates </w:t>
      </w:r>
      <w:r w:rsidR="00C05470">
        <w:rPr>
          <w:rFonts w:eastAsia="Calibri"/>
          <w:sz w:val="22"/>
          <w:szCs w:val="22"/>
          <w:lang w:val="en-US" w:eastAsia="en-US"/>
        </w:rPr>
        <w:t>primary</w:t>
      </w:r>
      <w:r w:rsidRPr="00842949">
        <w:rPr>
          <w:rFonts w:eastAsia="Calibri"/>
          <w:sz w:val="22"/>
          <w:szCs w:val="22"/>
          <w:lang w:val="en-US" w:eastAsia="en-US"/>
        </w:rPr>
        <w:t xml:space="preserve"> data that </w:t>
      </w:r>
      <w:r w:rsidR="00AE4F9C">
        <w:rPr>
          <w:rFonts w:eastAsia="Calibri"/>
          <w:sz w:val="22"/>
          <w:szCs w:val="22"/>
          <w:lang w:val="en-US" w:eastAsia="en-US"/>
        </w:rPr>
        <w:t>are</w:t>
      </w:r>
      <w:r w:rsidRPr="00842949">
        <w:rPr>
          <w:rFonts w:eastAsia="Calibri"/>
          <w:sz w:val="22"/>
          <w:szCs w:val="22"/>
          <w:lang w:val="en-US" w:eastAsia="en-US"/>
        </w:rPr>
        <w:t xml:space="preserve"> transformed by sophisticated processes governed by underlying software</w:t>
      </w:r>
      <w:r w:rsidR="00757FD7">
        <w:rPr>
          <w:rFonts w:eastAsia="Calibri"/>
          <w:sz w:val="22"/>
          <w:szCs w:val="22"/>
          <w:lang w:val="en-US" w:eastAsia="en-US"/>
        </w:rPr>
        <w:t xml:space="preserve"> that automates</w:t>
      </w:r>
      <w:r w:rsidRPr="00842949">
        <w:rPr>
          <w:rFonts w:eastAsia="Calibri"/>
          <w:sz w:val="22"/>
          <w:szCs w:val="22"/>
          <w:lang w:val="en-US" w:eastAsia="en-US"/>
        </w:rPr>
        <w:t xml:space="preserve"> decisions about the chemical structures in the molecule. That is why each section of a genome i</w:t>
      </w:r>
      <w:r w:rsidR="00960AC0">
        <w:rPr>
          <w:rFonts w:eastAsia="Calibri"/>
          <w:sz w:val="22"/>
          <w:szCs w:val="22"/>
          <w:lang w:val="en-US" w:eastAsia="en-US"/>
        </w:rPr>
        <w:t xml:space="preserve">s sequenced many times (called </w:t>
      </w:r>
      <w:r w:rsidR="00E333D6">
        <w:rPr>
          <w:rFonts w:eastAsia="Calibri"/>
          <w:sz w:val="22"/>
          <w:szCs w:val="22"/>
          <w:lang w:val="en-US" w:eastAsia="en-US"/>
        </w:rPr>
        <w:t>“</w:t>
      </w:r>
      <w:r w:rsidR="00960AC0">
        <w:rPr>
          <w:rFonts w:eastAsia="Calibri"/>
          <w:sz w:val="22"/>
          <w:szCs w:val="22"/>
          <w:lang w:val="en-US" w:eastAsia="en-US"/>
        </w:rPr>
        <w:t>depth of read</w:t>
      </w:r>
      <w:r w:rsidR="00E333D6">
        <w:rPr>
          <w:rFonts w:eastAsia="Calibri"/>
          <w:sz w:val="22"/>
          <w:szCs w:val="22"/>
          <w:lang w:val="en-US" w:eastAsia="en-US"/>
        </w:rPr>
        <w:t>”</w:t>
      </w:r>
      <w:r w:rsidRPr="00842949">
        <w:rPr>
          <w:rFonts w:eastAsia="Calibri"/>
          <w:sz w:val="22"/>
          <w:szCs w:val="22"/>
          <w:lang w:val="en-US" w:eastAsia="en-US"/>
        </w:rPr>
        <w:t>) to increase the confidence in having identified the correct nucleotide at each location</w:t>
      </w:r>
      <w:r w:rsidR="00FC6152">
        <w:rPr>
          <w:rFonts w:eastAsia="Calibri"/>
          <w:sz w:val="22"/>
          <w:szCs w:val="22"/>
          <w:lang w:val="en-US" w:eastAsia="en-US"/>
        </w:rPr>
        <w:t xml:space="preserve"> and its relation to other nucleotides</w:t>
      </w:r>
      <w:r w:rsidRPr="00842949">
        <w:rPr>
          <w:rFonts w:eastAsia="Calibri"/>
          <w:sz w:val="22"/>
          <w:szCs w:val="22"/>
          <w:lang w:val="en-US" w:eastAsia="en-US"/>
        </w:rPr>
        <w:t>.</w:t>
      </w:r>
    </w:p>
    <w:p w14:paraId="78C86057" w14:textId="77777777" w:rsidR="00842949" w:rsidRPr="00842949" w:rsidRDefault="00842949" w:rsidP="00842949">
      <w:pPr>
        <w:spacing w:after="120"/>
        <w:rPr>
          <w:rFonts w:eastAsia="Calibri"/>
          <w:sz w:val="22"/>
          <w:szCs w:val="22"/>
          <w:lang w:val="en-US" w:eastAsia="en-US"/>
        </w:rPr>
      </w:pPr>
      <w:r w:rsidRPr="00842949">
        <w:rPr>
          <w:rFonts w:eastAsia="Calibri"/>
          <w:sz w:val="22"/>
          <w:szCs w:val="22"/>
          <w:lang w:val="en-US" w:eastAsia="en-US"/>
        </w:rPr>
        <w:lastRenderedPageBreak/>
        <w:t>To have meaning in relation to a trait, the string of letters of a DNA sequence must be read in a particular direction and that information is part of the</w:t>
      </w:r>
      <w:r w:rsidR="00A014D4">
        <w:rPr>
          <w:rFonts w:eastAsia="Calibri"/>
          <w:sz w:val="22"/>
          <w:szCs w:val="22"/>
          <w:lang w:val="en-US" w:eastAsia="en-US"/>
        </w:rPr>
        <w:t xml:space="preserve"> explicit or implicit</w:t>
      </w:r>
      <w:r w:rsidRPr="00842949">
        <w:rPr>
          <w:rFonts w:eastAsia="Calibri"/>
          <w:sz w:val="22"/>
          <w:szCs w:val="22"/>
          <w:lang w:val="en-US" w:eastAsia="en-US"/>
        </w:rPr>
        <w:t xml:space="preserve"> </w:t>
      </w:r>
      <w:r w:rsidR="00757FD7">
        <w:rPr>
          <w:rFonts w:eastAsia="Calibri"/>
          <w:sz w:val="22"/>
          <w:szCs w:val="22"/>
          <w:lang w:val="en-US" w:eastAsia="en-US"/>
        </w:rPr>
        <w:t>schema</w:t>
      </w:r>
      <w:r w:rsidR="004A7A34">
        <w:rPr>
          <w:rFonts w:eastAsia="Calibri"/>
          <w:sz w:val="22"/>
          <w:szCs w:val="22"/>
          <w:lang w:val="en-US" w:eastAsia="en-US"/>
        </w:rPr>
        <w:t>ta</w:t>
      </w:r>
      <w:r w:rsidRPr="00842949">
        <w:rPr>
          <w:rFonts w:eastAsia="Calibri"/>
          <w:sz w:val="22"/>
          <w:szCs w:val="22"/>
          <w:lang w:val="en-US" w:eastAsia="en-US"/>
        </w:rPr>
        <w:t xml:space="preserve"> of a database. The trait may be dependent on events that cannot be easily or fully predicted just from the DNA sequence, such as the number of post-transcriptional and post-translation modifications that occur between gene and trait.</w:t>
      </w:r>
    </w:p>
    <w:p w14:paraId="3A24D80D" w14:textId="77777777" w:rsidR="00D17BFD" w:rsidRDefault="00842949" w:rsidP="00D17BFD">
      <w:pPr>
        <w:spacing w:after="120"/>
        <w:rPr>
          <w:rFonts w:eastAsia="Calibri"/>
          <w:sz w:val="22"/>
          <w:szCs w:val="22"/>
          <w:lang w:val="en-US" w:eastAsia="en-US"/>
        </w:rPr>
      </w:pPr>
      <w:r w:rsidRPr="00842949">
        <w:rPr>
          <w:rFonts w:eastAsia="Calibri"/>
          <w:sz w:val="22"/>
          <w:szCs w:val="22"/>
          <w:lang w:val="en-US" w:eastAsia="en-US"/>
        </w:rPr>
        <w:t>Beyond the actual sequences of DNA and RNA</w:t>
      </w:r>
      <w:r w:rsidR="00E333D6">
        <w:rPr>
          <w:rFonts w:eastAsia="Calibri"/>
          <w:sz w:val="22"/>
          <w:szCs w:val="22"/>
          <w:lang w:val="en-US" w:eastAsia="en-US"/>
        </w:rPr>
        <w:t>,</w:t>
      </w:r>
      <w:r w:rsidRPr="00842949">
        <w:rPr>
          <w:rFonts w:eastAsia="Calibri"/>
          <w:sz w:val="22"/>
          <w:szCs w:val="22"/>
          <w:lang w:val="en-US" w:eastAsia="en-US"/>
        </w:rPr>
        <w:t xml:space="preserve"> additional DSI can take the form of counting the number of times a sequence occurs in a sample</w:t>
      </w:r>
      <w:r w:rsidR="002A33CB">
        <w:rPr>
          <w:rFonts w:eastAsia="Calibri"/>
          <w:sz w:val="22"/>
          <w:szCs w:val="22"/>
          <w:lang w:val="en-US" w:eastAsia="en-US"/>
        </w:rPr>
        <w:t xml:space="preserve"> or a genome (called copy number variation or CNV).</w:t>
      </w:r>
      <w:r w:rsidR="00D17BFD">
        <w:rPr>
          <w:rFonts w:eastAsia="Calibri"/>
          <w:sz w:val="22"/>
          <w:szCs w:val="22"/>
          <w:lang w:val="en-US" w:eastAsia="en-US"/>
        </w:rPr>
        <w:t xml:space="preserve"> These are large </w:t>
      </w:r>
      <w:r w:rsidR="00D17BFD" w:rsidRPr="00D17BFD">
        <w:rPr>
          <w:rFonts w:eastAsia="Calibri"/>
          <w:sz w:val="22"/>
          <w:szCs w:val="22"/>
          <w:lang w:val="en-US" w:eastAsia="en-US"/>
        </w:rPr>
        <w:t>gains or losses o</w:t>
      </w:r>
      <w:r w:rsidR="00D17BFD">
        <w:rPr>
          <w:rFonts w:eastAsia="Calibri"/>
          <w:sz w:val="22"/>
          <w:szCs w:val="22"/>
          <w:lang w:val="en-US" w:eastAsia="en-US"/>
        </w:rPr>
        <w:t xml:space="preserve">f genomic </w:t>
      </w:r>
      <w:r w:rsidR="00D17BFD" w:rsidRPr="00D17BFD">
        <w:rPr>
          <w:rFonts w:eastAsia="Calibri"/>
          <w:sz w:val="22"/>
          <w:szCs w:val="22"/>
          <w:lang w:val="en-US" w:eastAsia="en-US"/>
        </w:rPr>
        <w:t>DNA</w:t>
      </w:r>
      <w:r w:rsidR="00D17BFD">
        <w:rPr>
          <w:rFonts w:eastAsia="Calibri"/>
          <w:sz w:val="22"/>
          <w:szCs w:val="22"/>
          <w:lang w:val="en-US" w:eastAsia="en-US"/>
        </w:rPr>
        <w:t xml:space="preserve"> seen in comparisons of genomes of organisms in the same species. Along with other kinds of markers (e.g. SNPs), CNVs contribute to estimates of genetic variability and can explain significant differences in phenotypes.</w:t>
      </w:r>
      <w:r w:rsidR="001C7495">
        <w:rPr>
          <w:rStyle w:val="FootnoteReference"/>
          <w:rFonts w:eastAsia="Calibri"/>
          <w:lang w:val="en-US" w:eastAsia="en-US"/>
        </w:rPr>
        <w:footnoteReference w:id="9"/>
      </w:r>
    </w:p>
    <w:p w14:paraId="32813AAC" w14:textId="77777777" w:rsidR="00842949" w:rsidRPr="00842949" w:rsidRDefault="00842949" w:rsidP="00842949">
      <w:pPr>
        <w:spacing w:after="120"/>
        <w:rPr>
          <w:rFonts w:eastAsia="Calibri"/>
          <w:sz w:val="22"/>
          <w:szCs w:val="22"/>
          <w:lang w:val="en-US" w:eastAsia="en-US"/>
        </w:rPr>
      </w:pPr>
      <w:r w:rsidRPr="00842949">
        <w:rPr>
          <w:rFonts w:eastAsia="Calibri"/>
          <w:sz w:val="22"/>
          <w:szCs w:val="22"/>
          <w:lang w:val="en-US" w:eastAsia="en-US"/>
        </w:rPr>
        <w:t xml:space="preserve">In </w:t>
      </w:r>
      <w:r w:rsidR="00105DE3">
        <w:rPr>
          <w:rFonts w:eastAsia="Calibri"/>
          <w:sz w:val="22"/>
          <w:szCs w:val="22"/>
          <w:lang w:val="en-US" w:eastAsia="en-US"/>
        </w:rPr>
        <w:t>transcriptomics</w:t>
      </w:r>
      <w:r w:rsidRPr="00842949">
        <w:rPr>
          <w:rFonts w:eastAsia="Calibri"/>
          <w:sz w:val="22"/>
          <w:szCs w:val="22"/>
          <w:lang w:val="en-US" w:eastAsia="en-US"/>
        </w:rPr>
        <w:t xml:space="preserve"> the copy number for each sequence forms the basis for gene expression analysis and linking the contribution of</w:t>
      </w:r>
      <w:r w:rsidR="00105DE3">
        <w:rPr>
          <w:rFonts w:eastAsia="Calibri"/>
          <w:sz w:val="22"/>
          <w:szCs w:val="22"/>
          <w:lang w:val="en-US" w:eastAsia="en-US"/>
        </w:rPr>
        <w:t xml:space="preserve"> RNAs</w:t>
      </w:r>
      <w:r w:rsidRPr="00842949">
        <w:rPr>
          <w:rFonts w:eastAsia="Calibri"/>
          <w:sz w:val="22"/>
          <w:szCs w:val="22"/>
          <w:lang w:val="en-US" w:eastAsia="en-US"/>
        </w:rPr>
        <w:t xml:space="preserve"> to a quantitative trait. The number of copies of each amino acid sequence yields analogous data for proteins</w:t>
      </w:r>
      <w:r w:rsidR="00410D43">
        <w:rPr>
          <w:rFonts w:eastAsia="Calibri"/>
          <w:sz w:val="22"/>
          <w:szCs w:val="22"/>
          <w:lang w:val="en-US" w:eastAsia="en-US"/>
        </w:rPr>
        <w:t xml:space="preserve"> (</w:t>
      </w:r>
      <w:r w:rsidR="006239F0">
        <w:rPr>
          <w:rFonts w:eastAsia="Calibri"/>
          <w:sz w:val="22"/>
          <w:szCs w:val="22"/>
          <w:lang w:val="en-US" w:eastAsia="en-US"/>
        </w:rPr>
        <w:t>Figure 6</w:t>
      </w:r>
      <w:r w:rsidR="00757FD7" w:rsidRPr="00907D7C">
        <w:rPr>
          <w:rFonts w:eastAsia="Calibri"/>
          <w:sz w:val="22"/>
          <w:szCs w:val="22"/>
          <w:lang w:val="en-US" w:eastAsia="en-US"/>
        </w:rPr>
        <w:t>)</w:t>
      </w:r>
      <w:r w:rsidRPr="00842949">
        <w:rPr>
          <w:rFonts w:eastAsia="Calibri"/>
          <w:sz w:val="22"/>
          <w:szCs w:val="22"/>
          <w:lang w:val="en-US" w:eastAsia="en-US"/>
        </w:rPr>
        <w:t>.</w:t>
      </w:r>
    </w:p>
    <w:p w14:paraId="22B4AB0F" w14:textId="77777777" w:rsidR="00DA5A45" w:rsidRDefault="00535C14" w:rsidP="005968E4">
      <w:pPr>
        <w:spacing w:after="120"/>
        <w:rPr>
          <w:rFonts w:eastAsia="Calibri"/>
          <w:sz w:val="22"/>
          <w:szCs w:val="22"/>
          <w:lang w:val="en-US" w:eastAsia="en-US"/>
        </w:rPr>
      </w:pPr>
      <w:r w:rsidRPr="00535C14">
        <w:rPr>
          <w:rFonts w:eastAsia="Calibri"/>
          <w:iCs/>
          <w:sz w:val="22"/>
          <w:szCs w:val="22"/>
          <w:lang w:val="mi-NZ" w:eastAsia="en-US"/>
        </w:rPr>
        <w:t>It is these and other elements of information that enable DSI to encode GRFA information.</w:t>
      </w:r>
      <w:r w:rsidR="005968E4">
        <w:rPr>
          <w:rFonts w:eastAsia="Calibri"/>
          <w:iCs/>
          <w:sz w:val="22"/>
          <w:szCs w:val="22"/>
          <w:lang w:val="mi-NZ" w:eastAsia="en-US"/>
        </w:rPr>
        <w:t xml:space="preserve"> Transferability of information between media makes the different kinds of media interchangeable for storing the information,</w:t>
      </w:r>
      <w:r w:rsidR="005968E4" w:rsidRPr="005968E4">
        <w:rPr>
          <w:rFonts w:ascii="Arial" w:hAnsi="Arial" w:cs="Arial"/>
          <w:color w:val="222222"/>
          <w:sz w:val="19"/>
          <w:szCs w:val="19"/>
          <w:shd w:val="clear" w:color="auto" w:fill="FFFFFF"/>
          <w:lang w:val="mi-NZ" w:eastAsia="en-US"/>
        </w:rPr>
        <w:t xml:space="preserve"> </w:t>
      </w:r>
      <w:r w:rsidR="005968E4">
        <w:rPr>
          <w:rFonts w:eastAsia="Calibri"/>
          <w:iCs/>
          <w:sz w:val="22"/>
          <w:szCs w:val="22"/>
          <w:lang w:val="mi-NZ" w:eastAsia="en-US"/>
        </w:rPr>
        <w:t>allowing either</w:t>
      </w:r>
      <w:r w:rsidR="005968E4" w:rsidRPr="005968E4">
        <w:rPr>
          <w:rFonts w:eastAsia="Calibri"/>
          <w:iCs/>
          <w:sz w:val="22"/>
          <w:szCs w:val="22"/>
          <w:lang w:val="mi-NZ" w:eastAsia="en-US"/>
        </w:rPr>
        <w:t xml:space="preserve"> loss</w:t>
      </w:r>
      <w:r w:rsidR="00E333D6">
        <w:rPr>
          <w:rFonts w:eastAsia="Calibri"/>
          <w:iCs/>
          <w:sz w:val="22"/>
          <w:szCs w:val="22"/>
          <w:lang w:val="mi-NZ" w:eastAsia="en-US"/>
        </w:rPr>
        <w:t>-</w:t>
      </w:r>
      <w:r w:rsidR="005968E4" w:rsidRPr="005968E4">
        <w:rPr>
          <w:rFonts w:eastAsia="Calibri"/>
          <w:iCs/>
          <w:sz w:val="22"/>
          <w:szCs w:val="22"/>
          <w:lang w:val="mi-NZ" w:eastAsia="en-US"/>
        </w:rPr>
        <w:t>less transfer or transfer with known</w:t>
      </w:r>
      <w:r w:rsidR="005968E4">
        <w:rPr>
          <w:rFonts w:eastAsia="Calibri"/>
          <w:iCs/>
          <w:sz w:val="22"/>
          <w:szCs w:val="22"/>
          <w:lang w:val="mi-NZ" w:eastAsia="en-US"/>
        </w:rPr>
        <w:t xml:space="preserve"> amounts of</w:t>
      </w:r>
      <w:r w:rsidR="005968E4" w:rsidRPr="005968E4">
        <w:rPr>
          <w:rFonts w:eastAsia="Calibri"/>
          <w:iCs/>
          <w:sz w:val="22"/>
          <w:szCs w:val="22"/>
          <w:lang w:val="mi-NZ" w:eastAsia="en-US"/>
        </w:rPr>
        <w:t xml:space="preserve"> loss</w:t>
      </w:r>
      <w:r w:rsidR="00DA5A45">
        <w:rPr>
          <w:rFonts w:eastAsia="Calibri"/>
          <w:sz w:val="22"/>
          <w:szCs w:val="22"/>
          <w:lang w:val="en-US" w:eastAsia="en-US"/>
        </w:rPr>
        <w:t xml:space="preserve"> between media.</w:t>
      </w:r>
      <w:r w:rsidRPr="00535C14">
        <w:rPr>
          <w:rFonts w:ascii="Arial" w:hAnsi="Arial" w:cs="Arial"/>
          <w:i/>
          <w:iCs/>
          <w:color w:val="222222"/>
          <w:sz w:val="19"/>
          <w:szCs w:val="19"/>
          <w:shd w:val="clear" w:color="auto" w:fill="FFFFFF"/>
          <w:lang w:val="mi-NZ" w:eastAsia="en-US"/>
        </w:rPr>
        <w:t xml:space="preserve"> </w:t>
      </w:r>
    </w:p>
    <w:p w14:paraId="0813185F" w14:textId="77777777" w:rsidR="00216279" w:rsidRDefault="00535C14" w:rsidP="00842949">
      <w:pPr>
        <w:spacing w:after="120"/>
        <w:rPr>
          <w:rFonts w:eastAsia="Calibri"/>
          <w:iCs/>
          <w:sz w:val="22"/>
          <w:szCs w:val="22"/>
          <w:lang w:val="mi-NZ" w:eastAsia="en-US"/>
        </w:rPr>
      </w:pPr>
      <w:r w:rsidRPr="00535C14">
        <w:rPr>
          <w:rFonts w:eastAsia="Calibri"/>
          <w:iCs/>
          <w:sz w:val="22"/>
          <w:szCs w:val="22"/>
          <w:lang w:val="mi-NZ" w:eastAsia="en-US"/>
        </w:rPr>
        <w:t xml:space="preserve">These principles </w:t>
      </w:r>
      <w:r w:rsidR="00E333D6">
        <w:rPr>
          <w:rFonts w:eastAsia="Calibri"/>
          <w:iCs/>
          <w:sz w:val="22"/>
          <w:szCs w:val="22"/>
          <w:lang w:val="mi-NZ" w:eastAsia="en-US"/>
        </w:rPr>
        <w:t>underlie</w:t>
      </w:r>
      <w:r w:rsidR="00E333D6" w:rsidRPr="00535C14">
        <w:rPr>
          <w:rFonts w:eastAsia="Calibri"/>
          <w:iCs/>
          <w:sz w:val="22"/>
          <w:szCs w:val="22"/>
          <w:lang w:val="mi-NZ" w:eastAsia="en-US"/>
        </w:rPr>
        <w:t xml:space="preserve"> </w:t>
      </w:r>
      <w:r w:rsidRPr="00535C14">
        <w:rPr>
          <w:rFonts w:eastAsia="Calibri"/>
          <w:iCs/>
          <w:sz w:val="22"/>
          <w:szCs w:val="22"/>
          <w:lang w:val="mi-NZ" w:eastAsia="en-US"/>
        </w:rPr>
        <w:t>many common and familiar technologies, such as telephones. The human ear receives sound as waves propagated in the medium of air. Telephones do not transmit sound waves directly; telephone handsets</w:t>
      </w:r>
      <w:r>
        <w:rPr>
          <w:rFonts w:eastAsia="Calibri"/>
          <w:iCs/>
          <w:sz w:val="22"/>
          <w:szCs w:val="22"/>
          <w:lang w:val="mi-NZ" w:eastAsia="en-US"/>
        </w:rPr>
        <w:t xml:space="preserve"> transduce</w:t>
      </w:r>
      <w:r w:rsidRPr="00535C14">
        <w:rPr>
          <w:rFonts w:eastAsia="Calibri"/>
          <w:iCs/>
          <w:sz w:val="22"/>
          <w:szCs w:val="22"/>
          <w:lang w:val="mi-NZ" w:eastAsia="en-US"/>
        </w:rPr>
        <w:t xml:space="preserve"> the sound waves as electronic signals and encode them for transmission. These signals are then transmitted through the telephone network in various forms such as electrical or optical (light) si</w:t>
      </w:r>
      <w:r w:rsidR="00105DE3">
        <w:rPr>
          <w:rFonts w:eastAsia="Calibri"/>
          <w:iCs/>
          <w:sz w:val="22"/>
          <w:szCs w:val="22"/>
          <w:lang w:val="mi-NZ" w:eastAsia="en-US"/>
        </w:rPr>
        <w:t xml:space="preserve">gnals plus data about the call. </w:t>
      </w:r>
      <w:r w:rsidRPr="00535C14">
        <w:rPr>
          <w:rFonts w:eastAsia="Calibri"/>
          <w:iCs/>
          <w:sz w:val="22"/>
          <w:szCs w:val="22"/>
          <w:lang w:val="mi-NZ" w:eastAsia="en-US"/>
        </w:rPr>
        <w:t>The recipient</w:t>
      </w:r>
      <w:r w:rsidR="00105DE3">
        <w:rPr>
          <w:rFonts w:eastAsia="Calibri"/>
          <w:iCs/>
          <w:sz w:val="22"/>
          <w:szCs w:val="22"/>
          <w:lang w:val="mi-NZ" w:eastAsia="en-US"/>
        </w:rPr>
        <w:t>’</w:t>
      </w:r>
      <w:r w:rsidRPr="00535C14">
        <w:rPr>
          <w:rFonts w:eastAsia="Calibri"/>
          <w:iCs/>
          <w:sz w:val="22"/>
          <w:szCs w:val="22"/>
          <w:lang w:val="mi-NZ" w:eastAsia="en-US"/>
        </w:rPr>
        <w:t>s telephone then decodes and transduces these signals to create sound waves perceivable by the human ear. All of this is enabled by the use of structured formats and conventions.</w:t>
      </w:r>
    </w:p>
    <w:p w14:paraId="5F9AB7A5" w14:textId="77777777" w:rsidR="00315480" w:rsidRDefault="00315480" w:rsidP="00871CD0">
      <w:pPr>
        <w:spacing w:after="120"/>
        <w:rPr>
          <w:rFonts w:eastAsia="Calibri"/>
          <w:iCs/>
          <w:sz w:val="22"/>
          <w:szCs w:val="22"/>
          <w:lang w:val="mi-NZ" w:eastAsia="en-US"/>
        </w:rPr>
      </w:pPr>
      <w:r w:rsidRPr="00535C14">
        <w:rPr>
          <w:rFonts w:eastAsia="Calibri"/>
          <w:iCs/>
          <w:sz w:val="22"/>
          <w:szCs w:val="22"/>
          <w:lang w:val="mi-NZ" w:eastAsia="en-US"/>
        </w:rPr>
        <w:t>DSI is highly structured using formats and conventions</w:t>
      </w:r>
      <w:r>
        <w:rPr>
          <w:rFonts w:eastAsia="Calibri"/>
          <w:iCs/>
          <w:sz w:val="22"/>
          <w:szCs w:val="22"/>
          <w:lang w:val="mi-NZ" w:eastAsia="en-US"/>
        </w:rPr>
        <w:t xml:space="preserve"> with attributes beyond</w:t>
      </w:r>
      <w:r w:rsidRPr="00535C14">
        <w:rPr>
          <w:rFonts w:eastAsia="Calibri"/>
          <w:iCs/>
          <w:sz w:val="22"/>
          <w:szCs w:val="22"/>
          <w:lang w:val="mi-NZ" w:eastAsia="en-US"/>
        </w:rPr>
        <w:t xml:space="preserve"> simple and minimally structured text files</w:t>
      </w:r>
      <w:r>
        <w:rPr>
          <w:rFonts w:eastAsia="Calibri"/>
          <w:iCs/>
          <w:sz w:val="22"/>
          <w:szCs w:val="22"/>
          <w:lang w:val="mi-NZ" w:eastAsia="en-US"/>
        </w:rPr>
        <w:t>.</w:t>
      </w:r>
      <w:r>
        <w:rPr>
          <w:rFonts w:eastAsia="Calibri"/>
          <w:sz w:val="22"/>
          <w:szCs w:val="22"/>
          <w:lang w:val="en-US" w:eastAsia="en-US"/>
        </w:rPr>
        <w:t xml:space="preserve"> As with the technology supporting the layers of information necessary for a conversation over a telephone line, a database has content, schema</w:t>
      </w:r>
      <w:r w:rsidR="004A7A34">
        <w:rPr>
          <w:rFonts w:eastAsia="Calibri"/>
          <w:sz w:val="22"/>
          <w:szCs w:val="22"/>
          <w:lang w:val="en-US" w:eastAsia="en-US"/>
        </w:rPr>
        <w:t>ta</w:t>
      </w:r>
      <w:r>
        <w:rPr>
          <w:rFonts w:eastAsia="Calibri"/>
          <w:sz w:val="22"/>
          <w:szCs w:val="22"/>
          <w:lang w:val="en-US" w:eastAsia="en-US"/>
        </w:rPr>
        <w:t xml:space="preserve"> and meta-data, making it very different from a sequence of symbols as may be written on a piece of paper (Figure 6)</w:t>
      </w:r>
      <w:r w:rsidR="00E333D6">
        <w:rPr>
          <w:rFonts w:eastAsia="Calibri"/>
          <w:sz w:val="22"/>
          <w:szCs w:val="22"/>
          <w:lang w:val="en-US" w:eastAsia="en-US"/>
        </w:rPr>
        <w:t>.</w:t>
      </w:r>
      <w:r>
        <w:rPr>
          <w:rStyle w:val="FootnoteReference"/>
          <w:rFonts w:eastAsia="Calibri"/>
          <w:lang w:val="en-US" w:eastAsia="en-US"/>
        </w:rPr>
        <w:footnoteReference w:id="10"/>
      </w:r>
      <w:r>
        <w:rPr>
          <w:rFonts w:eastAsia="Calibri"/>
          <w:sz w:val="22"/>
          <w:szCs w:val="22"/>
          <w:lang w:val="en-US" w:eastAsia="en-US"/>
        </w:rPr>
        <w:t xml:space="preserve"> The database has organization that elevates the content from data to information. Schema</w:t>
      </w:r>
      <w:r w:rsidR="004A7A34">
        <w:rPr>
          <w:rFonts w:eastAsia="Calibri"/>
          <w:sz w:val="22"/>
          <w:szCs w:val="22"/>
          <w:lang w:val="en-US" w:eastAsia="en-US"/>
        </w:rPr>
        <w:t>ta</w:t>
      </w:r>
      <w:r>
        <w:rPr>
          <w:rFonts w:eastAsia="Calibri"/>
          <w:sz w:val="22"/>
          <w:szCs w:val="22"/>
          <w:lang w:val="en-US" w:eastAsia="en-US"/>
        </w:rPr>
        <w:t xml:space="preserve"> </w:t>
      </w:r>
      <w:r w:rsidRPr="002B6274">
        <w:rPr>
          <w:rFonts w:eastAsia="Calibri"/>
          <w:sz w:val="22"/>
          <w:szCs w:val="22"/>
          <w:lang w:val="mi-NZ" w:eastAsia="en-US"/>
        </w:rPr>
        <w:t xml:space="preserve">make it possible to navigate and act on the </w:t>
      </w:r>
      <w:r>
        <w:rPr>
          <w:rFonts w:eastAsia="Calibri"/>
          <w:sz w:val="22"/>
          <w:szCs w:val="22"/>
          <w:lang w:val="mi-NZ" w:eastAsia="en-US"/>
        </w:rPr>
        <w:t>content</w:t>
      </w:r>
      <w:r w:rsidRPr="002B6274">
        <w:rPr>
          <w:rFonts w:eastAsia="Calibri"/>
          <w:sz w:val="22"/>
          <w:szCs w:val="22"/>
          <w:lang w:val="mi-NZ" w:eastAsia="en-US"/>
        </w:rPr>
        <w:t xml:space="preserve"> </w:t>
      </w:r>
      <w:r>
        <w:rPr>
          <w:rFonts w:eastAsia="Calibri"/>
          <w:sz w:val="22"/>
          <w:szCs w:val="22"/>
          <w:lang w:val="mi-NZ" w:eastAsia="en-US"/>
        </w:rPr>
        <w:t>of</w:t>
      </w:r>
      <w:r w:rsidRPr="002B6274">
        <w:rPr>
          <w:rFonts w:eastAsia="Calibri"/>
          <w:sz w:val="22"/>
          <w:szCs w:val="22"/>
          <w:lang w:val="mi-NZ" w:eastAsia="en-US"/>
        </w:rPr>
        <w:t xml:space="preserve"> the database</w:t>
      </w:r>
      <w:r>
        <w:rPr>
          <w:rFonts w:eastAsia="Calibri"/>
          <w:sz w:val="22"/>
          <w:szCs w:val="22"/>
          <w:lang w:val="mi-NZ" w:eastAsia="en-US"/>
        </w:rPr>
        <w:t>. Various forms of meta-data</w:t>
      </w:r>
      <w:r w:rsidR="00871CD0">
        <w:rPr>
          <w:rFonts w:eastAsia="Calibri"/>
          <w:sz w:val="22"/>
          <w:szCs w:val="22"/>
          <w:lang w:val="mi-NZ" w:eastAsia="en-US"/>
        </w:rPr>
        <w:t xml:space="preserve"> –</w:t>
      </w:r>
      <w:r>
        <w:rPr>
          <w:rFonts w:eastAsia="Calibri"/>
          <w:sz w:val="22"/>
          <w:szCs w:val="22"/>
          <w:lang w:val="mi-NZ" w:eastAsia="en-US"/>
        </w:rPr>
        <w:t xml:space="preserve"> descriptive, structural and admin</w:t>
      </w:r>
      <w:r w:rsidR="00871CD0">
        <w:rPr>
          <w:rFonts w:eastAsia="Calibri"/>
          <w:sz w:val="22"/>
          <w:szCs w:val="22"/>
          <w:lang w:val="mi-NZ" w:eastAsia="en-US"/>
        </w:rPr>
        <w:t>i</w:t>
      </w:r>
      <w:r>
        <w:rPr>
          <w:rFonts w:eastAsia="Calibri"/>
          <w:sz w:val="22"/>
          <w:szCs w:val="22"/>
          <w:lang w:val="mi-NZ" w:eastAsia="en-US"/>
        </w:rPr>
        <w:t>strative</w:t>
      </w:r>
      <w:r w:rsidR="00871CD0">
        <w:rPr>
          <w:rFonts w:eastAsia="Calibri"/>
          <w:sz w:val="22"/>
          <w:szCs w:val="22"/>
          <w:lang w:val="mi-NZ" w:eastAsia="en-US"/>
        </w:rPr>
        <w:t xml:space="preserve"> –</w:t>
      </w:r>
      <w:r>
        <w:rPr>
          <w:rFonts w:eastAsia="Calibri"/>
          <w:sz w:val="22"/>
          <w:szCs w:val="22"/>
          <w:lang w:val="mi-NZ" w:eastAsia="en-US"/>
        </w:rPr>
        <w:t xml:space="preserve"> provide context.</w:t>
      </w:r>
    </w:p>
    <w:p w14:paraId="4D842B8D" w14:textId="77777777" w:rsidR="00576281" w:rsidRDefault="00315480" w:rsidP="00871CD0">
      <w:pPr>
        <w:spacing w:after="120"/>
        <w:rPr>
          <w:rFonts w:eastAsia="Calibri"/>
          <w:sz w:val="22"/>
          <w:szCs w:val="22"/>
          <w:lang w:val="en-US" w:eastAsia="en-US"/>
        </w:rPr>
      </w:pPr>
      <w:r w:rsidRPr="000770CD">
        <w:rPr>
          <w:noProof/>
          <w:szCs w:val="22"/>
          <w:lang w:val="en-CA" w:eastAsia="en-CA"/>
        </w:rPr>
        <w:lastRenderedPageBreak/>
        <mc:AlternateContent>
          <mc:Choice Requires="wps">
            <w:drawing>
              <wp:anchor distT="114935" distB="114935" distL="114300" distR="114300" simplePos="0" relativeHeight="251684864" behindDoc="0" locked="0" layoutInCell="1" allowOverlap="1" wp14:anchorId="42436710" wp14:editId="2ED5A449">
                <wp:simplePos x="0" y="0"/>
                <wp:positionH relativeFrom="column">
                  <wp:posOffset>24130</wp:posOffset>
                </wp:positionH>
                <wp:positionV relativeFrom="paragraph">
                  <wp:posOffset>232410</wp:posOffset>
                </wp:positionV>
                <wp:extent cx="5143500" cy="6807200"/>
                <wp:effectExtent l="0" t="0" r="19050" b="12700"/>
                <wp:wrapTopAndBottom/>
                <wp:docPr id="30" name="Text Box 30"/>
                <wp:cNvGraphicFramePr/>
                <a:graphic xmlns:a="http://schemas.openxmlformats.org/drawingml/2006/main">
                  <a:graphicData uri="http://schemas.microsoft.com/office/word/2010/wordprocessingShape">
                    <wps:wsp>
                      <wps:cNvSpPr txBox="1"/>
                      <wps:spPr>
                        <a:xfrm>
                          <a:off x="0" y="0"/>
                          <a:ext cx="5143500" cy="6807200"/>
                        </a:xfrm>
                        <a:prstGeom prst="rect">
                          <a:avLst/>
                        </a:prstGeom>
                        <a:ln w="12700" cmpd="sng"/>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2">
                          <a:schemeClr val="dk1"/>
                        </a:lnRef>
                        <a:fillRef idx="1">
                          <a:schemeClr val="lt1"/>
                        </a:fillRef>
                        <a:effectRef idx="0">
                          <a:schemeClr val="dk1"/>
                        </a:effectRef>
                        <a:fontRef idx="minor">
                          <a:schemeClr val="dk1"/>
                        </a:fontRef>
                      </wps:style>
                      <wps:txbx>
                        <w:txbxContent>
                          <w:tbl>
                            <w:tblPr>
                              <w:tblW w:w="7813" w:type="dxa"/>
                              <w:tblInd w:w="93" w:type="dxa"/>
                              <w:tblLayout w:type="fixed"/>
                              <w:tblLook w:val="04A0" w:firstRow="1" w:lastRow="0" w:firstColumn="1" w:lastColumn="0" w:noHBand="0" w:noVBand="1"/>
                            </w:tblPr>
                            <w:tblGrid>
                              <w:gridCol w:w="2993"/>
                              <w:gridCol w:w="992"/>
                              <w:gridCol w:w="2835"/>
                              <w:gridCol w:w="993"/>
                            </w:tblGrid>
                            <w:tr w:rsidR="00F63D94" w:rsidRPr="008C21D6" w14:paraId="39F51740" w14:textId="77777777" w:rsidTr="008C21D6">
                              <w:trPr>
                                <w:trHeight w:val="320"/>
                              </w:trPr>
                              <w:tc>
                                <w:tcPr>
                                  <w:tcW w:w="2993" w:type="dxa"/>
                                  <w:tcBorders>
                                    <w:top w:val="nil"/>
                                    <w:left w:val="nil"/>
                                    <w:bottom w:val="nil"/>
                                    <w:right w:val="nil"/>
                                  </w:tcBorders>
                                  <w:shd w:val="clear" w:color="auto" w:fill="auto"/>
                                  <w:noWrap/>
                                  <w:vAlign w:val="bottom"/>
                                  <w:hideMark/>
                                </w:tcPr>
                                <w:p w14:paraId="7F1BBD10"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Information field </w:t>
                                  </w:r>
                                </w:p>
                              </w:tc>
                              <w:tc>
                                <w:tcPr>
                                  <w:tcW w:w="992" w:type="dxa"/>
                                  <w:tcBorders>
                                    <w:top w:val="nil"/>
                                    <w:left w:val="nil"/>
                                    <w:bottom w:val="nil"/>
                                    <w:right w:val="nil"/>
                                  </w:tcBorders>
                                  <w:shd w:val="clear" w:color="auto" w:fill="auto"/>
                                  <w:noWrap/>
                                  <w:vAlign w:val="bottom"/>
                                  <w:hideMark/>
                                </w:tcPr>
                                <w:p w14:paraId="6631036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Entries </w:t>
                                  </w:r>
                                </w:p>
                              </w:tc>
                              <w:tc>
                                <w:tcPr>
                                  <w:tcW w:w="2835" w:type="dxa"/>
                                  <w:tcBorders>
                                    <w:top w:val="nil"/>
                                    <w:left w:val="nil"/>
                                    <w:bottom w:val="nil"/>
                                    <w:right w:val="nil"/>
                                  </w:tcBorders>
                                  <w:shd w:val="clear" w:color="auto" w:fill="auto"/>
                                  <w:noWrap/>
                                  <w:vAlign w:val="bottom"/>
                                  <w:hideMark/>
                                </w:tcPr>
                                <w:p w14:paraId="015C522D"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Information field </w:t>
                                  </w:r>
                                </w:p>
                              </w:tc>
                              <w:tc>
                                <w:tcPr>
                                  <w:tcW w:w="993" w:type="dxa"/>
                                  <w:tcBorders>
                                    <w:top w:val="nil"/>
                                    <w:left w:val="nil"/>
                                    <w:bottom w:val="nil"/>
                                    <w:right w:val="nil"/>
                                  </w:tcBorders>
                                  <w:shd w:val="clear" w:color="auto" w:fill="auto"/>
                                  <w:noWrap/>
                                  <w:vAlign w:val="bottom"/>
                                  <w:hideMark/>
                                </w:tcPr>
                                <w:p w14:paraId="4DC92DF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Entries </w:t>
                                  </w:r>
                                </w:p>
                              </w:tc>
                            </w:tr>
                            <w:tr w:rsidR="00F63D94" w:rsidRPr="008C21D6" w14:paraId="0BB6E0AE" w14:textId="77777777" w:rsidTr="008C21D6">
                              <w:trPr>
                                <w:trHeight w:val="320"/>
                              </w:trPr>
                              <w:tc>
                                <w:tcPr>
                                  <w:tcW w:w="3985" w:type="dxa"/>
                                  <w:gridSpan w:val="2"/>
                                  <w:tcBorders>
                                    <w:top w:val="nil"/>
                                    <w:left w:val="nil"/>
                                    <w:bottom w:val="nil"/>
                                    <w:right w:val="nil"/>
                                  </w:tcBorders>
                                  <w:shd w:val="clear" w:color="auto" w:fill="auto"/>
                                  <w:noWrap/>
                                  <w:vAlign w:val="bottom"/>
                                  <w:hideMark/>
                                </w:tcPr>
                                <w:p w14:paraId="0A89D23D"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Enzyme nomenclature </w:t>
                                  </w:r>
                                </w:p>
                              </w:tc>
                              <w:tc>
                                <w:tcPr>
                                  <w:tcW w:w="2835" w:type="dxa"/>
                                  <w:tcBorders>
                                    <w:top w:val="nil"/>
                                    <w:left w:val="nil"/>
                                    <w:bottom w:val="nil"/>
                                    <w:right w:val="nil"/>
                                  </w:tcBorders>
                                  <w:shd w:val="clear" w:color="auto" w:fill="auto"/>
                                  <w:noWrap/>
                                  <w:vAlign w:val="bottom"/>
                                  <w:hideMark/>
                                </w:tcPr>
                                <w:p w14:paraId="6453156C"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Functional parameters </w:t>
                                  </w:r>
                                </w:p>
                              </w:tc>
                              <w:tc>
                                <w:tcPr>
                                  <w:tcW w:w="993" w:type="dxa"/>
                                  <w:tcBorders>
                                    <w:top w:val="nil"/>
                                    <w:left w:val="nil"/>
                                    <w:bottom w:val="nil"/>
                                    <w:right w:val="nil"/>
                                  </w:tcBorders>
                                  <w:shd w:val="clear" w:color="auto" w:fill="auto"/>
                                  <w:noWrap/>
                                  <w:vAlign w:val="bottom"/>
                                  <w:hideMark/>
                                </w:tcPr>
                                <w:p w14:paraId="6269B0F7" w14:textId="77777777" w:rsidR="00F63D94" w:rsidRPr="008C21D6" w:rsidRDefault="00F63D94" w:rsidP="008C21D6">
                                  <w:pPr>
                                    <w:rPr>
                                      <w:bCs/>
                                      <w:color w:val="2A2A2A"/>
                                      <w:sz w:val="22"/>
                                      <w:szCs w:val="22"/>
                                      <w:lang w:val="mi-NZ" w:eastAsia="en-US"/>
                                    </w:rPr>
                                  </w:pPr>
                                </w:p>
                              </w:tc>
                            </w:tr>
                            <w:tr w:rsidR="00F63D94" w:rsidRPr="008C21D6" w14:paraId="611A9AAE" w14:textId="77777777" w:rsidTr="008C21D6">
                              <w:trPr>
                                <w:trHeight w:val="360"/>
                              </w:trPr>
                              <w:tc>
                                <w:tcPr>
                                  <w:tcW w:w="2993" w:type="dxa"/>
                                  <w:tcBorders>
                                    <w:top w:val="nil"/>
                                    <w:left w:val="nil"/>
                                    <w:bottom w:val="nil"/>
                                    <w:right w:val="nil"/>
                                  </w:tcBorders>
                                  <w:shd w:val="clear" w:color="auto" w:fill="auto"/>
                                  <w:noWrap/>
                                  <w:vAlign w:val="bottom"/>
                                  <w:hideMark/>
                                </w:tcPr>
                                <w:p w14:paraId="01D62ABD"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EC number </w:t>
                                  </w:r>
                                </w:p>
                              </w:tc>
                              <w:tc>
                                <w:tcPr>
                                  <w:tcW w:w="992" w:type="dxa"/>
                                  <w:tcBorders>
                                    <w:top w:val="nil"/>
                                    <w:left w:val="nil"/>
                                    <w:bottom w:val="nil"/>
                                    <w:right w:val="nil"/>
                                  </w:tcBorders>
                                  <w:shd w:val="clear" w:color="auto" w:fill="auto"/>
                                  <w:noWrap/>
                                  <w:vAlign w:val="bottom"/>
                                  <w:hideMark/>
                                </w:tcPr>
                                <w:p w14:paraId="103238A1"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w:t>
                                  </w:r>
                                  <w:r>
                                    <w:rPr>
                                      <w:bCs/>
                                      <w:color w:val="2A2A2A"/>
                                      <w:sz w:val="22"/>
                                      <w:szCs w:val="22"/>
                                      <w:lang w:val="mi-NZ" w:eastAsia="en-US"/>
                                    </w:rPr>
                                    <w:t xml:space="preserve"> </w:t>
                                  </w:r>
                                  <w:r w:rsidRPr="008C21D6">
                                    <w:rPr>
                                      <w:bCs/>
                                      <w:color w:val="2A2A2A"/>
                                      <w:sz w:val="22"/>
                                      <w:szCs w:val="22"/>
                                      <w:lang w:val="mi-NZ" w:eastAsia="en-US"/>
                                    </w:rPr>
                                    <w:t>869 </w:t>
                                  </w:r>
                                </w:p>
                              </w:tc>
                              <w:tc>
                                <w:tcPr>
                                  <w:tcW w:w="2835" w:type="dxa"/>
                                  <w:tcBorders>
                                    <w:top w:val="nil"/>
                                    <w:left w:val="nil"/>
                                    <w:bottom w:val="nil"/>
                                    <w:right w:val="nil"/>
                                  </w:tcBorders>
                                  <w:shd w:val="clear" w:color="auto" w:fill="auto"/>
                                  <w:noWrap/>
                                  <w:vAlign w:val="bottom"/>
                                  <w:hideMark/>
                                </w:tcPr>
                                <w:p w14:paraId="71B33328" w14:textId="77777777" w:rsidR="00F63D94" w:rsidRPr="008C21D6" w:rsidRDefault="00F63D94" w:rsidP="008C21D6">
                                  <w:pPr>
                                    <w:rPr>
                                      <w:bCs/>
                                      <w:i/>
                                      <w:iCs/>
                                      <w:color w:val="2A2A2A"/>
                                      <w:sz w:val="22"/>
                                      <w:szCs w:val="22"/>
                                      <w:lang w:val="mi-NZ" w:eastAsia="en-US"/>
                                    </w:rPr>
                                  </w:pPr>
                                  <w:r w:rsidRPr="008C21D6">
                                    <w:rPr>
                                      <w:bCs/>
                                      <w:i/>
                                      <w:iCs/>
                                      <w:color w:val="2A2A2A"/>
                                      <w:sz w:val="22"/>
                                      <w:szCs w:val="22"/>
                                      <w:lang w:val="mi-NZ" w:eastAsia="en-US"/>
                                    </w:rPr>
                                    <w:t>K</w:t>
                                  </w:r>
                                  <w:r w:rsidRPr="008C21D6">
                                    <w:rPr>
                                      <w:bCs/>
                                      <w:color w:val="2A2A2A"/>
                                      <w:sz w:val="22"/>
                                      <w:szCs w:val="22"/>
                                      <w:vertAlign w:val="subscript"/>
                                      <w:lang w:val="mi-NZ" w:eastAsia="en-US"/>
                                    </w:rPr>
                                    <w:t>m</w:t>
                                  </w:r>
                                  <w:r w:rsidRPr="008C21D6">
                                    <w:rPr>
                                      <w:bCs/>
                                      <w:color w:val="2A2A2A"/>
                                      <w:sz w:val="22"/>
                                      <w:szCs w:val="22"/>
                                      <w:lang w:val="mi-NZ" w:eastAsia="en-US"/>
                                    </w:rPr>
                                    <w:t> value </w:t>
                                  </w:r>
                                </w:p>
                              </w:tc>
                              <w:tc>
                                <w:tcPr>
                                  <w:tcW w:w="993" w:type="dxa"/>
                                  <w:tcBorders>
                                    <w:top w:val="nil"/>
                                    <w:left w:val="nil"/>
                                    <w:bottom w:val="nil"/>
                                    <w:right w:val="nil"/>
                                  </w:tcBorders>
                                  <w:shd w:val="clear" w:color="auto" w:fill="auto"/>
                                  <w:noWrap/>
                                  <w:vAlign w:val="bottom"/>
                                  <w:hideMark/>
                                </w:tcPr>
                                <w:p w14:paraId="02BE7EFE"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28 134 </w:t>
                                  </w:r>
                                </w:p>
                              </w:tc>
                            </w:tr>
                            <w:tr w:rsidR="00F63D94" w:rsidRPr="008C21D6" w14:paraId="7F61BADB" w14:textId="77777777" w:rsidTr="008C21D6">
                              <w:trPr>
                                <w:trHeight w:val="320"/>
                              </w:trPr>
                              <w:tc>
                                <w:tcPr>
                                  <w:tcW w:w="2993" w:type="dxa"/>
                                  <w:tcBorders>
                                    <w:top w:val="nil"/>
                                    <w:left w:val="nil"/>
                                    <w:bottom w:val="nil"/>
                                    <w:right w:val="nil"/>
                                  </w:tcBorders>
                                  <w:shd w:val="clear" w:color="auto" w:fill="auto"/>
                                  <w:noWrap/>
                                  <w:vAlign w:val="bottom"/>
                                  <w:hideMark/>
                                </w:tcPr>
                                <w:p w14:paraId="54ACFF32"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Recommended name </w:t>
                                  </w:r>
                                </w:p>
                              </w:tc>
                              <w:tc>
                                <w:tcPr>
                                  <w:tcW w:w="992" w:type="dxa"/>
                                  <w:tcBorders>
                                    <w:top w:val="nil"/>
                                    <w:left w:val="nil"/>
                                    <w:bottom w:val="nil"/>
                                    <w:right w:val="nil"/>
                                  </w:tcBorders>
                                  <w:shd w:val="clear" w:color="auto" w:fill="auto"/>
                                  <w:noWrap/>
                                  <w:vAlign w:val="bottom"/>
                                  <w:hideMark/>
                                </w:tcPr>
                                <w:p w14:paraId="0BC706EC"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w:t>
                                  </w:r>
                                  <w:r>
                                    <w:rPr>
                                      <w:bCs/>
                                      <w:color w:val="2A2A2A"/>
                                      <w:sz w:val="22"/>
                                      <w:szCs w:val="22"/>
                                      <w:lang w:val="mi-NZ" w:eastAsia="en-US"/>
                                    </w:rPr>
                                    <w:t xml:space="preserve"> </w:t>
                                  </w:r>
                                  <w:r w:rsidRPr="008C21D6">
                                    <w:rPr>
                                      <w:bCs/>
                                      <w:color w:val="2A2A2A"/>
                                      <w:sz w:val="22"/>
                                      <w:szCs w:val="22"/>
                                      <w:lang w:val="mi-NZ" w:eastAsia="en-US"/>
                                    </w:rPr>
                                    <w:t>509 </w:t>
                                  </w:r>
                                </w:p>
                              </w:tc>
                              <w:tc>
                                <w:tcPr>
                                  <w:tcW w:w="2835" w:type="dxa"/>
                                  <w:tcBorders>
                                    <w:top w:val="nil"/>
                                    <w:left w:val="nil"/>
                                    <w:bottom w:val="nil"/>
                                    <w:right w:val="nil"/>
                                  </w:tcBorders>
                                  <w:shd w:val="clear" w:color="auto" w:fill="auto"/>
                                  <w:noWrap/>
                                  <w:vAlign w:val="bottom"/>
                                  <w:hideMark/>
                                </w:tcPr>
                                <w:p w14:paraId="6D613278"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Turnover number </w:t>
                                  </w:r>
                                </w:p>
                              </w:tc>
                              <w:tc>
                                <w:tcPr>
                                  <w:tcW w:w="993" w:type="dxa"/>
                                  <w:tcBorders>
                                    <w:top w:val="nil"/>
                                    <w:left w:val="nil"/>
                                    <w:bottom w:val="nil"/>
                                    <w:right w:val="nil"/>
                                  </w:tcBorders>
                                  <w:shd w:val="clear" w:color="auto" w:fill="auto"/>
                                  <w:noWrap/>
                                  <w:vAlign w:val="bottom"/>
                                  <w:hideMark/>
                                </w:tcPr>
                                <w:p w14:paraId="44DA224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w:t>
                                  </w:r>
                                  <w:r>
                                    <w:rPr>
                                      <w:bCs/>
                                      <w:color w:val="2A2A2A"/>
                                      <w:sz w:val="22"/>
                                      <w:szCs w:val="22"/>
                                      <w:lang w:val="mi-NZ" w:eastAsia="en-US"/>
                                    </w:rPr>
                                    <w:t xml:space="preserve"> </w:t>
                                  </w:r>
                                  <w:r w:rsidRPr="008C21D6">
                                    <w:rPr>
                                      <w:bCs/>
                                      <w:color w:val="2A2A2A"/>
                                      <w:sz w:val="22"/>
                                      <w:szCs w:val="22"/>
                                      <w:lang w:val="mi-NZ" w:eastAsia="en-US"/>
                                    </w:rPr>
                                    <w:t>986 </w:t>
                                  </w:r>
                                </w:p>
                              </w:tc>
                            </w:tr>
                            <w:tr w:rsidR="00F63D94" w:rsidRPr="008C21D6" w14:paraId="449BD250" w14:textId="77777777" w:rsidTr="008C21D6">
                              <w:trPr>
                                <w:trHeight w:val="320"/>
                              </w:trPr>
                              <w:tc>
                                <w:tcPr>
                                  <w:tcW w:w="2993" w:type="dxa"/>
                                  <w:tcBorders>
                                    <w:top w:val="nil"/>
                                    <w:left w:val="nil"/>
                                    <w:bottom w:val="nil"/>
                                    <w:right w:val="nil"/>
                                  </w:tcBorders>
                                  <w:shd w:val="clear" w:color="auto" w:fill="auto"/>
                                  <w:noWrap/>
                                  <w:vAlign w:val="bottom"/>
                                  <w:hideMark/>
                                </w:tcPr>
                                <w:p w14:paraId="634A652F"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Systematic name </w:t>
                                  </w:r>
                                </w:p>
                              </w:tc>
                              <w:tc>
                                <w:tcPr>
                                  <w:tcW w:w="992" w:type="dxa"/>
                                  <w:tcBorders>
                                    <w:top w:val="nil"/>
                                    <w:left w:val="nil"/>
                                    <w:bottom w:val="nil"/>
                                    <w:right w:val="nil"/>
                                  </w:tcBorders>
                                  <w:shd w:val="clear" w:color="auto" w:fill="auto"/>
                                  <w:noWrap/>
                                  <w:vAlign w:val="bottom"/>
                                  <w:hideMark/>
                                </w:tcPr>
                                <w:p w14:paraId="38189F35"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w:t>
                                  </w:r>
                                  <w:r>
                                    <w:rPr>
                                      <w:bCs/>
                                      <w:color w:val="2A2A2A"/>
                                      <w:sz w:val="22"/>
                                      <w:szCs w:val="22"/>
                                      <w:lang w:val="mi-NZ" w:eastAsia="en-US"/>
                                    </w:rPr>
                                    <w:t xml:space="preserve"> </w:t>
                                  </w:r>
                                  <w:r w:rsidRPr="008C21D6">
                                    <w:rPr>
                                      <w:bCs/>
                                      <w:color w:val="2A2A2A"/>
                                      <w:sz w:val="22"/>
                                      <w:szCs w:val="22"/>
                                      <w:lang w:val="mi-NZ" w:eastAsia="en-US"/>
                                    </w:rPr>
                                    <w:t>182 </w:t>
                                  </w:r>
                                </w:p>
                              </w:tc>
                              <w:tc>
                                <w:tcPr>
                                  <w:tcW w:w="2835" w:type="dxa"/>
                                  <w:tcBorders>
                                    <w:top w:val="nil"/>
                                    <w:left w:val="nil"/>
                                    <w:bottom w:val="nil"/>
                                    <w:right w:val="nil"/>
                                  </w:tcBorders>
                                  <w:shd w:val="clear" w:color="auto" w:fill="auto"/>
                                  <w:noWrap/>
                                  <w:vAlign w:val="bottom"/>
                                  <w:hideMark/>
                                </w:tcPr>
                                <w:p w14:paraId="23A073A5"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Specific activity </w:t>
                                  </w:r>
                                </w:p>
                              </w:tc>
                              <w:tc>
                                <w:tcPr>
                                  <w:tcW w:w="993" w:type="dxa"/>
                                  <w:tcBorders>
                                    <w:top w:val="nil"/>
                                    <w:left w:val="nil"/>
                                    <w:bottom w:val="nil"/>
                                    <w:right w:val="nil"/>
                                  </w:tcBorders>
                                  <w:shd w:val="clear" w:color="auto" w:fill="auto"/>
                                  <w:noWrap/>
                                  <w:vAlign w:val="bottom"/>
                                  <w:hideMark/>
                                </w:tcPr>
                                <w:p w14:paraId="5D814E0B"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11 787 </w:t>
                                  </w:r>
                                </w:p>
                              </w:tc>
                            </w:tr>
                            <w:tr w:rsidR="00F63D94" w:rsidRPr="008C21D6" w14:paraId="3557CB85" w14:textId="77777777" w:rsidTr="008C21D6">
                              <w:trPr>
                                <w:trHeight w:val="320"/>
                              </w:trPr>
                              <w:tc>
                                <w:tcPr>
                                  <w:tcW w:w="2993" w:type="dxa"/>
                                  <w:tcBorders>
                                    <w:top w:val="nil"/>
                                    <w:left w:val="nil"/>
                                    <w:bottom w:val="nil"/>
                                    <w:right w:val="nil"/>
                                  </w:tcBorders>
                                  <w:shd w:val="clear" w:color="auto" w:fill="auto"/>
                                  <w:noWrap/>
                                  <w:vAlign w:val="bottom"/>
                                  <w:hideMark/>
                                </w:tcPr>
                                <w:p w14:paraId="28E02A7E"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Synonyms </w:t>
                                  </w:r>
                                </w:p>
                              </w:tc>
                              <w:tc>
                                <w:tcPr>
                                  <w:tcW w:w="992" w:type="dxa"/>
                                  <w:tcBorders>
                                    <w:top w:val="nil"/>
                                    <w:left w:val="nil"/>
                                    <w:bottom w:val="nil"/>
                                    <w:right w:val="nil"/>
                                  </w:tcBorders>
                                  <w:shd w:val="clear" w:color="auto" w:fill="auto"/>
                                  <w:noWrap/>
                                  <w:vAlign w:val="bottom"/>
                                  <w:hideMark/>
                                </w:tcPr>
                                <w:p w14:paraId="3ACAFF09"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17 707 </w:t>
                                  </w:r>
                                </w:p>
                              </w:tc>
                              <w:tc>
                                <w:tcPr>
                                  <w:tcW w:w="2835" w:type="dxa"/>
                                  <w:tcBorders>
                                    <w:top w:val="nil"/>
                                    <w:left w:val="nil"/>
                                    <w:bottom w:val="nil"/>
                                    <w:right w:val="nil"/>
                                  </w:tcBorders>
                                  <w:shd w:val="clear" w:color="auto" w:fill="auto"/>
                                  <w:noWrap/>
                                  <w:vAlign w:val="bottom"/>
                                  <w:hideMark/>
                                </w:tcPr>
                                <w:p w14:paraId="18A6DF41"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pH optimum </w:t>
                                  </w:r>
                                </w:p>
                              </w:tc>
                              <w:tc>
                                <w:tcPr>
                                  <w:tcW w:w="993" w:type="dxa"/>
                                  <w:tcBorders>
                                    <w:top w:val="nil"/>
                                    <w:left w:val="nil"/>
                                    <w:bottom w:val="nil"/>
                                    <w:right w:val="nil"/>
                                  </w:tcBorders>
                                  <w:shd w:val="clear" w:color="auto" w:fill="auto"/>
                                  <w:noWrap/>
                                  <w:vAlign w:val="bottom"/>
                                  <w:hideMark/>
                                </w:tcPr>
                                <w:p w14:paraId="54CF7211"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14 037 </w:t>
                                  </w:r>
                                </w:p>
                              </w:tc>
                            </w:tr>
                            <w:tr w:rsidR="00F63D94" w:rsidRPr="008C21D6" w14:paraId="2B2ACA53" w14:textId="77777777" w:rsidTr="008C21D6">
                              <w:trPr>
                                <w:trHeight w:val="320"/>
                              </w:trPr>
                              <w:tc>
                                <w:tcPr>
                                  <w:tcW w:w="2993" w:type="dxa"/>
                                  <w:tcBorders>
                                    <w:top w:val="nil"/>
                                    <w:left w:val="nil"/>
                                    <w:bottom w:val="nil"/>
                                    <w:right w:val="nil"/>
                                  </w:tcBorders>
                                  <w:shd w:val="clear" w:color="auto" w:fill="auto"/>
                                  <w:noWrap/>
                                  <w:vAlign w:val="bottom"/>
                                  <w:hideMark/>
                                </w:tcPr>
                                <w:p w14:paraId="042782E3"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CAS registry number </w:t>
                                  </w:r>
                                </w:p>
                              </w:tc>
                              <w:tc>
                                <w:tcPr>
                                  <w:tcW w:w="992" w:type="dxa"/>
                                  <w:tcBorders>
                                    <w:top w:val="nil"/>
                                    <w:left w:val="nil"/>
                                    <w:bottom w:val="nil"/>
                                    <w:right w:val="nil"/>
                                  </w:tcBorders>
                                  <w:shd w:val="clear" w:color="auto" w:fill="auto"/>
                                  <w:noWrap/>
                                  <w:vAlign w:val="bottom"/>
                                  <w:hideMark/>
                                </w:tcPr>
                                <w:p w14:paraId="7AD50292"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w:t>
                                  </w:r>
                                  <w:r>
                                    <w:rPr>
                                      <w:bCs/>
                                      <w:color w:val="2A2A2A"/>
                                      <w:sz w:val="22"/>
                                      <w:szCs w:val="22"/>
                                      <w:lang w:val="mi-NZ" w:eastAsia="en-US"/>
                                    </w:rPr>
                                    <w:t xml:space="preserve"> </w:t>
                                  </w:r>
                                  <w:r w:rsidRPr="008C21D6">
                                    <w:rPr>
                                      <w:bCs/>
                                      <w:color w:val="2A2A2A"/>
                                      <w:sz w:val="22"/>
                                      <w:szCs w:val="22"/>
                                      <w:lang w:val="mi-NZ" w:eastAsia="en-US"/>
                                    </w:rPr>
                                    <w:t>552 </w:t>
                                  </w:r>
                                </w:p>
                              </w:tc>
                              <w:tc>
                                <w:tcPr>
                                  <w:tcW w:w="2835" w:type="dxa"/>
                                  <w:tcBorders>
                                    <w:top w:val="nil"/>
                                    <w:left w:val="nil"/>
                                    <w:bottom w:val="nil"/>
                                    <w:right w:val="nil"/>
                                  </w:tcBorders>
                                  <w:shd w:val="clear" w:color="auto" w:fill="auto"/>
                                  <w:noWrap/>
                                  <w:vAlign w:val="bottom"/>
                                  <w:hideMark/>
                                </w:tcPr>
                                <w:p w14:paraId="58D09F83"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pH range </w:t>
                                  </w:r>
                                </w:p>
                              </w:tc>
                              <w:tc>
                                <w:tcPr>
                                  <w:tcW w:w="993" w:type="dxa"/>
                                  <w:tcBorders>
                                    <w:top w:val="nil"/>
                                    <w:left w:val="nil"/>
                                    <w:bottom w:val="nil"/>
                                    <w:right w:val="nil"/>
                                  </w:tcBorders>
                                  <w:shd w:val="clear" w:color="auto" w:fill="auto"/>
                                  <w:noWrap/>
                                  <w:vAlign w:val="bottom"/>
                                  <w:hideMark/>
                                </w:tcPr>
                                <w:p w14:paraId="568443D3"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w:t>
                                  </w:r>
                                  <w:r>
                                    <w:rPr>
                                      <w:bCs/>
                                      <w:color w:val="2A2A2A"/>
                                      <w:sz w:val="22"/>
                                      <w:szCs w:val="22"/>
                                      <w:lang w:val="mi-NZ" w:eastAsia="en-US"/>
                                    </w:rPr>
                                    <w:t xml:space="preserve"> </w:t>
                                  </w:r>
                                  <w:r w:rsidRPr="008C21D6">
                                    <w:rPr>
                                      <w:bCs/>
                                      <w:color w:val="2A2A2A"/>
                                      <w:sz w:val="22"/>
                                      <w:szCs w:val="22"/>
                                      <w:lang w:val="mi-NZ" w:eastAsia="en-US"/>
                                    </w:rPr>
                                    <w:t>929 </w:t>
                                  </w:r>
                                </w:p>
                              </w:tc>
                            </w:tr>
                            <w:tr w:rsidR="00F63D94" w:rsidRPr="008C21D6" w14:paraId="46728C1C" w14:textId="77777777" w:rsidTr="008C21D6">
                              <w:trPr>
                                <w:trHeight w:val="320"/>
                              </w:trPr>
                              <w:tc>
                                <w:tcPr>
                                  <w:tcW w:w="2993" w:type="dxa"/>
                                  <w:tcBorders>
                                    <w:top w:val="nil"/>
                                    <w:left w:val="nil"/>
                                    <w:bottom w:val="nil"/>
                                    <w:right w:val="nil"/>
                                  </w:tcBorders>
                                  <w:shd w:val="clear" w:color="auto" w:fill="auto"/>
                                  <w:noWrap/>
                                  <w:vAlign w:val="bottom"/>
                                  <w:hideMark/>
                                </w:tcPr>
                                <w:p w14:paraId="23A08F5F"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Reaction  </w:t>
                                  </w:r>
                                </w:p>
                              </w:tc>
                              <w:tc>
                                <w:tcPr>
                                  <w:tcW w:w="992" w:type="dxa"/>
                                  <w:tcBorders>
                                    <w:top w:val="nil"/>
                                    <w:left w:val="nil"/>
                                    <w:bottom w:val="nil"/>
                                    <w:right w:val="nil"/>
                                  </w:tcBorders>
                                  <w:shd w:val="clear" w:color="auto" w:fill="auto"/>
                                  <w:noWrap/>
                                  <w:vAlign w:val="bottom"/>
                                  <w:hideMark/>
                                </w:tcPr>
                                <w:p w14:paraId="61A8F259"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w:t>
                                  </w:r>
                                  <w:r>
                                    <w:rPr>
                                      <w:bCs/>
                                      <w:color w:val="2A2A2A"/>
                                      <w:sz w:val="22"/>
                                      <w:szCs w:val="22"/>
                                      <w:lang w:val="mi-NZ" w:eastAsia="en-US"/>
                                    </w:rPr>
                                    <w:t xml:space="preserve"> </w:t>
                                  </w:r>
                                  <w:r w:rsidRPr="008C21D6">
                                    <w:rPr>
                                      <w:bCs/>
                                      <w:color w:val="2A2A2A"/>
                                      <w:sz w:val="22"/>
                                      <w:szCs w:val="22"/>
                                      <w:lang w:val="mi-NZ" w:eastAsia="en-US"/>
                                    </w:rPr>
                                    <w:t>518 </w:t>
                                  </w:r>
                                </w:p>
                              </w:tc>
                              <w:tc>
                                <w:tcPr>
                                  <w:tcW w:w="2835" w:type="dxa"/>
                                  <w:tcBorders>
                                    <w:top w:val="nil"/>
                                    <w:left w:val="nil"/>
                                    <w:bottom w:val="nil"/>
                                    <w:right w:val="nil"/>
                                  </w:tcBorders>
                                  <w:shd w:val="clear" w:color="auto" w:fill="auto"/>
                                  <w:noWrap/>
                                  <w:vAlign w:val="bottom"/>
                                  <w:hideMark/>
                                </w:tcPr>
                                <w:p w14:paraId="29661B12"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Temperature optimum </w:t>
                                  </w:r>
                                </w:p>
                              </w:tc>
                              <w:tc>
                                <w:tcPr>
                                  <w:tcW w:w="993" w:type="dxa"/>
                                  <w:tcBorders>
                                    <w:top w:val="nil"/>
                                    <w:left w:val="nil"/>
                                    <w:bottom w:val="nil"/>
                                    <w:right w:val="nil"/>
                                  </w:tcBorders>
                                  <w:shd w:val="clear" w:color="auto" w:fill="auto"/>
                                  <w:noWrap/>
                                  <w:vAlign w:val="bottom"/>
                                  <w:hideMark/>
                                </w:tcPr>
                                <w:p w14:paraId="4D295A1B"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6</w:t>
                                  </w:r>
                                  <w:r>
                                    <w:rPr>
                                      <w:bCs/>
                                      <w:color w:val="2A2A2A"/>
                                      <w:sz w:val="22"/>
                                      <w:szCs w:val="22"/>
                                      <w:lang w:val="mi-NZ" w:eastAsia="en-US"/>
                                    </w:rPr>
                                    <w:t xml:space="preserve"> </w:t>
                                  </w:r>
                                  <w:r w:rsidRPr="008C21D6">
                                    <w:rPr>
                                      <w:bCs/>
                                      <w:color w:val="2A2A2A"/>
                                      <w:sz w:val="22"/>
                                      <w:szCs w:val="22"/>
                                      <w:lang w:val="mi-NZ" w:eastAsia="en-US"/>
                                    </w:rPr>
                                    <w:t>147 </w:t>
                                  </w:r>
                                </w:p>
                              </w:tc>
                            </w:tr>
                            <w:tr w:rsidR="00F63D94" w:rsidRPr="008C21D6" w14:paraId="68200217" w14:textId="77777777" w:rsidTr="008C21D6">
                              <w:trPr>
                                <w:trHeight w:val="320"/>
                              </w:trPr>
                              <w:tc>
                                <w:tcPr>
                                  <w:tcW w:w="2993" w:type="dxa"/>
                                  <w:tcBorders>
                                    <w:top w:val="nil"/>
                                    <w:left w:val="nil"/>
                                    <w:bottom w:val="nil"/>
                                    <w:right w:val="nil"/>
                                  </w:tcBorders>
                                  <w:shd w:val="clear" w:color="auto" w:fill="auto"/>
                                  <w:noWrap/>
                                  <w:vAlign w:val="bottom"/>
                                  <w:hideMark/>
                                </w:tcPr>
                                <w:p w14:paraId="3375E0E5"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Reaction type </w:t>
                                  </w:r>
                                </w:p>
                              </w:tc>
                              <w:tc>
                                <w:tcPr>
                                  <w:tcW w:w="992" w:type="dxa"/>
                                  <w:tcBorders>
                                    <w:top w:val="nil"/>
                                    <w:left w:val="nil"/>
                                    <w:bottom w:val="nil"/>
                                    <w:right w:val="nil"/>
                                  </w:tcBorders>
                                  <w:shd w:val="clear" w:color="auto" w:fill="auto"/>
                                  <w:noWrap/>
                                  <w:vAlign w:val="bottom"/>
                                  <w:hideMark/>
                                </w:tcPr>
                                <w:p w14:paraId="4C41790C"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4</w:t>
                                  </w:r>
                                  <w:r>
                                    <w:rPr>
                                      <w:bCs/>
                                      <w:color w:val="2A2A2A"/>
                                      <w:sz w:val="22"/>
                                      <w:szCs w:val="22"/>
                                      <w:lang w:val="mi-NZ" w:eastAsia="en-US"/>
                                    </w:rPr>
                                    <w:t xml:space="preserve"> </w:t>
                                  </w:r>
                                  <w:r w:rsidRPr="008C21D6">
                                    <w:rPr>
                                      <w:bCs/>
                                      <w:color w:val="2A2A2A"/>
                                      <w:sz w:val="22"/>
                                      <w:szCs w:val="22"/>
                                      <w:lang w:val="mi-NZ" w:eastAsia="en-US"/>
                                    </w:rPr>
                                    <w:t>123 </w:t>
                                  </w:r>
                                </w:p>
                              </w:tc>
                              <w:tc>
                                <w:tcPr>
                                  <w:tcW w:w="2835" w:type="dxa"/>
                                  <w:tcBorders>
                                    <w:top w:val="nil"/>
                                    <w:left w:val="nil"/>
                                    <w:bottom w:val="nil"/>
                                    <w:right w:val="nil"/>
                                  </w:tcBorders>
                                  <w:shd w:val="clear" w:color="auto" w:fill="auto"/>
                                  <w:noWrap/>
                                  <w:vAlign w:val="bottom"/>
                                  <w:hideMark/>
                                </w:tcPr>
                                <w:p w14:paraId="06CDA29F"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Temperature range </w:t>
                                  </w:r>
                                </w:p>
                              </w:tc>
                              <w:tc>
                                <w:tcPr>
                                  <w:tcW w:w="993" w:type="dxa"/>
                                  <w:tcBorders>
                                    <w:top w:val="nil"/>
                                    <w:left w:val="nil"/>
                                    <w:bottom w:val="nil"/>
                                    <w:right w:val="nil"/>
                                  </w:tcBorders>
                                  <w:shd w:val="clear" w:color="auto" w:fill="auto"/>
                                  <w:noWrap/>
                                  <w:vAlign w:val="bottom"/>
                                  <w:hideMark/>
                                </w:tcPr>
                                <w:p w14:paraId="19E4586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908 </w:t>
                                  </w:r>
                                </w:p>
                              </w:tc>
                            </w:tr>
                            <w:tr w:rsidR="00F63D94" w:rsidRPr="008C21D6" w14:paraId="4285EF84" w14:textId="77777777" w:rsidTr="008C21D6">
                              <w:trPr>
                                <w:trHeight w:val="320"/>
                              </w:trPr>
                              <w:tc>
                                <w:tcPr>
                                  <w:tcW w:w="3985" w:type="dxa"/>
                                  <w:gridSpan w:val="2"/>
                                  <w:tcBorders>
                                    <w:top w:val="nil"/>
                                    <w:left w:val="nil"/>
                                    <w:bottom w:val="nil"/>
                                    <w:right w:val="nil"/>
                                  </w:tcBorders>
                                  <w:shd w:val="clear" w:color="auto" w:fill="auto"/>
                                  <w:noWrap/>
                                  <w:vAlign w:val="bottom"/>
                                  <w:hideMark/>
                                </w:tcPr>
                                <w:p w14:paraId="2EFD1FAC"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Enzyme structure </w:t>
                                  </w:r>
                                </w:p>
                              </w:tc>
                              <w:tc>
                                <w:tcPr>
                                  <w:tcW w:w="2835" w:type="dxa"/>
                                  <w:tcBorders>
                                    <w:top w:val="nil"/>
                                    <w:left w:val="nil"/>
                                    <w:bottom w:val="nil"/>
                                    <w:right w:val="nil"/>
                                  </w:tcBorders>
                                  <w:shd w:val="clear" w:color="auto" w:fill="auto"/>
                                  <w:noWrap/>
                                  <w:vAlign w:val="bottom"/>
                                  <w:hideMark/>
                                </w:tcPr>
                                <w:p w14:paraId="3FB4D1DE"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Molecular properties </w:t>
                                  </w:r>
                                </w:p>
                              </w:tc>
                              <w:tc>
                                <w:tcPr>
                                  <w:tcW w:w="993" w:type="dxa"/>
                                  <w:tcBorders>
                                    <w:top w:val="nil"/>
                                    <w:left w:val="nil"/>
                                    <w:bottom w:val="nil"/>
                                    <w:right w:val="nil"/>
                                  </w:tcBorders>
                                  <w:shd w:val="clear" w:color="auto" w:fill="auto"/>
                                  <w:noWrap/>
                                  <w:vAlign w:val="bottom"/>
                                  <w:hideMark/>
                                </w:tcPr>
                                <w:p w14:paraId="16E3F6F6" w14:textId="77777777" w:rsidR="00F63D94" w:rsidRPr="008C21D6" w:rsidRDefault="00F63D94" w:rsidP="008C21D6">
                                  <w:pPr>
                                    <w:rPr>
                                      <w:bCs/>
                                      <w:color w:val="2A2A2A"/>
                                      <w:sz w:val="22"/>
                                      <w:szCs w:val="22"/>
                                      <w:lang w:val="mi-NZ" w:eastAsia="en-US"/>
                                    </w:rPr>
                                  </w:pPr>
                                </w:p>
                              </w:tc>
                            </w:tr>
                            <w:tr w:rsidR="00F63D94" w:rsidRPr="008C21D6" w14:paraId="09290D23" w14:textId="77777777" w:rsidTr="008C21D6">
                              <w:trPr>
                                <w:trHeight w:val="320"/>
                              </w:trPr>
                              <w:tc>
                                <w:tcPr>
                                  <w:tcW w:w="2993" w:type="dxa"/>
                                  <w:tcBorders>
                                    <w:top w:val="nil"/>
                                    <w:left w:val="nil"/>
                                    <w:bottom w:val="nil"/>
                                    <w:right w:val="nil"/>
                                  </w:tcBorders>
                                  <w:shd w:val="clear" w:color="auto" w:fill="auto"/>
                                  <w:noWrap/>
                                  <w:vAlign w:val="bottom"/>
                                  <w:hideMark/>
                                </w:tcPr>
                                <w:p w14:paraId="274284FA"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Molecular weight </w:t>
                                  </w:r>
                                </w:p>
                              </w:tc>
                              <w:tc>
                                <w:tcPr>
                                  <w:tcW w:w="992" w:type="dxa"/>
                                  <w:tcBorders>
                                    <w:top w:val="nil"/>
                                    <w:left w:val="nil"/>
                                    <w:bottom w:val="nil"/>
                                    <w:right w:val="nil"/>
                                  </w:tcBorders>
                                  <w:shd w:val="clear" w:color="auto" w:fill="auto"/>
                                  <w:noWrap/>
                                  <w:vAlign w:val="bottom"/>
                                  <w:hideMark/>
                                </w:tcPr>
                                <w:p w14:paraId="3DF4457C"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12 329 </w:t>
                                  </w:r>
                                </w:p>
                              </w:tc>
                              <w:tc>
                                <w:tcPr>
                                  <w:tcW w:w="2835" w:type="dxa"/>
                                  <w:tcBorders>
                                    <w:top w:val="nil"/>
                                    <w:left w:val="nil"/>
                                    <w:bottom w:val="nil"/>
                                    <w:right w:val="nil"/>
                                  </w:tcBorders>
                                  <w:shd w:val="clear" w:color="auto" w:fill="auto"/>
                                  <w:noWrap/>
                                  <w:vAlign w:val="bottom"/>
                                  <w:hideMark/>
                                </w:tcPr>
                                <w:p w14:paraId="5F1A77A4"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pH stability </w:t>
                                  </w:r>
                                </w:p>
                              </w:tc>
                              <w:tc>
                                <w:tcPr>
                                  <w:tcW w:w="993" w:type="dxa"/>
                                  <w:tcBorders>
                                    <w:top w:val="nil"/>
                                    <w:left w:val="nil"/>
                                    <w:bottom w:val="nil"/>
                                    <w:right w:val="nil"/>
                                  </w:tcBorders>
                                  <w:shd w:val="clear" w:color="auto" w:fill="auto"/>
                                  <w:noWrap/>
                                  <w:vAlign w:val="bottom"/>
                                  <w:hideMark/>
                                </w:tcPr>
                                <w:p w14:paraId="156CC75E"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2</w:t>
                                  </w:r>
                                  <w:r>
                                    <w:rPr>
                                      <w:bCs/>
                                      <w:color w:val="2A2A2A"/>
                                      <w:sz w:val="22"/>
                                      <w:szCs w:val="22"/>
                                      <w:lang w:val="mi-NZ" w:eastAsia="en-US"/>
                                    </w:rPr>
                                    <w:t xml:space="preserve"> </w:t>
                                  </w:r>
                                  <w:r w:rsidRPr="008C21D6">
                                    <w:rPr>
                                      <w:bCs/>
                                      <w:color w:val="2A2A2A"/>
                                      <w:sz w:val="22"/>
                                      <w:szCs w:val="22"/>
                                      <w:lang w:val="mi-NZ" w:eastAsia="en-US"/>
                                    </w:rPr>
                                    <w:t>931 </w:t>
                                  </w:r>
                                </w:p>
                              </w:tc>
                            </w:tr>
                            <w:tr w:rsidR="00F63D94" w:rsidRPr="008C21D6" w14:paraId="60576A7C" w14:textId="77777777" w:rsidTr="008C21D6">
                              <w:trPr>
                                <w:trHeight w:val="320"/>
                              </w:trPr>
                              <w:tc>
                                <w:tcPr>
                                  <w:tcW w:w="2993" w:type="dxa"/>
                                  <w:tcBorders>
                                    <w:top w:val="nil"/>
                                    <w:left w:val="nil"/>
                                    <w:bottom w:val="nil"/>
                                    <w:right w:val="nil"/>
                                  </w:tcBorders>
                                  <w:shd w:val="clear" w:color="auto" w:fill="auto"/>
                                  <w:noWrap/>
                                  <w:vAlign w:val="bottom"/>
                                  <w:hideMark/>
                                </w:tcPr>
                                <w:p w14:paraId="06E99CBC"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Subunits </w:t>
                                  </w:r>
                                </w:p>
                              </w:tc>
                              <w:tc>
                                <w:tcPr>
                                  <w:tcW w:w="992" w:type="dxa"/>
                                  <w:tcBorders>
                                    <w:top w:val="nil"/>
                                    <w:left w:val="nil"/>
                                    <w:bottom w:val="nil"/>
                                    <w:right w:val="nil"/>
                                  </w:tcBorders>
                                  <w:shd w:val="clear" w:color="auto" w:fill="auto"/>
                                  <w:noWrap/>
                                  <w:vAlign w:val="bottom"/>
                                  <w:hideMark/>
                                </w:tcPr>
                                <w:p w14:paraId="4B2E816F"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7</w:t>
                                  </w:r>
                                  <w:r>
                                    <w:rPr>
                                      <w:bCs/>
                                      <w:color w:val="2A2A2A"/>
                                      <w:sz w:val="22"/>
                                      <w:szCs w:val="22"/>
                                      <w:lang w:val="mi-NZ" w:eastAsia="en-US"/>
                                    </w:rPr>
                                    <w:t xml:space="preserve"> </w:t>
                                  </w:r>
                                  <w:r w:rsidRPr="008C21D6">
                                    <w:rPr>
                                      <w:bCs/>
                                      <w:color w:val="2A2A2A"/>
                                      <w:sz w:val="22"/>
                                      <w:szCs w:val="22"/>
                                      <w:lang w:val="mi-NZ" w:eastAsia="en-US"/>
                                    </w:rPr>
                                    <w:t>416 </w:t>
                                  </w:r>
                                </w:p>
                              </w:tc>
                              <w:tc>
                                <w:tcPr>
                                  <w:tcW w:w="2835" w:type="dxa"/>
                                  <w:tcBorders>
                                    <w:top w:val="nil"/>
                                    <w:left w:val="nil"/>
                                    <w:bottom w:val="nil"/>
                                    <w:right w:val="nil"/>
                                  </w:tcBorders>
                                  <w:shd w:val="clear" w:color="auto" w:fill="auto"/>
                                  <w:noWrap/>
                                  <w:vAlign w:val="bottom"/>
                                  <w:hideMark/>
                                </w:tcPr>
                                <w:p w14:paraId="52284E73"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Temperature stability </w:t>
                                  </w:r>
                                </w:p>
                              </w:tc>
                              <w:tc>
                                <w:tcPr>
                                  <w:tcW w:w="993" w:type="dxa"/>
                                  <w:tcBorders>
                                    <w:top w:val="nil"/>
                                    <w:left w:val="nil"/>
                                    <w:bottom w:val="nil"/>
                                    <w:right w:val="nil"/>
                                  </w:tcBorders>
                                  <w:shd w:val="clear" w:color="auto" w:fill="auto"/>
                                  <w:noWrap/>
                                  <w:vAlign w:val="bottom"/>
                                  <w:hideMark/>
                                </w:tcPr>
                                <w:p w14:paraId="6F56646C"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6</w:t>
                                  </w:r>
                                  <w:r>
                                    <w:rPr>
                                      <w:bCs/>
                                      <w:color w:val="2A2A2A"/>
                                      <w:sz w:val="22"/>
                                      <w:szCs w:val="22"/>
                                      <w:lang w:val="mi-NZ" w:eastAsia="en-US"/>
                                    </w:rPr>
                                    <w:t xml:space="preserve"> </w:t>
                                  </w:r>
                                  <w:r w:rsidRPr="008C21D6">
                                    <w:rPr>
                                      <w:bCs/>
                                      <w:color w:val="2A2A2A"/>
                                      <w:sz w:val="22"/>
                                      <w:szCs w:val="22"/>
                                      <w:lang w:val="mi-NZ" w:eastAsia="en-US"/>
                                    </w:rPr>
                                    <w:t>825 </w:t>
                                  </w:r>
                                </w:p>
                              </w:tc>
                            </w:tr>
                            <w:tr w:rsidR="00F63D94" w:rsidRPr="008C21D6" w14:paraId="79438A95" w14:textId="77777777" w:rsidTr="008C21D6">
                              <w:trPr>
                                <w:trHeight w:val="320"/>
                              </w:trPr>
                              <w:tc>
                                <w:tcPr>
                                  <w:tcW w:w="2993" w:type="dxa"/>
                                  <w:tcBorders>
                                    <w:top w:val="nil"/>
                                    <w:left w:val="nil"/>
                                    <w:bottom w:val="nil"/>
                                    <w:right w:val="nil"/>
                                  </w:tcBorders>
                                  <w:shd w:val="clear" w:color="auto" w:fill="auto"/>
                                  <w:noWrap/>
                                  <w:vAlign w:val="bottom"/>
                                  <w:hideMark/>
                                </w:tcPr>
                                <w:p w14:paraId="149CFC94"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Sequence links </w:t>
                                  </w:r>
                                </w:p>
                              </w:tc>
                              <w:tc>
                                <w:tcPr>
                                  <w:tcW w:w="992" w:type="dxa"/>
                                  <w:tcBorders>
                                    <w:top w:val="nil"/>
                                    <w:left w:val="nil"/>
                                    <w:bottom w:val="nil"/>
                                    <w:right w:val="nil"/>
                                  </w:tcBorders>
                                  <w:shd w:val="clear" w:color="auto" w:fill="auto"/>
                                  <w:noWrap/>
                                  <w:vAlign w:val="bottom"/>
                                  <w:hideMark/>
                                </w:tcPr>
                                <w:p w14:paraId="659271F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33 099 </w:t>
                                  </w:r>
                                </w:p>
                              </w:tc>
                              <w:tc>
                                <w:tcPr>
                                  <w:tcW w:w="2835" w:type="dxa"/>
                                  <w:tcBorders>
                                    <w:top w:val="nil"/>
                                    <w:left w:val="nil"/>
                                    <w:bottom w:val="nil"/>
                                    <w:right w:val="nil"/>
                                  </w:tcBorders>
                                  <w:shd w:val="clear" w:color="auto" w:fill="auto"/>
                                  <w:noWrap/>
                                  <w:vAlign w:val="bottom"/>
                                  <w:hideMark/>
                                </w:tcPr>
                                <w:p w14:paraId="3E2ACD0C"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General stability </w:t>
                                  </w:r>
                                </w:p>
                              </w:tc>
                              <w:tc>
                                <w:tcPr>
                                  <w:tcW w:w="993" w:type="dxa"/>
                                  <w:tcBorders>
                                    <w:top w:val="nil"/>
                                    <w:left w:val="nil"/>
                                    <w:bottom w:val="nil"/>
                                    <w:right w:val="nil"/>
                                  </w:tcBorders>
                                  <w:shd w:val="clear" w:color="auto" w:fill="auto"/>
                                  <w:noWrap/>
                                  <w:vAlign w:val="bottom"/>
                                  <w:hideMark/>
                                </w:tcPr>
                                <w:p w14:paraId="0B0927AB"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5</w:t>
                                  </w:r>
                                  <w:r>
                                    <w:rPr>
                                      <w:bCs/>
                                      <w:color w:val="2A2A2A"/>
                                      <w:sz w:val="22"/>
                                      <w:szCs w:val="22"/>
                                      <w:lang w:val="mi-NZ" w:eastAsia="en-US"/>
                                    </w:rPr>
                                    <w:t xml:space="preserve"> </w:t>
                                  </w:r>
                                  <w:r w:rsidRPr="008C21D6">
                                    <w:rPr>
                                      <w:bCs/>
                                      <w:color w:val="2A2A2A"/>
                                      <w:sz w:val="22"/>
                                      <w:szCs w:val="22"/>
                                      <w:lang w:val="mi-NZ" w:eastAsia="en-US"/>
                                    </w:rPr>
                                    <w:t>398 </w:t>
                                  </w:r>
                                </w:p>
                              </w:tc>
                            </w:tr>
                            <w:tr w:rsidR="00F63D94" w:rsidRPr="008C21D6" w14:paraId="5D50F616" w14:textId="77777777" w:rsidTr="008C21D6">
                              <w:trPr>
                                <w:trHeight w:val="320"/>
                              </w:trPr>
                              <w:tc>
                                <w:tcPr>
                                  <w:tcW w:w="2993" w:type="dxa"/>
                                  <w:tcBorders>
                                    <w:top w:val="nil"/>
                                    <w:left w:val="nil"/>
                                    <w:bottom w:val="nil"/>
                                    <w:right w:val="nil"/>
                                  </w:tcBorders>
                                  <w:shd w:val="clear" w:color="auto" w:fill="auto"/>
                                  <w:noWrap/>
                                  <w:vAlign w:val="bottom"/>
                                  <w:hideMark/>
                                </w:tcPr>
                                <w:p w14:paraId="2F287090"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Post-translational modification </w:t>
                                  </w:r>
                                </w:p>
                              </w:tc>
                              <w:tc>
                                <w:tcPr>
                                  <w:tcW w:w="992" w:type="dxa"/>
                                  <w:tcBorders>
                                    <w:top w:val="nil"/>
                                    <w:left w:val="nil"/>
                                    <w:bottom w:val="nil"/>
                                    <w:right w:val="nil"/>
                                  </w:tcBorders>
                                  <w:shd w:val="clear" w:color="auto" w:fill="auto"/>
                                  <w:noWrap/>
                                  <w:vAlign w:val="bottom"/>
                                  <w:hideMark/>
                                </w:tcPr>
                                <w:p w14:paraId="3D7316A9"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w:t>
                                  </w:r>
                                  <w:r>
                                    <w:rPr>
                                      <w:bCs/>
                                      <w:color w:val="2A2A2A"/>
                                      <w:sz w:val="22"/>
                                      <w:szCs w:val="22"/>
                                      <w:lang w:val="mi-NZ" w:eastAsia="en-US"/>
                                    </w:rPr>
                                    <w:t xml:space="preserve"> </w:t>
                                  </w:r>
                                  <w:r w:rsidRPr="008C21D6">
                                    <w:rPr>
                                      <w:bCs/>
                                      <w:color w:val="2A2A2A"/>
                                      <w:sz w:val="22"/>
                                      <w:szCs w:val="22"/>
                                      <w:lang w:val="mi-NZ" w:eastAsia="en-US"/>
                                    </w:rPr>
                                    <w:t>112 </w:t>
                                  </w:r>
                                </w:p>
                              </w:tc>
                              <w:tc>
                                <w:tcPr>
                                  <w:tcW w:w="2835" w:type="dxa"/>
                                  <w:tcBorders>
                                    <w:top w:val="nil"/>
                                    <w:left w:val="nil"/>
                                    <w:bottom w:val="nil"/>
                                    <w:right w:val="nil"/>
                                  </w:tcBorders>
                                  <w:shd w:val="clear" w:color="auto" w:fill="auto"/>
                                  <w:noWrap/>
                                  <w:vAlign w:val="bottom"/>
                                  <w:hideMark/>
                                </w:tcPr>
                                <w:p w14:paraId="03391CC7"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Organic solvent stability </w:t>
                                  </w:r>
                                </w:p>
                              </w:tc>
                              <w:tc>
                                <w:tcPr>
                                  <w:tcW w:w="993" w:type="dxa"/>
                                  <w:tcBorders>
                                    <w:top w:val="nil"/>
                                    <w:left w:val="nil"/>
                                    <w:bottom w:val="nil"/>
                                    <w:right w:val="nil"/>
                                  </w:tcBorders>
                                  <w:shd w:val="clear" w:color="auto" w:fill="auto"/>
                                  <w:noWrap/>
                                  <w:vAlign w:val="bottom"/>
                                  <w:hideMark/>
                                </w:tcPr>
                                <w:p w14:paraId="4111A76E"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311 </w:t>
                                  </w:r>
                                </w:p>
                              </w:tc>
                            </w:tr>
                            <w:tr w:rsidR="00F63D94" w:rsidRPr="008C21D6" w14:paraId="58092573" w14:textId="77777777" w:rsidTr="008C21D6">
                              <w:trPr>
                                <w:trHeight w:val="320"/>
                              </w:trPr>
                              <w:tc>
                                <w:tcPr>
                                  <w:tcW w:w="2993" w:type="dxa"/>
                                  <w:tcBorders>
                                    <w:top w:val="nil"/>
                                    <w:left w:val="nil"/>
                                    <w:bottom w:val="nil"/>
                                    <w:right w:val="nil"/>
                                  </w:tcBorders>
                                  <w:shd w:val="clear" w:color="auto" w:fill="auto"/>
                                  <w:noWrap/>
                                  <w:vAlign w:val="bottom"/>
                                  <w:hideMark/>
                                </w:tcPr>
                                <w:p w14:paraId="05FD93A5"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Crystallization </w:t>
                                  </w:r>
                                </w:p>
                              </w:tc>
                              <w:tc>
                                <w:tcPr>
                                  <w:tcW w:w="992" w:type="dxa"/>
                                  <w:tcBorders>
                                    <w:top w:val="nil"/>
                                    <w:left w:val="nil"/>
                                    <w:bottom w:val="nil"/>
                                    <w:right w:val="nil"/>
                                  </w:tcBorders>
                                  <w:shd w:val="clear" w:color="auto" w:fill="auto"/>
                                  <w:noWrap/>
                                  <w:vAlign w:val="bottom"/>
                                  <w:hideMark/>
                                </w:tcPr>
                                <w:p w14:paraId="6C15D8C3"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w:t>
                                  </w:r>
                                  <w:r>
                                    <w:rPr>
                                      <w:bCs/>
                                      <w:color w:val="2A2A2A"/>
                                      <w:sz w:val="22"/>
                                      <w:szCs w:val="22"/>
                                      <w:lang w:val="mi-NZ" w:eastAsia="en-US"/>
                                    </w:rPr>
                                    <w:t xml:space="preserve"> </w:t>
                                  </w:r>
                                  <w:r w:rsidRPr="008C21D6">
                                    <w:rPr>
                                      <w:bCs/>
                                      <w:color w:val="2A2A2A"/>
                                      <w:sz w:val="22"/>
                                      <w:szCs w:val="22"/>
                                      <w:lang w:val="mi-NZ" w:eastAsia="en-US"/>
                                    </w:rPr>
                                    <w:t>003 </w:t>
                                  </w:r>
                                </w:p>
                              </w:tc>
                              <w:tc>
                                <w:tcPr>
                                  <w:tcW w:w="2835" w:type="dxa"/>
                                  <w:tcBorders>
                                    <w:top w:val="nil"/>
                                    <w:left w:val="nil"/>
                                    <w:bottom w:val="nil"/>
                                    <w:right w:val="nil"/>
                                  </w:tcBorders>
                                  <w:shd w:val="clear" w:color="auto" w:fill="auto"/>
                                  <w:noWrap/>
                                  <w:vAlign w:val="bottom"/>
                                  <w:hideMark/>
                                </w:tcPr>
                                <w:p w14:paraId="1D29970B"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Oxidation stability </w:t>
                                  </w:r>
                                </w:p>
                              </w:tc>
                              <w:tc>
                                <w:tcPr>
                                  <w:tcW w:w="993" w:type="dxa"/>
                                  <w:tcBorders>
                                    <w:top w:val="nil"/>
                                    <w:left w:val="nil"/>
                                    <w:bottom w:val="nil"/>
                                    <w:right w:val="nil"/>
                                  </w:tcBorders>
                                  <w:shd w:val="clear" w:color="auto" w:fill="auto"/>
                                  <w:noWrap/>
                                  <w:vAlign w:val="bottom"/>
                                  <w:hideMark/>
                                </w:tcPr>
                                <w:p w14:paraId="5F94518B"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349 </w:t>
                                  </w:r>
                                </w:p>
                              </w:tc>
                            </w:tr>
                            <w:tr w:rsidR="00F63D94" w:rsidRPr="008C21D6" w14:paraId="263EB425" w14:textId="77777777" w:rsidTr="008C21D6">
                              <w:trPr>
                                <w:trHeight w:val="320"/>
                              </w:trPr>
                              <w:tc>
                                <w:tcPr>
                                  <w:tcW w:w="2993" w:type="dxa"/>
                                  <w:tcBorders>
                                    <w:top w:val="nil"/>
                                    <w:left w:val="nil"/>
                                    <w:bottom w:val="nil"/>
                                    <w:right w:val="nil"/>
                                  </w:tcBorders>
                                  <w:shd w:val="clear" w:color="auto" w:fill="auto"/>
                                  <w:noWrap/>
                                  <w:vAlign w:val="bottom"/>
                                  <w:hideMark/>
                                </w:tcPr>
                                <w:p w14:paraId="71EE9274"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3D-structure, specific PDB links </w:t>
                                  </w:r>
                                </w:p>
                              </w:tc>
                              <w:tc>
                                <w:tcPr>
                                  <w:tcW w:w="992" w:type="dxa"/>
                                  <w:tcBorders>
                                    <w:top w:val="nil"/>
                                    <w:left w:val="nil"/>
                                    <w:bottom w:val="nil"/>
                                    <w:right w:val="nil"/>
                                  </w:tcBorders>
                                  <w:shd w:val="clear" w:color="auto" w:fill="auto"/>
                                  <w:noWrap/>
                                  <w:vAlign w:val="bottom"/>
                                  <w:hideMark/>
                                </w:tcPr>
                                <w:p w14:paraId="687558A2"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6</w:t>
                                  </w:r>
                                  <w:r>
                                    <w:rPr>
                                      <w:bCs/>
                                      <w:color w:val="2A2A2A"/>
                                      <w:sz w:val="22"/>
                                      <w:szCs w:val="22"/>
                                      <w:lang w:val="mi-NZ" w:eastAsia="en-US"/>
                                    </w:rPr>
                                    <w:t xml:space="preserve"> </w:t>
                                  </w:r>
                                  <w:r w:rsidRPr="008C21D6">
                                    <w:rPr>
                                      <w:bCs/>
                                      <w:color w:val="2A2A2A"/>
                                      <w:sz w:val="22"/>
                                      <w:szCs w:val="22"/>
                                      <w:lang w:val="mi-NZ" w:eastAsia="en-US"/>
                                    </w:rPr>
                                    <w:t>142 </w:t>
                                  </w:r>
                                </w:p>
                              </w:tc>
                              <w:tc>
                                <w:tcPr>
                                  <w:tcW w:w="2835" w:type="dxa"/>
                                  <w:tcBorders>
                                    <w:top w:val="nil"/>
                                    <w:left w:val="nil"/>
                                    <w:bottom w:val="nil"/>
                                    <w:right w:val="nil"/>
                                  </w:tcBorders>
                                  <w:shd w:val="clear" w:color="auto" w:fill="auto"/>
                                  <w:noWrap/>
                                  <w:vAlign w:val="bottom"/>
                                  <w:hideMark/>
                                </w:tcPr>
                                <w:p w14:paraId="78D63FA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Storage stability </w:t>
                                  </w:r>
                                </w:p>
                              </w:tc>
                              <w:tc>
                                <w:tcPr>
                                  <w:tcW w:w="993" w:type="dxa"/>
                                  <w:tcBorders>
                                    <w:top w:val="nil"/>
                                    <w:left w:val="nil"/>
                                    <w:bottom w:val="nil"/>
                                    <w:right w:val="nil"/>
                                  </w:tcBorders>
                                  <w:shd w:val="clear" w:color="auto" w:fill="auto"/>
                                  <w:noWrap/>
                                  <w:vAlign w:val="bottom"/>
                                  <w:hideMark/>
                                </w:tcPr>
                                <w:p w14:paraId="4E54CCB9"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6</w:t>
                                  </w:r>
                                  <w:r>
                                    <w:rPr>
                                      <w:bCs/>
                                      <w:color w:val="2A2A2A"/>
                                      <w:sz w:val="22"/>
                                      <w:szCs w:val="22"/>
                                      <w:lang w:val="mi-NZ" w:eastAsia="en-US"/>
                                    </w:rPr>
                                    <w:t xml:space="preserve"> </w:t>
                                  </w:r>
                                  <w:r w:rsidRPr="008C21D6">
                                    <w:rPr>
                                      <w:bCs/>
                                      <w:color w:val="2A2A2A"/>
                                      <w:sz w:val="22"/>
                                      <w:szCs w:val="22"/>
                                      <w:lang w:val="mi-NZ" w:eastAsia="en-US"/>
                                    </w:rPr>
                                    <w:t>505 </w:t>
                                  </w:r>
                                </w:p>
                              </w:tc>
                            </w:tr>
                            <w:tr w:rsidR="00F63D94" w:rsidRPr="008C21D6" w14:paraId="5C284096" w14:textId="77777777" w:rsidTr="008C21D6">
                              <w:trPr>
                                <w:trHeight w:val="320"/>
                              </w:trPr>
                              <w:tc>
                                <w:tcPr>
                                  <w:tcW w:w="3985" w:type="dxa"/>
                                  <w:gridSpan w:val="2"/>
                                  <w:tcBorders>
                                    <w:top w:val="nil"/>
                                    <w:left w:val="nil"/>
                                    <w:bottom w:val="nil"/>
                                    <w:right w:val="nil"/>
                                  </w:tcBorders>
                                  <w:shd w:val="clear" w:color="auto" w:fill="auto"/>
                                  <w:noWrap/>
                                  <w:vAlign w:val="bottom"/>
                                  <w:hideMark/>
                                </w:tcPr>
                                <w:p w14:paraId="4E91A83D"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Enzyme–ligand interactions </w:t>
                                  </w:r>
                                </w:p>
                              </w:tc>
                              <w:tc>
                                <w:tcPr>
                                  <w:tcW w:w="2835" w:type="dxa"/>
                                  <w:tcBorders>
                                    <w:top w:val="nil"/>
                                    <w:left w:val="nil"/>
                                    <w:bottom w:val="nil"/>
                                    <w:right w:val="nil"/>
                                  </w:tcBorders>
                                  <w:shd w:val="clear" w:color="auto" w:fill="auto"/>
                                  <w:noWrap/>
                                  <w:vAlign w:val="bottom"/>
                                  <w:hideMark/>
                                </w:tcPr>
                                <w:p w14:paraId="44EFF9DC"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Purification </w:t>
                                  </w:r>
                                </w:p>
                              </w:tc>
                              <w:tc>
                                <w:tcPr>
                                  <w:tcW w:w="993" w:type="dxa"/>
                                  <w:tcBorders>
                                    <w:top w:val="nil"/>
                                    <w:left w:val="nil"/>
                                    <w:bottom w:val="nil"/>
                                    <w:right w:val="nil"/>
                                  </w:tcBorders>
                                  <w:shd w:val="clear" w:color="auto" w:fill="auto"/>
                                  <w:noWrap/>
                                  <w:vAlign w:val="bottom"/>
                                  <w:hideMark/>
                                </w:tcPr>
                                <w:p w14:paraId="4551549F"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11 176 </w:t>
                                  </w:r>
                                </w:p>
                              </w:tc>
                            </w:tr>
                            <w:tr w:rsidR="00F63D94" w:rsidRPr="008C21D6" w14:paraId="138F3DDE" w14:textId="77777777" w:rsidTr="008C21D6">
                              <w:trPr>
                                <w:trHeight w:val="320"/>
                              </w:trPr>
                              <w:tc>
                                <w:tcPr>
                                  <w:tcW w:w="2993" w:type="dxa"/>
                                  <w:tcBorders>
                                    <w:top w:val="nil"/>
                                    <w:left w:val="nil"/>
                                    <w:bottom w:val="nil"/>
                                    <w:right w:val="nil"/>
                                  </w:tcBorders>
                                  <w:shd w:val="clear" w:color="auto" w:fill="auto"/>
                                  <w:noWrap/>
                                  <w:vAlign w:val="bottom"/>
                                  <w:hideMark/>
                                </w:tcPr>
                                <w:p w14:paraId="0F4298C1"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Substrates/products </w:t>
                                  </w:r>
                                </w:p>
                              </w:tc>
                              <w:tc>
                                <w:tcPr>
                                  <w:tcW w:w="992" w:type="dxa"/>
                                  <w:tcBorders>
                                    <w:top w:val="nil"/>
                                    <w:left w:val="nil"/>
                                    <w:bottom w:val="nil"/>
                                    <w:right w:val="nil"/>
                                  </w:tcBorders>
                                  <w:shd w:val="clear" w:color="auto" w:fill="auto"/>
                                  <w:noWrap/>
                                  <w:vAlign w:val="bottom"/>
                                  <w:hideMark/>
                                </w:tcPr>
                                <w:p w14:paraId="08EAEAED"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47 630 </w:t>
                                  </w:r>
                                </w:p>
                              </w:tc>
                              <w:tc>
                                <w:tcPr>
                                  <w:tcW w:w="2835" w:type="dxa"/>
                                  <w:tcBorders>
                                    <w:top w:val="nil"/>
                                    <w:left w:val="nil"/>
                                    <w:bottom w:val="nil"/>
                                    <w:right w:val="nil"/>
                                  </w:tcBorders>
                                  <w:shd w:val="clear" w:color="auto" w:fill="auto"/>
                                  <w:noWrap/>
                                  <w:vAlign w:val="bottom"/>
                                  <w:hideMark/>
                                </w:tcPr>
                                <w:p w14:paraId="37432C29"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Cloned </w:t>
                                  </w:r>
                                </w:p>
                              </w:tc>
                              <w:tc>
                                <w:tcPr>
                                  <w:tcW w:w="993" w:type="dxa"/>
                                  <w:tcBorders>
                                    <w:top w:val="nil"/>
                                    <w:left w:val="nil"/>
                                    <w:bottom w:val="nil"/>
                                    <w:right w:val="nil"/>
                                  </w:tcBorders>
                                  <w:shd w:val="clear" w:color="auto" w:fill="auto"/>
                                  <w:noWrap/>
                                  <w:vAlign w:val="bottom"/>
                                  <w:hideMark/>
                                </w:tcPr>
                                <w:p w14:paraId="2702053A"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2</w:t>
                                  </w:r>
                                  <w:r>
                                    <w:rPr>
                                      <w:bCs/>
                                      <w:color w:val="2A2A2A"/>
                                      <w:sz w:val="22"/>
                                      <w:szCs w:val="22"/>
                                      <w:lang w:val="mi-NZ" w:eastAsia="en-US"/>
                                    </w:rPr>
                                    <w:t xml:space="preserve"> </w:t>
                                  </w:r>
                                  <w:r w:rsidRPr="008C21D6">
                                    <w:rPr>
                                      <w:bCs/>
                                      <w:color w:val="2A2A2A"/>
                                      <w:sz w:val="22"/>
                                      <w:szCs w:val="22"/>
                                      <w:lang w:val="mi-NZ" w:eastAsia="en-US"/>
                                    </w:rPr>
                                    <w:t>015 </w:t>
                                  </w:r>
                                </w:p>
                              </w:tc>
                            </w:tr>
                            <w:tr w:rsidR="00F63D94" w:rsidRPr="008C21D6" w14:paraId="79C53A19" w14:textId="77777777" w:rsidTr="008C21D6">
                              <w:trPr>
                                <w:trHeight w:val="320"/>
                              </w:trPr>
                              <w:tc>
                                <w:tcPr>
                                  <w:tcW w:w="2993" w:type="dxa"/>
                                  <w:tcBorders>
                                    <w:top w:val="nil"/>
                                    <w:left w:val="nil"/>
                                    <w:bottom w:val="nil"/>
                                    <w:right w:val="nil"/>
                                  </w:tcBorders>
                                  <w:shd w:val="clear" w:color="auto" w:fill="auto"/>
                                  <w:noWrap/>
                                  <w:vAlign w:val="bottom"/>
                                  <w:hideMark/>
                                </w:tcPr>
                                <w:p w14:paraId="79451F2C"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Natural substrate </w:t>
                                  </w:r>
                                </w:p>
                              </w:tc>
                              <w:tc>
                                <w:tcPr>
                                  <w:tcW w:w="992" w:type="dxa"/>
                                  <w:tcBorders>
                                    <w:top w:val="nil"/>
                                    <w:left w:val="nil"/>
                                    <w:bottom w:val="nil"/>
                                    <w:right w:val="nil"/>
                                  </w:tcBorders>
                                  <w:shd w:val="clear" w:color="auto" w:fill="auto"/>
                                  <w:noWrap/>
                                  <w:vAlign w:val="bottom"/>
                                  <w:hideMark/>
                                </w:tcPr>
                                <w:p w14:paraId="6BC9DDA8"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7</w:t>
                                  </w:r>
                                  <w:r>
                                    <w:rPr>
                                      <w:bCs/>
                                      <w:color w:val="2A2A2A"/>
                                      <w:sz w:val="22"/>
                                      <w:szCs w:val="22"/>
                                      <w:lang w:val="mi-NZ" w:eastAsia="en-US"/>
                                    </w:rPr>
                                    <w:t xml:space="preserve"> </w:t>
                                  </w:r>
                                  <w:r w:rsidRPr="008C21D6">
                                    <w:rPr>
                                      <w:bCs/>
                                      <w:color w:val="2A2A2A"/>
                                      <w:sz w:val="22"/>
                                      <w:szCs w:val="22"/>
                                      <w:lang w:val="mi-NZ" w:eastAsia="en-US"/>
                                    </w:rPr>
                                    <w:t>668 </w:t>
                                  </w:r>
                                </w:p>
                              </w:tc>
                              <w:tc>
                                <w:tcPr>
                                  <w:tcW w:w="2835" w:type="dxa"/>
                                  <w:tcBorders>
                                    <w:top w:val="nil"/>
                                    <w:left w:val="nil"/>
                                    <w:bottom w:val="nil"/>
                                    <w:right w:val="nil"/>
                                  </w:tcBorders>
                                  <w:shd w:val="clear" w:color="auto" w:fill="auto"/>
                                  <w:noWrap/>
                                  <w:vAlign w:val="bottom"/>
                                  <w:hideMark/>
                                </w:tcPr>
                                <w:p w14:paraId="3A496DD8"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Engineering </w:t>
                                  </w:r>
                                </w:p>
                              </w:tc>
                              <w:tc>
                                <w:tcPr>
                                  <w:tcW w:w="993" w:type="dxa"/>
                                  <w:tcBorders>
                                    <w:top w:val="nil"/>
                                    <w:left w:val="nil"/>
                                    <w:bottom w:val="nil"/>
                                    <w:right w:val="nil"/>
                                  </w:tcBorders>
                                  <w:shd w:val="clear" w:color="auto" w:fill="auto"/>
                                  <w:noWrap/>
                                  <w:vAlign w:val="bottom"/>
                                  <w:hideMark/>
                                </w:tcPr>
                                <w:p w14:paraId="2E07BC08"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797 </w:t>
                                  </w:r>
                                </w:p>
                              </w:tc>
                            </w:tr>
                            <w:tr w:rsidR="00F63D94" w:rsidRPr="008C21D6" w14:paraId="2EF8CD4C" w14:textId="77777777" w:rsidTr="008C21D6">
                              <w:trPr>
                                <w:trHeight w:val="320"/>
                              </w:trPr>
                              <w:tc>
                                <w:tcPr>
                                  <w:tcW w:w="2993" w:type="dxa"/>
                                  <w:tcBorders>
                                    <w:top w:val="nil"/>
                                    <w:left w:val="nil"/>
                                    <w:bottom w:val="nil"/>
                                    <w:right w:val="nil"/>
                                  </w:tcBorders>
                                  <w:shd w:val="clear" w:color="auto" w:fill="auto"/>
                                  <w:noWrap/>
                                  <w:vAlign w:val="bottom"/>
                                  <w:hideMark/>
                                </w:tcPr>
                                <w:p w14:paraId="1E52BDF5"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Cofactor </w:t>
                                  </w:r>
                                </w:p>
                              </w:tc>
                              <w:tc>
                                <w:tcPr>
                                  <w:tcW w:w="992" w:type="dxa"/>
                                  <w:tcBorders>
                                    <w:top w:val="nil"/>
                                    <w:left w:val="nil"/>
                                    <w:bottom w:val="nil"/>
                                    <w:right w:val="nil"/>
                                  </w:tcBorders>
                                  <w:shd w:val="clear" w:color="auto" w:fill="auto"/>
                                  <w:noWrap/>
                                  <w:vAlign w:val="bottom"/>
                                  <w:hideMark/>
                                </w:tcPr>
                                <w:p w14:paraId="674E10A1"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6</w:t>
                                  </w:r>
                                  <w:r>
                                    <w:rPr>
                                      <w:bCs/>
                                      <w:color w:val="2A2A2A"/>
                                      <w:sz w:val="22"/>
                                      <w:szCs w:val="22"/>
                                      <w:lang w:val="mi-NZ" w:eastAsia="en-US"/>
                                    </w:rPr>
                                    <w:t xml:space="preserve"> </w:t>
                                  </w:r>
                                  <w:r w:rsidRPr="008C21D6">
                                    <w:rPr>
                                      <w:bCs/>
                                      <w:color w:val="2A2A2A"/>
                                      <w:sz w:val="22"/>
                                      <w:szCs w:val="22"/>
                                      <w:lang w:val="mi-NZ" w:eastAsia="en-US"/>
                                    </w:rPr>
                                    <w:t>217 </w:t>
                                  </w:r>
                                </w:p>
                              </w:tc>
                              <w:tc>
                                <w:tcPr>
                                  <w:tcW w:w="2835" w:type="dxa"/>
                                  <w:tcBorders>
                                    <w:top w:val="nil"/>
                                    <w:left w:val="nil"/>
                                    <w:bottom w:val="nil"/>
                                    <w:right w:val="nil"/>
                                  </w:tcBorders>
                                  <w:shd w:val="clear" w:color="auto" w:fill="auto"/>
                                  <w:noWrap/>
                                  <w:vAlign w:val="bottom"/>
                                  <w:hideMark/>
                                </w:tcPr>
                                <w:p w14:paraId="38E0EC45"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Renatured </w:t>
                                  </w:r>
                                </w:p>
                              </w:tc>
                              <w:tc>
                                <w:tcPr>
                                  <w:tcW w:w="993" w:type="dxa"/>
                                  <w:tcBorders>
                                    <w:top w:val="nil"/>
                                    <w:left w:val="nil"/>
                                    <w:bottom w:val="nil"/>
                                    <w:right w:val="nil"/>
                                  </w:tcBorders>
                                  <w:shd w:val="clear" w:color="auto" w:fill="auto"/>
                                  <w:noWrap/>
                                  <w:vAlign w:val="bottom"/>
                                  <w:hideMark/>
                                </w:tcPr>
                                <w:p w14:paraId="27D4EF9B"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199 </w:t>
                                  </w:r>
                                </w:p>
                              </w:tc>
                            </w:tr>
                            <w:tr w:rsidR="00F63D94" w:rsidRPr="008C21D6" w14:paraId="538DB076" w14:textId="77777777" w:rsidTr="008C21D6">
                              <w:trPr>
                                <w:trHeight w:val="320"/>
                              </w:trPr>
                              <w:tc>
                                <w:tcPr>
                                  <w:tcW w:w="2993" w:type="dxa"/>
                                  <w:tcBorders>
                                    <w:top w:val="nil"/>
                                    <w:left w:val="nil"/>
                                    <w:bottom w:val="nil"/>
                                    <w:right w:val="nil"/>
                                  </w:tcBorders>
                                  <w:shd w:val="clear" w:color="auto" w:fill="auto"/>
                                  <w:noWrap/>
                                  <w:vAlign w:val="bottom"/>
                                  <w:hideMark/>
                                </w:tcPr>
                                <w:p w14:paraId="19E8BB19"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Activating compound </w:t>
                                  </w:r>
                                </w:p>
                              </w:tc>
                              <w:tc>
                                <w:tcPr>
                                  <w:tcW w:w="992" w:type="dxa"/>
                                  <w:tcBorders>
                                    <w:top w:val="nil"/>
                                    <w:left w:val="nil"/>
                                    <w:bottom w:val="nil"/>
                                    <w:right w:val="nil"/>
                                  </w:tcBorders>
                                  <w:shd w:val="clear" w:color="auto" w:fill="auto"/>
                                  <w:noWrap/>
                                  <w:vAlign w:val="bottom"/>
                                  <w:hideMark/>
                                </w:tcPr>
                                <w:p w14:paraId="105E636F"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6</w:t>
                                  </w:r>
                                  <w:r>
                                    <w:rPr>
                                      <w:bCs/>
                                      <w:color w:val="2A2A2A"/>
                                      <w:sz w:val="22"/>
                                      <w:szCs w:val="22"/>
                                      <w:lang w:val="mi-NZ" w:eastAsia="en-US"/>
                                    </w:rPr>
                                    <w:t xml:space="preserve"> </w:t>
                                  </w:r>
                                  <w:r w:rsidRPr="008C21D6">
                                    <w:rPr>
                                      <w:bCs/>
                                      <w:color w:val="2A2A2A"/>
                                      <w:sz w:val="22"/>
                                      <w:szCs w:val="22"/>
                                      <w:lang w:val="mi-NZ" w:eastAsia="en-US"/>
                                    </w:rPr>
                                    <w:t>217 </w:t>
                                  </w:r>
                                </w:p>
                              </w:tc>
                              <w:tc>
                                <w:tcPr>
                                  <w:tcW w:w="2835" w:type="dxa"/>
                                  <w:tcBorders>
                                    <w:top w:val="nil"/>
                                    <w:left w:val="nil"/>
                                    <w:bottom w:val="nil"/>
                                    <w:right w:val="nil"/>
                                  </w:tcBorders>
                                  <w:shd w:val="clear" w:color="auto" w:fill="auto"/>
                                  <w:noWrap/>
                                  <w:vAlign w:val="bottom"/>
                                  <w:hideMark/>
                                </w:tcPr>
                                <w:p w14:paraId="10195964"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Application </w:t>
                                  </w:r>
                                </w:p>
                              </w:tc>
                              <w:tc>
                                <w:tcPr>
                                  <w:tcW w:w="993" w:type="dxa"/>
                                  <w:tcBorders>
                                    <w:top w:val="nil"/>
                                    <w:left w:val="nil"/>
                                    <w:bottom w:val="nil"/>
                                    <w:right w:val="nil"/>
                                  </w:tcBorders>
                                  <w:shd w:val="clear" w:color="auto" w:fill="auto"/>
                                  <w:noWrap/>
                                  <w:vAlign w:val="bottom"/>
                                  <w:hideMark/>
                                </w:tcPr>
                                <w:p w14:paraId="3787106B"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338 </w:t>
                                  </w:r>
                                </w:p>
                              </w:tc>
                            </w:tr>
                            <w:tr w:rsidR="00F63D94" w:rsidRPr="008C21D6" w14:paraId="54D41215" w14:textId="77777777" w:rsidTr="008C21D6">
                              <w:trPr>
                                <w:trHeight w:val="320"/>
                              </w:trPr>
                              <w:tc>
                                <w:tcPr>
                                  <w:tcW w:w="2993" w:type="dxa"/>
                                  <w:tcBorders>
                                    <w:top w:val="nil"/>
                                    <w:left w:val="nil"/>
                                    <w:bottom w:val="nil"/>
                                    <w:right w:val="nil"/>
                                  </w:tcBorders>
                                  <w:shd w:val="clear" w:color="auto" w:fill="auto"/>
                                  <w:noWrap/>
                                  <w:vAlign w:val="bottom"/>
                                  <w:hideMark/>
                                </w:tcPr>
                                <w:p w14:paraId="7DB785AA"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Metals/ions </w:t>
                                  </w:r>
                                </w:p>
                              </w:tc>
                              <w:tc>
                                <w:tcPr>
                                  <w:tcW w:w="992" w:type="dxa"/>
                                  <w:tcBorders>
                                    <w:top w:val="nil"/>
                                    <w:left w:val="nil"/>
                                    <w:bottom w:val="nil"/>
                                    <w:right w:val="nil"/>
                                  </w:tcBorders>
                                  <w:shd w:val="clear" w:color="auto" w:fill="auto"/>
                                  <w:noWrap/>
                                  <w:vAlign w:val="bottom"/>
                                  <w:hideMark/>
                                </w:tcPr>
                                <w:p w14:paraId="048FD30E"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13 173 </w:t>
                                  </w:r>
                                </w:p>
                              </w:tc>
                              <w:tc>
                                <w:tcPr>
                                  <w:tcW w:w="3828" w:type="dxa"/>
                                  <w:gridSpan w:val="2"/>
                                  <w:tcBorders>
                                    <w:top w:val="nil"/>
                                    <w:left w:val="nil"/>
                                    <w:bottom w:val="nil"/>
                                    <w:right w:val="nil"/>
                                  </w:tcBorders>
                                  <w:shd w:val="clear" w:color="auto" w:fill="auto"/>
                                  <w:noWrap/>
                                  <w:vAlign w:val="bottom"/>
                                  <w:hideMark/>
                                </w:tcPr>
                                <w:p w14:paraId="1CA0832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Organism-related information </w:t>
                                  </w:r>
                                </w:p>
                              </w:tc>
                            </w:tr>
                            <w:tr w:rsidR="00F63D94" w:rsidRPr="008C21D6" w14:paraId="2012514F" w14:textId="77777777" w:rsidTr="008C21D6">
                              <w:trPr>
                                <w:trHeight w:val="320"/>
                              </w:trPr>
                              <w:tc>
                                <w:tcPr>
                                  <w:tcW w:w="2993" w:type="dxa"/>
                                  <w:tcBorders>
                                    <w:top w:val="nil"/>
                                    <w:left w:val="nil"/>
                                    <w:bottom w:val="nil"/>
                                    <w:right w:val="nil"/>
                                  </w:tcBorders>
                                  <w:shd w:val="clear" w:color="auto" w:fill="auto"/>
                                  <w:noWrap/>
                                  <w:vAlign w:val="bottom"/>
                                  <w:hideMark/>
                                </w:tcPr>
                                <w:p w14:paraId="66C6A231"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Inhibitors </w:t>
                                  </w:r>
                                </w:p>
                              </w:tc>
                              <w:tc>
                                <w:tcPr>
                                  <w:tcW w:w="992" w:type="dxa"/>
                                  <w:tcBorders>
                                    <w:top w:val="nil"/>
                                    <w:left w:val="nil"/>
                                    <w:bottom w:val="nil"/>
                                    <w:right w:val="nil"/>
                                  </w:tcBorders>
                                  <w:shd w:val="clear" w:color="auto" w:fill="auto"/>
                                  <w:noWrap/>
                                  <w:vAlign w:val="bottom"/>
                                  <w:hideMark/>
                                </w:tcPr>
                                <w:p w14:paraId="6D49279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56 336 </w:t>
                                  </w:r>
                                </w:p>
                              </w:tc>
                              <w:tc>
                                <w:tcPr>
                                  <w:tcW w:w="2835" w:type="dxa"/>
                                  <w:tcBorders>
                                    <w:top w:val="nil"/>
                                    <w:left w:val="nil"/>
                                    <w:bottom w:val="nil"/>
                                    <w:right w:val="nil"/>
                                  </w:tcBorders>
                                  <w:shd w:val="clear" w:color="auto" w:fill="auto"/>
                                  <w:noWrap/>
                                  <w:vAlign w:val="bottom"/>
                                  <w:hideMark/>
                                </w:tcPr>
                                <w:p w14:paraId="2A809403"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Organism </w:t>
                                  </w:r>
                                </w:p>
                              </w:tc>
                              <w:tc>
                                <w:tcPr>
                                  <w:tcW w:w="993" w:type="dxa"/>
                                  <w:tcBorders>
                                    <w:top w:val="nil"/>
                                    <w:left w:val="nil"/>
                                    <w:bottom w:val="nil"/>
                                    <w:right w:val="nil"/>
                                  </w:tcBorders>
                                  <w:shd w:val="clear" w:color="auto" w:fill="auto"/>
                                  <w:noWrap/>
                                  <w:vAlign w:val="bottom"/>
                                  <w:hideMark/>
                                </w:tcPr>
                                <w:p w14:paraId="21BB0DEF"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40 027 </w:t>
                                  </w:r>
                                </w:p>
                              </w:tc>
                            </w:tr>
                            <w:tr w:rsidR="00F63D94" w:rsidRPr="008C21D6" w14:paraId="17C2F516" w14:textId="77777777" w:rsidTr="008C21D6">
                              <w:trPr>
                                <w:trHeight w:val="320"/>
                              </w:trPr>
                              <w:tc>
                                <w:tcPr>
                                  <w:tcW w:w="3985" w:type="dxa"/>
                                  <w:gridSpan w:val="2"/>
                                  <w:tcBorders>
                                    <w:top w:val="nil"/>
                                    <w:left w:val="nil"/>
                                    <w:bottom w:val="nil"/>
                                    <w:right w:val="nil"/>
                                  </w:tcBorders>
                                  <w:shd w:val="clear" w:color="auto" w:fill="auto"/>
                                  <w:noWrap/>
                                  <w:vAlign w:val="bottom"/>
                                  <w:hideMark/>
                                </w:tcPr>
                                <w:p w14:paraId="79C6021C"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Bibliographical data </w:t>
                                  </w:r>
                                </w:p>
                              </w:tc>
                              <w:tc>
                                <w:tcPr>
                                  <w:tcW w:w="2835" w:type="dxa"/>
                                  <w:tcBorders>
                                    <w:top w:val="nil"/>
                                    <w:left w:val="nil"/>
                                    <w:bottom w:val="nil"/>
                                    <w:right w:val="nil"/>
                                  </w:tcBorders>
                                  <w:shd w:val="clear" w:color="auto" w:fill="auto"/>
                                  <w:noWrap/>
                                  <w:vAlign w:val="bottom"/>
                                  <w:hideMark/>
                                </w:tcPr>
                                <w:p w14:paraId="3C4BF823"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Source tissue, organ </w:t>
                                  </w:r>
                                </w:p>
                              </w:tc>
                              <w:tc>
                                <w:tcPr>
                                  <w:tcW w:w="993" w:type="dxa"/>
                                  <w:tcBorders>
                                    <w:top w:val="nil"/>
                                    <w:left w:val="nil"/>
                                    <w:bottom w:val="nil"/>
                                    <w:right w:val="nil"/>
                                  </w:tcBorders>
                                  <w:shd w:val="clear" w:color="auto" w:fill="auto"/>
                                  <w:noWrap/>
                                  <w:vAlign w:val="bottom"/>
                                  <w:hideMark/>
                                </w:tcPr>
                                <w:p w14:paraId="497B3C3E"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19 347 </w:t>
                                  </w:r>
                                </w:p>
                              </w:tc>
                            </w:tr>
                            <w:tr w:rsidR="00F63D94" w:rsidRPr="008C21D6" w14:paraId="52B93E35" w14:textId="77777777" w:rsidTr="008C21D6">
                              <w:trPr>
                                <w:trHeight w:val="320"/>
                              </w:trPr>
                              <w:tc>
                                <w:tcPr>
                                  <w:tcW w:w="2993" w:type="dxa"/>
                                  <w:tcBorders>
                                    <w:top w:val="nil"/>
                                    <w:left w:val="nil"/>
                                    <w:bottom w:val="nil"/>
                                    <w:right w:val="nil"/>
                                  </w:tcBorders>
                                  <w:shd w:val="clear" w:color="auto" w:fill="auto"/>
                                  <w:noWrap/>
                                  <w:vAlign w:val="bottom"/>
                                  <w:hideMark/>
                                </w:tcPr>
                                <w:p w14:paraId="2D410950"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References </w:t>
                                  </w:r>
                                </w:p>
                              </w:tc>
                              <w:tc>
                                <w:tcPr>
                                  <w:tcW w:w="992" w:type="dxa"/>
                                  <w:tcBorders>
                                    <w:top w:val="nil"/>
                                    <w:left w:val="nil"/>
                                    <w:bottom w:val="nil"/>
                                    <w:right w:val="nil"/>
                                  </w:tcBorders>
                                  <w:shd w:val="clear" w:color="auto" w:fill="auto"/>
                                  <w:noWrap/>
                                  <w:vAlign w:val="bottom"/>
                                  <w:hideMark/>
                                </w:tcPr>
                                <w:p w14:paraId="330EFE02"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46 305 </w:t>
                                  </w:r>
                                </w:p>
                              </w:tc>
                              <w:tc>
                                <w:tcPr>
                                  <w:tcW w:w="2835" w:type="dxa"/>
                                  <w:tcBorders>
                                    <w:top w:val="nil"/>
                                    <w:left w:val="nil"/>
                                    <w:bottom w:val="nil"/>
                                    <w:right w:val="nil"/>
                                  </w:tcBorders>
                                  <w:shd w:val="clear" w:color="auto" w:fill="auto"/>
                                  <w:noWrap/>
                                  <w:vAlign w:val="bottom"/>
                                  <w:hideMark/>
                                </w:tcPr>
                                <w:p w14:paraId="61335230"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Localization </w:t>
                                  </w:r>
                                </w:p>
                              </w:tc>
                              <w:tc>
                                <w:tcPr>
                                  <w:tcW w:w="993" w:type="dxa"/>
                                  <w:tcBorders>
                                    <w:top w:val="nil"/>
                                    <w:left w:val="nil"/>
                                    <w:bottom w:val="nil"/>
                                    <w:right w:val="nil"/>
                                  </w:tcBorders>
                                  <w:shd w:val="clear" w:color="auto" w:fill="auto"/>
                                  <w:noWrap/>
                                  <w:vAlign w:val="bottom"/>
                                  <w:hideMark/>
                                </w:tcPr>
                                <w:p w14:paraId="08E4F5E0"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7</w:t>
                                  </w:r>
                                  <w:r>
                                    <w:rPr>
                                      <w:bCs/>
                                      <w:color w:val="2A2A2A"/>
                                      <w:sz w:val="22"/>
                                      <w:szCs w:val="22"/>
                                      <w:lang w:val="mi-NZ" w:eastAsia="en-US"/>
                                    </w:rPr>
                                    <w:t xml:space="preserve"> </w:t>
                                  </w:r>
                                  <w:r w:rsidRPr="008C21D6">
                                    <w:rPr>
                                      <w:bCs/>
                                      <w:color w:val="2A2A2A"/>
                                      <w:sz w:val="22"/>
                                      <w:szCs w:val="22"/>
                                      <w:lang w:val="mi-NZ" w:eastAsia="en-US"/>
                                    </w:rPr>
                                    <w:t>935 </w:t>
                                  </w:r>
                                </w:p>
                              </w:tc>
                            </w:tr>
                          </w:tbl>
                          <w:p w14:paraId="27945B0F" w14:textId="77777777" w:rsidR="00F63D94" w:rsidRDefault="00F63D94" w:rsidP="00CA7A4D"/>
                          <w:p w14:paraId="01762632" w14:textId="77777777" w:rsidR="00F63D94" w:rsidRDefault="00F63D94" w:rsidP="00CA7A4D">
                            <w:pPr>
                              <w:rPr>
                                <w:sz w:val="22"/>
                              </w:rPr>
                            </w:pPr>
                            <w:r w:rsidRPr="003070CE">
                              <w:rPr>
                                <w:b/>
                                <w:sz w:val="22"/>
                              </w:rPr>
                              <w:t xml:space="preserve">Figure </w:t>
                            </w:r>
                            <w:r>
                              <w:rPr>
                                <w:b/>
                                <w:sz w:val="22"/>
                              </w:rPr>
                              <w:t>6</w:t>
                            </w:r>
                            <w:r w:rsidRPr="004824B5">
                              <w:rPr>
                                <w:sz w:val="22"/>
                              </w:rPr>
                              <w:t xml:space="preserve">. </w:t>
                            </w:r>
                            <w:r>
                              <w:rPr>
                                <w:sz w:val="22"/>
                              </w:rPr>
                              <w:t>A peek at the meta-data of BRENDA</w:t>
                            </w:r>
                          </w:p>
                          <w:p w14:paraId="2CA3F42D" w14:textId="77777777" w:rsidR="00F63D94" w:rsidRPr="00155023" w:rsidRDefault="00F63D94" w:rsidP="00CA7A4D">
                            <w:pPr>
                              <w:rPr>
                                <w:sz w:val="22"/>
                                <w:lang w:val="mi-NZ"/>
                              </w:rPr>
                            </w:pPr>
                            <w:r>
                              <w:rPr>
                                <w:sz w:val="22"/>
                              </w:rPr>
                              <w:t>Note: “</w:t>
                            </w:r>
                            <w:r w:rsidRPr="00155023">
                              <w:rPr>
                                <w:bCs/>
                                <w:sz w:val="22"/>
                                <w:lang w:val="mi-NZ"/>
                              </w:rPr>
                              <w:t>The database covers organism-specific information on functional and molecular properties, in detail on the nomenclature, reaction and specificity, enzyme structure, stability, application and engineering, organism, ligands, literature references and links to other databases</w:t>
                            </w:r>
                            <w:r>
                              <w:rPr>
                                <w:sz w:val="22"/>
                              </w:rPr>
                              <w:t xml:space="preserve">” </w:t>
                            </w:r>
                            <w:r>
                              <w:rPr>
                                <w:sz w:val="22"/>
                              </w:rPr>
                              <w:fldChar w:fldCharType="begin"/>
                            </w:r>
                            <w:r>
                              <w:rPr>
                                <w:sz w:val="22"/>
                              </w:rPr>
                              <w:instrText xml:space="preserve"> ADDIN EN.CITE &lt;EndNote&gt;&lt;Cite&gt;&lt;Author&gt;Schomburg&lt;/Author&gt;&lt;Year&gt;2002&lt;/Year&gt;&lt;RecNum&gt;287&lt;/RecNum&gt;&lt;DisplayText&gt;(Schomburg&lt;style face="italic"&gt; et al.&lt;/style&gt;, 2002)&lt;/DisplayText&gt;&lt;record&gt;&lt;rec-number&gt;287&lt;/rec-number&gt;&lt;foreign-keys&gt;&lt;key app="EN" db-id="vav00vdrjedrwre5xsc5vxpsx0fp9arstrrf" timestamp="1516742242"&gt;287&lt;/key&gt;&lt;/foreign-keys&gt;&lt;ref-type name="Journal Article"&gt;17&lt;/ref-type&gt;&lt;contributors&gt;&lt;authors&gt;&lt;author&gt;Schomburg, I.&lt;/author&gt;&lt;author&gt;Chang, A.&lt;/author&gt;&lt;author&gt;Schomburg, D.&lt;/author&gt;&lt;/authors&gt;&lt;/contributors&gt;&lt;titles&gt;&lt;title&gt;BRENDA, enzyme data and metabolic information&lt;/title&gt;&lt;secondary-title&gt;Nucleic Acids Res&lt;/secondary-title&gt;&lt;alt-title&gt;Nucleic Acids Res&lt;/alt-title&gt;&lt;/titles&gt;&lt;periodical&gt;&lt;full-title&gt;Nucleic Acids Res&lt;/full-title&gt;&lt;/periodical&gt;&lt;alt-periodical&gt;&lt;full-title&gt;Nucleic Acids Res&lt;/full-title&gt;&lt;/alt-periodical&gt;&lt;pages&gt;47-49&lt;/pages&gt;&lt;volume&gt;30&lt;/volume&gt;&lt;dates&gt;&lt;year&gt;2002&lt;/year&gt;&lt;/dates&gt;&lt;urls&gt;&lt;/urls&gt;&lt;/record&gt;&lt;/Cite&gt;&lt;/EndNote&gt;</w:instrText>
                            </w:r>
                            <w:r>
                              <w:rPr>
                                <w:sz w:val="22"/>
                              </w:rPr>
                              <w:fldChar w:fldCharType="separate"/>
                            </w:r>
                            <w:r>
                              <w:rPr>
                                <w:noProof/>
                                <w:sz w:val="22"/>
                              </w:rPr>
                              <w:t>(Schomburg</w:t>
                            </w:r>
                            <w:r w:rsidRPr="001C037C">
                              <w:rPr>
                                <w:i/>
                                <w:noProof/>
                                <w:sz w:val="22"/>
                              </w:rPr>
                              <w:t xml:space="preserve"> et al.</w:t>
                            </w:r>
                            <w:r>
                              <w:rPr>
                                <w:noProof/>
                                <w:sz w:val="22"/>
                              </w:rPr>
                              <w:t>, 2002)</w:t>
                            </w:r>
                            <w:r>
                              <w:rPr>
                                <w:sz w:val="22"/>
                              </w:rPr>
                              <w:fldChar w:fldCharType="end"/>
                            </w:r>
                            <w:r>
                              <w:rPr>
                                <w:sz w:val="22"/>
                              </w:rPr>
                              <w:t>. It can be used to calculate or simulate metabolic pathways using “</w:t>
                            </w:r>
                            <w:r w:rsidRPr="00155023">
                              <w:rPr>
                                <w:bCs/>
                                <w:sz w:val="22"/>
                                <w:lang w:val="mi-NZ"/>
                              </w:rPr>
                              <w:t>the information of substrate/product chains and the corresponding kinetic data of the preceding and following enzymes</w:t>
                            </w:r>
                            <w:r>
                              <w:rPr>
                                <w:bCs/>
                                <w:sz w:val="22"/>
                                <w:lang w:val="mi-NZ"/>
                              </w:rPr>
                              <w:t xml:space="preserve">” </w:t>
                            </w:r>
                            <w:r>
                              <w:rPr>
                                <w:bCs/>
                                <w:sz w:val="22"/>
                                <w:lang w:val="mi-NZ"/>
                              </w:rPr>
                              <w:fldChar w:fldCharType="begin"/>
                            </w:r>
                            <w:r>
                              <w:rPr>
                                <w:bCs/>
                                <w:sz w:val="22"/>
                                <w:lang w:val="mi-NZ"/>
                              </w:rPr>
                              <w:instrText xml:space="preserve"> ADDIN EN.CITE &lt;EndNote&gt;&lt;Cite&gt;&lt;Author&gt;Schomburg&lt;/Author&gt;&lt;Year&gt;2002&lt;/Year&gt;&lt;RecNum&gt;287&lt;/RecNum&gt;&lt;DisplayText&gt;(Schomburg&lt;style face="italic"&gt; et al.&lt;/style&gt;, 2002)&lt;/DisplayText&gt;&lt;record&gt;&lt;rec-number&gt;287&lt;/rec-number&gt;&lt;foreign-keys&gt;&lt;key app="EN" db-id="vav00vdrjedrwre5xsc5vxpsx0fp9arstrrf" timestamp="1516742242"&gt;287&lt;/key&gt;&lt;/foreign-keys&gt;&lt;ref-type name="Journal Article"&gt;17&lt;/ref-type&gt;&lt;contributors&gt;&lt;authors&gt;&lt;author&gt;Schomburg, I.&lt;/author&gt;&lt;author&gt;Chang, A.&lt;/author&gt;&lt;author&gt;Schomburg, D.&lt;/author&gt;&lt;/authors&gt;&lt;/contributors&gt;&lt;titles&gt;&lt;title&gt;BRENDA, enzyme data and metabolic information&lt;/title&gt;&lt;secondary-title&gt;Nucleic Acids Res&lt;/secondary-title&gt;&lt;alt-title&gt;Nucleic Acids Res&lt;/alt-title&gt;&lt;/titles&gt;&lt;periodical&gt;&lt;full-title&gt;Nucleic Acids Res&lt;/full-title&gt;&lt;/periodical&gt;&lt;alt-periodical&gt;&lt;full-title&gt;Nucleic Acids Res&lt;/full-title&gt;&lt;/alt-periodical&gt;&lt;pages&gt;47-49&lt;/pages&gt;&lt;volume&gt;30&lt;/volume&gt;&lt;dates&gt;&lt;year&gt;2002&lt;/year&gt;&lt;/dates&gt;&lt;urls&gt;&lt;/urls&gt;&lt;/record&gt;&lt;/Cite&gt;&lt;/EndNote&gt;</w:instrText>
                            </w:r>
                            <w:r>
                              <w:rPr>
                                <w:bCs/>
                                <w:sz w:val="22"/>
                                <w:lang w:val="mi-NZ"/>
                              </w:rPr>
                              <w:fldChar w:fldCharType="separate"/>
                            </w:r>
                            <w:r>
                              <w:rPr>
                                <w:bCs/>
                                <w:noProof/>
                                <w:sz w:val="22"/>
                                <w:lang w:val="mi-NZ"/>
                              </w:rPr>
                              <w:t>(Schomburg</w:t>
                            </w:r>
                            <w:r w:rsidRPr="001C037C">
                              <w:rPr>
                                <w:bCs/>
                                <w:i/>
                                <w:noProof/>
                                <w:sz w:val="22"/>
                                <w:lang w:val="mi-NZ"/>
                              </w:rPr>
                              <w:t xml:space="preserve"> et al.</w:t>
                            </w:r>
                            <w:r>
                              <w:rPr>
                                <w:bCs/>
                                <w:noProof/>
                                <w:sz w:val="22"/>
                                <w:lang w:val="mi-NZ"/>
                              </w:rPr>
                              <w:t>, 2002)</w:t>
                            </w:r>
                            <w:r>
                              <w:rPr>
                                <w:bCs/>
                                <w:sz w:val="22"/>
                                <w:lang w:val="mi-NZ"/>
                              </w:rPr>
                              <w:fldChar w:fldCharType="end"/>
                            </w:r>
                            <w:r>
                              <w:rPr>
                                <w:bCs/>
                                <w:sz w:val="22"/>
                                <w:lang w:val="mi-NZ"/>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36710" id="Text Box 30" o:spid="_x0000_s1031" type="#_x0000_t202" style="position:absolute;margin-left:1.9pt;margin-top:18.3pt;width:405pt;height:536pt;z-index:251684864;visibility:visible;mso-wrap-style:square;mso-width-percent:0;mso-height-percent:0;mso-wrap-distance-left:9pt;mso-wrap-distance-top:9.05pt;mso-wrap-distance-right:9pt;mso-wrap-distance-bottom:9.0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OvVrAIAAIwFAAAOAAAAZHJzL2Uyb0RvYy54bWysVEtv2zAMvg/YfxB0T22nSR9BncJNkWFA&#10;0RZrh54VWU6MyZImKYmzYf99n+Q4Dbpih2EXm+Kb/EheXbeNJBthXa1VTrOTlBKhuC5rtczp1+f5&#10;4IIS55kqmdRK5HQnHL2efvxwtTUTMdQrLUthCZwoN9manK68N5MkcXwlGuZOtBEKwkrbhnk87TIp&#10;LdvCeyOTYZqeJVttS2M1F86Be9sJ6TT6ryrB/UNVOeGJzCly8/Fr43cRvsn0ik2WlplVzfdpsH/I&#10;omG1QtCDq1vmGVnb+g9XTc2tdrryJ1w3ia6qmotYA6rJ0jfVPK2YEbEWNMeZQ5vc/3PL7zePltRl&#10;Tk/RHsUaYPQsWk9udEvAQn+2xk2g9mSg6FvwgXPPd2CGstvKNuGPggjkcLU7dDd442COs9HpOIWI&#10;Q3Z2kZ4Dv+AneTU31vlPQjckEDm1gC92lW3unO9Ue5UQTSqyRTLD8+i1MajCqWWHKaLCJmiF+BGK&#10;n7Px+bA4H18OzopxNhhl6cWgKNLh4HZepEU6ms8uRze/9in19kkovyszUn4nRRf7i6jQOBQ2jDnG&#10;kRUzacmGYdjKb7FJKE4qaAaTqpbyYJS9ZyR9b7TXjfnHMT4Ypu8ZvkYTvXaMqJU/GDa10vbvxlWn&#10;D0yOag2kbxdtnJJxj/xClzsMhNXdSjnD5zVAu2POPzKLHQLQuAv+AZ9KauCk9xQlK21/vMcP+hht&#10;SCnZYicB5/c1s4IS+Vlh6C+z0QhufXyMACYe9liyOJaodTPTQCLDBTI8kkHfy56srG5ecD6KEBUi&#10;pjhi59T35Mx3lwLnh4uiiEpYW8P8nXoyPLgOXQ4j+dy+MGv2c+sxPPe63142eTO+nW6wVLpYe13V&#10;cbZDn7uu7vuPlY/bsT9P4aYcv6PW6xGd/gYAAP//AwBQSwMEFAAGAAgAAAAhAHzQloDdAAAACQEA&#10;AA8AAABkcnMvZG93bnJldi54bWxMj0FPwzAMhe9I/IfISNxYUipVVWk6ARMSmnZhcOCYNV5bLXGq&#10;JlvLv8c7wcmy39Pz9+r14p244BSHQBqylQKB1AY7UKfh6/PtoQQRkyFrXCDU8IMR1s3tTW0qG2b6&#10;wMs+dYJDKFZGQ5/SWEkZ2x69iaswIrF2DJM3idepk3YyM4d7Jx+VKqQ3A/GH3oz42mN72p+9hm2O&#10;p++8i7s4H1/yd6s2O7fdaH1/tzw/gUi4pD8zXPEZHRpmOoQz2SichpzBE4+iAMFymV0PB/ZlqixA&#10;NrX836D5BQAA//8DAFBLAQItABQABgAIAAAAIQC2gziS/gAAAOEBAAATAAAAAAAAAAAAAAAAAAAA&#10;AABbQ29udGVudF9UeXBlc10ueG1sUEsBAi0AFAAGAAgAAAAhADj9If/WAAAAlAEAAAsAAAAAAAAA&#10;AAAAAAAALwEAAF9yZWxzLy5yZWxzUEsBAi0AFAAGAAgAAAAhAD3k69WsAgAAjAUAAA4AAAAAAAAA&#10;AAAAAAAALgIAAGRycy9lMm9Eb2MueG1sUEsBAi0AFAAGAAgAAAAhAHzQloDdAAAACQEAAA8AAAAA&#10;AAAAAAAAAAAABgUAAGRycy9kb3ducmV2LnhtbFBLBQYAAAAABAAEAPMAAAAQBgAAAAA=&#10;" fillcolor="white [3201]" strokecolor="black [3200]" strokeweight="1pt">
                <v:textbox>
                  <w:txbxContent>
                    <w:tbl>
                      <w:tblPr>
                        <w:tblW w:w="7813" w:type="dxa"/>
                        <w:tblInd w:w="93" w:type="dxa"/>
                        <w:tblLayout w:type="fixed"/>
                        <w:tblLook w:val="04A0" w:firstRow="1" w:lastRow="0" w:firstColumn="1" w:lastColumn="0" w:noHBand="0" w:noVBand="1"/>
                      </w:tblPr>
                      <w:tblGrid>
                        <w:gridCol w:w="2993"/>
                        <w:gridCol w:w="992"/>
                        <w:gridCol w:w="2835"/>
                        <w:gridCol w:w="993"/>
                      </w:tblGrid>
                      <w:tr w:rsidR="00F63D94" w:rsidRPr="008C21D6" w14:paraId="39F51740" w14:textId="77777777" w:rsidTr="008C21D6">
                        <w:trPr>
                          <w:trHeight w:val="320"/>
                        </w:trPr>
                        <w:tc>
                          <w:tcPr>
                            <w:tcW w:w="2993" w:type="dxa"/>
                            <w:tcBorders>
                              <w:top w:val="nil"/>
                              <w:left w:val="nil"/>
                              <w:bottom w:val="nil"/>
                              <w:right w:val="nil"/>
                            </w:tcBorders>
                            <w:shd w:val="clear" w:color="auto" w:fill="auto"/>
                            <w:noWrap/>
                            <w:vAlign w:val="bottom"/>
                            <w:hideMark/>
                          </w:tcPr>
                          <w:p w14:paraId="7F1BBD10"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Information field </w:t>
                            </w:r>
                          </w:p>
                        </w:tc>
                        <w:tc>
                          <w:tcPr>
                            <w:tcW w:w="992" w:type="dxa"/>
                            <w:tcBorders>
                              <w:top w:val="nil"/>
                              <w:left w:val="nil"/>
                              <w:bottom w:val="nil"/>
                              <w:right w:val="nil"/>
                            </w:tcBorders>
                            <w:shd w:val="clear" w:color="auto" w:fill="auto"/>
                            <w:noWrap/>
                            <w:vAlign w:val="bottom"/>
                            <w:hideMark/>
                          </w:tcPr>
                          <w:p w14:paraId="6631036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Entries </w:t>
                            </w:r>
                          </w:p>
                        </w:tc>
                        <w:tc>
                          <w:tcPr>
                            <w:tcW w:w="2835" w:type="dxa"/>
                            <w:tcBorders>
                              <w:top w:val="nil"/>
                              <w:left w:val="nil"/>
                              <w:bottom w:val="nil"/>
                              <w:right w:val="nil"/>
                            </w:tcBorders>
                            <w:shd w:val="clear" w:color="auto" w:fill="auto"/>
                            <w:noWrap/>
                            <w:vAlign w:val="bottom"/>
                            <w:hideMark/>
                          </w:tcPr>
                          <w:p w14:paraId="015C522D"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Information field </w:t>
                            </w:r>
                          </w:p>
                        </w:tc>
                        <w:tc>
                          <w:tcPr>
                            <w:tcW w:w="993" w:type="dxa"/>
                            <w:tcBorders>
                              <w:top w:val="nil"/>
                              <w:left w:val="nil"/>
                              <w:bottom w:val="nil"/>
                              <w:right w:val="nil"/>
                            </w:tcBorders>
                            <w:shd w:val="clear" w:color="auto" w:fill="auto"/>
                            <w:noWrap/>
                            <w:vAlign w:val="bottom"/>
                            <w:hideMark/>
                          </w:tcPr>
                          <w:p w14:paraId="4DC92DF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Entries </w:t>
                            </w:r>
                          </w:p>
                        </w:tc>
                      </w:tr>
                      <w:tr w:rsidR="00F63D94" w:rsidRPr="008C21D6" w14:paraId="0BB6E0AE" w14:textId="77777777" w:rsidTr="008C21D6">
                        <w:trPr>
                          <w:trHeight w:val="320"/>
                        </w:trPr>
                        <w:tc>
                          <w:tcPr>
                            <w:tcW w:w="3985" w:type="dxa"/>
                            <w:gridSpan w:val="2"/>
                            <w:tcBorders>
                              <w:top w:val="nil"/>
                              <w:left w:val="nil"/>
                              <w:bottom w:val="nil"/>
                              <w:right w:val="nil"/>
                            </w:tcBorders>
                            <w:shd w:val="clear" w:color="auto" w:fill="auto"/>
                            <w:noWrap/>
                            <w:vAlign w:val="bottom"/>
                            <w:hideMark/>
                          </w:tcPr>
                          <w:p w14:paraId="0A89D23D"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Enzyme nomenclature </w:t>
                            </w:r>
                          </w:p>
                        </w:tc>
                        <w:tc>
                          <w:tcPr>
                            <w:tcW w:w="2835" w:type="dxa"/>
                            <w:tcBorders>
                              <w:top w:val="nil"/>
                              <w:left w:val="nil"/>
                              <w:bottom w:val="nil"/>
                              <w:right w:val="nil"/>
                            </w:tcBorders>
                            <w:shd w:val="clear" w:color="auto" w:fill="auto"/>
                            <w:noWrap/>
                            <w:vAlign w:val="bottom"/>
                            <w:hideMark/>
                          </w:tcPr>
                          <w:p w14:paraId="6453156C"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Functional parameters </w:t>
                            </w:r>
                          </w:p>
                        </w:tc>
                        <w:tc>
                          <w:tcPr>
                            <w:tcW w:w="993" w:type="dxa"/>
                            <w:tcBorders>
                              <w:top w:val="nil"/>
                              <w:left w:val="nil"/>
                              <w:bottom w:val="nil"/>
                              <w:right w:val="nil"/>
                            </w:tcBorders>
                            <w:shd w:val="clear" w:color="auto" w:fill="auto"/>
                            <w:noWrap/>
                            <w:vAlign w:val="bottom"/>
                            <w:hideMark/>
                          </w:tcPr>
                          <w:p w14:paraId="6269B0F7" w14:textId="77777777" w:rsidR="00F63D94" w:rsidRPr="008C21D6" w:rsidRDefault="00F63D94" w:rsidP="008C21D6">
                            <w:pPr>
                              <w:rPr>
                                <w:bCs/>
                                <w:color w:val="2A2A2A"/>
                                <w:sz w:val="22"/>
                                <w:szCs w:val="22"/>
                                <w:lang w:val="mi-NZ" w:eastAsia="en-US"/>
                              </w:rPr>
                            </w:pPr>
                          </w:p>
                        </w:tc>
                      </w:tr>
                      <w:tr w:rsidR="00F63D94" w:rsidRPr="008C21D6" w14:paraId="611A9AAE" w14:textId="77777777" w:rsidTr="008C21D6">
                        <w:trPr>
                          <w:trHeight w:val="360"/>
                        </w:trPr>
                        <w:tc>
                          <w:tcPr>
                            <w:tcW w:w="2993" w:type="dxa"/>
                            <w:tcBorders>
                              <w:top w:val="nil"/>
                              <w:left w:val="nil"/>
                              <w:bottom w:val="nil"/>
                              <w:right w:val="nil"/>
                            </w:tcBorders>
                            <w:shd w:val="clear" w:color="auto" w:fill="auto"/>
                            <w:noWrap/>
                            <w:vAlign w:val="bottom"/>
                            <w:hideMark/>
                          </w:tcPr>
                          <w:p w14:paraId="01D62ABD"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EC number </w:t>
                            </w:r>
                          </w:p>
                        </w:tc>
                        <w:tc>
                          <w:tcPr>
                            <w:tcW w:w="992" w:type="dxa"/>
                            <w:tcBorders>
                              <w:top w:val="nil"/>
                              <w:left w:val="nil"/>
                              <w:bottom w:val="nil"/>
                              <w:right w:val="nil"/>
                            </w:tcBorders>
                            <w:shd w:val="clear" w:color="auto" w:fill="auto"/>
                            <w:noWrap/>
                            <w:vAlign w:val="bottom"/>
                            <w:hideMark/>
                          </w:tcPr>
                          <w:p w14:paraId="103238A1"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w:t>
                            </w:r>
                            <w:r>
                              <w:rPr>
                                <w:bCs/>
                                <w:color w:val="2A2A2A"/>
                                <w:sz w:val="22"/>
                                <w:szCs w:val="22"/>
                                <w:lang w:val="mi-NZ" w:eastAsia="en-US"/>
                              </w:rPr>
                              <w:t xml:space="preserve"> </w:t>
                            </w:r>
                            <w:r w:rsidRPr="008C21D6">
                              <w:rPr>
                                <w:bCs/>
                                <w:color w:val="2A2A2A"/>
                                <w:sz w:val="22"/>
                                <w:szCs w:val="22"/>
                                <w:lang w:val="mi-NZ" w:eastAsia="en-US"/>
                              </w:rPr>
                              <w:t>869 </w:t>
                            </w:r>
                          </w:p>
                        </w:tc>
                        <w:tc>
                          <w:tcPr>
                            <w:tcW w:w="2835" w:type="dxa"/>
                            <w:tcBorders>
                              <w:top w:val="nil"/>
                              <w:left w:val="nil"/>
                              <w:bottom w:val="nil"/>
                              <w:right w:val="nil"/>
                            </w:tcBorders>
                            <w:shd w:val="clear" w:color="auto" w:fill="auto"/>
                            <w:noWrap/>
                            <w:vAlign w:val="bottom"/>
                            <w:hideMark/>
                          </w:tcPr>
                          <w:p w14:paraId="71B33328" w14:textId="77777777" w:rsidR="00F63D94" w:rsidRPr="008C21D6" w:rsidRDefault="00F63D94" w:rsidP="008C21D6">
                            <w:pPr>
                              <w:rPr>
                                <w:bCs/>
                                <w:i/>
                                <w:iCs/>
                                <w:color w:val="2A2A2A"/>
                                <w:sz w:val="22"/>
                                <w:szCs w:val="22"/>
                                <w:lang w:val="mi-NZ" w:eastAsia="en-US"/>
                              </w:rPr>
                            </w:pPr>
                            <w:r w:rsidRPr="008C21D6">
                              <w:rPr>
                                <w:bCs/>
                                <w:i/>
                                <w:iCs/>
                                <w:color w:val="2A2A2A"/>
                                <w:sz w:val="22"/>
                                <w:szCs w:val="22"/>
                                <w:lang w:val="mi-NZ" w:eastAsia="en-US"/>
                              </w:rPr>
                              <w:t>K</w:t>
                            </w:r>
                            <w:r w:rsidRPr="008C21D6">
                              <w:rPr>
                                <w:bCs/>
                                <w:color w:val="2A2A2A"/>
                                <w:sz w:val="22"/>
                                <w:szCs w:val="22"/>
                                <w:vertAlign w:val="subscript"/>
                                <w:lang w:val="mi-NZ" w:eastAsia="en-US"/>
                              </w:rPr>
                              <w:t>m</w:t>
                            </w:r>
                            <w:r w:rsidRPr="008C21D6">
                              <w:rPr>
                                <w:bCs/>
                                <w:color w:val="2A2A2A"/>
                                <w:sz w:val="22"/>
                                <w:szCs w:val="22"/>
                                <w:lang w:val="mi-NZ" w:eastAsia="en-US"/>
                              </w:rPr>
                              <w:t> value </w:t>
                            </w:r>
                          </w:p>
                        </w:tc>
                        <w:tc>
                          <w:tcPr>
                            <w:tcW w:w="993" w:type="dxa"/>
                            <w:tcBorders>
                              <w:top w:val="nil"/>
                              <w:left w:val="nil"/>
                              <w:bottom w:val="nil"/>
                              <w:right w:val="nil"/>
                            </w:tcBorders>
                            <w:shd w:val="clear" w:color="auto" w:fill="auto"/>
                            <w:noWrap/>
                            <w:vAlign w:val="bottom"/>
                            <w:hideMark/>
                          </w:tcPr>
                          <w:p w14:paraId="02BE7EFE"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28 134 </w:t>
                            </w:r>
                          </w:p>
                        </w:tc>
                      </w:tr>
                      <w:tr w:rsidR="00F63D94" w:rsidRPr="008C21D6" w14:paraId="7F61BADB" w14:textId="77777777" w:rsidTr="008C21D6">
                        <w:trPr>
                          <w:trHeight w:val="320"/>
                        </w:trPr>
                        <w:tc>
                          <w:tcPr>
                            <w:tcW w:w="2993" w:type="dxa"/>
                            <w:tcBorders>
                              <w:top w:val="nil"/>
                              <w:left w:val="nil"/>
                              <w:bottom w:val="nil"/>
                              <w:right w:val="nil"/>
                            </w:tcBorders>
                            <w:shd w:val="clear" w:color="auto" w:fill="auto"/>
                            <w:noWrap/>
                            <w:vAlign w:val="bottom"/>
                            <w:hideMark/>
                          </w:tcPr>
                          <w:p w14:paraId="54ACFF32"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Recommended name </w:t>
                            </w:r>
                          </w:p>
                        </w:tc>
                        <w:tc>
                          <w:tcPr>
                            <w:tcW w:w="992" w:type="dxa"/>
                            <w:tcBorders>
                              <w:top w:val="nil"/>
                              <w:left w:val="nil"/>
                              <w:bottom w:val="nil"/>
                              <w:right w:val="nil"/>
                            </w:tcBorders>
                            <w:shd w:val="clear" w:color="auto" w:fill="auto"/>
                            <w:noWrap/>
                            <w:vAlign w:val="bottom"/>
                            <w:hideMark/>
                          </w:tcPr>
                          <w:p w14:paraId="0BC706EC"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w:t>
                            </w:r>
                            <w:r>
                              <w:rPr>
                                <w:bCs/>
                                <w:color w:val="2A2A2A"/>
                                <w:sz w:val="22"/>
                                <w:szCs w:val="22"/>
                                <w:lang w:val="mi-NZ" w:eastAsia="en-US"/>
                              </w:rPr>
                              <w:t xml:space="preserve"> </w:t>
                            </w:r>
                            <w:r w:rsidRPr="008C21D6">
                              <w:rPr>
                                <w:bCs/>
                                <w:color w:val="2A2A2A"/>
                                <w:sz w:val="22"/>
                                <w:szCs w:val="22"/>
                                <w:lang w:val="mi-NZ" w:eastAsia="en-US"/>
                              </w:rPr>
                              <w:t>509 </w:t>
                            </w:r>
                          </w:p>
                        </w:tc>
                        <w:tc>
                          <w:tcPr>
                            <w:tcW w:w="2835" w:type="dxa"/>
                            <w:tcBorders>
                              <w:top w:val="nil"/>
                              <w:left w:val="nil"/>
                              <w:bottom w:val="nil"/>
                              <w:right w:val="nil"/>
                            </w:tcBorders>
                            <w:shd w:val="clear" w:color="auto" w:fill="auto"/>
                            <w:noWrap/>
                            <w:vAlign w:val="bottom"/>
                            <w:hideMark/>
                          </w:tcPr>
                          <w:p w14:paraId="6D613278"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Turnover number </w:t>
                            </w:r>
                          </w:p>
                        </w:tc>
                        <w:tc>
                          <w:tcPr>
                            <w:tcW w:w="993" w:type="dxa"/>
                            <w:tcBorders>
                              <w:top w:val="nil"/>
                              <w:left w:val="nil"/>
                              <w:bottom w:val="nil"/>
                              <w:right w:val="nil"/>
                            </w:tcBorders>
                            <w:shd w:val="clear" w:color="auto" w:fill="auto"/>
                            <w:noWrap/>
                            <w:vAlign w:val="bottom"/>
                            <w:hideMark/>
                          </w:tcPr>
                          <w:p w14:paraId="44DA224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w:t>
                            </w:r>
                            <w:r>
                              <w:rPr>
                                <w:bCs/>
                                <w:color w:val="2A2A2A"/>
                                <w:sz w:val="22"/>
                                <w:szCs w:val="22"/>
                                <w:lang w:val="mi-NZ" w:eastAsia="en-US"/>
                              </w:rPr>
                              <w:t xml:space="preserve"> </w:t>
                            </w:r>
                            <w:r w:rsidRPr="008C21D6">
                              <w:rPr>
                                <w:bCs/>
                                <w:color w:val="2A2A2A"/>
                                <w:sz w:val="22"/>
                                <w:szCs w:val="22"/>
                                <w:lang w:val="mi-NZ" w:eastAsia="en-US"/>
                              </w:rPr>
                              <w:t>986 </w:t>
                            </w:r>
                          </w:p>
                        </w:tc>
                      </w:tr>
                      <w:tr w:rsidR="00F63D94" w:rsidRPr="008C21D6" w14:paraId="449BD250" w14:textId="77777777" w:rsidTr="008C21D6">
                        <w:trPr>
                          <w:trHeight w:val="320"/>
                        </w:trPr>
                        <w:tc>
                          <w:tcPr>
                            <w:tcW w:w="2993" w:type="dxa"/>
                            <w:tcBorders>
                              <w:top w:val="nil"/>
                              <w:left w:val="nil"/>
                              <w:bottom w:val="nil"/>
                              <w:right w:val="nil"/>
                            </w:tcBorders>
                            <w:shd w:val="clear" w:color="auto" w:fill="auto"/>
                            <w:noWrap/>
                            <w:vAlign w:val="bottom"/>
                            <w:hideMark/>
                          </w:tcPr>
                          <w:p w14:paraId="634A652F"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Systematic name </w:t>
                            </w:r>
                          </w:p>
                        </w:tc>
                        <w:tc>
                          <w:tcPr>
                            <w:tcW w:w="992" w:type="dxa"/>
                            <w:tcBorders>
                              <w:top w:val="nil"/>
                              <w:left w:val="nil"/>
                              <w:bottom w:val="nil"/>
                              <w:right w:val="nil"/>
                            </w:tcBorders>
                            <w:shd w:val="clear" w:color="auto" w:fill="auto"/>
                            <w:noWrap/>
                            <w:vAlign w:val="bottom"/>
                            <w:hideMark/>
                          </w:tcPr>
                          <w:p w14:paraId="38189F35"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w:t>
                            </w:r>
                            <w:r>
                              <w:rPr>
                                <w:bCs/>
                                <w:color w:val="2A2A2A"/>
                                <w:sz w:val="22"/>
                                <w:szCs w:val="22"/>
                                <w:lang w:val="mi-NZ" w:eastAsia="en-US"/>
                              </w:rPr>
                              <w:t xml:space="preserve"> </w:t>
                            </w:r>
                            <w:r w:rsidRPr="008C21D6">
                              <w:rPr>
                                <w:bCs/>
                                <w:color w:val="2A2A2A"/>
                                <w:sz w:val="22"/>
                                <w:szCs w:val="22"/>
                                <w:lang w:val="mi-NZ" w:eastAsia="en-US"/>
                              </w:rPr>
                              <w:t>182 </w:t>
                            </w:r>
                          </w:p>
                        </w:tc>
                        <w:tc>
                          <w:tcPr>
                            <w:tcW w:w="2835" w:type="dxa"/>
                            <w:tcBorders>
                              <w:top w:val="nil"/>
                              <w:left w:val="nil"/>
                              <w:bottom w:val="nil"/>
                              <w:right w:val="nil"/>
                            </w:tcBorders>
                            <w:shd w:val="clear" w:color="auto" w:fill="auto"/>
                            <w:noWrap/>
                            <w:vAlign w:val="bottom"/>
                            <w:hideMark/>
                          </w:tcPr>
                          <w:p w14:paraId="23A073A5"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Specific activity </w:t>
                            </w:r>
                          </w:p>
                        </w:tc>
                        <w:tc>
                          <w:tcPr>
                            <w:tcW w:w="993" w:type="dxa"/>
                            <w:tcBorders>
                              <w:top w:val="nil"/>
                              <w:left w:val="nil"/>
                              <w:bottom w:val="nil"/>
                              <w:right w:val="nil"/>
                            </w:tcBorders>
                            <w:shd w:val="clear" w:color="auto" w:fill="auto"/>
                            <w:noWrap/>
                            <w:vAlign w:val="bottom"/>
                            <w:hideMark/>
                          </w:tcPr>
                          <w:p w14:paraId="5D814E0B"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11 787 </w:t>
                            </w:r>
                          </w:p>
                        </w:tc>
                      </w:tr>
                      <w:tr w:rsidR="00F63D94" w:rsidRPr="008C21D6" w14:paraId="3557CB85" w14:textId="77777777" w:rsidTr="008C21D6">
                        <w:trPr>
                          <w:trHeight w:val="320"/>
                        </w:trPr>
                        <w:tc>
                          <w:tcPr>
                            <w:tcW w:w="2993" w:type="dxa"/>
                            <w:tcBorders>
                              <w:top w:val="nil"/>
                              <w:left w:val="nil"/>
                              <w:bottom w:val="nil"/>
                              <w:right w:val="nil"/>
                            </w:tcBorders>
                            <w:shd w:val="clear" w:color="auto" w:fill="auto"/>
                            <w:noWrap/>
                            <w:vAlign w:val="bottom"/>
                            <w:hideMark/>
                          </w:tcPr>
                          <w:p w14:paraId="28E02A7E"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Synonyms </w:t>
                            </w:r>
                          </w:p>
                        </w:tc>
                        <w:tc>
                          <w:tcPr>
                            <w:tcW w:w="992" w:type="dxa"/>
                            <w:tcBorders>
                              <w:top w:val="nil"/>
                              <w:left w:val="nil"/>
                              <w:bottom w:val="nil"/>
                              <w:right w:val="nil"/>
                            </w:tcBorders>
                            <w:shd w:val="clear" w:color="auto" w:fill="auto"/>
                            <w:noWrap/>
                            <w:vAlign w:val="bottom"/>
                            <w:hideMark/>
                          </w:tcPr>
                          <w:p w14:paraId="3ACAFF09"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17 707 </w:t>
                            </w:r>
                          </w:p>
                        </w:tc>
                        <w:tc>
                          <w:tcPr>
                            <w:tcW w:w="2835" w:type="dxa"/>
                            <w:tcBorders>
                              <w:top w:val="nil"/>
                              <w:left w:val="nil"/>
                              <w:bottom w:val="nil"/>
                              <w:right w:val="nil"/>
                            </w:tcBorders>
                            <w:shd w:val="clear" w:color="auto" w:fill="auto"/>
                            <w:noWrap/>
                            <w:vAlign w:val="bottom"/>
                            <w:hideMark/>
                          </w:tcPr>
                          <w:p w14:paraId="18A6DF41"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pH optimum </w:t>
                            </w:r>
                          </w:p>
                        </w:tc>
                        <w:tc>
                          <w:tcPr>
                            <w:tcW w:w="993" w:type="dxa"/>
                            <w:tcBorders>
                              <w:top w:val="nil"/>
                              <w:left w:val="nil"/>
                              <w:bottom w:val="nil"/>
                              <w:right w:val="nil"/>
                            </w:tcBorders>
                            <w:shd w:val="clear" w:color="auto" w:fill="auto"/>
                            <w:noWrap/>
                            <w:vAlign w:val="bottom"/>
                            <w:hideMark/>
                          </w:tcPr>
                          <w:p w14:paraId="54CF7211"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14 037 </w:t>
                            </w:r>
                          </w:p>
                        </w:tc>
                      </w:tr>
                      <w:tr w:rsidR="00F63D94" w:rsidRPr="008C21D6" w14:paraId="2B2ACA53" w14:textId="77777777" w:rsidTr="008C21D6">
                        <w:trPr>
                          <w:trHeight w:val="320"/>
                        </w:trPr>
                        <w:tc>
                          <w:tcPr>
                            <w:tcW w:w="2993" w:type="dxa"/>
                            <w:tcBorders>
                              <w:top w:val="nil"/>
                              <w:left w:val="nil"/>
                              <w:bottom w:val="nil"/>
                              <w:right w:val="nil"/>
                            </w:tcBorders>
                            <w:shd w:val="clear" w:color="auto" w:fill="auto"/>
                            <w:noWrap/>
                            <w:vAlign w:val="bottom"/>
                            <w:hideMark/>
                          </w:tcPr>
                          <w:p w14:paraId="042782E3"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CAS registry number </w:t>
                            </w:r>
                          </w:p>
                        </w:tc>
                        <w:tc>
                          <w:tcPr>
                            <w:tcW w:w="992" w:type="dxa"/>
                            <w:tcBorders>
                              <w:top w:val="nil"/>
                              <w:left w:val="nil"/>
                              <w:bottom w:val="nil"/>
                              <w:right w:val="nil"/>
                            </w:tcBorders>
                            <w:shd w:val="clear" w:color="auto" w:fill="auto"/>
                            <w:noWrap/>
                            <w:vAlign w:val="bottom"/>
                            <w:hideMark/>
                          </w:tcPr>
                          <w:p w14:paraId="7AD50292"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w:t>
                            </w:r>
                            <w:r>
                              <w:rPr>
                                <w:bCs/>
                                <w:color w:val="2A2A2A"/>
                                <w:sz w:val="22"/>
                                <w:szCs w:val="22"/>
                                <w:lang w:val="mi-NZ" w:eastAsia="en-US"/>
                              </w:rPr>
                              <w:t xml:space="preserve"> </w:t>
                            </w:r>
                            <w:r w:rsidRPr="008C21D6">
                              <w:rPr>
                                <w:bCs/>
                                <w:color w:val="2A2A2A"/>
                                <w:sz w:val="22"/>
                                <w:szCs w:val="22"/>
                                <w:lang w:val="mi-NZ" w:eastAsia="en-US"/>
                              </w:rPr>
                              <w:t>552 </w:t>
                            </w:r>
                          </w:p>
                        </w:tc>
                        <w:tc>
                          <w:tcPr>
                            <w:tcW w:w="2835" w:type="dxa"/>
                            <w:tcBorders>
                              <w:top w:val="nil"/>
                              <w:left w:val="nil"/>
                              <w:bottom w:val="nil"/>
                              <w:right w:val="nil"/>
                            </w:tcBorders>
                            <w:shd w:val="clear" w:color="auto" w:fill="auto"/>
                            <w:noWrap/>
                            <w:vAlign w:val="bottom"/>
                            <w:hideMark/>
                          </w:tcPr>
                          <w:p w14:paraId="58D09F83"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pH range </w:t>
                            </w:r>
                          </w:p>
                        </w:tc>
                        <w:tc>
                          <w:tcPr>
                            <w:tcW w:w="993" w:type="dxa"/>
                            <w:tcBorders>
                              <w:top w:val="nil"/>
                              <w:left w:val="nil"/>
                              <w:bottom w:val="nil"/>
                              <w:right w:val="nil"/>
                            </w:tcBorders>
                            <w:shd w:val="clear" w:color="auto" w:fill="auto"/>
                            <w:noWrap/>
                            <w:vAlign w:val="bottom"/>
                            <w:hideMark/>
                          </w:tcPr>
                          <w:p w14:paraId="568443D3"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w:t>
                            </w:r>
                            <w:r>
                              <w:rPr>
                                <w:bCs/>
                                <w:color w:val="2A2A2A"/>
                                <w:sz w:val="22"/>
                                <w:szCs w:val="22"/>
                                <w:lang w:val="mi-NZ" w:eastAsia="en-US"/>
                              </w:rPr>
                              <w:t xml:space="preserve"> </w:t>
                            </w:r>
                            <w:r w:rsidRPr="008C21D6">
                              <w:rPr>
                                <w:bCs/>
                                <w:color w:val="2A2A2A"/>
                                <w:sz w:val="22"/>
                                <w:szCs w:val="22"/>
                                <w:lang w:val="mi-NZ" w:eastAsia="en-US"/>
                              </w:rPr>
                              <w:t>929 </w:t>
                            </w:r>
                          </w:p>
                        </w:tc>
                      </w:tr>
                      <w:tr w:rsidR="00F63D94" w:rsidRPr="008C21D6" w14:paraId="46728C1C" w14:textId="77777777" w:rsidTr="008C21D6">
                        <w:trPr>
                          <w:trHeight w:val="320"/>
                        </w:trPr>
                        <w:tc>
                          <w:tcPr>
                            <w:tcW w:w="2993" w:type="dxa"/>
                            <w:tcBorders>
                              <w:top w:val="nil"/>
                              <w:left w:val="nil"/>
                              <w:bottom w:val="nil"/>
                              <w:right w:val="nil"/>
                            </w:tcBorders>
                            <w:shd w:val="clear" w:color="auto" w:fill="auto"/>
                            <w:noWrap/>
                            <w:vAlign w:val="bottom"/>
                            <w:hideMark/>
                          </w:tcPr>
                          <w:p w14:paraId="23A08F5F"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Reaction  </w:t>
                            </w:r>
                          </w:p>
                        </w:tc>
                        <w:tc>
                          <w:tcPr>
                            <w:tcW w:w="992" w:type="dxa"/>
                            <w:tcBorders>
                              <w:top w:val="nil"/>
                              <w:left w:val="nil"/>
                              <w:bottom w:val="nil"/>
                              <w:right w:val="nil"/>
                            </w:tcBorders>
                            <w:shd w:val="clear" w:color="auto" w:fill="auto"/>
                            <w:noWrap/>
                            <w:vAlign w:val="bottom"/>
                            <w:hideMark/>
                          </w:tcPr>
                          <w:p w14:paraId="61A8F259"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w:t>
                            </w:r>
                            <w:r>
                              <w:rPr>
                                <w:bCs/>
                                <w:color w:val="2A2A2A"/>
                                <w:sz w:val="22"/>
                                <w:szCs w:val="22"/>
                                <w:lang w:val="mi-NZ" w:eastAsia="en-US"/>
                              </w:rPr>
                              <w:t xml:space="preserve"> </w:t>
                            </w:r>
                            <w:r w:rsidRPr="008C21D6">
                              <w:rPr>
                                <w:bCs/>
                                <w:color w:val="2A2A2A"/>
                                <w:sz w:val="22"/>
                                <w:szCs w:val="22"/>
                                <w:lang w:val="mi-NZ" w:eastAsia="en-US"/>
                              </w:rPr>
                              <w:t>518 </w:t>
                            </w:r>
                          </w:p>
                        </w:tc>
                        <w:tc>
                          <w:tcPr>
                            <w:tcW w:w="2835" w:type="dxa"/>
                            <w:tcBorders>
                              <w:top w:val="nil"/>
                              <w:left w:val="nil"/>
                              <w:bottom w:val="nil"/>
                              <w:right w:val="nil"/>
                            </w:tcBorders>
                            <w:shd w:val="clear" w:color="auto" w:fill="auto"/>
                            <w:noWrap/>
                            <w:vAlign w:val="bottom"/>
                            <w:hideMark/>
                          </w:tcPr>
                          <w:p w14:paraId="29661B12"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Temperature optimum </w:t>
                            </w:r>
                          </w:p>
                        </w:tc>
                        <w:tc>
                          <w:tcPr>
                            <w:tcW w:w="993" w:type="dxa"/>
                            <w:tcBorders>
                              <w:top w:val="nil"/>
                              <w:left w:val="nil"/>
                              <w:bottom w:val="nil"/>
                              <w:right w:val="nil"/>
                            </w:tcBorders>
                            <w:shd w:val="clear" w:color="auto" w:fill="auto"/>
                            <w:noWrap/>
                            <w:vAlign w:val="bottom"/>
                            <w:hideMark/>
                          </w:tcPr>
                          <w:p w14:paraId="4D295A1B"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6</w:t>
                            </w:r>
                            <w:r>
                              <w:rPr>
                                <w:bCs/>
                                <w:color w:val="2A2A2A"/>
                                <w:sz w:val="22"/>
                                <w:szCs w:val="22"/>
                                <w:lang w:val="mi-NZ" w:eastAsia="en-US"/>
                              </w:rPr>
                              <w:t xml:space="preserve"> </w:t>
                            </w:r>
                            <w:r w:rsidRPr="008C21D6">
                              <w:rPr>
                                <w:bCs/>
                                <w:color w:val="2A2A2A"/>
                                <w:sz w:val="22"/>
                                <w:szCs w:val="22"/>
                                <w:lang w:val="mi-NZ" w:eastAsia="en-US"/>
                              </w:rPr>
                              <w:t>147 </w:t>
                            </w:r>
                          </w:p>
                        </w:tc>
                      </w:tr>
                      <w:tr w:rsidR="00F63D94" w:rsidRPr="008C21D6" w14:paraId="68200217" w14:textId="77777777" w:rsidTr="008C21D6">
                        <w:trPr>
                          <w:trHeight w:val="320"/>
                        </w:trPr>
                        <w:tc>
                          <w:tcPr>
                            <w:tcW w:w="2993" w:type="dxa"/>
                            <w:tcBorders>
                              <w:top w:val="nil"/>
                              <w:left w:val="nil"/>
                              <w:bottom w:val="nil"/>
                              <w:right w:val="nil"/>
                            </w:tcBorders>
                            <w:shd w:val="clear" w:color="auto" w:fill="auto"/>
                            <w:noWrap/>
                            <w:vAlign w:val="bottom"/>
                            <w:hideMark/>
                          </w:tcPr>
                          <w:p w14:paraId="3375E0E5"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Reaction type </w:t>
                            </w:r>
                          </w:p>
                        </w:tc>
                        <w:tc>
                          <w:tcPr>
                            <w:tcW w:w="992" w:type="dxa"/>
                            <w:tcBorders>
                              <w:top w:val="nil"/>
                              <w:left w:val="nil"/>
                              <w:bottom w:val="nil"/>
                              <w:right w:val="nil"/>
                            </w:tcBorders>
                            <w:shd w:val="clear" w:color="auto" w:fill="auto"/>
                            <w:noWrap/>
                            <w:vAlign w:val="bottom"/>
                            <w:hideMark/>
                          </w:tcPr>
                          <w:p w14:paraId="4C41790C"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4</w:t>
                            </w:r>
                            <w:r>
                              <w:rPr>
                                <w:bCs/>
                                <w:color w:val="2A2A2A"/>
                                <w:sz w:val="22"/>
                                <w:szCs w:val="22"/>
                                <w:lang w:val="mi-NZ" w:eastAsia="en-US"/>
                              </w:rPr>
                              <w:t xml:space="preserve"> </w:t>
                            </w:r>
                            <w:r w:rsidRPr="008C21D6">
                              <w:rPr>
                                <w:bCs/>
                                <w:color w:val="2A2A2A"/>
                                <w:sz w:val="22"/>
                                <w:szCs w:val="22"/>
                                <w:lang w:val="mi-NZ" w:eastAsia="en-US"/>
                              </w:rPr>
                              <w:t>123 </w:t>
                            </w:r>
                          </w:p>
                        </w:tc>
                        <w:tc>
                          <w:tcPr>
                            <w:tcW w:w="2835" w:type="dxa"/>
                            <w:tcBorders>
                              <w:top w:val="nil"/>
                              <w:left w:val="nil"/>
                              <w:bottom w:val="nil"/>
                              <w:right w:val="nil"/>
                            </w:tcBorders>
                            <w:shd w:val="clear" w:color="auto" w:fill="auto"/>
                            <w:noWrap/>
                            <w:vAlign w:val="bottom"/>
                            <w:hideMark/>
                          </w:tcPr>
                          <w:p w14:paraId="06CDA29F"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Temperature range </w:t>
                            </w:r>
                          </w:p>
                        </w:tc>
                        <w:tc>
                          <w:tcPr>
                            <w:tcW w:w="993" w:type="dxa"/>
                            <w:tcBorders>
                              <w:top w:val="nil"/>
                              <w:left w:val="nil"/>
                              <w:bottom w:val="nil"/>
                              <w:right w:val="nil"/>
                            </w:tcBorders>
                            <w:shd w:val="clear" w:color="auto" w:fill="auto"/>
                            <w:noWrap/>
                            <w:vAlign w:val="bottom"/>
                            <w:hideMark/>
                          </w:tcPr>
                          <w:p w14:paraId="19E4586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908 </w:t>
                            </w:r>
                          </w:p>
                        </w:tc>
                      </w:tr>
                      <w:tr w:rsidR="00F63D94" w:rsidRPr="008C21D6" w14:paraId="4285EF84" w14:textId="77777777" w:rsidTr="008C21D6">
                        <w:trPr>
                          <w:trHeight w:val="320"/>
                        </w:trPr>
                        <w:tc>
                          <w:tcPr>
                            <w:tcW w:w="3985" w:type="dxa"/>
                            <w:gridSpan w:val="2"/>
                            <w:tcBorders>
                              <w:top w:val="nil"/>
                              <w:left w:val="nil"/>
                              <w:bottom w:val="nil"/>
                              <w:right w:val="nil"/>
                            </w:tcBorders>
                            <w:shd w:val="clear" w:color="auto" w:fill="auto"/>
                            <w:noWrap/>
                            <w:vAlign w:val="bottom"/>
                            <w:hideMark/>
                          </w:tcPr>
                          <w:p w14:paraId="2EFD1FAC"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Enzyme structure </w:t>
                            </w:r>
                          </w:p>
                        </w:tc>
                        <w:tc>
                          <w:tcPr>
                            <w:tcW w:w="2835" w:type="dxa"/>
                            <w:tcBorders>
                              <w:top w:val="nil"/>
                              <w:left w:val="nil"/>
                              <w:bottom w:val="nil"/>
                              <w:right w:val="nil"/>
                            </w:tcBorders>
                            <w:shd w:val="clear" w:color="auto" w:fill="auto"/>
                            <w:noWrap/>
                            <w:vAlign w:val="bottom"/>
                            <w:hideMark/>
                          </w:tcPr>
                          <w:p w14:paraId="3FB4D1DE"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Molecular properties </w:t>
                            </w:r>
                          </w:p>
                        </w:tc>
                        <w:tc>
                          <w:tcPr>
                            <w:tcW w:w="993" w:type="dxa"/>
                            <w:tcBorders>
                              <w:top w:val="nil"/>
                              <w:left w:val="nil"/>
                              <w:bottom w:val="nil"/>
                              <w:right w:val="nil"/>
                            </w:tcBorders>
                            <w:shd w:val="clear" w:color="auto" w:fill="auto"/>
                            <w:noWrap/>
                            <w:vAlign w:val="bottom"/>
                            <w:hideMark/>
                          </w:tcPr>
                          <w:p w14:paraId="16E3F6F6" w14:textId="77777777" w:rsidR="00F63D94" w:rsidRPr="008C21D6" w:rsidRDefault="00F63D94" w:rsidP="008C21D6">
                            <w:pPr>
                              <w:rPr>
                                <w:bCs/>
                                <w:color w:val="2A2A2A"/>
                                <w:sz w:val="22"/>
                                <w:szCs w:val="22"/>
                                <w:lang w:val="mi-NZ" w:eastAsia="en-US"/>
                              </w:rPr>
                            </w:pPr>
                          </w:p>
                        </w:tc>
                      </w:tr>
                      <w:tr w:rsidR="00F63D94" w:rsidRPr="008C21D6" w14:paraId="09290D23" w14:textId="77777777" w:rsidTr="008C21D6">
                        <w:trPr>
                          <w:trHeight w:val="320"/>
                        </w:trPr>
                        <w:tc>
                          <w:tcPr>
                            <w:tcW w:w="2993" w:type="dxa"/>
                            <w:tcBorders>
                              <w:top w:val="nil"/>
                              <w:left w:val="nil"/>
                              <w:bottom w:val="nil"/>
                              <w:right w:val="nil"/>
                            </w:tcBorders>
                            <w:shd w:val="clear" w:color="auto" w:fill="auto"/>
                            <w:noWrap/>
                            <w:vAlign w:val="bottom"/>
                            <w:hideMark/>
                          </w:tcPr>
                          <w:p w14:paraId="274284FA"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Molecular weight </w:t>
                            </w:r>
                          </w:p>
                        </w:tc>
                        <w:tc>
                          <w:tcPr>
                            <w:tcW w:w="992" w:type="dxa"/>
                            <w:tcBorders>
                              <w:top w:val="nil"/>
                              <w:left w:val="nil"/>
                              <w:bottom w:val="nil"/>
                              <w:right w:val="nil"/>
                            </w:tcBorders>
                            <w:shd w:val="clear" w:color="auto" w:fill="auto"/>
                            <w:noWrap/>
                            <w:vAlign w:val="bottom"/>
                            <w:hideMark/>
                          </w:tcPr>
                          <w:p w14:paraId="3DF4457C"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12 329 </w:t>
                            </w:r>
                          </w:p>
                        </w:tc>
                        <w:tc>
                          <w:tcPr>
                            <w:tcW w:w="2835" w:type="dxa"/>
                            <w:tcBorders>
                              <w:top w:val="nil"/>
                              <w:left w:val="nil"/>
                              <w:bottom w:val="nil"/>
                              <w:right w:val="nil"/>
                            </w:tcBorders>
                            <w:shd w:val="clear" w:color="auto" w:fill="auto"/>
                            <w:noWrap/>
                            <w:vAlign w:val="bottom"/>
                            <w:hideMark/>
                          </w:tcPr>
                          <w:p w14:paraId="5F1A77A4"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pH stability </w:t>
                            </w:r>
                          </w:p>
                        </w:tc>
                        <w:tc>
                          <w:tcPr>
                            <w:tcW w:w="993" w:type="dxa"/>
                            <w:tcBorders>
                              <w:top w:val="nil"/>
                              <w:left w:val="nil"/>
                              <w:bottom w:val="nil"/>
                              <w:right w:val="nil"/>
                            </w:tcBorders>
                            <w:shd w:val="clear" w:color="auto" w:fill="auto"/>
                            <w:noWrap/>
                            <w:vAlign w:val="bottom"/>
                            <w:hideMark/>
                          </w:tcPr>
                          <w:p w14:paraId="156CC75E"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2</w:t>
                            </w:r>
                            <w:r>
                              <w:rPr>
                                <w:bCs/>
                                <w:color w:val="2A2A2A"/>
                                <w:sz w:val="22"/>
                                <w:szCs w:val="22"/>
                                <w:lang w:val="mi-NZ" w:eastAsia="en-US"/>
                              </w:rPr>
                              <w:t xml:space="preserve"> </w:t>
                            </w:r>
                            <w:r w:rsidRPr="008C21D6">
                              <w:rPr>
                                <w:bCs/>
                                <w:color w:val="2A2A2A"/>
                                <w:sz w:val="22"/>
                                <w:szCs w:val="22"/>
                                <w:lang w:val="mi-NZ" w:eastAsia="en-US"/>
                              </w:rPr>
                              <w:t>931 </w:t>
                            </w:r>
                          </w:p>
                        </w:tc>
                      </w:tr>
                      <w:tr w:rsidR="00F63D94" w:rsidRPr="008C21D6" w14:paraId="60576A7C" w14:textId="77777777" w:rsidTr="008C21D6">
                        <w:trPr>
                          <w:trHeight w:val="320"/>
                        </w:trPr>
                        <w:tc>
                          <w:tcPr>
                            <w:tcW w:w="2993" w:type="dxa"/>
                            <w:tcBorders>
                              <w:top w:val="nil"/>
                              <w:left w:val="nil"/>
                              <w:bottom w:val="nil"/>
                              <w:right w:val="nil"/>
                            </w:tcBorders>
                            <w:shd w:val="clear" w:color="auto" w:fill="auto"/>
                            <w:noWrap/>
                            <w:vAlign w:val="bottom"/>
                            <w:hideMark/>
                          </w:tcPr>
                          <w:p w14:paraId="06E99CBC"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Subunits </w:t>
                            </w:r>
                          </w:p>
                        </w:tc>
                        <w:tc>
                          <w:tcPr>
                            <w:tcW w:w="992" w:type="dxa"/>
                            <w:tcBorders>
                              <w:top w:val="nil"/>
                              <w:left w:val="nil"/>
                              <w:bottom w:val="nil"/>
                              <w:right w:val="nil"/>
                            </w:tcBorders>
                            <w:shd w:val="clear" w:color="auto" w:fill="auto"/>
                            <w:noWrap/>
                            <w:vAlign w:val="bottom"/>
                            <w:hideMark/>
                          </w:tcPr>
                          <w:p w14:paraId="4B2E816F"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7</w:t>
                            </w:r>
                            <w:r>
                              <w:rPr>
                                <w:bCs/>
                                <w:color w:val="2A2A2A"/>
                                <w:sz w:val="22"/>
                                <w:szCs w:val="22"/>
                                <w:lang w:val="mi-NZ" w:eastAsia="en-US"/>
                              </w:rPr>
                              <w:t xml:space="preserve"> </w:t>
                            </w:r>
                            <w:r w:rsidRPr="008C21D6">
                              <w:rPr>
                                <w:bCs/>
                                <w:color w:val="2A2A2A"/>
                                <w:sz w:val="22"/>
                                <w:szCs w:val="22"/>
                                <w:lang w:val="mi-NZ" w:eastAsia="en-US"/>
                              </w:rPr>
                              <w:t>416 </w:t>
                            </w:r>
                          </w:p>
                        </w:tc>
                        <w:tc>
                          <w:tcPr>
                            <w:tcW w:w="2835" w:type="dxa"/>
                            <w:tcBorders>
                              <w:top w:val="nil"/>
                              <w:left w:val="nil"/>
                              <w:bottom w:val="nil"/>
                              <w:right w:val="nil"/>
                            </w:tcBorders>
                            <w:shd w:val="clear" w:color="auto" w:fill="auto"/>
                            <w:noWrap/>
                            <w:vAlign w:val="bottom"/>
                            <w:hideMark/>
                          </w:tcPr>
                          <w:p w14:paraId="52284E73"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Temperature stability </w:t>
                            </w:r>
                          </w:p>
                        </w:tc>
                        <w:tc>
                          <w:tcPr>
                            <w:tcW w:w="993" w:type="dxa"/>
                            <w:tcBorders>
                              <w:top w:val="nil"/>
                              <w:left w:val="nil"/>
                              <w:bottom w:val="nil"/>
                              <w:right w:val="nil"/>
                            </w:tcBorders>
                            <w:shd w:val="clear" w:color="auto" w:fill="auto"/>
                            <w:noWrap/>
                            <w:vAlign w:val="bottom"/>
                            <w:hideMark/>
                          </w:tcPr>
                          <w:p w14:paraId="6F56646C"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6</w:t>
                            </w:r>
                            <w:r>
                              <w:rPr>
                                <w:bCs/>
                                <w:color w:val="2A2A2A"/>
                                <w:sz w:val="22"/>
                                <w:szCs w:val="22"/>
                                <w:lang w:val="mi-NZ" w:eastAsia="en-US"/>
                              </w:rPr>
                              <w:t xml:space="preserve"> </w:t>
                            </w:r>
                            <w:r w:rsidRPr="008C21D6">
                              <w:rPr>
                                <w:bCs/>
                                <w:color w:val="2A2A2A"/>
                                <w:sz w:val="22"/>
                                <w:szCs w:val="22"/>
                                <w:lang w:val="mi-NZ" w:eastAsia="en-US"/>
                              </w:rPr>
                              <w:t>825 </w:t>
                            </w:r>
                          </w:p>
                        </w:tc>
                      </w:tr>
                      <w:tr w:rsidR="00F63D94" w:rsidRPr="008C21D6" w14:paraId="79438A95" w14:textId="77777777" w:rsidTr="008C21D6">
                        <w:trPr>
                          <w:trHeight w:val="320"/>
                        </w:trPr>
                        <w:tc>
                          <w:tcPr>
                            <w:tcW w:w="2993" w:type="dxa"/>
                            <w:tcBorders>
                              <w:top w:val="nil"/>
                              <w:left w:val="nil"/>
                              <w:bottom w:val="nil"/>
                              <w:right w:val="nil"/>
                            </w:tcBorders>
                            <w:shd w:val="clear" w:color="auto" w:fill="auto"/>
                            <w:noWrap/>
                            <w:vAlign w:val="bottom"/>
                            <w:hideMark/>
                          </w:tcPr>
                          <w:p w14:paraId="149CFC94"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Sequence links </w:t>
                            </w:r>
                          </w:p>
                        </w:tc>
                        <w:tc>
                          <w:tcPr>
                            <w:tcW w:w="992" w:type="dxa"/>
                            <w:tcBorders>
                              <w:top w:val="nil"/>
                              <w:left w:val="nil"/>
                              <w:bottom w:val="nil"/>
                              <w:right w:val="nil"/>
                            </w:tcBorders>
                            <w:shd w:val="clear" w:color="auto" w:fill="auto"/>
                            <w:noWrap/>
                            <w:vAlign w:val="bottom"/>
                            <w:hideMark/>
                          </w:tcPr>
                          <w:p w14:paraId="659271F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33 099 </w:t>
                            </w:r>
                          </w:p>
                        </w:tc>
                        <w:tc>
                          <w:tcPr>
                            <w:tcW w:w="2835" w:type="dxa"/>
                            <w:tcBorders>
                              <w:top w:val="nil"/>
                              <w:left w:val="nil"/>
                              <w:bottom w:val="nil"/>
                              <w:right w:val="nil"/>
                            </w:tcBorders>
                            <w:shd w:val="clear" w:color="auto" w:fill="auto"/>
                            <w:noWrap/>
                            <w:vAlign w:val="bottom"/>
                            <w:hideMark/>
                          </w:tcPr>
                          <w:p w14:paraId="3E2ACD0C"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General stability </w:t>
                            </w:r>
                          </w:p>
                        </w:tc>
                        <w:tc>
                          <w:tcPr>
                            <w:tcW w:w="993" w:type="dxa"/>
                            <w:tcBorders>
                              <w:top w:val="nil"/>
                              <w:left w:val="nil"/>
                              <w:bottom w:val="nil"/>
                              <w:right w:val="nil"/>
                            </w:tcBorders>
                            <w:shd w:val="clear" w:color="auto" w:fill="auto"/>
                            <w:noWrap/>
                            <w:vAlign w:val="bottom"/>
                            <w:hideMark/>
                          </w:tcPr>
                          <w:p w14:paraId="0B0927AB"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5</w:t>
                            </w:r>
                            <w:r>
                              <w:rPr>
                                <w:bCs/>
                                <w:color w:val="2A2A2A"/>
                                <w:sz w:val="22"/>
                                <w:szCs w:val="22"/>
                                <w:lang w:val="mi-NZ" w:eastAsia="en-US"/>
                              </w:rPr>
                              <w:t xml:space="preserve"> </w:t>
                            </w:r>
                            <w:r w:rsidRPr="008C21D6">
                              <w:rPr>
                                <w:bCs/>
                                <w:color w:val="2A2A2A"/>
                                <w:sz w:val="22"/>
                                <w:szCs w:val="22"/>
                                <w:lang w:val="mi-NZ" w:eastAsia="en-US"/>
                              </w:rPr>
                              <w:t>398 </w:t>
                            </w:r>
                          </w:p>
                        </w:tc>
                      </w:tr>
                      <w:tr w:rsidR="00F63D94" w:rsidRPr="008C21D6" w14:paraId="5D50F616" w14:textId="77777777" w:rsidTr="008C21D6">
                        <w:trPr>
                          <w:trHeight w:val="320"/>
                        </w:trPr>
                        <w:tc>
                          <w:tcPr>
                            <w:tcW w:w="2993" w:type="dxa"/>
                            <w:tcBorders>
                              <w:top w:val="nil"/>
                              <w:left w:val="nil"/>
                              <w:bottom w:val="nil"/>
                              <w:right w:val="nil"/>
                            </w:tcBorders>
                            <w:shd w:val="clear" w:color="auto" w:fill="auto"/>
                            <w:noWrap/>
                            <w:vAlign w:val="bottom"/>
                            <w:hideMark/>
                          </w:tcPr>
                          <w:p w14:paraId="2F287090"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Post-translational modification </w:t>
                            </w:r>
                          </w:p>
                        </w:tc>
                        <w:tc>
                          <w:tcPr>
                            <w:tcW w:w="992" w:type="dxa"/>
                            <w:tcBorders>
                              <w:top w:val="nil"/>
                              <w:left w:val="nil"/>
                              <w:bottom w:val="nil"/>
                              <w:right w:val="nil"/>
                            </w:tcBorders>
                            <w:shd w:val="clear" w:color="auto" w:fill="auto"/>
                            <w:noWrap/>
                            <w:vAlign w:val="bottom"/>
                            <w:hideMark/>
                          </w:tcPr>
                          <w:p w14:paraId="3D7316A9"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w:t>
                            </w:r>
                            <w:r>
                              <w:rPr>
                                <w:bCs/>
                                <w:color w:val="2A2A2A"/>
                                <w:sz w:val="22"/>
                                <w:szCs w:val="22"/>
                                <w:lang w:val="mi-NZ" w:eastAsia="en-US"/>
                              </w:rPr>
                              <w:t xml:space="preserve"> </w:t>
                            </w:r>
                            <w:r w:rsidRPr="008C21D6">
                              <w:rPr>
                                <w:bCs/>
                                <w:color w:val="2A2A2A"/>
                                <w:sz w:val="22"/>
                                <w:szCs w:val="22"/>
                                <w:lang w:val="mi-NZ" w:eastAsia="en-US"/>
                              </w:rPr>
                              <w:t>112 </w:t>
                            </w:r>
                          </w:p>
                        </w:tc>
                        <w:tc>
                          <w:tcPr>
                            <w:tcW w:w="2835" w:type="dxa"/>
                            <w:tcBorders>
                              <w:top w:val="nil"/>
                              <w:left w:val="nil"/>
                              <w:bottom w:val="nil"/>
                              <w:right w:val="nil"/>
                            </w:tcBorders>
                            <w:shd w:val="clear" w:color="auto" w:fill="auto"/>
                            <w:noWrap/>
                            <w:vAlign w:val="bottom"/>
                            <w:hideMark/>
                          </w:tcPr>
                          <w:p w14:paraId="03391CC7"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Organic solvent stability </w:t>
                            </w:r>
                          </w:p>
                        </w:tc>
                        <w:tc>
                          <w:tcPr>
                            <w:tcW w:w="993" w:type="dxa"/>
                            <w:tcBorders>
                              <w:top w:val="nil"/>
                              <w:left w:val="nil"/>
                              <w:bottom w:val="nil"/>
                              <w:right w:val="nil"/>
                            </w:tcBorders>
                            <w:shd w:val="clear" w:color="auto" w:fill="auto"/>
                            <w:noWrap/>
                            <w:vAlign w:val="bottom"/>
                            <w:hideMark/>
                          </w:tcPr>
                          <w:p w14:paraId="4111A76E"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311 </w:t>
                            </w:r>
                          </w:p>
                        </w:tc>
                      </w:tr>
                      <w:tr w:rsidR="00F63D94" w:rsidRPr="008C21D6" w14:paraId="58092573" w14:textId="77777777" w:rsidTr="008C21D6">
                        <w:trPr>
                          <w:trHeight w:val="320"/>
                        </w:trPr>
                        <w:tc>
                          <w:tcPr>
                            <w:tcW w:w="2993" w:type="dxa"/>
                            <w:tcBorders>
                              <w:top w:val="nil"/>
                              <w:left w:val="nil"/>
                              <w:bottom w:val="nil"/>
                              <w:right w:val="nil"/>
                            </w:tcBorders>
                            <w:shd w:val="clear" w:color="auto" w:fill="auto"/>
                            <w:noWrap/>
                            <w:vAlign w:val="bottom"/>
                            <w:hideMark/>
                          </w:tcPr>
                          <w:p w14:paraId="05FD93A5"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Crystallization </w:t>
                            </w:r>
                          </w:p>
                        </w:tc>
                        <w:tc>
                          <w:tcPr>
                            <w:tcW w:w="992" w:type="dxa"/>
                            <w:tcBorders>
                              <w:top w:val="nil"/>
                              <w:left w:val="nil"/>
                              <w:bottom w:val="nil"/>
                              <w:right w:val="nil"/>
                            </w:tcBorders>
                            <w:shd w:val="clear" w:color="auto" w:fill="auto"/>
                            <w:noWrap/>
                            <w:vAlign w:val="bottom"/>
                            <w:hideMark/>
                          </w:tcPr>
                          <w:p w14:paraId="6C15D8C3"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w:t>
                            </w:r>
                            <w:r>
                              <w:rPr>
                                <w:bCs/>
                                <w:color w:val="2A2A2A"/>
                                <w:sz w:val="22"/>
                                <w:szCs w:val="22"/>
                                <w:lang w:val="mi-NZ" w:eastAsia="en-US"/>
                              </w:rPr>
                              <w:t xml:space="preserve"> </w:t>
                            </w:r>
                            <w:r w:rsidRPr="008C21D6">
                              <w:rPr>
                                <w:bCs/>
                                <w:color w:val="2A2A2A"/>
                                <w:sz w:val="22"/>
                                <w:szCs w:val="22"/>
                                <w:lang w:val="mi-NZ" w:eastAsia="en-US"/>
                              </w:rPr>
                              <w:t>003 </w:t>
                            </w:r>
                          </w:p>
                        </w:tc>
                        <w:tc>
                          <w:tcPr>
                            <w:tcW w:w="2835" w:type="dxa"/>
                            <w:tcBorders>
                              <w:top w:val="nil"/>
                              <w:left w:val="nil"/>
                              <w:bottom w:val="nil"/>
                              <w:right w:val="nil"/>
                            </w:tcBorders>
                            <w:shd w:val="clear" w:color="auto" w:fill="auto"/>
                            <w:noWrap/>
                            <w:vAlign w:val="bottom"/>
                            <w:hideMark/>
                          </w:tcPr>
                          <w:p w14:paraId="1D29970B"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Oxidation stability </w:t>
                            </w:r>
                          </w:p>
                        </w:tc>
                        <w:tc>
                          <w:tcPr>
                            <w:tcW w:w="993" w:type="dxa"/>
                            <w:tcBorders>
                              <w:top w:val="nil"/>
                              <w:left w:val="nil"/>
                              <w:bottom w:val="nil"/>
                              <w:right w:val="nil"/>
                            </w:tcBorders>
                            <w:shd w:val="clear" w:color="auto" w:fill="auto"/>
                            <w:noWrap/>
                            <w:vAlign w:val="bottom"/>
                            <w:hideMark/>
                          </w:tcPr>
                          <w:p w14:paraId="5F94518B"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349 </w:t>
                            </w:r>
                          </w:p>
                        </w:tc>
                      </w:tr>
                      <w:tr w:rsidR="00F63D94" w:rsidRPr="008C21D6" w14:paraId="263EB425" w14:textId="77777777" w:rsidTr="008C21D6">
                        <w:trPr>
                          <w:trHeight w:val="320"/>
                        </w:trPr>
                        <w:tc>
                          <w:tcPr>
                            <w:tcW w:w="2993" w:type="dxa"/>
                            <w:tcBorders>
                              <w:top w:val="nil"/>
                              <w:left w:val="nil"/>
                              <w:bottom w:val="nil"/>
                              <w:right w:val="nil"/>
                            </w:tcBorders>
                            <w:shd w:val="clear" w:color="auto" w:fill="auto"/>
                            <w:noWrap/>
                            <w:vAlign w:val="bottom"/>
                            <w:hideMark/>
                          </w:tcPr>
                          <w:p w14:paraId="71EE9274"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3D-structure, specific PDB links </w:t>
                            </w:r>
                          </w:p>
                        </w:tc>
                        <w:tc>
                          <w:tcPr>
                            <w:tcW w:w="992" w:type="dxa"/>
                            <w:tcBorders>
                              <w:top w:val="nil"/>
                              <w:left w:val="nil"/>
                              <w:bottom w:val="nil"/>
                              <w:right w:val="nil"/>
                            </w:tcBorders>
                            <w:shd w:val="clear" w:color="auto" w:fill="auto"/>
                            <w:noWrap/>
                            <w:vAlign w:val="bottom"/>
                            <w:hideMark/>
                          </w:tcPr>
                          <w:p w14:paraId="687558A2"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6</w:t>
                            </w:r>
                            <w:r>
                              <w:rPr>
                                <w:bCs/>
                                <w:color w:val="2A2A2A"/>
                                <w:sz w:val="22"/>
                                <w:szCs w:val="22"/>
                                <w:lang w:val="mi-NZ" w:eastAsia="en-US"/>
                              </w:rPr>
                              <w:t xml:space="preserve"> </w:t>
                            </w:r>
                            <w:r w:rsidRPr="008C21D6">
                              <w:rPr>
                                <w:bCs/>
                                <w:color w:val="2A2A2A"/>
                                <w:sz w:val="22"/>
                                <w:szCs w:val="22"/>
                                <w:lang w:val="mi-NZ" w:eastAsia="en-US"/>
                              </w:rPr>
                              <w:t>142 </w:t>
                            </w:r>
                          </w:p>
                        </w:tc>
                        <w:tc>
                          <w:tcPr>
                            <w:tcW w:w="2835" w:type="dxa"/>
                            <w:tcBorders>
                              <w:top w:val="nil"/>
                              <w:left w:val="nil"/>
                              <w:bottom w:val="nil"/>
                              <w:right w:val="nil"/>
                            </w:tcBorders>
                            <w:shd w:val="clear" w:color="auto" w:fill="auto"/>
                            <w:noWrap/>
                            <w:vAlign w:val="bottom"/>
                            <w:hideMark/>
                          </w:tcPr>
                          <w:p w14:paraId="78D63FA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Storage stability </w:t>
                            </w:r>
                          </w:p>
                        </w:tc>
                        <w:tc>
                          <w:tcPr>
                            <w:tcW w:w="993" w:type="dxa"/>
                            <w:tcBorders>
                              <w:top w:val="nil"/>
                              <w:left w:val="nil"/>
                              <w:bottom w:val="nil"/>
                              <w:right w:val="nil"/>
                            </w:tcBorders>
                            <w:shd w:val="clear" w:color="auto" w:fill="auto"/>
                            <w:noWrap/>
                            <w:vAlign w:val="bottom"/>
                            <w:hideMark/>
                          </w:tcPr>
                          <w:p w14:paraId="4E54CCB9"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6</w:t>
                            </w:r>
                            <w:r>
                              <w:rPr>
                                <w:bCs/>
                                <w:color w:val="2A2A2A"/>
                                <w:sz w:val="22"/>
                                <w:szCs w:val="22"/>
                                <w:lang w:val="mi-NZ" w:eastAsia="en-US"/>
                              </w:rPr>
                              <w:t xml:space="preserve"> </w:t>
                            </w:r>
                            <w:r w:rsidRPr="008C21D6">
                              <w:rPr>
                                <w:bCs/>
                                <w:color w:val="2A2A2A"/>
                                <w:sz w:val="22"/>
                                <w:szCs w:val="22"/>
                                <w:lang w:val="mi-NZ" w:eastAsia="en-US"/>
                              </w:rPr>
                              <w:t>505 </w:t>
                            </w:r>
                          </w:p>
                        </w:tc>
                      </w:tr>
                      <w:tr w:rsidR="00F63D94" w:rsidRPr="008C21D6" w14:paraId="5C284096" w14:textId="77777777" w:rsidTr="008C21D6">
                        <w:trPr>
                          <w:trHeight w:val="320"/>
                        </w:trPr>
                        <w:tc>
                          <w:tcPr>
                            <w:tcW w:w="3985" w:type="dxa"/>
                            <w:gridSpan w:val="2"/>
                            <w:tcBorders>
                              <w:top w:val="nil"/>
                              <w:left w:val="nil"/>
                              <w:bottom w:val="nil"/>
                              <w:right w:val="nil"/>
                            </w:tcBorders>
                            <w:shd w:val="clear" w:color="auto" w:fill="auto"/>
                            <w:noWrap/>
                            <w:vAlign w:val="bottom"/>
                            <w:hideMark/>
                          </w:tcPr>
                          <w:p w14:paraId="4E91A83D"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Enzyme–ligand interactions </w:t>
                            </w:r>
                          </w:p>
                        </w:tc>
                        <w:tc>
                          <w:tcPr>
                            <w:tcW w:w="2835" w:type="dxa"/>
                            <w:tcBorders>
                              <w:top w:val="nil"/>
                              <w:left w:val="nil"/>
                              <w:bottom w:val="nil"/>
                              <w:right w:val="nil"/>
                            </w:tcBorders>
                            <w:shd w:val="clear" w:color="auto" w:fill="auto"/>
                            <w:noWrap/>
                            <w:vAlign w:val="bottom"/>
                            <w:hideMark/>
                          </w:tcPr>
                          <w:p w14:paraId="44EFF9DC"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Purification </w:t>
                            </w:r>
                          </w:p>
                        </w:tc>
                        <w:tc>
                          <w:tcPr>
                            <w:tcW w:w="993" w:type="dxa"/>
                            <w:tcBorders>
                              <w:top w:val="nil"/>
                              <w:left w:val="nil"/>
                              <w:bottom w:val="nil"/>
                              <w:right w:val="nil"/>
                            </w:tcBorders>
                            <w:shd w:val="clear" w:color="auto" w:fill="auto"/>
                            <w:noWrap/>
                            <w:vAlign w:val="bottom"/>
                            <w:hideMark/>
                          </w:tcPr>
                          <w:p w14:paraId="4551549F"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11 176 </w:t>
                            </w:r>
                          </w:p>
                        </w:tc>
                      </w:tr>
                      <w:tr w:rsidR="00F63D94" w:rsidRPr="008C21D6" w14:paraId="138F3DDE" w14:textId="77777777" w:rsidTr="008C21D6">
                        <w:trPr>
                          <w:trHeight w:val="320"/>
                        </w:trPr>
                        <w:tc>
                          <w:tcPr>
                            <w:tcW w:w="2993" w:type="dxa"/>
                            <w:tcBorders>
                              <w:top w:val="nil"/>
                              <w:left w:val="nil"/>
                              <w:bottom w:val="nil"/>
                              <w:right w:val="nil"/>
                            </w:tcBorders>
                            <w:shd w:val="clear" w:color="auto" w:fill="auto"/>
                            <w:noWrap/>
                            <w:vAlign w:val="bottom"/>
                            <w:hideMark/>
                          </w:tcPr>
                          <w:p w14:paraId="0F4298C1"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Substrates/products </w:t>
                            </w:r>
                          </w:p>
                        </w:tc>
                        <w:tc>
                          <w:tcPr>
                            <w:tcW w:w="992" w:type="dxa"/>
                            <w:tcBorders>
                              <w:top w:val="nil"/>
                              <w:left w:val="nil"/>
                              <w:bottom w:val="nil"/>
                              <w:right w:val="nil"/>
                            </w:tcBorders>
                            <w:shd w:val="clear" w:color="auto" w:fill="auto"/>
                            <w:noWrap/>
                            <w:vAlign w:val="bottom"/>
                            <w:hideMark/>
                          </w:tcPr>
                          <w:p w14:paraId="08EAEAED"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47 630 </w:t>
                            </w:r>
                          </w:p>
                        </w:tc>
                        <w:tc>
                          <w:tcPr>
                            <w:tcW w:w="2835" w:type="dxa"/>
                            <w:tcBorders>
                              <w:top w:val="nil"/>
                              <w:left w:val="nil"/>
                              <w:bottom w:val="nil"/>
                              <w:right w:val="nil"/>
                            </w:tcBorders>
                            <w:shd w:val="clear" w:color="auto" w:fill="auto"/>
                            <w:noWrap/>
                            <w:vAlign w:val="bottom"/>
                            <w:hideMark/>
                          </w:tcPr>
                          <w:p w14:paraId="37432C29"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Cloned </w:t>
                            </w:r>
                          </w:p>
                        </w:tc>
                        <w:tc>
                          <w:tcPr>
                            <w:tcW w:w="993" w:type="dxa"/>
                            <w:tcBorders>
                              <w:top w:val="nil"/>
                              <w:left w:val="nil"/>
                              <w:bottom w:val="nil"/>
                              <w:right w:val="nil"/>
                            </w:tcBorders>
                            <w:shd w:val="clear" w:color="auto" w:fill="auto"/>
                            <w:noWrap/>
                            <w:vAlign w:val="bottom"/>
                            <w:hideMark/>
                          </w:tcPr>
                          <w:p w14:paraId="2702053A"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2</w:t>
                            </w:r>
                            <w:r>
                              <w:rPr>
                                <w:bCs/>
                                <w:color w:val="2A2A2A"/>
                                <w:sz w:val="22"/>
                                <w:szCs w:val="22"/>
                                <w:lang w:val="mi-NZ" w:eastAsia="en-US"/>
                              </w:rPr>
                              <w:t xml:space="preserve"> </w:t>
                            </w:r>
                            <w:r w:rsidRPr="008C21D6">
                              <w:rPr>
                                <w:bCs/>
                                <w:color w:val="2A2A2A"/>
                                <w:sz w:val="22"/>
                                <w:szCs w:val="22"/>
                                <w:lang w:val="mi-NZ" w:eastAsia="en-US"/>
                              </w:rPr>
                              <w:t>015 </w:t>
                            </w:r>
                          </w:p>
                        </w:tc>
                      </w:tr>
                      <w:tr w:rsidR="00F63D94" w:rsidRPr="008C21D6" w14:paraId="79C53A19" w14:textId="77777777" w:rsidTr="008C21D6">
                        <w:trPr>
                          <w:trHeight w:val="320"/>
                        </w:trPr>
                        <w:tc>
                          <w:tcPr>
                            <w:tcW w:w="2993" w:type="dxa"/>
                            <w:tcBorders>
                              <w:top w:val="nil"/>
                              <w:left w:val="nil"/>
                              <w:bottom w:val="nil"/>
                              <w:right w:val="nil"/>
                            </w:tcBorders>
                            <w:shd w:val="clear" w:color="auto" w:fill="auto"/>
                            <w:noWrap/>
                            <w:vAlign w:val="bottom"/>
                            <w:hideMark/>
                          </w:tcPr>
                          <w:p w14:paraId="79451F2C"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Natural substrate </w:t>
                            </w:r>
                          </w:p>
                        </w:tc>
                        <w:tc>
                          <w:tcPr>
                            <w:tcW w:w="992" w:type="dxa"/>
                            <w:tcBorders>
                              <w:top w:val="nil"/>
                              <w:left w:val="nil"/>
                              <w:bottom w:val="nil"/>
                              <w:right w:val="nil"/>
                            </w:tcBorders>
                            <w:shd w:val="clear" w:color="auto" w:fill="auto"/>
                            <w:noWrap/>
                            <w:vAlign w:val="bottom"/>
                            <w:hideMark/>
                          </w:tcPr>
                          <w:p w14:paraId="6BC9DDA8"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7</w:t>
                            </w:r>
                            <w:r>
                              <w:rPr>
                                <w:bCs/>
                                <w:color w:val="2A2A2A"/>
                                <w:sz w:val="22"/>
                                <w:szCs w:val="22"/>
                                <w:lang w:val="mi-NZ" w:eastAsia="en-US"/>
                              </w:rPr>
                              <w:t xml:space="preserve"> </w:t>
                            </w:r>
                            <w:r w:rsidRPr="008C21D6">
                              <w:rPr>
                                <w:bCs/>
                                <w:color w:val="2A2A2A"/>
                                <w:sz w:val="22"/>
                                <w:szCs w:val="22"/>
                                <w:lang w:val="mi-NZ" w:eastAsia="en-US"/>
                              </w:rPr>
                              <w:t>668 </w:t>
                            </w:r>
                          </w:p>
                        </w:tc>
                        <w:tc>
                          <w:tcPr>
                            <w:tcW w:w="2835" w:type="dxa"/>
                            <w:tcBorders>
                              <w:top w:val="nil"/>
                              <w:left w:val="nil"/>
                              <w:bottom w:val="nil"/>
                              <w:right w:val="nil"/>
                            </w:tcBorders>
                            <w:shd w:val="clear" w:color="auto" w:fill="auto"/>
                            <w:noWrap/>
                            <w:vAlign w:val="bottom"/>
                            <w:hideMark/>
                          </w:tcPr>
                          <w:p w14:paraId="3A496DD8"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Engineering </w:t>
                            </w:r>
                          </w:p>
                        </w:tc>
                        <w:tc>
                          <w:tcPr>
                            <w:tcW w:w="993" w:type="dxa"/>
                            <w:tcBorders>
                              <w:top w:val="nil"/>
                              <w:left w:val="nil"/>
                              <w:bottom w:val="nil"/>
                              <w:right w:val="nil"/>
                            </w:tcBorders>
                            <w:shd w:val="clear" w:color="auto" w:fill="auto"/>
                            <w:noWrap/>
                            <w:vAlign w:val="bottom"/>
                            <w:hideMark/>
                          </w:tcPr>
                          <w:p w14:paraId="2E07BC08"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797 </w:t>
                            </w:r>
                          </w:p>
                        </w:tc>
                      </w:tr>
                      <w:tr w:rsidR="00F63D94" w:rsidRPr="008C21D6" w14:paraId="2EF8CD4C" w14:textId="77777777" w:rsidTr="008C21D6">
                        <w:trPr>
                          <w:trHeight w:val="320"/>
                        </w:trPr>
                        <w:tc>
                          <w:tcPr>
                            <w:tcW w:w="2993" w:type="dxa"/>
                            <w:tcBorders>
                              <w:top w:val="nil"/>
                              <w:left w:val="nil"/>
                              <w:bottom w:val="nil"/>
                              <w:right w:val="nil"/>
                            </w:tcBorders>
                            <w:shd w:val="clear" w:color="auto" w:fill="auto"/>
                            <w:noWrap/>
                            <w:vAlign w:val="bottom"/>
                            <w:hideMark/>
                          </w:tcPr>
                          <w:p w14:paraId="1E52BDF5"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Cofactor </w:t>
                            </w:r>
                          </w:p>
                        </w:tc>
                        <w:tc>
                          <w:tcPr>
                            <w:tcW w:w="992" w:type="dxa"/>
                            <w:tcBorders>
                              <w:top w:val="nil"/>
                              <w:left w:val="nil"/>
                              <w:bottom w:val="nil"/>
                              <w:right w:val="nil"/>
                            </w:tcBorders>
                            <w:shd w:val="clear" w:color="auto" w:fill="auto"/>
                            <w:noWrap/>
                            <w:vAlign w:val="bottom"/>
                            <w:hideMark/>
                          </w:tcPr>
                          <w:p w14:paraId="674E10A1"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6</w:t>
                            </w:r>
                            <w:r>
                              <w:rPr>
                                <w:bCs/>
                                <w:color w:val="2A2A2A"/>
                                <w:sz w:val="22"/>
                                <w:szCs w:val="22"/>
                                <w:lang w:val="mi-NZ" w:eastAsia="en-US"/>
                              </w:rPr>
                              <w:t xml:space="preserve"> </w:t>
                            </w:r>
                            <w:r w:rsidRPr="008C21D6">
                              <w:rPr>
                                <w:bCs/>
                                <w:color w:val="2A2A2A"/>
                                <w:sz w:val="22"/>
                                <w:szCs w:val="22"/>
                                <w:lang w:val="mi-NZ" w:eastAsia="en-US"/>
                              </w:rPr>
                              <w:t>217 </w:t>
                            </w:r>
                          </w:p>
                        </w:tc>
                        <w:tc>
                          <w:tcPr>
                            <w:tcW w:w="2835" w:type="dxa"/>
                            <w:tcBorders>
                              <w:top w:val="nil"/>
                              <w:left w:val="nil"/>
                              <w:bottom w:val="nil"/>
                              <w:right w:val="nil"/>
                            </w:tcBorders>
                            <w:shd w:val="clear" w:color="auto" w:fill="auto"/>
                            <w:noWrap/>
                            <w:vAlign w:val="bottom"/>
                            <w:hideMark/>
                          </w:tcPr>
                          <w:p w14:paraId="38E0EC45"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Renatured </w:t>
                            </w:r>
                          </w:p>
                        </w:tc>
                        <w:tc>
                          <w:tcPr>
                            <w:tcW w:w="993" w:type="dxa"/>
                            <w:tcBorders>
                              <w:top w:val="nil"/>
                              <w:left w:val="nil"/>
                              <w:bottom w:val="nil"/>
                              <w:right w:val="nil"/>
                            </w:tcBorders>
                            <w:shd w:val="clear" w:color="auto" w:fill="auto"/>
                            <w:noWrap/>
                            <w:vAlign w:val="bottom"/>
                            <w:hideMark/>
                          </w:tcPr>
                          <w:p w14:paraId="27D4EF9B"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199 </w:t>
                            </w:r>
                          </w:p>
                        </w:tc>
                      </w:tr>
                      <w:tr w:rsidR="00F63D94" w:rsidRPr="008C21D6" w14:paraId="538DB076" w14:textId="77777777" w:rsidTr="008C21D6">
                        <w:trPr>
                          <w:trHeight w:val="320"/>
                        </w:trPr>
                        <w:tc>
                          <w:tcPr>
                            <w:tcW w:w="2993" w:type="dxa"/>
                            <w:tcBorders>
                              <w:top w:val="nil"/>
                              <w:left w:val="nil"/>
                              <w:bottom w:val="nil"/>
                              <w:right w:val="nil"/>
                            </w:tcBorders>
                            <w:shd w:val="clear" w:color="auto" w:fill="auto"/>
                            <w:noWrap/>
                            <w:vAlign w:val="bottom"/>
                            <w:hideMark/>
                          </w:tcPr>
                          <w:p w14:paraId="19E8BB19"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Activating compound </w:t>
                            </w:r>
                          </w:p>
                        </w:tc>
                        <w:tc>
                          <w:tcPr>
                            <w:tcW w:w="992" w:type="dxa"/>
                            <w:tcBorders>
                              <w:top w:val="nil"/>
                              <w:left w:val="nil"/>
                              <w:bottom w:val="nil"/>
                              <w:right w:val="nil"/>
                            </w:tcBorders>
                            <w:shd w:val="clear" w:color="auto" w:fill="auto"/>
                            <w:noWrap/>
                            <w:vAlign w:val="bottom"/>
                            <w:hideMark/>
                          </w:tcPr>
                          <w:p w14:paraId="105E636F"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6</w:t>
                            </w:r>
                            <w:r>
                              <w:rPr>
                                <w:bCs/>
                                <w:color w:val="2A2A2A"/>
                                <w:sz w:val="22"/>
                                <w:szCs w:val="22"/>
                                <w:lang w:val="mi-NZ" w:eastAsia="en-US"/>
                              </w:rPr>
                              <w:t xml:space="preserve"> </w:t>
                            </w:r>
                            <w:r w:rsidRPr="008C21D6">
                              <w:rPr>
                                <w:bCs/>
                                <w:color w:val="2A2A2A"/>
                                <w:sz w:val="22"/>
                                <w:szCs w:val="22"/>
                                <w:lang w:val="mi-NZ" w:eastAsia="en-US"/>
                              </w:rPr>
                              <w:t>217 </w:t>
                            </w:r>
                          </w:p>
                        </w:tc>
                        <w:tc>
                          <w:tcPr>
                            <w:tcW w:w="2835" w:type="dxa"/>
                            <w:tcBorders>
                              <w:top w:val="nil"/>
                              <w:left w:val="nil"/>
                              <w:bottom w:val="nil"/>
                              <w:right w:val="nil"/>
                            </w:tcBorders>
                            <w:shd w:val="clear" w:color="auto" w:fill="auto"/>
                            <w:noWrap/>
                            <w:vAlign w:val="bottom"/>
                            <w:hideMark/>
                          </w:tcPr>
                          <w:p w14:paraId="10195964"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Application </w:t>
                            </w:r>
                          </w:p>
                        </w:tc>
                        <w:tc>
                          <w:tcPr>
                            <w:tcW w:w="993" w:type="dxa"/>
                            <w:tcBorders>
                              <w:top w:val="nil"/>
                              <w:left w:val="nil"/>
                              <w:bottom w:val="nil"/>
                              <w:right w:val="nil"/>
                            </w:tcBorders>
                            <w:shd w:val="clear" w:color="auto" w:fill="auto"/>
                            <w:noWrap/>
                            <w:vAlign w:val="bottom"/>
                            <w:hideMark/>
                          </w:tcPr>
                          <w:p w14:paraId="3787106B"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338 </w:t>
                            </w:r>
                          </w:p>
                        </w:tc>
                      </w:tr>
                      <w:tr w:rsidR="00F63D94" w:rsidRPr="008C21D6" w14:paraId="54D41215" w14:textId="77777777" w:rsidTr="008C21D6">
                        <w:trPr>
                          <w:trHeight w:val="320"/>
                        </w:trPr>
                        <w:tc>
                          <w:tcPr>
                            <w:tcW w:w="2993" w:type="dxa"/>
                            <w:tcBorders>
                              <w:top w:val="nil"/>
                              <w:left w:val="nil"/>
                              <w:bottom w:val="nil"/>
                              <w:right w:val="nil"/>
                            </w:tcBorders>
                            <w:shd w:val="clear" w:color="auto" w:fill="auto"/>
                            <w:noWrap/>
                            <w:vAlign w:val="bottom"/>
                            <w:hideMark/>
                          </w:tcPr>
                          <w:p w14:paraId="7DB785AA"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Metals/ions </w:t>
                            </w:r>
                          </w:p>
                        </w:tc>
                        <w:tc>
                          <w:tcPr>
                            <w:tcW w:w="992" w:type="dxa"/>
                            <w:tcBorders>
                              <w:top w:val="nil"/>
                              <w:left w:val="nil"/>
                              <w:bottom w:val="nil"/>
                              <w:right w:val="nil"/>
                            </w:tcBorders>
                            <w:shd w:val="clear" w:color="auto" w:fill="auto"/>
                            <w:noWrap/>
                            <w:vAlign w:val="bottom"/>
                            <w:hideMark/>
                          </w:tcPr>
                          <w:p w14:paraId="048FD30E"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13 173 </w:t>
                            </w:r>
                          </w:p>
                        </w:tc>
                        <w:tc>
                          <w:tcPr>
                            <w:tcW w:w="3828" w:type="dxa"/>
                            <w:gridSpan w:val="2"/>
                            <w:tcBorders>
                              <w:top w:val="nil"/>
                              <w:left w:val="nil"/>
                              <w:bottom w:val="nil"/>
                              <w:right w:val="nil"/>
                            </w:tcBorders>
                            <w:shd w:val="clear" w:color="auto" w:fill="auto"/>
                            <w:noWrap/>
                            <w:vAlign w:val="bottom"/>
                            <w:hideMark/>
                          </w:tcPr>
                          <w:p w14:paraId="1CA0832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Organism-related information </w:t>
                            </w:r>
                          </w:p>
                        </w:tc>
                      </w:tr>
                      <w:tr w:rsidR="00F63D94" w:rsidRPr="008C21D6" w14:paraId="2012514F" w14:textId="77777777" w:rsidTr="008C21D6">
                        <w:trPr>
                          <w:trHeight w:val="320"/>
                        </w:trPr>
                        <w:tc>
                          <w:tcPr>
                            <w:tcW w:w="2993" w:type="dxa"/>
                            <w:tcBorders>
                              <w:top w:val="nil"/>
                              <w:left w:val="nil"/>
                              <w:bottom w:val="nil"/>
                              <w:right w:val="nil"/>
                            </w:tcBorders>
                            <w:shd w:val="clear" w:color="auto" w:fill="auto"/>
                            <w:noWrap/>
                            <w:vAlign w:val="bottom"/>
                            <w:hideMark/>
                          </w:tcPr>
                          <w:p w14:paraId="66C6A231"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Inhibitors </w:t>
                            </w:r>
                          </w:p>
                        </w:tc>
                        <w:tc>
                          <w:tcPr>
                            <w:tcW w:w="992" w:type="dxa"/>
                            <w:tcBorders>
                              <w:top w:val="nil"/>
                              <w:left w:val="nil"/>
                              <w:bottom w:val="nil"/>
                              <w:right w:val="nil"/>
                            </w:tcBorders>
                            <w:shd w:val="clear" w:color="auto" w:fill="auto"/>
                            <w:noWrap/>
                            <w:vAlign w:val="bottom"/>
                            <w:hideMark/>
                          </w:tcPr>
                          <w:p w14:paraId="6D49279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56 336 </w:t>
                            </w:r>
                          </w:p>
                        </w:tc>
                        <w:tc>
                          <w:tcPr>
                            <w:tcW w:w="2835" w:type="dxa"/>
                            <w:tcBorders>
                              <w:top w:val="nil"/>
                              <w:left w:val="nil"/>
                              <w:bottom w:val="nil"/>
                              <w:right w:val="nil"/>
                            </w:tcBorders>
                            <w:shd w:val="clear" w:color="auto" w:fill="auto"/>
                            <w:noWrap/>
                            <w:vAlign w:val="bottom"/>
                            <w:hideMark/>
                          </w:tcPr>
                          <w:p w14:paraId="2A809403"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Organism </w:t>
                            </w:r>
                          </w:p>
                        </w:tc>
                        <w:tc>
                          <w:tcPr>
                            <w:tcW w:w="993" w:type="dxa"/>
                            <w:tcBorders>
                              <w:top w:val="nil"/>
                              <w:left w:val="nil"/>
                              <w:bottom w:val="nil"/>
                              <w:right w:val="nil"/>
                            </w:tcBorders>
                            <w:shd w:val="clear" w:color="auto" w:fill="auto"/>
                            <w:noWrap/>
                            <w:vAlign w:val="bottom"/>
                            <w:hideMark/>
                          </w:tcPr>
                          <w:p w14:paraId="21BB0DEF"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40 027 </w:t>
                            </w:r>
                          </w:p>
                        </w:tc>
                      </w:tr>
                      <w:tr w:rsidR="00F63D94" w:rsidRPr="008C21D6" w14:paraId="17C2F516" w14:textId="77777777" w:rsidTr="008C21D6">
                        <w:trPr>
                          <w:trHeight w:val="320"/>
                        </w:trPr>
                        <w:tc>
                          <w:tcPr>
                            <w:tcW w:w="3985" w:type="dxa"/>
                            <w:gridSpan w:val="2"/>
                            <w:tcBorders>
                              <w:top w:val="nil"/>
                              <w:left w:val="nil"/>
                              <w:bottom w:val="nil"/>
                              <w:right w:val="nil"/>
                            </w:tcBorders>
                            <w:shd w:val="clear" w:color="auto" w:fill="auto"/>
                            <w:noWrap/>
                            <w:vAlign w:val="bottom"/>
                            <w:hideMark/>
                          </w:tcPr>
                          <w:p w14:paraId="79C6021C"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Bibliographical data </w:t>
                            </w:r>
                          </w:p>
                        </w:tc>
                        <w:tc>
                          <w:tcPr>
                            <w:tcW w:w="2835" w:type="dxa"/>
                            <w:tcBorders>
                              <w:top w:val="nil"/>
                              <w:left w:val="nil"/>
                              <w:bottom w:val="nil"/>
                              <w:right w:val="nil"/>
                            </w:tcBorders>
                            <w:shd w:val="clear" w:color="auto" w:fill="auto"/>
                            <w:noWrap/>
                            <w:vAlign w:val="bottom"/>
                            <w:hideMark/>
                          </w:tcPr>
                          <w:p w14:paraId="3C4BF823"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Source tissue, organ </w:t>
                            </w:r>
                          </w:p>
                        </w:tc>
                        <w:tc>
                          <w:tcPr>
                            <w:tcW w:w="993" w:type="dxa"/>
                            <w:tcBorders>
                              <w:top w:val="nil"/>
                              <w:left w:val="nil"/>
                              <w:bottom w:val="nil"/>
                              <w:right w:val="nil"/>
                            </w:tcBorders>
                            <w:shd w:val="clear" w:color="auto" w:fill="auto"/>
                            <w:noWrap/>
                            <w:vAlign w:val="bottom"/>
                            <w:hideMark/>
                          </w:tcPr>
                          <w:p w14:paraId="497B3C3E"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19 347 </w:t>
                            </w:r>
                          </w:p>
                        </w:tc>
                      </w:tr>
                      <w:tr w:rsidR="00F63D94" w:rsidRPr="008C21D6" w14:paraId="52B93E35" w14:textId="77777777" w:rsidTr="008C21D6">
                        <w:trPr>
                          <w:trHeight w:val="320"/>
                        </w:trPr>
                        <w:tc>
                          <w:tcPr>
                            <w:tcW w:w="2993" w:type="dxa"/>
                            <w:tcBorders>
                              <w:top w:val="nil"/>
                              <w:left w:val="nil"/>
                              <w:bottom w:val="nil"/>
                              <w:right w:val="nil"/>
                            </w:tcBorders>
                            <w:shd w:val="clear" w:color="auto" w:fill="auto"/>
                            <w:noWrap/>
                            <w:vAlign w:val="bottom"/>
                            <w:hideMark/>
                          </w:tcPr>
                          <w:p w14:paraId="2D410950"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References </w:t>
                            </w:r>
                          </w:p>
                        </w:tc>
                        <w:tc>
                          <w:tcPr>
                            <w:tcW w:w="992" w:type="dxa"/>
                            <w:tcBorders>
                              <w:top w:val="nil"/>
                              <w:left w:val="nil"/>
                              <w:bottom w:val="nil"/>
                              <w:right w:val="nil"/>
                            </w:tcBorders>
                            <w:shd w:val="clear" w:color="auto" w:fill="auto"/>
                            <w:noWrap/>
                            <w:vAlign w:val="bottom"/>
                            <w:hideMark/>
                          </w:tcPr>
                          <w:p w14:paraId="330EFE02"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46 305 </w:t>
                            </w:r>
                          </w:p>
                        </w:tc>
                        <w:tc>
                          <w:tcPr>
                            <w:tcW w:w="2835" w:type="dxa"/>
                            <w:tcBorders>
                              <w:top w:val="nil"/>
                              <w:left w:val="nil"/>
                              <w:bottom w:val="nil"/>
                              <w:right w:val="nil"/>
                            </w:tcBorders>
                            <w:shd w:val="clear" w:color="auto" w:fill="auto"/>
                            <w:noWrap/>
                            <w:vAlign w:val="bottom"/>
                            <w:hideMark/>
                          </w:tcPr>
                          <w:p w14:paraId="61335230"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Localization </w:t>
                            </w:r>
                          </w:p>
                        </w:tc>
                        <w:tc>
                          <w:tcPr>
                            <w:tcW w:w="993" w:type="dxa"/>
                            <w:tcBorders>
                              <w:top w:val="nil"/>
                              <w:left w:val="nil"/>
                              <w:bottom w:val="nil"/>
                              <w:right w:val="nil"/>
                            </w:tcBorders>
                            <w:shd w:val="clear" w:color="auto" w:fill="auto"/>
                            <w:noWrap/>
                            <w:vAlign w:val="bottom"/>
                            <w:hideMark/>
                          </w:tcPr>
                          <w:p w14:paraId="08E4F5E0"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7</w:t>
                            </w:r>
                            <w:r>
                              <w:rPr>
                                <w:bCs/>
                                <w:color w:val="2A2A2A"/>
                                <w:sz w:val="22"/>
                                <w:szCs w:val="22"/>
                                <w:lang w:val="mi-NZ" w:eastAsia="en-US"/>
                              </w:rPr>
                              <w:t xml:space="preserve"> </w:t>
                            </w:r>
                            <w:r w:rsidRPr="008C21D6">
                              <w:rPr>
                                <w:bCs/>
                                <w:color w:val="2A2A2A"/>
                                <w:sz w:val="22"/>
                                <w:szCs w:val="22"/>
                                <w:lang w:val="mi-NZ" w:eastAsia="en-US"/>
                              </w:rPr>
                              <w:t>935 </w:t>
                            </w:r>
                          </w:p>
                        </w:tc>
                      </w:tr>
                    </w:tbl>
                    <w:p w14:paraId="27945B0F" w14:textId="77777777" w:rsidR="00F63D94" w:rsidRDefault="00F63D94" w:rsidP="00CA7A4D"/>
                    <w:p w14:paraId="01762632" w14:textId="77777777" w:rsidR="00F63D94" w:rsidRDefault="00F63D94" w:rsidP="00CA7A4D">
                      <w:pPr>
                        <w:rPr>
                          <w:sz w:val="22"/>
                        </w:rPr>
                      </w:pPr>
                      <w:r w:rsidRPr="003070CE">
                        <w:rPr>
                          <w:b/>
                          <w:sz w:val="22"/>
                        </w:rPr>
                        <w:t xml:space="preserve">Figure </w:t>
                      </w:r>
                      <w:r>
                        <w:rPr>
                          <w:b/>
                          <w:sz w:val="22"/>
                        </w:rPr>
                        <w:t>6</w:t>
                      </w:r>
                      <w:r w:rsidRPr="004824B5">
                        <w:rPr>
                          <w:sz w:val="22"/>
                        </w:rPr>
                        <w:t xml:space="preserve">. </w:t>
                      </w:r>
                      <w:r>
                        <w:rPr>
                          <w:sz w:val="22"/>
                        </w:rPr>
                        <w:t>A peek at the meta-data of BRENDA</w:t>
                      </w:r>
                    </w:p>
                    <w:p w14:paraId="2CA3F42D" w14:textId="77777777" w:rsidR="00F63D94" w:rsidRPr="00155023" w:rsidRDefault="00F63D94" w:rsidP="00CA7A4D">
                      <w:pPr>
                        <w:rPr>
                          <w:sz w:val="22"/>
                          <w:lang w:val="mi-NZ"/>
                        </w:rPr>
                      </w:pPr>
                      <w:r>
                        <w:rPr>
                          <w:sz w:val="22"/>
                        </w:rPr>
                        <w:t>Note: “</w:t>
                      </w:r>
                      <w:r w:rsidRPr="00155023">
                        <w:rPr>
                          <w:bCs/>
                          <w:sz w:val="22"/>
                          <w:lang w:val="mi-NZ"/>
                        </w:rPr>
                        <w:t>The database covers organism-specific information on functional and molecular properties, in detail on the nomenclature, reaction and specificity, enzyme structure, stability, application and engineering, organism, ligands, literature references and links to other databases</w:t>
                      </w:r>
                      <w:r>
                        <w:rPr>
                          <w:sz w:val="22"/>
                        </w:rPr>
                        <w:t xml:space="preserve">” </w:t>
                      </w:r>
                      <w:r>
                        <w:rPr>
                          <w:sz w:val="22"/>
                        </w:rPr>
                        <w:fldChar w:fldCharType="begin"/>
                      </w:r>
                      <w:r>
                        <w:rPr>
                          <w:sz w:val="22"/>
                        </w:rPr>
                        <w:instrText xml:space="preserve"> ADDIN EN.CITE &lt;EndNote&gt;&lt;Cite&gt;&lt;Author&gt;Schomburg&lt;/Author&gt;&lt;Year&gt;2002&lt;/Year&gt;&lt;RecNum&gt;287&lt;/RecNum&gt;&lt;DisplayText&gt;(Schomburg&lt;style face="italic"&gt; et al.&lt;/style&gt;, 2002)&lt;/DisplayText&gt;&lt;record&gt;&lt;rec-number&gt;287&lt;/rec-number&gt;&lt;foreign-keys&gt;&lt;key app="EN" db-id="vav00vdrjedrwre5xsc5vxpsx0fp9arstrrf" timestamp="1516742242"&gt;287&lt;/key&gt;&lt;/foreign-keys&gt;&lt;ref-type name="Journal Article"&gt;17&lt;/ref-type&gt;&lt;contributors&gt;&lt;authors&gt;&lt;author&gt;Schomburg, I.&lt;/author&gt;&lt;author&gt;Chang, A.&lt;/author&gt;&lt;author&gt;Schomburg, D.&lt;/author&gt;&lt;/authors&gt;&lt;/contributors&gt;&lt;titles&gt;&lt;title&gt;BRENDA, enzyme data and metabolic information&lt;/title&gt;&lt;secondary-title&gt;Nucleic Acids Res&lt;/secondary-title&gt;&lt;alt-title&gt;Nucleic Acids Res&lt;/alt-title&gt;&lt;/titles&gt;&lt;periodical&gt;&lt;full-title&gt;Nucleic Acids Res&lt;/full-title&gt;&lt;/periodical&gt;&lt;alt-periodical&gt;&lt;full-title&gt;Nucleic Acids Res&lt;/full-title&gt;&lt;/alt-periodical&gt;&lt;pages&gt;47-49&lt;/pages&gt;&lt;volume&gt;30&lt;/volume&gt;&lt;dates&gt;&lt;year&gt;2002&lt;/year&gt;&lt;/dates&gt;&lt;urls&gt;&lt;/urls&gt;&lt;/record&gt;&lt;/Cite&gt;&lt;/EndNote&gt;</w:instrText>
                      </w:r>
                      <w:r>
                        <w:rPr>
                          <w:sz w:val="22"/>
                        </w:rPr>
                        <w:fldChar w:fldCharType="separate"/>
                      </w:r>
                      <w:r>
                        <w:rPr>
                          <w:noProof/>
                          <w:sz w:val="22"/>
                        </w:rPr>
                        <w:t>(Schomburg</w:t>
                      </w:r>
                      <w:r w:rsidRPr="001C037C">
                        <w:rPr>
                          <w:i/>
                          <w:noProof/>
                          <w:sz w:val="22"/>
                        </w:rPr>
                        <w:t xml:space="preserve"> et al.</w:t>
                      </w:r>
                      <w:r>
                        <w:rPr>
                          <w:noProof/>
                          <w:sz w:val="22"/>
                        </w:rPr>
                        <w:t>, 2002)</w:t>
                      </w:r>
                      <w:r>
                        <w:rPr>
                          <w:sz w:val="22"/>
                        </w:rPr>
                        <w:fldChar w:fldCharType="end"/>
                      </w:r>
                      <w:r>
                        <w:rPr>
                          <w:sz w:val="22"/>
                        </w:rPr>
                        <w:t>. It can be used to calculate or simulate metabolic pathways using “</w:t>
                      </w:r>
                      <w:r w:rsidRPr="00155023">
                        <w:rPr>
                          <w:bCs/>
                          <w:sz w:val="22"/>
                          <w:lang w:val="mi-NZ"/>
                        </w:rPr>
                        <w:t>the information of substrate/product chains and the corresponding kinetic data of the preceding and following enzymes</w:t>
                      </w:r>
                      <w:r>
                        <w:rPr>
                          <w:bCs/>
                          <w:sz w:val="22"/>
                          <w:lang w:val="mi-NZ"/>
                        </w:rPr>
                        <w:t xml:space="preserve">” </w:t>
                      </w:r>
                      <w:r>
                        <w:rPr>
                          <w:bCs/>
                          <w:sz w:val="22"/>
                          <w:lang w:val="mi-NZ"/>
                        </w:rPr>
                        <w:fldChar w:fldCharType="begin"/>
                      </w:r>
                      <w:r>
                        <w:rPr>
                          <w:bCs/>
                          <w:sz w:val="22"/>
                          <w:lang w:val="mi-NZ"/>
                        </w:rPr>
                        <w:instrText xml:space="preserve"> ADDIN EN.CITE &lt;EndNote&gt;&lt;Cite&gt;&lt;Author&gt;Schomburg&lt;/Author&gt;&lt;Year&gt;2002&lt;/Year&gt;&lt;RecNum&gt;287&lt;/RecNum&gt;&lt;DisplayText&gt;(Schomburg&lt;style face="italic"&gt; et al.&lt;/style&gt;, 2002)&lt;/DisplayText&gt;&lt;record&gt;&lt;rec-number&gt;287&lt;/rec-number&gt;&lt;foreign-keys&gt;&lt;key app="EN" db-id="vav00vdrjedrwre5xsc5vxpsx0fp9arstrrf" timestamp="1516742242"&gt;287&lt;/key&gt;&lt;/foreign-keys&gt;&lt;ref-type name="Journal Article"&gt;17&lt;/ref-type&gt;&lt;contributors&gt;&lt;authors&gt;&lt;author&gt;Schomburg, I.&lt;/author&gt;&lt;author&gt;Chang, A.&lt;/author&gt;&lt;author&gt;Schomburg, D.&lt;/author&gt;&lt;/authors&gt;&lt;/contributors&gt;&lt;titles&gt;&lt;title&gt;BRENDA, enzyme data and metabolic information&lt;/title&gt;&lt;secondary-title&gt;Nucleic Acids Res&lt;/secondary-title&gt;&lt;alt-title&gt;Nucleic Acids Res&lt;/alt-title&gt;&lt;/titles&gt;&lt;periodical&gt;&lt;full-title&gt;Nucleic Acids Res&lt;/full-title&gt;&lt;/periodical&gt;&lt;alt-periodical&gt;&lt;full-title&gt;Nucleic Acids Res&lt;/full-title&gt;&lt;/alt-periodical&gt;&lt;pages&gt;47-49&lt;/pages&gt;&lt;volume&gt;30&lt;/volume&gt;&lt;dates&gt;&lt;year&gt;2002&lt;/year&gt;&lt;/dates&gt;&lt;urls&gt;&lt;/urls&gt;&lt;/record&gt;&lt;/Cite&gt;&lt;/EndNote&gt;</w:instrText>
                      </w:r>
                      <w:r>
                        <w:rPr>
                          <w:bCs/>
                          <w:sz w:val="22"/>
                          <w:lang w:val="mi-NZ"/>
                        </w:rPr>
                        <w:fldChar w:fldCharType="separate"/>
                      </w:r>
                      <w:r>
                        <w:rPr>
                          <w:bCs/>
                          <w:noProof/>
                          <w:sz w:val="22"/>
                          <w:lang w:val="mi-NZ"/>
                        </w:rPr>
                        <w:t>(Schomburg</w:t>
                      </w:r>
                      <w:r w:rsidRPr="001C037C">
                        <w:rPr>
                          <w:bCs/>
                          <w:i/>
                          <w:noProof/>
                          <w:sz w:val="22"/>
                          <w:lang w:val="mi-NZ"/>
                        </w:rPr>
                        <w:t xml:space="preserve"> et al.</w:t>
                      </w:r>
                      <w:r>
                        <w:rPr>
                          <w:bCs/>
                          <w:noProof/>
                          <w:sz w:val="22"/>
                          <w:lang w:val="mi-NZ"/>
                        </w:rPr>
                        <w:t>, 2002)</w:t>
                      </w:r>
                      <w:r>
                        <w:rPr>
                          <w:bCs/>
                          <w:sz w:val="22"/>
                          <w:lang w:val="mi-NZ"/>
                        </w:rPr>
                        <w:fldChar w:fldCharType="end"/>
                      </w:r>
                      <w:r>
                        <w:rPr>
                          <w:bCs/>
                          <w:sz w:val="22"/>
                          <w:lang w:val="mi-NZ"/>
                        </w:rPr>
                        <w:t>.</w:t>
                      </w:r>
                    </w:p>
                  </w:txbxContent>
                </v:textbox>
                <w10:wrap type="topAndBottom"/>
              </v:shape>
            </w:pict>
          </mc:Fallback>
        </mc:AlternateContent>
      </w:r>
      <w:r w:rsidR="00576281">
        <w:rPr>
          <w:rFonts w:eastAsia="Calibri"/>
          <w:sz w:val="22"/>
          <w:szCs w:val="22"/>
          <w:lang w:val="en-US" w:eastAsia="en-US"/>
        </w:rPr>
        <w:t>In Table 1A, the Google Translate</w:t>
      </w:r>
      <w:r w:rsidR="00576281">
        <w:rPr>
          <w:rStyle w:val="FootnoteReference"/>
          <w:rFonts w:eastAsia="Calibri"/>
          <w:lang w:val="en-US" w:eastAsia="en-US"/>
        </w:rPr>
        <w:footnoteReference w:id="11"/>
      </w:r>
      <w:r w:rsidR="00576281">
        <w:rPr>
          <w:rFonts w:eastAsia="Calibri"/>
          <w:sz w:val="22"/>
          <w:szCs w:val="22"/>
          <w:lang w:val="en-US" w:eastAsia="en-US"/>
        </w:rPr>
        <w:t xml:space="preserve"> tool was given a complete sentence and asked to translate that sentence from English into another language. The translation was substituted for the original English text for translation back to English. Fidelity of translation from English either </w:t>
      </w:r>
      <w:r w:rsidR="00871CD0">
        <w:rPr>
          <w:rFonts w:eastAsia="Calibri"/>
          <w:sz w:val="22"/>
          <w:szCs w:val="22"/>
          <w:lang w:val="en-US" w:eastAsia="en-US"/>
        </w:rPr>
        <w:t xml:space="preserve">to </w:t>
      </w:r>
      <w:r w:rsidR="00576281">
        <w:rPr>
          <w:rFonts w:eastAsia="Calibri"/>
          <w:sz w:val="22"/>
          <w:szCs w:val="22"/>
          <w:lang w:val="en-US" w:eastAsia="en-US"/>
        </w:rPr>
        <w:t>Chinese, Russian or Arabic was high as apparent from the high fidelity of the back translation.</w:t>
      </w:r>
    </w:p>
    <w:p w14:paraId="6287AEAA" w14:textId="77777777" w:rsidR="00322BED" w:rsidRDefault="00216279" w:rsidP="00216279">
      <w:pPr>
        <w:spacing w:after="120"/>
        <w:rPr>
          <w:rFonts w:eastAsia="Calibri"/>
          <w:sz w:val="22"/>
          <w:szCs w:val="22"/>
          <w:lang w:val="en-US" w:eastAsia="en-US"/>
        </w:rPr>
      </w:pPr>
      <w:r>
        <w:rPr>
          <w:rFonts w:eastAsia="Calibri"/>
          <w:sz w:val="22"/>
          <w:szCs w:val="22"/>
          <w:lang w:val="en-US" w:eastAsia="en-US"/>
        </w:rPr>
        <w:t>Compare for example</w:t>
      </w:r>
      <w:r w:rsidR="006A54DD">
        <w:rPr>
          <w:rFonts w:eastAsia="Calibri"/>
          <w:sz w:val="22"/>
          <w:szCs w:val="22"/>
          <w:lang w:val="en-US" w:eastAsia="en-US"/>
        </w:rPr>
        <w:t>,</w:t>
      </w:r>
      <w:r>
        <w:rPr>
          <w:rFonts w:eastAsia="Calibri"/>
          <w:sz w:val="22"/>
          <w:szCs w:val="22"/>
          <w:lang w:val="en-US" w:eastAsia="en-US"/>
        </w:rPr>
        <w:t xml:space="preserve"> the difference in translation of the sentence (with content, schema</w:t>
      </w:r>
      <w:r w:rsidR="007D291D">
        <w:rPr>
          <w:rFonts w:eastAsia="Calibri"/>
          <w:sz w:val="22"/>
          <w:szCs w:val="22"/>
          <w:lang w:val="en-US" w:eastAsia="en-US"/>
        </w:rPr>
        <w:t>ta</w:t>
      </w:r>
      <w:r>
        <w:rPr>
          <w:rFonts w:eastAsia="Calibri"/>
          <w:sz w:val="22"/>
          <w:szCs w:val="22"/>
          <w:lang w:val="en-US" w:eastAsia="en-US"/>
        </w:rPr>
        <w:t xml:space="preserve"> and meta-data when sent to Google Translate) and the same </w:t>
      </w:r>
      <w:r w:rsidR="00960AA3">
        <w:rPr>
          <w:rFonts w:eastAsia="Calibri"/>
          <w:sz w:val="22"/>
          <w:szCs w:val="22"/>
          <w:lang w:val="en-US" w:eastAsia="en-US"/>
        </w:rPr>
        <w:t>words</w:t>
      </w:r>
      <w:r>
        <w:rPr>
          <w:rFonts w:eastAsia="Calibri"/>
          <w:sz w:val="22"/>
          <w:szCs w:val="22"/>
          <w:lang w:val="en-US" w:eastAsia="en-US"/>
        </w:rPr>
        <w:t xml:space="preserve"> translated out of context as</w:t>
      </w:r>
      <w:r w:rsidR="00960AA3">
        <w:rPr>
          <w:rFonts w:eastAsia="Calibri"/>
          <w:sz w:val="22"/>
          <w:szCs w:val="22"/>
          <w:lang w:val="en-US" w:eastAsia="en-US"/>
        </w:rPr>
        <w:t xml:space="preserve"> just</w:t>
      </w:r>
      <w:r>
        <w:rPr>
          <w:rFonts w:eastAsia="Calibri"/>
          <w:sz w:val="22"/>
          <w:szCs w:val="22"/>
          <w:lang w:val="en-US" w:eastAsia="en-US"/>
        </w:rPr>
        <w:t xml:space="preserve"> a series of words</w:t>
      </w:r>
      <w:r w:rsidR="00907D7C">
        <w:rPr>
          <w:rFonts w:eastAsia="Calibri"/>
          <w:sz w:val="22"/>
          <w:szCs w:val="22"/>
          <w:lang w:val="en-US" w:eastAsia="en-US"/>
        </w:rPr>
        <w:t>, even when in the same order as the original sentence</w:t>
      </w:r>
      <w:r>
        <w:rPr>
          <w:rFonts w:eastAsia="Calibri"/>
          <w:sz w:val="22"/>
          <w:szCs w:val="22"/>
          <w:lang w:val="en-US" w:eastAsia="en-US"/>
        </w:rPr>
        <w:t>. If each word of the same sentence is translated independently and then assembled into a phrase, the accuracy of the translation declines, as shown in the last row of Table 1B. This use of the</w:t>
      </w:r>
      <w:r w:rsidR="00E338D9">
        <w:rPr>
          <w:rFonts w:eastAsia="Calibri"/>
          <w:sz w:val="22"/>
          <w:szCs w:val="22"/>
          <w:lang w:val="en-US" w:eastAsia="en-US"/>
        </w:rPr>
        <w:t xml:space="preserve"> words separated from </w:t>
      </w:r>
      <w:r w:rsidR="00E338D9">
        <w:rPr>
          <w:rFonts w:eastAsia="Calibri"/>
          <w:sz w:val="22"/>
          <w:szCs w:val="22"/>
          <w:lang w:val="en-US" w:eastAsia="en-US"/>
        </w:rPr>
        <w:lastRenderedPageBreak/>
        <w:t>the context of language that is encoded in schemata and meta-data makes it impossible for the</w:t>
      </w:r>
      <w:r>
        <w:rPr>
          <w:rFonts w:eastAsia="Calibri"/>
          <w:sz w:val="22"/>
          <w:szCs w:val="22"/>
          <w:lang w:val="en-US" w:eastAsia="en-US"/>
        </w:rPr>
        <w:t xml:space="preserve"> tool Google Translate</w:t>
      </w:r>
      <w:r w:rsidR="00E338D9">
        <w:rPr>
          <w:rFonts w:eastAsia="Calibri"/>
          <w:sz w:val="22"/>
          <w:szCs w:val="22"/>
          <w:lang w:val="en-US" w:eastAsia="en-US"/>
        </w:rPr>
        <w:t xml:space="preserve"> to reconstruct the sentence’s meaning</w:t>
      </w:r>
      <w:r w:rsidR="00322BED">
        <w:rPr>
          <w:rFonts w:eastAsia="Calibri"/>
          <w:sz w:val="22"/>
          <w:szCs w:val="22"/>
          <w:lang w:val="en-US" w:eastAsia="en-US"/>
        </w:rPr>
        <w:t>.</w:t>
      </w:r>
    </w:p>
    <w:tbl>
      <w:tblPr>
        <w:tblStyle w:val="TableGrid"/>
        <w:tblpPr w:leftFromText="180" w:rightFromText="180" w:vertAnchor="text" w:horzAnchor="page" w:tblpX="1990" w:tblpY="46"/>
        <w:tblW w:w="8188" w:type="dxa"/>
        <w:tblLayout w:type="fixed"/>
        <w:tblLook w:val="04A0" w:firstRow="1" w:lastRow="0" w:firstColumn="1" w:lastColumn="0" w:noHBand="0" w:noVBand="1"/>
      </w:tblPr>
      <w:tblGrid>
        <w:gridCol w:w="2802"/>
        <w:gridCol w:w="2835"/>
        <w:gridCol w:w="2551"/>
      </w:tblGrid>
      <w:tr w:rsidR="00D37E63" w:rsidRPr="0088277E" w14:paraId="069E135F" w14:textId="77777777" w:rsidTr="00D37E63">
        <w:trPr>
          <w:cantSplit/>
        </w:trPr>
        <w:tc>
          <w:tcPr>
            <w:tcW w:w="8188" w:type="dxa"/>
            <w:gridSpan w:val="3"/>
            <w:tcBorders>
              <w:top w:val="nil"/>
              <w:left w:val="nil"/>
              <w:bottom w:val="single" w:sz="4" w:space="0" w:color="auto"/>
              <w:right w:val="nil"/>
            </w:tcBorders>
          </w:tcPr>
          <w:p w14:paraId="0A44A5EC" w14:textId="77777777" w:rsidR="00D37E63" w:rsidRPr="00DB509D" w:rsidRDefault="00D37E63" w:rsidP="00D37E63">
            <w:pPr>
              <w:keepNext/>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eastAsia="Calibri"/>
                <w:sz w:val="22"/>
                <w:szCs w:val="22"/>
                <w:lang w:val="en-US" w:eastAsia="en-US"/>
              </w:rPr>
            </w:pPr>
            <w:r w:rsidRPr="00DB509D">
              <w:rPr>
                <w:rFonts w:eastAsia="Calibri"/>
                <w:sz w:val="22"/>
                <w:szCs w:val="22"/>
                <w:lang w:val="en-US" w:eastAsia="en-US"/>
              </w:rPr>
              <w:t>Table 1A. Characteristics of information interchangeability illustrated by translation</w:t>
            </w:r>
            <w:r w:rsidR="00D34EE8">
              <w:rPr>
                <w:rFonts w:eastAsia="Calibri"/>
                <w:sz w:val="22"/>
                <w:szCs w:val="22"/>
                <w:lang w:val="en-US" w:eastAsia="en-US"/>
              </w:rPr>
              <w:t xml:space="preserve"> of a sentence</w:t>
            </w:r>
            <w:r w:rsidRPr="00DB509D">
              <w:rPr>
                <w:rFonts w:eastAsia="Calibri"/>
                <w:sz w:val="22"/>
                <w:szCs w:val="22"/>
                <w:lang w:val="en-US" w:eastAsia="en-US"/>
              </w:rPr>
              <w:t xml:space="preserve"> into different UN working languages.</w:t>
            </w:r>
          </w:p>
        </w:tc>
      </w:tr>
      <w:tr w:rsidR="00D37E63" w:rsidRPr="0088277E" w14:paraId="79DE3E06" w14:textId="77777777" w:rsidTr="00D37E63">
        <w:trPr>
          <w:cantSplit/>
        </w:trPr>
        <w:tc>
          <w:tcPr>
            <w:tcW w:w="2802" w:type="dxa"/>
            <w:tcBorders>
              <w:top w:val="single" w:sz="4" w:space="0" w:color="auto"/>
            </w:tcBorders>
          </w:tcPr>
          <w:p w14:paraId="7959E5AC" w14:textId="77777777" w:rsidR="00D37E63" w:rsidRPr="00DC76E9" w:rsidRDefault="00D37E63" w:rsidP="00D37E63">
            <w:pPr>
              <w:keepNext/>
              <w:keepLines/>
              <w:spacing w:after="120"/>
              <w:rPr>
                <w:rFonts w:eastAsia="Calibri"/>
                <w:sz w:val="22"/>
                <w:szCs w:val="22"/>
                <w:lang w:val="en-US" w:eastAsia="en-US"/>
              </w:rPr>
            </w:pPr>
            <w:r w:rsidRPr="00DC76E9">
              <w:rPr>
                <w:rFonts w:eastAsia="Calibri"/>
                <w:sz w:val="22"/>
                <w:szCs w:val="22"/>
                <w:lang w:val="en-US" w:eastAsia="en-US"/>
              </w:rPr>
              <w:t>from*</w:t>
            </w:r>
          </w:p>
        </w:tc>
        <w:tc>
          <w:tcPr>
            <w:tcW w:w="2835" w:type="dxa"/>
            <w:tcBorders>
              <w:top w:val="single" w:sz="4" w:space="0" w:color="auto"/>
            </w:tcBorders>
          </w:tcPr>
          <w:p w14:paraId="08CCE03D" w14:textId="77777777" w:rsidR="00D37E63" w:rsidRPr="00DC76E9" w:rsidRDefault="00D37E63" w:rsidP="00D37E63">
            <w:pPr>
              <w:keepNext/>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color w:val="212121"/>
                <w:sz w:val="22"/>
                <w:szCs w:val="22"/>
                <w:lang w:val="es-ES" w:eastAsia="en-US"/>
              </w:rPr>
            </w:pPr>
            <w:r w:rsidRPr="00DC76E9">
              <w:rPr>
                <w:color w:val="212121"/>
                <w:sz w:val="22"/>
                <w:szCs w:val="22"/>
                <w:lang w:val="es-ES" w:eastAsia="en-US"/>
              </w:rPr>
              <w:t>to</w:t>
            </w:r>
          </w:p>
        </w:tc>
        <w:tc>
          <w:tcPr>
            <w:tcW w:w="2551" w:type="dxa"/>
            <w:tcBorders>
              <w:top w:val="single" w:sz="4" w:space="0" w:color="auto"/>
            </w:tcBorders>
          </w:tcPr>
          <w:p w14:paraId="36C3353D" w14:textId="77777777" w:rsidR="00D37E63" w:rsidRPr="00DC76E9" w:rsidRDefault="00D37E63" w:rsidP="00D37E63">
            <w:pPr>
              <w:keepNext/>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color w:val="212121"/>
                <w:sz w:val="22"/>
                <w:szCs w:val="22"/>
                <w:lang w:val="es-ES" w:eastAsia="en-US"/>
              </w:rPr>
            </w:pPr>
            <w:r w:rsidRPr="00DC76E9">
              <w:rPr>
                <w:color w:val="212121"/>
                <w:sz w:val="22"/>
                <w:szCs w:val="22"/>
                <w:lang w:val="es-ES" w:eastAsia="en-US"/>
              </w:rPr>
              <w:t>back</w:t>
            </w:r>
          </w:p>
        </w:tc>
      </w:tr>
      <w:tr w:rsidR="00D37E63" w:rsidRPr="0088277E" w14:paraId="023A37CC" w14:textId="77777777" w:rsidTr="00D37E63">
        <w:trPr>
          <w:cantSplit/>
        </w:trPr>
        <w:tc>
          <w:tcPr>
            <w:tcW w:w="2802" w:type="dxa"/>
          </w:tcPr>
          <w:p w14:paraId="5DFE565A" w14:textId="77777777" w:rsidR="00D37E63" w:rsidRPr="00DC76E9" w:rsidRDefault="00801D78" w:rsidP="00871CD0">
            <w:pPr>
              <w:keepNext/>
              <w:keepLines/>
              <w:widowControl w:val="0"/>
              <w:spacing w:after="120"/>
              <w:rPr>
                <w:rFonts w:eastAsia="Calibri"/>
                <w:sz w:val="22"/>
                <w:szCs w:val="22"/>
                <w:lang w:val="en-US" w:eastAsia="en-US"/>
              </w:rPr>
            </w:pPr>
            <w:r w:rsidRPr="00DC76E9">
              <w:rPr>
                <w:rFonts w:eastAsia="Calibri"/>
                <w:sz w:val="22"/>
                <w:szCs w:val="22"/>
                <w:lang w:val="en-US" w:eastAsia="en-US"/>
              </w:rPr>
              <w:t>Fidelity of translation from English to either Chinese, Russian or Arabic was high as apparent from the high fidelity of the back translation.</w:t>
            </w:r>
          </w:p>
        </w:tc>
        <w:tc>
          <w:tcPr>
            <w:tcW w:w="2835" w:type="dxa"/>
          </w:tcPr>
          <w:p w14:paraId="0143A360" w14:textId="77777777" w:rsidR="00D37E63" w:rsidRPr="00E034B1" w:rsidRDefault="00801D78" w:rsidP="00801D7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12121"/>
                <w:sz w:val="22"/>
                <w:szCs w:val="22"/>
                <w:lang w:val="en-US" w:eastAsia="en-US"/>
              </w:rPr>
            </w:pPr>
            <w:r w:rsidRPr="00DC76E9">
              <w:rPr>
                <w:rFonts w:ascii="Lantinghei TC Heavy" w:hAnsi="Lantinghei TC Heavy" w:cs="Lantinghei TC Heavy" w:hint="eastAsia"/>
                <w:color w:val="212121"/>
                <w:sz w:val="22"/>
                <w:szCs w:val="22"/>
                <w:lang w:val="mi-NZ" w:eastAsia="zh-TW"/>
              </w:rPr>
              <w:t>翻譯從英文翻譯成中文，俄文或阿拉伯文的忠誠度高，這從後面翻譯的高保真度中可以看出。</w:t>
            </w:r>
          </w:p>
        </w:tc>
        <w:tc>
          <w:tcPr>
            <w:tcW w:w="2551" w:type="dxa"/>
          </w:tcPr>
          <w:p w14:paraId="1ADF43D6" w14:textId="77777777" w:rsidR="00D37E63" w:rsidRPr="0012061B" w:rsidRDefault="00801D78" w:rsidP="00E034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noProof/>
                <w:color w:val="212121"/>
                <w:sz w:val="22"/>
                <w:szCs w:val="22"/>
                <w:lang w:val="en-CA" w:eastAsia="en-US"/>
              </w:rPr>
            </w:pPr>
            <w:r w:rsidRPr="00DC76E9">
              <w:rPr>
                <w:rFonts w:ascii="inherit" w:hAnsi="inherit" w:cs="Courier"/>
                <w:color w:val="212121"/>
                <w:sz w:val="22"/>
                <w:szCs w:val="22"/>
                <w:lang w:val="en" w:eastAsia="en-US"/>
              </w:rPr>
              <w:t>The loyalty of translations from English to Chinese, Russian or Arabic is high, as can be seen from the high fidelity of later translations.</w:t>
            </w:r>
          </w:p>
        </w:tc>
      </w:tr>
      <w:tr w:rsidR="009F580D" w:rsidRPr="0088277E" w14:paraId="7B0A07A0" w14:textId="77777777" w:rsidTr="00D37E63">
        <w:trPr>
          <w:cantSplit/>
        </w:trPr>
        <w:tc>
          <w:tcPr>
            <w:tcW w:w="2802" w:type="dxa"/>
          </w:tcPr>
          <w:p w14:paraId="0E7B3DEE" w14:textId="77777777" w:rsidR="009F580D" w:rsidRPr="00DC76E9" w:rsidRDefault="00DC76E9" w:rsidP="00871CD0">
            <w:pPr>
              <w:keepNext/>
              <w:keepLines/>
              <w:widowControl w:val="0"/>
              <w:spacing w:after="120"/>
              <w:rPr>
                <w:rFonts w:eastAsia="Calibri"/>
                <w:sz w:val="22"/>
                <w:szCs w:val="22"/>
                <w:lang w:val="en-US" w:eastAsia="en-US"/>
              </w:rPr>
            </w:pPr>
            <w:r w:rsidRPr="00DC76E9">
              <w:rPr>
                <w:rFonts w:eastAsia="Calibri"/>
                <w:sz w:val="22"/>
                <w:szCs w:val="22"/>
                <w:lang w:val="en-US" w:eastAsia="en-US"/>
              </w:rPr>
              <w:t>Fidelity of translation from English to either Chinese, Russian or Arabic was high as apparent from the high fidelity of the back translation.</w:t>
            </w:r>
          </w:p>
        </w:tc>
        <w:tc>
          <w:tcPr>
            <w:tcW w:w="2835" w:type="dxa"/>
          </w:tcPr>
          <w:p w14:paraId="290380C2" w14:textId="77777777" w:rsidR="009F580D" w:rsidRPr="00DC76E9" w:rsidRDefault="00DC76E9" w:rsidP="00DC76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herit" w:hAnsi="inherit" w:cs="Courier"/>
                <w:color w:val="212121"/>
                <w:sz w:val="22"/>
                <w:szCs w:val="22"/>
                <w:lang w:val="mi-NZ" w:eastAsia="en-US"/>
              </w:rPr>
            </w:pPr>
            <w:r w:rsidRPr="00DC76E9">
              <w:rPr>
                <w:rFonts w:ascii="inherit" w:hAnsi="inherit" w:cs="Courier"/>
                <w:color w:val="212121"/>
                <w:sz w:val="22"/>
                <w:szCs w:val="22"/>
                <w:lang w:val="ru-RU" w:eastAsia="en-US"/>
              </w:rPr>
              <w:t>Верность перевода с английского на китайский, русский или арабский была высокой, как видно из высокой верности перевода назад.</w:t>
            </w:r>
          </w:p>
        </w:tc>
        <w:tc>
          <w:tcPr>
            <w:tcW w:w="2551" w:type="dxa"/>
          </w:tcPr>
          <w:p w14:paraId="066F6889" w14:textId="77777777" w:rsidR="009F580D" w:rsidRPr="00DC76E9" w:rsidRDefault="00DC76E9" w:rsidP="009F580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herit" w:hAnsi="inherit" w:cs="Courier"/>
                <w:color w:val="212121"/>
                <w:sz w:val="22"/>
                <w:szCs w:val="22"/>
                <w:lang w:val="mi-NZ" w:eastAsia="en-US"/>
              </w:rPr>
            </w:pPr>
            <w:r w:rsidRPr="00DC76E9">
              <w:rPr>
                <w:rFonts w:ascii="inherit" w:hAnsi="inherit" w:cs="Courier"/>
                <w:color w:val="212121"/>
                <w:sz w:val="22"/>
                <w:szCs w:val="22"/>
                <w:lang w:val="en" w:eastAsia="en-US"/>
              </w:rPr>
              <w:t>The faithfulness of the translation from English into Chinese, Russian or Arabic was high, as can be seen from the high fidelity of the translation back.</w:t>
            </w:r>
          </w:p>
        </w:tc>
      </w:tr>
      <w:tr w:rsidR="00D37E63" w:rsidRPr="0088277E" w14:paraId="2425FCA9" w14:textId="77777777" w:rsidTr="00D37E63">
        <w:trPr>
          <w:cantSplit/>
        </w:trPr>
        <w:tc>
          <w:tcPr>
            <w:tcW w:w="2802" w:type="dxa"/>
          </w:tcPr>
          <w:p w14:paraId="4AD381FE" w14:textId="77777777" w:rsidR="00D37E63" w:rsidRPr="00DC76E9" w:rsidRDefault="00DC76E9" w:rsidP="00D37E63">
            <w:pPr>
              <w:keepNext/>
              <w:keepLines/>
              <w:spacing w:after="120"/>
              <w:rPr>
                <w:rFonts w:eastAsia="Calibri"/>
                <w:sz w:val="22"/>
                <w:szCs w:val="22"/>
                <w:lang w:val="en-US" w:eastAsia="en-US"/>
              </w:rPr>
            </w:pPr>
            <w:r w:rsidRPr="00DC76E9">
              <w:rPr>
                <w:rFonts w:eastAsia="Calibri"/>
                <w:sz w:val="22"/>
                <w:szCs w:val="22"/>
                <w:lang w:val="en-US" w:eastAsia="en-US"/>
              </w:rPr>
              <w:t>Fidelity of translation from English to either Chinese, Russian or Arabic was high as apparent from the high fidelity of the back translation.</w:t>
            </w:r>
          </w:p>
        </w:tc>
        <w:tc>
          <w:tcPr>
            <w:tcW w:w="2835" w:type="dxa"/>
          </w:tcPr>
          <w:p w14:paraId="2F2ECF0E" w14:textId="77777777" w:rsidR="00DC76E9" w:rsidRPr="00DC76E9" w:rsidRDefault="00DC76E9" w:rsidP="00DC76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inherit" w:hAnsi="inherit" w:cs="Courier"/>
                <w:color w:val="212121"/>
                <w:sz w:val="22"/>
                <w:szCs w:val="22"/>
                <w:lang w:val="mi-NZ" w:eastAsia="en-US"/>
              </w:rPr>
            </w:pPr>
            <w:r w:rsidRPr="00DC76E9">
              <w:rPr>
                <w:rFonts w:ascii="inherit" w:hAnsi="inherit"/>
                <w:color w:val="212121"/>
                <w:sz w:val="22"/>
                <w:szCs w:val="22"/>
                <w:rtl/>
                <w:lang w:val="mi-NZ" w:eastAsia="en-US"/>
              </w:rPr>
              <w:t>كانت دقة الترجمة من الإنجليزية إلى الصينية أو الروسية أو العربية عالية كما يتضح من الدقة العالية للترجمة الخلفية</w:t>
            </w:r>
            <w:r w:rsidRPr="00DC76E9">
              <w:rPr>
                <w:rFonts w:ascii="inherit" w:hAnsi="inherit" w:cs="Courier"/>
                <w:color w:val="212121"/>
                <w:sz w:val="22"/>
                <w:szCs w:val="22"/>
                <w:lang w:val="mi-NZ" w:eastAsia="en-US" w:bidi="ar"/>
              </w:rPr>
              <w:t>.</w:t>
            </w:r>
          </w:p>
          <w:p w14:paraId="31CA2780" w14:textId="77777777" w:rsidR="00D37E63" w:rsidRPr="00DC76E9" w:rsidRDefault="00D37E63" w:rsidP="00DC76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12121"/>
                <w:sz w:val="22"/>
                <w:szCs w:val="22"/>
                <w:lang w:val="mi-NZ" w:eastAsia="en-US"/>
              </w:rPr>
            </w:pPr>
          </w:p>
        </w:tc>
        <w:tc>
          <w:tcPr>
            <w:tcW w:w="2551" w:type="dxa"/>
          </w:tcPr>
          <w:p w14:paraId="335A240E" w14:textId="77777777" w:rsidR="00D37E63" w:rsidRPr="00DC76E9" w:rsidRDefault="00DC76E9" w:rsidP="00D37E63">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color w:val="212121"/>
                <w:sz w:val="22"/>
                <w:szCs w:val="22"/>
                <w:lang w:val="mi-NZ" w:eastAsia="en-US"/>
              </w:rPr>
            </w:pPr>
            <w:r w:rsidRPr="00DC76E9">
              <w:rPr>
                <w:color w:val="212121"/>
                <w:sz w:val="22"/>
                <w:szCs w:val="22"/>
                <w:lang w:val="mi-NZ" w:eastAsia="en-US"/>
              </w:rPr>
              <w:t>The accuracy of translation from English to Chinese, Russian or Arabic was high, as demonstrated by the high resolution of background translation.</w:t>
            </w:r>
          </w:p>
        </w:tc>
      </w:tr>
    </w:tbl>
    <w:p w14:paraId="605AB57C" w14:textId="77777777" w:rsidR="00CE4C79" w:rsidRDefault="00CE4C79">
      <w:r>
        <w:br w:type="page"/>
      </w:r>
    </w:p>
    <w:tbl>
      <w:tblPr>
        <w:tblStyle w:val="TableGrid"/>
        <w:tblpPr w:leftFromText="180" w:rightFromText="180" w:vertAnchor="text" w:horzAnchor="page" w:tblpX="1990" w:tblpY="46"/>
        <w:tblW w:w="8188" w:type="dxa"/>
        <w:tblLayout w:type="fixed"/>
        <w:tblLook w:val="04A0" w:firstRow="1" w:lastRow="0" w:firstColumn="1" w:lastColumn="0" w:noHBand="0" w:noVBand="1"/>
      </w:tblPr>
      <w:tblGrid>
        <w:gridCol w:w="2802"/>
        <w:gridCol w:w="2835"/>
        <w:gridCol w:w="2551"/>
      </w:tblGrid>
      <w:tr w:rsidR="00D37E63" w:rsidRPr="0088277E" w14:paraId="4DD49A73" w14:textId="77777777" w:rsidTr="00263D11">
        <w:trPr>
          <w:cantSplit/>
        </w:trPr>
        <w:tc>
          <w:tcPr>
            <w:tcW w:w="8188" w:type="dxa"/>
            <w:gridSpan w:val="3"/>
            <w:tcBorders>
              <w:top w:val="nil"/>
              <w:left w:val="nil"/>
              <w:bottom w:val="single" w:sz="4" w:space="0" w:color="auto"/>
              <w:right w:val="nil"/>
            </w:tcBorders>
          </w:tcPr>
          <w:p w14:paraId="12F14AF0" w14:textId="77777777" w:rsidR="00D37E63" w:rsidRPr="00DC76E9" w:rsidRDefault="00D37E63" w:rsidP="00D34EE8">
            <w:pPr>
              <w:keepNext/>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color w:val="212121"/>
                <w:sz w:val="22"/>
                <w:szCs w:val="22"/>
                <w:lang w:val="en" w:eastAsia="en-US"/>
              </w:rPr>
            </w:pPr>
            <w:r w:rsidRPr="00DC76E9">
              <w:rPr>
                <w:rFonts w:eastAsia="Calibri"/>
                <w:sz w:val="22"/>
                <w:szCs w:val="22"/>
                <w:lang w:val="en-US" w:eastAsia="en-US"/>
              </w:rPr>
              <w:lastRenderedPageBreak/>
              <w:t xml:space="preserve">Table 1B. The </w:t>
            </w:r>
            <w:r w:rsidR="00D34EE8">
              <w:rPr>
                <w:rFonts w:eastAsia="Calibri"/>
                <w:sz w:val="22"/>
                <w:szCs w:val="22"/>
                <w:lang w:val="en-US" w:eastAsia="en-US"/>
              </w:rPr>
              <w:t>translation of</w:t>
            </w:r>
            <w:r w:rsidRPr="00DC76E9">
              <w:rPr>
                <w:rFonts w:eastAsia="Calibri"/>
                <w:sz w:val="22"/>
                <w:szCs w:val="22"/>
                <w:lang w:val="en-US" w:eastAsia="en-US"/>
              </w:rPr>
              <w:t xml:space="preserve"> a sequence of words.</w:t>
            </w:r>
          </w:p>
        </w:tc>
      </w:tr>
      <w:tr w:rsidR="00D37E63" w:rsidRPr="0088277E" w14:paraId="4D513741" w14:textId="77777777" w:rsidTr="00263D11">
        <w:trPr>
          <w:cantSplit/>
        </w:trPr>
        <w:tc>
          <w:tcPr>
            <w:tcW w:w="2802" w:type="dxa"/>
            <w:tcBorders>
              <w:top w:val="single" w:sz="4" w:space="0" w:color="auto"/>
              <w:bottom w:val="single" w:sz="4" w:space="0" w:color="auto"/>
            </w:tcBorders>
          </w:tcPr>
          <w:p w14:paraId="70360FA2" w14:textId="77777777" w:rsidR="00D37E63" w:rsidRPr="00DC76E9" w:rsidRDefault="00D37E63" w:rsidP="00D37E63">
            <w:pPr>
              <w:keepNext/>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color w:val="212121"/>
                <w:sz w:val="22"/>
                <w:szCs w:val="22"/>
                <w:lang w:val="en" w:eastAsia="en-US"/>
              </w:rPr>
            </w:pPr>
            <w:r w:rsidRPr="00DC76E9">
              <w:rPr>
                <w:color w:val="212121"/>
                <w:sz w:val="22"/>
                <w:szCs w:val="22"/>
                <w:lang w:val="en" w:eastAsia="en-US"/>
              </w:rPr>
              <w:t>from**</w:t>
            </w:r>
          </w:p>
        </w:tc>
        <w:tc>
          <w:tcPr>
            <w:tcW w:w="2835" w:type="dxa"/>
            <w:tcBorders>
              <w:top w:val="single" w:sz="4" w:space="0" w:color="auto"/>
              <w:bottom w:val="single" w:sz="4" w:space="0" w:color="auto"/>
            </w:tcBorders>
          </w:tcPr>
          <w:p w14:paraId="65029C3B" w14:textId="77777777" w:rsidR="00D37E63" w:rsidRPr="00DC76E9" w:rsidRDefault="00D37E63" w:rsidP="00D37E63">
            <w:pPr>
              <w:keepNext/>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color w:val="212121"/>
                <w:sz w:val="22"/>
                <w:szCs w:val="22"/>
                <w:lang w:val="en" w:eastAsia="en-US"/>
              </w:rPr>
            </w:pPr>
            <w:r w:rsidRPr="00DC76E9">
              <w:rPr>
                <w:color w:val="212121"/>
                <w:sz w:val="22"/>
                <w:szCs w:val="22"/>
                <w:lang w:val="en" w:eastAsia="en-US"/>
              </w:rPr>
              <w:t>to (word by word translation)</w:t>
            </w:r>
          </w:p>
        </w:tc>
        <w:tc>
          <w:tcPr>
            <w:tcW w:w="2551" w:type="dxa"/>
            <w:tcBorders>
              <w:top w:val="single" w:sz="4" w:space="0" w:color="auto"/>
              <w:bottom w:val="single" w:sz="4" w:space="0" w:color="auto"/>
            </w:tcBorders>
          </w:tcPr>
          <w:p w14:paraId="3030704E" w14:textId="77777777" w:rsidR="00D37E63" w:rsidRPr="00DC76E9" w:rsidRDefault="00D37E63" w:rsidP="00D37E63">
            <w:pPr>
              <w:keepNext/>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color w:val="212121"/>
                <w:sz w:val="22"/>
                <w:szCs w:val="22"/>
                <w:lang w:val="en" w:eastAsia="en-US"/>
              </w:rPr>
            </w:pPr>
            <w:r w:rsidRPr="00DC76E9">
              <w:rPr>
                <w:color w:val="212121"/>
                <w:sz w:val="22"/>
                <w:szCs w:val="22"/>
                <w:lang w:val="en" w:eastAsia="en-US"/>
              </w:rPr>
              <w:t>back</w:t>
            </w:r>
          </w:p>
        </w:tc>
      </w:tr>
      <w:tr w:rsidR="009F580D" w:rsidRPr="0088277E" w14:paraId="1E6E6C32" w14:textId="77777777" w:rsidTr="00D37E63">
        <w:trPr>
          <w:cantSplit/>
        </w:trPr>
        <w:tc>
          <w:tcPr>
            <w:tcW w:w="2802" w:type="dxa"/>
            <w:tcBorders>
              <w:bottom w:val="single" w:sz="4" w:space="0" w:color="auto"/>
            </w:tcBorders>
          </w:tcPr>
          <w:p w14:paraId="3FC18710" w14:textId="77777777" w:rsidR="00DC76E9" w:rsidRDefault="00DC76E9" w:rsidP="00DC76E9">
            <w:pPr>
              <w:keepNext/>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2"/>
                <w:szCs w:val="22"/>
                <w:lang w:val="en-US" w:eastAsia="en-US"/>
              </w:rPr>
            </w:pPr>
            <w:r>
              <w:rPr>
                <w:rFonts w:eastAsia="Calibri"/>
                <w:sz w:val="22"/>
                <w:szCs w:val="22"/>
                <w:lang w:val="en-US" w:eastAsia="en-US"/>
              </w:rPr>
              <w:t>fidelity</w:t>
            </w:r>
          </w:p>
          <w:p w14:paraId="7E675177" w14:textId="77777777" w:rsidR="00DC76E9" w:rsidRDefault="00DC76E9" w:rsidP="00DC76E9">
            <w:pPr>
              <w:keepNext/>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2"/>
                <w:szCs w:val="22"/>
                <w:lang w:val="en-US" w:eastAsia="en-US"/>
              </w:rPr>
            </w:pPr>
            <w:r>
              <w:rPr>
                <w:rFonts w:eastAsia="Calibri"/>
                <w:sz w:val="22"/>
                <w:szCs w:val="22"/>
                <w:lang w:val="en-US" w:eastAsia="en-US"/>
              </w:rPr>
              <w:t>of</w:t>
            </w:r>
          </w:p>
          <w:p w14:paraId="5CAD4E92" w14:textId="77777777" w:rsidR="00DC76E9" w:rsidRDefault="00DC76E9" w:rsidP="00DC76E9">
            <w:pPr>
              <w:keepNext/>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2"/>
                <w:szCs w:val="22"/>
                <w:lang w:val="en-US" w:eastAsia="en-US"/>
              </w:rPr>
            </w:pPr>
            <w:r>
              <w:rPr>
                <w:rFonts w:eastAsia="Calibri"/>
                <w:sz w:val="22"/>
                <w:szCs w:val="22"/>
                <w:lang w:val="en-US" w:eastAsia="en-US"/>
              </w:rPr>
              <w:t>translation</w:t>
            </w:r>
          </w:p>
          <w:p w14:paraId="7FAC191E" w14:textId="77777777" w:rsidR="00DC76E9" w:rsidRDefault="00DC76E9" w:rsidP="00DC76E9">
            <w:pPr>
              <w:keepNext/>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2"/>
                <w:szCs w:val="22"/>
                <w:lang w:val="en-US" w:eastAsia="en-US"/>
              </w:rPr>
            </w:pPr>
            <w:r>
              <w:rPr>
                <w:rFonts w:eastAsia="Calibri"/>
                <w:sz w:val="22"/>
                <w:szCs w:val="22"/>
                <w:lang w:val="en-US" w:eastAsia="en-US"/>
              </w:rPr>
              <w:t>from</w:t>
            </w:r>
          </w:p>
          <w:p w14:paraId="084C8B30" w14:textId="77777777" w:rsidR="00DC76E9" w:rsidRDefault="00DC76E9" w:rsidP="00DC76E9">
            <w:pPr>
              <w:keepNext/>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2"/>
                <w:szCs w:val="22"/>
                <w:lang w:val="en-US" w:eastAsia="en-US"/>
              </w:rPr>
            </w:pPr>
            <w:r>
              <w:rPr>
                <w:rFonts w:eastAsia="Calibri"/>
                <w:sz w:val="22"/>
                <w:szCs w:val="22"/>
                <w:lang w:val="en-US" w:eastAsia="en-US"/>
              </w:rPr>
              <w:t>english</w:t>
            </w:r>
          </w:p>
          <w:p w14:paraId="7B846A81" w14:textId="77777777" w:rsidR="00DC76E9" w:rsidRDefault="00DC76E9" w:rsidP="00DC76E9">
            <w:pPr>
              <w:keepNext/>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2"/>
                <w:szCs w:val="22"/>
                <w:lang w:val="en-US" w:eastAsia="en-US"/>
              </w:rPr>
            </w:pPr>
            <w:r>
              <w:rPr>
                <w:rFonts w:eastAsia="Calibri"/>
                <w:sz w:val="22"/>
                <w:szCs w:val="22"/>
                <w:lang w:val="en-US" w:eastAsia="en-US"/>
              </w:rPr>
              <w:t>to</w:t>
            </w:r>
          </w:p>
          <w:p w14:paraId="21F6CE4D" w14:textId="77777777" w:rsidR="00DC76E9" w:rsidRDefault="00DC76E9" w:rsidP="00DC76E9">
            <w:pPr>
              <w:keepNext/>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2"/>
                <w:szCs w:val="22"/>
                <w:lang w:val="en-US" w:eastAsia="en-US"/>
              </w:rPr>
            </w:pPr>
            <w:r>
              <w:rPr>
                <w:rFonts w:eastAsia="Calibri"/>
                <w:sz w:val="22"/>
                <w:szCs w:val="22"/>
                <w:lang w:val="en-US" w:eastAsia="en-US"/>
              </w:rPr>
              <w:t>either</w:t>
            </w:r>
          </w:p>
          <w:p w14:paraId="14552822" w14:textId="77777777" w:rsidR="00DC76E9" w:rsidRDefault="00DC76E9" w:rsidP="00DC76E9">
            <w:pPr>
              <w:keepNext/>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2"/>
                <w:szCs w:val="22"/>
                <w:lang w:val="en-US" w:eastAsia="en-US"/>
              </w:rPr>
            </w:pPr>
            <w:r>
              <w:rPr>
                <w:rFonts w:eastAsia="Calibri"/>
                <w:sz w:val="22"/>
                <w:szCs w:val="22"/>
                <w:lang w:val="en-US" w:eastAsia="en-US"/>
              </w:rPr>
              <w:t>chinese</w:t>
            </w:r>
          </w:p>
          <w:p w14:paraId="21F150C2" w14:textId="77777777" w:rsidR="00DC76E9" w:rsidRDefault="00DC76E9" w:rsidP="00DC76E9">
            <w:pPr>
              <w:keepNext/>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2"/>
                <w:szCs w:val="22"/>
                <w:lang w:val="en-US" w:eastAsia="en-US"/>
              </w:rPr>
            </w:pPr>
            <w:r>
              <w:rPr>
                <w:rFonts w:eastAsia="Calibri"/>
                <w:sz w:val="22"/>
                <w:szCs w:val="22"/>
                <w:lang w:val="en-US" w:eastAsia="en-US"/>
              </w:rPr>
              <w:t>russian</w:t>
            </w:r>
          </w:p>
          <w:p w14:paraId="41B3E2FD" w14:textId="77777777" w:rsidR="00DC76E9" w:rsidRDefault="00DC76E9" w:rsidP="00DC76E9">
            <w:pPr>
              <w:keepNext/>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2"/>
                <w:szCs w:val="22"/>
                <w:lang w:val="en-US" w:eastAsia="en-US"/>
              </w:rPr>
            </w:pPr>
            <w:r>
              <w:rPr>
                <w:rFonts w:eastAsia="Calibri"/>
                <w:sz w:val="22"/>
                <w:szCs w:val="22"/>
                <w:lang w:val="en-US" w:eastAsia="en-US"/>
              </w:rPr>
              <w:t>or</w:t>
            </w:r>
          </w:p>
          <w:p w14:paraId="2D17ECD0" w14:textId="77777777" w:rsidR="00DC76E9" w:rsidRDefault="00DC76E9" w:rsidP="00DC76E9">
            <w:pPr>
              <w:keepNext/>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2"/>
                <w:szCs w:val="22"/>
                <w:lang w:val="en-US" w:eastAsia="en-US"/>
              </w:rPr>
            </w:pPr>
            <w:r>
              <w:rPr>
                <w:rFonts w:eastAsia="Calibri"/>
                <w:sz w:val="22"/>
                <w:szCs w:val="22"/>
                <w:lang w:val="en-US" w:eastAsia="en-US"/>
              </w:rPr>
              <w:t>arabic</w:t>
            </w:r>
          </w:p>
          <w:p w14:paraId="09E4A66E" w14:textId="77777777" w:rsidR="00DC76E9" w:rsidRDefault="00DC76E9" w:rsidP="00DC76E9">
            <w:pPr>
              <w:keepNext/>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2"/>
                <w:szCs w:val="22"/>
                <w:lang w:val="en-US" w:eastAsia="en-US"/>
              </w:rPr>
            </w:pPr>
            <w:r>
              <w:rPr>
                <w:rFonts w:eastAsia="Calibri"/>
                <w:sz w:val="22"/>
                <w:szCs w:val="22"/>
                <w:lang w:val="en-US" w:eastAsia="en-US"/>
              </w:rPr>
              <w:t>was</w:t>
            </w:r>
          </w:p>
          <w:p w14:paraId="23D18CA6" w14:textId="77777777" w:rsidR="00DC76E9" w:rsidRDefault="00DC76E9" w:rsidP="00DC76E9">
            <w:pPr>
              <w:keepNext/>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2"/>
                <w:szCs w:val="22"/>
                <w:lang w:val="en-US" w:eastAsia="en-US"/>
              </w:rPr>
            </w:pPr>
            <w:r>
              <w:rPr>
                <w:rFonts w:eastAsia="Calibri"/>
                <w:sz w:val="22"/>
                <w:szCs w:val="22"/>
                <w:lang w:val="en-US" w:eastAsia="en-US"/>
              </w:rPr>
              <w:t>high</w:t>
            </w:r>
          </w:p>
          <w:p w14:paraId="390D891B" w14:textId="77777777" w:rsidR="00DC76E9" w:rsidRDefault="00DC76E9" w:rsidP="00DC76E9">
            <w:pPr>
              <w:keepNext/>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2"/>
                <w:szCs w:val="22"/>
                <w:lang w:val="en-US" w:eastAsia="en-US"/>
              </w:rPr>
            </w:pPr>
            <w:r>
              <w:rPr>
                <w:rFonts w:eastAsia="Calibri"/>
                <w:sz w:val="22"/>
                <w:szCs w:val="22"/>
                <w:lang w:val="en-US" w:eastAsia="en-US"/>
              </w:rPr>
              <w:t>as</w:t>
            </w:r>
          </w:p>
          <w:p w14:paraId="5751B19D" w14:textId="77777777" w:rsidR="00DC76E9" w:rsidRDefault="00DC76E9" w:rsidP="00DC76E9">
            <w:pPr>
              <w:keepNext/>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2"/>
                <w:szCs w:val="22"/>
                <w:lang w:val="en-US" w:eastAsia="en-US"/>
              </w:rPr>
            </w:pPr>
            <w:r>
              <w:rPr>
                <w:rFonts w:eastAsia="Calibri"/>
                <w:sz w:val="22"/>
                <w:szCs w:val="22"/>
                <w:lang w:val="en-US" w:eastAsia="en-US"/>
              </w:rPr>
              <w:t>apparent</w:t>
            </w:r>
          </w:p>
          <w:p w14:paraId="7417C7F2" w14:textId="77777777" w:rsidR="00DC76E9" w:rsidRDefault="00DC76E9" w:rsidP="00DC76E9">
            <w:pPr>
              <w:keepNext/>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2"/>
                <w:szCs w:val="22"/>
                <w:lang w:val="en-US" w:eastAsia="en-US"/>
              </w:rPr>
            </w:pPr>
            <w:r>
              <w:rPr>
                <w:rFonts w:eastAsia="Calibri"/>
                <w:sz w:val="22"/>
                <w:szCs w:val="22"/>
                <w:lang w:val="en-US" w:eastAsia="en-US"/>
              </w:rPr>
              <w:t>from</w:t>
            </w:r>
          </w:p>
          <w:p w14:paraId="4F5E8F0A" w14:textId="77777777" w:rsidR="00DC76E9" w:rsidRDefault="00DC76E9" w:rsidP="00DC76E9">
            <w:pPr>
              <w:keepNext/>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2"/>
                <w:szCs w:val="22"/>
                <w:lang w:val="en-US" w:eastAsia="en-US"/>
              </w:rPr>
            </w:pPr>
            <w:r>
              <w:rPr>
                <w:rFonts w:eastAsia="Calibri"/>
                <w:sz w:val="22"/>
                <w:szCs w:val="22"/>
                <w:lang w:val="en-US" w:eastAsia="en-US"/>
              </w:rPr>
              <w:t>the</w:t>
            </w:r>
          </w:p>
          <w:p w14:paraId="79A263D9" w14:textId="77777777" w:rsidR="00DC76E9" w:rsidRDefault="00DC76E9" w:rsidP="00DC76E9">
            <w:pPr>
              <w:keepNext/>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2"/>
                <w:szCs w:val="22"/>
                <w:lang w:val="en-US" w:eastAsia="en-US"/>
              </w:rPr>
            </w:pPr>
            <w:r>
              <w:rPr>
                <w:rFonts w:eastAsia="Calibri"/>
                <w:sz w:val="22"/>
                <w:szCs w:val="22"/>
                <w:lang w:val="en-US" w:eastAsia="en-US"/>
              </w:rPr>
              <w:t>high</w:t>
            </w:r>
          </w:p>
          <w:p w14:paraId="65DD6747" w14:textId="77777777" w:rsidR="00DC76E9" w:rsidRDefault="00DC76E9" w:rsidP="00DC76E9">
            <w:pPr>
              <w:keepNext/>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2"/>
                <w:szCs w:val="22"/>
                <w:lang w:val="en-US" w:eastAsia="en-US"/>
              </w:rPr>
            </w:pPr>
            <w:r>
              <w:rPr>
                <w:rFonts w:eastAsia="Calibri"/>
                <w:sz w:val="22"/>
                <w:szCs w:val="22"/>
                <w:lang w:val="en-US" w:eastAsia="en-US"/>
              </w:rPr>
              <w:t>fidelity</w:t>
            </w:r>
          </w:p>
          <w:p w14:paraId="79CFFAE9" w14:textId="77777777" w:rsidR="00DC76E9" w:rsidRDefault="00DC76E9" w:rsidP="00DC76E9">
            <w:pPr>
              <w:keepNext/>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2"/>
                <w:szCs w:val="22"/>
                <w:lang w:val="en-US" w:eastAsia="en-US"/>
              </w:rPr>
            </w:pPr>
            <w:r>
              <w:rPr>
                <w:rFonts w:eastAsia="Calibri"/>
                <w:sz w:val="22"/>
                <w:szCs w:val="22"/>
                <w:lang w:val="en-US" w:eastAsia="en-US"/>
              </w:rPr>
              <w:t>of</w:t>
            </w:r>
          </w:p>
          <w:p w14:paraId="3AD9C0F8" w14:textId="77777777" w:rsidR="00DC76E9" w:rsidRDefault="00DC76E9" w:rsidP="00DC76E9">
            <w:pPr>
              <w:keepNext/>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2"/>
                <w:szCs w:val="22"/>
                <w:lang w:val="en-US" w:eastAsia="en-US"/>
              </w:rPr>
            </w:pPr>
            <w:r>
              <w:rPr>
                <w:rFonts w:eastAsia="Calibri"/>
                <w:sz w:val="22"/>
                <w:szCs w:val="22"/>
                <w:lang w:val="en-US" w:eastAsia="en-US"/>
              </w:rPr>
              <w:t>the</w:t>
            </w:r>
          </w:p>
          <w:p w14:paraId="4ECCBB8A" w14:textId="77777777" w:rsidR="00DC76E9" w:rsidRDefault="00DC76E9" w:rsidP="00DC76E9">
            <w:pPr>
              <w:keepNext/>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2"/>
                <w:szCs w:val="22"/>
                <w:lang w:val="en-US" w:eastAsia="en-US"/>
              </w:rPr>
            </w:pPr>
            <w:r>
              <w:rPr>
                <w:rFonts w:eastAsia="Calibri"/>
                <w:sz w:val="22"/>
                <w:szCs w:val="22"/>
                <w:lang w:val="en-US" w:eastAsia="en-US"/>
              </w:rPr>
              <w:t>back</w:t>
            </w:r>
          </w:p>
          <w:p w14:paraId="1F4387FC" w14:textId="77777777" w:rsidR="009F580D" w:rsidRPr="00DC76E9" w:rsidRDefault="00801D78" w:rsidP="00DC76E9">
            <w:pPr>
              <w:keepNext/>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2"/>
                <w:szCs w:val="22"/>
                <w:lang w:val="en-US" w:eastAsia="en-US"/>
              </w:rPr>
            </w:pPr>
            <w:r w:rsidRPr="00DC76E9">
              <w:rPr>
                <w:rFonts w:eastAsia="Calibri"/>
                <w:sz w:val="22"/>
                <w:szCs w:val="22"/>
                <w:lang w:val="en-US" w:eastAsia="en-US"/>
              </w:rPr>
              <w:t>translation</w:t>
            </w:r>
          </w:p>
        </w:tc>
        <w:tc>
          <w:tcPr>
            <w:tcW w:w="2835" w:type="dxa"/>
            <w:tcBorders>
              <w:bottom w:val="single" w:sz="4" w:space="0" w:color="auto"/>
            </w:tcBorders>
          </w:tcPr>
          <w:p w14:paraId="7CC482C5" w14:textId="77777777" w:rsidR="00801D78" w:rsidRPr="00DC76E9" w:rsidRDefault="00801D78" w:rsidP="00801D78">
            <w:pPr>
              <w:pStyle w:val="HTMLPreformatted"/>
              <w:shd w:val="clear" w:color="auto" w:fill="FFFFFF"/>
              <w:rPr>
                <w:rFonts w:ascii="inherit" w:hAnsi="inherit"/>
                <w:color w:val="212121"/>
                <w:sz w:val="22"/>
                <w:szCs w:val="22"/>
              </w:rPr>
            </w:pPr>
            <w:r w:rsidRPr="00DC76E9">
              <w:rPr>
                <w:rFonts w:ascii="Lantinghei TC Heavy" w:hAnsi="Lantinghei TC Heavy" w:cs="Lantinghei TC Heavy"/>
                <w:color w:val="212121"/>
                <w:sz w:val="22"/>
                <w:szCs w:val="22"/>
                <w:lang w:eastAsia="zh-TW"/>
              </w:rPr>
              <w:t>保真度</w:t>
            </w:r>
            <w:r w:rsidRPr="00DC76E9">
              <w:rPr>
                <w:sz w:val="22"/>
                <w:szCs w:val="22"/>
              </w:rPr>
              <w:br/>
            </w:r>
            <w:r w:rsidRPr="00DC76E9">
              <w:rPr>
                <w:rFonts w:ascii="Lantinghei TC Heavy" w:hAnsi="Lantinghei TC Heavy" w:cs="Lantinghei TC Heavy"/>
                <w:sz w:val="22"/>
                <w:szCs w:val="22"/>
              </w:rPr>
              <w:t>的</w:t>
            </w:r>
          </w:p>
          <w:p w14:paraId="19D9B090" w14:textId="77777777" w:rsidR="00801D78" w:rsidRPr="00DC76E9" w:rsidRDefault="00801D78" w:rsidP="00801D78">
            <w:pPr>
              <w:pStyle w:val="HTMLPreformatted"/>
              <w:shd w:val="clear" w:color="auto" w:fill="FFFFFF"/>
              <w:rPr>
                <w:rFonts w:ascii="inherit" w:hAnsi="inherit"/>
                <w:color w:val="212121"/>
                <w:sz w:val="22"/>
                <w:szCs w:val="22"/>
              </w:rPr>
            </w:pPr>
            <w:r w:rsidRPr="00DC76E9">
              <w:rPr>
                <w:rFonts w:ascii="Lantinghei TC Heavy" w:hAnsi="Lantinghei TC Heavy" w:cs="Lantinghei TC Heavy"/>
                <w:color w:val="212121"/>
                <w:sz w:val="22"/>
                <w:szCs w:val="22"/>
                <w:lang w:eastAsia="zh-TW"/>
              </w:rPr>
              <w:t>翻譯</w:t>
            </w:r>
          </w:p>
          <w:p w14:paraId="4F57347E" w14:textId="77777777" w:rsidR="00801D78" w:rsidRPr="00DC76E9" w:rsidRDefault="00801D78" w:rsidP="00801D78">
            <w:pPr>
              <w:pStyle w:val="HTMLPreformatted"/>
              <w:shd w:val="clear" w:color="auto" w:fill="FFFFFF"/>
              <w:rPr>
                <w:rFonts w:ascii="inherit" w:hAnsi="inherit"/>
                <w:color w:val="212121"/>
                <w:sz w:val="22"/>
                <w:szCs w:val="22"/>
              </w:rPr>
            </w:pPr>
            <w:r w:rsidRPr="00DC76E9">
              <w:rPr>
                <w:rFonts w:ascii="Lantinghei TC Heavy" w:hAnsi="Lantinghei TC Heavy" w:cs="Lantinghei TC Heavy"/>
                <w:color w:val="212121"/>
                <w:sz w:val="22"/>
                <w:szCs w:val="22"/>
                <w:lang w:eastAsia="zh-TW"/>
              </w:rPr>
              <w:t>從</w:t>
            </w:r>
          </w:p>
          <w:p w14:paraId="5F8597BE" w14:textId="77777777" w:rsidR="00801D78" w:rsidRPr="00DC76E9" w:rsidRDefault="00801D78" w:rsidP="00801D78">
            <w:pPr>
              <w:pStyle w:val="HTMLPreformatted"/>
              <w:shd w:val="clear" w:color="auto" w:fill="FFFFFF"/>
              <w:rPr>
                <w:rFonts w:ascii="inherit" w:hAnsi="inherit"/>
                <w:color w:val="212121"/>
                <w:sz w:val="22"/>
                <w:szCs w:val="22"/>
              </w:rPr>
            </w:pPr>
            <w:r w:rsidRPr="00DC76E9">
              <w:rPr>
                <w:rFonts w:ascii="Lantinghei TC Heavy" w:hAnsi="Lantinghei TC Heavy" w:cs="Lantinghei TC Heavy"/>
                <w:color w:val="212121"/>
                <w:sz w:val="22"/>
                <w:szCs w:val="22"/>
                <w:lang w:eastAsia="zh-TW"/>
              </w:rPr>
              <w:t>英語</w:t>
            </w:r>
          </w:p>
          <w:p w14:paraId="231B494A" w14:textId="77777777" w:rsidR="00801D78" w:rsidRPr="00DC76E9" w:rsidRDefault="00801D78" w:rsidP="00801D78">
            <w:pPr>
              <w:pStyle w:val="HTMLPreformatted"/>
              <w:shd w:val="clear" w:color="auto" w:fill="FFFFFF"/>
              <w:rPr>
                <w:rFonts w:ascii="inherit" w:hAnsi="inherit"/>
                <w:color w:val="212121"/>
                <w:sz w:val="22"/>
                <w:szCs w:val="22"/>
              </w:rPr>
            </w:pPr>
            <w:r w:rsidRPr="00DC76E9">
              <w:rPr>
                <w:rFonts w:ascii="Lantinghei TC Heavy" w:hAnsi="Lantinghei TC Heavy" w:cs="Lantinghei TC Heavy"/>
                <w:color w:val="212121"/>
                <w:sz w:val="22"/>
                <w:szCs w:val="22"/>
                <w:lang w:eastAsia="zh-TW"/>
              </w:rPr>
              <w:t>至</w:t>
            </w:r>
          </w:p>
          <w:p w14:paraId="68D7599F" w14:textId="77777777" w:rsidR="00801D78" w:rsidRPr="00DC76E9" w:rsidRDefault="00801D78" w:rsidP="00801D78">
            <w:pPr>
              <w:pStyle w:val="HTMLPreformatted"/>
              <w:shd w:val="clear" w:color="auto" w:fill="FFFFFF"/>
              <w:rPr>
                <w:rFonts w:ascii="inherit" w:hAnsi="inherit"/>
                <w:color w:val="212121"/>
                <w:sz w:val="22"/>
                <w:szCs w:val="22"/>
              </w:rPr>
            </w:pPr>
            <w:r w:rsidRPr="00DC76E9">
              <w:rPr>
                <w:rFonts w:ascii="Lantinghei TC Heavy" w:hAnsi="Lantinghei TC Heavy" w:cs="Lantinghei TC Heavy"/>
                <w:color w:val="212121"/>
                <w:sz w:val="22"/>
                <w:szCs w:val="22"/>
                <w:lang w:eastAsia="zh-TW"/>
              </w:rPr>
              <w:t>或</w:t>
            </w:r>
          </w:p>
          <w:p w14:paraId="28961C61" w14:textId="77777777" w:rsidR="00801D78" w:rsidRPr="00DC76E9" w:rsidRDefault="00801D78" w:rsidP="00801D78">
            <w:pPr>
              <w:pStyle w:val="HTMLPreformatted"/>
              <w:shd w:val="clear" w:color="auto" w:fill="FFFFFF"/>
              <w:rPr>
                <w:rFonts w:ascii="inherit" w:hAnsi="inherit"/>
                <w:color w:val="212121"/>
                <w:sz w:val="22"/>
                <w:szCs w:val="22"/>
              </w:rPr>
            </w:pPr>
            <w:r w:rsidRPr="00DC76E9">
              <w:rPr>
                <w:rFonts w:ascii="Lantinghei TC Heavy" w:hAnsi="Lantinghei TC Heavy" w:cs="Lantinghei TC Heavy"/>
                <w:color w:val="212121"/>
                <w:sz w:val="22"/>
                <w:szCs w:val="22"/>
                <w:lang w:eastAsia="zh-TW"/>
              </w:rPr>
              <w:t>中文</w:t>
            </w:r>
          </w:p>
          <w:p w14:paraId="21CB7322" w14:textId="77777777" w:rsidR="00801D78" w:rsidRPr="00DC76E9" w:rsidRDefault="00801D78" w:rsidP="00801D78">
            <w:pPr>
              <w:pStyle w:val="HTMLPreformatted"/>
              <w:shd w:val="clear" w:color="auto" w:fill="FFFFFF"/>
              <w:rPr>
                <w:rFonts w:ascii="inherit" w:hAnsi="inherit"/>
                <w:color w:val="212121"/>
                <w:sz w:val="22"/>
                <w:szCs w:val="22"/>
              </w:rPr>
            </w:pPr>
            <w:r w:rsidRPr="00DC76E9">
              <w:rPr>
                <w:rFonts w:ascii="Lantinghei TC Heavy" w:hAnsi="Lantinghei TC Heavy" w:cs="Lantinghei TC Heavy"/>
                <w:color w:val="212121"/>
                <w:sz w:val="22"/>
                <w:szCs w:val="22"/>
                <w:lang w:eastAsia="zh-TW"/>
              </w:rPr>
              <w:t>俄語</w:t>
            </w:r>
          </w:p>
          <w:p w14:paraId="150C942E" w14:textId="77777777" w:rsidR="00801D78" w:rsidRPr="00DC76E9" w:rsidRDefault="00801D78" w:rsidP="00801D78">
            <w:pPr>
              <w:pStyle w:val="HTMLPreformatted"/>
              <w:shd w:val="clear" w:color="auto" w:fill="FFFFFF"/>
              <w:rPr>
                <w:rFonts w:ascii="inherit" w:hAnsi="inherit"/>
                <w:color w:val="212121"/>
                <w:sz w:val="22"/>
                <w:szCs w:val="22"/>
              </w:rPr>
            </w:pPr>
            <w:r w:rsidRPr="00DC76E9">
              <w:rPr>
                <w:rFonts w:ascii="Lantinghei TC Heavy" w:hAnsi="Lantinghei TC Heavy" w:cs="Lantinghei TC Heavy"/>
                <w:color w:val="212121"/>
                <w:sz w:val="22"/>
                <w:szCs w:val="22"/>
                <w:lang w:eastAsia="zh-TW"/>
              </w:rPr>
              <w:t>要么</w:t>
            </w:r>
          </w:p>
          <w:p w14:paraId="1E9D5E5D" w14:textId="77777777" w:rsidR="00801D78" w:rsidRPr="00DC76E9" w:rsidRDefault="00801D78" w:rsidP="00801D78">
            <w:pPr>
              <w:pStyle w:val="HTMLPreformatted"/>
              <w:shd w:val="clear" w:color="auto" w:fill="FFFFFF"/>
              <w:rPr>
                <w:rFonts w:ascii="inherit" w:hAnsi="inherit"/>
                <w:color w:val="212121"/>
                <w:sz w:val="22"/>
                <w:szCs w:val="22"/>
              </w:rPr>
            </w:pPr>
            <w:r w:rsidRPr="00DC76E9">
              <w:rPr>
                <w:rFonts w:ascii="Lantinghei TC Heavy" w:hAnsi="Lantinghei TC Heavy" w:cs="Lantinghei TC Heavy"/>
                <w:color w:val="212121"/>
                <w:sz w:val="22"/>
                <w:szCs w:val="22"/>
                <w:lang w:eastAsia="zh-TW"/>
              </w:rPr>
              <w:t>阿拉伯</w:t>
            </w:r>
          </w:p>
          <w:p w14:paraId="1639CB5D" w14:textId="77777777" w:rsidR="00801D78" w:rsidRPr="00DC76E9" w:rsidRDefault="00801D78" w:rsidP="00801D78">
            <w:pPr>
              <w:pStyle w:val="HTMLPreformatted"/>
              <w:shd w:val="clear" w:color="auto" w:fill="FFFFFF"/>
              <w:rPr>
                <w:rFonts w:ascii="inherit" w:hAnsi="inherit"/>
                <w:color w:val="212121"/>
                <w:sz w:val="22"/>
                <w:szCs w:val="22"/>
              </w:rPr>
            </w:pPr>
            <w:r w:rsidRPr="00DC76E9">
              <w:rPr>
                <w:rFonts w:ascii="Lantinghei TC Heavy" w:hAnsi="Lantinghei TC Heavy" w:cs="Lantinghei TC Heavy"/>
                <w:color w:val="212121"/>
                <w:sz w:val="22"/>
                <w:szCs w:val="22"/>
                <w:lang w:eastAsia="zh-TW"/>
              </w:rPr>
              <w:t>是</w:t>
            </w:r>
          </w:p>
          <w:p w14:paraId="423B5D64" w14:textId="77777777" w:rsidR="00801D78" w:rsidRPr="00DC76E9" w:rsidRDefault="00801D78" w:rsidP="00801D78">
            <w:pPr>
              <w:pStyle w:val="HTMLPreformatted"/>
              <w:shd w:val="clear" w:color="auto" w:fill="FFFFFF"/>
              <w:rPr>
                <w:rFonts w:ascii="inherit" w:hAnsi="inherit"/>
                <w:color w:val="212121"/>
                <w:sz w:val="22"/>
                <w:szCs w:val="22"/>
              </w:rPr>
            </w:pPr>
            <w:r w:rsidRPr="00DC76E9">
              <w:rPr>
                <w:rFonts w:ascii="Lantinghei TC Heavy" w:hAnsi="Lantinghei TC Heavy" w:cs="Lantinghei TC Heavy"/>
                <w:color w:val="212121"/>
                <w:sz w:val="22"/>
                <w:szCs w:val="22"/>
                <w:lang w:eastAsia="zh-TW"/>
              </w:rPr>
              <w:t>高</w:t>
            </w:r>
          </w:p>
          <w:p w14:paraId="7A7A9E6A" w14:textId="77777777" w:rsidR="00801D78" w:rsidRPr="00DC76E9" w:rsidRDefault="00801D78" w:rsidP="00801D78">
            <w:pPr>
              <w:pStyle w:val="HTMLPreformatted"/>
              <w:shd w:val="clear" w:color="auto" w:fill="FFFFFF"/>
              <w:rPr>
                <w:rFonts w:ascii="inherit" w:hAnsi="inherit"/>
                <w:color w:val="212121"/>
                <w:sz w:val="22"/>
                <w:szCs w:val="22"/>
              </w:rPr>
            </w:pPr>
            <w:r w:rsidRPr="00DC76E9">
              <w:rPr>
                <w:rFonts w:ascii="Lantinghei TC Heavy" w:hAnsi="Lantinghei TC Heavy" w:cs="Lantinghei TC Heavy"/>
                <w:color w:val="212121"/>
                <w:sz w:val="22"/>
                <w:szCs w:val="22"/>
                <w:lang w:eastAsia="zh-TW"/>
              </w:rPr>
              <w:t>如</w:t>
            </w:r>
          </w:p>
          <w:p w14:paraId="4D1C4796" w14:textId="77777777" w:rsidR="00801D78" w:rsidRPr="00DC76E9" w:rsidRDefault="00801D78" w:rsidP="00801D78">
            <w:pPr>
              <w:pStyle w:val="HTMLPreformatted"/>
              <w:shd w:val="clear" w:color="auto" w:fill="FFFFFF"/>
              <w:rPr>
                <w:rFonts w:ascii="inherit" w:hAnsi="inherit"/>
                <w:color w:val="212121"/>
                <w:sz w:val="22"/>
                <w:szCs w:val="22"/>
              </w:rPr>
            </w:pPr>
            <w:r w:rsidRPr="00DC76E9">
              <w:rPr>
                <w:rFonts w:ascii="Lantinghei TC Heavy" w:hAnsi="Lantinghei TC Heavy" w:cs="Lantinghei TC Heavy"/>
                <w:color w:val="212121"/>
                <w:sz w:val="22"/>
                <w:szCs w:val="22"/>
                <w:lang w:eastAsia="zh-TW"/>
              </w:rPr>
              <w:t>明顯的</w:t>
            </w:r>
          </w:p>
          <w:p w14:paraId="50F321BA" w14:textId="77777777" w:rsidR="00801D78" w:rsidRPr="00DC76E9" w:rsidRDefault="00801D78" w:rsidP="00801D78">
            <w:pPr>
              <w:pStyle w:val="HTMLPreformatted"/>
              <w:shd w:val="clear" w:color="auto" w:fill="FFFFFF"/>
              <w:rPr>
                <w:rFonts w:ascii="inherit" w:hAnsi="inherit"/>
                <w:color w:val="212121"/>
                <w:sz w:val="22"/>
                <w:szCs w:val="22"/>
              </w:rPr>
            </w:pPr>
            <w:r w:rsidRPr="00DC76E9">
              <w:rPr>
                <w:rFonts w:ascii="Lantinghei TC Heavy" w:hAnsi="Lantinghei TC Heavy" w:cs="Lantinghei TC Heavy"/>
                <w:color w:val="212121"/>
                <w:sz w:val="22"/>
                <w:szCs w:val="22"/>
                <w:lang w:eastAsia="zh-TW"/>
              </w:rPr>
              <w:t>從</w:t>
            </w:r>
          </w:p>
          <w:p w14:paraId="1A61CD6A" w14:textId="77777777" w:rsidR="00801D78" w:rsidRPr="00DC76E9" w:rsidRDefault="00801D78" w:rsidP="00801D78">
            <w:pPr>
              <w:pStyle w:val="HTMLPreformatted"/>
              <w:shd w:val="clear" w:color="auto" w:fill="FFFFFF"/>
              <w:rPr>
                <w:rFonts w:ascii="inherit" w:hAnsi="inherit"/>
                <w:color w:val="212121"/>
                <w:sz w:val="22"/>
                <w:szCs w:val="22"/>
              </w:rPr>
            </w:pPr>
            <w:r w:rsidRPr="00DC76E9">
              <w:rPr>
                <w:rFonts w:ascii="Lantinghei TC Heavy" w:hAnsi="Lantinghei TC Heavy" w:cs="Lantinghei TC Heavy"/>
                <w:color w:val="212121"/>
                <w:sz w:val="22"/>
                <w:szCs w:val="22"/>
                <w:lang w:eastAsia="zh-TW"/>
              </w:rPr>
              <w:t>該</w:t>
            </w:r>
          </w:p>
          <w:p w14:paraId="3512241D" w14:textId="77777777" w:rsidR="00801D78" w:rsidRPr="00DC76E9" w:rsidRDefault="00801D78" w:rsidP="00801D78">
            <w:pPr>
              <w:pStyle w:val="HTMLPreformatted"/>
              <w:shd w:val="clear" w:color="auto" w:fill="FFFFFF"/>
              <w:rPr>
                <w:rFonts w:ascii="inherit" w:hAnsi="inherit"/>
                <w:color w:val="212121"/>
                <w:sz w:val="22"/>
                <w:szCs w:val="22"/>
              </w:rPr>
            </w:pPr>
            <w:r w:rsidRPr="00DC76E9">
              <w:rPr>
                <w:rFonts w:ascii="Lantinghei TC Heavy" w:hAnsi="Lantinghei TC Heavy" w:cs="Lantinghei TC Heavy"/>
                <w:color w:val="212121"/>
                <w:sz w:val="22"/>
                <w:szCs w:val="22"/>
                <w:lang w:eastAsia="zh-TW"/>
              </w:rPr>
              <w:t>高</w:t>
            </w:r>
          </w:p>
          <w:p w14:paraId="140046C0" w14:textId="77777777" w:rsidR="00801D78" w:rsidRPr="00DC76E9" w:rsidRDefault="00801D78" w:rsidP="00801D78">
            <w:pPr>
              <w:pStyle w:val="HTMLPreformatted"/>
              <w:shd w:val="clear" w:color="auto" w:fill="FFFFFF"/>
              <w:rPr>
                <w:rFonts w:ascii="inherit" w:hAnsi="inherit"/>
                <w:color w:val="212121"/>
                <w:sz w:val="22"/>
                <w:szCs w:val="22"/>
              </w:rPr>
            </w:pPr>
            <w:r w:rsidRPr="00DC76E9">
              <w:rPr>
                <w:rFonts w:ascii="Lantinghei TC Heavy" w:hAnsi="Lantinghei TC Heavy" w:cs="Lantinghei TC Heavy"/>
                <w:color w:val="212121"/>
                <w:sz w:val="22"/>
                <w:szCs w:val="22"/>
                <w:lang w:eastAsia="zh-TW"/>
              </w:rPr>
              <w:t>保真度</w:t>
            </w:r>
          </w:p>
          <w:p w14:paraId="69A701E6" w14:textId="77777777" w:rsidR="00801D78" w:rsidRPr="00DC76E9" w:rsidRDefault="00801D78" w:rsidP="00801D78">
            <w:pPr>
              <w:pStyle w:val="HTMLPreformatted"/>
              <w:shd w:val="clear" w:color="auto" w:fill="FFFFFF"/>
              <w:rPr>
                <w:rFonts w:ascii="inherit" w:hAnsi="inherit"/>
                <w:color w:val="212121"/>
                <w:sz w:val="22"/>
                <w:szCs w:val="22"/>
              </w:rPr>
            </w:pPr>
            <w:r w:rsidRPr="00DC76E9">
              <w:rPr>
                <w:rFonts w:ascii="Lantinghei TC Heavy" w:hAnsi="Lantinghei TC Heavy" w:cs="Lantinghei TC Heavy"/>
                <w:color w:val="212121"/>
                <w:sz w:val="22"/>
                <w:szCs w:val="22"/>
                <w:lang w:eastAsia="zh-TW"/>
              </w:rPr>
              <w:t>的</w:t>
            </w:r>
          </w:p>
          <w:p w14:paraId="4700BFB4" w14:textId="77777777" w:rsidR="00801D78" w:rsidRPr="00DC76E9" w:rsidRDefault="00801D78" w:rsidP="00801D78">
            <w:pPr>
              <w:pStyle w:val="HTMLPreformatted"/>
              <w:shd w:val="clear" w:color="auto" w:fill="FFFFFF"/>
              <w:rPr>
                <w:rFonts w:ascii="inherit" w:hAnsi="inherit"/>
                <w:color w:val="212121"/>
                <w:sz w:val="22"/>
                <w:szCs w:val="22"/>
              </w:rPr>
            </w:pPr>
            <w:r w:rsidRPr="00DC76E9">
              <w:rPr>
                <w:rFonts w:ascii="Lantinghei TC Heavy" w:hAnsi="Lantinghei TC Heavy" w:cs="Lantinghei TC Heavy"/>
                <w:color w:val="212121"/>
                <w:sz w:val="22"/>
                <w:szCs w:val="22"/>
                <w:lang w:eastAsia="zh-TW"/>
              </w:rPr>
              <w:t>該</w:t>
            </w:r>
          </w:p>
          <w:p w14:paraId="02C72C7E" w14:textId="77777777" w:rsidR="00801D78" w:rsidRPr="00DC76E9" w:rsidRDefault="00801D78" w:rsidP="00801D78">
            <w:pPr>
              <w:pStyle w:val="HTMLPreformatted"/>
              <w:shd w:val="clear" w:color="auto" w:fill="FFFFFF"/>
              <w:rPr>
                <w:rFonts w:ascii="inherit" w:hAnsi="inherit"/>
                <w:color w:val="212121"/>
                <w:sz w:val="22"/>
                <w:szCs w:val="22"/>
              </w:rPr>
            </w:pPr>
            <w:r w:rsidRPr="00DC76E9">
              <w:rPr>
                <w:rFonts w:ascii="Lantinghei TC Heavy" w:hAnsi="Lantinghei TC Heavy" w:cs="Lantinghei TC Heavy"/>
                <w:color w:val="212121"/>
                <w:sz w:val="22"/>
                <w:szCs w:val="22"/>
                <w:lang w:eastAsia="zh-TW"/>
              </w:rPr>
              <w:t>背部</w:t>
            </w:r>
          </w:p>
          <w:p w14:paraId="2E0297EB" w14:textId="77777777" w:rsidR="009F580D" w:rsidRPr="00DC76E9" w:rsidRDefault="00801D78" w:rsidP="00801D78">
            <w:pPr>
              <w:pStyle w:val="HTMLPreformatted"/>
              <w:shd w:val="clear" w:color="auto" w:fill="FFFFFF"/>
              <w:rPr>
                <w:rFonts w:ascii="Lantinghei TC Extralight" w:hAnsi="Lantinghei TC Extralight" w:cs="Lantinghei TC Extralight"/>
                <w:color w:val="212121"/>
                <w:sz w:val="22"/>
                <w:szCs w:val="22"/>
                <w:lang w:val="en"/>
              </w:rPr>
            </w:pPr>
            <w:r w:rsidRPr="00DC76E9">
              <w:rPr>
                <w:rFonts w:ascii="Lantinghei TC Heavy" w:hAnsi="Lantinghei TC Heavy" w:cs="Lantinghei TC Heavy"/>
                <w:color w:val="212121"/>
                <w:sz w:val="22"/>
                <w:szCs w:val="22"/>
                <w:lang w:eastAsia="zh-TW"/>
              </w:rPr>
              <w:t>翻譯</w:t>
            </w:r>
          </w:p>
        </w:tc>
        <w:tc>
          <w:tcPr>
            <w:tcW w:w="2551" w:type="dxa"/>
            <w:tcBorders>
              <w:bottom w:val="single" w:sz="4" w:space="0" w:color="auto"/>
            </w:tcBorders>
          </w:tcPr>
          <w:p w14:paraId="348AEA6A" w14:textId="77777777" w:rsidR="00801D78" w:rsidRPr="00DC76E9" w:rsidRDefault="00801D78" w:rsidP="00801D7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herit" w:hAnsi="inherit" w:cs="Courier"/>
                <w:color w:val="212121"/>
                <w:sz w:val="22"/>
                <w:szCs w:val="22"/>
                <w:lang w:val="mi-NZ" w:eastAsia="en-US"/>
              </w:rPr>
            </w:pPr>
            <w:r w:rsidRPr="00DC76E9">
              <w:rPr>
                <w:rFonts w:ascii="inherit" w:hAnsi="inherit" w:cs="Courier"/>
                <w:color w:val="212121"/>
                <w:sz w:val="22"/>
                <w:szCs w:val="22"/>
                <w:lang w:val="en" w:eastAsia="en-US"/>
              </w:rPr>
              <w:t>Fidelity of translation From English to or Chinese Russian Either Arab Yes high Such as obviously From This high Fidelity of This Back translation</w:t>
            </w:r>
          </w:p>
          <w:p w14:paraId="504FBF65" w14:textId="77777777" w:rsidR="009F580D" w:rsidRPr="00DC76E9" w:rsidRDefault="009F580D" w:rsidP="00D37E63">
            <w:pPr>
              <w:keepNext/>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color w:val="212121"/>
                <w:sz w:val="22"/>
                <w:szCs w:val="22"/>
                <w:lang w:val="en" w:eastAsia="en-US"/>
              </w:rPr>
            </w:pPr>
          </w:p>
        </w:tc>
      </w:tr>
      <w:tr w:rsidR="00D37E63" w:rsidRPr="0088277E" w14:paraId="360E322A" w14:textId="77777777" w:rsidTr="00D37E63">
        <w:trPr>
          <w:cantSplit/>
        </w:trPr>
        <w:tc>
          <w:tcPr>
            <w:tcW w:w="8188" w:type="dxa"/>
            <w:gridSpan w:val="3"/>
            <w:tcBorders>
              <w:top w:val="single" w:sz="4" w:space="0" w:color="auto"/>
              <w:left w:val="nil"/>
              <w:bottom w:val="nil"/>
              <w:right w:val="nil"/>
            </w:tcBorders>
          </w:tcPr>
          <w:p w14:paraId="0D39803A" w14:textId="77777777" w:rsidR="00D37E63" w:rsidRPr="00960AA3" w:rsidRDefault="00D37E63" w:rsidP="00D37E63">
            <w:pPr>
              <w:keepNext/>
              <w:keepLines/>
              <w:spacing w:after="120"/>
              <w:rPr>
                <w:color w:val="212121"/>
                <w:sz w:val="20"/>
                <w:szCs w:val="22"/>
                <w:lang w:val="en" w:eastAsia="en-US"/>
              </w:rPr>
            </w:pPr>
            <w:r w:rsidRPr="00960AA3">
              <w:rPr>
                <w:color w:val="212121"/>
                <w:sz w:val="20"/>
                <w:szCs w:val="22"/>
                <w:lang w:val="en" w:eastAsia="en-US"/>
              </w:rPr>
              <w:t>* Translations provided in series left to right by Google Translate. The order was top to bottom English to Chinese, English to Russian, English to Arabic.</w:t>
            </w:r>
          </w:p>
          <w:p w14:paraId="71F8DE2D" w14:textId="77777777" w:rsidR="00D37E63" w:rsidRDefault="00D37E63" w:rsidP="00D37E63">
            <w:pPr>
              <w:keepNext/>
              <w:keepLines/>
              <w:spacing w:after="120"/>
              <w:rPr>
                <w:color w:val="212121"/>
                <w:sz w:val="20"/>
                <w:szCs w:val="22"/>
                <w:lang w:val="en" w:eastAsia="en-US"/>
              </w:rPr>
            </w:pPr>
            <w:r w:rsidRPr="00960AA3">
              <w:rPr>
                <w:color w:val="212121"/>
                <w:sz w:val="20"/>
                <w:szCs w:val="22"/>
                <w:lang w:val="en" w:eastAsia="en-US"/>
              </w:rPr>
              <w:t>** Translation of each word from English to Chinese provided by Google Translate, then the entire phrase was translated into English.</w:t>
            </w:r>
          </w:p>
          <w:p w14:paraId="73704B85" w14:textId="77777777" w:rsidR="00A43161" w:rsidRPr="00FF2361" w:rsidRDefault="00A43161" w:rsidP="00D37E63">
            <w:pPr>
              <w:keepNext/>
              <w:keepLines/>
              <w:spacing w:after="120"/>
              <w:rPr>
                <w:color w:val="212121"/>
                <w:sz w:val="22"/>
                <w:szCs w:val="22"/>
                <w:lang w:val="en" w:eastAsia="en-US"/>
              </w:rPr>
            </w:pPr>
          </w:p>
        </w:tc>
      </w:tr>
    </w:tbl>
    <w:p w14:paraId="59A7510B" w14:textId="77777777" w:rsidR="00842949" w:rsidRPr="00842949" w:rsidRDefault="00842949" w:rsidP="00842949">
      <w:pPr>
        <w:spacing w:after="120"/>
        <w:rPr>
          <w:rFonts w:eastAsia="Calibri"/>
          <w:sz w:val="22"/>
          <w:szCs w:val="22"/>
          <w:lang w:val="en-US" w:eastAsia="en-US"/>
        </w:rPr>
      </w:pPr>
      <w:r w:rsidRPr="00842949">
        <w:rPr>
          <w:rFonts w:eastAsia="Calibri"/>
          <w:sz w:val="22"/>
          <w:szCs w:val="22"/>
          <w:lang w:val="en-US" w:eastAsia="en-US"/>
        </w:rPr>
        <w:t>DNA sequence information can be transferred to DSI and then again transferred back through synthesis of a DNA molecule</w:t>
      </w:r>
      <w:r w:rsidR="001854E8">
        <w:rPr>
          <w:rFonts w:eastAsia="Calibri"/>
          <w:sz w:val="22"/>
          <w:szCs w:val="22"/>
          <w:lang w:val="en-US" w:eastAsia="en-US"/>
        </w:rPr>
        <w:t xml:space="preserve"> (Figure </w:t>
      </w:r>
      <w:r w:rsidR="006239F0">
        <w:rPr>
          <w:rFonts w:eastAsia="Calibri"/>
          <w:sz w:val="22"/>
          <w:szCs w:val="22"/>
          <w:lang w:val="en-US" w:eastAsia="en-US"/>
        </w:rPr>
        <w:t>5</w:t>
      </w:r>
      <w:r w:rsidR="001854E8">
        <w:rPr>
          <w:rFonts w:eastAsia="Calibri"/>
          <w:sz w:val="22"/>
          <w:szCs w:val="22"/>
          <w:lang w:val="en-US" w:eastAsia="en-US"/>
        </w:rPr>
        <w:t>)</w:t>
      </w:r>
      <w:r w:rsidRPr="00842949">
        <w:rPr>
          <w:rFonts w:eastAsia="Calibri"/>
          <w:sz w:val="22"/>
          <w:szCs w:val="22"/>
          <w:lang w:val="en-US" w:eastAsia="en-US"/>
        </w:rPr>
        <w:t>.</w:t>
      </w:r>
      <w:r w:rsidR="00D34EE8" w:rsidRPr="00D34EE8">
        <w:rPr>
          <w:rFonts w:eastAsia="Calibri"/>
          <w:sz w:val="22"/>
          <w:szCs w:val="22"/>
          <w:lang w:val="en-US" w:eastAsia="en-US"/>
        </w:rPr>
        <w:t xml:space="preserve"> In fact</w:t>
      </w:r>
      <w:r w:rsidR="00D34EE8">
        <w:rPr>
          <w:rFonts w:eastAsia="Calibri"/>
          <w:sz w:val="22"/>
          <w:szCs w:val="22"/>
          <w:lang w:val="en-US" w:eastAsia="en-US"/>
        </w:rPr>
        <w:t>,</w:t>
      </w:r>
      <w:r w:rsidR="00D34EE8" w:rsidRPr="00D34EE8">
        <w:rPr>
          <w:rFonts w:eastAsia="Calibri"/>
          <w:sz w:val="22"/>
          <w:szCs w:val="22"/>
          <w:lang w:val="en-US" w:eastAsia="en-US"/>
        </w:rPr>
        <w:t xml:space="preserve"> the faithfulness of careful transition from the DNA molecule to the digital sequence and then back to a DNA molecule can be done with a greater level of assured accuracy than any currently </w:t>
      </w:r>
      <w:r w:rsidR="00D34EE8">
        <w:rPr>
          <w:rFonts w:eastAsia="Calibri"/>
          <w:sz w:val="22"/>
          <w:szCs w:val="22"/>
          <w:lang w:val="en-US" w:eastAsia="en-US"/>
        </w:rPr>
        <w:t>available language translation.</w:t>
      </w:r>
      <w:r w:rsidRPr="00842949">
        <w:rPr>
          <w:rFonts w:eastAsia="Calibri"/>
          <w:sz w:val="22"/>
          <w:szCs w:val="22"/>
          <w:lang w:val="en-US" w:eastAsia="en-US"/>
        </w:rPr>
        <w:t xml:space="preserve"> This characteristic is shared by the kinds of databases chosen to illustrate DSI</w:t>
      </w:r>
      <w:r w:rsidR="00137F20">
        <w:rPr>
          <w:rFonts w:eastAsia="Calibri"/>
          <w:sz w:val="22"/>
          <w:szCs w:val="22"/>
          <w:lang w:val="en-US" w:eastAsia="en-US"/>
        </w:rPr>
        <w:t>, all of which contain</w:t>
      </w:r>
      <w:r w:rsidR="0095676B">
        <w:rPr>
          <w:rFonts w:eastAsia="Calibri"/>
          <w:sz w:val="22"/>
          <w:szCs w:val="22"/>
          <w:lang w:val="en-US" w:eastAsia="en-US"/>
        </w:rPr>
        <w:t xml:space="preserve"> DSI on GRFA.</w:t>
      </w:r>
      <w:r w:rsidR="00137F20">
        <w:rPr>
          <w:rFonts w:eastAsia="Calibri"/>
          <w:sz w:val="22"/>
          <w:szCs w:val="22"/>
          <w:lang w:val="en-US" w:eastAsia="en-US"/>
        </w:rPr>
        <w:t xml:space="preserve"> A</w:t>
      </w:r>
      <w:r w:rsidR="0095676B">
        <w:rPr>
          <w:rFonts w:eastAsia="Calibri"/>
          <w:sz w:val="22"/>
          <w:szCs w:val="22"/>
          <w:lang w:val="en-US" w:eastAsia="en-US"/>
        </w:rPr>
        <w:t xml:space="preserve"> protein’</w:t>
      </w:r>
      <w:r w:rsidRPr="00842949">
        <w:rPr>
          <w:rFonts w:eastAsia="Calibri"/>
          <w:sz w:val="22"/>
          <w:szCs w:val="22"/>
          <w:lang w:val="en-US" w:eastAsia="en-US"/>
        </w:rPr>
        <w:t>s amino acid sequence can be transferred to DSI and then again transferred back through synthesis of a protein molecule</w:t>
      </w:r>
      <w:r w:rsidR="00C41646">
        <w:rPr>
          <w:rFonts w:eastAsia="Calibri"/>
          <w:sz w:val="22"/>
          <w:szCs w:val="22"/>
          <w:lang w:val="en-US" w:eastAsia="en-US"/>
        </w:rPr>
        <w:t>, or</w:t>
      </w:r>
      <w:r w:rsidR="005D13DC">
        <w:rPr>
          <w:rFonts w:eastAsia="Calibri"/>
          <w:sz w:val="22"/>
          <w:szCs w:val="22"/>
          <w:lang w:val="en-US" w:eastAsia="en-US"/>
        </w:rPr>
        <w:t xml:space="preserve"> the DSI of the amino acid sequence itself can be converted into a DNA sequence for the</w:t>
      </w:r>
      <w:r w:rsidR="00C41646">
        <w:rPr>
          <w:rFonts w:eastAsia="Calibri"/>
          <w:sz w:val="22"/>
          <w:szCs w:val="22"/>
          <w:lang w:val="en-US" w:eastAsia="en-US"/>
        </w:rPr>
        <w:t xml:space="preserve"> synthesis of a DNA molecule that when placed back into a cell produces the protein molecule</w:t>
      </w:r>
      <w:r w:rsidRPr="00842949">
        <w:rPr>
          <w:rFonts w:eastAsia="Calibri"/>
          <w:sz w:val="22"/>
          <w:szCs w:val="22"/>
          <w:lang w:val="en-US" w:eastAsia="en-US"/>
        </w:rPr>
        <w:t>.</w:t>
      </w:r>
    </w:p>
    <w:p w14:paraId="02DD0065" w14:textId="77777777" w:rsidR="00842949" w:rsidRDefault="00842949" w:rsidP="00842949">
      <w:pPr>
        <w:spacing w:after="120"/>
        <w:rPr>
          <w:rFonts w:eastAsia="Calibri"/>
          <w:sz w:val="22"/>
          <w:szCs w:val="22"/>
          <w:lang w:val="en-US" w:eastAsia="en-US"/>
        </w:rPr>
      </w:pPr>
      <w:r w:rsidRPr="00842949">
        <w:rPr>
          <w:rFonts w:eastAsia="Calibri"/>
          <w:sz w:val="22"/>
          <w:szCs w:val="22"/>
          <w:lang w:val="en-US" w:eastAsia="en-US"/>
        </w:rPr>
        <w:t>DSI in the form of genome sequences can be used to predict transcriptome sequences</w:t>
      </w:r>
      <w:r w:rsidR="006A54DD">
        <w:rPr>
          <w:rFonts w:eastAsia="Calibri"/>
          <w:sz w:val="22"/>
          <w:szCs w:val="22"/>
          <w:lang w:val="en-US" w:eastAsia="en-US"/>
        </w:rPr>
        <w:t>,</w:t>
      </w:r>
      <w:r w:rsidRPr="00842949">
        <w:rPr>
          <w:rFonts w:eastAsia="Calibri"/>
          <w:sz w:val="22"/>
          <w:szCs w:val="22"/>
          <w:lang w:val="en-US" w:eastAsia="en-US"/>
        </w:rPr>
        <w:t xml:space="preserve"> which in turn can be used to predict proteome composition and this can be used to predict the metabolome.</w:t>
      </w:r>
      <w:r w:rsidR="00960AA3">
        <w:rPr>
          <w:rFonts w:eastAsia="Calibri"/>
          <w:sz w:val="22"/>
          <w:szCs w:val="22"/>
          <w:lang w:val="en-US" w:eastAsia="en-US"/>
        </w:rPr>
        <w:t xml:space="preserve"> </w:t>
      </w:r>
      <w:r w:rsidRPr="00842949">
        <w:rPr>
          <w:rFonts w:eastAsia="Calibri"/>
          <w:sz w:val="22"/>
          <w:szCs w:val="22"/>
          <w:lang w:val="en-US" w:eastAsia="en-US"/>
        </w:rPr>
        <w:lastRenderedPageBreak/>
        <w:t>A description of the metabolome</w:t>
      </w:r>
      <w:r w:rsidR="00DC22E2">
        <w:rPr>
          <w:rFonts w:eastAsia="Calibri"/>
          <w:sz w:val="22"/>
          <w:szCs w:val="22"/>
          <w:lang w:val="en-US" w:eastAsia="en-US"/>
        </w:rPr>
        <w:t xml:space="preserve"> in some cases</w:t>
      </w:r>
      <w:r w:rsidRPr="00842949">
        <w:rPr>
          <w:rFonts w:eastAsia="Calibri"/>
          <w:sz w:val="22"/>
          <w:szCs w:val="22"/>
          <w:lang w:val="en-US" w:eastAsia="en-US"/>
        </w:rPr>
        <w:t xml:space="preserve"> would allow </w:t>
      </w:r>
      <w:r w:rsidR="007E3294">
        <w:rPr>
          <w:rFonts w:eastAsia="Calibri"/>
          <w:sz w:val="22"/>
          <w:szCs w:val="22"/>
          <w:lang w:val="en-US" w:eastAsia="en-US"/>
        </w:rPr>
        <w:t>the</w:t>
      </w:r>
      <w:r w:rsidRPr="00842949">
        <w:rPr>
          <w:rFonts w:eastAsia="Calibri"/>
          <w:sz w:val="22"/>
          <w:szCs w:val="22"/>
          <w:lang w:val="en-US" w:eastAsia="en-US"/>
        </w:rPr>
        <w:t xml:space="preserve"> design</w:t>
      </w:r>
      <w:r w:rsidR="007E3294">
        <w:rPr>
          <w:rFonts w:eastAsia="Calibri"/>
          <w:sz w:val="22"/>
          <w:szCs w:val="22"/>
          <w:lang w:val="en-US" w:eastAsia="en-US"/>
        </w:rPr>
        <w:t xml:space="preserve"> of</w:t>
      </w:r>
      <w:r w:rsidRPr="00842949">
        <w:rPr>
          <w:rFonts w:eastAsia="Calibri"/>
          <w:sz w:val="22"/>
          <w:szCs w:val="22"/>
          <w:lang w:val="en-US" w:eastAsia="en-US"/>
        </w:rPr>
        <w:t xml:space="preserve"> a proteome that could produce that metabolome and then a genome that could produce that proteome</w:t>
      </w:r>
      <w:r w:rsidR="00DC22E2">
        <w:rPr>
          <w:rFonts w:eastAsia="Calibri"/>
          <w:sz w:val="22"/>
          <w:szCs w:val="22"/>
          <w:lang w:val="en-US" w:eastAsia="en-US"/>
        </w:rPr>
        <w:t>, even if it were not a recapitulation of a genome already existing in nature</w:t>
      </w:r>
      <w:r w:rsidRPr="00842949">
        <w:rPr>
          <w:rFonts w:eastAsia="Calibri"/>
          <w:sz w:val="22"/>
          <w:szCs w:val="22"/>
          <w:lang w:val="en-US" w:eastAsia="en-US"/>
        </w:rPr>
        <w:t>.</w:t>
      </w:r>
      <w:r w:rsidR="00DC22E2">
        <w:rPr>
          <w:rStyle w:val="FootnoteReference"/>
          <w:rFonts w:eastAsia="Calibri"/>
          <w:lang w:val="en-US" w:eastAsia="en-US"/>
        </w:rPr>
        <w:footnoteReference w:id="12"/>
      </w:r>
      <w:r w:rsidRPr="00842949">
        <w:rPr>
          <w:rFonts w:eastAsia="Calibri"/>
          <w:sz w:val="22"/>
          <w:szCs w:val="22"/>
          <w:lang w:val="en-US" w:eastAsia="en-US"/>
        </w:rPr>
        <w:t xml:space="preserve"> In other words, the knowledge of many databases may soon be sufficient to recreate traits or material of value without necessarily producing copies of the source biological genetic material.</w:t>
      </w:r>
    </w:p>
    <w:p w14:paraId="7364DDA8" w14:textId="77777777" w:rsidR="00907D7C" w:rsidRDefault="00907D7C" w:rsidP="00842949">
      <w:pPr>
        <w:spacing w:after="120"/>
        <w:rPr>
          <w:rFonts w:eastAsia="Calibri"/>
          <w:sz w:val="22"/>
          <w:szCs w:val="22"/>
          <w:lang w:val="en-US" w:eastAsia="en-US"/>
        </w:rPr>
      </w:pPr>
      <w:r>
        <w:rPr>
          <w:rFonts w:eastAsia="Calibri"/>
          <w:sz w:val="22"/>
          <w:szCs w:val="22"/>
          <w:lang w:val="en-US" w:eastAsia="en-US"/>
        </w:rPr>
        <w:t>While all the above can be done, it is</w:t>
      </w:r>
      <w:r w:rsidR="00CA1B40">
        <w:rPr>
          <w:rFonts w:eastAsia="Calibri"/>
          <w:sz w:val="22"/>
          <w:szCs w:val="22"/>
          <w:lang w:val="en-US" w:eastAsia="en-US"/>
        </w:rPr>
        <w:t xml:space="preserve"> not</w:t>
      </w:r>
      <w:r>
        <w:rPr>
          <w:rFonts w:eastAsia="Calibri"/>
          <w:sz w:val="22"/>
          <w:szCs w:val="22"/>
          <w:lang w:val="en-US" w:eastAsia="en-US"/>
        </w:rPr>
        <w:t xml:space="preserve"> intended </w:t>
      </w:r>
      <w:r w:rsidR="00CA1B40">
        <w:rPr>
          <w:rFonts w:eastAsia="Calibri"/>
          <w:sz w:val="22"/>
          <w:szCs w:val="22"/>
          <w:lang w:val="en-US" w:eastAsia="en-US"/>
        </w:rPr>
        <w:t xml:space="preserve">to imply </w:t>
      </w:r>
      <w:r>
        <w:rPr>
          <w:rFonts w:eastAsia="Calibri"/>
          <w:sz w:val="22"/>
          <w:szCs w:val="22"/>
          <w:lang w:val="en-US" w:eastAsia="en-US"/>
        </w:rPr>
        <w:t xml:space="preserve">that doing so is trivial. In some cases it is routine while in others it would be at the cutting edge of, or </w:t>
      </w:r>
      <w:r w:rsidR="00974E96">
        <w:rPr>
          <w:rFonts w:eastAsia="Calibri"/>
          <w:sz w:val="22"/>
          <w:szCs w:val="22"/>
          <w:lang w:val="en-US" w:eastAsia="en-US"/>
        </w:rPr>
        <w:t>still</w:t>
      </w:r>
      <w:r>
        <w:rPr>
          <w:rFonts w:eastAsia="Calibri"/>
          <w:sz w:val="22"/>
          <w:szCs w:val="22"/>
          <w:lang w:val="en-US" w:eastAsia="en-US"/>
        </w:rPr>
        <w:t xml:space="preserve"> beyond, current technology. The degree of difficulty determines the pace by which such things </w:t>
      </w:r>
      <w:r w:rsidR="00974E96">
        <w:rPr>
          <w:rFonts w:eastAsia="Calibri"/>
          <w:sz w:val="22"/>
          <w:szCs w:val="22"/>
          <w:lang w:val="en-US" w:eastAsia="en-US"/>
        </w:rPr>
        <w:t>can be</w:t>
      </w:r>
      <w:r>
        <w:rPr>
          <w:rFonts w:eastAsia="Calibri"/>
          <w:sz w:val="22"/>
          <w:szCs w:val="22"/>
          <w:lang w:val="en-US" w:eastAsia="en-US"/>
        </w:rPr>
        <w:t xml:space="preserve"> done, how well the outcome matches the prediction, but not the</w:t>
      </w:r>
      <w:r w:rsidR="00974E96">
        <w:rPr>
          <w:rFonts w:eastAsia="Calibri"/>
          <w:sz w:val="22"/>
          <w:szCs w:val="22"/>
          <w:lang w:val="en-US" w:eastAsia="en-US"/>
        </w:rPr>
        <w:t xml:space="preserve"> in principle</w:t>
      </w:r>
      <w:r>
        <w:rPr>
          <w:rFonts w:eastAsia="Calibri"/>
          <w:sz w:val="22"/>
          <w:szCs w:val="22"/>
          <w:lang w:val="en-US" w:eastAsia="en-US"/>
        </w:rPr>
        <w:t xml:space="preserve"> possibility of them being done from a technical point of view.</w:t>
      </w:r>
    </w:p>
    <w:p w14:paraId="7F98745C" w14:textId="77777777" w:rsidR="008B1EF4" w:rsidRDefault="00163872" w:rsidP="006B675E">
      <w:pPr>
        <w:spacing w:after="120"/>
        <w:rPr>
          <w:rFonts w:eastAsia="Calibri"/>
          <w:bCs/>
          <w:sz w:val="22"/>
          <w:szCs w:val="22"/>
          <w:lang w:val="en-US" w:eastAsia="en-US"/>
        </w:rPr>
      </w:pPr>
      <w:r>
        <w:rPr>
          <w:rFonts w:eastAsia="Calibri"/>
          <w:bCs/>
          <w:sz w:val="22"/>
          <w:szCs w:val="22"/>
          <w:lang w:val="en-US" w:eastAsia="en-US"/>
        </w:rPr>
        <w:t xml:space="preserve">In summary, </w:t>
      </w:r>
      <w:r w:rsidR="008B1EF4">
        <w:rPr>
          <w:rFonts w:eastAsia="Calibri"/>
          <w:bCs/>
          <w:sz w:val="22"/>
          <w:szCs w:val="22"/>
          <w:lang w:val="en-US" w:eastAsia="en-US"/>
        </w:rPr>
        <w:t xml:space="preserve">DSI is </w:t>
      </w:r>
      <w:r w:rsidR="006B675E">
        <w:rPr>
          <w:rFonts w:eastAsia="Calibri"/>
          <w:bCs/>
          <w:sz w:val="22"/>
          <w:szCs w:val="22"/>
          <w:lang w:val="en-US" w:eastAsia="en-US"/>
        </w:rPr>
        <w:t>stimulating</w:t>
      </w:r>
      <w:r w:rsidR="008B1EF4">
        <w:rPr>
          <w:rFonts w:eastAsia="Calibri"/>
          <w:bCs/>
          <w:sz w:val="22"/>
          <w:szCs w:val="22"/>
          <w:lang w:val="en-US" w:eastAsia="en-US"/>
        </w:rPr>
        <w:t xml:space="preserve"> </w:t>
      </w:r>
      <w:r w:rsidR="006B675E">
        <w:rPr>
          <w:rFonts w:eastAsia="Calibri"/>
          <w:bCs/>
          <w:sz w:val="22"/>
          <w:szCs w:val="22"/>
          <w:lang w:val="en-US" w:eastAsia="en-US"/>
        </w:rPr>
        <w:t>discussions</w:t>
      </w:r>
      <w:r w:rsidR="008B1EF4">
        <w:rPr>
          <w:rFonts w:eastAsia="Calibri"/>
          <w:bCs/>
          <w:sz w:val="22"/>
          <w:szCs w:val="22"/>
          <w:lang w:val="en-US" w:eastAsia="en-US"/>
        </w:rPr>
        <w:t xml:space="preserve"> of what genetic material can be, similarly to how artificial intelligence is challenging concepts of the brain.</w:t>
      </w:r>
      <w:r w:rsidR="006B675E">
        <w:rPr>
          <w:rFonts w:eastAsia="Calibri"/>
          <w:bCs/>
          <w:sz w:val="22"/>
          <w:szCs w:val="22"/>
          <w:lang w:val="en-US" w:eastAsia="en-US"/>
        </w:rPr>
        <w:t xml:space="preserve"> Is the biological material of</w:t>
      </w:r>
      <w:r w:rsidR="00A0596F">
        <w:rPr>
          <w:rFonts w:eastAsia="Calibri"/>
          <w:bCs/>
          <w:sz w:val="22"/>
          <w:szCs w:val="22"/>
          <w:lang w:val="en-US" w:eastAsia="en-US"/>
        </w:rPr>
        <w:t xml:space="preserve"> neural</w:t>
      </w:r>
      <w:r w:rsidR="006B675E">
        <w:rPr>
          <w:rFonts w:eastAsia="Calibri"/>
          <w:bCs/>
          <w:sz w:val="22"/>
          <w:szCs w:val="22"/>
          <w:lang w:val="en-US" w:eastAsia="en-US"/>
        </w:rPr>
        <w:t xml:space="preserve"> tissue the only medium in which complex </w:t>
      </w:r>
      <w:r w:rsidR="00A0596F">
        <w:rPr>
          <w:rFonts w:eastAsia="Calibri"/>
          <w:bCs/>
          <w:sz w:val="22"/>
          <w:szCs w:val="22"/>
          <w:lang w:val="en-US" w:eastAsia="en-US"/>
        </w:rPr>
        <w:t>thinking</w:t>
      </w:r>
      <w:r w:rsidR="006B675E">
        <w:rPr>
          <w:rFonts w:eastAsia="Calibri"/>
          <w:bCs/>
          <w:sz w:val="22"/>
          <w:szCs w:val="22"/>
          <w:lang w:val="en-US" w:eastAsia="en-US"/>
        </w:rPr>
        <w:t xml:space="preserve"> can</w:t>
      </w:r>
      <w:r w:rsidR="00A0596F">
        <w:rPr>
          <w:rFonts w:eastAsia="Calibri"/>
          <w:bCs/>
          <w:sz w:val="22"/>
          <w:szCs w:val="22"/>
          <w:lang w:val="en-US" w:eastAsia="en-US"/>
        </w:rPr>
        <w:t xml:space="preserve"> occur or be</w:t>
      </w:r>
      <w:r w:rsidR="006B675E">
        <w:rPr>
          <w:rFonts w:eastAsia="Calibri"/>
          <w:bCs/>
          <w:sz w:val="22"/>
          <w:szCs w:val="22"/>
          <w:lang w:val="en-US" w:eastAsia="en-US"/>
        </w:rPr>
        <w:t xml:space="preserve"> stored?</w:t>
      </w:r>
      <w:r w:rsidR="00A0596F">
        <w:rPr>
          <w:rFonts w:eastAsia="Calibri"/>
          <w:bCs/>
          <w:sz w:val="22"/>
          <w:szCs w:val="22"/>
          <w:lang w:val="en-US" w:eastAsia="en-US"/>
        </w:rPr>
        <w:t xml:space="preserve"> Wou</w:t>
      </w:r>
      <w:r w:rsidR="00BF544B">
        <w:rPr>
          <w:rFonts w:eastAsia="Calibri"/>
          <w:bCs/>
          <w:sz w:val="22"/>
          <w:szCs w:val="22"/>
          <w:lang w:val="en-US" w:eastAsia="en-US"/>
        </w:rPr>
        <w:t>l</w:t>
      </w:r>
      <w:r w:rsidR="00A0596F">
        <w:rPr>
          <w:rFonts w:eastAsia="Calibri"/>
          <w:bCs/>
          <w:sz w:val="22"/>
          <w:szCs w:val="22"/>
          <w:lang w:val="en-US" w:eastAsia="en-US"/>
        </w:rPr>
        <w:t xml:space="preserve">d a computer have to be a copy of a human being in order to have </w:t>
      </w:r>
      <w:r w:rsidR="006A54DD">
        <w:rPr>
          <w:rFonts w:eastAsia="Calibri"/>
          <w:bCs/>
          <w:sz w:val="22"/>
          <w:szCs w:val="22"/>
          <w:lang w:val="en-US" w:eastAsia="en-US"/>
        </w:rPr>
        <w:t>“</w:t>
      </w:r>
      <w:r w:rsidR="00A0596F">
        <w:rPr>
          <w:rFonts w:eastAsia="Calibri"/>
          <w:bCs/>
          <w:sz w:val="22"/>
          <w:szCs w:val="22"/>
          <w:lang w:val="en-US" w:eastAsia="en-US"/>
        </w:rPr>
        <w:t>thoughts</w:t>
      </w:r>
      <w:r w:rsidR="006A54DD">
        <w:rPr>
          <w:rFonts w:eastAsia="Calibri"/>
          <w:bCs/>
          <w:sz w:val="22"/>
          <w:szCs w:val="22"/>
          <w:lang w:val="en-US" w:eastAsia="en-US"/>
        </w:rPr>
        <w:t>”</w:t>
      </w:r>
      <w:r w:rsidR="00A0596F">
        <w:rPr>
          <w:rFonts w:eastAsia="Calibri"/>
          <w:bCs/>
          <w:sz w:val="22"/>
          <w:szCs w:val="22"/>
          <w:lang w:val="en-US" w:eastAsia="en-US"/>
        </w:rPr>
        <w:t xml:space="preserve"> of some value to humanity?</w:t>
      </w:r>
      <w:r w:rsidR="008B1EF4">
        <w:rPr>
          <w:rFonts w:eastAsia="Calibri"/>
          <w:bCs/>
          <w:sz w:val="22"/>
          <w:szCs w:val="22"/>
          <w:lang w:val="en-US" w:eastAsia="en-US"/>
        </w:rPr>
        <w:t xml:space="preserve"> Does genetic material need to be biological material?</w:t>
      </w:r>
      <w:r>
        <w:rPr>
          <w:rFonts w:eastAsia="Calibri"/>
          <w:bCs/>
          <w:sz w:val="22"/>
          <w:szCs w:val="22"/>
          <w:lang w:val="en-US" w:eastAsia="en-US"/>
        </w:rPr>
        <w:t xml:space="preserve"> In a biological system</w:t>
      </w:r>
      <w:r w:rsidR="00CA1B40">
        <w:rPr>
          <w:rFonts w:eastAsia="Calibri"/>
          <w:bCs/>
          <w:sz w:val="22"/>
          <w:szCs w:val="22"/>
          <w:lang w:val="en-US" w:eastAsia="en-US"/>
        </w:rPr>
        <w:t xml:space="preserve"> genetic material would be a form of biological material</w:t>
      </w:r>
      <w:r>
        <w:rPr>
          <w:rFonts w:eastAsia="Calibri"/>
          <w:bCs/>
          <w:sz w:val="22"/>
          <w:szCs w:val="22"/>
          <w:lang w:val="en-US" w:eastAsia="en-US"/>
        </w:rPr>
        <w:t>. However</w:t>
      </w:r>
      <w:r w:rsidR="006A54DD">
        <w:rPr>
          <w:rFonts w:eastAsia="Calibri"/>
          <w:bCs/>
          <w:sz w:val="22"/>
          <w:szCs w:val="22"/>
          <w:lang w:val="en-US" w:eastAsia="en-US"/>
        </w:rPr>
        <w:t>,</w:t>
      </w:r>
      <w:r>
        <w:rPr>
          <w:rFonts w:eastAsia="Calibri"/>
          <w:bCs/>
          <w:sz w:val="22"/>
          <w:szCs w:val="22"/>
          <w:lang w:val="en-US" w:eastAsia="en-US"/>
        </w:rPr>
        <w:t xml:space="preserve"> as a storage medium for genetic information, a sequence can be held by either a biological material or the kind of material used by a computer.</w:t>
      </w:r>
      <w:r w:rsidR="006B675E">
        <w:rPr>
          <w:rFonts w:eastAsia="Calibri"/>
          <w:bCs/>
          <w:sz w:val="22"/>
          <w:szCs w:val="22"/>
          <w:lang w:val="en-US" w:eastAsia="en-US"/>
        </w:rPr>
        <w:t xml:space="preserve"> A</w:t>
      </w:r>
      <w:r w:rsidR="008B1EF4">
        <w:rPr>
          <w:rFonts w:eastAsia="Calibri"/>
          <w:bCs/>
          <w:sz w:val="22"/>
          <w:szCs w:val="22"/>
          <w:lang w:val="en-US" w:eastAsia="en-US"/>
        </w:rPr>
        <w:t>s DSI makes it possible to</w:t>
      </w:r>
      <w:r w:rsidR="006B675E">
        <w:rPr>
          <w:rFonts w:eastAsia="Calibri"/>
          <w:bCs/>
          <w:sz w:val="22"/>
          <w:szCs w:val="22"/>
          <w:lang w:val="en-US" w:eastAsia="en-US"/>
        </w:rPr>
        <w:t xml:space="preserve"> store and transmit genetic information back to biological material</w:t>
      </w:r>
      <w:r w:rsidR="008B1EF4">
        <w:rPr>
          <w:rFonts w:eastAsia="Calibri"/>
          <w:bCs/>
          <w:sz w:val="22"/>
          <w:szCs w:val="22"/>
          <w:lang w:val="en-US" w:eastAsia="en-US"/>
        </w:rPr>
        <w:t xml:space="preserve">, it </w:t>
      </w:r>
      <w:r w:rsidR="006B675E">
        <w:rPr>
          <w:rFonts w:eastAsia="Calibri"/>
          <w:bCs/>
          <w:sz w:val="22"/>
          <w:szCs w:val="22"/>
          <w:lang w:val="en-US" w:eastAsia="en-US"/>
        </w:rPr>
        <w:t>challenges</w:t>
      </w:r>
      <w:r w:rsidR="008B1EF4">
        <w:rPr>
          <w:rFonts w:eastAsia="Calibri"/>
          <w:bCs/>
          <w:sz w:val="22"/>
          <w:szCs w:val="22"/>
          <w:lang w:val="en-US" w:eastAsia="en-US"/>
        </w:rPr>
        <w:t xml:space="preserve"> the boundaries of what may be used as GRFA.</w:t>
      </w:r>
    </w:p>
    <w:p w14:paraId="16B4E7C8" w14:textId="77777777" w:rsidR="00260C56" w:rsidRDefault="00260C56" w:rsidP="006B675E">
      <w:pPr>
        <w:spacing w:after="120"/>
        <w:rPr>
          <w:rFonts w:eastAsia="Calibri"/>
          <w:sz w:val="22"/>
          <w:szCs w:val="22"/>
          <w:lang w:val="en-US" w:eastAsia="en-US"/>
        </w:rPr>
      </w:pPr>
    </w:p>
    <w:p w14:paraId="352CAEF6" w14:textId="77777777" w:rsidR="00842949" w:rsidRPr="00A43161" w:rsidRDefault="00A43161" w:rsidP="002104D2">
      <w:pPr>
        <w:pStyle w:val="TableEntry"/>
        <w:spacing w:before="120" w:after="120"/>
        <w:rPr>
          <w:b/>
          <w:sz w:val="24"/>
          <w:szCs w:val="24"/>
        </w:rPr>
      </w:pPr>
      <w:r w:rsidRPr="00A43161">
        <w:rPr>
          <w:b/>
          <w:sz w:val="24"/>
          <w:szCs w:val="24"/>
        </w:rPr>
        <w:t>Use of DSI in characterization, conservation and sustainable use of GRFA</w:t>
      </w:r>
    </w:p>
    <w:p w14:paraId="0E40DBE7" w14:textId="77777777" w:rsidR="00842949" w:rsidRDefault="00842949" w:rsidP="00842949">
      <w:pPr>
        <w:spacing w:after="120"/>
        <w:rPr>
          <w:rFonts w:eastAsia="Calibri"/>
          <w:sz w:val="22"/>
          <w:szCs w:val="22"/>
          <w:lang w:val="en-US" w:eastAsia="en-US"/>
        </w:rPr>
      </w:pPr>
      <w:r w:rsidRPr="00842949">
        <w:rPr>
          <w:rFonts w:eastAsia="Calibri"/>
          <w:sz w:val="22"/>
          <w:szCs w:val="22"/>
          <w:lang w:val="en-US" w:eastAsia="en-US"/>
        </w:rPr>
        <w:t>DSI on GRFA is applied to describe and characterize genetic resources and contribute to their conservation and sustainable use. Characterization provides information about organisms and ecosystems that may be used for basic research, identification</w:t>
      </w:r>
      <w:r w:rsidR="00A34D14">
        <w:rPr>
          <w:rFonts w:eastAsia="Calibri"/>
          <w:sz w:val="22"/>
          <w:szCs w:val="22"/>
          <w:lang w:val="en-US" w:eastAsia="en-US"/>
        </w:rPr>
        <w:t xml:space="preserve"> and</w:t>
      </w:r>
      <w:r w:rsidRPr="00842949">
        <w:rPr>
          <w:rFonts w:eastAsia="Calibri"/>
          <w:sz w:val="22"/>
          <w:szCs w:val="22"/>
          <w:lang w:val="en-US" w:eastAsia="en-US"/>
        </w:rPr>
        <w:t xml:space="preserve"> monitoring and to draw comparisons with other organisms and ecosystems.</w:t>
      </w:r>
      <w:r w:rsidR="0023459C">
        <w:rPr>
          <w:rFonts w:eastAsia="Calibri"/>
          <w:sz w:val="22"/>
          <w:szCs w:val="22"/>
          <w:lang w:val="en-US" w:eastAsia="en-US"/>
        </w:rPr>
        <w:t xml:space="preserve"> Molecular markers, phenomics and bioinformatics are used in the characterization of GRFA</w:t>
      </w:r>
      <w:r w:rsidR="008B6884">
        <w:rPr>
          <w:rFonts w:eastAsia="Calibri"/>
          <w:sz w:val="22"/>
          <w:szCs w:val="22"/>
          <w:lang w:val="en-US" w:eastAsia="en-US"/>
        </w:rPr>
        <w:t xml:space="preserve"> </w:t>
      </w:r>
      <w:r w:rsidR="001C037C">
        <w:rPr>
          <w:rFonts w:eastAsia="Calibri"/>
          <w:noProof/>
          <w:sz w:val="22"/>
          <w:szCs w:val="22"/>
          <w:lang w:val="en-US" w:eastAsia="en-US"/>
        </w:rPr>
        <w:t>(Lidder and Sonnino, 2011)</w:t>
      </w:r>
      <w:r w:rsidR="0023459C">
        <w:rPr>
          <w:rFonts w:eastAsia="Calibri"/>
          <w:sz w:val="22"/>
          <w:szCs w:val="22"/>
          <w:lang w:val="en-US" w:eastAsia="en-US"/>
        </w:rPr>
        <w:t>.</w:t>
      </w:r>
    </w:p>
    <w:p w14:paraId="6940D9CC" w14:textId="77777777" w:rsidR="00D61418" w:rsidRDefault="00D61418" w:rsidP="00842949">
      <w:pPr>
        <w:spacing w:after="120"/>
        <w:rPr>
          <w:rFonts w:eastAsia="Calibri"/>
          <w:sz w:val="22"/>
          <w:szCs w:val="22"/>
          <w:lang w:val="en-US" w:eastAsia="en-US"/>
        </w:rPr>
      </w:pPr>
      <w:r>
        <w:rPr>
          <w:rFonts w:eastAsia="Calibri"/>
          <w:sz w:val="22"/>
          <w:szCs w:val="22"/>
          <w:lang w:val="en-US" w:eastAsia="en-US"/>
        </w:rPr>
        <w:t xml:space="preserve">Molecular markers are used to identify and track alleles for quantitative traits. When different combinations of alleles of different genes cause different phenotypes, the trait is said to be quantitative. DSI is used to create the tools for following different alleles through breeding. </w:t>
      </w:r>
    </w:p>
    <w:p w14:paraId="77F05FBE" w14:textId="77777777" w:rsidR="008B6884" w:rsidRDefault="008B6884" w:rsidP="00842949">
      <w:pPr>
        <w:spacing w:after="120"/>
        <w:rPr>
          <w:sz w:val="22"/>
          <w:szCs w:val="22"/>
        </w:rPr>
      </w:pPr>
      <w:r>
        <w:rPr>
          <w:rFonts w:eastAsia="Calibri"/>
          <w:sz w:val="22"/>
          <w:szCs w:val="22"/>
          <w:lang w:val="en-US" w:eastAsia="en-US"/>
        </w:rPr>
        <w:t>Barcoding is a technology that improves identification</w:t>
      </w:r>
      <w:r w:rsidR="009E6914">
        <w:rPr>
          <w:rFonts w:eastAsia="Calibri"/>
          <w:sz w:val="22"/>
          <w:szCs w:val="22"/>
          <w:lang w:val="en-US" w:eastAsia="en-US"/>
        </w:rPr>
        <w:t>,</w:t>
      </w:r>
      <w:r>
        <w:rPr>
          <w:rFonts w:eastAsia="Calibri"/>
          <w:sz w:val="22"/>
          <w:szCs w:val="22"/>
          <w:lang w:val="en-US" w:eastAsia="en-US"/>
        </w:rPr>
        <w:t xml:space="preserve"> particularly of species that are difficult to distinguish between by morphology. Barcoding </w:t>
      </w:r>
      <w:r>
        <w:rPr>
          <w:sz w:val="22"/>
          <w:szCs w:val="22"/>
        </w:rPr>
        <w:t>uses DNA sequences from a gene or genomic location for species identification and discovery</w:t>
      </w:r>
      <w:r w:rsidR="00816D2B">
        <w:rPr>
          <w:sz w:val="22"/>
          <w:szCs w:val="22"/>
        </w:rPr>
        <w:t xml:space="preserve"> </w:t>
      </w:r>
      <w:r w:rsidR="001C037C">
        <w:rPr>
          <w:noProof/>
          <w:sz w:val="22"/>
          <w:szCs w:val="22"/>
        </w:rPr>
        <w:t>(Lidder and Sonnino, 2011)</w:t>
      </w:r>
      <w:r>
        <w:rPr>
          <w:sz w:val="22"/>
          <w:szCs w:val="22"/>
        </w:rPr>
        <w:t xml:space="preserve">. A variation of barcoding is metabarcoding, where </w:t>
      </w:r>
      <w:r w:rsidR="003F524D">
        <w:rPr>
          <w:sz w:val="22"/>
          <w:szCs w:val="22"/>
        </w:rPr>
        <w:t xml:space="preserve">an estimate of biological diversity is derived from direct isolation of DNA from a sample, such as a soil sample </w:t>
      </w:r>
      <w:r w:rsidR="001C037C">
        <w:rPr>
          <w:noProof/>
          <w:sz w:val="22"/>
          <w:szCs w:val="22"/>
        </w:rPr>
        <w:t>(Orwin</w:t>
      </w:r>
      <w:r w:rsidR="001C037C" w:rsidRPr="001C037C">
        <w:rPr>
          <w:i/>
          <w:noProof/>
          <w:sz w:val="22"/>
          <w:szCs w:val="22"/>
        </w:rPr>
        <w:t xml:space="preserve"> et al.</w:t>
      </w:r>
      <w:r w:rsidR="001C037C">
        <w:rPr>
          <w:noProof/>
          <w:sz w:val="22"/>
          <w:szCs w:val="22"/>
        </w:rPr>
        <w:t>, 2018)</w:t>
      </w:r>
      <w:r w:rsidR="003F524D">
        <w:rPr>
          <w:sz w:val="22"/>
          <w:szCs w:val="22"/>
        </w:rPr>
        <w:t>.</w:t>
      </w:r>
    </w:p>
    <w:p w14:paraId="5B95E6CB" w14:textId="77777777" w:rsidR="00E24026" w:rsidRPr="00842949" w:rsidRDefault="00E24026" w:rsidP="00842949">
      <w:pPr>
        <w:spacing w:after="120"/>
        <w:rPr>
          <w:rFonts w:eastAsia="Calibri"/>
          <w:sz w:val="22"/>
          <w:szCs w:val="22"/>
          <w:lang w:val="en-US" w:eastAsia="en-US"/>
        </w:rPr>
      </w:pPr>
      <w:r>
        <w:rPr>
          <w:rFonts w:eastAsia="Calibri"/>
          <w:sz w:val="22"/>
          <w:szCs w:val="22"/>
          <w:lang w:val="en-US" w:eastAsia="en-US"/>
        </w:rPr>
        <w:t>DSI has become a critical component of breeding by contributing to the rate and accuracy of trait mapping to develop targets for</w:t>
      </w:r>
      <w:r w:rsidR="007D291D">
        <w:rPr>
          <w:rFonts w:eastAsia="Calibri"/>
          <w:sz w:val="22"/>
          <w:szCs w:val="22"/>
          <w:lang w:val="en-US" w:eastAsia="en-US"/>
        </w:rPr>
        <w:t xml:space="preserve"> marker-assisted selection</w:t>
      </w:r>
      <w:r>
        <w:rPr>
          <w:rFonts w:eastAsia="Calibri"/>
          <w:sz w:val="22"/>
          <w:szCs w:val="22"/>
          <w:lang w:val="en-US" w:eastAsia="en-US"/>
        </w:rPr>
        <w:t xml:space="preserve"> </w:t>
      </w:r>
      <w:r w:rsidR="007D291D">
        <w:rPr>
          <w:rFonts w:eastAsia="Calibri"/>
          <w:sz w:val="22"/>
          <w:szCs w:val="22"/>
          <w:lang w:val="en-US" w:eastAsia="en-US"/>
        </w:rPr>
        <w:t>(</w:t>
      </w:r>
      <w:r>
        <w:rPr>
          <w:rFonts w:eastAsia="Calibri"/>
          <w:sz w:val="22"/>
          <w:szCs w:val="22"/>
          <w:lang w:val="en-US" w:eastAsia="en-US"/>
        </w:rPr>
        <w:t>MAS</w:t>
      </w:r>
      <w:r w:rsidR="007D291D">
        <w:rPr>
          <w:rFonts w:eastAsia="Calibri"/>
          <w:sz w:val="22"/>
          <w:szCs w:val="22"/>
          <w:lang w:val="en-US" w:eastAsia="en-US"/>
        </w:rPr>
        <w:t>)</w:t>
      </w:r>
      <w:r>
        <w:rPr>
          <w:rFonts w:eastAsia="Calibri"/>
          <w:sz w:val="22"/>
          <w:szCs w:val="22"/>
          <w:lang w:val="en-US" w:eastAsia="en-US"/>
        </w:rPr>
        <w:t xml:space="preserve">. Moreover, it is important for calculating </w:t>
      </w:r>
      <w:r w:rsidRPr="00E24026">
        <w:rPr>
          <w:rFonts w:eastAsia="Calibri"/>
          <w:sz w:val="22"/>
          <w:szCs w:val="22"/>
          <w:lang w:val="mi-NZ" w:eastAsia="en-US"/>
        </w:rPr>
        <w:t>genomic estimated breeding value</w:t>
      </w:r>
      <w:r>
        <w:rPr>
          <w:rFonts w:eastAsia="Calibri"/>
          <w:sz w:val="22"/>
          <w:szCs w:val="22"/>
          <w:lang w:val="en-US" w:eastAsia="en-US"/>
        </w:rPr>
        <w:t xml:space="preserve"> </w:t>
      </w:r>
      <w:r w:rsidR="001C037C">
        <w:rPr>
          <w:rFonts w:eastAsia="Calibri"/>
          <w:noProof/>
          <w:sz w:val="22"/>
          <w:szCs w:val="22"/>
          <w:lang w:val="en-US" w:eastAsia="en-US"/>
        </w:rPr>
        <w:t>(Varshney</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2014)</w:t>
      </w:r>
      <w:r>
        <w:rPr>
          <w:rFonts w:eastAsia="Calibri"/>
          <w:sz w:val="22"/>
          <w:szCs w:val="22"/>
          <w:lang w:val="en-US" w:eastAsia="en-US"/>
        </w:rPr>
        <w:t>.</w:t>
      </w:r>
    </w:p>
    <w:p w14:paraId="20C3F3CE" w14:textId="77777777" w:rsidR="00842949" w:rsidRDefault="008B6884" w:rsidP="00842949">
      <w:pPr>
        <w:spacing w:after="120"/>
        <w:rPr>
          <w:rFonts w:eastAsia="Calibri"/>
          <w:sz w:val="22"/>
          <w:szCs w:val="22"/>
          <w:lang w:val="en-US" w:eastAsia="en-US"/>
        </w:rPr>
      </w:pPr>
      <w:r>
        <w:rPr>
          <w:rFonts w:eastAsia="Calibri"/>
          <w:sz w:val="22"/>
          <w:szCs w:val="22"/>
          <w:lang w:val="en-US" w:eastAsia="en-US"/>
        </w:rPr>
        <w:t>DSI</w:t>
      </w:r>
      <w:r w:rsidR="00842949" w:rsidRPr="00842949">
        <w:rPr>
          <w:rFonts w:eastAsia="Calibri"/>
          <w:sz w:val="22"/>
          <w:szCs w:val="22"/>
          <w:lang w:val="en-US" w:eastAsia="en-US"/>
        </w:rPr>
        <w:t xml:space="preserve"> also contributes to efforts to conserve GRFA. The means to identify</w:t>
      </w:r>
      <w:r w:rsidR="00137F20">
        <w:rPr>
          <w:rFonts w:eastAsia="Calibri"/>
          <w:sz w:val="22"/>
          <w:szCs w:val="22"/>
          <w:lang w:val="en-US" w:eastAsia="en-US"/>
        </w:rPr>
        <w:t xml:space="preserve"> individuals with defined genetic</w:t>
      </w:r>
      <w:r w:rsidR="00842949" w:rsidRPr="00842949">
        <w:rPr>
          <w:rFonts w:eastAsia="Calibri"/>
          <w:sz w:val="22"/>
          <w:szCs w:val="22"/>
          <w:lang w:val="en-US" w:eastAsia="en-US"/>
        </w:rPr>
        <w:t xml:space="preserve"> variants </w:t>
      </w:r>
      <w:r w:rsidR="00137F20">
        <w:rPr>
          <w:rFonts w:eastAsia="Calibri"/>
          <w:sz w:val="22"/>
          <w:szCs w:val="22"/>
          <w:lang w:val="en-US" w:eastAsia="en-US"/>
        </w:rPr>
        <w:t>associated with</w:t>
      </w:r>
      <w:r w:rsidR="00842949" w:rsidRPr="00842949">
        <w:rPr>
          <w:rFonts w:eastAsia="Calibri"/>
          <w:sz w:val="22"/>
          <w:szCs w:val="22"/>
          <w:lang w:val="en-US" w:eastAsia="en-US"/>
        </w:rPr>
        <w:t xml:space="preserve"> particular traits</w:t>
      </w:r>
      <w:r>
        <w:rPr>
          <w:rFonts w:eastAsia="Calibri"/>
          <w:sz w:val="22"/>
          <w:szCs w:val="22"/>
          <w:lang w:val="en-US" w:eastAsia="en-US"/>
        </w:rPr>
        <w:t xml:space="preserve"> informs estimates of the population’s effective size (N</w:t>
      </w:r>
      <w:r w:rsidRPr="00E018C6">
        <w:rPr>
          <w:rFonts w:eastAsia="Calibri"/>
          <w:sz w:val="22"/>
          <w:szCs w:val="22"/>
          <w:vertAlign w:val="subscript"/>
          <w:lang w:val="en-US" w:eastAsia="en-US"/>
        </w:rPr>
        <w:t>e</w:t>
      </w:r>
      <w:r>
        <w:rPr>
          <w:rFonts w:eastAsia="Calibri"/>
          <w:sz w:val="22"/>
          <w:szCs w:val="22"/>
          <w:lang w:val="en-US" w:eastAsia="en-US"/>
        </w:rPr>
        <w:t>)</w:t>
      </w:r>
      <w:r w:rsidR="00974E96">
        <w:rPr>
          <w:rFonts w:eastAsia="Calibri"/>
          <w:sz w:val="22"/>
          <w:szCs w:val="22"/>
          <w:lang w:val="en-US" w:eastAsia="en-US"/>
        </w:rPr>
        <w:t xml:space="preserve">. This </w:t>
      </w:r>
      <w:r w:rsidR="00842949" w:rsidRPr="00842949">
        <w:rPr>
          <w:rFonts w:eastAsia="Calibri"/>
          <w:sz w:val="22"/>
          <w:szCs w:val="22"/>
          <w:lang w:val="en-US" w:eastAsia="en-US"/>
        </w:rPr>
        <w:t xml:space="preserve">is needed to ensure that there are sufficient numbers </w:t>
      </w:r>
      <w:r>
        <w:rPr>
          <w:rFonts w:eastAsia="Calibri"/>
          <w:sz w:val="22"/>
          <w:szCs w:val="22"/>
          <w:lang w:val="en-US" w:eastAsia="en-US"/>
        </w:rPr>
        <w:t>for breeding</w:t>
      </w:r>
      <w:r w:rsidR="00974E96">
        <w:rPr>
          <w:rFonts w:eastAsia="Calibri"/>
          <w:sz w:val="22"/>
          <w:szCs w:val="22"/>
          <w:lang w:val="en-US" w:eastAsia="en-US"/>
        </w:rPr>
        <w:t xml:space="preserve"> to preserve the needed genetic diversity within a species or population so that it can adapt to challenges such as climate change or disease</w:t>
      </w:r>
      <w:r>
        <w:rPr>
          <w:rFonts w:eastAsia="Calibri"/>
          <w:sz w:val="22"/>
          <w:szCs w:val="22"/>
          <w:lang w:val="en-US" w:eastAsia="en-US"/>
        </w:rPr>
        <w:t xml:space="preserve"> </w:t>
      </w:r>
      <w:r w:rsidR="001C037C">
        <w:rPr>
          <w:rFonts w:eastAsia="Calibri"/>
          <w:noProof/>
          <w:sz w:val="22"/>
          <w:szCs w:val="22"/>
          <w:lang w:val="en-US" w:eastAsia="en-US"/>
        </w:rPr>
        <w:t>(Lidder and Sonnino, 2011)</w:t>
      </w:r>
      <w:r w:rsidR="00842949" w:rsidRPr="00842949">
        <w:rPr>
          <w:rFonts w:eastAsia="Calibri"/>
          <w:sz w:val="22"/>
          <w:szCs w:val="22"/>
          <w:lang w:val="en-US" w:eastAsia="en-US"/>
        </w:rPr>
        <w:t>.</w:t>
      </w:r>
      <w:r>
        <w:rPr>
          <w:rFonts w:eastAsia="Calibri"/>
          <w:sz w:val="22"/>
          <w:szCs w:val="22"/>
          <w:lang w:val="en-US" w:eastAsia="en-US"/>
        </w:rPr>
        <w:t xml:space="preserve"> The information may be used to manage both domesticated and wild GRFA</w:t>
      </w:r>
      <w:r w:rsidR="00842949" w:rsidRPr="00842949">
        <w:rPr>
          <w:rFonts w:eastAsia="Calibri"/>
          <w:sz w:val="22"/>
          <w:szCs w:val="22"/>
          <w:lang w:val="en-US" w:eastAsia="en-US"/>
        </w:rPr>
        <w:t xml:space="preserve">. </w:t>
      </w:r>
      <w:r w:rsidR="00974E96">
        <w:rPr>
          <w:rFonts w:eastAsia="Calibri"/>
          <w:sz w:val="22"/>
          <w:szCs w:val="22"/>
          <w:lang w:val="en-US" w:eastAsia="en-US"/>
        </w:rPr>
        <w:t>In addition to the amount of variation within a species</w:t>
      </w:r>
      <w:r w:rsidR="00974E96" w:rsidRPr="00842949">
        <w:rPr>
          <w:rFonts w:eastAsia="Calibri"/>
          <w:sz w:val="22"/>
          <w:szCs w:val="22"/>
          <w:lang w:val="en-US" w:eastAsia="en-US"/>
        </w:rPr>
        <w:t xml:space="preserve">, some ecosystem functions depend on having both the right mix </w:t>
      </w:r>
      <w:r w:rsidR="00974E96">
        <w:rPr>
          <w:rFonts w:eastAsia="Calibri"/>
          <w:sz w:val="22"/>
          <w:szCs w:val="22"/>
          <w:lang w:val="en-US" w:eastAsia="en-US"/>
        </w:rPr>
        <w:t>of different</w:t>
      </w:r>
      <w:r w:rsidR="00974E96" w:rsidRPr="00842949">
        <w:rPr>
          <w:rFonts w:eastAsia="Calibri"/>
          <w:sz w:val="22"/>
          <w:szCs w:val="22"/>
          <w:lang w:val="en-US" w:eastAsia="en-US"/>
        </w:rPr>
        <w:t xml:space="preserve"> species</w:t>
      </w:r>
      <w:r w:rsidR="00974E96">
        <w:rPr>
          <w:rFonts w:eastAsia="Calibri"/>
          <w:sz w:val="22"/>
          <w:szCs w:val="22"/>
          <w:lang w:val="en-US" w:eastAsia="en-US"/>
        </w:rPr>
        <w:t xml:space="preserve"> (qualitative)</w:t>
      </w:r>
      <w:r w:rsidR="00974E96" w:rsidRPr="00842949">
        <w:rPr>
          <w:rFonts w:eastAsia="Calibri"/>
          <w:sz w:val="22"/>
          <w:szCs w:val="22"/>
          <w:lang w:val="en-US" w:eastAsia="en-US"/>
        </w:rPr>
        <w:t xml:space="preserve"> and the right ratios</w:t>
      </w:r>
      <w:r w:rsidR="00974E96">
        <w:rPr>
          <w:rFonts w:eastAsia="Calibri"/>
          <w:sz w:val="22"/>
          <w:szCs w:val="22"/>
          <w:lang w:val="en-US" w:eastAsia="en-US"/>
        </w:rPr>
        <w:t xml:space="preserve"> (quantitative) among them</w:t>
      </w:r>
      <w:r w:rsidR="00974E96" w:rsidRPr="00842949">
        <w:rPr>
          <w:rFonts w:eastAsia="Calibri"/>
          <w:sz w:val="22"/>
          <w:szCs w:val="22"/>
          <w:lang w:val="en-US" w:eastAsia="en-US"/>
        </w:rPr>
        <w:t>.</w:t>
      </w:r>
      <w:r w:rsidR="00974E96">
        <w:rPr>
          <w:rFonts w:eastAsia="Calibri"/>
          <w:sz w:val="22"/>
          <w:szCs w:val="22"/>
          <w:lang w:val="en-US" w:eastAsia="en-US"/>
        </w:rPr>
        <w:t xml:space="preserve"> </w:t>
      </w:r>
      <w:r w:rsidR="00137F20">
        <w:rPr>
          <w:rFonts w:eastAsia="Calibri"/>
          <w:sz w:val="22"/>
          <w:szCs w:val="22"/>
          <w:lang w:val="en-US" w:eastAsia="en-US"/>
        </w:rPr>
        <w:t>For example, the rumen microbiome varies with feedstock. The variance is not in what micro</w:t>
      </w:r>
      <w:r w:rsidR="00B876A4">
        <w:rPr>
          <w:rFonts w:eastAsia="Calibri"/>
          <w:sz w:val="22"/>
          <w:szCs w:val="22"/>
          <w:lang w:val="en-US" w:eastAsia="en-US"/>
        </w:rPr>
        <w:t>-</w:t>
      </w:r>
      <w:r w:rsidR="00137F20">
        <w:rPr>
          <w:rFonts w:eastAsia="Calibri"/>
          <w:sz w:val="22"/>
          <w:szCs w:val="22"/>
          <w:lang w:val="en-US" w:eastAsia="en-US"/>
        </w:rPr>
        <w:t xml:space="preserve">organisms are in the rumen, but the ratio of the different species to one another </w:t>
      </w:r>
      <w:r w:rsidR="001C037C">
        <w:rPr>
          <w:rFonts w:eastAsia="Calibri"/>
          <w:noProof/>
          <w:sz w:val="22"/>
          <w:szCs w:val="22"/>
          <w:lang w:val="en-US" w:eastAsia="en-US"/>
        </w:rPr>
        <w:t>(Henderson</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2015)</w:t>
      </w:r>
      <w:r w:rsidR="00137F20">
        <w:rPr>
          <w:rFonts w:eastAsia="Calibri"/>
          <w:sz w:val="22"/>
          <w:szCs w:val="22"/>
          <w:lang w:val="en-US" w:eastAsia="en-US"/>
        </w:rPr>
        <w:t>.</w:t>
      </w:r>
    </w:p>
    <w:p w14:paraId="186CFB8F" w14:textId="77777777" w:rsidR="004D54E1" w:rsidRDefault="00842949" w:rsidP="00842949">
      <w:pPr>
        <w:spacing w:after="120"/>
        <w:rPr>
          <w:rFonts w:eastAsia="Calibri"/>
          <w:sz w:val="22"/>
          <w:szCs w:val="22"/>
          <w:lang w:val="en-US" w:eastAsia="en-US"/>
        </w:rPr>
      </w:pPr>
      <w:r w:rsidRPr="00842949">
        <w:rPr>
          <w:rFonts w:eastAsia="Calibri"/>
          <w:sz w:val="22"/>
          <w:szCs w:val="22"/>
          <w:lang w:val="en-US" w:eastAsia="en-US"/>
        </w:rPr>
        <w:t>Likewise, sustainable use</w:t>
      </w:r>
      <w:r w:rsidR="00C65E98">
        <w:rPr>
          <w:rFonts w:eastAsia="Calibri"/>
          <w:sz w:val="22"/>
          <w:szCs w:val="22"/>
          <w:lang w:val="en-US" w:eastAsia="en-US"/>
        </w:rPr>
        <w:t xml:space="preserve"> of GRFA</w:t>
      </w:r>
      <w:r w:rsidRPr="00842949">
        <w:rPr>
          <w:rFonts w:eastAsia="Calibri"/>
          <w:sz w:val="22"/>
          <w:szCs w:val="22"/>
          <w:lang w:val="en-US" w:eastAsia="en-US"/>
        </w:rPr>
        <w:t xml:space="preserve"> depends on maintaining sufficient genetic diversity to ensure that species or subspecies do not go extinct, that diseases and pests can be managed, and that the </w:t>
      </w:r>
      <w:r w:rsidRPr="00842949">
        <w:rPr>
          <w:rFonts w:eastAsia="Calibri"/>
          <w:sz w:val="22"/>
          <w:szCs w:val="22"/>
          <w:lang w:val="en-US" w:eastAsia="en-US"/>
        </w:rPr>
        <w:lastRenderedPageBreak/>
        <w:t>impact of wild and farmed populations on the environment can be mitigated.</w:t>
      </w:r>
      <w:r w:rsidR="004D54E1" w:rsidRPr="004D54E1">
        <w:rPr>
          <w:rFonts w:eastAsia="Calibri"/>
          <w:sz w:val="22"/>
          <w:szCs w:val="22"/>
          <w:lang w:val="en-US" w:eastAsia="en-US"/>
        </w:rPr>
        <w:t xml:space="preserve"> </w:t>
      </w:r>
      <w:r w:rsidR="004D54E1">
        <w:rPr>
          <w:rFonts w:eastAsia="Calibri"/>
          <w:sz w:val="22"/>
          <w:szCs w:val="22"/>
          <w:lang w:val="en-US" w:eastAsia="en-US"/>
        </w:rPr>
        <w:t xml:space="preserve">DSI is developed to track the movement of genes between domesticated and wild populations of GRFA. For example, movement </w:t>
      </w:r>
      <w:r w:rsidR="00347C01">
        <w:rPr>
          <w:rFonts w:eastAsia="Calibri"/>
          <w:sz w:val="22"/>
          <w:szCs w:val="22"/>
          <w:lang w:val="en-US" w:eastAsia="en-US"/>
        </w:rPr>
        <w:t>from domesticated to wild populations</w:t>
      </w:r>
      <w:r w:rsidR="004D54E1">
        <w:rPr>
          <w:rFonts w:eastAsia="Calibri"/>
          <w:sz w:val="22"/>
          <w:szCs w:val="22"/>
          <w:lang w:val="en-US" w:eastAsia="en-US"/>
        </w:rPr>
        <w:t xml:space="preserve"> might endanger small wild populations if it cause</w:t>
      </w:r>
      <w:r w:rsidR="00347C01">
        <w:rPr>
          <w:rFonts w:eastAsia="Calibri"/>
          <w:sz w:val="22"/>
          <w:szCs w:val="22"/>
          <w:lang w:val="en-US" w:eastAsia="en-US"/>
        </w:rPr>
        <w:t>d</w:t>
      </w:r>
      <w:r w:rsidR="004D54E1">
        <w:rPr>
          <w:rFonts w:eastAsia="Calibri"/>
          <w:sz w:val="22"/>
          <w:szCs w:val="22"/>
          <w:lang w:val="en-US" w:eastAsia="en-US"/>
        </w:rPr>
        <w:t xml:space="preserve"> outbreeding depression </w:t>
      </w:r>
      <w:r w:rsidR="001C037C">
        <w:rPr>
          <w:rFonts w:eastAsia="Calibri"/>
          <w:noProof/>
          <w:sz w:val="22"/>
          <w:szCs w:val="22"/>
          <w:lang w:val="en-US" w:eastAsia="en-US"/>
        </w:rPr>
        <w:t>(Lidder and Sonnino, 2011)</w:t>
      </w:r>
      <w:r w:rsidR="004D54E1">
        <w:rPr>
          <w:rFonts w:eastAsia="Calibri"/>
          <w:sz w:val="22"/>
          <w:szCs w:val="22"/>
          <w:lang w:val="en-US" w:eastAsia="en-US"/>
        </w:rPr>
        <w:t xml:space="preserve">. Monitoring gene flow is </w:t>
      </w:r>
      <w:r w:rsidR="002A4D11">
        <w:rPr>
          <w:rFonts w:eastAsia="Calibri"/>
          <w:sz w:val="22"/>
          <w:szCs w:val="22"/>
          <w:lang w:val="en-US" w:eastAsia="en-US"/>
        </w:rPr>
        <w:t xml:space="preserve">thus </w:t>
      </w:r>
      <w:r w:rsidR="004D54E1">
        <w:rPr>
          <w:rFonts w:eastAsia="Calibri"/>
          <w:sz w:val="22"/>
          <w:szCs w:val="22"/>
          <w:lang w:val="en-US" w:eastAsia="en-US"/>
        </w:rPr>
        <w:t>also important for conservation efforts.</w:t>
      </w:r>
    </w:p>
    <w:p w14:paraId="27FB48A2" w14:textId="77777777" w:rsidR="00C94EB9" w:rsidRDefault="00E0138C" w:rsidP="00842949">
      <w:pPr>
        <w:spacing w:after="120"/>
        <w:rPr>
          <w:rFonts w:eastAsia="Calibri"/>
          <w:sz w:val="22"/>
          <w:szCs w:val="22"/>
          <w:lang w:val="en-US" w:eastAsia="en-US"/>
        </w:rPr>
      </w:pPr>
      <w:r>
        <w:rPr>
          <w:rFonts w:eastAsia="Calibri"/>
          <w:sz w:val="22"/>
          <w:szCs w:val="22"/>
          <w:lang w:val="en-US" w:eastAsia="en-US"/>
        </w:rPr>
        <w:t xml:space="preserve">Sustainable use of GRFA also depends on environmental factors. For example, most crop plants require pollinators such as bees. Because of decreasing bee populations, use of commercially supplied species has been increasing in some places </w:t>
      </w:r>
      <w:r w:rsidR="001C037C">
        <w:rPr>
          <w:rFonts w:eastAsia="Calibri"/>
          <w:noProof/>
          <w:sz w:val="22"/>
          <w:szCs w:val="22"/>
          <w:lang w:val="en-US" w:eastAsia="en-US"/>
        </w:rPr>
        <w:t>(Suni</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Pr>
          <w:rFonts w:eastAsia="Calibri"/>
          <w:sz w:val="22"/>
          <w:szCs w:val="22"/>
          <w:lang w:val="en-US" w:eastAsia="en-US"/>
        </w:rPr>
        <w:t>.</w:t>
      </w:r>
      <w:r w:rsidR="00A545F8">
        <w:rPr>
          <w:rFonts w:eastAsia="Calibri"/>
          <w:sz w:val="22"/>
          <w:szCs w:val="22"/>
          <w:lang w:val="en-US" w:eastAsia="en-US"/>
        </w:rPr>
        <w:t xml:space="preserve"> DSI is being applied to measure effectiveness and impact of the releases of commercial bee supplementation </w:t>
      </w:r>
      <w:r w:rsidR="001C037C">
        <w:rPr>
          <w:rFonts w:eastAsia="Calibri"/>
          <w:noProof/>
          <w:sz w:val="22"/>
          <w:szCs w:val="22"/>
          <w:lang w:val="en-US" w:eastAsia="en-US"/>
        </w:rPr>
        <w:t>(Suni</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sidR="00C94EB9">
        <w:rPr>
          <w:rFonts w:eastAsia="Calibri"/>
          <w:sz w:val="22"/>
          <w:szCs w:val="22"/>
          <w:lang w:val="en-US" w:eastAsia="en-US"/>
        </w:rPr>
        <w:t>.</w:t>
      </w:r>
    </w:p>
    <w:p w14:paraId="6E1E44B8" w14:textId="77777777" w:rsidR="00842949" w:rsidRPr="00842949" w:rsidRDefault="00842949" w:rsidP="00842949">
      <w:pPr>
        <w:spacing w:after="120"/>
        <w:rPr>
          <w:rFonts w:eastAsia="Calibri"/>
          <w:sz w:val="22"/>
          <w:szCs w:val="22"/>
          <w:lang w:val="en-US" w:eastAsia="en-US"/>
        </w:rPr>
      </w:pPr>
      <w:r w:rsidRPr="00842949">
        <w:rPr>
          <w:rFonts w:eastAsia="Calibri"/>
          <w:sz w:val="22"/>
          <w:szCs w:val="22"/>
          <w:lang w:val="en-US" w:eastAsia="en-US"/>
        </w:rPr>
        <w:t xml:space="preserve">Furthermore, sustainable use has economic dimensions. Farmers need adequate returns from their products. Certification and traceability add value to agriculture by meeting consumer demands. DSI is used to meet certification and traceability standards, as well as to ensure </w:t>
      </w:r>
      <w:r w:rsidR="00137F20" w:rsidRPr="00842949">
        <w:rPr>
          <w:rFonts w:eastAsia="Calibri"/>
          <w:sz w:val="22"/>
          <w:szCs w:val="22"/>
          <w:lang w:val="en-US" w:eastAsia="en-US"/>
        </w:rPr>
        <w:t>compliance</w:t>
      </w:r>
      <w:r w:rsidRPr="00842949">
        <w:rPr>
          <w:rFonts w:eastAsia="Calibri"/>
          <w:sz w:val="22"/>
          <w:szCs w:val="22"/>
          <w:lang w:val="en-US" w:eastAsia="en-US"/>
        </w:rPr>
        <w:t xml:space="preserve"> with some food safety standards</w:t>
      </w:r>
      <w:r w:rsidR="001C037C">
        <w:rPr>
          <w:rFonts w:eastAsia="Calibri"/>
          <w:sz w:val="22"/>
          <w:szCs w:val="22"/>
          <w:lang w:val="en-US" w:eastAsia="en-US"/>
        </w:rPr>
        <w:t xml:space="preserve"> </w:t>
      </w:r>
      <w:r w:rsidR="001C037C">
        <w:rPr>
          <w:rFonts w:eastAsia="Calibri"/>
          <w:noProof/>
          <w:sz w:val="22"/>
          <w:szCs w:val="22"/>
          <w:lang w:val="en-US" w:eastAsia="en-US"/>
        </w:rPr>
        <w:t>(FAO, 2016)</w:t>
      </w:r>
      <w:r w:rsidRPr="00842949">
        <w:rPr>
          <w:rFonts w:eastAsia="Calibri"/>
          <w:sz w:val="22"/>
          <w:szCs w:val="22"/>
          <w:lang w:val="en-US" w:eastAsia="en-US"/>
        </w:rPr>
        <w:t>.</w:t>
      </w:r>
    </w:p>
    <w:p w14:paraId="1A3F26D4" w14:textId="77777777" w:rsidR="00A76F09" w:rsidRDefault="00842949" w:rsidP="00842949">
      <w:pPr>
        <w:spacing w:after="120"/>
        <w:rPr>
          <w:rFonts w:eastAsia="Calibri"/>
          <w:sz w:val="22"/>
          <w:szCs w:val="22"/>
          <w:lang w:val="en-US" w:eastAsia="en-US"/>
        </w:rPr>
      </w:pPr>
      <w:r w:rsidRPr="00842949">
        <w:rPr>
          <w:rFonts w:eastAsia="Calibri"/>
          <w:sz w:val="22"/>
          <w:szCs w:val="22"/>
          <w:lang w:val="en-US" w:eastAsia="en-US"/>
        </w:rPr>
        <w:t>DSI is used to identify and diagnose pests and disease (both genetic and infectious), but also to discover and design new pesticides and therapeutics, such as antibiotics and vaccines.</w:t>
      </w:r>
      <w:r w:rsidR="00A76F09">
        <w:rPr>
          <w:rFonts w:eastAsia="Calibri"/>
          <w:sz w:val="22"/>
          <w:szCs w:val="22"/>
          <w:lang w:val="en-US" w:eastAsia="en-US"/>
        </w:rPr>
        <w:t xml:space="preserve"> </w:t>
      </w:r>
    </w:p>
    <w:p w14:paraId="03C160B8" w14:textId="77777777" w:rsidR="00025D6C" w:rsidRPr="00E24026" w:rsidRDefault="00025D6C" w:rsidP="00842949">
      <w:pPr>
        <w:spacing w:after="120"/>
        <w:rPr>
          <w:rFonts w:eastAsia="Calibri"/>
          <w:sz w:val="22"/>
          <w:szCs w:val="22"/>
          <w:lang w:val="mi-NZ" w:eastAsia="en-US"/>
        </w:rPr>
      </w:pPr>
    </w:p>
    <w:p w14:paraId="2CA8342F" w14:textId="77777777" w:rsidR="00842949" w:rsidRPr="00A43161" w:rsidRDefault="00842949" w:rsidP="00F76BD2">
      <w:pPr>
        <w:pStyle w:val="TableEntry"/>
        <w:spacing w:before="120" w:after="120"/>
        <w:rPr>
          <w:sz w:val="24"/>
          <w:szCs w:val="24"/>
        </w:rPr>
      </w:pPr>
      <w:r w:rsidRPr="00A43161">
        <w:rPr>
          <w:sz w:val="24"/>
          <w:szCs w:val="24"/>
        </w:rPr>
        <w:t>Sequencing</w:t>
      </w:r>
    </w:p>
    <w:p w14:paraId="4BE6B189" w14:textId="77777777" w:rsidR="00A43161" w:rsidRPr="00A43161" w:rsidRDefault="00A43161" w:rsidP="00F76BD2">
      <w:pPr>
        <w:pStyle w:val="TableEntry"/>
        <w:spacing w:before="120" w:after="120"/>
      </w:pPr>
    </w:p>
    <w:p w14:paraId="6C35B307" w14:textId="77777777" w:rsidR="00842949" w:rsidRPr="00842949" w:rsidRDefault="00842949" w:rsidP="00842949">
      <w:pPr>
        <w:spacing w:after="120"/>
        <w:rPr>
          <w:rFonts w:eastAsia="Calibri"/>
          <w:sz w:val="22"/>
          <w:szCs w:val="22"/>
          <w:lang w:val="en-US" w:eastAsia="en-US"/>
        </w:rPr>
      </w:pPr>
      <w:r w:rsidRPr="00842949">
        <w:rPr>
          <w:rFonts w:eastAsia="Calibri"/>
          <w:sz w:val="22"/>
          <w:szCs w:val="22"/>
          <w:lang w:val="en-US" w:eastAsia="en-US"/>
        </w:rPr>
        <w:t>DSI is generated from organisms and ecosystems by extracting particular m</w:t>
      </w:r>
      <w:r w:rsidR="00C65E98">
        <w:rPr>
          <w:rFonts w:eastAsia="Calibri"/>
          <w:sz w:val="22"/>
          <w:szCs w:val="22"/>
          <w:lang w:val="en-US" w:eastAsia="en-US"/>
        </w:rPr>
        <w:t xml:space="preserve">olecules and where appropriate </w:t>
      </w:r>
      <w:r w:rsidR="002A4D11">
        <w:rPr>
          <w:rFonts w:eastAsia="Calibri"/>
          <w:sz w:val="22"/>
          <w:szCs w:val="22"/>
          <w:lang w:val="en-US" w:eastAsia="en-US"/>
        </w:rPr>
        <w:t>“</w:t>
      </w:r>
      <w:r w:rsidR="00C65E98">
        <w:rPr>
          <w:rFonts w:eastAsia="Calibri"/>
          <w:sz w:val="22"/>
          <w:szCs w:val="22"/>
          <w:lang w:val="en-US" w:eastAsia="en-US"/>
        </w:rPr>
        <w:t>sequencing</w:t>
      </w:r>
      <w:r w:rsidR="002A4D11">
        <w:rPr>
          <w:rFonts w:eastAsia="Calibri"/>
          <w:sz w:val="22"/>
          <w:szCs w:val="22"/>
          <w:lang w:val="en-US" w:eastAsia="en-US"/>
        </w:rPr>
        <w:t>”</w:t>
      </w:r>
      <w:r w:rsidRPr="00842949">
        <w:rPr>
          <w:rFonts w:eastAsia="Calibri"/>
          <w:sz w:val="22"/>
          <w:szCs w:val="22"/>
          <w:lang w:val="en-US" w:eastAsia="en-US"/>
        </w:rPr>
        <w:t xml:space="preserve"> them. For example in the case of DNA,</w:t>
      </w:r>
      <w:r w:rsidR="00C65E98">
        <w:rPr>
          <w:rFonts w:eastAsia="Calibri"/>
          <w:sz w:val="22"/>
          <w:szCs w:val="22"/>
          <w:lang w:val="en-US" w:eastAsia="en-US"/>
        </w:rPr>
        <w:t xml:space="preserve"> that is to</w:t>
      </w:r>
      <w:r w:rsidRPr="00842949">
        <w:rPr>
          <w:rFonts w:eastAsia="Calibri"/>
          <w:sz w:val="22"/>
          <w:szCs w:val="22"/>
          <w:lang w:val="en-US" w:eastAsia="en-US"/>
        </w:rPr>
        <w:t xml:space="preserve"> determin</w:t>
      </w:r>
      <w:r w:rsidR="00C65E98">
        <w:rPr>
          <w:rFonts w:eastAsia="Calibri"/>
          <w:sz w:val="22"/>
          <w:szCs w:val="22"/>
          <w:lang w:val="en-US" w:eastAsia="en-US"/>
        </w:rPr>
        <w:t>e</w:t>
      </w:r>
      <w:r w:rsidRPr="00842949">
        <w:rPr>
          <w:rFonts w:eastAsia="Calibri"/>
          <w:sz w:val="22"/>
          <w:szCs w:val="22"/>
          <w:lang w:val="en-US" w:eastAsia="en-US"/>
        </w:rPr>
        <w:t xml:space="preserve"> the order of subunits in the</w:t>
      </w:r>
      <w:r w:rsidR="00461BB8">
        <w:rPr>
          <w:rFonts w:eastAsia="Calibri"/>
          <w:sz w:val="22"/>
          <w:szCs w:val="22"/>
          <w:lang w:val="en-US" w:eastAsia="en-US"/>
        </w:rPr>
        <w:t xml:space="preserve"> molecule</w:t>
      </w:r>
      <w:r w:rsidR="00A52734">
        <w:rPr>
          <w:rFonts w:eastAsia="Calibri"/>
          <w:sz w:val="22"/>
          <w:szCs w:val="22"/>
          <w:lang w:val="en-US" w:eastAsia="en-US"/>
        </w:rPr>
        <w:t xml:space="preserve"> </w:t>
      </w:r>
      <w:r w:rsidR="001C037C">
        <w:rPr>
          <w:rFonts w:eastAsia="Calibri"/>
          <w:noProof/>
          <w:sz w:val="22"/>
          <w:szCs w:val="22"/>
          <w:lang w:val="en-US" w:eastAsia="en-US"/>
        </w:rPr>
        <w:t>(Oldham, 2009)</w:t>
      </w:r>
      <w:r w:rsidRPr="00842949">
        <w:rPr>
          <w:rFonts w:eastAsia="Calibri"/>
          <w:sz w:val="22"/>
          <w:szCs w:val="22"/>
          <w:lang w:val="en-US" w:eastAsia="en-US"/>
        </w:rPr>
        <w:t>. DNA is a polymer of nucleotides abbreviated as A, T, G and C. The actual sequence of these four subunits defines the individual molecule of DNA. Similarly, a protein is a polymer of amino acids (of which there are 20</w:t>
      </w:r>
      <w:r w:rsidR="00726ACE">
        <w:rPr>
          <w:rFonts w:eastAsia="Calibri"/>
          <w:sz w:val="22"/>
          <w:szCs w:val="22"/>
          <w:lang w:val="en-US" w:eastAsia="en-US"/>
        </w:rPr>
        <w:t xml:space="preserve"> differen</w:t>
      </w:r>
      <w:r w:rsidR="00A52734">
        <w:rPr>
          <w:rFonts w:eastAsia="Calibri"/>
          <w:sz w:val="22"/>
          <w:szCs w:val="22"/>
          <w:lang w:val="en-US" w:eastAsia="en-US"/>
        </w:rPr>
        <w:t>t</w:t>
      </w:r>
      <w:r w:rsidR="00726ACE">
        <w:rPr>
          <w:rFonts w:eastAsia="Calibri"/>
          <w:sz w:val="22"/>
          <w:szCs w:val="22"/>
          <w:lang w:val="en-US" w:eastAsia="en-US"/>
        </w:rPr>
        <w:t xml:space="preserve"> kinds</w:t>
      </w:r>
      <w:r w:rsidRPr="00842949">
        <w:rPr>
          <w:rFonts w:eastAsia="Calibri"/>
          <w:sz w:val="22"/>
          <w:szCs w:val="22"/>
          <w:lang w:val="en-US" w:eastAsia="en-US"/>
        </w:rPr>
        <w:t xml:space="preserve"> in use in most organisms). The actual sequence of the amino acids in a protein defines the individual protein molecule.</w:t>
      </w:r>
    </w:p>
    <w:p w14:paraId="632200B6" w14:textId="77777777" w:rsidR="00842949" w:rsidRPr="00842949" w:rsidRDefault="00842949" w:rsidP="00842949">
      <w:pPr>
        <w:spacing w:after="120"/>
        <w:rPr>
          <w:rFonts w:eastAsia="Calibri"/>
          <w:sz w:val="22"/>
          <w:szCs w:val="22"/>
          <w:lang w:eastAsia="en-US"/>
        </w:rPr>
      </w:pPr>
      <w:r w:rsidRPr="00842949">
        <w:rPr>
          <w:rFonts w:eastAsia="Calibri"/>
          <w:sz w:val="22"/>
          <w:szCs w:val="22"/>
          <w:lang w:eastAsia="en-US"/>
        </w:rPr>
        <w:t xml:space="preserve">Sequencing capacity has grown exponentially. As many as 2.5 million plant and animal species </w:t>
      </w:r>
      <w:r w:rsidR="00347C01">
        <w:rPr>
          <w:rFonts w:eastAsia="Calibri"/>
          <w:sz w:val="22"/>
          <w:szCs w:val="22"/>
          <w:lang w:eastAsia="en-US"/>
        </w:rPr>
        <w:t>may</w:t>
      </w:r>
      <w:r w:rsidR="00347C01" w:rsidRPr="00842949">
        <w:rPr>
          <w:rFonts w:eastAsia="Calibri"/>
          <w:sz w:val="22"/>
          <w:szCs w:val="22"/>
          <w:lang w:eastAsia="en-US"/>
        </w:rPr>
        <w:t xml:space="preserve"> </w:t>
      </w:r>
      <w:r w:rsidRPr="00842949">
        <w:rPr>
          <w:rFonts w:eastAsia="Calibri"/>
          <w:sz w:val="22"/>
          <w:szCs w:val="22"/>
          <w:lang w:eastAsia="en-US"/>
        </w:rPr>
        <w:t xml:space="preserve">have complete genome sequences, and between 100 million and 2 billion people </w:t>
      </w:r>
      <w:r w:rsidR="00347C01">
        <w:rPr>
          <w:rFonts w:eastAsia="Calibri"/>
          <w:sz w:val="22"/>
          <w:szCs w:val="22"/>
          <w:lang w:eastAsia="en-US"/>
        </w:rPr>
        <w:t>may</w:t>
      </w:r>
      <w:r w:rsidR="00347C01" w:rsidRPr="00842949">
        <w:rPr>
          <w:rFonts w:eastAsia="Calibri"/>
          <w:sz w:val="22"/>
          <w:szCs w:val="22"/>
          <w:lang w:eastAsia="en-US"/>
        </w:rPr>
        <w:t xml:space="preserve"> </w:t>
      </w:r>
      <w:r w:rsidRPr="00842949">
        <w:rPr>
          <w:rFonts w:eastAsia="Calibri"/>
          <w:sz w:val="22"/>
          <w:szCs w:val="22"/>
          <w:lang w:eastAsia="en-US"/>
        </w:rPr>
        <w:t xml:space="preserve">have their genomes sequenced, by 2025 </w:t>
      </w:r>
      <w:r w:rsidR="001C037C">
        <w:rPr>
          <w:rFonts w:eastAsia="Calibri"/>
          <w:noProof/>
          <w:sz w:val="22"/>
          <w:szCs w:val="22"/>
          <w:lang w:eastAsia="en-US"/>
        </w:rPr>
        <w:t>(Stephens</w:t>
      </w:r>
      <w:r w:rsidR="001C037C" w:rsidRPr="001C037C">
        <w:rPr>
          <w:rFonts w:eastAsia="Calibri"/>
          <w:i/>
          <w:noProof/>
          <w:sz w:val="22"/>
          <w:szCs w:val="22"/>
          <w:lang w:eastAsia="en-US"/>
        </w:rPr>
        <w:t xml:space="preserve"> et al.</w:t>
      </w:r>
      <w:r w:rsidR="001C037C">
        <w:rPr>
          <w:rFonts w:eastAsia="Calibri"/>
          <w:noProof/>
          <w:sz w:val="22"/>
          <w:szCs w:val="22"/>
          <w:lang w:eastAsia="en-US"/>
        </w:rPr>
        <w:t>, 2015)</w:t>
      </w:r>
      <w:r w:rsidRPr="00842949">
        <w:rPr>
          <w:rFonts w:eastAsia="Calibri"/>
          <w:sz w:val="22"/>
          <w:szCs w:val="22"/>
          <w:lang w:eastAsia="en-US"/>
        </w:rPr>
        <w:t xml:space="preserve">. The rate of growth in this capacity, already possibly doubling once every </w:t>
      </w:r>
      <w:r w:rsidR="002A4D11">
        <w:rPr>
          <w:rFonts w:eastAsia="Calibri"/>
          <w:sz w:val="22"/>
          <w:szCs w:val="22"/>
          <w:lang w:eastAsia="en-US"/>
        </w:rPr>
        <w:t>seven</w:t>
      </w:r>
      <w:r w:rsidR="002A4D11" w:rsidRPr="00842949">
        <w:rPr>
          <w:rFonts w:eastAsia="Calibri"/>
          <w:sz w:val="22"/>
          <w:szCs w:val="22"/>
          <w:lang w:eastAsia="en-US"/>
        </w:rPr>
        <w:t xml:space="preserve"> </w:t>
      </w:r>
      <w:r w:rsidRPr="00842949">
        <w:rPr>
          <w:rFonts w:eastAsia="Calibri"/>
          <w:sz w:val="22"/>
          <w:szCs w:val="22"/>
          <w:lang w:eastAsia="en-US"/>
        </w:rPr>
        <w:t xml:space="preserve">months, </w:t>
      </w:r>
      <w:r w:rsidR="00AE681F">
        <w:rPr>
          <w:rFonts w:eastAsia="Calibri"/>
          <w:sz w:val="22"/>
          <w:szCs w:val="22"/>
          <w:lang w:eastAsia="en-US"/>
        </w:rPr>
        <w:t>foreshadows</w:t>
      </w:r>
      <w:r w:rsidRPr="00842949">
        <w:rPr>
          <w:rFonts w:eastAsia="Calibri"/>
          <w:sz w:val="22"/>
          <w:szCs w:val="22"/>
          <w:lang w:eastAsia="en-US"/>
        </w:rPr>
        <w:t xml:space="preserve"> a future where all genomes may one day be described and variations in them recorded in near real time, globally.</w:t>
      </w:r>
    </w:p>
    <w:p w14:paraId="2A8238FC" w14:textId="77777777" w:rsidR="002A4D11" w:rsidRPr="00FF47EB" w:rsidRDefault="00842949" w:rsidP="003623E1">
      <w:pPr>
        <w:spacing w:after="120"/>
        <w:rPr>
          <w:rFonts w:eastAsia="Calibri"/>
          <w:sz w:val="22"/>
          <w:szCs w:val="22"/>
          <w:lang w:val="en-US" w:eastAsia="en-US"/>
        </w:rPr>
      </w:pPr>
      <w:r w:rsidRPr="00842949">
        <w:rPr>
          <w:rFonts w:eastAsia="Calibri"/>
          <w:sz w:val="22"/>
          <w:szCs w:val="22"/>
          <w:lang w:eastAsia="en-US"/>
        </w:rPr>
        <w:t xml:space="preserve">Sequencing capacity is also becoming more distributed. This is due to both a decrease in costs and </w:t>
      </w:r>
      <w:r w:rsidR="00D459C6" w:rsidRPr="00842949">
        <w:rPr>
          <w:rFonts w:eastAsia="Calibri"/>
          <w:sz w:val="22"/>
          <w:szCs w:val="22"/>
          <w:lang w:eastAsia="en-US"/>
        </w:rPr>
        <w:t>miniaturization</w:t>
      </w:r>
      <w:r w:rsidRPr="00842949">
        <w:rPr>
          <w:rFonts w:eastAsia="Calibri"/>
          <w:sz w:val="22"/>
          <w:szCs w:val="22"/>
          <w:lang w:eastAsia="en-US"/>
        </w:rPr>
        <w:t>.</w:t>
      </w:r>
      <w:r w:rsidR="00726ACE">
        <w:rPr>
          <w:rFonts w:eastAsia="Calibri"/>
          <w:sz w:val="22"/>
          <w:szCs w:val="22"/>
          <w:lang w:eastAsia="en-US"/>
        </w:rPr>
        <w:t xml:space="preserve"> </w:t>
      </w:r>
      <w:r w:rsidR="00726ACE">
        <w:rPr>
          <w:rFonts w:eastAsia="Calibri"/>
          <w:sz w:val="22"/>
          <w:szCs w:val="22"/>
          <w:lang w:val="en-US" w:eastAsia="en-US"/>
        </w:rPr>
        <w:t>D</w:t>
      </w:r>
      <w:r w:rsidRPr="00842949">
        <w:rPr>
          <w:rFonts w:eastAsia="Calibri"/>
          <w:sz w:val="22"/>
          <w:szCs w:val="22"/>
          <w:lang w:val="en-US" w:eastAsia="en-US"/>
        </w:rPr>
        <w:t>evices t</w:t>
      </w:r>
      <w:r w:rsidR="001F7464">
        <w:rPr>
          <w:rFonts w:eastAsia="Calibri"/>
          <w:sz w:val="22"/>
          <w:szCs w:val="22"/>
          <w:lang w:val="en-US" w:eastAsia="en-US"/>
        </w:rPr>
        <w:t>hat fit in the palm of a person’</w:t>
      </w:r>
      <w:r w:rsidRPr="00842949">
        <w:rPr>
          <w:rFonts w:eastAsia="Calibri"/>
          <w:sz w:val="22"/>
          <w:szCs w:val="22"/>
          <w:lang w:val="en-US" w:eastAsia="en-US"/>
        </w:rPr>
        <w:t xml:space="preserve">s hand and </w:t>
      </w:r>
      <w:r w:rsidR="003623E1">
        <w:rPr>
          <w:rFonts w:eastAsia="Calibri"/>
          <w:sz w:val="22"/>
          <w:szCs w:val="22"/>
          <w:lang w:val="en-US" w:eastAsia="en-US"/>
        </w:rPr>
        <w:t>that</w:t>
      </w:r>
      <w:r w:rsidRPr="00842949">
        <w:rPr>
          <w:rFonts w:eastAsia="Calibri"/>
          <w:sz w:val="22"/>
          <w:szCs w:val="22"/>
          <w:lang w:val="en-US" w:eastAsia="en-US"/>
        </w:rPr>
        <w:t xml:space="preserve"> plug into the USB port of a laptop are now available</w:t>
      </w:r>
      <w:r w:rsidR="00866F2E">
        <w:rPr>
          <w:rFonts w:eastAsia="Calibri"/>
          <w:sz w:val="22"/>
          <w:szCs w:val="22"/>
          <w:lang w:val="en-US" w:eastAsia="en-US"/>
        </w:rPr>
        <w:t xml:space="preserve"> </w:t>
      </w:r>
      <w:r w:rsidR="001C037C">
        <w:rPr>
          <w:rFonts w:eastAsia="Calibri"/>
          <w:noProof/>
          <w:sz w:val="22"/>
          <w:szCs w:val="22"/>
          <w:lang w:val="en-US" w:eastAsia="en-US"/>
        </w:rPr>
        <w:t>(Yong, 2016; Jain</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2018)</w:t>
      </w:r>
      <w:r w:rsidR="002A4D11">
        <w:rPr>
          <w:rFonts w:eastAsia="Calibri"/>
          <w:sz w:val="22"/>
          <w:szCs w:val="22"/>
          <w:lang w:val="en-US" w:eastAsia="en-US"/>
        </w:rPr>
        <w:t>)</w:t>
      </w:r>
      <w:r w:rsidRPr="00842949">
        <w:rPr>
          <w:rFonts w:eastAsia="Calibri"/>
          <w:sz w:val="22"/>
          <w:szCs w:val="22"/>
          <w:lang w:val="en-US" w:eastAsia="en-US"/>
        </w:rPr>
        <w:t xml:space="preserve">. Devices the size of a credit card, </w:t>
      </w:r>
      <w:r w:rsidR="002A4D11">
        <w:rPr>
          <w:rFonts w:eastAsia="Calibri"/>
          <w:sz w:val="22"/>
          <w:szCs w:val="22"/>
          <w:lang w:val="en-US" w:eastAsia="en-US"/>
        </w:rPr>
        <w:t>which</w:t>
      </w:r>
      <w:r w:rsidR="002A4D11" w:rsidRPr="00842949">
        <w:rPr>
          <w:rFonts w:eastAsia="Calibri"/>
          <w:sz w:val="22"/>
          <w:szCs w:val="22"/>
          <w:lang w:val="en-US" w:eastAsia="en-US"/>
        </w:rPr>
        <w:t xml:space="preserve"> </w:t>
      </w:r>
      <w:r w:rsidRPr="00842949">
        <w:rPr>
          <w:rFonts w:eastAsia="Calibri"/>
          <w:sz w:val="22"/>
          <w:szCs w:val="22"/>
          <w:lang w:val="en-US" w:eastAsia="en-US"/>
        </w:rPr>
        <w:t>can be used to sequence the DNA in saliva or blood samples, are being developed to diagnose the most common microbial pathogens in animal GRFA</w:t>
      </w:r>
      <w:r w:rsidR="00866F2E">
        <w:rPr>
          <w:rFonts w:eastAsia="Calibri"/>
          <w:sz w:val="22"/>
          <w:szCs w:val="22"/>
          <w:lang w:val="en-US" w:eastAsia="en-US"/>
        </w:rPr>
        <w:t xml:space="preserve"> </w:t>
      </w:r>
      <w:r w:rsidR="001C037C">
        <w:rPr>
          <w:rFonts w:eastAsia="Calibri"/>
          <w:noProof/>
          <w:sz w:val="22"/>
          <w:szCs w:val="22"/>
          <w:lang w:val="en-US" w:eastAsia="en-US"/>
        </w:rPr>
        <w:t>(Chen</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sidRPr="00842949">
        <w:rPr>
          <w:rFonts w:eastAsia="Calibri"/>
          <w:sz w:val="22"/>
          <w:szCs w:val="22"/>
          <w:lang w:val="en-US" w:eastAsia="en-US"/>
        </w:rPr>
        <w:t>. Coupling the card with the camera on a smartphone provides real time diagnostics for veterinarians and farmers. In principle, these tools could one day be used on</w:t>
      </w:r>
      <w:r w:rsidR="00347C01">
        <w:rPr>
          <w:rFonts w:eastAsia="Calibri"/>
          <w:sz w:val="22"/>
          <w:szCs w:val="22"/>
          <w:lang w:val="en-US" w:eastAsia="en-US"/>
        </w:rPr>
        <w:t xml:space="preserve"> plant and soil</w:t>
      </w:r>
      <w:r w:rsidRPr="00842949">
        <w:rPr>
          <w:rFonts w:eastAsia="Calibri"/>
          <w:sz w:val="22"/>
          <w:szCs w:val="22"/>
          <w:lang w:val="en-US" w:eastAsia="en-US"/>
        </w:rPr>
        <w:t xml:space="preserve"> samples.</w:t>
      </w:r>
    </w:p>
    <w:p w14:paraId="60D0E07B" w14:textId="77777777" w:rsidR="002A4D11" w:rsidRPr="00726ACE" w:rsidRDefault="002A4D11" w:rsidP="00842949">
      <w:pPr>
        <w:spacing w:after="120"/>
        <w:rPr>
          <w:rFonts w:eastAsia="Calibri"/>
          <w:sz w:val="22"/>
          <w:szCs w:val="22"/>
          <w:lang w:eastAsia="en-US"/>
        </w:rPr>
      </w:pPr>
    </w:p>
    <w:p w14:paraId="4840ACB8" w14:textId="77777777" w:rsidR="00842949" w:rsidRPr="00A43161" w:rsidRDefault="00842949" w:rsidP="00F76BD2">
      <w:pPr>
        <w:pStyle w:val="TableEntry"/>
        <w:spacing w:before="120" w:after="120"/>
        <w:rPr>
          <w:sz w:val="24"/>
          <w:szCs w:val="24"/>
        </w:rPr>
      </w:pPr>
      <w:r w:rsidRPr="00A43161">
        <w:rPr>
          <w:sz w:val="24"/>
          <w:szCs w:val="24"/>
        </w:rPr>
        <w:t>Reconstruction</w:t>
      </w:r>
    </w:p>
    <w:p w14:paraId="742EE71B" w14:textId="77777777" w:rsidR="00A43161" w:rsidRPr="00A43161" w:rsidRDefault="00A43161" w:rsidP="00F76BD2">
      <w:pPr>
        <w:pStyle w:val="TableEntry"/>
        <w:spacing w:before="120" w:after="120"/>
      </w:pPr>
    </w:p>
    <w:p w14:paraId="4664F5F6" w14:textId="77777777" w:rsidR="00842949" w:rsidRDefault="00842949" w:rsidP="00842949">
      <w:pPr>
        <w:spacing w:after="120"/>
        <w:rPr>
          <w:rFonts w:eastAsia="Calibri"/>
          <w:sz w:val="22"/>
          <w:szCs w:val="22"/>
          <w:lang w:val="en-US" w:eastAsia="en-US"/>
        </w:rPr>
      </w:pPr>
      <w:r w:rsidRPr="00842949">
        <w:rPr>
          <w:rFonts w:eastAsia="Calibri"/>
          <w:sz w:val="22"/>
          <w:szCs w:val="22"/>
          <w:lang w:val="en-US" w:eastAsia="en-US"/>
        </w:rPr>
        <w:t>Molecules can be synthesized directly using DSI. Synthesizing DNA or RNA molecules based on a particular desired sequence has been done since the early 1970s. However, those were very expensive molecules and also very small. It is now possible with great accuracy to synthesize gene</w:t>
      </w:r>
      <w:r w:rsidR="00347C01">
        <w:rPr>
          <w:rFonts w:eastAsia="Calibri"/>
          <w:sz w:val="22"/>
          <w:szCs w:val="22"/>
          <w:lang w:val="en-US" w:eastAsia="en-US"/>
        </w:rPr>
        <w:t>-</w:t>
      </w:r>
      <w:r w:rsidRPr="00842949">
        <w:rPr>
          <w:rFonts w:eastAsia="Calibri"/>
          <w:sz w:val="22"/>
          <w:szCs w:val="22"/>
          <w:lang w:val="en-US" w:eastAsia="en-US"/>
        </w:rPr>
        <w:t>sized DNA molecules (</w:t>
      </w:r>
      <w:r w:rsidR="00956291">
        <w:rPr>
          <w:rFonts w:eastAsia="Calibri"/>
          <w:sz w:val="22"/>
          <w:szCs w:val="22"/>
          <w:lang w:val="en-US" w:eastAsia="en-US"/>
        </w:rPr>
        <w:t xml:space="preserve">oligonucleotides of </w:t>
      </w:r>
      <w:r w:rsidRPr="00842949">
        <w:rPr>
          <w:rFonts w:eastAsia="Calibri"/>
          <w:sz w:val="22"/>
          <w:szCs w:val="22"/>
          <w:lang w:val="en-US" w:eastAsia="en-US"/>
        </w:rPr>
        <w:t>1</w:t>
      </w:r>
      <w:r w:rsidR="002A4D11">
        <w:rPr>
          <w:rFonts w:eastAsia="Calibri"/>
          <w:sz w:val="22"/>
          <w:szCs w:val="22"/>
          <w:lang w:val="en-US" w:eastAsia="en-US"/>
        </w:rPr>
        <w:t> </w:t>
      </w:r>
      <w:r w:rsidRPr="00842949">
        <w:rPr>
          <w:rFonts w:eastAsia="Calibri"/>
          <w:sz w:val="22"/>
          <w:szCs w:val="22"/>
          <w:lang w:val="en-US" w:eastAsia="en-US"/>
        </w:rPr>
        <w:t>000</w:t>
      </w:r>
      <w:r w:rsidR="00956291">
        <w:rPr>
          <w:rFonts w:eastAsia="Calibri"/>
          <w:sz w:val="22"/>
          <w:szCs w:val="22"/>
          <w:lang w:val="en-US" w:eastAsia="en-US"/>
        </w:rPr>
        <w:t xml:space="preserve"> and more</w:t>
      </w:r>
      <w:r w:rsidRPr="00842949">
        <w:rPr>
          <w:rFonts w:eastAsia="Calibri"/>
          <w:sz w:val="22"/>
          <w:szCs w:val="22"/>
          <w:lang w:val="en-US" w:eastAsia="en-US"/>
        </w:rPr>
        <w:t xml:space="preserve"> nucleotides) at a cost of about US</w:t>
      </w:r>
      <w:r w:rsidR="002A4D11">
        <w:rPr>
          <w:rFonts w:eastAsia="Calibri"/>
          <w:sz w:val="22"/>
          <w:szCs w:val="22"/>
          <w:lang w:val="en-US" w:eastAsia="en-US"/>
        </w:rPr>
        <w:t>D</w:t>
      </w:r>
      <w:r w:rsidRPr="00842949">
        <w:rPr>
          <w:rFonts w:eastAsia="Calibri"/>
          <w:sz w:val="22"/>
          <w:szCs w:val="22"/>
          <w:lang w:val="en-US" w:eastAsia="en-US"/>
        </w:rPr>
        <w:t xml:space="preserve">0.15 per base pair </w:t>
      </w:r>
      <w:r w:rsidR="001C037C">
        <w:rPr>
          <w:rFonts w:eastAsia="Calibri"/>
          <w:noProof/>
          <w:sz w:val="22"/>
          <w:szCs w:val="22"/>
          <w:lang w:val="en-US" w:eastAsia="en-US"/>
        </w:rPr>
        <w:t>(Petrone, 2016)</w:t>
      </w:r>
      <w:r w:rsidRPr="00842949">
        <w:rPr>
          <w:rFonts w:eastAsia="Calibri"/>
          <w:sz w:val="22"/>
          <w:szCs w:val="22"/>
          <w:lang w:val="en-US" w:eastAsia="en-US"/>
        </w:rPr>
        <w:t>.</w:t>
      </w:r>
      <w:r w:rsidR="00956291">
        <w:rPr>
          <w:rFonts w:eastAsia="Calibri"/>
          <w:sz w:val="22"/>
          <w:szCs w:val="22"/>
          <w:lang w:val="en-US" w:eastAsia="en-US"/>
        </w:rPr>
        <w:t xml:space="preserve"> The reconstruction of a genome is not limited by the size of molecule that is directly synthesized because the synthesized oligonucleotides can be “stitched” together to form larger molecules </w:t>
      </w:r>
      <w:r w:rsidR="001C037C">
        <w:rPr>
          <w:rFonts w:eastAsia="Calibri"/>
          <w:noProof/>
          <w:sz w:val="22"/>
          <w:szCs w:val="22"/>
          <w:lang w:val="en-US" w:eastAsia="en-US"/>
        </w:rPr>
        <w:t>(Richardson</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sidR="00956291">
        <w:rPr>
          <w:rFonts w:eastAsia="Calibri"/>
          <w:sz w:val="22"/>
          <w:szCs w:val="22"/>
          <w:lang w:val="en-US" w:eastAsia="en-US"/>
        </w:rPr>
        <w:t>.</w:t>
      </w:r>
    </w:p>
    <w:p w14:paraId="2A3CC1A6" w14:textId="77777777" w:rsidR="00267710" w:rsidRDefault="005B192F" w:rsidP="00D37E63">
      <w:pPr>
        <w:spacing w:after="120"/>
        <w:rPr>
          <w:rFonts w:eastAsia="Calibri"/>
          <w:sz w:val="22"/>
          <w:szCs w:val="22"/>
          <w:lang w:val="en-US" w:eastAsia="en-US"/>
        </w:rPr>
      </w:pPr>
      <w:r>
        <w:rPr>
          <w:rFonts w:eastAsia="Calibri"/>
          <w:noProof/>
          <w:sz w:val="22"/>
          <w:szCs w:val="22"/>
          <w:lang w:val="en-CA" w:eastAsia="en-CA"/>
        </w:rPr>
        <w:lastRenderedPageBreak/>
        <mc:AlternateContent>
          <mc:Choice Requires="wps">
            <w:drawing>
              <wp:anchor distT="114935" distB="114935" distL="114300" distR="114300" simplePos="0" relativeHeight="251691008" behindDoc="0" locked="0" layoutInCell="1" allowOverlap="1" wp14:anchorId="550C4555" wp14:editId="52CCAC4A">
                <wp:simplePos x="0" y="0"/>
                <wp:positionH relativeFrom="column">
                  <wp:posOffset>24130</wp:posOffset>
                </wp:positionH>
                <wp:positionV relativeFrom="paragraph">
                  <wp:posOffset>1259840</wp:posOffset>
                </wp:positionV>
                <wp:extent cx="5257800" cy="3086100"/>
                <wp:effectExtent l="0" t="0" r="25400" b="38100"/>
                <wp:wrapSquare wrapText="bothSides"/>
                <wp:docPr id="20" name="Text Box 20"/>
                <wp:cNvGraphicFramePr/>
                <a:graphic xmlns:a="http://schemas.openxmlformats.org/drawingml/2006/main">
                  <a:graphicData uri="http://schemas.microsoft.com/office/word/2010/wordprocessingShape">
                    <wps:wsp>
                      <wps:cNvSpPr txBox="1"/>
                      <wps:spPr>
                        <a:xfrm>
                          <a:off x="0" y="0"/>
                          <a:ext cx="5257800" cy="3086100"/>
                        </a:xfrm>
                        <a:prstGeom prst="rect">
                          <a:avLst/>
                        </a:prstGeom>
                        <a:noFill/>
                        <a:ln w="12700" cmpd="sng">
                          <a:solidFill>
                            <a:srgbClr val="000000"/>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D9B1ADE" w14:textId="77777777" w:rsidR="00F63D94" w:rsidRDefault="00F63D94" w:rsidP="009961D8">
                            <w:pPr>
                              <w:spacing w:after="120"/>
                              <w:rPr>
                                <w:sz w:val="22"/>
                              </w:rPr>
                            </w:pPr>
                            <w:r w:rsidRPr="00021DE7">
                              <w:rPr>
                                <w:sz w:val="22"/>
                              </w:rPr>
                              <w:t xml:space="preserve">Box </w:t>
                            </w:r>
                            <w:r>
                              <w:rPr>
                                <w:sz w:val="22"/>
                              </w:rPr>
                              <w:t>1. How is DSI used in a SNP chip?</w:t>
                            </w:r>
                          </w:p>
                          <w:p w14:paraId="4262A6EE" w14:textId="77777777" w:rsidR="00F63D94" w:rsidRPr="00E018C6" w:rsidRDefault="00F63D94" w:rsidP="00E018C6">
                            <w:pPr>
                              <w:pStyle w:val="TableEntry"/>
                              <w:keepNext/>
                              <w:spacing w:before="120" w:after="120"/>
                            </w:pPr>
                            <w:r>
                              <w:rPr>
                                <w:lang w:val="en-US"/>
                              </w:rPr>
                              <w:t xml:space="preserve">A SNP chip is usually made from glass plates upon which are attached many fragments (oligonucleotides) of DNA </w:t>
                            </w:r>
                            <w:r>
                              <w:fldChar w:fldCharType="begin"/>
                            </w:r>
                            <w:r>
                              <w:instrText xml:space="preserve"> ADDIN EN.CITE &lt;EndNote&gt;&lt;Cite&gt;&lt;Author&gt;Huang&lt;/Author&gt;&lt;Year&gt;2015&lt;/Year&gt;&lt;RecNum&gt;358&lt;/RecNum&gt;&lt;DisplayText&gt;(Huang&lt;style face="italic"&gt; et al.&lt;/style&gt;, 2015)&lt;/DisplayText&gt;&lt;record&gt;&lt;rec-number&gt;358&lt;/rec-number&gt;&lt;foreign-keys&gt;&lt;key app="EN" db-id="vav00vdrjedrwre5xsc5vxpsx0fp9arstrrf" timestamp="1537926600"&gt;358&lt;/key&gt;&lt;/foreign-keys&gt;&lt;ref-type name="Journal Article"&gt;17&lt;/ref-type&gt;&lt;contributors&gt;&lt;authors&gt;&lt;author&gt;Huang, Chao-Wei&lt;/author&gt;&lt;author&gt;Lin, Yu-Tsung&lt;/author&gt;&lt;author&gt;Ding, Shih-Torng&lt;/author&gt;&lt;author&gt;Lo, Ling-Ling&lt;/author&gt;&lt;author&gt;Wang, Pei-Hwa&lt;/author&gt;&lt;author&gt;Lin, En-Chung&lt;/author&gt;&lt;author&gt;Liu, Fang-Wei&lt;/author&gt;&lt;author&gt;Lu, Yen-Wen&lt;/author&gt;&lt;/authors&gt;&lt;/contributors&gt;&lt;titles&gt;&lt;title&gt;Efficient SNP discovery by combining microarray and lab-on-a-chip data for animal breeding and selection&lt;/title&gt;&lt;secondary-title&gt;Microarrays&lt;/secondary-title&gt;&lt;alt-title&gt;Microarray&lt;/alt-title&gt;&lt;/titles&gt;&lt;periodical&gt;&lt;full-title&gt;Microarrays&lt;/full-title&gt;&lt;abbr-1&gt;Microarray&lt;/abbr-1&gt;&lt;/periodical&gt;&lt;alt-periodical&gt;&lt;full-title&gt;Microarrays&lt;/full-title&gt;&lt;abbr-1&gt;Microarray&lt;/abbr-1&gt;&lt;/alt-periodical&gt;&lt;pages&gt;2076-3905&lt;/pages&gt;&lt;volume&gt;4&lt;/volume&gt;&lt;dates&gt;&lt;year&gt;2015&lt;/year&gt;&lt;/dates&gt;&lt;urls&gt;&lt;/urls&gt;&lt;/record&gt;&lt;/Cite&gt;&lt;/EndNote&gt;</w:instrText>
                            </w:r>
                            <w:r>
                              <w:fldChar w:fldCharType="separate"/>
                            </w:r>
                            <w:r>
                              <w:t>(Huang</w:t>
                            </w:r>
                            <w:r w:rsidRPr="001C037C">
                              <w:rPr>
                                <w:i/>
                              </w:rPr>
                              <w:t xml:space="preserve"> et al.</w:t>
                            </w:r>
                            <w:r>
                              <w:t>, 2015)</w:t>
                            </w:r>
                            <w:r>
                              <w:fldChar w:fldCharType="end"/>
                            </w:r>
                            <w:r>
                              <w:rPr>
                                <w:lang w:val="en-US"/>
                              </w:rPr>
                              <w:t>. High-density chips can have hundreds of thousands of different oligonucleotides, each associated with a different genetic marker. All of these oligonucleotide sequences and then molecules were synthesized from DSI.</w:t>
                            </w:r>
                          </w:p>
                          <w:p w14:paraId="5DAAC676" w14:textId="77777777" w:rsidR="00F63D94" w:rsidRDefault="00F63D94" w:rsidP="009961D8">
                            <w:pPr>
                              <w:spacing w:after="120"/>
                              <w:rPr>
                                <w:sz w:val="22"/>
                                <w:lang w:val="en-US"/>
                              </w:rPr>
                            </w:pPr>
                            <w:r>
                              <w:rPr>
                                <w:sz w:val="22"/>
                                <w:lang w:val="en-US"/>
                              </w:rPr>
                              <w:t>Genomic DNA from an organism is compared to the DNA on the chip to identify SNPs. Oligonucleotides corresponding to DNA sequences in genes of interest are synthesized. These oligonucleotides differ at one nucleotide, representing different SNPs. The DNA derived from the genome of an organism to be genotyped is applied to the chip. DNA sequences that are able to bind (called hybridize) are perfectly complementary to an oligonucleotide on the chip, as if they were two strands of a double-stranded DNA molecule.</w:t>
                            </w:r>
                          </w:p>
                          <w:p w14:paraId="7B8C7A13" w14:textId="77777777" w:rsidR="00F63D94" w:rsidRDefault="00F63D94" w:rsidP="009961D8">
                            <w:pPr>
                              <w:spacing w:after="120"/>
                              <w:rPr>
                                <w:sz w:val="22"/>
                                <w:lang w:val="en-US"/>
                              </w:rPr>
                            </w:pPr>
                            <w:r>
                              <w:rPr>
                                <w:sz w:val="22"/>
                                <w:lang w:val="en-US"/>
                              </w:rPr>
                              <w:t>The hybridization pattern on the chip is visible to sensitive electronic detectors, creating a digital profile of the SNPs in the genome being examined. Each marker is assigned a particular sequence in the genome being tested, based on the particular variable nucleotide that was represented at that place on the chip. That profile is converted into a DSI database of SNPs.</w:t>
                            </w:r>
                          </w:p>
                          <w:p w14:paraId="5734299B" w14:textId="77777777" w:rsidR="00F63D94" w:rsidRDefault="00F63D94" w:rsidP="00D37E63">
                            <w:pPr>
                              <w:spacing w:after="120"/>
                              <w:rPr>
                                <w:sz w:val="22"/>
                                <w:lang w:val="en-US"/>
                              </w:rPr>
                            </w:pPr>
                          </w:p>
                          <w:p w14:paraId="072CFF25" w14:textId="77777777" w:rsidR="00F63D94" w:rsidRDefault="00F63D94" w:rsidP="00D37E63">
                            <w:pPr>
                              <w:spacing w:after="120"/>
                              <w:rPr>
                                <w:sz w:val="22"/>
                                <w:lang w:val="en-US"/>
                              </w:rPr>
                            </w:pPr>
                          </w:p>
                          <w:p w14:paraId="6444EE21" w14:textId="77777777" w:rsidR="00F63D94" w:rsidRPr="008F003C" w:rsidRDefault="00F63D94" w:rsidP="00D37E63">
                            <w:pPr>
                              <w:spacing w:after="120"/>
                              <w:rPr>
                                <w:sz w:val="22"/>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0C4555" id="Text Box 20" o:spid="_x0000_s1032" type="#_x0000_t202" style="position:absolute;margin-left:1.9pt;margin-top:99.2pt;width:414pt;height:243pt;z-index:251691008;visibility:visible;mso-wrap-style:square;mso-height-percent:0;mso-wrap-distance-left:9pt;mso-wrap-distance-top:9.05pt;mso-wrap-distance-right:9pt;mso-wrap-distance-bottom:9.05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gy+yQIAAOsFAAAOAAAAZHJzL2Uyb0RvYy54bWysVFtv0zAUfkfiP1h575KW3rV0yjoVIU3b&#10;xIb27DpOG+HYxnbbFMR/57OTdGXwMkQf0uNzvnO/XF7VlSB7bmypZBr1L5KIcMlUXspNGn15WvWm&#10;EbGOypwKJXkaHbmNrhbv310e9JwP1FaJnBsCI9LODzqNts7peRxbtuUVtRdKcwlhoUxFHZ5mE+eG&#10;HmC9EvEgScbxQZlcG8W4teDeNMJoEewXBWfuvigsd0SkEWJz4WvCd+2/8eKSzjeG6m3J2jDoP0RR&#10;0VLC6cnUDXWU7Ez5h6mqZEZZVbgLpqpYFUXJeMgB2fSTV9k8bqnmIRcUx+pTmez/M8vu9g+GlHka&#10;DVAeSSv06InXjlyrmoCF+hy0nQP2qAF0Nfjoc8e3YPq068JU/h8JEchh6niqrrfGwBwNRpNpAhGD&#10;7EMyHffxgP34RV0b6z5yVRFPpJFB+0JV6f7WugbaQbw3qValEKGFQpID4hpMgoNKIyErN0HZKlHm&#10;HuhVrNmsl8KQPfUDEX5tDGcwRCSkR/MwQY1vvGoHMvCRUujuj+VoMsgmo1lvnI36vWE/mfayLBn0&#10;blZZkiXD1XI2vP7Zeuj0Y1/RpnKBckfBvVUhP/MCvQgFDMH6LeCncCljXLpQ+xAh0B5VILW3KLb4&#10;kEfI7y3KTUU6z0q6k3JVSmWagv8edv61C7lo8Gj5Wd6edPW6DkM47gZrrfIj5s2oZmOtZqsSM3FL&#10;rXugBiuKOcLZcff4FEKh96qlIrJV5vvf+B6PzYE0IgesPEbk244aHhHxSWKnZv3hEGZdeAzRWDzM&#10;uWR9LpG7aqkwRH0cOM0C6fFOdGRhVPWM65R5rxBRyeA7jVxHLl1ziHDdGM+yAMJV0NTdykfNvGnf&#10;JD/xT/UzNbpdC4dBulPdcaDzV9vRYL2mVNnOqaIMq+Pr3FS1rT8uSli+9vr5k3X+DqiXG734BQAA&#10;//8DAFBLAwQUAAYACAAAACEAB+bwZNwAAAAJAQAADwAAAGRycy9kb3ducmV2LnhtbEyPwU7DMBBE&#10;70j8g7VI3KjTJlQmxKkqUI4IEfgAJ97GEbEd2W6b/D3LCY4zs5p5Wx0WO7ELhjh6J2G7yYCh670e&#10;3SDh67N5EMBiUk6ryTuUsGKEQ317U6lS+6v7wEubBkYlLpZKgklpLjmPvUGr4sbP6Cg7+WBVIhkG&#10;roO6Urmd+C7L9tyq0dGCUTO+GOy/27OVsOxW0+S+fz0WrVlP76Jr3h6DlPd3y/EZWMIl/R3DLz6h&#10;Q01MnT87HdkkISfwRPaTKIBRLvItOZ2EvSgK4HXF/39Q/wAAAP//AwBQSwECLQAUAAYACAAAACEA&#10;toM4kv4AAADhAQAAEwAAAAAAAAAAAAAAAAAAAAAAW0NvbnRlbnRfVHlwZXNdLnhtbFBLAQItABQA&#10;BgAIAAAAIQA4/SH/1gAAAJQBAAALAAAAAAAAAAAAAAAAAC8BAABfcmVscy8ucmVsc1BLAQItABQA&#10;BgAIAAAAIQAXTgy+yQIAAOsFAAAOAAAAAAAAAAAAAAAAAC4CAABkcnMvZTJvRG9jLnhtbFBLAQIt&#10;ABQABgAIAAAAIQAH5vBk3AAAAAkBAAAPAAAAAAAAAAAAAAAAACMFAABkcnMvZG93bnJldi54bWxQ&#10;SwUGAAAAAAQABADzAAAALAYAAAAA&#10;" filled="f" strokeweight="1pt">
                <v:textbox>
                  <w:txbxContent>
                    <w:p w14:paraId="7D9B1ADE" w14:textId="77777777" w:rsidR="00F63D94" w:rsidRDefault="00F63D94" w:rsidP="009961D8">
                      <w:pPr>
                        <w:spacing w:after="120"/>
                        <w:rPr>
                          <w:sz w:val="22"/>
                        </w:rPr>
                      </w:pPr>
                      <w:r w:rsidRPr="00021DE7">
                        <w:rPr>
                          <w:sz w:val="22"/>
                        </w:rPr>
                        <w:t xml:space="preserve">Box </w:t>
                      </w:r>
                      <w:r>
                        <w:rPr>
                          <w:sz w:val="22"/>
                        </w:rPr>
                        <w:t>1. How is DSI used in a SNP chip?</w:t>
                      </w:r>
                    </w:p>
                    <w:p w14:paraId="4262A6EE" w14:textId="77777777" w:rsidR="00F63D94" w:rsidRPr="00E018C6" w:rsidRDefault="00F63D94" w:rsidP="00E018C6">
                      <w:pPr>
                        <w:pStyle w:val="TableEntry"/>
                        <w:keepNext/>
                        <w:spacing w:before="120" w:after="120"/>
                      </w:pPr>
                      <w:r>
                        <w:rPr>
                          <w:lang w:val="en-US"/>
                        </w:rPr>
                        <w:t xml:space="preserve">A SNP chip is usually made from glass plates upon which are attached many fragments (oligonucleotides) of DNA </w:t>
                      </w:r>
                      <w:r>
                        <w:fldChar w:fldCharType="begin"/>
                      </w:r>
                      <w:r>
                        <w:instrText xml:space="preserve"> ADDIN EN.CITE &lt;EndNote&gt;&lt;Cite&gt;&lt;Author&gt;Huang&lt;/Author&gt;&lt;Year&gt;2015&lt;/Year&gt;&lt;RecNum&gt;358&lt;/RecNum&gt;&lt;DisplayText&gt;(Huang&lt;style face="italic"&gt; et al.&lt;/style&gt;, 2015)&lt;/DisplayText&gt;&lt;record&gt;&lt;rec-number&gt;358&lt;/rec-number&gt;&lt;foreign-keys&gt;&lt;key app="EN" db-id="vav00vdrjedrwre5xsc5vxpsx0fp9arstrrf" timestamp="1537926600"&gt;358&lt;/key&gt;&lt;/foreign-keys&gt;&lt;ref-type name="Journal Article"&gt;17&lt;/ref-type&gt;&lt;contributors&gt;&lt;authors&gt;&lt;author&gt;Huang, Chao-Wei&lt;/author&gt;&lt;author&gt;Lin, Yu-Tsung&lt;/author&gt;&lt;author&gt;Ding, Shih-Torng&lt;/author&gt;&lt;author&gt;Lo, Ling-Ling&lt;/author&gt;&lt;author&gt;Wang, Pei-Hwa&lt;/author&gt;&lt;author&gt;Lin, En-Chung&lt;/author&gt;&lt;author&gt;Liu, Fang-Wei&lt;/author&gt;&lt;author&gt;Lu, Yen-Wen&lt;/author&gt;&lt;/authors&gt;&lt;/contributors&gt;&lt;titles&gt;&lt;title&gt;Efficient SNP discovery by combining microarray and lab-on-a-chip data for animal breeding and selection&lt;/title&gt;&lt;secondary-title&gt;Microarrays&lt;/secondary-title&gt;&lt;alt-title&gt;Microarray&lt;/alt-title&gt;&lt;/titles&gt;&lt;periodical&gt;&lt;full-title&gt;Microarrays&lt;/full-title&gt;&lt;abbr-1&gt;Microarray&lt;/abbr-1&gt;&lt;/periodical&gt;&lt;alt-periodical&gt;&lt;full-title&gt;Microarrays&lt;/full-title&gt;&lt;abbr-1&gt;Microarray&lt;/abbr-1&gt;&lt;/alt-periodical&gt;&lt;pages&gt;2076-3905&lt;/pages&gt;&lt;volume&gt;4&lt;/volume&gt;&lt;dates&gt;&lt;year&gt;2015&lt;/year&gt;&lt;/dates&gt;&lt;urls&gt;&lt;/urls&gt;&lt;/record&gt;&lt;/Cite&gt;&lt;/EndNote&gt;</w:instrText>
                      </w:r>
                      <w:r>
                        <w:fldChar w:fldCharType="separate"/>
                      </w:r>
                      <w:r>
                        <w:t>(Huang</w:t>
                      </w:r>
                      <w:r w:rsidRPr="001C037C">
                        <w:rPr>
                          <w:i/>
                        </w:rPr>
                        <w:t xml:space="preserve"> et al.</w:t>
                      </w:r>
                      <w:r>
                        <w:t>, 2015)</w:t>
                      </w:r>
                      <w:r>
                        <w:fldChar w:fldCharType="end"/>
                      </w:r>
                      <w:r>
                        <w:rPr>
                          <w:lang w:val="en-US"/>
                        </w:rPr>
                        <w:t>. High-density chips can have hundreds of thousands of different oligonucleotides, each associated with a different genetic marker. All of these oligonucleotide sequences and then molecules were synthesized from DSI.</w:t>
                      </w:r>
                    </w:p>
                    <w:p w14:paraId="5DAAC676" w14:textId="77777777" w:rsidR="00F63D94" w:rsidRDefault="00F63D94" w:rsidP="009961D8">
                      <w:pPr>
                        <w:spacing w:after="120"/>
                        <w:rPr>
                          <w:sz w:val="22"/>
                          <w:lang w:val="en-US"/>
                        </w:rPr>
                      </w:pPr>
                      <w:r>
                        <w:rPr>
                          <w:sz w:val="22"/>
                          <w:lang w:val="en-US"/>
                        </w:rPr>
                        <w:t>Genomic DNA from an organism is compared to the DNA on the chip to identify SNPs. Oligonucleotides corresponding to DNA sequences in genes of interest are synthesized. These oligonucleotides differ at one nucleotide, representing different SNPs. The DNA derived from the genome of an organism to be genotyped is applied to the chip. DNA sequences that are able to bind (called hybridize) are perfectly complementary to an oligonucleotide on the chip, as if they were two strands of a double-stranded DNA molecule.</w:t>
                      </w:r>
                    </w:p>
                    <w:p w14:paraId="7B8C7A13" w14:textId="77777777" w:rsidR="00F63D94" w:rsidRDefault="00F63D94" w:rsidP="009961D8">
                      <w:pPr>
                        <w:spacing w:after="120"/>
                        <w:rPr>
                          <w:sz w:val="22"/>
                          <w:lang w:val="en-US"/>
                        </w:rPr>
                      </w:pPr>
                      <w:r>
                        <w:rPr>
                          <w:sz w:val="22"/>
                          <w:lang w:val="en-US"/>
                        </w:rPr>
                        <w:t>The hybridization pattern on the chip is visible to sensitive electronic detectors, creating a digital profile of the SNPs in the genome being examined. Each marker is assigned a particular sequence in the genome being tested, based on the particular variable nucleotide that was represented at that place on the chip. That profile is converted into a DSI database of SNPs.</w:t>
                      </w:r>
                    </w:p>
                    <w:p w14:paraId="5734299B" w14:textId="77777777" w:rsidR="00F63D94" w:rsidRDefault="00F63D94" w:rsidP="00D37E63">
                      <w:pPr>
                        <w:spacing w:after="120"/>
                        <w:rPr>
                          <w:sz w:val="22"/>
                          <w:lang w:val="en-US"/>
                        </w:rPr>
                      </w:pPr>
                    </w:p>
                    <w:p w14:paraId="072CFF25" w14:textId="77777777" w:rsidR="00F63D94" w:rsidRDefault="00F63D94" w:rsidP="00D37E63">
                      <w:pPr>
                        <w:spacing w:after="120"/>
                        <w:rPr>
                          <w:sz w:val="22"/>
                          <w:lang w:val="en-US"/>
                        </w:rPr>
                      </w:pPr>
                    </w:p>
                    <w:p w14:paraId="6444EE21" w14:textId="77777777" w:rsidR="00F63D94" w:rsidRPr="008F003C" w:rsidRDefault="00F63D94" w:rsidP="00D37E63">
                      <w:pPr>
                        <w:spacing w:after="120"/>
                        <w:rPr>
                          <w:sz w:val="22"/>
                          <w:lang w:val="en-US"/>
                        </w:rPr>
                      </w:pPr>
                    </w:p>
                  </w:txbxContent>
                </v:textbox>
                <w10:wrap type="square"/>
              </v:shape>
            </w:pict>
          </mc:Fallback>
        </mc:AlternateContent>
      </w:r>
      <w:r w:rsidR="00D37E63">
        <w:rPr>
          <w:rFonts w:eastAsia="Calibri"/>
          <w:sz w:val="22"/>
          <w:szCs w:val="22"/>
          <w:lang w:val="en-US" w:eastAsia="en-US"/>
        </w:rPr>
        <w:t>Both sequencing and reconstruction</w:t>
      </w:r>
      <w:r w:rsidR="006E121F">
        <w:rPr>
          <w:rFonts w:eastAsia="Calibri"/>
          <w:sz w:val="22"/>
          <w:szCs w:val="22"/>
          <w:lang w:val="en-US" w:eastAsia="en-US"/>
        </w:rPr>
        <w:t xml:space="preserve"> contribute to food security and nutrition through use</w:t>
      </w:r>
      <w:r w:rsidR="00D37E63">
        <w:rPr>
          <w:rFonts w:eastAsia="Calibri"/>
          <w:sz w:val="22"/>
          <w:szCs w:val="22"/>
          <w:lang w:val="en-US" w:eastAsia="en-US"/>
        </w:rPr>
        <w:t xml:space="preserve"> in modern </w:t>
      </w:r>
      <w:r w:rsidR="007D291D">
        <w:rPr>
          <w:rFonts w:eastAsia="Calibri"/>
          <w:sz w:val="22"/>
          <w:szCs w:val="22"/>
          <w:lang w:val="en-US" w:eastAsia="en-US"/>
        </w:rPr>
        <w:t>breeding program</w:t>
      </w:r>
      <w:r w:rsidR="0096786F">
        <w:rPr>
          <w:rFonts w:eastAsia="Calibri"/>
          <w:sz w:val="22"/>
          <w:szCs w:val="22"/>
          <w:lang w:val="en-US" w:eastAsia="en-US"/>
        </w:rPr>
        <w:t>me</w:t>
      </w:r>
      <w:r w:rsidR="007D291D">
        <w:rPr>
          <w:rFonts w:eastAsia="Calibri"/>
          <w:sz w:val="22"/>
          <w:szCs w:val="22"/>
          <w:lang w:val="en-US" w:eastAsia="en-US"/>
        </w:rPr>
        <w:t>s. An example is</w:t>
      </w:r>
      <w:r w:rsidR="00D37E63">
        <w:rPr>
          <w:rFonts w:eastAsia="Calibri"/>
          <w:sz w:val="22"/>
          <w:szCs w:val="22"/>
          <w:lang w:val="en-US" w:eastAsia="en-US"/>
        </w:rPr>
        <w:t xml:space="preserve"> the use of</w:t>
      </w:r>
      <w:r w:rsidR="00A4104E">
        <w:rPr>
          <w:rFonts w:eastAsia="Calibri"/>
          <w:sz w:val="22"/>
          <w:szCs w:val="22"/>
          <w:lang w:val="en-US" w:eastAsia="en-US"/>
        </w:rPr>
        <w:t xml:space="preserve"> DSI in</w:t>
      </w:r>
      <w:r w:rsidR="00347C01">
        <w:rPr>
          <w:rFonts w:eastAsia="Calibri"/>
          <w:sz w:val="22"/>
          <w:szCs w:val="22"/>
          <w:lang w:val="en-US" w:eastAsia="en-US"/>
        </w:rPr>
        <w:t xml:space="preserve"> </w:t>
      </w:r>
      <w:r w:rsidR="007D291D">
        <w:rPr>
          <w:rFonts w:eastAsia="Calibri"/>
          <w:sz w:val="22"/>
          <w:szCs w:val="22"/>
          <w:lang w:val="en-US" w:eastAsia="en-US"/>
        </w:rPr>
        <w:t>MAS</w:t>
      </w:r>
      <w:r w:rsidR="00ED406C">
        <w:rPr>
          <w:rFonts w:eastAsia="Calibri"/>
          <w:sz w:val="22"/>
          <w:szCs w:val="22"/>
          <w:lang w:val="en-US" w:eastAsia="en-US"/>
        </w:rPr>
        <w:t xml:space="preserve"> </w:t>
      </w:r>
      <w:r w:rsidR="007D291D">
        <w:rPr>
          <w:rFonts w:eastAsia="Calibri"/>
          <w:sz w:val="22"/>
          <w:szCs w:val="22"/>
          <w:lang w:val="en-US" w:eastAsia="en-US"/>
        </w:rPr>
        <w:t>applied through</w:t>
      </w:r>
      <w:r w:rsidR="00A4104E">
        <w:rPr>
          <w:rFonts w:eastAsia="Calibri"/>
          <w:sz w:val="22"/>
          <w:szCs w:val="22"/>
          <w:lang w:val="en-US" w:eastAsia="en-US"/>
        </w:rPr>
        <w:t xml:space="preserve"> SNP</w:t>
      </w:r>
      <w:r w:rsidR="00267710">
        <w:rPr>
          <w:rFonts w:eastAsia="Calibri"/>
          <w:sz w:val="22"/>
          <w:szCs w:val="22"/>
          <w:lang w:val="en-US" w:eastAsia="en-US"/>
        </w:rPr>
        <w:t xml:space="preserve"> (pronounced “snip”)</w:t>
      </w:r>
      <w:r w:rsidR="00F13B61">
        <w:rPr>
          <w:rFonts w:eastAsia="Calibri"/>
          <w:sz w:val="22"/>
          <w:szCs w:val="22"/>
          <w:lang w:val="en-US" w:eastAsia="en-US"/>
        </w:rPr>
        <w:t xml:space="preserve"> chips (Box 1</w:t>
      </w:r>
      <w:r w:rsidR="00D37E63">
        <w:rPr>
          <w:rFonts w:eastAsia="Calibri"/>
          <w:sz w:val="22"/>
          <w:szCs w:val="22"/>
          <w:lang w:val="en-US" w:eastAsia="en-US"/>
        </w:rPr>
        <w:t>).</w:t>
      </w:r>
      <w:r w:rsidR="00D37E63">
        <w:rPr>
          <w:rStyle w:val="FootnoteReference"/>
          <w:rFonts w:eastAsia="Calibri"/>
          <w:lang w:val="en-US" w:eastAsia="en-US"/>
        </w:rPr>
        <w:footnoteReference w:id="13"/>
      </w:r>
      <w:r w:rsidR="00D37E63">
        <w:rPr>
          <w:rFonts w:eastAsia="Calibri"/>
          <w:sz w:val="22"/>
          <w:szCs w:val="22"/>
          <w:lang w:val="en-US" w:eastAsia="en-US"/>
        </w:rPr>
        <w:t xml:space="preserve"> </w:t>
      </w:r>
      <w:r w:rsidR="00267710">
        <w:rPr>
          <w:rFonts w:eastAsia="Calibri"/>
          <w:sz w:val="22"/>
          <w:szCs w:val="22"/>
          <w:lang w:val="en-US" w:eastAsia="en-US"/>
        </w:rPr>
        <w:t xml:space="preserve">For </w:t>
      </w:r>
      <w:r w:rsidR="00347C01">
        <w:rPr>
          <w:rFonts w:eastAsia="Calibri"/>
          <w:sz w:val="22"/>
          <w:szCs w:val="22"/>
          <w:lang w:val="en-US" w:eastAsia="en-US"/>
        </w:rPr>
        <w:t>MAS</w:t>
      </w:r>
      <w:r w:rsidR="00267710">
        <w:rPr>
          <w:rFonts w:eastAsia="Calibri"/>
          <w:sz w:val="22"/>
          <w:szCs w:val="22"/>
          <w:lang w:val="en-US" w:eastAsia="en-US"/>
        </w:rPr>
        <w:t>, DSI in the form of SNP databases can be used to screen germplasm to concentrate genetic material with a high frequency of desired genotypes (</w:t>
      </w:r>
      <w:r w:rsidR="006032CE">
        <w:rPr>
          <w:rFonts w:eastAsia="Calibri"/>
          <w:sz w:val="22"/>
          <w:szCs w:val="22"/>
          <w:lang w:val="en-US" w:eastAsia="en-US"/>
        </w:rPr>
        <w:t>“</w:t>
      </w:r>
      <w:r w:rsidR="00267710">
        <w:rPr>
          <w:rFonts w:eastAsia="Calibri"/>
          <w:sz w:val="22"/>
          <w:szCs w:val="22"/>
          <w:lang w:val="en-US" w:eastAsia="en-US"/>
        </w:rPr>
        <w:t>phenotype to genotype</w:t>
      </w:r>
      <w:r w:rsidR="006032CE">
        <w:rPr>
          <w:rFonts w:eastAsia="Calibri"/>
          <w:sz w:val="22"/>
          <w:szCs w:val="22"/>
          <w:lang w:val="en-US" w:eastAsia="en-US"/>
        </w:rPr>
        <w:t>”</w:t>
      </w:r>
      <w:r w:rsidR="00267710">
        <w:rPr>
          <w:rFonts w:eastAsia="Calibri"/>
          <w:sz w:val="22"/>
          <w:szCs w:val="22"/>
          <w:lang w:val="en-US" w:eastAsia="en-US"/>
        </w:rPr>
        <w:t>)</w:t>
      </w:r>
      <w:r w:rsidR="006032CE">
        <w:rPr>
          <w:rFonts w:eastAsia="Calibri"/>
          <w:sz w:val="22"/>
          <w:szCs w:val="22"/>
          <w:lang w:val="en-US" w:eastAsia="en-US"/>
        </w:rPr>
        <w:t>.</w:t>
      </w:r>
      <w:r w:rsidR="0041377F">
        <w:rPr>
          <w:rStyle w:val="FootnoteReference"/>
          <w:rFonts w:eastAsia="Calibri"/>
          <w:lang w:val="en-US" w:eastAsia="en-US"/>
        </w:rPr>
        <w:footnoteReference w:id="14"/>
      </w:r>
      <w:r w:rsidR="00267710">
        <w:rPr>
          <w:rFonts w:eastAsia="Calibri"/>
          <w:sz w:val="22"/>
          <w:szCs w:val="22"/>
          <w:lang w:val="en-US" w:eastAsia="en-US"/>
        </w:rPr>
        <w:t xml:space="preserve"> Screened and selected stocks are preferentially used in breeding </w:t>
      </w:r>
      <w:r w:rsidR="001C037C">
        <w:rPr>
          <w:rFonts w:eastAsia="Calibri"/>
          <w:noProof/>
          <w:sz w:val="22"/>
          <w:szCs w:val="22"/>
          <w:lang w:val="en-US" w:eastAsia="en-US"/>
        </w:rPr>
        <w:t>(Weller</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sidR="00267710">
        <w:rPr>
          <w:rFonts w:eastAsia="Calibri"/>
          <w:sz w:val="22"/>
          <w:szCs w:val="22"/>
          <w:lang w:val="en-US" w:eastAsia="en-US"/>
        </w:rPr>
        <w:t>.</w:t>
      </w:r>
    </w:p>
    <w:p w14:paraId="77DDCAA1" w14:textId="77777777" w:rsidR="00D37E63" w:rsidRDefault="00D37E63" w:rsidP="003623E1">
      <w:pPr>
        <w:spacing w:after="120"/>
        <w:rPr>
          <w:rFonts w:eastAsia="Calibri"/>
          <w:bCs/>
          <w:sz w:val="22"/>
          <w:szCs w:val="22"/>
          <w:lang w:val="mi-NZ" w:eastAsia="en-US"/>
        </w:rPr>
      </w:pPr>
      <w:r>
        <w:rPr>
          <w:rFonts w:eastAsia="Calibri"/>
          <w:sz w:val="22"/>
          <w:szCs w:val="22"/>
          <w:lang w:val="en-US" w:eastAsia="en-US"/>
        </w:rPr>
        <w:t xml:space="preserve">SNP information is among the kinds of genotype and phenotype information that </w:t>
      </w:r>
      <w:r w:rsidR="003623E1">
        <w:rPr>
          <w:rFonts w:eastAsia="Calibri"/>
          <w:sz w:val="22"/>
          <w:szCs w:val="22"/>
          <w:lang w:val="en-US" w:eastAsia="en-US"/>
        </w:rPr>
        <w:t>are</w:t>
      </w:r>
      <w:r>
        <w:rPr>
          <w:rFonts w:eastAsia="Calibri"/>
          <w:sz w:val="22"/>
          <w:szCs w:val="22"/>
          <w:lang w:val="en-US" w:eastAsia="en-US"/>
        </w:rPr>
        <w:t xml:space="preserve"> held by databases. SNPs are a type of molecular marker. Among others that are in use to varying degrees include RFLP (restriction fragment length polymorphisms), RAPD (</w:t>
      </w:r>
      <w:r>
        <w:rPr>
          <w:rFonts w:eastAsia="Calibri"/>
          <w:bCs/>
          <w:sz w:val="22"/>
          <w:szCs w:val="22"/>
          <w:lang w:val="mi-NZ" w:eastAsia="en-US"/>
        </w:rPr>
        <w:t>random a</w:t>
      </w:r>
      <w:r w:rsidRPr="00BF7E67">
        <w:rPr>
          <w:rFonts w:eastAsia="Calibri"/>
          <w:bCs/>
          <w:sz w:val="22"/>
          <w:szCs w:val="22"/>
          <w:lang w:val="mi-NZ" w:eastAsia="en-US"/>
        </w:rPr>
        <w:t>mpli</w:t>
      </w:r>
      <w:r>
        <w:rPr>
          <w:rFonts w:eastAsia="Calibri"/>
          <w:bCs/>
          <w:sz w:val="22"/>
          <w:szCs w:val="22"/>
          <w:lang w:val="mi-NZ" w:eastAsia="en-US"/>
        </w:rPr>
        <w:t>fication of p</w:t>
      </w:r>
      <w:r w:rsidRPr="00BF7E67">
        <w:rPr>
          <w:rFonts w:eastAsia="Calibri"/>
          <w:bCs/>
          <w:sz w:val="22"/>
          <w:szCs w:val="22"/>
          <w:lang w:val="mi-NZ" w:eastAsia="en-US"/>
        </w:rPr>
        <w:t>olymorphic DNA</w:t>
      </w:r>
      <w:r>
        <w:rPr>
          <w:rFonts w:eastAsia="Calibri"/>
          <w:bCs/>
          <w:sz w:val="22"/>
          <w:szCs w:val="22"/>
          <w:lang w:val="mi-NZ" w:eastAsia="en-US"/>
        </w:rPr>
        <w:t xml:space="preserve">), AFLP (amplified fragment length polymorphisms) </w:t>
      </w:r>
      <w:r w:rsidR="001C037C">
        <w:rPr>
          <w:rFonts w:eastAsia="Calibri"/>
          <w:bCs/>
          <w:noProof/>
          <w:sz w:val="22"/>
          <w:szCs w:val="22"/>
          <w:lang w:val="mi-NZ" w:eastAsia="en-US"/>
        </w:rPr>
        <w:t>(for a review, see Yang</w:t>
      </w:r>
      <w:r w:rsidR="001C037C" w:rsidRPr="001C037C">
        <w:rPr>
          <w:rFonts w:eastAsia="Calibri"/>
          <w:bCs/>
          <w:i/>
          <w:noProof/>
          <w:sz w:val="22"/>
          <w:szCs w:val="22"/>
          <w:lang w:val="mi-NZ" w:eastAsia="en-US"/>
        </w:rPr>
        <w:t xml:space="preserve"> et al.</w:t>
      </w:r>
      <w:r w:rsidR="001C037C">
        <w:rPr>
          <w:rFonts w:eastAsia="Calibri"/>
          <w:bCs/>
          <w:noProof/>
          <w:sz w:val="22"/>
          <w:szCs w:val="22"/>
          <w:lang w:val="mi-NZ" w:eastAsia="en-US"/>
        </w:rPr>
        <w:t>, 2013</w:t>
      </w:r>
      <w:r w:rsidR="006032CE">
        <w:rPr>
          <w:rFonts w:eastAsia="Calibri"/>
          <w:bCs/>
          <w:sz w:val="22"/>
          <w:szCs w:val="22"/>
          <w:lang w:val="mi-NZ" w:eastAsia="en-US"/>
        </w:rPr>
        <w:t>)</w:t>
      </w:r>
      <w:r>
        <w:rPr>
          <w:rFonts w:eastAsia="Calibri"/>
          <w:bCs/>
          <w:sz w:val="22"/>
          <w:szCs w:val="22"/>
          <w:lang w:val="mi-NZ" w:eastAsia="en-US"/>
        </w:rPr>
        <w:t xml:space="preserve">. SNP-based tools are becoming the most common for genotyping because </w:t>
      </w:r>
      <w:r w:rsidR="00ED406C">
        <w:rPr>
          <w:rFonts w:eastAsia="Calibri"/>
          <w:bCs/>
          <w:sz w:val="22"/>
          <w:szCs w:val="22"/>
          <w:lang w:val="mi-NZ" w:eastAsia="en-US"/>
        </w:rPr>
        <w:t>SNPs</w:t>
      </w:r>
      <w:r>
        <w:rPr>
          <w:rFonts w:eastAsia="Calibri"/>
          <w:bCs/>
          <w:sz w:val="22"/>
          <w:szCs w:val="22"/>
          <w:lang w:val="mi-NZ" w:eastAsia="en-US"/>
        </w:rPr>
        <w:t xml:space="preserve"> are large in number and well distributed in genomes, have proven stable and accurate, and are adapt</w:t>
      </w:r>
      <w:r w:rsidR="007D291D">
        <w:rPr>
          <w:rFonts w:eastAsia="Calibri"/>
          <w:bCs/>
          <w:sz w:val="22"/>
          <w:szCs w:val="22"/>
          <w:lang w:val="mi-NZ" w:eastAsia="en-US"/>
        </w:rPr>
        <w:t>a</w:t>
      </w:r>
      <w:r>
        <w:rPr>
          <w:rFonts w:eastAsia="Calibri"/>
          <w:bCs/>
          <w:sz w:val="22"/>
          <w:szCs w:val="22"/>
          <w:lang w:val="mi-NZ" w:eastAsia="en-US"/>
        </w:rPr>
        <w:t>ble to high-throughput analyses.</w:t>
      </w:r>
      <w:r w:rsidR="00850843">
        <w:rPr>
          <w:rFonts w:eastAsia="Calibri"/>
          <w:bCs/>
          <w:sz w:val="22"/>
          <w:szCs w:val="22"/>
          <w:lang w:val="mi-NZ" w:eastAsia="en-US"/>
        </w:rPr>
        <w:t xml:space="preserve"> </w:t>
      </w:r>
      <w:r w:rsidR="00850843">
        <w:rPr>
          <w:rFonts w:eastAsia="Calibri"/>
          <w:sz w:val="22"/>
          <w:szCs w:val="22"/>
          <w:lang w:val="en-US" w:eastAsia="en-US"/>
        </w:rPr>
        <w:t>Although SNP chips are a significant improvement in genotyping, MAS can still take many generations</w:t>
      </w:r>
      <w:r w:rsidR="00347C01">
        <w:rPr>
          <w:rFonts w:eastAsia="Calibri"/>
          <w:sz w:val="22"/>
          <w:szCs w:val="22"/>
          <w:lang w:val="en-US" w:eastAsia="en-US"/>
        </w:rPr>
        <w:t xml:space="preserve"> in some kinds of organisms</w:t>
      </w:r>
      <w:r w:rsidR="00850843">
        <w:rPr>
          <w:rFonts w:eastAsia="Calibri"/>
          <w:sz w:val="22"/>
          <w:szCs w:val="22"/>
          <w:lang w:val="en-US" w:eastAsia="en-US"/>
        </w:rPr>
        <w:t xml:space="preserve"> to achieve the desired outcome </w:t>
      </w:r>
      <w:r w:rsidR="001C037C">
        <w:rPr>
          <w:rFonts w:eastAsia="Calibri"/>
          <w:noProof/>
          <w:sz w:val="22"/>
          <w:szCs w:val="22"/>
          <w:lang w:val="en-US" w:eastAsia="en-US"/>
        </w:rPr>
        <w:t>(He</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2014; Weller</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sidR="006032CE">
        <w:rPr>
          <w:rFonts w:eastAsia="Calibri"/>
          <w:sz w:val="22"/>
          <w:szCs w:val="22"/>
          <w:lang w:val="en-US" w:eastAsia="en-US"/>
        </w:rPr>
        <w:t>)</w:t>
      </w:r>
      <w:r w:rsidR="00850843">
        <w:rPr>
          <w:rFonts w:eastAsia="Calibri"/>
          <w:sz w:val="22"/>
          <w:szCs w:val="22"/>
          <w:lang w:val="en-US" w:eastAsia="en-US"/>
        </w:rPr>
        <w:t>.</w:t>
      </w:r>
    </w:p>
    <w:p w14:paraId="12B36DB7" w14:textId="77777777" w:rsidR="003E31E4" w:rsidRDefault="00D37E63" w:rsidP="003623E1">
      <w:pPr>
        <w:spacing w:after="120"/>
        <w:rPr>
          <w:rFonts w:eastAsia="Calibri"/>
          <w:sz w:val="22"/>
          <w:szCs w:val="22"/>
          <w:lang w:val="en-US" w:eastAsia="en-US"/>
        </w:rPr>
      </w:pPr>
      <w:r>
        <w:rPr>
          <w:rFonts w:eastAsia="Calibri"/>
          <w:sz w:val="22"/>
          <w:szCs w:val="22"/>
          <w:lang w:val="en-US" w:eastAsia="en-US"/>
        </w:rPr>
        <w:t>As the information value (and not just the scale of content) of DSI grows and the ease and rate of collection increases,</w:t>
      </w:r>
      <w:r w:rsidR="00850843">
        <w:rPr>
          <w:rFonts w:eastAsia="Calibri"/>
          <w:sz w:val="22"/>
          <w:szCs w:val="22"/>
          <w:lang w:val="en-US" w:eastAsia="en-US"/>
        </w:rPr>
        <w:t xml:space="preserve"> </w:t>
      </w:r>
      <w:r w:rsidR="006032CE">
        <w:rPr>
          <w:rFonts w:eastAsia="Calibri"/>
          <w:sz w:val="22"/>
          <w:szCs w:val="22"/>
          <w:lang w:val="en-US" w:eastAsia="en-US"/>
        </w:rPr>
        <w:t>“</w:t>
      </w:r>
      <w:r w:rsidR="00CC41E3">
        <w:rPr>
          <w:rFonts w:eastAsia="Calibri"/>
          <w:sz w:val="22"/>
          <w:szCs w:val="22"/>
          <w:lang w:val="en-US" w:eastAsia="en-US"/>
        </w:rPr>
        <w:t>genotype to phenotype</w:t>
      </w:r>
      <w:r w:rsidR="006032CE">
        <w:rPr>
          <w:rFonts w:eastAsia="Calibri"/>
          <w:sz w:val="22"/>
          <w:szCs w:val="22"/>
          <w:lang w:val="en-US" w:eastAsia="en-US"/>
        </w:rPr>
        <w:t>”</w:t>
      </w:r>
      <w:r w:rsidR="00CC41E3">
        <w:rPr>
          <w:rFonts w:eastAsia="Calibri"/>
          <w:sz w:val="22"/>
          <w:szCs w:val="22"/>
          <w:lang w:val="en-US" w:eastAsia="en-US"/>
        </w:rPr>
        <w:t xml:space="preserve"> </w:t>
      </w:r>
      <w:r w:rsidR="00850843">
        <w:rPr>
          <w:rFonts w:eastAsia="Calibri"/>
          <w:sz w:val="22"/>
          <w:szCs w:val="22"/>
          <w:lang w:val="en-US" w:eastAsia="en-US"/>
        </w:rPr>
        <w:t>approaches to breeding are being developed</w:t>
      </w:r>
      <w:r w:rsidR="002C6D0E">
        <w:rPr>
          <w:rFonts w:eastAsia="Calibri"/>
          <w:sz w:val="22"/>
          <w:szCs w:val="22"/>
          <w:lang w:val="en-US" w:eastAsia="en-US"/>
        </w:rPr>
        <w:t xml:space="preserve"> </w:t>
      </w:r>
      <w:r w:rsidR="001C037C">
        <w:rPr>
          <w:rFonts w:eastAsia="Calibri"/>
          <w:noProof/>
          <w:sz w:val="22"/>
          <w:szCs w:val="22"/>
          <w:lang w:val="en-US" w:eastAsia="en-US"/>
        </w:rPr>
        <w:t>(Crossa</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Pr>
          <w:rFonts w:eastAsia="Calibri"/>
          <w:sz w:val="22"/>
          <w:szCs w:val="22"/>
          <w:lang w:val="en-US" w:eastAsia="en-US"/>
        </w:rPr>
        <w:t>. Marker identification can be accelerated using genotype-by-sequencing (GBS) techniques that use whole genome sequencing for genome</w:t>
      </w:r>
      <w:r w:rsidR="003623E1">
        <w:rPr>
          <w:rFonts w:eastAsia="Calibri"/>
          <w:sz w:val="22"/>
          <w:szCs w:val="22"/>
          <w:lang w:val="en-US" w:eastAsia="en-US"/>
        </w:rPr>
        <w:t>-</w:t>
      </w:r>
      <w:r>
        <w:rPr>
          <w:rFonts w:eastAsia="Calibri"/>
          <w:sz w:val="22"/>
          <w:szCs w:val="22"/>
          <w:lang w:val="en-US" w:eastAsia="en-US"/>
        </w:rPr>
        <w:t xml:space="preserve">wide association studies (GWAS) in GRFA </w:t>
      </w:r>
      <w:r w:rsidR="001C037C">
        <w:rPr>
          <w:rFonts w:eastAsia="Calibri"/>
          <w:noProof/>
          <w:sz w:val="22"/>
          <w:szCs w:val="22"/>
          <w:lang w:val="en-US" w:eastAsia="en-US"/>
        </w:rPr>
        <w:t>(He</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2014)</w:t>
      </w:r>
      <w:r w:rsidR="00BF4FBA">
        <w:rPr>
          <w:rFonts w:eastAsia="Calibri"/>
          <w:sz w:val="22"/>
          <w:szCs w:val="22"/>
          <w:lang w:val="en-US" w:eastAsia="en-US"/>
        </w:rPr>
        <w:t>.</w:t>
      </w:r>
      <w:r w:rsidR="00C51CCA">
        <w:rPr>
          <w:rFonts w:eastAsia="Calibri"/>
          <w:sz w:val="22"/>
          <w:szCs w:val="22"/>
          <w:lang w:val="en-US" w:eastAsia="en-US"/>
        </w:rPr>
        <w:t xml:space="preserve"> </w:t>
      </w:r>
    </w:p>
    <w:p w14:paraId="0884B643" w14:textId="77777777" w:rsidR="00D37E63" w:rsidRPr="00D976ED" w:rsidRDefault="00BF4FBA" w:rsidP="00D37E63">
      <w:pPr>
        <w:spacing w:after="120"/>
        <w:rPr>
          <w:rFonts w:eastAsia="Calibri"/>
          <w:sz w:val="22"/>
          <w:szCs w:val="22"/>
          <w:lang w:val="en-US" w:eastAsia="en-US"/>
        </w:rPr>
      </w:pPr>
      <w:r>
        <w:rPr>
          <w:rFonts w:eastAsia="Calibri"/>
          <w:sz w:val="22"/>
          <w:szCs w:val="22"/>
          <w:lang w:val="en-US" w:eastAsia="en-US"/>
        </w:rPr>
        <w:t>GWAS mapping</w:t>
      </w:r>
      <w:r w:rsidR="003E31E4">
        <w:rPr>
          <w:rFonts w:eastAsia="Calibri"/>
          <w:sz w:val="22"/>
          <w:szCs w:val="22"/>
          <w:lang w:val="en-US" w:eastAsia="en-US"/>
        </w:rPr>
        <w:t xml:space="preserve">, also called </w:t>
      </w:r>
      <w:r w:rsidR="003E31E4" w:rsidRPr="003E31E4">
        <w:rPr>
          <w:rFonts w:eastAsia="Calibri"/>
          <w:sz w:val="22"/>
          <w:szCs w:val="22"/>
          <w:lang w:val="mi-NZ" w:eastAsia="en-US"/>
        </w:rPr>
        <w:t>linkage disequilibrium (LD) mapping</w:t>
      </w:r>
      <w:r w:rsidR="003E31E4">
        <w:rPr>
          <w:rFonts w:eastAsia="Calibri"/>
          <w:sz w:val="22"/>
          <w:szCs w:val="22"/>
          <w:lang w:val="mi-NZ" w:eastAsia="en-US"/>
        </w:rPr>
        <w:t>,</w:t>
      </w:r>
      <w:r>
        <w:rPr>
          <w:rFonts w:eastAsia="Calibri"/>
          <w:sz w:val="22"/>
          <w:szCs w:val="22"/>
          <w:lang w:val="en-US" w:eastAsia="en-US"/>
        </w:rPr>
        <w:t xml:space="preserve"> </w:t>
      </w:r>
      <w:r w:rsidR="00CC41E3">
        <w:rPr>
          <w:rFonts w:eastAsia="Calibri"/>
          <w:sz w:val="22"/>
          <w:szCs w:val="22"/>
          <w:lang w:val="en-US" w:eastAsia="en-US"/>
        </w:rPr>
        <w:t>identifies</w:t>
      </w:r>
      <w:r w:rsidR="00226ECC">
        <w:rPr>
          <w:rFonts w:eastAsia="Calibri"/>
          <w:sz w:val="22"/>
          <w:szCs w:val="22"/>
          <w:lang w:val="en-US" w:eastAsia="en-US"/>
        </w:rPr>
        <w:t xml:space="preserve"> </w:t>
      </w:r>
      <w:r w:rsidR="00226ECC" w:rsidRPr="00226ECC">
        <w:rPr>
          <w:rFonts w:eastAsia="Calibri"/>
          <w:sz w:val="22"/>
          <w:szCs w:val="22"/>
          <w:lang w:val="mi-NZ" w:eastAsia="en-US"/>
        </w:rPr>
        <w:t>statistically significant</w:t>
      </w:r>
      <w:r w:rsidR="00226ECC">
        <w:rPr>
          <w:rFonts w:eastAsia="Calibri"/>
          <w:sz w:val="22"/>
          <w:szCs w:val="22"/>
          <w:lang w:val="mi-NZ" w:eastAsia="en-US"/>
        </w:rPr>
        <w:t xml:space="preserve"> phenotype-genotype</w:t>
      </w:r>
      <w:r w:rsidR="00D976ED">
        <w:rPr>
          <w:rFonts w:eastAsia="Calibri"/>
          <w:sz w:val="22"/>
          <w:szCs w:val="22"/>
          <w:lang w:val="mi-NZ" w:eastAsia="en-US"/>
        </w:rPr>
        <w:t xml:space="preserve"> quantitative trait loci</w:t>
      </w:r>
      <w:r w:rsidR="00226ECC">
        <w:rPr>
          <w:rFonts w:eastAsia="Calibri"/>
          <w:sz w:val="22"/>
          <w:szCs w:val="22"/>
          <w:lang w:val="mi-NZ" w:eastAsia="en-US"/>
        </w:rPr>
        <w:t xml:space="preserve"> associations</w:t>
      </w:r>
      <w:r w:rsidR="00A76F09">
        <w:rPr>
          <w:rFonts w:eastAsia="Calibri"/>
          <w:sz w:val="22"/>
          <w:szCs w:val="22"/>
          <w:lang w:val="mi-NZ" w:eastAsia="en-US"/>
        </w:rPr>
        <w:t xml:space="preserve"> </w:t>
      </w:r>
      <w:r w:rsidR="001C037C">
        <w:rPr>
          <w:rFonts w:eastAsia="Calibri"/>
          <w:noProof/>
          <w:sz w:val="22"/>
          <w:szCs w:val="22"/>
          <w:lang w:val="mi-NZ" w:eastAsia="en-US"/>
        </w:rPr>
        <w:t>(Zamir, 2013; Varshney</w:t>
      </w:r>
      <w:r w:rsidR="001C037C" w:rsidRPr="001C037C">
        <w:rPr>
          <w:rFonts w:eastAsia="Calibri"/>
          <w:i/>
          <w:noProof/>
          <w:sz w:val="22"/>
          <w:szCs w:val="22"/>
          <w:lang w:val="mi-NZ" w:eastAsia="en-US"/>
        </w:rPr>
        <w:t xml:space="preserve"> et al.</w:t>
      </w:r>
      <w:r w:rsidR="001C037C">
        <w:rPr>
          <w:rFonts w:eastAsia="Calibri"/>
          <w:noProof/>
          <w:sz w:val="22"/>
          <w:szCs w:val="22"/>
          <w:lang w:val="mi-NZ" w:eastAsia="en-US"/>
        </w:rPr>
        <w:t>, 2014)</w:t>
      </w:r>
      <w:r w:rsidR="00C51CCA">
        <w:rPr>
          <w:rFonts w:eastAsia="Calibri"/>
          <w:sz w:val="22"/>
          <w:szCs w:val="22"/>
          <w:lang w:val="mi-NZ" w:eastAsia="en-US"/>
        </w:rPr>
        <w:t>.</w:t>
      </w:r>
      <w:r w:rsidR="00D976ED">
        <w:rPr>
          <w:rFonts w:eastAsia="Calibri"/>
          <w:sz w:val="22"/>
          <w:szCs w:val="22"/>
          <w:lang w:val="en-US" w:eastAsia="en-US"/>
        </w:rPr>
        <w:t xml:space="preserve"> </w:t>
      </w:r>
      <w:r w:rsidR="00D37E63">
        <w:rPr>
          <w:rFonts w:eastAsia="Calibri"/>
          <w:sz w:val="22"/>
          <w:szCs w:val="22"/>
          <w:lang w:val="en-US" w:eastAsia="en-US"/>
        </w:rPr>
        <w:t xml:space="preserve">Originally developed for high resolution GWAS in maize, GBS has been applied to multiple plant species with complex genomes, such as </w:t>
      </w:r>
      <w:r w:rsidR="00D37E63" w:rsidRPr="00414235">
        <w:rPr>
          <w:rFonts w:eastAsia="Calibri"/>
          <w:sz w:val="22"/>
          <w:szCs w:val="22"/>
          <w:lang w:val="mi-NZ" w:eastAsia="en-US"/>
        </w:rPr>
        <w:t>wheat, ba</w:t>
      </w:r>
      <w:r w:rsidR="00D37E63">
        <w:rPr>
          <w:rFonts w:eastAsia="Calibri"/>
          <w:sz w:val="22"/>
          <w:szCs w:val="22"/>
          <w:lang w:val="mi-NZ" w:eastAsia="en-US"/>
        </w:rPr>
        <w:t>rley, rice, potato, cassava, apples and pine</w:t>
      </w:r>
      <w:r w:rsidR="00D37E63">
        <w:rPr>
          <w:rFonts w:eastAsia="Calibri"/>
          <w:sz w:val="22"/>
          <w:szCs w:val="22"/>
          <w:lang w:val="en-US" w:eastAsia="en-US"/>
        </w:rPr>
        <w:t xml:space="preserve"> </w:t>
      </w:r>
      <w:r w:rsidR="001C037C">
        <w:rPr>
          <w:rFonts w:eastAsia="Calibri"/>
          <w:noProof/>
          <w:sz w:val="22"/>
          <w:szCs w:val="22"/>
          <w:lang w:val="en-US" w:eastAsia="en-US"/>
        </w:rPr>
        <w:t>(He</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2014; Pan</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2015; Norelli</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sidR="00D37E63">
        <w:rPr>
          <w:rFonts w:eastAsia="Calibri"/>
          <w:sz w:val="22"/>
          <w:szCs w:val="22"/>
          <w:lang w:val="en-US" w:eastAsia="en-US"/>
        </w:rPr>
        <w:t xml:space="preserve">. Use in livestock animals such as cattle and chickens is also advancing </w:t>
      </w:r>
      <w:r w:rsidR="001C037C">
        <w:rPr>
          <w:rFonts w:eastAsia="Calibri"/>
          <w:noProof/>
          <w:sz w:val="22"/>
          <w:szCs w:val="22"/>
          <w:lang w:val="en-US" w:eastAsia="en-US"/>
        </w:rPr>
        <w:t>(Brouard</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 Wang</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2017b)</w:t>
      </w:r>
      <w:r w:rsidR="00D37E63">
        <w:rPr>
          <w:rFonts w:eastAsia="Calibri"/>
          <w:sz w:val="22"/>
          <w:szCs w:val="22"/>
          <w:lang w:val="en-US" w:eastAsia="en-US"/>
        </w:rPr>
        <w:t>. The key distinction between historical applications of MAS and GBS is that the latter allows</w:t>
      </w:r>
      <w:r w:rsidR="00D37E63">
        <w:rPr>
          <w:rFonts w:eastAsia="Calibri"/>
          <w:sz w:val="22"/>
          <w:szCs w:val="22"/>
          <w:lang w:val="mi-NZ" w:eastAsia="en-US"/>
        </w:rPr>
        <w:t xml:space="preserve"> “</w:t>
      </w:r>
      <w:r w:rsidR="00D37E63" w:rsidRPr="005214A9">
        <w:rPr>
          <w:rFonts w:eastAsia="Calibri"/>
          <w:sz w:val="22"/>
          <w:szCs w:val="22"/>
          <w:lang w:val="mi-NZ" w:eastAsia="en-US"/>
        </w:rPr>
        <w:t xml:space="preserve">breeders to </w:t>
      </w:r>
      <w:r w:rsidR="00D37E63" w:rsidRPr="005214A9">
        <w:rPr>
          <w:rFonts w:eastAsia="Calibri"/>
          <w:sz w:val="22"/>
          <w:szCs w:val="22"/>
          <w:lang w:val="mi-NZ" w:eastAsia="en-US"/>
        </w:rPr>
        <w:lastRenderedPageBreak/>
        <w:t>implement GWAS, genomic diversity study, genetic linkage analysis, molecular marker discovery, and genomic selection (GS) under a large scale of plant breeding program</w:t>
      </w:r>
      <w:r w:rsidR="003623E1">
        <w:rPr>
          <w:rFonts w:eastAsia="Calibri"/>
          <w:sz w:val="22"/>
          <w:szCs w:val="22"/>
          <w:lang w:val="mi-NZ" w:eastAsia="en-US"/>
        </w:rPr>
        <w:t>me</w:t>
      </w:r>
      <w:r w:rsidR="00D37E63" w:rsidRPr="005214A9">
        <w:rPr>
          <w:rFonts w:eastAsia="Calibri"/>
          <w:sz w:val="22"/>
          <w:szCs w:val="22"/>
          <w:lang w:val="mi-NZ" w:eastAsia="en-US"/>
        </w:rPr>
        <w:t xml:space="preserve">s. </w:t>
      </w:r>
      <w:r w:rsidR="00D37E63" w:rsidRPr="005214A9">
        <w:rPr>
          <w:rFonts w:eastAsia="Calibri"/>
          <w:i/>
          <w:sz w:val="22"/>
          <w:szCs w:val="22"/>
          <w:lang w:val="mi-NZ" w:eastAsia="en-US"/>
        </w:rPr>
        <w:t>There is no requirement for a priori knowledge of the species genomes</w:t>
      </w:r>
      <w:r w:rsidR="00D37E63" w:rsidRPr="005214A9">
        <w:rPr>
          <w:rFonts w:eastAsia="Calibri"/>
          <w:sz w:val="22"/>
          <w:szCs w:val="22"/>
          <w:lang w:val="mi-NZ" w:eastAsia="en-US"/>
        </w:rPr>
        <w:t xml:space="preserve"> as the GBS method has been shown to be robust across a range of species and SNP discovery and genotyping are completed together</w:t>
      </w:r>
      <w:r w:rsidR="00D37E63">
        <w:rPr>
          <w:rFonts w:eastAsia="Calibri"/>
          <w:sz w:val="22"/>
          <w:szCs w:val="22"/>
          <w:lang w:val="mi-NZ" w:eastAsia="en-US"/>
        </w:rPr>
        <w:t xml:space="preserve">” </w:t>
      </w:r>
      <w:r w:rsidR="001C037C">
        <w:rPr>
          <w:rFonts w:eastAsia="Calibri"/>
          <w:noProof/>
          <w:sz w:val="22"/>
          <w:szCs w:val="22"/>
          <w:lang w:val="en-US" w:eastAsia="en-US"/>
        </w:rPr>
        <w:t>(emphasis added to He</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2014)</w:t>
      </w:r>
      <w:r w:rsidR="00D37E63">
        <w:rPr>
          <w:rFonts w:eastAsia="Calibri"/>
          <w:sz w:val="22"/>
          <w:szCs w:val="22"/>
          <w:lang w:val="en-US" w:eastAsia="en-US"/>
        </w:rPr>
        <w:t>.</w:t>
      </w:r>
    </w:p>
    <w:p w14:paraId="6650E554" w14:textId="77777777" w:rsidR="00D37E63" w:rsidRDefault="00D37E63" w:rsidP="00842949">
      <w:pPr>
        <w:spacing w:after="120"/>
        <w:rPr>
          <w:rFonts w:eastAsia="Calibri"/>
          <w:bCs/>
          <w:noProof/>
          <w:sz w:val="22"/>
          <w:szCs w:val="22"/>
          <w:lang w:val="en-US" w:eastAsia="en-US"/>
        </w:rPr>
      </w:pPr>
      <w:r>
        <w:rPr>
          <w:rFonts w:eastAsia="Calibri"/>
          <w:sz w:val="22"/>
          <w:szCs w:val="22"/>
          <w:lang w:val="en-US" w:eastAsia="en-US"/>
        </w:rPr>
        <w:t xml:space="preserve">GBS techniques can in certain cases increase the efficiency of breeding. The technique can be customized to local breeds. It has been easiest to apply to plants and more challenging for livestock, because of the different levels of homozygosity </w:t>
      </w:r>
      <w:r w:rsidR="001C037C">
        <w:rPr>
          <w:rFonts w:eastAsia="Calibri"/>
          <w:noProof/>
          <w:sz w:val="22"/>
          <w:szCs w:val="22"/>
          <w:lang w:val="en-US" w:eastAsia="en-US"/>
        </w:rPr>
        <w:t>(Brouard</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Pr>
          <w:rFonts w:eastAsia="Calibri"/>
          <w:sz w:val="22"/>
          <w:szCs w:val="22"/>
          <w:lang w:val="en-US" w:eastAsia="en-US"/>
        </w:rPr>
        <w:t xml:space="preserve">. The much higher density of identified SNPs potentially decreases the size of adult populations necessary to make associations between SNPs and traits </w:t>
      </w:r>
      <w:r w:rsidR="001C037C">
        <w:rPr>
          <w:rFonts w:eastAsia="Calibri"/>
          <w:noProof/>
          <w:sz w:val="22"/>
          <w:szCs w:val="22"/>
          <w:lang w:val="en-US" w:eastAsia="en-US"/>
        </w:rPr>
        <w:t>(Ibeagha-Awemu</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2016; Brouard</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Pr>
          <w:rFonts w:eastAsia="Calibri"/>
          <w:sz w:val="22"/>
          <w:szCs w:val="22"/>
          <w:lang w:val="en-US" w:eastAsia="en-US"/>
        </w:rPr>
        <w:t>.</w:t>
      </w:r>
      <w:r w:rsidRPr="00723202">
        <w:rPr>
          <w:rFonts w:eastAsia="Calibri"/>
          <w:bCs/>
          <w:noProof/>
          <w:sz w:val="22"/>
          <w:szCs w:val="22"/>
          <w:lang w:val="en-US" w:eastAsia="en-US"/>
        </w:rPr>
        <w:t xml:space="preserve"> </w:t>
      </w:r>
      <w:r>
        <w:rPr>
          <w:rFonts w:eastAsia="Calibri"/>
          <w:bCs/>
          <w:noProof/>
          <w:sz w:val="22"/>
          <w:szCs w:val="22"/>
          <w:lang w:val="en-US" w:eastAsia="en-US"/>
        </w:rPr>
        <w:t xml:space="preserve">That makes it applicable both for breeding GRFA and for conservation of wild species, where it can be used to more accurately calculate effective population size </w:t>
      </w:r>
      <w:r w:rsidR="001C037C">
        <w:rPr>
          <w:rFonts w:eastAsia="Calibri"/>
          <w:bCs/>
          <w:noProof/>
          <w:sz w:val="22"/>
          <w:szCs w:val="22"/>
          <w:lang w:val="en-US" w:eastAsia="en-US"/>
        </w:rPr>
        <w:t>(e.g. in salmon as described by Larson</w:t>
      </w:r>
      <w:r w:rsidR="001C037C" w:rsidRPr="001C037C">
        <w:rPr>
          <w:rFonts w:eastAsia="Calibri"/>
          <w:bCs/>
          <w:i/>
          <w:noProof/>
          <w:sz w:val="22"/>
          <w:szCs w:val="22"/>
          <w:lang w:val="en-US" w:eastAsia="en-US"/>
        </w:rPr>
        <w:t xml:space="preserve"> et al.</w:t>
      </w:r>
      <w:r w:rsidR="001C037C">
        <w:rPr>
          <w:rFonts w:eastAsia="Calibri"/>
          <w:bCs/>
          <w:noProof/>
          <w:sz w:val="22"/>
          <w:szCs w:val="22"/>
          <w:lang w:val="en-US" w:eastAsia="en-US"/>
        </w:rPr>
        <w:t>, 2014)</w:t>
      </w:r>
      <w:r>
        <w:rPr>
          <w:rFonts w:eastAsia="Calibri"/>
          <w:bCs/>
          <w:noProof/>
          <w:sz w:val="22"/>
          <w:szCs w:val="22"/>
          <w:lang w:val="en-US" w:eastAsia="en-US"/>
        </w:rPr>
        <w:t>.</w:t>
      </w:r>
    </w:p>
    <w:p w14:paraId="487AC22C" w14:textId="77777777" w:rsidR="00C951E7" w:rsidRDefault="00C951E7" w:rsidP="00842949">
      <w:pPr>
        <w:spacing w:after="120"/>
        <w:rPr>
          <w:rFonts w:eastAsia="Calibri"/>
          <w:sz w:val="22"/>
          <w:szCs w:val="22"/>
          <w:lang w:val="en-US" w:eastAsia="en-US"/>
        </w:rPr>
      </w:pPr>
      <w:r w:rsidRPr="00842949">
        <w:rPr>
          <w:rFonts w:eastAsia="Calibri"/>
          <w:sz w:val="22"/>
          <w:szCs w:val="22"/>
          <w:lang w:val="en-US" w:eastAsia="en-US"/>
        </w:rPr>
        <w:t xml:space="preserve">The capacity to reconstruct molecules other than nucleic acids is also increasing. Machines </w:t>
      </w:r>
      <w:r>
        <w:rPr>
          <w:rFonts w:eastAsia="Calibri"/>
          <w:sz w:val="22"/>
          <w:szCs w:val="22"/>
          <w:lang w:val="en-US" w:eastAsia="en-US"/>
        </w:rPr>
        <w:t>such as the recently described “digital-to-biological”</w:t>
      </w:r>
      <w:r w:rsidRPr="00842949">
        <w:rPr>
          <w:rFonts w:eastAsia="Calibri"/>
          <w:sz w:val="22"/>
          <w:szCs w:val="22"/>
          <w:lang w:val="en-US" w:eastAsia="en-US"/>
        </w:rPr>
        <w:t xml:space="preserve"> converter build both DNA and protein molecules and they have already built a virus from scratch. The converter “receives digitally transmitted DNA sequence information and converts it into biopolymers, such as DNA, RNA and proteins, as well as complex entities such as viral particles, without any human intervention” </w:t>
      </w:r>
      <w:r w:rsidR="001C037C">
        <w:rPr>
          <w:rFonts w:eastAsia="Calibri"/>
          <w:noProof/>
          <w:sz w:val="22"/>
          <w:szCs w:val="22"/>
          <w:lang w:val="en-US" w:eastAsia="en-US"/>
        </w:rPr>
        <w:t>(Boles</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sidRPr="00842949">
        <w:rPr>
          <w:rFonts w:eastAsia="Calibri"/>
          <w:sz w:val="22"/>
          <w:szCs w:val="22"/>
          <w:lang w:val="en-US" w:eastAsia="en-US"/>
        </w:rPr>
        <w:t>.</w:t>
      </w:r>
      <w:r>
        <w:rPr>
          <w:rFonts w:eastAsia="Calibri"/>
          <w:sz w:val="22"/>
          <w:szCs w:val="22"/>
          <w:lang w:val="en-US" w:eastAsia="en-US"/>
        </w:rPr>
        <w:t xml:space="preserve"> </w:t>
      </w:r>
      <w:r w:rsidR="00956291">
        <w:rPr>
          <w:rFonts w:eastAsia="Calibri"/>
          <w:sz w:val="22"/>
          <w:szCs w:val="22"/>
          <w:lang w:val="en-US" w:eastAsia="en-US"/>
        </w:rPr>
        <w:t>Machines that automate procedures are in prototype stage and they are operated by skilled workers. Automation, as implemented with artificial intelligence and big data, will increase applications. Gene synthesis along with gene editing (see below) soon will play increasing roles in global agriculture.</w:t>
      </w:r>
    </w:p>
    <w:p w14:paraId="2877F916" w14:textId="77777777" w:rsidR="00025D6C" w:rsidRPr="00842949" w:rsidRDefault="00025D6C" w:rsidP="00842949">
      <w:pPr>
        <w:spacing w:after="120"/>
        <w:rPr>
          <w:rFonts w:eastAsia="Calibri"/>
          <w:sz w:val="22"/>
          <w:szCs w:val="22"/>
          <w:lang w:val="en-US" w:eastAsia="en-US"/>
        </w:rPr>
      </w:pPr>
    </w:p>
    <w:p w14:paraId="1D9B9870" w14:textId="77777777" w:rsidR="00D459C6" w:rsidRPr="00A43161" w:rsidRDefault="00D459C6" w:rsidP="00D459C6">
      <w:pPr>
        <w:pStyle w:val="TableEntry"/>
        <w:keepNext/>
        <w:spacing w:before="120" w:after="120"/>
        <w:rPr>
          <w:sz w:val="24"/>
          <w:szCs w:val="24"/>
        </w:rPr>
      </w:pPr>
      <w:r w:rsidRPr="00A43161">
        <w:rPr>
          <w:sz w:val="24"/>
          <w:szCs w:val="24"/>
        </w:rPr>
        <w:t>Editing</w:t>
      </w:r>
    </w:p>
    <w:p w14:paraId="7533B330" w14:textId="77777777" w:rsidR="00A43161" w:rsidRPr="00A43161" w:rsidRDefault="00A43161" w:rsidP="00D459C6">
      <w:pPr>
        <w:pStyle w:val="TableEntry"/>
        <w:keepNext/>
        <w:spacing w:before="120" w:after="120"/>
      </w:pPr>
    </w:p>
    <w:p w14:paraId="5B6E229C" w14:textId="77777777" w:rsidR="00842949" w:rsidRDefault="00866F2E" w:rsidP="00D459C6">
      <w:pPr>
        <w:keepNext/>
        <w:spacing w:after="120"/>
        <w:rPr>
          <w:rFonts w:eastAsia="Calibri"/>
          <w:sz w:val="22"/>
          <w:szCs w:val="22"/>
          <w:lang w:val="en-US" w:eastAsia="en-US"/>
        </w:rPr>
      </w:pPr>
      <w:r>
        <w:rPr>
          <w:rFonts w:eastAsia="Calibri"/>
          <w:sz w:val="22"/>
          <w:szCs w:val="22"/>
          <w:lang w:val="en-US" w:eastAsia="en-US"/>
        </w:rPr>
        <w:t>Gene/genome editing is</w:t>
      </w:r>
      <w:r w:rsidR="003E5801">
        <w:rPr>
          <w:rFonts w:eastAsia="Calibri"/>
          <w:sz w:val="22"/>
          <w:szCs w:val="22"/>
          <w:lang w:val="en-US" w:eastAsia="en-US"/>
        </w:rPr>
        <w:t xml:space="preserve"> more</w:t>
      </w:r>
      <w:r>
        <w:rPr>
          <w:rFonts w:eastAsia="Calibri"/>
          <w:sz w:val="22"/>
          <w:szCs w:val="22"/>
          <w:lang w:val="en-US" w:eastAsia="en-US"/>
        </w:rPr>
        <w:t xml:space="preserve"> likely for the foreseeable future to be the way to modify traits than </w:t>
      </w:r>
      <w:r w:rsidR="00842949" w:rsidRPr="00842949">
        <w:rPr>
          <w:rFonts w:eastAsia="Calibri"/>
          <w:sz w:val="22"/>
          <w:szCs w:val="22"/>
          <w:lang w:val="en-US" w:eastAsia="en-US"/>
        </w:rPr>
        <w:t xml:space="preserve"> synthesiz</w:t>
      </w:r>
      <w:r>
        <w:rPr>
          <w:rFonts w:eastAsia="Calibri"/>
          <w:sz w:val="22"/>
          <w:szCs w:val="22"/>
          <w:lang w:val="en-US" w:eastAsia="en-US"/>
        </w:rPr>
        <w:t>ing organisms</w:t>
      </w:r>
      <w:r w:rsidR="00842949" w:rsidRPr="00842949">
        <w:rPr>
          <w:rFonts w:eastAsia="Calibri"/>
          <w:sz w:val="22"/>
          <w:szCs w:val="22"/>
          <w:lang w:val="en-US" w:eastAsia="en-US"/>
        </w:rPr>
        <w:t xml:space="preserve"> </w:t>
      </w:r>
      <w:r w:rsidR="00842949" w:rsidRPr="00D459C6">
        <w:rPr>
          <w:rFonts w:eastAsia="Calibri"/>
          <w:i/>
          <w:sz w:val="22"/>
          <w:szCs w:val="22"/>
          <w:lang w:val="en-US" w:eastAsia="en-US"/>
        </w:rPr>
        <w:t>de novo</w:t>
      </w:r>
      <w:r w:rsidR="00842949" w:rsidRPr="00842949">
        <w:rPr>
          <w:rFonts w:eastAsia="Calibri"/>
          <w:sz w:val="22"/>
          <w:szCs w:val="22"/>
          <w:lang w:val="en-US" w:eastAsia="en-US"/>
        </w:rPr>
        <w:t>.</w:t>
      </w:r>
      <w:r>
        <w:rPr>
          <w:rFonts w:eastAsia="Calibri"/>
          <w:sz w:val="22"/>
          <w:szCs w:val="22"/>
          <w:lang w:val="en-US" w:eastAsia="en-US"/>
        </w:rPr>
        <w:t xml:space="preserve"> E</w:t>
      </w:r>
      <w:r w:rsidR="00842949" w:rsidRPr="00842949">
        <w:rPr>
          <w:rFonts w:eastAsia="Calibri"/>
          <w:sz w:val="22"/>
          <w:szCs w:val="22"/>
          <w:lang w:val="en-US" w:eastAsia="en-US"/>
        </w:rPr>
        <w:t>diting</w:t>
      </w:r>
      <w:r w:rsidR="00956291">
        <w:rPr>
          <w:rFonts w:eastAsia="Calibri"/>
          <w:sz w:val="22"/>
          <w:szCs w:val="22"/>
          <w:lang w:val="en-US" w:eastAsia="en-US"/>
        </w:rPr>
        <w:t xml:space="preserve"> can now be applied to altering</w:t>
      </w:r>
      <w:r w:rsidR="00842949" w:rsidRPr="00842949">
        <w:rPr>
          <w:rFonts w:eastAsia="Calibri"/>
          <w:sz w:val="22"/>
          <w:szCs w:val="22"/>
          <w:lang w:val="en-US" w:eastAsia="en-US"/>
        </w:rPr>
        <w:t xml:space="preserve"> DNA sequences </w:t>
      </w:r>
      <w:r w:rsidR="00842949" w:rsidRPr="00E939DE">
        <w:rPr>
          <w:rFonts w:eastAsia="Calibri"/>
          <w:i/>
          <w:sz w:val="22"/>
          <w:szCs w:val="22"/>
          <w:lang w:val="en-US" w:eastAsia="en-US"/>
        </w:rPr>
        <w:t>in vivo</w:t>
      </w:r>
      <w:r w:rsidR="00842949" w:rsidRPr="00842949">
        <w:rPr>
          <w:rFonts w:eastAsia="Calibri"/>
          <w:sz w:val="22"/>
          <w:szCs w:val="22"/>
          <w:lang w:val="en-US" w:eastAsia="en-US"/>
        </w:rPr>
        <w:t>. Hence, DNA does not have to be removed from the organism, manipulated and then returned to it. For some applications, a few changes to the genome may be sufficient. Where more than this is required, editing can be applied multiple times to the same genome, or be used to replace large sections of DNA.</w:t>
      </w:r>
    </w:p>
    <w:p w14:paraId="2B32A359" w14:textId="77777777" w:rsidR="00E80F7A" w:rsidRDefault="00E80F7A" w:rsidP="00842949">
      <w:pPr>
        <w:spacing w:after="120"/>
        <w:rPr>
          <w:rFonts w:eastAsia="Calibri"/>
          <w:sz w:val="22"/>
          <w:szCs w:val="22"/>
          <w:lang w:val="en-US" w:eastAsia="en-US"/>
        </w:rPr>
      </w:pPr>
      <w:r>
        <w:rPr>
          <w:rFonts w:eastAsia="Calibri"/>
          <w:sz w:val="22"/>
          <w:szCs w:val="22"/>
          <w:lang w:val="en-US" w:eastAsia="en-US"/>
        </w:rPr>
        <w:t>Several advancing</w:t>
      </w:r>
      <w:r w:rsidR="00D459C6">
        <w:rPr>
          <w:rFonts w:eastAsia="Calibri"/>
          <w:sz w:val="22"/>
          <w:szCs w:val="22"/>
          <w:lang w:val="en-US" w:eastAsia="en-US"/>
        </w:rPr>
        <w:t xml:space="preserve"> </w:t>
      </w:r>
      <w:r>
        <w:rPr>
          <w:rFonts w:eastAsia="Calibri"/>
          <w:sz w:val="22"/>
          <w:szCs w:val="22"/>
          <w:lang w:val="en-US" w:eastAsia="en-US"/>
        </w:rPr>
        <w:t>technologies</w:t>
      </w:r>
      <w:r w:rsidR="00D459C6">
        <w:rPr>
          <w:rFonts w:eastAsia="Calibri"/>
          <w:sz w:val="22"/>
          <w:szCs w:val="22"/>
          <w:lang w:val="en-US" w:eastAsia="en-US"/>
        </w:rPr>
        <w:t xml:space="preserve"> including editing</w:t>
      </w:r>
      <w:r>
        <w:rPr>
          <w:rFonts w:eastAsia="Calibri"/>
          <w:sz w:val="22"/>
          <w:szCs w:val="22"/>
          <w:lang w:val="en-US" w:eastAsia="en-US"/>
        </w:rPr>
        <w:t xml:space="preserve"> </w:t>
      </w:r>
      <w:r w:rsidR="00956291">
        <w:rPr>
          <w:rFonts w:eastAsia="Calibri"/>
          <w:sz w:val="22"/>
          <w:szCs w:val="22"/>
          <w:lang w:val="en-US" w:eastAsia="en-US"/>
        </w:rPr>
        <w:t>require</w:t>
      </w:r>
      <w:r>
        <w:rPr>
          <w:rFonts w:eastAsia="Calibri"/>
          <w:sz w:val="22"/>
          <w:szCs w:val="22"/>
          <w:lang w:val="en-US" w:eastAsia="en-US"/>
        </w:rPr>
        <w:t xml:space="preserve"> DSI. These include the suite of technologies referred to by various names, including the new breeding techniques, </w:t>
      </w:r>
      <w:r w:rsidR="00D459C6">
        <w:rPr>
          <w:rFonts w:eastAsia="Calibri"/>
          <w:sz w:val="22"/>
          <w:szCs w:val="22"/>
          <w:lang w:val="en-US" w:eastAsia="en-US"/>
        </w:rPr>
        <w:t>gene drive systems</w:t>
      </w:r>
      <w:r>
        <w:rPr>
          <w:rFonts w:eastAsia="Calibri"/>
          <w:sz w:val="22"/>
          <w:szCs w:val="22"/>
          <w:lang w:val="en-US" w:eastAsia="en-US"/>
        </w:rPr>
        <w:t>, oligonucleotide-directed mutagenesis (ODM) and RNA/DNA interference</w:t>
      </w:r>
      <w:r w:rsidR="00616E70">
        <w:rPr>
          <w:rFonts w:eastAsia="Calibri"/>
          <w:sz w:val="22"/>
          <w:szCs w:val="22"/>
          <w:lang w:val="en-US" w:eastAsia="en-US"/>
        </w:rPr>
        <w:t xml:space="preserve"> (a</w:t>
      </w:r>
      <w:r w:rsidR="008B431A">
        <w:rPr>
          <w:rFonts w:eastAsia="Calibri"/>
          <w:sz w:val="22"/>
          <w:szCs w:val="22"/>
          <w:lang w:val="en-US" w:eastAsia="en-US"/>
        </w:rPr>
        <w:t xml:space="preserve">lso known as </w:t>
      </w:r>
      <w:r w:rsidR="00616E70">
        <w:rPr>
          <w:rFonts w:eastAsia="Calibri"/>
          <w:sz w:val="22"/>
          <w:szCs w:val="22"/>
          <w:lang w:val="en-US" w:eastAsia="en-US"/>
        </w:rPr>
        <w:t>gene silencing)</w:t>
      </w:r>
      <w:r>
        <w:rPr>
          <w:rFonts w:eastAsia="Calibri"/>
          <w:sz w:val="22"/>
          <w:szCs w:val="22"/>
          <w:lang w:val="en-US" w:eastAsia="en-US"/>
        </w:rPr>
        <w:t>.</w:t>
      </w:r>
    </w:p>
    <w:p w14:paraId="50B15DA8" w14:textId="77777777" w:rsidR="00E80F7A" w:rsidRDefault="00E80F7A" w:rsidP="003623E1">
      <w:pPr>
        <w:spacing w:after="120"/>
        <w:rPr>
          <w:rFonts w:eastAsia="Calibri"/>
          <w:sz w:val="22"/>
          <w:szCs w:val="22"/>
          <w:lang w:val="en-US" w:eastAsia="en-US"/>
        </w:rPr>
      </w:pPr>
      <w:r>
        <w:rPr>
          <w:rFonts w:eastAsia="Calibri"/>
          <w:sz w:val="22"/>
          <w:szCs w:val="22"/>
          <w:lang w:val="en-US" w:eastAsia="en-US"/>
        </w:rPr>
        <w:t>Each of these techniques relies upon</w:t>
      </w:r>
      <w:r w:rsidR="003E5801">
        <w:rPr>
          <w:rFonts w:eastAsia="Calibri"/>
          <w:sz w:val="22"/>
          <w:szCs w:val="22"/>
          <w:lang w:val="en-US" w:eastAsia="en-US"/>
        </w:rPr>
        <w:t xml:space="preserve"> sequence</w:t>
      </w:r>
      <w:r w:rsidR="00616E70">
        <w:rPr>
          <w:rFonts w:eastAsia="Calibri"/>
          <w:sz w:val="22"/>
          <w:szCs w:val="22"/>
          <w:lang w:val="en-US" w:eastAsia="en-US"/>
        </w:rPr>
        <w:t xml:space="preserve"> knowledge of a </w:t>
      </w:r>
      <w:r w:rsidR="008B431A">
        <w:rPr>
          <w:rFonts w:eastAsia="Calibri"/>
          <w:sz w:val="22"/>
          <w:szCs w:val="22"/>
          <w:lang w:val="en-US" w:eastAsia="en-US"/>
        </w:rPr>
        <w:t>“</w:t>
      </w:r>
      <w:r w:rsidR="00616E70">
        <w:rPr>
          <w:rFonts w:eastAsia="Calibri"/>
          <w:sz w:val="22"/>
          <w:szCs w:val="22"/>
          <w:lang w:val="en-US" w:eastAsia="en-US"/>
        </w:rPr>
        <w:t>target</w:t>
      </w:r>
      <w:r w:rsidR="008B431A">
        <w:rPr>
          <w:rFonts w:eastAsia="Calibri"/>
          <w:sz w:val="22"/>
          <w:szCs w:val="22"/>
          <w:lang w:val="en-US" w:eastAsia="en-US"/>
        </w:rPr>
        <w:t>”</w:t>
      </w:r>
      <w:r w:rsidR="00616E70">
        <w:rPr>
          <w:rFonts w:eastAsia="Calibri"/>
          <w:sz w:val="22"/>
          <w:szCs w:val="22"/>
          <w:lang w:val="en-US" w:eastAsia="en-US"/>
        </w:rPr>
        <w:t xml:space="preserve"> DNA or RNA molecule. In most cases, the techniques also require</w:t>
      </w:r>
      <w:r>
        <w:rPr>
          <w:rFonts w:eastAsia="Calibri"/>
          <w:sz w:val="22"/>
          <w:szCs w:val="22"/>
          <w:lang w:val="en-US" w:eastAsia="en-US"/>
        </w:rPr>
        <w:t xml:space="preserve"> a co-factor composed of an oligonucleotide molecule. The sequence of that </w:t>
      </w:r>
      <w:r w:rsidR="00D459C6">
        <w:rPr>
          <w:rFonts w:eastAsia="Calibri"/>
          <w:sz w:val="22"/>
          <w:szCs w:val="22"/>
          <w:lang w:val="en-US" w:eastAsia="en-US"/>
        </w:rPr>
        <w:t xml:space="preserve">nucleic acid </w:t>
      </w:r>
      <w:r>
        <w:rPr>
          <w:rFonts w:eastAsia="Calibri"/>
          <w:sz w:val="22"/>
          <w:szCs w:val="22"/>
          <w:lang w:val="en-US" w:eastAsia="en-US"/>
        </w:rPr>
        <w:t>molecule is</w:t>
      </w:r>
      <w:r w:rsidR="00616E70">
        <w:rPr>
          <w:rFonts w:eastAsia="Calibri"/>
          <w:sz w:val="22"/>
          <w:szCs w:val="22"/>
          <w:lang w:val="en-US" w:eastAsia="en-US"/>
        </w:rPr>
        <w:t xml:space="preserve"> also</w:t>
      </w:r>
      <w:r>
        <w:rPr>
          <w:rFonts w:eastAsia="Calibri"/>
          <w:sz w:val="22"/>
          <w:szCs w:val="22"/>
          <w:lang w:val="en-US" w:eastAsia="en-US"/>
        </w:rPr>
        <w:t xml:space="preserve"> determined by reference to sequences in databases. </w:t>
      </w:r>
      <w:r w:rsidR="006B05FC">
        <w:rPr>
          <w:rFonts w:eastAsia="Calibri"/>
          <w:sz w:val="22"/>
          <w:szCs w:val="22"/>
          <w:lang w:val="en-US" w:eastAsia="en-US"/>
        </w:rPr>
        <w:t xml:space="preserve">Non-DNA or RNA sequence data are also integral to many gene editing projects. Key to gene editing projects is deciding what to edit. This happens through using data and metadata in many other kinds of databases than those </w:t>
      </w:r>
      <w:r w:rsidR="003623E1">
        <w:rPr>
          <w:rFonts w:eastAsia="Calibri"/>
          <w:sz w:val="22"/>
          <w:szCs w:val="22"/>
          <w:lang w:val="en-US" w:eastAsia="en-US"/>
        </w:rPr>
        <w:t>that</w:t>
      </w:r>
      <w:r w:rsidR="006B05FC">
        <w:rPr>
          <w:rFonts w:eastAsia="Calibri"/>
          <w:sz w:val="22"/>
          <w:szCs w:val="22"/>
          <w:lang w:val="en-US" w:eastAsia="en-US"/>
        </w:rPr>
        <w:t xml:space="preserve"> provide only DNA or RNA sequences.</w:t>
      </w:r>
    </w:p>
    <w:p w14:paraId="3F62C515" w14:textId="77777777" w:rsidR="00616E70" w:rsidRDefault="00616E70" w:rsidP="003623E1">
      <w:pPr>
        <w:spacing w:after="120"/>
        <w:rPr>
          <w:rFonts w:eastAsia="Calibri"/>
          <w:sz w:val="22"/>
          <w:szCs w:val="22"/>
          <w:lang w:val="en-US" w:eastAsia="en-US"/>
        </w:rPr>
      </w:pPr>
      <w:r>
        <w:rPr>
          <w:rFonts w:eastAsia="Calibri"/>
          <w:sz w:val="22"/>
          <w:szCs w:val="22"/>
          <w:lang w:val="en-US" w:eastAsia="en-US"/>
        </w:rPr>
        <w:t xml:space="preserve">Gene editing techniques can be used to </w:t>
      </w:r>
      <w:r w:rsidR="003E5801">
        <w:rPr>
          <w:rFonts w:eastAsia="Calibri"/>
          <w:sz w:val="22"/>
          <w:szCs w:val="22"/>
          <w:lang w:val="en-US" w:eastAsia="en-US"/>
        </w:rPr>
        <w:t>alter</w:t>
      </w:r>
      <w:r>
        <w:rPr>
          <w:rFonts w:eastAsia="Calibri"/>
          <w:sz w:val="22"/>
          <w:szCs w:val="22"/>
          <w:lang w:val="en-US" w:eastAsia="en-US"/>
        </w:rPr>
        <w:t xml:space="preserve"> a genome at multiple locations, introducing gene variations that combine to create complex traits</w:t>
      </w:r>
      <w:r w:rsidR="00021DE7">
        <w:rPr>
          <w:rFonts w:eastAsia="Calibri"/>
          <w:sz w:val="22"/>
          <w:szCs w:val="22"/>
          <w:lang w:val="en-US" w:eastAsia="en-US"/>
        </w:rPr>
        <w:t>. There is a growing number of applications in GRFA</w:t>
      </w:r>
      <w:r w:rsidR="00D36F20">
        <w:rPr>
          <w:rFonts w:eastAsia="Calibri"/>
          <w:sz w:val="22"/>
          <w:szCs w:val="22"/>
          <w:lang w:val="en-US" w:eastAsia="en-US"/>
        </w:rPr>
        <w:t xml:space="preserve"> </w:t>
      </w:r>
      <w:r w:rsidR="001C037C">
        <w:rPr>
          <w:rFonts w:eastAsia="Calibri"/>
          <w:noProof/>
          <w:sz w:val="22"/>
          <w:szCs w:val="22"/>
          <w:lang w:val="en-US" w:eastAsia="en-US"/>
        </w:rPr>
        <w:t>(Lamas-Toranzo</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Pr>
          <w:rFonts w:eastAsia="Calibri"/>
          <w:sz w:val="22"/>
          <w:szCs w:val="22"/>
          <w:lang w:val="en-US" w:eastAsia="en-US"/>
        </w:rPr>
        <w:t>.</w:t>
      </w:r>
      <w:r w:rsidR="002937CF">
        <w:rPr>
          <w:rFonts w:eastAsia="Calibri"/>
          <w:sz w:val="22"/>
          <w:szCs w:val="22"/>
          <w:lang w:val="en-US" w:eastAsia="en-US"/>
        </w:rPr>
        <w:t xml:space="preserve"> Gene editing techniques can be used to generate genetic variation later screened for desirable phenotypes or,</w:t>
      </w:r>
      <w:r w:rsidR="00D36F20">
        <w:rPr>
          <w:rFonts w:eastAsia="Calibri"/>
          <w:sz w:val="22"/>
          <w:szCs w:val="22"/>
          <w:lang w:val="en-US" w:eastAsia="en-US"/>
        </w:rPr>
        <w:t xml:space="preserve"> </w:t>
      </w:r>
      <w:r w:rsidR="002937CF">
        <w:rPr>
          <w:rFonts w:eastAsia="Calibri"/>
          <w:sz w:val="22"/>
          <w:szCs w:val="22"/>
          <w:lang w:val="en-US" w:eastAsia="en-US"/>
        </w:rPr>
        <w:t>o</w:t>
      </w:r>
      <w:r w:rsidR="00D36F20">
        <w:rPr>
          <w:rFonts w:eastAsia="Calibri"/>
          <w:sz w:val="22"/>
          <w:szCs w:val="22"/>
          <w:lang w:val="en-US" w:eastAsia="en-US"/>
        </w:rPr>
        <w:t>nce a desirable variant of gene (called an allele) has been identified, that variant can be created in another germplasm</w:t>
      </w:r>
      <w:r w:rsidR="00021DE7">
        <w:rPr>
          <w:rFonts w:eastAsia="Calibri"/>
          <w:sz w:val="22"/>
          <w:szCs w:val="22"/>
          <w:lang w:val="en-US" w:eastAsia="en-US"/>
        </w:rPr>
        <w:t xml:space="preserve"> (Box </w:t>
      </w:r>
      <w:r w:rsidR="00C7278B">
        <w:rPr>
          <w:rFonts w:eastAsia="Calibri"/>
          <w:sz w:val="22"/>
          <w:szCs w:val="22"/>
          <w:lang w:val="en-US" w:eastAsia="en-US"/>
        </w:rPr>
        <w:t>2</w:t>
      </w:r>
      <w:r w:rsidR="00021DE7">
        <w:rPr>
          <w:rFonts w:eastAsia="Calibri"/>
          <w:sz w:val="22"/>
          <w:szCs w:val="22"/>
          <w:lang w:val="en-US" w:eastAsia="en-US"/>
        </w:rPr>
        <w:t>)</w:t>
      </w:r>
      <w:r w:rsidR="00D36F20">
        <w:rPr>
          <w:rFonts w:eastAsia="Calibri"/>
          <w:sz w:val="22"/>
          <w:szCs w:val="22"/>
          <w:lang w:val="en-US" w:eastAsia="en-US"/>
        </w:rPr>
        <w:t xml:space="preserve">. Doing so has the potential to avoid the so-called drag that comes from breeding two different parents that each </w:t>
      </w:r>
      <w:r w:rsidR="003623E1">
        <w:rPr>
          <w:rFonts w:eastAsia="Calibri"/>
          <w:sz w:val="22"/>
          <w:szCs w:val="22"/>
          <w:lang w:val="en-US" w:eastAsia="en-US"/>
        </w:rPr>
        <w:t xml:space="preserve">has </w:t>
      </w:r>
      <w:r w:rsidR="00D36F20">
        <w:rPr>
          <w:rFonts w:eastAsia="Calibri"/>
          <w:sz w:val="22"/>
          <w:szCs w:val="22"/>
          <w:lang w:val="en-US" w:eastAsia="en-US"/>
        </w:rPr>
        <w:t xml:space="preserve">a different mix of desirable and also undesirable alleles at many different locations. In addition, the desired allele can be identified in any species or stock that shares the equivalent gene. </w:t>
      </w:r>
    </w:p>
    <w:p w14:paraId="4B2F824E" w14:textId="77777777" w:rsidR="007B1230" w:rsidRDefault="003623E1" w:rsidP="00842949">
      <w:pPr>
        <w:spacing w:after="120"/>
        <w:rPr>
          <w:rFonts w:eastAsia="Calibri"/>
          <w:sz w:val="22"/>
          <w:szCs w:val="22"/>
          <w:lang w:val="en-US" w:eastAsia="en-US"/>
        </w:rPr>
      </w:pPr>
      <w:r w:rsidRPr="00A43161">
        <w:rPr>
          <w:rFonts w:eastAsia="Calibri"/>
          <w:noProof/>
          <w:lang w:val="en-CA" w:eastAsia="en-CA"/>
        </w:rPr>
        <w:lastRenderedPageBreak/>
        <mc:AlternateContent>
          <mc:Choice Requires="wps">
            <w:drawing>
              <wp:anchor distT="114935" distB="114935" distL="114300" distR="114300" simplePos="0" relativeHeight="251680768" behindDoc="0" locked="0" layoutInCell="1" allowOverlap="1" wp14:anchorId="10FA67A1" wp14:editId="71664FAC">
                <wp:simplePos x="0" y="0"/>
                <wp:positionH relativeFrom="column">
                  <wp:posOffset>-90170</wp:posOffset>
                </wp:positionH>
                <wp:positionV relativeFrom="paragraph">
                  <wp:posOffset>1037590</wp:posOffset>
                </wp:positionV>
                <wp:extent cx="5257800" cy="4639945"/>
                <wp:effectExtent l="0" t="0" r="25400" b="33655"/>
                <wp:wrapTopAndBottom/>
                <wp:docPr id="23" name="Text Box 23"/>
                <wp:cNvGraphicFramePr/>
                <a:graphic xmlns:a="http://schemas.openxmlformats.org/drawingml/2006/main">
                  <a:graphicData uri="http://schemas.microsoft.com/office/word/2010/wordprocessingShape">
                    <wps:wsp>
                      <wps:cNvSpPr txBox="1"/>
                      <wps:spPr>
                        <a:xfrm>
                          <a:off x="0" y="0"/>
                          <a:ext cx="5257800" cy="4639945"/>
                        </a:xfrm>
                        <a:prstGeom prst="rect">
                          <a:avLst/>
                        </a:prstGeom>
                        <a:noFill/>
                        <a:ln w="12700" cmpd="sng">
                          <a:solidFill>
                            <a:srgbClr val="000000"/>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6DED990" w14:textId="77777777" w:rsidR="00F63D94" w:rsidRDefault="00F63D94" w:rsidP="00011E28">
                            <w:pPr>
                              <w:spacing w:after="120"/>
                              <w:rPr>
                                <w:sz w:val="22"/>
                              </w:rPr>
                            </w:pPr>
                            <w:r w:rsidRPr="00021DE7">
                              <w:rPr>
                                <w:sz w:val="22"/>
                              </w:rPr>
                              <w:t xml:space="preserve">Box </w:t>
                            </w:r>
                            <w:r>
                              <w:rPr>
                                <w:sz w:val="22"/>
                              </w:rPr>
                              <w:t>2. Recent applications of gene editing in GRFA</w:t>
                            </w:r>
                          </w:p>
                          <w:p w14:paraId="6E4D4E3D" w14:textId="77777777" w:rsidR="00F63D94" w:rsidRDefault="00F63D94" w:rsidP="00011E28">
                            <w:pPr>
                              <w:spacing w:after="120"/>
                              <w:rPr>
                                <w:sz w:val="22"/>
                                <w:lang w:val="en-US"/>
                              </w:rPr>
                            </w:pPr>
                            <w:r>
                              <w:rPr>
                                <w:sz w:val="22"/>
                                <w:lang w:val="en-US"/>
                              </w:rPr>
                              <w:t>Tomatoes</w:t>
                            </w:r>
                          </w:p>
                          <w:p w14:paraId="26BF6DB4" w14:textId="77777777" w:rsidR="00F63D94" w:rsidRDefault="00F63D94" w:rsidP="00011E28">
                            <w:pPr>
                              <w:spacing w:after="120"/>
                              <w:rPr>
                                <w:sz w:val="22"/>
                                <w:lang w:val="en-US"/>
                              </w:rPr>
                            </w:pPr>
                            <w:r>
                              <w:rPr>
                                <w:sz w:val="22"/>
                                <w:lang w:val="en-US"/>
                              </w:rPr>
                              <w:t xml:space="preserve">The </w:t>
                            </w:r>
                            <w:r w:rsidRPr="00254B9F">
                              <w:rPr>
                                <w:i/>
                                <w:sz w:val="22"/>
                                <w:lang w:val="en-US"/>
                              </w:rPr>
                              <w:t>cis</w:t>
                            </w:r>
                            <w:r>
                              <w:rPr>
                                <w:sz w:val="22"/>
                                <w:lang w:val="en-US"/>
                              </w:rPr>
                              <w:t>-regulatory elements of genes are important for gene expression but are not sequences that vary the protein product of a gene. Variations in expression level have been found in both quantitative trail loci (QTL) and genome wide association studies (both of which are dependent on DSI) to be a significant source of phenotypic diversity.</w:t>
                            </w:r>
                          </w:p>
                          <w:p w14:paraId="18E04977" w14:textId="77777777" w:rsidR="00F63D94" w:rsidRDefault="00F63D94" w:rsidP="00011E28">
                            <w:pPr>
                              <w:spacing w:after="120"/>
                              <w:rPr>
                                <w:sz w:val="22"/>
                                <w:lang w:val="en-US"/>
                              </w:rPr>
                            </w:pPr>
                            <w:r>
                              <w:rPr>
                                <w:sz w:val="22"/>
                                <w:lang w:val="en-US"/>
                              </w:rPr>
                              <w:t>Researchers developed a CRISPR/Cas9 gene drive system in tomatoes “</w:t>
                            </w:r>
                            <w:r w:rsidRPr="00A2249F">
                              <w:rPr>
                                <w:sz w:val="22"/>
                                <w:lang w:val="en-US"/>
                              </w:rPr>
                              <w:t xml:space="preserve">to rapidly </w:t>
                            </w:r>
                            <w:r>
                              <w:rPr>
                                <w:sz w:val="22"/>
                                <w:lang w:val="en-US"/>
                              </w:rPr>
                              <w:t xml:space="preserve">and efficiently generate dozens </w:t>
                            </w:r>
                            <w:r w:rsidRPr="00A2249F">
                              <w:rPr>
                                <w:sz w:val="22"/>
                                <w:lang w:val="en-US"/>
                              </w:rPr>
                              <w:t>of novel cis-regulatory alleles for three genes that regulate fruit</w:t>
                            </w:r>
                            <w:r>
                              <w:rPr>
                                <w:sz w:val="22"/>
                                <w:lang w:val="en-US"/>
                              </w:rPr>
                              <w:t xml:space="preserve"> </w:t>
                            </w:r>
                            <w:r w:rsidRPr="00A2249F">
                              <w:rPr>
                                <w:sz w:val="22"/>
                                <w:lang w:val="en-US"/>
                              </w:rPr>
                              <w:t>size, inflorescence architecture, and plant growth habit</w:t>
                            </w:r>
                            <w:r>
                              <w:rPr>
                                <w:sz w:val="22"/>
                                <w:lang w:val="en-US"/>
                              </w:rPr>
                              <w:t xml:space="preserve">” </w:t>
                            </w:r>
                            <w:r>
                              <w:rPr>
                                <w:sz w:val="22"/>
                                <w:lang w:val="en-US"/>
                              </w:rPr>
                              <w:fldChar w:fldCharType="begin"/>
                            </w:r>
                            <w:r>
                              <w:rPr>
                                <w:sz w:val="22"/>
                                <w:lang w:val="en-US"/>
                              </w:rPr>
                              <w:instrText xml:space="preserve"> ADDIN EN.CITE &lt;EndNote&gt;&lt;Cite&gt;&lt;Author&gt;Rodríguez-Leal&lt;/Author&gt;&lt;Year&gt;2017&lt;/Year&gt;&lt;RecNum&gt;286&lt;/RecNum&gt;&lt;DisplayText&gt;(Rodríguez-Leal&lt;style face="italic"&gt; et al.&lt;/style&gt;, 2017)&lt;/DisplayText&gt;&lt;record&gt;&lt;rec-number&gt;286&lt;/rec-number&gt;&lt;foreign-keys&gt;&lt;key app="EN" db-id="vav00vdrjedrwre5xsc5vxpsx0fp9arstrrf" timestamp="1516738822"&gt;286&lt;/key&gt;&lt;/foreign-keys&gt;&lt;ref-type name="Journal Article"&gt;17&lt;/ref-type&gt;&lt;contributors&gt;&lt;authors&gt;&lt;author&gt;Rodríguez-Leal, Daniel&lt;/author&gt;&lt;author&gt;Lemmon, Zachary H.&lt;/author&gt;&lt;author&gt;Man, Jarrett&lt;/author&gt;&lt;author&gt;Bartlett, Madelaine E.&lt;/author&gt;&lt;author&gt;Lippman, Zachary B.&lt;/author&gt;&lt;/authors&gt;&lt;/contributors&gt;&lt;titles&gt;&lt;title&gt;Engineering quantitative trait variation for crop improvement by genome editing&lt;/title&gt;&lt;secondary-title&gt;Cell&lt;/secondary-title&gt;&lt;alt-title&gt;Cell&lt;/alt-title&gt;&lt;/titles&gt;&lt;periodical&gt;&lt;full-title&gt;Cell&lt;/full-title&gt;&lt;abbr-1&gt;Cell&lt;/abbr-1&gt;&lt;/periodical&gt;&lt;alt-periodical&gt;&lt;full-title&gt;Cell&lt;/full-title&gt;&lt;abbr-1&gt;Cell&lt;/abbr-1&gt;&lt;/alt-periodical&gt;&lt;pages&gt;470-480.e8&lt;/pages&gt;&lt;volume&gt;171&lt;/volume&gt;&lt;number&gt;2&lt;/number&gt;&lt;keywords&gt;&lt;keyword&gt;CRISPR/Cas9&lt;/keyword&gt;&lt;keyword&gt;-regulatory&lt;/keyword&gt;&lt;keyword&gt;tomato&lt;/keyword&gt;&lt;keyword&gt;QTL&lt;/keyword&gt;&lt;keyword&gt;quantitative variation&lt;/keyword&gt;&lt;keyword&gt;domestication&lt;/keyword&gt;&lt;keyword&gt;breeding&lt;/keyword&gt;&lt;keyword&gt;flowering&lt;/keyword&gt;&lt;keyword&gt;inflorescence&lt;/keyword&gt;&lt;keyword&gt;fruit size&lt;/keyword&gt;&lt;/keywords&gt;&lt;dates&gt;&lt;year&gt;2017&lt;/year&gt;&lt;pub-dates&gt;&lt;date&gt;2017/10/05/&lt;/date&gt;&lt;/pub-dates&gt;&lt;/dates&gt;&lt;isbn&gt;0092-8674&lt;/isbn&gt;&lt;urls&gt;&lt;related-urls&gt;&lt;url&gt;http://www.sciencedirect.com/science/article/pii/S0092867417309881&lt;/url&gt;&lt;/related-urls&gt;&lt;/urls&gt;&lt;electronic-resource-num&gt;https://doi.org/10.1016/j.cell.2017.08.030&lt;/electronic-resource-num&gt;&lt;/record&gt;&lt;/Cite&gt;&lt;/EndNote&gt;</w:instrText>
                            </w:r>
                            <w:r>
                              <w:rPr>
                                <w:sz w:val="22"/>
                                <w:lang w:val="en-US"/>
                              </w:rPr>
                              <w:fldChar w:fldCharType="separate"/>
                            </w:r>
                            <w:r>
                              <w:rPr>
                                <w:noProof/>
                                <w:sz w:val="22"/>
                                <w:lang w:val="en-US"/>
                              </w:rPr>
                              <w:t>(Rodríguez-Leal</w:t>
                            </w:r>
                            <w:r w:rsidRPr="001C037C">
                              <w:rPr>
                                <w:i/>
                                <w:noProof/>
                                <w:sz w:val="22"/>
                                <w:lang w:val="en-US"/>
                              </w:rPr>
                              <w:t xml:space="preserve"> et al.</w:t>
                            </w:r>
                            <w:r>
                              <w:rPr>
                                <w:noProof/>
                                <w:sz w:val="22"/>
                                <w:lang w:val="en-US"/>
                              </w:rPr>
                              <w:t>, 2017)</w:t>
                            </w:r>
                            <w:r>
                              <w:rPr>
                                <w:sz w:val="22"/>
                                <w:lang w:val="en-US"/>
                              </w:rPr>
                              <w:fldChar w:fldCharType="end"/>
                            </w:r>
                            <w:r>
                              <w:rPr>
                                <w:sz w:val="22"/>
                                <w:lang w:val="en-US"/>
                              </w:rPr>
                              <w:t xml:space="preserve">. The components of the gene editing CRISPR/Cas9 system were designed from DSI and introduced as transgenes into the tomato genome. A novel genetic system that ensured stable inheritance of the transgenes was devised to increase the number of changes that could accumulate. Offspring with desired phenotypes were isolated over multiple generations. </w:t>
                            </w:r>
                          </w:p>
                          <w:p w14:paraId="6F6F211C" w14:textId="77777777" w:rsidR="00F63D94" w:rsidRDefault="00F63D94" w:rsidP="00011E28">
                            <w:pPr>
                              <w:spacing w:after="120"/>
                              <w:rPr>
                                <w:sz w:val="22"/>
                              </w:rPr>
                            </w:pPr>
                            <w:r>
                              <w:rPr>
                                <w:sz w:val="22"/>
                              </w:rPr>
                              <w:t>Sheep</w:t>
                            </w:r>
                          </w:p>
                          <w:p w14:paraId="155628EF" w14:textId="77777777" w:rsidR="00F63D94" w:rsidRDefault="00F63D94" w:rsidP="00011E28">
                            <w:pPr>
                              <w:spacing w:after="120"/>
                              <w:rPr>
                                <w:sz w:val="22"/>
                                <w:lang w:val="en-US"/>
                              </w:rPr>
                            </w:pPr>
                            <w:r>
                              <w:rPr>
                                <w:sz w:val="22"/>
                              </w:rPr>
                              <w:t xml:space="preserve">The </w:t>
                            </w:r>
                            <w:r w:rsidRPr="008F003C">
                              <w:rPr>
                                <w:i/>
                                <w:sz w:val="22"/>
                              </w:rPr>
                              <w:t>BCO2</w:t>
                            </w:r>
                            <w:r>
                              <w:rPr>
                                <w:sz w:val="22"/>
                              </w:rPr>
                              <w:t xml:space="preserve"> gene of Norwegian sheep is important for determining the trait “yellow fat”. Mutations in this gene prevent production of an enzyme that converts </w:t>
                            </w:r>
                            <w:r w:rsidRPr="008F003C">
                              <w:rPr>
                                <w:rFonts w:ascii="Symbol" w:hAnsi="Symbol"/>
                                <w:sz w:val="22"/>
                              </w:rPr>
                              <w:t></w:t>
                            </w:r>
                            <w:r>
                              <w:rPr>
                                <w:sz w:val="22"/>
                              </w:rPr>
                              <w:t xml:space="preserve">-carotene into </w:t>
                            </w:r>
                            <w:r w:rsidRPr="00194ECB">
                              <w:rPr>
                                <w:sz w:val="22"/>
                                <w:lang w:val="en-US"/>
                              </w:rPr>
                              <w:t>retinaldehyd</w:t>
                            </w:r>
                            <w:r>
                              <w:rPr>
                                <w:sz w:val="22"/>
                                <w:lang w:val="en-US"/>
                              </w:rPr>
                              <w:t xml:space="preserve">e. The accumulation of </w:t>
                            </w:r>
                            <w:r w:rsidRPr="008F003C">
                              <w:rPr>
                                <w:rFonts w:ascii="Symbol" w:hAnsi="Symbol"/>
                                <w:sz w:val="22"/>
                              </w:rPr>
                              <w:t></w:t>
                            </w:r>
                            <w:r>
                              <w:rPr>
                                <w:sz w:val="22"/>
                                <w:lang w:val="en-US"/>
                              </w:rPr>
                              <w:t xml:space="preserve">-carotene is often desirable because it can be converted by people into Vitamin A. Fat with accumulations of </w:t>
                            </w:r>
                            <w:r w:rsidRPr="008F003C">
                              <w:rPr>
                                <w:rFonts w:ascii="Symbol" w:hAnsi="Symbol"/>
                                <w:sz w:val="22"/>
                              </w:rPr>
                              <w:t></w:t>
                            </w:r>
                            <w:r>
                              <w:rPr>
                                <w:sz w:val="22"/>
                                <w:lang w:val="en-US"/>
                              </w:rPr>
                              <w:t>-carotene is characteristically yellow in colour.</w:t>
                            </w:r>
                          </w:p>
                          <w:p w14:paraId="256D12BF" w14:textId="77777777" w:rsidR="00F63D94" w:rsidRPr="008F003C" w:rsidRDefault="00F63D94" w:rsidP="00011E28">
                            <w:pPr>
                              <w:spacing w:after="120"/>
                              <w:rPr>
                                <w:sz w:val="22"/>
                                <w:lang w:val="en-US"/>
                              </w:rPr>
                            </w:pPr>
                            <w:r>
                              <w:rPr>
                                <w:sz w:val="22"/>
                                <w:lang w:val="en-US"/>
                              </w:rPr>
                              <w:t xml:space="preserve">The gene editing tool CRISPR/Cas9 guided by DSI of the </w:t>
                            </w:r>
                            <w:r w:rsidRPr="008F003C">
                              <w:rPr>
                                <w:i/>
                                <w:sz w:val="22"/>
                                <w:lang w:val="en-US"/>
                              </w:rPr>
                              <w:t>BCO2</w:t>
                            </w:r>
                            <w:r>
                              <w:rPr>
                                <w:sz w:val="22"/>
                                <w:lang w:val="en-US"/>
                              </w:rPr>
                              <w:t xml:space="preserve"> gene was used on the one cell </w:t>
                            </w:r>
                            <w:r w:rsidRPr="008F003C">
                              <w:rPr>
                                <w:sz w:val="22"/>
                                <w:lang w:val="en-US"/>
                              </w:rPr>
                              <w:t>stage</w:t>
                            </w:r>
                            <w:r>
                              <w:rPr>
                                <w:sz w:val="22"/>
                                <w:lang w:val="en-US"/>
                              </w:rPr>
                              <w:t xml:space="preserve"> of Tan</w:t>
                            </w:r>
                            <w:r w:rsidRPr="008F003C">
                              <w:rPr>
                                <w:sz w:val="22"/>
                                <w:lang w:val="en-US"/>
                              </w:rPr>
                              <w:t xml:space="preserve"> sheep zygotes</w:t>
                            </w:r>
                            <w:r>
                              <w:rPr>
                                <w:sz w:val="22"/>
                                <w:lang w:val="en-US"/>
                              </w:rPr>
                              <w:t xml:space="preserve"> creating either </w:t>
                            </w:r>
                            <w:r w:rsidRPr="008F003C">
                              <w:rPr>
                                <w:sz w:val="22"/>
                                <w:lang w:val="en-US"/>
                              </w:rPr>
                              <w:t>biallelic</w:t>
                            </w:r>
                            <w:r>
                              <w:rPr>
                                <w:sz w:val="22"/>
                                <w:lang w:val="en-US"/>
                              </w:rPr>
                              <w:t xml:space="preserve"> or monoallelic </w:t>
                            </w:r>
                            <w:r w:rsidRPr="008F003C">
                              <w:rPr>
                                <w:i/>
                                <w:sz w:val="22"/>
                                <w:lang w:val="en-US"/>
                              </w:rPr>
                              <w:t>BCO2</w:t>
                            </w:r>
                            <w:r>
                              <w:rPr>
                                <w:i/>
                                <w:sz w:val="22"/>
                                <w:lang w:val="en-US"/>
                              </w:rPr>
                              <w:t xml:space="preserve"> </w:t>
                            </w:r>
                            <w:r w:rsidRPr="008F003C">
                              <w:rPr>
                                <w:sz w:val="22"/>
                                <w:lang w:val="en-US"/>
                              </w:rPr>
                              <w:t>disrupted modified animals</w:t>
                            </w:r>
                            <w:r>
                              <w:rPr>
                                <w:sz w:val="22"/>
                                <w:lang w:val="en-US"/>
                              </w:rPr>
                              <w:t xml:space="preserve"> </w:t>
                            </w:r>
                            <w:r>
                              <w:rPr>
                                <w:sz w:val="22"/>
                                <w:lang w:val="en-US"/>
                              </w:rPr>
                              <w:fldChar w:fldCharType="begin"/>
                            </w:r>
                            <w:r>
                              <w:rPr>
                                <w:sz w:val="22"/>
                                <w:lang w:val="en-US"/>
                              </w:rPr>
                              <w:instrText xml:space="preserve"> ADDIN EN.CITE &lt;EndNote&gt;&lt;Cite&gt;&lt;Author&gt;Niu&lt;/Author&gt;&lt;Year&gt;2017&lt;/Year&gt;&lt;RecNum&gt;285&lt;/RecNum&gt;&lt;DisplayText&gt;(Niu, 2017)&lt;/DisplayText&gt;&lt;record&gt;&lt;rec-number&gt;285&lt;/rec-number&gt;&lt;foreign-keys&gt;&lt;key app="EN" db-id="vav00vdrjedrwre5xsc5vxpsx0fp9arstrrf" timestamp="1516737079"&gt;285&lt;/key&gt;&lt;/foreign-keys&gt;&lt;ref-type name="Journal Article"&gt;17&lt;/ref-type&gt;&lt;contributors&gt;&lt;authors&gt;&lt;author&gt;Niu, Y., Jin, M., Li, Y., Li, P., Zhou, J., Wang, X., Petersen, B., Huang, X., Kou, Q. and Chen, Y. &lt;/author&gt;&lt;/authors&gt;&lt;/contributors&gt;&lt;titles&gt;&lt;title&gt;Biallelic β-carotene oxygenase 2 knockout results in yellow fat in sheep via CRISPR/Cas9&lt;/title&gt;&lt;secondary-title&gt;Anim Genet&lt;/secondary-title&gt;&lt;alt-title&gt;Anim Genet&lt;/alt-title&gt;&lt;/titles&gt;&lt;periodical&gt;&lt;full-title&gt;Anim Genet&lt;/full-title&gt;&lt;abbr-1&gt;Anim Genet&lt;/abbr-1&gt;&lt;/periodical&gt;&lt;alt-periodical&gt;&lt;full-title&gt;Anim Genet&lt;/full-title&gt;&lt;abbr-1&gt;Anim Genet&lt;/abbr-1&gt;&lt;/alt-periodical&gt;&lt;pages&gt;242–244&lt;/pages&gt;&lt;volume&gt;48&lt;/volume&gt;&lt;dates&gt;&lt;year&gt;2017&lt;/year&gt;&lt;/dates&gt;&lt;urls&gt;&lt;/urls&gt;&lt;/record&gt;&lt;/Cite&gt;&lt;/EndNote&gt;</w:instrText>
                            </w:r>
                            <w:r>
                              <w:rPr>
                                <w:sz w:val="22"/>
                                <w:lang w:val="en-US"/>
                              </w:rPr>
                              <w:fldChar w:fldCharType="separate"/>
                            </w:r>
                            <w:r>
                              <w:rPr>
                                <w:noProof/>
                                <w:sz w:val="22"/>
                                <w:lang w:val="en-US"/>
                              </w:rPr>
                              <w:t>(Niu, 2017)</w:t>
                            </w:r>
                            <w:r>
                              <w:rPr>
                                <w:sz w:val="22"/>
                                <w:lang w:val="en-US"/>
                              </w:rPr>
                              <w:fldChar w:fldCharType="end"/>
                            </w:r>
                            <w:r>
                              <w:rPr>
                                <w:sz w:val="22"/>
                                <w:lang w:val="en-US"/>
                              </w:rPr>
                              <w:t xml:space="preserve">. Biallelic animals (those with both </w:t>
                            </w:r>
                            <w:r w:rsidRPr="008F003C">
                              <w:rPr>
                                <w:i/>
                                <w:sz w:val="22"/>
                                <w:lang w:val="en-US"/>
                              </w:rPr>
                              <w:t>BCO2</w:t>
                            </w:r>
                            <w:r>
                              <w:rPr>
                                <w:sz w:val="22"/>
                                <w:lang w:val="en-US"/>
                              </w:rPr>
                              <w:t xml:space="preserve"> genes mutated) had significantly more yellow colour in fat.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FA67A1" id="Text Box 23" o:spid="_x0000_s1033" type="#_x0000_t202" style="position:absolute;margin-left:-7.1pt;margin-top:81.7pt;width:414pt;height:365.35pt;z-index:251680768;visibility:visible;mso-wrap-style:square;mso-height-percent:0;mso-wrap-distance-left:9pt;mso-wrap-distance-top:9.05pt;mso-wrap-distance-right:9pt;mso-wrap-distance-bottom:9.05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S+ZzAIAAOsFAAAOAAAAZHJzL2Uyb0RvYy54bWysVN1v2jAQf5+0/8HyO02goRTUUKVUTJOq&#10;tVo79dk4NkRzfJ5tIGza/76zk1DW7aXTeAjnu999f1xdN7UiO2FdBTqnw7OUEqE5lJVe5/TL03Jw&#10;SYnzTJdMgRY5PQhHr+fv313tzUyMYAOqFJagEe1me5PTjfdmliSOb0TN3BkYoVEowdbM49Ouk9Ky&#10;PVqvVTJK04tkD7Y0FrhwDrm3rZDOo30pBff3Ujrhicopxubj18bvKnyT+RWbrS0zm4p3YbB/iKJm&#10;lUanR1O3zDOytdUfpuqKW3Ag/RmHOgEpKy5iDpjNMH2VzeOGGRFzweI4cyyT+39m+afdgyVVmdPR&#10;OSWa1dijJ9F4cgMNQRbWZ2/cDGGPBoG+QT72uec7ZIa0G2nr8I8JEZRjpQ/H6gZrHJnj0XhymaKI&#10;oyy7OJ9Os3Gwk7yoG+v8BwE1CUROLbYvVpXt7pxvoT0keNOwrJSKLVSa7DGu0SQ6qA0m5PQ6KjtQ&#10;VRmAQcXZ9WqhLNmxMBDx18VwAsOIlA5oESeo9Y2vxiMZ+ZhS7O6PxXgyKibj6eCiGA8H2TC9HBRF&#10;OhrcLou0SLPlYprd/Ow89PpJqGhbuUj5gxLBqtKfhcRexALGYMMWiGO4jHOhfax9jBDRASUxtbco&#10;dviYR8zvLcptRXrPoP1Rua402Lbgv4ddfu1Dli0eW36SdyB9s2riEE76wVpBecB5s9BurDN8WeFM&#10;3DHnH5jFFcU5wrPj7/EjFWDvoaMo2YD9/jd+wOPmoJSSPa48jsi3LbOCEvVR405Nh1kWbkR8ZNhY&#10;fNhTyepUorf1AnCIhnjgDI9kwHvVk9JC/YzXqQheUcQ0R9859T258O0hwuvGRVFEEF4Fw/ydfjQ8&#10;mA5NChP/1Dwza7q18DhIn6A/Dmz2ajtabNDUUGw9yCquTqhzW9Wu/nhR4vJ11y+crNN3RL3c6Pkv&#10;AAAA//8DAFBLAwQUAAYACAAAACEAMeUvpN4AAAALAQAADwAAAGRycy9kb3ducmV2LnhtbEyPzU7D&#10;MBCE70i8g7VI3FrnjyqkcaoKlCNCpDyAk2zjqLEd2W6bvD3LCW47mk+zM+Vh0RO7ofOjNQLibQQM&#10;TWf70QwCvk/1JgfmgzS9nKxBASt6OFSPD6Usens3X3hrwsAoxPhCClAhzAXnvlOopd/aGQ15Z+u0&#10;DCTdwHsn7xSuJ55E0Y5rORr6oOSMbwq7S3PVApZkVXVqu/dj1qj1/Jm39ceLE+L5aTnugQVcwh8M&#10;v/WpOlTUqbVX03s2CdjEWUIoGbs0A0ZEHqc0pqXjNYuBVyX/v6H6AQAA//8DAFBLAQItABQABgAI&#10;AAAAIQC2gziS/gAAAOEBAAATAAAAAAAAAAAAAAAAAAAAAABbQ29udGVudF9UeXBlc10ueG1sUEsB&#10;Ai0AFAAGAAgAAAAhADj9If/WAAAAlAEAAAsAAAAAAAAAAAAAAAAALwEAAF9yZWxzLy5yZWxzUEsB&#10;Ai0AFAAGAAgAAAAhABsVL5nMAgAA6wUAAA4AAAAAAAAAAAAAAAAALgIAAGRycy9lMm9Eb2MueG1s&#10;UEsBAi0AFAAGAAgAAAAhADHlL6TeAAAACwEAAA8AAAAAAAAAAAAAAAAAJgUAAGRycy9kb3ducmV2&#10;LnhtbFBLBQYAAAAABAAEAPMAAAAxBgAAAAA=&#10;" filled="f" strokeweight="1pt">
                <v:textbox>
                  <w:txbxContent>
                    <w:p w14:paraId="46DED990" w14:textId="77777777" w:rsidR="00F63D94" w:rsidRDefault="00F63D94" w:rsidP="00011E28">
                      <w:pPr>
                        <w:spacing w:after="120"/>
                        <w:rPr>
                          <w:sz w:val="22"/>
                        </w:rPr>
                      </w:pPr>
                      <w:r w:rsidRPr="00021DE7">
                        <w:rPr>
                          <w:sz w:val="22"/>
                        </w:rPr>
                        <w:t xml:space="preserve">Box </w:t>
                      </w:r>
                      <w:r>
                        <w:rPr>
                          <w:sz w:val="22"/>
                        </w:rPr>
                        <w:t>2. Recent applications of gene editing in GRFA</w:t>
                      </w:r>
                    </w:p>
                    <w:p w14:paraId="6E4D4E3D" w14:textId="77777777" w:rsidR="00F63D94" w:rsidRDefault="00F63D94" w:rsidP="00011E28">
                      <w:pPr>
                        <w:spacing w:after="120"/>
                        <w:rPr>
                          <w:sz w:val="22"/>
                          <w:lang w:val="en-US"/>
                        </w:rPr>
                      </w:pPr>
                      <w:r>
                        <w:rPr>
                          <w:sz w:val="22"/>
                          <w:lang w:val="en-US"/>
                        </w:rPr>
                        <w:t>Tomatoes</w:t>
                      </w:r>
                    </w:p>
                    <w:p w14:paraId="26BF6DB4" w14:textId="77777777" w:rsidR="00F63D94" w:rsidRDefault="00F63D94" w:rsidP="00011E28">
                      <w:pPr>
                        <w:spacing w:after="120"/>
                        <w:rPr>
                          <w:sz w:val="22"/>
                          <w:lang w:val="en-US"/>
                        </w:rPr>
                      </w:pPr>
                      <w:r>
                        <w:rPr>
                          <w:sz w:val="22"/>
                          <w:lang w:val="en-US"/>
                        </w:rPr>
                        <w:t xml:space="preserve">The </w:t>
                      </w:r>
                      <w:r w:rsidRPr="00254B9F">
                        <w:rPr>
                          <w:i/>
                          <w:sz w:val="22"/>
                          <w:lang w:val="en-US"/>
                        </w:rPr>
                        <w:t>cis</w:t>
                      </w:r>
                      <w:r>
                        <w:rPr>
                          <w:sz w:val="22"/>
                          <w:lang w:val="en-US"/>
                        </w:rPr>
                        <w:t>-regulatory elements of genes are important for gene expression but are not sequences that vary the protein product of a gene. Variations in expression level have been found in both quantitative trail loci (QTL) and genome wide association studies (both of which are dependent on DSI) to be a significant source of phenotypic diversity.</w:t>
                      </w:r>
                    </w:p>
                    <w:p w14:paraId="18E04977" w14:textId="77777777" w:rsidR="00F63D94" w:rsidRDefault="00F63D94" w:rsidP="00011E28">
                      <w:pPr>
                        <w:spacing w:after="120"/>
                        <w:rPr>
                          <w:sz w:val="22"/>
                          <w:lang w:val="en-US"/>
                        </w:rPr>
                      </w:pPr>
                      <w:r>
                        <w:rPr>
                          <w:sz w:val="22"/>
                          <w:lang w:val="en-US"/>
                        </w:rPr>
                        <w:t>Researchers developed a CRISPR/Cas9 gene drive system in tomatoes “</w:t>
                      </w:r>
                      <w:r w:rsidRPr="00A2249F">
                        <w:rPr>
                          <w:sz w:val="22"/>
                          <w:lang w:val="en-US"/>
                        </w:rPr>
                        <w:t xml:space="preserve">to rapidly </w:t>
                      </w:r>
                      <w:r>
                        <w:rPr>
                          <w:sz w:val="22"/>
                          <w:lang w:val="en-US"/>
                        </w:rPr>
                        <w:t xml:space="preserve">and efficiently generate dozens </w:t>
                      </w:r>
                      <w:r w:rsidRPr="00A2249F">
                        <w:rPr>
                          <w:sz w:val="22"/>
                          <w:lang w:val="en-US"/>
                        </w:rPr>
                        <w:t>of novel cis-regulatory alleles for three genes that regulate fruit</w:t>
                      </w:r>
                      <w:r>
                        <w:rPr>
                          <w:sz w:val="22"/>
                          <w:lang w:val="en-US"/>
                        </w:rPr>
                        <w:t xml:space="preserve"> </w:t>
                      </w:r>
                      <w:r w:rsidRPr="00A2249F">
                        <w:rPr>
                          <w:sz w:val="22"/>
                          <w:lang w:val="en-US"/>
                        </w:rPr>
                        <w:t>size, inflorescence architecture, and plant growth habit</w:t>
                      </w:r>
                      <w:r>
                        <w:rPr>
                          <w:sz w:val="22"/>
                          <w:lang w:val="en-US"/>
                        </w:rPr>
                        <w:t xml:space="preserve">” </w:t>
                      </w:r>
                      <w:r>
                        <w:rPr>
                          <w:sz w:val="22"/>
                          <w:lang w:val="en-US"/>
                        </w:rPr>
                        <w:fldChar w:fldCharType="begin"/>
                      </w:r>
                      <w:r>
                        <w:rPr>
                          <w:sz w:val="22"/>
                          <w:lang w:val="en-US"/>
                        </w:rPr>
                        <w:instrText xml:space="preserve"> ADDIN EN.CITE &lt;EndNote&gt;&lt;Cite&gt;&lt;Author&gt;Rodríguez-Leal&lt;/Author&gt;&lt;Year&gt;2017&lt;/Year&gt;&lt;RecNum&gt;286&lt;/RecNum&gt;&lt;DisplayText&gt;(Rodríguez-Leal&lt;style face="italic"&gt; et al.&lt;/style&gt;, 2017)&lt;/DisplayText&gt;&lt;record&gt;&lt;rec-number&gt;286&lt;/rec-number&gt;&lt;foreign-keys&gt;&lt;key app="EN" db-id="vav00vdrjedrwre5xsc5vxpsx0fp9arstrrf" timestamp="1516738822"&gt;286&lt;/key&gt;&lt;/foreign-keys&gt;&lt;ref-type name="Journal Article"&gt;17&lt;/ref-type&gt;&lt;contributors&gt;&lt;authors&gt;&lt;author&gt;Rodríguez-Leal, Daniel&lt;/author&gt;&lt;author&gt;Lemmon, Zachary H.&lt;/author&gt;&lt;author&gt;Man, Jarrett&lt;/author&gt;&lt;author&gt;Bartlett, Madelaine E.&lt;/author&gt;&lt;author&gt;Lippman, Zachary B.&lt;/author&gt;&lt;/authors&gt;&lt;/contributors&gt;&lt;titles&gt;&lt;title&gt;Engineering quantitative trait variation for crop improvement by genome editing&lt;/title&gt;&lt;secondary-title&gt;Cell&lt;/secondary-title&gt;&lt;alt-title&gt;Cell&lt;/alt-title&gt;&lt;/titles&gt;&lt;periodical&gt;&lt;full-title&gt;Cell&lt;/full-title&gt;&lt;abbr-1&gt;Cell&lt;/abbr-1&gt;&lt;/periodical&gt;&lt;alt-periodical&gt;&lt;full-title&gt;Cell&lt;/full-title&gt;&lt;abbr-1&gt;Cell&lt;/abbr-1&gt;&lt;/alt-periodical&gt;&lt;pages&gt;470-480.e8&lt;/pages&gt;&lt;volume&gt;171&lt;/volume&gt;&lt;number&gt;2&lt;/number&gt;&lt;keywords&gt;&lt;keyword&gt;CRISPR/Cas9&lt;/keyword&gt;&lt;keyword&gt;-regulatory&lt;/keyword&gt;&lt;keyword&gt;tomato&lt;/keyword&gt;&lt;keyword&gt;QTL&lt;/keyword&gt;&lt;keyword&gt;quantitative variation&lt;/keyword&gt;&lt;keyword&gt;domestication&lt;/keyword&gt;&lt;keyword&gt;breeding&lt;/keyword&gt;&lt;keyword&gt;flowering&lt;/keyword&gt;&lt;keyword&gt;inflorescence&lt;/keyword&gt;&lt;keyword&gt;fruit size&lt;/keyword&gt;&lt;/keywords&gt;&lt;dates&gt;&lt;year&gt;2017&lt;/year&gt;&lt;pub-dates&gt;&lt;date&gt;2017/10/05/&lt;/date&gt;&lt;/pub-dates&gt;&lt;/dates&gt;&lt;isbn&gt;0092-8674&lt;/isbn&gt;&lt;urls&gt;&lt;related-urls&gt;&lt;url&gt;http://www.sciencedirect.com/science/article/pii/S0092867417309881&lt;/url&gt;&lt;/related-urls&gt;&lt;/urls&gt;&lt;electronic-resource-num&gt;https://doi.org/10.1016/j.cell.2017.08.030&lt;/electronic-resource-num&gt;&lt;/record&gt;&lt;/Cite&gt;&lt;/EndNote&gt;</w:instrText>
                      </w:r>
                      <w:r>
                        <w:rPr>
                          <w:sz w:val="22"/>
                          <w:lang w:val="en-US"/>
                        </w:rPr>
                        <w:fldChar w:fldCharType="separate"/>
                      </w:r>
                      <w:r>
                        <w:rPr>
                          <w:noProof/>
                          <w:sz w:val="22"/>
                          <w:lang w:val="en-US"/>
                        </w:rPr>
                        <w:t>(Rodríguez-Leal</w:t>
                      </w:r>
                      <w:r w:rsidRPr="001C037C">
                        <w:rPr>
                          <w:i/>
                          <w:noProof/>
                          <w:sz w:val="22"/>
                          <w:lang w:val="en-US"/>
                        </w:rPr>
                        <w:t xml:space="preserve"> et al.</w:t>
                      </w:r>
                      <w:r>
                        <w:rPr>
                          <w:noProof/>
                          <w:sz w:val="22"/>
                          <w:lang w:val="en-US"/>
                        </w:rPr>
                        <w:t>, 2017)</w:t>
                      </w:r>
                      <w:r>
                        <w:rPr>
                          <w:sz w:val="22"/>
                          <w:lang w:val="en-US"/>
                        </w:rPr>
                        <w:fldChar w:fldCharType="end"/>
                      </w:r>
                      <w:r>
                        <w:rPr>
                          <w:sz w:val="22"/>
                          <w:lang w:val="en-US"/>
                        </w:rPr>
                        <w:t xml:space="preserve">. The components of the gene editing CRISPR/Cas9 system were designed from DSI and introduced as transgenes into the tomato genome. A novel genetic system that ensured stable inheritance of the transgenes was devised to increase the number of changes that could accumulate. Offspring with desired phenotypes were isolated over multiple generations. </w:t>
                      </w:r>
                    </w:p>
                    <w:p w14:paraId="6F6F211C" w14:textId="77777777" w:rsidR="00F63D94" w:rsidRDefault="00F63D94" w:rsidP="00011E28">
                      <w:pPr>
                        <w:spacing w:after="120"/>
                        <w:rPr>
                          <w:sz w:val="22"/>
                        </w:rPr>
                      </w:pPr>
                      <w:r>
                        <w:rPr>
                          <w:sz w:val="22"/>
                        </w:rPr>
                        <w:t>Sheep</w:t>
                      </w:r>
                    </w:p>
                    <w:p w14:paraId="155628EF" w14:textId="77777777" w:rsidR="00F63D94" w:rsidRDefault="00F63D94" w:rsidP="00011E28">
                      <w:pPr>
                        <w:spacing w:after="120"/>
                        <w:rPr>
                          <w:sz w:val="22"/>
                          <w:lang w:val="en-US"/>
                        </w:rPr>
                      </w:pPr>
                      <w:r>
                        <w:rPr>
                          <w:sz w:val="22"/>
                        </w:rPr>
                        <w:t xml:space="preserve">The </w:t>
                      </w:r>
                      <w:r w:rsidRPr="008F003C">
                        <w:rPr>
                          <w:i/>
                          <w:sz w:val="22"/>
                        </w:rPr>
                        <w:t>BCO2</w:t>
                      </w:r>
                      <w:r>
                        <w:rPr>
                          <w:sz w:val="22"/>
                        </w:rPr>
                        <w:t xml:space="preserve"> gene of Norwegian sheep is important for determining the trait “yellow fat”. Mutations in this gene prevent production of an enzyme that converts </w:t>
                      </w:r>
                      <w:r w:rsidRPr="008F003C">
                        <w:rPr>
                          <w:rFonts w:ascii="Symbol" w:hAnsi="Symbol"/>
                          <w:sz w:val="22"/>
                        </w:rPr>
                        <w:t></w:t>
                      </w:r>
                      <w:r>
                        <w:rPr>
                          <w:sz w:val="22"/>
                        </w:rPr>
                        <w:t xml:space="preserve">-carotene into </w:t>
                      </w:r>
                      <w:r w:rsidRPr="00194ECB">
                        <w:rPr>
                          <w:sz w:val="22"/>
                          <w:lang w:val="en-US"/>
                        </w:rPr>
                        <w:t>retinaldehyd</w:t>
                      </w:r>
                      <w:r>
                        <w:rPr>
                          <w:sz w:val="22"/>
                          <w:lang w:val="en-US"/>
                        </w:rPr>
                        <w:t xml:space="preserve">e. The accumulation of </w:t>
                      </w:r>
                      <w:r w:rsidRPr="008F003C">
                        <w:rPr>
                          <w:rFonts w:ascii="Symbol" w:hAnsi="Symbol"/>
                          <w:sz w:val="22"/>
                        </w:rPr>
                        <w:t></w:t>
                      </w:r>
                      <w:r>
                        <w:rPr>
                          <w:sz w:val="22"/>
                          <w:lang w:val="en-US"/>
                        </w:rPr>
                        <w:t xml:space="preserve">-carotene is often desirable because it can be converted by people into Vitamin A. Fat with accumulations of </w:t>
                      </w:r>
                      <w:r w:rsidRPr="008F003C">
                        <w:rPr>
                          <w:rFonts w:ascii="Symbol" w:hAnsi="Symbol"/>
                          <w:sz w:val="22"/>
                        </w:rPr>
                        <w:t></w:t>
                      </w:r>
                      <w:r>
                        <w:rPr>
                          <w:sz w:val="22"/>
                          <w:lang w:val="en-US"/>
                        </w:rPr>
                        <w:t>-carotene is characteristically yellow in colour.</w:t>
                      </w:r>
                    </w:p>
                    <w:p w14:paraId="256D12BF" w14:textId="77777777" w:rsidR="00F63D94" w:rsidRPr="008F003C" w:rsidRDefault="00F63D94" w:rsidP="00011E28">
                      <w:pPr>
                        <w:spacing w:after="120"/>
                        <w:rPr>
                          <w:sz w:val="22"/>
                          <w:lang w:val="en-US"/>
                        </w:rPr>
                      </w:pPr>
                      <w:r>
                        <w:rPr>
                          <w:sz w:val="22"/>
                          <w:lang w:val="en-US"/>
                        </w:rPr>
                        <w:t xml:space="preserve">The gene editing tool CRISPR/Cas9 guided by DSI of the </w:t>
                      </w:r>
                      <w:r w:rsidRPr="008F003C">
                        <w:rPr>
                          <w:i/>
                          <w:sz w:val="22"/>
                          <w:lang w:val="en-US"/>
                        </w:rPr>
                        <w:t>BCO2</w:t>
                      </w:r>
                      <w:r>
                        <w:rPr>
                          <w:sz w:val="22"/>
                          <w:lang w:val="en-US"/>
                        </w:rPr>
                        <w:t xml:space="preserve"> gene was used on the one cell </w:t>
                      </w:r>
                      <w:r w:rsidRPr="008F003C">
                        <w:rPr>
                          <w:sz w:val="22"/>
                          <w:lang w:val="en-US"/>
                        </w:rPr>
                        <w:t>stage</w:t>
                      </w:r>
                      <w:r>
                        <w:rPr>
                          <w:sz w:val="22"/>
                          <w:lang w:val="en-US"/>
                        </w:rPr>
                        <w:t xml:space="preserve"> of Tan</w:t>
                      </w:r>
                      <w:r w:rsidRPr="008F003C">
                        <w:rPr>
                          <w:sz w:val="22"/>
                          <w:lang w:val="en-US"/>
                        </w:rPr>
                        <w:t xml:space="preserve"> sheep zygotes</w:t>
                      </w:r>
                      <w:r>
                        <w:rPr>
                          <w:sz w:val="22"/>
                          <w:lang w:val="en-US"/>
                        </w:rPr>
                        <w:t xml:space="preserve"> creating either </w:t>
                      </w:r>
                      <w:r w:rsidRPr="008F003C">
                        <w:rPr>
                          <w:sz w:val="22"/>
                          <w:lang w:val="en-US"/>
                        </w:rPr>
                        <w:t>biallelic</w:t>
                      </w:r>
                      <w:r>
                        <w:rPr>
                          <w:sz w:val="22"/>
                          <w:lang w:val="en-US"/>
                        </w:rPr>
                        <w:t xml:space="preserve"> or monoallelic </w:t>
                      </w:r>
                      <w:r w:rsidRPr="008F003C">
                        <w:rPr>
                          <w:i/>
                          <w:sz w:val="22"/>
                          <w:lang w:val="en-US"/>
                        </w:rPr>
                        <w:t>BCO2</w:t>
                      </w:r>
                      <w:r>
                        <w:rPr>
                          <w:i/>
                          <w:sz w:val="22"/>
                          <w:lang w:val="en-US"/>
                        </w:rPr>
                        <w:t xml:space="preserve"> </w:t>
                      </w:r>
                      <w:r w:rsidRPr="008F003C">
                        <w:rPr>
                          <w:sz w:val="22"/>
                          <w:lang w:val="en-US"/>
                        </w:rPr>
                        <w:t>disrupted modified animals</w:t>
                      </w:r>
                      <w:r>
                        <w:rPr>
                          <w:sz w:val="22"/>
                          <w:lang w:val="en-US"/>
                        </w:rPr>
                        <w:t xml:space="preserve"> </w:t>
                      </w:r>
                      <w:r>
                        <w:rPr>
                          <w:sz w:val="22"/>
                          <w:lang w:val="en-US"/>
                        </w:rPr>
                        <w:fldChar w:fldCharType="begin"/>
                      </w:r>
                      <w:r>
                        <w:rPr>
                          <w:sz w:val="22"/>
                          <w:lang w:val="en-US"/>
                        </w:rPr>
                        <w:instrText xml:space="preserve"> ADDIN EN.CITE &lt;EndNote&gt;&lt;Cite&gt;&lt;Author&gt;Niu&lt;/Author&gt;&lt;Year&gt;2017&lt;/Year&gt;&lt;RecNum&gt;285&lt;/RecNum&gt;&lt;DisplayText&gt;(Niu, 2017)&lt;/DisplayText&gt;&lt;record&gt;&lt;rec-number&gt;285&lt;/rec-number&gt;&lt;foreign-keys&gt;&lt;key app="EN" db-id="vav00vdrjedrwre5xsc5vxpsx0fp9arstrrf" timestamp="1516737079"&gt;285&lt;/key&gt;&lt;/foreign-keys&gt;&lt;ref-type name="Journal Article"&gt;17&lt;/ref-type&gt;&lt;contributors&gt;&lt;authors&gt;&lt;author&gt;Niu, Y., Jin, M., Li, Y., Li, P., Zhou, J., Wang, X., Petersen, B., Huang, X., Kou, Q. and Chen, Y. &lt;/author&gt;&lt;/authors&gt;&lt;/contributors&gt;&lt;titles&gt;&lt;title&gt;Biallelic β-carotene oxygenase 2 knockout results in yellow fat in sheep via CRISPR/Cas9&lt;/title&gt;&lt;secondary-title&gt;Anim Genet&lt;/secondary-title&gt;&lt;alt-title&gt;Anim Genet&lt;/alt-title&gt;&lt;/titles&gt;&lt;periodical&gt;&lt;full-title&gt;Anim Genet&lt;/full-title&gt;&lt;abbr-1&gt;Anim Genet&lt;/abbr-1&gt;&lt;/periodical&gt;&lt;alt-periodical&gt;&lt;full-title&gt;Anim Genet&lt;/full-title&gt;&lt;abbr-1&gt;Anim Genet&lt;/abbr-1&gt;&lt;/alt-periodical&gt;&lt;pages&gt;242–244&lt;/pages&gt;&lt;volume&gt;48&lt;/volume&gt;&lt;dates&gt;&lt;year&gt;2017&lt;/year&gt;&lt;/dates&gt;&lt;urls&gt;&lt;/urls&gt;&lt;/record&gt;&lt;/Cite&gt;&lt;/EndNote&gt;</w:instrText>
                      </w:r>
                      <w:r>
                        <w:rPr>
                          <w:sz w:val="22"/>
                          <w:lang w:val="en-US"/>
                        </w:rPr>
                        <w:fldChar w:fldCharType="separate"/>
                      </w:r>
                      <w:r>
                        <w:rPr>
                          <w:noProof/>
                          <w:sz w:val="22"/>
                          <w:lang w:val="en-US"/>
                        </w:rPr>
                        <w:t>(Niu, 2017)</w:t>
                      </w:r>
                      <w:r>
                        <w:rPr>
                          <w:sz w:val="22"/>
                          <w:lang w:val="en-US"/>
                        </w:rPr>
                        <w:fldChar w:fldCharType="end"/>
                      </w:r>
                      <w:r>
                        <w:rPr>
                          <w:sz w:val="22"/>
                          <w:lang w:val="en-US"/>
                        </w:rPr>
                        <w:t xml:space="preserve">. Biallelic animals (those with both </w:t>
                      </w:r>
                      <w:r w:rsidRPr="008F003C">
                        <w:rPr>
                          <w:i/>
                          <w:sz w:val="22"/>
                          <w:lang w:val="en-US"/>
                        </w:rPr>
                        <w:t>BCO2</w:t>
                      </w:r>
                      <w:r>
                        <w:rPr>
                          <w:sz w:val="22"/>
                          <w:lang w:val="en-US"/>
                        </w:rPr>
                        <w:t xml:space="preserve"> genes mutated) had significantly more yellow colour in fat.</w:t>
                      </w:r>
                    </w:p>
                  </w:txbxContent>
                </v:textbox>
                <w10:wrap type="topAndBottom"/>
              </v:shape>
            </w:pict>
          </mc:Fallback>
        </mc:AlternateContent>
      </w:r>
      <w:r w:rsidR="00616E70">
        <w:rPr>
          <w:rFonts w:eastAsia="Calibri"/>
          <w:sz w:val="22"/>
          <w:szCs w:val="22"/>
          <w:lang w:val="en-US" w:eastAsia="en-US"/>
        </w:rPr>
        <w:t>The value may be realized by the owners of the germplasm</w:t>
      </w:r>
      <w:r w:rsidR="00D35212">
        <w:rPr>
          <w:rFonts w:eastAsia="Calibri"/>
          <w:sz w:val="22"/>
          <w:szCs w:val="22"/>
          <w:lang w:val="en-US" w:eastAsia="en-US"/>
        </w:rPr>
        <w:t xml:space="preserve"> (breeders)</w:t>
      </w:r>
      <w:r w:rsidR="00616E70">
        <w:rPr>
          <w:rFonts w:eastAsia="Calibri"/>
          <w:sz w:val="22"/>
          <w:szCs w:val="22"/>
          <w:lang w:val="en-US" w:eastAsia="en-US"/>
        </w:rPr>
        <w:t xml:space="preserve"> or those that use the germplasm (e.g. farmers) of the engineered organism</w:t>
      </w:r>
      <w:r w:rsidR="00D459C6">
        <w:rPr>
          <w:rFonts w:eastAsia="Calibri"/>
          <w:sz w:val="22"/>
          <w:szCs w:val="22"/>
          <w:lang w:val="en-US" w:eastAsia="en-US"/>
        </w:rPr>
        <w:t>. H</w:t>
      </w:r>
      <w:r w:rsidR="00616E70">
        <w:rPr>
          <w:rFonts w:eastAsia="Calibri"/>
          <w:sz w:val="22"/>
          <w:szCs w:val="22"/>
          <w:lang w:val="en-US" w:eastAsia="en-US"/>
        </w:rPr>
        <w:t>owever</w:t>
      </w:r>
      <w:r w:rsidR="00D459C6">
        <w:rPr>
          <w:rFonts w:eastAsia="Calibri"/>
          <w:sz w:val="22"/>
          <w:szCs w:val="22"/>
          <w:lang w:val="en-US" w:eastAsia="en-US"/>
        </w:rPr>
        <w:t>,</w:t>
      </w:r>
      <w:r w:rsidR="00616E70">
        <w:rPr>
          <w:rFonts w:eastAsia="Calibri"/>
          <w:sz w:val="22"/>
          <w:szCs w:val="22"/>
          <w:lang w:val="en-US" w:eastAsia="en-US"/>
        </w:rPr>
        <w:t xml:space="preserve"> the mobility of the DSI allows others to derive value without being connected to the biological genetic material. These include</w:t>
      </w:r>
      <w:r w:rsidR="008B431A">
        <w:rPr>
          <w:rFonts w:eastAsia="Calibri"/>
          <w:sz w:val="22"/>
          <w:szCs w:val="22"/>
          <w:lang w:val="en-US" w:eastAsia="en-US"/>
        </w:rPr>
        <w:t>,</w:t>
      </w:r>
      <w:r w:rsidR="00616E70">
        <w:rPr>
          <w:rFonts w:eastAsia="Calibri"/>
          <w:sz w:val="22"/>
          <w:szCs w:val="22"/>
          <w:lang w:val="en-US" w:eastAsia="en-US"/>
        </w:rPr>
        <w:t xml:space="preserve"> for example</w:t>
      </w:r>
      <w:r w:rsidR="008B431A">
        <w:rPr>
          <w:rFonts w:eastAsia="Calibri"/>
          <w:sz w:val="22"/>
          <w:szCs w:val="22"/>
          <w:lang w:val="en-US" w:eastAsia="en-US"/>
        </w:rPr>
        <w:t>,</w:t>
      </w:r>
      <w:r w:rsidR="00616E70">
        <w:rPr>
          <w:rFonts w:eastAsia="Calibri"/>
          <w:sz w:val="22"/>
          <w:szCs w:val="22"/>
          <w:lang w:val="en-US" w:eastAsia="en-US"/>
        </w:rPr>
        <w:t xml:space="preserve"> the bioinformaticians who identify the valuable DSI or</w:t>
      </w:r>
      <w:r w:rsidR="00D459C6">
        <w:rPr>
          <w:rFonts w:eastAsia="Calibri"/>
          <w:sz w:val="22"/>
          <w:szCs w:val="22"/>
          <w:lang w:val="en-US" w:eastAsia="en-US"/>
        </w:rPr>
        <w:t xml:space="preserve"> those who</w:t>
      </w:r>
      <w:r w:rsidR="00616E70">
        <w:rPr>
          <w:rFonts w:eastAsia="Calibri"/>
          <w:sz w:val="22"/>
          <w:szCs w:val="22"/>
          <w:lang w:val="en-US" w:eastAsia="en-US"/>
        </w:rPr>
        <w:t xml:space="preserve"> sell the materials needed for gene editing. </w:t>
      </w:r>
    </w:p>
    <w:p w14:paraId="78A6D5B4" w14:textId="77777777" w:rsidR="00A43161" w:rsidRDefault="00A43161" w:rsidP="00984DD2">
      <w:pPr>
        <w:pStyle w:val="TableEntry"/>
        <w:keepNext/>
        <w:spacing w:before="120" w:after="120"/>
        <w:rPr>
          <w:rFonts w:eastAsia="Calibri"/>
          <w:lang w:val="en-US" w:eastAsia="en-US"/>
        </w:rPr>
      </w:pPr>
    </w:p>
    <w:p w14:paraId="336165C2" w14:textId="77777777" w:rsidR="00842949" w:rsidRPr="00A43161" w:rsidRDefault="00842949" w:rsidP="00984DD2">
      <w:pPr>
        <w:pStyle w:val="TableEntry"/>
        <w:keepNext/>
        <w:spacing w:before="120" w:after="120"/>
        <w:rPr>
          <w:sz w:val="24"/>
          <w:szCs w:val="24"/>
        </w:rPr>
      </w:pPr>
      <w:r w:rsidRPr="00A43161">
        <w:rPr>
          <w:sz w:val="24"/>
          <w:szCs w:val="24"/>
        </w:rPr>
        <w:t>Dematerialized</w:t>
      </w:r>
      <w:r w:rsidR="0095676B" w:rsidRPr="00A43161">
        <w:rPr>
          <w:sz w:val="24"/>
          <w:szCs w:val="24"/>
        </w:rPr>
        <w:t>,</w:t>
      </w:r>
      <w:r w:rsidRPr="00A43161">
        <w:rPr>
          <w:sz w:val="24"/>
          <w:szCs w:val="24"/>
        </w:rPr>
        <w:t xml:space="preserve"> or </w:t>
      </w:r>
      <w:r w:rsidRPr="00A43161">
        <w:rPr>
          <w:i/>
          <w:sz w:val="24"/>
          <w:szCs w:val="24"/>
        </w:rPr>
        <w:t>in silico</w:t>
      </w:r>
      <w:r w:rsidR="0095676B" w:rsidRPr="00A43161">
        <w:rPr>
          <w:sz w:val="24"/>
          <w:szCs w:val="24"/>
        </w:rPr>
        <w:t>,</w:t>
      </w:r>
      <w:r w:rsidRPr="00A43161">
        <w:rPr>
          <w:sz w:val="24"/>
          <w:szCs w:val="24"/>
        </w:rPr>
        <w:t xml:space="preserve"> use</w:t>
      </w:r>
      <w:r w:rsidR="00E86F7B">
        <w:rPr>
          <w:rFonts w:eastAsia="Calibri"/>
          <w:bCs/>
          <w:vertAlign w:val="superscript"/>
          <w:lang w:eastAsia="en-US"/>
        </w:rPr>
        <w:t>6</w:t>
      </w:r>
    </w:p>
    <w:p w14:paraId="3A89979F" w14:textId="77777777" w:rsidR="00A43161" w:rsidRPr="00A43161" w:rsidRDefault="00A43161" w:rsidP="00984DD2">
      <w:pPr>
        <w:pStyle w:val="TableEntry"/>
        <w:keepNext/>
        <w:spacing w:before="120" w:after="120"/>
      </w:pPr>
    </w:p>
    <w:p w14:paraId="4B8A87ED" w14:textId="77777777" w:rsidR="00842949" w:rsidRDefault="00842949" w:rsidP="00005175">
      <w:pPr>
        <w:keepNext/>
        <w:spacing w:after="120"/>
        <w:rPr>
          <w:rFonts w:eastAsia="Calibri"/>
          <w:sz w:val="22"/>
          <w:szCs w:val="22"/>
          <w:lang w:val="en-US" w:eastAsia="en-US"/>
        </w:rPr>
      </w:pPr>
      <w:r w:rsidRPr="00842949">
        <w:rPr>
          <w:rFonts w:eastAsia="Calibri"/>
          <w:sz w:val="22"/>
          <w:szCs w:val="22"/>
          <w:lang w:val="en-US" w:eastAsia="en-US"/>
        </w:rPr>
        <w:t>The volume of DSI be</w:t>
      </w:r>
      <w:r w:rsidR="002B635E">
        <w:rPr>
          <w:rFonts w:eastAsia="Calibri"/>
          <w:sz w:val="22"/>
          <w:szCs w:val="22"/>
          <w:lang w:val="en-US" w:eastAsia="en-US"/>
        </w:rPr>
        <w:t>ing</w:t>
      </w:r>
      <w:r w:rsidRPr="00842949">
        <w:rPr>
          <w:rFonts w:eastAsia="Calibri"/>
          <w:sz w:val="22"/>
          <w:szCs w:val="22"/>
          <w:lang w:val="en-US" w:eastAsia="en-US"/>
        </w:rPr>
        <w:t xml:space="preserve"> generated by whole genome sequen</w:t>
      </w:r>
      <w:r w:rsidR="00D20049">
        <w:rPr>
          <w:rFonts w:eastAsia="Calibri"/>
          <w:sz w:val="22"/>
          <w:szCs w:val="22"/>
          <w:lang w:val="en-US" w:eastAsia="en-US"/>
        </w:rPr>
        <w:t xml:space="preserve">ces is already on the scale of </w:t>
      </w:r>
      <w:r w:rsidR="00A547D8">
        <w:rPr>
          <w:rFonts w:eastAsia="Calibri"/>
          <w:sz w:val="22"/>
          <w:szCs w:val="22"/>
          <w:lang w:val="en-US" w:eastAsia="en-US"/>
        </w:rPr>
        <w:t>“</w:t>
      </w:r>
      <w:r w:rsidR="00D20049">
        <w:rPr>
          <w:rFonts w:eastAsia="Calibri"/>
          <w:sz w:val="22"/>
          <w:szCs w:val="22"/>
          <w:lang w:val="en-US" w:eastAsia="en-US"/>
        </w:rPr>
        <w:t>big data</w:t>
      </w:r>
      <w:r w:rsidR="00A547D8">
        <w:rPr>
          <w:rFonts w:eastAsia="Calibri"/>
          <w:sz w:val="22"/>
          <w:szCs w:val="22"/>
          <w:lang w:val="en-US" w:eastAsia="en-US"/>
        </w:rPr>
        <w:t>”</w:t>
      </w:r>
      <w:r w:rsidRPr="00842949">
        <w:rPr>
          <w:rFonts w:eastAsia="Calibri"/>
          <w:sz w:val="22"/>
          <w:szCs w:val="22"/>
          <w:lang w:val="en-US" w:eastAsia="en-US"/>
        </w:rPr>
        <w:t>. Some DSI is highly structured, such as that describing genomes. Other</w:t>
      </w:r>
      <w:r w:rsidR="002B635E">
        <w:rPr>
          <w:rFonts w:eastAsia="Calibri"/>
          <w:sz w:val="22"/>
          <w:szCs w:val="22"/>
          <w:lang w:val="en-US" w:eastAsia="en-US"/>
        </w:rPr>
        <w:t xml:space="preserve"> DSI is</w:t>
      </w:r>
      <w:r w:rsidRPr="00842949">
        <w:rPr>
          <w:rFonts w:eastAsia="Calibri"/>
          <w:sz w:val="22"/>
          <w:szCs w:val="22"/>
          <w:lang w:val="en-US" w:eastAsia="en-US"/>
        </w:rPr>
        <w:t xml:space="preserve"> unstructured, such as graphics</w:t>
      </w:r>
      <w:r w:rsidR="005043CD">
        <w:rPr>
          <w:rFonts w:eastAsia="Calibri"/>
          <w:sz w:val="22"/>
          <w:szCs w:val="22"/>
          <w:lang w:val="en-US" w:eastAsia="en-US"/>
        </w:rPr>
        <w:t>. The science of computational biology using the tools of bioinformatics provides a methodological approach to unifying these variant kinds of information, further demonstrating the interchangeability of information in various forms.</w:t>
      </w:r>
      <w:r w:rsidRPr="00842949">
        <w:rPr>
          <w:rFonts w:eastAsia="Calibri"/>
          <w:sz w:val="22"/>
          <w:szCs w:val="22"/>
          <w:lang w:val="en-US" w:eastAsia="en-US"/>
        </w:rPr>
        <w:t xml:space="preserve"> </w:t>
      </w:r>
    </w:p>
    <w:p w14:paraId="1C8D6EC9" w14:textId="77777777" w:rsidR="00D37E63" w:rsidRDefault="00863315" w:rsidP="00842949">
      <w:pPr>
        <w:spacing w:after="120"/>
        <w:rPr>
          <w:rFonts w:eastAsia="Calibri"/>
          <w:sz w:val="22"/>
          <w:szCs w:val="22"/>
          <w:lang w:val="en-US" w:eastAsia="en-US"/>
        </w:rPr>
      </w:pPr>
      <w:r>
        <w:rPr>
          <w:rFonts w:eastAsia="Calibri"/>
          <w:sz w:val="22"/>
          <w:szCs w:val="22"/>
          <w:lang w:val="en-US" w:eastAsia="en-US"/>
        </w:rPr>
        <w:t>Some uses</w:t>
      </w:r>
      <w:r w:rsidR="004A7DB6">
        <w:rPr>
          <w:rFonts w:eastAsia="Calibri"/>
          <w:sz w:val="22"/>
          <w:szCs w:val="22"/>
          <w:lang w:val="en-US" w:eastAsia="en-US"/>
        </w:rPr>
        <w:t xml:space="preserve"> of DSI</w:t>
      </w:r>
      <w:r>
        <w:rPr>
          <w:rFonts w:eastAsia="Calibri"/>
          <w:sz w:val="22"/>
          <w:szCs w:val="22"/>
          <w:lang w:val="en-US" w:eastAsia="en-US"/>
        </w:rPr>
        <w:t xml:space="preserve"> may again be applied to genetic resources directly, and some not.</w:t>
      </w:r>
      <w:r w:rsidR="004A7DB6">
        <w:rPr>
          <w:rFonts w:eastAsia="Calibri"/>
          <w:sz w:val="22"/>
          <w:szCs w:val="22"/>
          <w:lang w:val="en-US" w:eastAsia="en-US"/>
        </w:rPr>
        <w:t xml:space="preserve"> For example, </w:t>
      </w:r>
      <w:r w:rsidR="008A5316">
        <w:rPr>
          <w:rFonts w:eastAsia="Calibri"/>
          <w:sz w:val="22"/>
          <w:szCs w:val="22"/>
          <w:lang w:val="en-US" w:eastAsia="en-US"/>
        </w:rPr>
        <w:t>DSI adds value to GRFA by helping breeders and farmers to more efficiently select breeding stock</w:t>
      </w:r>
      <w:r w:rsidR="006239F0">
        <w:rPr>
          <w:rFonts w:eastAsia="Calibri"/>
          <w:sz w:val="22"/>
          <w:szCs w:val="22"/>
          <w:lang w:val="en-US" w:eastAsia="en-US"/>
        </w:rPr>
        <w:t xml:space="preserve"> (Figure 7</w:t>
      </w:r>
      <w:r w:rsidR="007C35A7">
        <w:rPr>
          <w:rFonts w:eastAsia="Calibri"/>
          <w:sz w:val="22"/>
          <w:szCs w:val="22"/>
          <w:lang w:val="en-US" w:eastAsia="en-US"/>
        </w:rPr>
        <w:t>)</w:t>
      </w:r>
      <w:r w:rsidR="008A5316">
        <w:rPr>
          <w:rFonts w:eastAsia="Calibri"/>
          <w:sz w:val="22"/>
          <w:szCs w:val="22"/>
          <w:lang w:val="en-US" w:eastAsia="en-US"/>
        </w:rPr>
        <w:t>.</w:t>
      </w:r>
      <w:r w:rsidR="00D37E63">
        <w:rPr>
          <w:rFonts w:eastAsia="Calibri"/>
          <w:sz w:val="22"/>
          <w:szCs w:val="22"/>
          <w:lang w:val="en-US" w:eastAsia="en-US"/>
        </w:rPr>
        <w:t xml:space="preserve"> </w:t>
      </w:r>
      <w:r w:rsidR="004A7DB6">
        <w:rPr>
          <w:rFonts w:eastAsia="Calibri"/>
          <w:sz w:val="22"/>
          <w:szCs w:val="22"/>
          <w:lang w:val="en-US" w:eastAsia="en-US"/>
        </w:rPr>
        <w:t>Historically</w:t>
      </w:r>
      <w:r w:rsidR="00953C33">
        <w:rPr>
          <w:rFonts w:eastAsia="Calibri"/>
          <w:sz w:val="22"/>
          <w:szCs w:val="22"/>
          <w:lang w:val="en-US" w:eastAsia="en-US"/>
        </w:rPr>
        <w:t xml:space="preserve"> genes and variants of genes have been retrospectively associated with particular traits (phenotypes) and then the DSI of those associations </w:t>
      </w:r>
      <w:r w:rsidR="00D459C6">
        <w:rPr>
          <w:rFonts w:eastAsia="Calibri"/>
          <w:sz w:val="22"/>
          <w:szCs w:val="22"/>
          <w:lang w:val="en-US" w:eastAsia="en-US"/>
        </w:rPr>
        <w:t>was</w:t>
      </w:r>
      <w:r w:rsidR="00953C33">
        <w:rPr>
          <w:rFonts w:eastAsia="Calibri"/>
          <w:sz w:val="22"/>
          <w:szCs w:val="22"/>
          <w:lang w:val="en-US" w:eastAsia="en-US"/>
        </w:rPr>
        <w:t xml:space="preserve"> used to screen out of the breeding program</w:t>
      </w:r>
      <w:r w:rsidR="00A547D8">
        <w:rPr>
          <w:rFonts w:eastAsia="Calibri"/>
          <w:sz w:val="22"/>
          <w:szCs w:val="22"/>
          <w:lang w:val="en-US" w:eastAsia="en-US"/>
        </w:rPr>
        <w:t>me</w:t>
      </w:r>
      <w:r w:rsidR="00953C33">
        <w:rPr>
          <w:rFonts w:eastAsia="Calibri"/>
          <w:sz w:val="22"/>
          <w:szCs w:val="22"/>
          <w:lang w:val="en-US" w:eastAsia="en-US"/>
        </w:rPr>
        <w:t xml:space="preserve"> the germplasm with the fewest DNA markers for the</w:t>
      </w:r>
      <w:r w:rsidR="00CA7A4D">
        <w:rPr>
          <w:rFonts w:eastAsia="Calibri"/>
          <w:sz w:val="22"/>
          <w:szCs w:val="22"/>
          <w:lang w:val="en-US" w:eastAsia="en-US"/>
        </w:rPr>
        <w:t xml:space="preserve"> mix of desired traits</w:t>
      </w:r>
      <w:r w:rsidR="00B6310A">
        <w:rPr>
          <w:rFonts w:eastAsia="Calibri"/>
          <w:sz w:val="22"/>
          <w:szCs w:val="22"/>
          <w:lang w:val="en-US" w:eastAsia="en-US"/>
        </w:rPr>
        <w:t xml:space="preserve"> or with undesirable </w:t>
      </w:r>
      <w:r w:rsidR="00BF7E67">
        <w:rPr>
          <w:rFonts w:eastAsia="Calibri"/>
          <w:sz w:val="22"/>
          <w:szCs w:val="22"/>
          <w:lang w:val="en-US" w:eastAsia="en-US"/>
        </w:rPr>
        <w:t xml:space="preserve">genes and alleles of genes </w:t>
      </w:r>
      <w:r w:rsidR="001C037C">
        <w:rPr>
          <w:rFonts w:eastAsia="Calibri"/>
          <w:noProof/>
          <w:sz w:val="22"/>
          <w:szCs w:val="22"/>
          <w:lang w:val="en-US" w:eastAsia="en-US"/>
        </w:rPr>
        <w:t>(Woolliams and Oldenbroek, 2017)</w:t>
      </w:r>
      <w:r w:rsidR="00953C33">
        <w:rPr>
          <w:rFonts w:eastAsia="Calibri"/>
          <w:sz w:val="22"/>
          <w:szCs w:val="22"/>
          <w:lang w:val="en-US" w:eastAsia="en-US"/>
        </w:rPr>
        <w:t>.</w:t>
      </w:r>
    </w:p>
    <w:p w14:paraId="78DFC6C5" w14:textId="77777777" w:rsidR="003070CE" w:rsidRPr="00E27FBA" w:rsidRDefault="00D37E63" w:rsidP="00842949">
      <w:pPr>
        <w:spacing w:after="120"/>
        <w:rPr>
          <w:rFonts w:eastAsia="Calibri"/>
          <w:sz w:val="22"/>
          <w:szCs w:val="22"/>
          <w:lang w:val="en-US" w:eastAsia="en-US"/>
        </w:rPr>
      </w:pPr>
      <w:r>
        <w:rPr>
          <w:rFonts w:eastAsia="Calibri"/>
          <w:sz w:val="22"/>
          <w:szCs w:val="22"/>
          <w:lang w:val="en-US" w:eastAsia="en-US"/>
        </w:rPr>
        <w:t>The DSI can have value beyond this use too. For example, the same databases can be applied to</w:t>
      </w:r>
      <w:r w:rsidR="004A7DB6">
        <w:rPr>
          <w:rFonts w:eastAsia="Calibri"/>
          <w:sz w:val="22"/>
          <w:szCs w:val="22"/>
          <w:lang w:val="en-US" w:eastAsia="en-US"/>
        </w:rPr>
        <w:t xml:space="preserve"> management of wild GRFA or to assess the</w:t>
      </w:r>
      <w:r>
        <w:rPr>
          <w:rFonts w:eastAsia="Calibri"/>
          <w:sz w:val="22"/>
          <w:szCs w:val="22"/>
          <w:lang w:val="en-US" w:eastAsia="en-US"/>
        </w:rPr>
        <w:t xml:space="preserve"> diversity in commercial livestock breeds or crop cultivars </w:t>
      </w:r>
      <w:r w:rsidR="001C037C">
        <w:rPr>
          <w:rFonts w:eastAsia="Calibri"/>
          <w:noProof/>
          <w:sz w:val="22"/>
          <w:szCs w:val="22"/>
          <w:lang w:val="en-US" w:eastAsia="en-US"/>
        </w:rPr>
        <w:t>(Yang</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2013)</w:t>
      </w:r>
      <w:r>
        <w:rPr>
          <w:rFonts w:eastAsia="Calibri"/>
          <w:sz w:val="22"/>
          <w:szCs w:val="22"/>
          <w:lang w:val="en-US" w:eastAsia="en-US"/>
        </w:rPr>
        <w:t>.</w:t>
      </w:r>
    </w:p>
    <w:p w14:paraId="3BD964C9" w14:textId="77777777" w:rsidR="00623A29" w:rsidRDefault="00130C39" w:rsidP="00842949">
      <w:pPr>
        <w:spacing w:after="120"/>
        <w:rPr>
          <w:rFonts w:eastAsia="Calibri"/>
          <w:sz w:val="22"/>
          <w:szCs w:val="22"/>
          <w:lang w:val="en-US" w:eastAsia="en-US"/>
        </w:rPr>
      </w:pPr>
      <w:r>
        <w:rPr>
          <w:rFonts w:eastAsia="Calibri"/>
          <w:sz w:val="22"/>
          <w:szCs w:val="22"/>
          <w:lang w:val="en-US" w:eastAsia="en-US"/>
        </w:rPr>
        <w:lastRenderedPageBreak/>
        <w:t xml:space="preserve">DSI on GRFA does not have to only add value to GRFA. It can add value in other ways. </w:t>
      </w:r>
      <w:r w:rsidR="00623A29">
        <w:rPr>
          <w:rFonts w:eastAsia="Calibri"/>
          <w:sz w:val="22"/>
          <w:szCs w:val="22"/>
          <w:lang w:val="en-US" w:eastAsia="en-US"/>
        </w:rPr>
        <w:t>It can</w:t>
      </w:r>
      <w:r w:rsidR="00902B5F">
        <w:rPr>
          <w:rFonts w:eastAsia="Calibri"/>
          <w:sz w:val="22"/>
          <w:szCs w:val="22"/>
          <w:lang w:val="en-US" w:eastAsia="en-US"/>
        </w:rPr>
        <w:t>:</w:t>
      </w:r>
    </w:p>
    <w:p w14:paraId="1DFC382E" w14:textId="77777777" w:rsidR="00623A29" w:rsidRDefault="00130C39" w:rsidP="00076763">
      <w:pPr>
        <w:pStyle w:val="ListParagraph"/>
        <w:numPr>
          <w:ilvl w:val="0"/>
          <w:numId w:val="8"/>
        </w:numPr>
        <w:spacing w:after="120"/>
        <w:rPr>
          <w:rFonts w:eastAsia="Calibri"/>
          <w:sz w:val="22"/>
          <w:szCs w:val="22"/>
          <w:lang w:val="en-US" w:eastAsia="en-US"/>
        </w:rPr>
      </w:pPr>
      <w:r w:rsidRPr="00623A29">
        <w:rPr>
          <w:rFonts w:eastAsia="Calibri"/>
          <w:sz w:val="22"/>
          <w:szCs w:val="22"/>
          <w:lang w:val="en-US" w:eastAsia="en-US"/>
        </w:rPr>
        <w:t xml:space="preserve">increase the value of products when used to screen foods for pathogens or microbes associated with </w:t>
      </w:r>
      <w:r w:rsidR="00242DDD">
        <w:rPr>
          <w:rFonts w:eastAsia="Calibri"/>
          <w:sz w:val="22"/>
          <w:szCs w:val="22"/>
          <w:lang w:val="en-US" w:eastAsia="en-US"/>
        </w:rPr>
        <w:t>safety</w:t>
      </w:r>
      <w:r w:rsidR="00557765" w:rsidRPr="00623A29">
        <w:rPr>
          <w:rFonts w:eastAsia="Calibri"/>
          <w:sz w:val="22"/>
          <w:szCs w:val="22"/>
          <w:lang w:val="en-US" w:eastAsia="en-US"/>
        </w:rPr>
        <w:t xml:space="preserve"> </w:t>
      </w:r>
      <w:r w:rsidR="001C037C">
        <w:rPr>
          <w:rFonts w:eastAsia="Calibri"/>
          <w:noProof/>
          <w:sz w:val="22"/>
          <w:szCs w:val="22"/>
          <w:lang w:val="en-US" w:eastAsia="en-US"/>
        </w:rPr>
        <w:t>(Rantsiou</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 Higgins</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2018)</w:t>
      </w:r>
      <w:r w:rsidR="00A547D8">
        <w:rPr>
          <w:rFonts w:eastAsia="Calibri"/>
          <w:sz w:val="22"/>
          <w:szCs w:val="22"/>
          <w:lang w:val="en-US" w:eastAsia="en-US"/>
        </w:rPr>
        <w:t>;</w:t>
      </w:r>
      <w:r w:rsidRPr="00623A29">
        <w:rPr>
          <w:rFonts w:eastAsia="Calibri"/>
          <w:sz w:val="22"/>
          <w:szCs w:val="22"/>
          <w:lang w:val="en-US" w:eastAsia="en-US"/>
        </w:rPr>
        <w:t xml:space="preserve"> </w:t>
      </w:r>
    </w:p>
    <w:p w14:paraId="70040949" w14:textId="77777777" w:rsidR="00623A29" w:rsidRDefault="00623A29" w:rsidP="00076763">
      <w:pPr>
        <w:pStyle w:val="ListParagraph"/>
        <w:numPr>
          <w:ilvl w:val="0"/>
          <w:numId w:val="8"/>
        </w:numPr>
        <w:spacing w:after="120"/>
        <w:rPr>
          <w:rFonts w:eastAsia="Calibri"/>
          <w:sz w:val="22"/>
          <w:szCs w:val="22"/>
          <w:lang w:val="en-US" w:eastAsia="en-US"/>
        </w:rPr>
      </w:pPr>
      <w:r w:rsidRPr="00623A29">
        <w:rPr>
          <w:rFonts w:eastAsia="Calibri"/>
          <w:sz w:val="22"/>
          <w:szCs w:val="22"/>
          <w:lang w:val="en-US" w:eastAsia="en-US"/>
        </w:rPr>
        <w:t>increase the value of products</w:t>
      </w:r>
      <w:r>
        <w:rPr>
          <w:rFonts w:eastAsia="Calibri"/>
          <w:sz w:val="22"/>
          <w:szCs w:val="22"/>
          <w:lang w:val="en-US" w:eastAsia="en-US"/>
        </w:rPr>
        <w:t xml:space="preserve"> through</w:t>
      </w:r>
      <w:r w:rsidR="00130C39" w:rsidRPr="00623A29">
        <w:rPr>
          <w:rFonts w:eastAsia="Calibri"/>
          <w:sz w:val="22"/>
          <w:szCs w:val="22"/>
          <w:lang w:val="en-US" w:eastAsia="en-US"/>
        </w:rPr>
        <w:t xml:space="preserve"> label</w:t>
      </w:r>
      <w:r>
        <w:rPr>
          <w:rFonts w:eastAsia="Calibri"/>
          <w:sz w:val="22"/>
          <w:szCs w:val="22"/>
          <w:lang w:val="en-US" w:eastAsia="en-US"/>
        </w:rPr>
        <w:t xml:space="preserve"> certification</w:t>
      </w:r>
      <w:r w:rsidR="00130C39" w:rsidRPr="00623A29">
        <w:rPr>
          <w:rFonts w:eastAsia="Calibri"/>
          <w:sz w:val="22"/>
          <w:szCs w:val="22"/>
          <w:lang w:val="en-US" w:eastAsia="en-US"/>
        </w:rPr>
        <w:t>,</w:t>
      </w:r>
      <w:r w:rsidR="00BC517D">
        <w:rPr>
          <w:rFonts w:eastAsia="Calibri"/>
          <w:sz w:val="22"/>
          <w:szCs w:val="22"/>
          <w:lang w:val="en-US" w:eastAsia="en-US"/>
        </w:rPr>
        <w:t xml:space="preserve"> verify label ingredients</w:t>
      </w:r>
      <w:r w:rsidR="00130C39" w:rsidRPr="00623A29">
        <w:rPr>
          <w:rFonts w:eastAsia="Calibri"/>
          <w:sz w:val="22"/>
          <w:szCs w:val="22"/>
          <w:lang w:val="en-US" w:eastAsia="en-US"/>
        </w:rPr>
        <w:t xml:space="preserve"> or detect substitution</w:t>
      </w:r>
      <w:r w:rsidR="00BC517D">
        <w:rPr>
          <w:rFonts w:eastAsia="Calibri"/>
          <w:sz w:val="22"/>
          <w:szCs w:val="22"/>
          <w:lang w:val="en-US" w:eastAsia="en-US"/>
        </w:rPr>
        <w:t>s of endangered species</w:t>
      </w:r>
      <w:r w:rsidR="00130C39" w:rsidRPr="00623A29">
        <w:rPr>
          <w:rFonts w:eastAsia="Calibri"/>
          <w:sz w:val="22"/>
          <w:szCs w:val="22"/>
          <w:lang w:val="en-US" w:eastAsia="en-US"/>
        </w:rPr>
        <w:t xml:space="preserve"> in food products</w:t>
      </w:r>
      <w:r w:rsidR="00557765" w:rsidRPr="00623A29">
        <w:rPr>
          <w:rFonts w:eastAsia="Calibri"/>
          <w:sz w:val="22"/>
          <w:szCs w:val="22"/>
          <w:lang w:val="en-US" w:eastAsia="en-US"/>
        </w:rPr>
        <w:t xml:space="preserve"> </w:t>
      </w:r>
      <w:r w:rsidR="001C037C">
        <w:rPr>
          <w:rFonts w:eastAsia="Calibri"/>
          <w:noProof/>
          <w:sz w:val="22"/>
          <w:szCs w:val="22"/>
          <w:lang w:val="en-US" w:eastAsia="en-US"/>
        </w:rPr>
        <w:t>(Di Pinto</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2015)</w:t>
      </w:r>
      <w:r w:rsidR="00A547D8">
        <w:rPr>
          <w:rFonts w:eastAsia="Calibri"/>
          <w:sz w:val="22"/>
          <w:szCs w:val="22"/>
          <w:lang w:val="en-US" w:eastAsia="en-US"/>
        </w:rPr>
        <w:t>;</w:t>
      </w:r>
    </w:p>
    <w:p w14:paraId="65E527C8" w14:textId="77777777" w:rsidR="00623A29" w:rsidRDefault="00130C39" w:rsidP="00076763">
      <w:pPr>
        <w:pStyle w:val="ListParagraph"/>
        <w:numPr>
          <w:ilvl w:val="0"/>
          <w:numId w:val="8"/>
        </w:numPr>
        <w:spacing w:after="120"/>
        <w:rPr>
          <w:rFonts w:eastAsia="Calibri"/>
          <w:sz w:val="22"/>
          <w:szCs w:val="22"/>
          <w:lang w:val="en-US" w:eastAsia="en-US"/>
        </w:rPr>
      </w:pPr>
      <w:r w:rsidRPr="00623A29">
        <w:rPr>
          <w:rFonts w:eastAsia="Calibri"/>
          <w:sz w:val="22"/>
          <w:szCs w:val="22"/>
          <w:lang w:val="en-US" w:eastAsia="en-US"/>
        </w:rPr>
        <w:t>be used to detect or diagnose both disease and infectious</w:t>
      </w:r>
      <w:r w:rsidR="00B55883" w:rsidRPr="00623A29">
        <w:rPr>
          <w:rFonts w:eastAsia="Calibri"/>
          <w:sz w:val="22"/>
          <w:szCs w:val="22"/>
          <w:lang w:val="en-US" w:eastAsia="en-US"/>
        </w:rPr>
        <w:t xml:space="preserve"> diseases in plants and animals, or as an antibioti</w:t>
      </w:r>
      <w:r w:rsidR="00623A29">
        <w:rPr>
          <w:rFonts w:eastAsia="Calibri"/>
          <w:sz w:val="22"/>
          <w:szCs w:val="22"/>
          <w:lang w:val="en-US" w:eastAsia="en-US"/>
        </w:rPr>
        <w:t>c resistance surveillance tool</w:t>
      </w:r>
      <w:r w:rsidR="006A4A69">
        <w:rPr>
          <w:rFonts w:eastAsia="Calibri"/>
          <w:sz w:val="22"/>
          <w:szCs w:val="22"/>
          <w:lang w:val="en-US" w:eastAsia="en-US"/>
        </w:rPr>
        <w:t xml:space="preserve"> </w:t>
      </w:r>
      <w:r w:rsidR="002D47EA">
        <w:rPr>
          <w:rFonts w:eastAsia="Calibri"/>
          <w:noProof/>
          <w:sz w:val="22"/>
          <w:szCs w:val="22"/>
          <w:lang w:val="en-US" w:eastAsia="en-US"/>
        </w:rPr>
        <w:t>(FAO, 2016; EFSA</w:t>
      </w:r>
      <w:r w:rsidR="00902B5F">
        <w:rPr>
          <w:rFonts w:eastAsia="Calibri"/>
          <w:noProof/>
          <w:sz w:val="22"/>
          <w:szCs w:val="22"/>
          <w:lang w:val="en-US" w:eastAsia="en-US"/>
        </w:rPr>
        <w:t>/ECDPC</w:t>
      </w:r>
      <w:r w:rsidR="002D47EA">
        <w:rPr>
          <w:rFonts w:eastAsia="Calibri"/>
          <w:noProof/>
          <w:sz w:val="22"/>
          <w:szCs w:val="22"/>
          <w:lang w:val="en-US" w:eastAsia="en-US"/>
        </w:rPr>
        <w:t>, 2017)</w:t>
      </w:r>
      <w:r w:rsidR="00A547D8">
        <w:rPr>
          <w:rFonts w:eastAsia="Calibri"/>
          <w:sz w:val="22"/>
          <w:szCs w:val="22"/>
          <w:lang w:val="en-US" w:eastAsia="en-US"/>
        </w:rPr>
        <w:t>;</w:t>
      </w:r>
    </w:p>
    <w:p w14:paraId="23342403" w14:textId="77777777" w:rsidR="00623A29" w:rsidRDefault="00B55883" w:rsidP="00076763">
      <w:pPr>
        <w:pStyle w:val="ListParagraph"/>
        <w:numPr>
          <w:ilvl w:val="0"/>
          <w:numId w:val="8"/>
        </w:numPr>
        <w:spacing w:after="120"/>
        <w:ind w:left="714" w:hanging="357"/>
        <w:rPr>
          <w:rFonts w:eastAsia="Calibri"/>
          <w:sz w:val="22"/>
          <w:szCs w:val="22"/>
          <w:lang w:val="en-US" w:eastAsia="en-US"/>
        </w:rPr>
      </w:pPr>
      <w:r w:rsidRPr="00A547D8">
        <w:rPr>
          <w:rFonts w:eastAsia="Calibri"/>
          <w:sz w:val="22"/>
          <w:szCs w:val="22"/>
          <w:lang w:val="en-US" w:eastAsia="en-US"/>
        </w:rPr>
        <w:t>be applied to characterizing ecosystem function or conservation of species or sub-species</w:t>
      </w:r>
      <w:r w:rsidR="00623A29" w:rsidRPr="00A547D8">
        <w:rPr>
          <w:rFonts w:eastAsia="Calibri"/>
          <w:sz w:val="22"/>
          <w:szCs w:val="22"/>
          <w:lang w:val="en-US" w:eastAsia="en-US"/>
        </w:rPr>
        <w:t xml:space="preserve"> through techniques such </w:t>
      </w:r>
      <w:r w:rsidR="00BC517D" w:rsidRPr="00A547D8">
        <w:rPr>
          <w:rFonts w:eastAsia="Calibri"/>
          <w:sz w:val="22"/>
          <w:szCs w:val="22"/>
          <w:lang w:val="en-US" w:eastAsia="en-US"/>
        </w:rPr>
        <w:t>as barcoding or meta-barcoding</w:t>
      </w:r>
      <w:r w:rsidR="00557765" w:rsidRPr="00A547D8">
        <w:rPr>
          <w:rFonts w:eastAsia="Calibri"/>
          <w:sz w:val="22"/>
          <w:szCs w:val="22"/>
          <w:lang w:val="en-US" w:eastAsia="en-US"/>
        </w:rPr>
        <w:t xml:space="preserve"> </w:t>
      </w:r>
      <w:r w:rsidR="001C037C">
        <w:rPr>
          <w:rFonts w:eastAsia="Calibri"/>
          <w:noProof/>
          <w:sz w:val="22"/>
          <w:szCs w:val="22"/>
          <w:lang w:val="en-US" w:eastAsia="en-US"/>
        </w:rPr>
        <w:t>(Orwin</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2018)</w:t>
      </w:r>
      <w:r w:rsidR="00A547D8">
        <w:rPr>
          <w:rFonts w:eastAsia="Calibri"/>
          <w:sz w:val="22"/>
          <w:szCs w:val="22"/>
          <w:lang w:val="en-US" w:eastAsia="en-US"/>
        </w:rPr>
        <w:t>;</w:t>
      </w:r>
    </w:p>
    <w:p w14:paraId="22564056" w14:textId="77777777" w:rsidR="00130C39" w:rsidRPr="00A547D8" w:rsidRDefault="00A54607" w:rsidP="00076763">
      <w:pPr>
        <w:pStyle w:val="ListParagraph"/>
        <w:numPr>
          <w:ilvl w:val="0"/>
          <w:numId w:val="8"/>
        </w:numPr>
        <w:spacing w:after="120"/>
        <w:ind w:left="714" w:hanging="357"/>
        <w:rPr>
          <w:rFonts w:eastAsia="Calibri"/>
          <w:sz w:val="22"/>
          <w:szCs w:val="22"/>
          <w:lang w:val="en-US" w:eastAsia="en-US"/>
        </w:rPr>
      </w:pPr>
      <w:r>
        <w:rPr>
          <w:rFonts w:eastAsia="Calibri"/>
          <w:bCs/>
          <w:noProof/>
          <w:sz w:val="22"/>
          <w:szCs w:val="22"/>
          <w:lang w:val="en-CA" w:eastAsia="en-CA"/>
        </w:rPr>
        <mc:AlternateContent>
          <mc:Choice Requires="wps">
            <w:drawing>
              <wp:anchor distT="114935" distB="114935" distL="114300" distR="114300" simplePos="0" relativeHeight="251695104" behindDoc="0" locked="0" layoutInCell="1" allowOverlap="1" wp14:anchorId="7D0B5E8F" wp14:editId="38379580">
                <wp:simplePos x="0" y="0"/>
                <wp:positionH relativeFrom="column">
                  <wp:posOffset>138430</wp:posOffset>
                </wp:positionH>
                <wp:positionV relativeFrom="paragraph">
                  <wp:posOffset>617855</wp:posOffset>
                </wp:positionV>
                <wp:extent cx="5143500" cy="2628900"/>
                <wp:effectExtent l="0" t="0" r="38100" b="38100"/>
                <wp:wrapTopAndBottom/>
                <wp:docPr id="22" name="Text Box 22"/>
                <wp:cNvGraphicFramePr/>
                <a:graphic xmlns:a="http://schemas.openxmlformats.org/drawingml/2006/main">
                  <a:graphicData uri="http://schemas.microsoft.com/office/word/2010/wordprocessingShape">
                    <wps:wsp>
                      <wps:cNvSpPr txBox="1"/>
                      <wps:spPr>
                        <a:xfrm>
                          <a:off x="0" y="0"/>
                          <a:ext cx="5143500" cy="2628900"/>
                        </a:xfrm>
                        <a:prstGeom prst="rect">
                          <a:avLst/>
                        </a:prstGeom>
                        <a:no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A2A0ED" w14:textId="77777777" w:rsidR="00F63D94" w:rsidRDefault="00F63D94" w:rsidP="007C35A7">
                            <w:r>
                              <w:rPr>
                                <w:noProof/>
                                <w:lang w:val="en-CA" w:eastAsia="en-CA"/>
                              </w:rPr>
                              <w:drawing>
                                <wp:inline distT="0" distB="0" distL="0" distR="0" wp14:anchorId="365BA81C" wp14:editId="754D0A7E">
                                  <wp:extent cx="4960620" cy="219837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i to grfa.eps"/>
                                          <pic:cNvPicPr/>
                                        </pic:nvPicPr>
                                        <pic:blipFill>
                                          <a:blip r:embed="rId20">
                                            <a:extLst>
                                              <a:ext uri="{28A0092B-C50C-407E-A947-70E740481C1C}">
                                                <a14:useLocalDpi xmlns:a14="http://schemas.microsoft.com/office/drawing/2010/main" val="0"/>
                                              </a:ext>
                                            </a:extLst>
                                          </a:blip>
                                          <a:stretch>
                                            <a:fillRect/>
                                          </a:stretch>
                                        </pic:blipFill>
                                        <pic:spPr>
                                          <a:xfrm>
                                            <a:off x="0" y="0"/>
                                            <a:ext cx="4960620" cy="2198370"/>
                                          </a:xfrm>
                                          <a:prstGeom prst="rect">
                                            <a:avLst/>
                                          </a:prstGeom>
                                        </pic:spPr>
                                      </pic:pic>
                                    </a:graphicData>
                                  </a:graphic>
                                </wp:inline>
                              </w:drawing>
                            </w:r>
                          </w:p>
                          <w:p w14:paraId="1E04928B" w14:textId="77777777" w:rsidR="00F63D94" w:rsidRDefault="00F63D94" w:rsidP="00902B5F">
                            <w:r w:rsidRPr="00B732A9">
                              <w:rPr>
                                <w:rFonts w:eastAsia="Calibri"/>
                                <w:b/>
                                <w:bCs/>
                                <w:sz w:val="22"/>
                                <w:szCs w:val="22"/>
                                <w:lang w:val="en-US" w:eastAsia="en-US"/>
                              </w:rPr>
                              <w:t xml:space="preserve">Figure </w:t>
                            </w:r>
                            <w:r>
                              <w:rPr>
                                <w:rFonts w:eastAsia="Calibri"/>
                                <w:b/>
                                <w:bCs/>
                                <w:sz w:val="22"/>
                                <w:szCs w:val="22"/>
                                <w:lang w:val="en-US" w:eastAsia="en-US"/>
                              </w:rPr>
                              <w:t>7</w:t>
                            </w:r>
                            <w:r>
                              <w:rPr>
                                <w:rFonts w:eastAsia="Calibri"/>
                                <w:bCs/>
                                <w:sz w:val="22"/>
                                <w:szCs w:val="22"/>
                                <w:lang w:val="en-US" w:eastAsia="en-US"/>
                              </w:rPr>
                              <w:t>.</w:t>
                            </w:r>
                            <w:r w:rsidRPr="00842949">
                              <w:rPr>
                                <w:rFonts w:eastAsia="Calibri"/>
                                <w:bCs/>
                                <w:sz w:val="22"/>
                                <w:szCs w:val="22"/>
                                <w:lang w:val="en-US" w:eastAsia="en-US"/>
                              </w:rPr>
                              <w:t xml:space="preserve"> </w:t>
                            </w:r>
                            <w:r>
                              <w:rPr>
                                <w:rFonts w:eastAsia="Calibri"/>
                                <w:bCs/>
                                <w:sz w:val="22"/>
                                <w:szCs w:val="22"/>
                                <w:lang w:val="en-US" w:eastAsia="en-US"/>
                              </w:rPr>
                              <w:t>Stylized depiction of plant and animal breeding assisted by DSI</w:t>
                            </w:r>
                            <w:r>
                              <w:rPr>
                                <w:rFonts w:eastAsia="Calibri"/>
                                <w:bCs/>
                                <w:sz w:val="22"/>
                                <w:szCs w:val="22"/>
                                <w:lang w:val="en-US" w:eastAsia="en-US"/>
                              </w:rPr>
                              <w:br/>
                            </w:r>
                            <w:r w:rsidRPr="00630048">
                              <w:rPr>
                                <w:rFonts w:eastAsia="Calibri"/>
                                <w:bCs/>
                                <w:i/>
                                <w:sz w:val="22"/>
                                <w:szCs w:val="22"/>
                                <w:lang w:val="en-US" w:eastAsia="en-US"/>
                              </w:rPr>
                              <w:t>Source:</w:t>
                            </w:r>
                            <w:r>
                              <w:rPr>
                                <w:rFonts w:eastAsia="Calibri"/>
                                <w:bCs/>
                                <w:sz w:val="22"/>
                                <w:szCs w:val="22"/>
                                <w:lang w:val="en-US" w:eastAsia="en-US"/>
                              </w:rPr>
                              <w:t xml:space="preserve"> </w:t>
                            </w:r>
                            <w:r>
                              <w:rPr>
                                <w:rFonts w:eastAsia="Calibri"/>
                                <w:bCs/>
                                <w:sz w:val="22"/>
                                <w:szCs w:val="22"/>
                                <w:lang w:val="en-US" w:eastAsia="en-US"/>
                              </w:rPr>
                              <w:fldChar w:fldCharType="begin"/>
                            </w:r>
                            <w:r>
                              <w:rPr>
                                <w:rFonts w:eastAsia="Calibri"/>
                                <w:bCs/>
                                <w:sz w:val="22"/>
                                <w:szCs w:val="22"/>
                                <w:lang w:val="en-US" w:eastAsia="en-US"/>
                              </w:rPr>
                              <w:instrText xml:space="preserve"> ADDIN EN.CITE &lt;EndNote&gt;&lt;Cite&gt;&lt;Author&gt;Varshney&lt;/Author&gt;&lt;Year&gt;2014&lt;/Year&gt;&lt;RecNum&gt;310&lt;/RecNum&gt;&lt;DisplayText&gt;(Varshney&lt;style face="italic"&gt; et al.&lt;/style&gt;, 2014)&lt;/DisplayText&gt;&lt;record&gt;&lt;rec-number&gt;310&lt;/rec-number&gt;&lt;foreign-keys&gt;&lt;key app="EN" db-id="vav00vdrjedrwre5xsc5vxpsx0fp9arstrrf" timestamp="1517123943"&gt;310&lt;/key&gt;&lt;/foreign-keys&gt;&lt;ref-type name="Journal Article"&gt;17&lt;/ref-type&gt;&lt;contributors&gt;&lt;authors&gt;&lt;author&gt;Varshney, Rajeev K.&lt;/author&gt;&lt;author&gt;Terauchi, Ryohei&lt;/author&gt;&lt;author&gt;McCouch, Susan R.&lt;/author&gt;&lt;/authors&gt;&lt;/contributors&gt;&lt;titles&gt;&lt;title&gt;Harvesting the promising fruits of genomics: applying genome sequencing technologies to crop breeding&lt;/title&gt;&lt;secondary-title&gt;PLOS Biology&lt;/secondary-title&gt;&lt;alt-title&gt;PLOS Biol&lt;/alt-title&gt;&lt;/titles&gt;&lt;periodical&gt;&lt;full-title&gt;PLOS Biology&lt;/full-title&gt;&lt;/periodical&gt;&lt;alt-periodical&gt;&lt;full-title&gt;PLoS Biol&lt;/full-title&gt;&lt;abbr-1&gt;PLoS Biol&lt;/abbr-1&gt;&lt;/alt-periodical&gt;&lt;pages&gt;e1001883&lt;/pages&gt;&lt;volume&gt;12&lt;/volume&gt;&lt;number&gt;6&lt;/number&gt;&lt;dates&gt;&lt;year&gt;2014&lt;/year&gt;&lt;/dates&gt;&lt;publisher&gt;Public Library of Science&lt;/publisher&gt;&lt;urls&gt;&lt;related-urls&gt;&lt;url&gt;https://doi.org/10.1371/journal.pbio.1001883&lt;/url&gt;&lt;/related-urls&gt;&lt;/urls&gt;&lt;electronic-resource-num&gt;10.1371/journal.pbio.1001883&lt;/electronic-resource-num&gt;&lt;/record&gt;&lt;/Cite&gt;&lt;/EndNote&gt;</w:instrText>
                            </w:r>
                            <w:r>
                              <w:rPr>
                                <w:rFonts w:eastAsia="Calibri"/>
                                <w:bCs/>
                                <w:sz w:val="22"/>
                                <w:szCs w:val="22"/>
                                <w:lang w:val="en-US" w:eastAsia="en-US"/>
                              </w:rPr>
                              <w:fldChar w:fldCharType="separate"/>
                            </w:r>
                            <w:r>
                              <w:rPr>
                                <w:rFonts w:eastAsia="Calibri"/>
                                <w:bCs/>
                                <w:noProof/>
                                <w:sz w:val="22"/>
                                <w:szCs w:val="22"/>
                                <w:lang w:val="en-US" w:eastAsia="en-US"/>
                              </w:rPr>
                              <w:t>Varshney</w:t>
                            </w:r>
                            <w:r w:rsidRPr="001C037C">
                              <w:rPr>
                                <w:rFonts w:eastAsia="Calibri"/>
                                <w:bCs/>
                                <w:i/>
                                <w:noProof/>
                                <w:sz w:val="22"/>
                                <w:szCs w:val="22"/>
                                <w:lang w:val="en-US" w:eastAsia="en-US"/>
                              </w:rPr>
                              <w:t xml:space="preserve"> et al.</w:t>
                            </w:r>
                            <w:r>
                              <w:rPr>
                                <w:rFonts w:eastAsia="Calibri"/>
                                <w:bCs/>
                                <w:noProof/>
                                <w:sz w:val="22"/>
                                <w:szCs w:val="22"/>
                                <w:lang w:val="en-US" w:eastAsia="en-US"/>
                              </w:rPr>
                              <w:t xml:space="preserve"> (2014)</w:t>
                            </w:r>
                            <w:r>
                              <w:rPr>
                                <w:rFonts w:eastAsia="Calibri"/>
                                <w:bCs/>
                                <w:sz w:val="22"/>
                                <w:szCs w:val="22"/>
                                <w:lang w:val="en-US" w:eastAsia="en-US"/>
                              </w:rPr>
                              <w:fldChar w:fldCharType="end"/>
                            </w:r>
                            <w:r>
                              <w:rPr>
                                <w:rFonts w:eastAsia="Calibri"/>
                                <w:bCs/>
                                <w:sz w:val="22"/>
                                <w:szCs w:val="22"/>
                                <w:lang w:val="en-US" w:eastAsia="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0B5E8F" id="Text Box 22" o:spid="_x0000_s1034" type="#_x0000_t202" style="position:absolute;left:0;text-align:left;margin-left:10.9pt;margin-top:48.65pt;width:405pt;height:207pt;z-index:251695104;visibility:visible;mso-wrap-style:square;mso-width-percent:0;mso-height-percent:0;mso-wrap-distance-left:9pt;mso-wrap-distance-top:9.05pt;mso-wrap-distance-right:9pt;mso-wrap-distance-bottom:9.0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3JLvAIAANUFAAAOAAAAZHJzL2Uyb0RvYy54bWysVN1v2jAQf5+0/8HyO03IoAXUUKVUTJOq&#10;thqd+mwcu0RzfJ5tIGza/76zk1DU9aXTXpL79t3vPi6vmlqRnbCuAp3T4VlKidAcyko/5/Tb43Iw&#10;ocR5pkumQIucHoSjV/OPHy73ZiYy2IAqhSUYRLvZ3uR0472ZJYnjG1EzdwZGaFRKsDXzyNrnpLRs&#10;j9FrlWRpep7swZbGAhfOofSmVdJ5jC+l4P5eSic8UTnF3Hz82vhdh28yv2SzZ8vMpuJdGuwfsqhZ&#10;pfHRY6gb5hnZ2uqvUHXFLTiQ/oxDnYCUFRexBqxmmL6qZrVhRsRaEBxnjjC5/xeW3+0eLKnKnGYZ&#10;JZrV2KNH0XhyDQ1BEeKzN26GZiuDhr5BOfa5lzsUhrIbaevwx4II6hHpwxHdEI2jcDwcfRqnqOKo&#10;y86zyRQZjJ+8uBvr/GcBNQlETi22L6LKdrfOt6a9SXhNw7JSKrZQ6SBwoKoyyCITZkgslCU7ht33&#10;TcwaXzuxQq71FHFW2lfYDFNGMgQJycc+/lqML7LiYjwdnBfj4WA0TCeDokizwc2ySIt0tFxMR9e/&#10;u3p6/yRg12IUKX9QIkRV+quQiHqE6o1cGedC+z7faB2sJFb2HsfOPtYR63uPc4sIesSXQfujc11p&#10;sLEvcU1fIC6/9ynL1h6be1J3IH2zbuK4TfoRWkN5wMmy0O6mM3xZYfdvmfMPzOIy4sTggfH3+JEK&#10;9jmFjqJkA/bnW/JgjzuCWkr2uNw5dT+2zApK1BeN2zMdjkbhGkRmhI1Fxp5q1qcava0XgBM0xFNm&#10;eCSDvVc9KS3UT3iHivAqqpjm+DaOXE8ufHty8I5xURTRCPffMH+rV4aH0AHlMNuPzROzplsAj4N0&#10;B/0ZYLNXe9DaBk8NxdaDrOKSBJxbVDv88XbENevuXDhOp3y0ernG8z8AAAD//wMAUEsDBBQABgAI&#10;AAAAIQC7ynvw4QAAAAkBAAAPAAAAZHJzL2Rvd25yZXYueG1sTI/BbsIwEETvlfoP1lbqrTghKtCQ&#10;DWpBSBWiB6BCHE28TaLG6yg2EP6+5kSPOzOaeZvNetOIM3WutowQDyIQxIXVNZcI37vlywSE84q1&#10;aiwTwpUczPLHh0yl2l54Q+etL0UoYZcqhMr7NpXSFRUZ5Qa2JQ7ej+2M8uHsSqk7dQnlppHDKBpJ&#10;o2oOC5VqaV5R8bs9GYTP3XW1Gc+/Rmb1sTis99Ltl4s14vNT/z4F4an39zDc8AM65IHpaE+snWgQ&#10;hnEg9whv4wRE8CfJTTgivMZxAjLP5P8P8j8AAAD//wMAUEsBAi0AFAAGAAgAAAAhALaDOJL+AAAA&#10;4QEAABMAAAAAAAAAAAAAAAAAAAAAAFtDb250ZW50X1R5cGVzXS54bWxQSwECLQAUAAYACAAAACEA&#10;OP0h/9YAAACUAQAACwAAAAAAAAAAAAAAAAAvAQAAX3JlbHMvLnJlbHNQSwECLQAUAAYACAAAACEA&#10;bPdyS7wCAADVBQAADgAAAAAAAAAAAAAAAAAuAgAAZHJzL2Uyb0RvYy54bWxQSwECLQAUAAYACAAA&#10;ACEAu8p78OEAAAAJAQAADwAAAAAAAAAAAAAAAAAWBQAAZHJzL2Rvd25yZXYueG1sUEsFBgAAAAAE&#10;AAQA8wAAACQGAAAAAA==&#10;" filled="f" strokecolor="black [3213]">
                <v:textbox>
                  <w:txbxContent>
                    <w:p w14:paraId="74A2A0ED" w14:textId="77777777" w:rsidR="00F63D94" w:rsidRDefault="00F63D94" w:rsidP="007C35A7">
                      <w:r>
                        <w:rPr>
                          <w:noProof/>
                          <w:lang w:val="en-CA" w:eastAsia="en-CA"/>
                        </w:rPr>
                        <w:drawing>
                          <wp:inline distT="0" distB="0" distL="0" distR="0" wp14:anchorId="365BA81C" wp14:editId="754D0A7E">
                            <wp:extent cx="4960620" cy="219837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i to grfa.eps"/>
                                    <pic:cNvPicPr/>
                                  </pic:nvPicPr>
                                  <pic:blipFill>
                                    <a:blip r:embed="rId20">
                                      <a:extLst>
                                        <a:ext uri="{28A0092B-C50C-407E-A947-70E740481C1C}">
                                          <a14:useLocalDpi xmlns:a14="http://schemas.microsoft.com/office/drawing/2010/main" val="0"/>
                                        </a:ext>
                                      </a:extLst>
                                    </a:blip>
                                    <a:stretch>
                                      <a:fillRect/>
                                    </a:stretch>
                                  </pic:blipFill>
                                  <pic:spPr>
                                    <a:xfrm>
                                      <a:off x="0" y="0"/>
                                      <a:ext cx="4960620" cy="2198370"/>
                                    </a:xfrm>
                                    <a:prstGeom prst="rect">
                                      <a:avLst/>
                                    </a:prstGeom>
                                  </pic:spPr>
                                </pic:pic>
                              </a:graphicData>
                            </a:graphic>
                          </wp:inline>
                        </w:drawing>
                      </w:r>
                    </w:p>
                    <w:p w14:paraId="1E04928B" w14:textId="77777777" w:rsidR="00F63D94" w:rsidRDefault="00F63D94" w:rsidP="00902B5F">
                      <w:r w:rsidRPr="00B732A9">
                        <w:rPr>
                          <w:rFonts w:eastAsia="Calibri"/>
                          <w:b/>
                          <w:bCs/>
                          <w:sz w:val="22"/>
                          <w:szCs w:val="22"/>
                          <w:lang w:val="en-US" w:eastAsia="en-US"/>
                        </w:rPr>
                        <w:t xml:space="preserve">Figure </w:t>
                      </w:r>
                      <w:r>
                        <w:rPr>
                          <w:rFonts w:eastAsia="Calibri"/>
                          <w:b/>
                          <w:bCs/>
                          <w:sz w:val="22"/>
                          <w:szCs w:val="22"/>
                          <w:lang w:val="en-US" w:eastAsia="en-US"/>
                        </w:rPr>
                        <w:t>7</w:t>
                      </w:r>
                      <w:r>
                        <w:rPr>
                          <w:rFonts w:eastAsia="Calibri"/>
                          <w:bCs/>
                          <w:sz w:val="22"/>
                          <w:szCs w:val="22"/>
                          <w:lang w:val="en-US" w:eastAsia="en-US"/>
                        </w:rPr>
                        <w:t>.</w:t>
                      </w:r>
                      <w:r w:rsidRPr="00842949">
                        <w:rPr>
                          <w:rFonts w:eastAsia="Calibri"/>
                          <w:bCs/>
                          <w:sz w:val="22"/>
                          <w:szCs w:val="22"/>
                          <w:lang w:val="en-US" w:eastAsia="en-US"/>
                        </w:rPr>
                        <w:t xml:space="preserve"> </w:t>
                      </w:r>
                      <w:r>
                        <w:rPr>
                          <w:rFonts w:eastAsia="Calibri"/>
                          <w:bCs/>
                          <w:sz w:val="22"/>
                          <w:szCs w:val="22"/>
                          <w:lang w:val="en-US" w:eastAsia="en-US"/>
                        </w:rPr>
                        <w:t>Stylized depiction of plant and animal breeding assisted by DSI</w:t>
                      </w:r>
                      <w:r>
                        <w:rPr>
                          <w:rFonts w:eastAsia="Calibri"/>
                          <w:bCs/>
                          <w:sz w:val="22"/>
                          <w:szCs w:val="22"/>
                          <w:lang w:val="en-US" w:eastAsia="en-US"/>
                        </w:rPr>
                        <w:br/>
                      </w:r>
                      <w:r w:rsidRPr="00630048">
                        <w:rPr>
                          <w:rFonts w:eastAsia="Calibri"/>
                          <w:bCs/>
                          <w:i/>
                          <w:sz w:val="22"/>
                          <w:szCs w:val="22"/>
                          <w:lang w:val="en-US" w:eastAsia="en-US"/>
                        </w:rPr>
                        <w:t>Source:</w:t>
                      </w:r>
                      <w:r>
                        <w:rPr>
                          <w:rFonts w:eastAsia="Calibri"/>
                          <w:bCs/>
                          <w:sz w:val="22"/>
                          <w:szCs w:val="22"/>
                          <w:lang w:val="en-US" w:eastAsia="en-US"/>
                        </w:rPr>
                        <w:t xml:space="preserve"> </w:t>
                      </w:r>
                      <w:r>
                        <w:rPr>
                          <w:rFonts w:eastAsia="Calibri"/>
                          <w:bCs/>
                          <w:sz w:val="22"/>
                          <w:szCs w:val="22"/>
                          <w:lang w:val="en-US" w:eastAsia="en-US"/>
                        </w:rPr>
                        <w:fldChar w:fldCharType="begin"/>
                      </w:r>
                      <w:r>
                        <w:rPr>
                          <w:rFonts w:eastAsia="Calibri"/>
                          <w:bCs/>
                          <w:sz w:val="22"/>
                          <w:szCs w:val="22"/>
                          <w:lang w:val="en-US" w:eastAsia="en-US"/>
                        </w:rPr>
                        <w:instrText xml:space="preserve"> ADDIN EN.CITE &lt;EndNote&gt;&lt;Cite&gt;&lt;Author&gt;Varshney&lt;/Author&gt;&lt;Year&gt;2014&lt;/Year&gt;&lt;RecNum&gt;310&lt;/RecNum&gt;&lt;DisplayText&gt;(Varshney&lt;style face="italic"&gt; et al.&lt;/style&gt;, 2014)&lt;/DisplayText&gt;&lt;record&gt;&lt;rec-number&gt;310&lt;/rec-number&gt;&lt;foreign-keys&gt;&lt;key app="EN" db-id="vav00vdrjedrwre5xsc5vxpsx0fp9arstrrf" timestamp="1517123943"&gt;310&lt;/key&gt;&lt;/foreign-keys&gt;&lt;ref-type name="Journal Article"&gt;17&lt;/ref-type&gt;&lt;contributors&gt;&lt;authors&gt;&lt;author&gt;Varshney, Rajeev K.&lt;/author&gt;&lt;author&gt;Terauchi, Ryohei&lt;/author&gt;&lt;author&gt;McCouch, Susan R.&lt;/author&gt;&lt;/authors&gt;&lt;/contributors&gt;&lt;titles&gt;&lt;title&gt;Harvesting the promising fruits of genomics: applying genome sequencing technologies to crop breeding&lt;/title&gt;&lt;secondary-title&gt;PLOS Biology&lt;/secondary-title&gt;&lt;alt-title&gt;PLOS Biol&lt;/alt-title&gt;&lt;/titles&gt;&lt;periodical&gt;&lt;full-title&gt;PLOS Biology&lt;/full-title&gt;&lt;/periodical&gt;&lt;alt-periodical&gt;&lt;full-title&gt;PLoS Biol&lt;/full-title&gt;&lt;abbr-1&gt;PLoS Biol&lt;/abbr-1&gt;&lt;/alt-periodical&gt;&lt;pages&gt;e1001883&lt;/pages&gt;&lt;volume&gt;12&lt;/volume&gt;&lt;number&gt;6&lt;/number&gt;&lt;dates&gt;&lt;year&gt;2014&lt;/year&gt;&lt;/dates&gt;&lt;publisher&gt;Public Library of Science&lt;/publisher&gt;&lt;urls&gt;&lt;related-urls&gt;&lt;url&gt;https://doi.org/10.1371/journal.pbio.1001883&lt;/url&gt;&lt;/related-urls&gt;&lt;/urls&gt;&lt;electronic-resource-num&gt;10.1371/journal.pbio.1001883&lt;/electronic-resource-num&gt;&lt;/record&gt;&lt;/Cite&gt;&lt;/EndNote&gt;</w:instrText>
                      </w:r>
                      <w:r>
                        <w:rPr>
                          <w:rFonts w:eastAsia="Calibri"/>
                          <w:bCs/>
                          <w:sz w:val="22"/>
                          <w:szCs w:val="22"/>
                          <w:lang w:val="en-US" w:eastAsia="en-US"/>
                        </w:rPr>
                        <w:fldChar w:fldCharType="separate"/>
                      </w:r>
                      <w:r>
                        <w:rPr>
                          <w:rFonts w:eastAsia="Calibri"/>
                          <w:bCs/>
                          <w:noProof/>
                          <w:sz w:val="22"/>
                          <w:szCs w:val="22"/>
                          <w:lang w:val="en-US" w:eastAsia="en-US"/>
                        </w:rPr>
                        <w:t>Varshney</w:t>
                      </w:r>
                      <w:r w:rsidRPr="001C037C">
                        <w:rPr>
                          <w:rFonts w:eastAsia="Calibri"/>
                          <w:bCs/>
                          <w:i/>
                          <w:noProof/>
                          <w:sz w:val="22"/>
                          <w:szCs w:val="22"/>
                          <w:lang w:val="en-US" w:eastAsia="en-US"/>
                        </w:rPr>
                        <w:t xml:space="preserve"> et al.</w:t>
                      </w:r>
                      <w:r>
                        <w:rPr>
                          <w:rFonts w:eastAsia="Calibri"/>
                          <w:bCs/>
                          <w:noProof/>
                          <w:sz w:val="22"/>
                          <w:szCs w:val="22"/>
                          <w:lang w:val="en-US" w:eastAsia="en-US"/>
                        </w:rPr>
                        <w:t xml:space="preserve"> (2014)</w:t>
                      </w:r>
                      <w:r>
                        <w:rPr>
                          <w:rFonts w:eastAsia="Calibri"/>
                          <w:bCs/>
                          <w:sz w:val="22"/>
                          <w:szCs w:val="22"/>
                          <w:lang w:val="en-US" w:eastAsia="en-US"/>
                        </w:rPr>
                        <w:fldChar w:fldCharType="end"/>
                      </w:r>
                      <w:r>
                        <w:rPr>
                          <w:rFonts w:eastAsia="Calibri"/>
                          <w:bCs/>
                          <w:sz w:val="22"/>
                          <w:szCs w:val="22"/>
                          <w:lang w:val="en-US" w:eastAsia="en-US"/>
                        </w:rPr>
                        <w:t>.</w:t>
                      </w:r>
                    </w:p>
                  </w:txbxContent>
                </v:textbox>
                <w10:wrap type="topAndBottom"/>
              </v:shape>
            </w:pict>
          </mc:Fallback>
        </mc:AlternateContent>
      </w:r>
      <w:r w:rsidR="00AF2E38" w:rsidRPr="00A547D8">
        <w:rPr>
          <w:rFonts w:eastAsia="Calibri"/>
          <w:sz w:val="22"/>
          <w:szCs w:val="22"/>
          <w:lang w:val="en-US" w:eastAsia="en-US"/>
        </w:rPr>
        <w:t>be used to design DNA or RNA</w:t>
      </w:r>
      <w:r w:rsidR="00A547D8">
        <w:rPr>
          <w:rFonts w:eastAsia="Calibri"/>
          <w:sz w:val="22"/>
          <w:szCs w:val="22"/>
          <w:lang w:val="en-US" w:eastAsia="en-US"/>
        </w:rPr>
        <w:t>-</w:t>
      </w:r>
      <w:r w:rsidR="00AF2E38" w:rsidRPr="00A547D8">
        <w:rPr>
          <w:rFonts w:eastAsia="Calibri"/>
          <w:sz w:val="22"/>
          <w:szCs w:val="22"/>
          <w:lang w:val="en-US" w:eastAsia="en-US"/>
        </w:rPr>
        <w:t>based pesticides or therapeutics</w:t>
      </w:r>
      <w:r w:rsidR="00557765" w:rsidRPr="00A547D8">
        <w:rPr>
          <w:rFonts w:eastAsia="Calibri"/>
          <w:sz w:val="22"/>
          <w:szCs w:val="22"/>
          <w:lang w:val="en-US" w:eastAsia="en-US"/>
        </w:rPr>
        <w:t xml:space="preserve"> </w:t>
      </w:r>
      <w:r w:rsidR="001C037C">
        <w:rPr>
          <w:rFonts w:eastAsia="Calibri"/>
          <w:noProof/>
          <w:sz w:val="22"/>
          <w:szCs w:val="22"/>
          <w:lang w:val="en-US" w:eastAsia="en-US"/>
        </w:rPr>
        <w:t>(Heinemann</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2013; Mogren and Lundgren, 2017)</w:t>
      </w:r>
      <w:r w:rsidR="00AF2E38" w:rsidRPr="00A547D8">
        <w:rPr>
          <w:rFonts w:eastAsia="Calibri"/>
          <w:sz w:val="22"/>
          <w:szCs w:val="22"/>
          <w:lang w:val="en-US" w:eastAsia="en-US"/>
        </w:rPr>
        <w:t>.</w:t>
      </w:r>
    </w:p>
    <w:p w14:paraId="61EEF463" w14:textId="77777777" w:rsidR="00B950EF" w:rsidRDefault="00B950EF" w:rsidP="00842949">
      <w:pPr>
        <w:spacing w:after="120"/>
        <w:rPr>
          <w:rFonts w:eastAsia="Calibri"/>
          <w:sz w:val="22"/>
          <w:szCs w:val="22"/>
          <w:lang w:val="en-US" w:eastAsia="en-US"/>
        </w:rPr>
      </w:pPr>
      <w:r>
        <w:rPr>
          <w:rFonts w:eastAsia="Calibri"/>
          <w:sz w:val="22"/>
          <w:szCs w:val="22"/>
          <w:lang w:val="en-US" w:eastAsia="en-US"/>
        </w:rPr>
        <w:t>With the miniaturization of collection tools, such as hand-held DNA s</w:t>
      </w:r>
      <w:r w:rsidR="00B55883">
        <w:rPr>
          <w:rFonts w:eastAsia="Calibri"/>
          <w:sz w:val="22"/>
          <w:szCs w:val="22"/>
          <w:lang w:val="en-US" w:eastAsia="en-US"/>
        </w:rPr>
        <w:t>equencers and credit</w:t>
      </w:r>
      <w:r w:rsidR="00E80F7A">
        <w:rPr>
          <w:rFonts w:eastAsia="Calibri"/>
          <w:sz w:val="22"/>
          <w:szCs w:val="22"/>
          <w:lang w:val="en-US" w:eastAsia="en-US"/>
        </w:rPr>
        <w:t xml:space="preserve"> </w:t>
      </w:r>
      <w:r>
        <w:rPr>
          <w:rFonts w:eastAsia="Calibri"/>
          <w:sz w:val="22"/>
          <w:szCs w:val="22"/>
          <w:lang w:val="en-US" w:eastAsia="en-US"/>
        </w:rPr>
        <w:t>card</w:t>
      </w:r>
      <w:r w:rsidR="00A547D8">
        <w:rPr>
          <w:rFonts w:eastAsia="Calibri"/>
          <w:sz w:val="22"/>
          <w:szCs w:val="22"/>
          <w:lang w:val="en-US" w:eastAsia="en-US"/>
        </w:rPr>
        <w:t>-</w:t>
      </w:r>
      <w:r>
        <w:rPr>
          <w:rFonts w:eastAsia="Calibri"/>
          <w:sz w:val="22"/>
          <w:szCs w:val="22"/>
          <w:lang w:val="en-US" w:eastAsia="en-US"/>
        </w:rPr>
        <w:t>sized, real</w:t>
      </w:r>
      <w:r w:rsidR="00A547D8">
        <w:rPr>
          <w:rFonts w:eastAsia="Calibri"/>
          <w:sz w:val="22"/>
          <w:szCs w:val="22"/>
          <w:lang w:val="en-US" w:eastAsia="en-US"/>
        </w:rPr>
        <w:t>-</w:t>
      </w:r>
      <w:r>
        <w:rPr>
          <w:rFonts w:eastAsia="Calibri"/>
          <w:sz w:val="22"/>
          <w:szCs w:val="22"/>
          <w:lang w:val="en-US" w:eastAsia="en-US"/>
        </w:rPr>
        <w:t xml:space="preserve">time diagnostic devices, it is likely that more people will be contributing to the creation of DSI. At such scales, it </w:t>
      </w:r>
      <w:r w:rsidR="00557765">
        <w:rPr>
          <w:rFonts w:eastAsia="Calibri"/>
          <w:sz w:val="22"/>
          <w:szCs w:val="22"/>
          <w:lang w:val="en-US" w:eastAsia="en-US"/>
        </w:rPr>
        <w:t>may</w:t>
      </w:r>
      <w:r>
        <w:rPr>
          <w:rFonts w:eastAsia="Calibri"/>
          <w:sz w:val="22"/>
          <w:szCs w:val="22"/>
          <w:lang w:val="en-US" w:eastAsia="en-US"/>
        </w:rPr>
        <w:t xml:space="preserve"> be possible to create value chains from personalized advertising and direct-to-the-consumer sales</w:t>
      </w:r>
      <w:r w:rsidR="006A4A69">
        <w:rPr>
          <w:rFonts w:eastAsia="Calibri"/>
          <w:sz w:val="22"/>
          <w:szCs w:val="22"/>
          <w:lang w:val="en-US" w:eastAsia="en-US"/>
        </w:rPr>
        <w:t xml:space="preserve"> as is happening with human genome sequencing</w:t>
      </w:r>
      <w:r w:rsidR="000C0456">
        <w:rPr>
          <w:rFonts w:eastAsia="Calibri"/>
          <w:sz w:val="22"/>
          <w:szCs w:val="22"/>
          <w:lang w:val="en-US" w:eastAsia="en-US"/>
        </w:rPr>
        <w:t xml:space="preserve"> </w:t>
      </w:r>
      <w:r w:rsidR="001C037C">
        <w:rPr>
          <w:rFonts w:eastAsia="Calibri"/>
          <w:noProof/>
          <w:sz w:val="22"/>
          <w:szCs w:val="22"/>
          <w:lang w:val="en-US" w:eastAsia="en-US"/>
        </w:rPr>
        <w:t>(Contreras and Deshmukh, 2017)</w:t>
      </w:r>
      <w:r>
        <w:rPr>
          <w:rFonts w:eastAsia="Calibri"/>
          <w:sz w:val="22"/>
          <w:szCs w:val="22"/>
          <w:lang w:val="en-US" w:eastAsia="en-US"/>
        </w:rPr>
        <w:t>.</w:t>
      </w:r>
    </w:p>
    <w:p w14:paraId="27226F4E" w14:textId="77777777" w:rsidR="00B55883" w:rsidRDefault="00B55883" w:rsidP="00842949">
      <w:pPr>
        <w:spacing w:after="120"/>
        <w:rPr>
          <w:rFonts w:eastAsia="Calibri"/>
          <w:sz w:val="22"/>
          <w:szCs w:val="22"/>
          <w:lang w:val="en-US" w:eastAsia="en-US"/>
        </w:rPr>
      </w:pPr>
      <w:r>
        <w:rPr>
          <w:rFonts w:eastAsia="Calibri"/>
          <w:sz w:val="22"/>
          <w:szCs w:val="22"/>
          <w:lang w:val="en-US" w:eastAsia="en-US"/>
        </w:rPr>
        <w:t>As the cost of synthesis declines, and</w:t>
      </w:r>
      <w:r w:rsidR="000116CF">
        <w:rPr>
          <w:rFonts w:eastAsia="Calibri"/>
          <w:sz w:val="22"/>
          <w:szCs w:val="22"/>
          <w:lang w:val="en-US" w:eastAsia="en-US"/>
        </w:rPr>
        <w:t xml:space="preserve"> should</w:t>
      </w:r>
      <w:r>
        <w:rPr>
          <w:rFonts w:eastAsia="Calibri"/>
          <w:sz w:val="22"/>
          <w:szCs w:val="22"/>
          <w:lang w:val="en-US" w:eastAsia="en-US"/>
        </w:rPr>
        <w:t xml:space="preserve"> tools for synthesis, such as the prototype </w:t>
      </w:r>
      <w:r w:rsidR="000116CF">
        <w:rPr>
          <w:rFonts w:eastAsia="Calibri"/>
          <w:sz w:val="22"/>
          <w:szCs w:val="22"/>
          <w:lang w:val="en-US" w:eastAsia="en-US"/>
        </w:rPr>
        <w:t>digital-to-biological converter</w:t>
      </w:r>
      <w:r w:rsidR="0026293E">
        <w:rPr>
          <w:rFonts w:eastAsia="Calibri"/>
          <w:sz w:val="22"/>
          <w:szCs w:val="22"/>
          <w:lang w:val="en-US" w:eastAsia="en-US"/>
        </w:rPr>
        <w:t>,</w:t>
      </w:r>
      <w:r w:rsidR="000116CF">
        <w:rPr>
          <w:rFonts w:eastAsia="Calibri"/>
          <w:sz w:val="22"/>
          <w:szCs w:val="22"/>
          <w:lang w:val="en-US" w:eastAsia="en-US"/>
        </w:rPr>
        <w:t xml:space="preserve"> become available, then DSI may add value through production of biological material other than</w:t>
      </w:r>
      <w:r w:rsidR="0081482E">
        <w:rPr>
          <w:rFonts w:eastAsia="Calibri"/>
          <w:sz w:val="22"/>
          <w:szCs w:val="22"/>
          <w:lang w:val="en-US" w:eastAsia="en-US"/>
        </w:rPr>
        <w:t xml:space="preserve"> genetic material </w:t>
      </w:r>
      <w:r w:rsidR="0081482E" w:rsidRPr="00783BFD">
        <w:rPr>
          <w:rFonts w:eastAsia="Calibri"/>
          <w:i/>
          <w:sz w:val="22"/>
          <w:szCs w:val="22"/>
          <w:lang w:val="en-US" w:eastAsia="en-US"/>
        </w:rPr>
        <w:t>per se</w:t>
      </w:r>
      <w:r w:rsidR="0081482E">
        <w:rPr>
          <w:rFonts w:eastAsia="Calibri"/>
          <w:sz w:val="22"/>
          <w:szCs w:val="22"/>
          <w:lang w:val="en-US" w:eastAsia="en-US"/>
        </w:rPr>
        <w:t xml:space="preserve">, and may also be able to create genetic material from what was </w:t>
      </w:r>
      <w:r w:rsidR="00743539">
        <w:rPr>
          <w:rFonts w:eastAsia="Calibri"/>
          <w:sz w:val="22"/>
          <w:szCs w:val="22"/>
          <w:lang w:val="en-US" w:eastAsia="en-US"/>
        </w:rPr>
        <w:t>previously considered to be</w:t>
      </w:r>
      <w:r w:rsidR="0081482E">
        <w:rPr>
          <w:rFonts w:eastAsia="Calibri"/>
          <w:sz w:val="22"/>
          <w:szCs w:val="22"/>
          <w:lang w:val="en-US" w:eastAsia="en-US"/>
        </w:rPr>
        <w:t xml:space="preserve"> only biological material</w:t>
      </w:r>
      <w:r w:rsidR="000116CF">
        <w:rPr>
          <w:rFonts w:eastAsia="Calibri"/>
          <w:sz w:val="22"/>
          <w:szCs w:val="22"/>
          <w:lang w:val="en-US" w:eastAsia="en-US"/>
        </w:rPr>
        <w:t>. Such products potentially incl</w:t>
      </w:r>
      <w:r w:rsidR="00390E92">
        <w:rPr>
          <w:rFonts w:eastAsia="Calibri"/>
          <w:sz w:val="22"/>
          <w:szCs w:val="22"/>
          <w:lang w:val="en-US" w:eastAsia="en-US"/>
        </w:rPr>
        <w:t>ude the manufacture of vaccines and peptide antibiotics.</w:t>
      </w:r>
      <w:r w:rsidR="000116CF">
        <w:rPr>
          <w:rFonts w:eastAsia="Calibri"/>
          <w:sz w:val="22"/>
          <w:szCs w:val="22"/>
          <w:lang w:val="en-US" w:eastAsia="en-US"/>
        </w:rPr>
        <w:t xml:space="preserve"> </w:t>
      </w:r>
      <w:r w:rsidR="00390E92">
        <w:rPr>
          <w:rFonts w:eastAsia="Calibri"/>
          <w:sz w:val="22"/>
          <w:szCs w:val="22"/>
          <w:lang w:val="en-US" w:eastAsia="en-US"/>
        </w:rPr>
        <w:t>In addition, the larger the DSI databases become</w:t>
      </w:r>
      <w:r w:rsidR="00902B5F">
        <w:rPr>
          <w:rFonts w:eastAsia="Calibri"/>
          <w:sz w:val="22"/>
          <w:szCs w:val="22"/>
          <w:lang w:val="en-US" w:eastAsia="en-US"/>
        </w:rPr>
        <w:t>,</w:t>
      </w:r>
      <w:r w:rsidR="00390E92">
        <w:rPr>
          <w:rFonts w:eastAsia="Calibri"/>
          <w:sz w:val="22"/>
          <w:szCs w:val="22"/>
          <w:lang w:val="en-US" w:eastAsia="en-US"/>
        </w:rPr>
        <w:t xml:space="preserve"> the more useful they will be for the design and then production of novel biological (e.g. enzymes or synthetic biological circuits) and/or biological genetic materials (e.g. genomes).</w:t>
      </w:r>
    </w:p>
    <w:p w14:paraId="6F14C80B" w14:textId="77777777" w:rsidR="00260C56" w:rsidRPr="00A43161" w:rsidRDefault="00260C56" w:rsidP="00842949">
      <w:pPr>
        <w:spacing w:after="120"/>
        <w:rPr>
          <w:rFonts w:eastAsia="Calibri"/>
          <w:lang w:val="en-US" w:eastAsia="en-US"/>
        </w:rPr>
      </w:pPr>
    </w:p>
    <w:p w14:paraId="0B4B3D7E" w14:textId="77777777" w:rsidR="00CA6CE9" w:rsidRPr="00A43161" w:rsidRDefault="00A43161" w:rsidP="00BD20AE">
      <w:pPr>
        <w:pStyle w:val="TableEntry"/>
        <w:keepNext/>
        <w:spacing w:before="120" w:after="120"/>
        <w:rPr>
          <w:b/>
          <w:sz w:val="24"/>
          <w:szCs w:val="24"/>
        </w:rPr>
      </w:pPr>
      <w:r w:rsidRPr="00A43161">
        <w:rPr>
          <w:b/>
          <w:sz w:val="24"/>
          <w:szCs w:val="24"/>
        </w:rPr>
        <w:t>Implications for access and benefit-sharing</w:t>
      </w:r>
    </w:p>
    <w:p w14:paraId="6082C90A" w14:textId="77777777" w:rsidR="00F22409" w:rsidRDefault="00F22409" w:rsidP="00BD20AE">
      <w:pPr>
        <w:keepNext/>
        <w:spacing w:after="120"/>
        <w:rPr>
          <w:rFonts w:eastAsia="Calibri"/>
          <w:sz w:val="22"/>
          <w:szCs w:val="22"/>
          <w:lang w:val="en-US" w:eastAsia="en-US"/>
        </w:rPr>
      </w:pPr>
      <w:r>
        <w:rPr>
          <w:rFonts w:eastAsia="Calibri"/>
          <w:sz w:val="22"/>
          <w:szCs w:val="22"/>
          <w:lang w:val="en-US" w:eastAsia="en-US"/>
        </w:rPr>
        <w:t>An estimated annual contribution of ~US</w:t>
      </w:r>
      <w:r w:rsidR="00A547D8">
        <w:rPr>
          <w:rFonts w:eastAsia="Calibri"/>
          <w:sz w:val="22"/>
          <w:szCs w:val="22"/>
          <w:lang w:val="en-US" w:eastAsia="en-US"/>
        </w:rPr>
        <w:t>D</w:t>
      </w:r>
      <w:r>
        <w:rPr>
          <w:rFonts w:eastAsia="Calibri"/>
          <w:sz w:val="22"/>
          <w:szCs w:val="22"/>
          <w:lang w:val="en-US" w:eastAsia="en-US"/>
        </w:rPr>
        <w:t>300</w:t>
      </w:r>
      <w:r w:rsidR="00A547D8">
        <w:rPr>
          <w:rFonts w:eastAsia="Calibri"/>
          <w:sz w:val="22"/>
          <w:szCs w:val="22"/>
          <w:lang w:val="en-US" w:eastAsia="en-US"/>
        </w:rPr>
        <w:t> </w:t>
      </w:r>
      <w:r>
        <w:rPr>
          <w:rFonts w:eastAsia="Calibri"/>
          <w:sz w:val="22"/>
          <w:szCs w:val="22"/>
          <w:lang w:val="en-US" w:eastAsia="en-US"/>
        </w:rPr>
        <w:t>000</w:t>
      </w:r>
      <w:r w:rsidR="00A547D8">
        <w:rPr>
          <w:rFonts w:eastAsia="Calibri"/>
          <w:sz w:val="22"/>
          <w:szCs w:val="22"/>
          <w:lang w:val="en-US" w:eastAsia="en-US"/>
        </w:rPr>
        <w:t> </w:t>
      </w:r>
      <w:r>
        <w:rPr>
          <w:rFonts w:eastAsia="Calibri"/>
          <w:sz w:val="22"/>
          <w:szCs w:val="22"/>
          <w:lang w:val="en-US" w:eastAsia="en-US"/>
        </w:rPr>
        <w:t xml:space="preserve">000 is provided by governments to maintain </w:t>
      </w:r>
      <w:r w:rsidR="005B16D7">
        <w:rPr>
          <w:rFonts w:eastAsia="Calibri"/>
          <w:sz w:val="22"/>
          <w:szCs w:val="22"/>
          <w:lang w:val="en-US" w:eastAsia="en-US"/>
        </w:rPr>
        <w:t>&gt;</w:t>
      </w:r>
      <w:r>
        <w:rPr>
          <w:rFonts w:eastAsia="Calibri"/>
          <w:sz w:val="22"/>
          <w:szCs w:val="22"/>
          <w:lang w:val="en-US" w:eastAsia="en-US"/>
        </w:rPr>
        <w:t>1</w:t>
      </w:r>
      <w:r w:rsidR="00A547D8">
        <w:rPr>
          <w:rFonts w:eastAsia="Calibri"/>
          <w:sz w:val="22"/>
          <w:szCs w:val="22"/>
          <w:lang w:val="en-US" w:eastAsia="en-US"/>
        </w:rPr>
        <w:t> </w:t>
      </w:r>
      <w:r>
        <w:rPr>
          <w:rFonts w:eastAsia="Calibri"/>
          <w:sz w:val="22"/>
          <w:szCs w:val="22"/>
          <w:lang w:val="en-US" w:eastAsia="en-US"/>
        </w:rPr>
        <w:t>700 public</w:t>
      </w:r>
      <w:r w:rsidR="00AF7026">
        <w:rPr>
          <w:rFonts w:eastAsia="Calibri"/>
          <w:sz w:val="22"/>
          <w:szCs w:val="22"/>
          <w:lang w:val="en-US" w:eastAsia="en-US"/>
        </w:rPr>
        <w:t xml:space="preserve"> DSI</w:t>
      </w:r>
      <w:r>
        <w:rPr>
          <w:rFonts w:eastAsia="Calibri"/>
          <w:sz w:val="22"/>
          <w:szCs w:val="22"/>
          <w:lang w:val="en-US" w:eastAsia="en-US"/>
        </w:rPr>
        <w:t xml:space="preserve"> databases. This cost is mainly borne by wealthier countries, </w:t>
      </w:r>
      <w:r w:rsidR="00A547D8">
        <w:rPr>
          <w:rFonts w:eastAsia="Calibri"/>
          <w:sz w:val="22"/>
          <w:szCs w:val="22"/>
          <w:lang w:val="en-US" w:eastAsia="en-US"/>
        </w:rPr>
        <w:t xml:space="preserve">which </w:t>
      </w:r>
      <w:r>
        <w:rPr>
          <w:rFonts w:eastAsia="Calibri"/>
          <w:sz w:val="22"/>
          <w:szCs w:val="22"/>
          <w:lang w:val="en-US" w:eastAsia="en-US"/>
        </w:rPr>
        <w:t>also largely host the computers within which the databases reside. Long-term public funding for the databases is not guaranteed</w:t>
      </w:r>
      <w:r w:rsidR="00106DAE">
        <w:rPr>
          <w:rFonts w:eastAsia="Calibri"/>
          <w:sz w:val="22"/>
          <w:szCs w:val="22"/>
          <w:lang w:val="en-US" w:eastAsia="en-US"/>
        </w:rPr>
        <w:t xml:space="preserve"> </w:t>
      </w:r>
      <w:r w:rsidR="001C037C">
        <w:rPr>
          <w:rFonts w:eastAsia="Calibri"/>
          <w:noProof/>
          <w:sz w:val="22"/>
          <w:szCs w:val="22"/>
          <w:lang w:val="en-US" w:eastAsia="en-US"/>
        </w:rPr>
        <w:t>(Editor, 2016)</w:t>
      </w:r>
      <w:r>
        <w:rPr>
          <w:rFonts w:eastAsia="Calibri"/>
          <w:sz w:val="22"/>
          <w:szCs w:val="22"/>
          <w:lang w:val="en-US" w:eastAsia="en-US"/>
        </w:rPr>
        <w:t>.</w:t>
      </w:r>
    </w:p>
    <w:p w14:paraId="14675C4D" w14:textId="77777777" w:rsidR="00390E92" w:rsidRDefault="00390E92" w:rsidP="00390E92">
      <w:pPr>
        <w:spacing w:after="120"/>
        <w:rPr>
          <w:rFonts w:eastAsia="Calibri"/>
          <w:sz w:val="22"/>
          <w:szCs w:val="22"/>
          <w:lang w:val="en-US" w:eastAsia="en-US"/>
        </w:rPr>
      </w:pPr>
      <w:r>
        <w:rPr>
          <w:rFonts w:eastAsia="Calibri"/>
          <w:sz w:val="22"/>
          <w:szCs w:val="22"/>
          <w:lang w:val="en-US" w:eastAsia="en-US"/>
        </w:rPr>
        <w:t>Big data has big demands on infrastructure. The scale of genome sequence information alone can be so large that even in developed countries it is sometimes more efficient to transpo</w:t>
      </w:r>
      <w:r w:rsidR="005B16D7">
        <w:rPr>
          <w:rFonts w:eastAsia="Calibri"/>
          <w:sz w:val="22"/>
          <w:szCs w:val="22"/>
          <w:lang w:val="en-US" w:eastAsia="en-US"/>
        </w:rPr>
        <w:t>rt and exchange hard drives than</w:t>
      </w:r>
      <w:r>
        <w:rPr>
          <w:rFonts w:eastAsia="Calibri"/>
          <w:sz w:val="22"/>
          <w:szCs w:val="22"/>
          <w:lang w:val="en-US" w:eastAsia="en-US"/>
        </w:rPr>
        <w:t xml:space="preserve"> it is to electronically transmit the data</w:t>
      </w:r>
      <w:r w:rsidR="00106DAE">
        <w:rPr>
          <w:rFonts w:eastAsia="Calibri"/>
          <w:sz w:val="22"/>
          <w:szCs w:val="22"/>
          <w:lang w:val="en-US" w:eastAsia="en-US"/>
        </w:rPr>
        <w:t xml:space="preserve"> </w:t>
      </w:r>
      <w:r w:rsidR="001C037C">
        <w:rPr>
          <w:rFonts w:eastAsia="Calibri"/>
          <w:noProof/>
          <w:sz w:val="22"/>
          <w:szCs w:val="22"/>
          <w:lang w:val="en-US" w:eastAsia="en-US"/>
        </w:rPr>
        <w:t>(Marx, 2013)</w:t>
      </w:r>
      <w:r>
        <w:rPr>
          <w:rFonts w:eastAsia="Calibri"/>
          <w:sz w:val="22"/>
          <w:szCs w:val="22"/>
          <w:lang w:val="en-US" w:eastAsia="en-US"/>
        </w:rPr>
        <w:t>.</w:t>
      </w:r>
      <w:r w:rsidR="00F22409">
        <w:rPr>
          <w:rFonts w:eastAsia="Calibri"/>
          <w:sz w:val="22"/>
          <w:szCs w:val="22"/>
          <w:lang w:val="en-US" w:eastAsia="en-US"/>
        </w:rPr>
        <w:t xml:space="preserve"> What might take a week or a month to transmit electronically in a developed country may be effectively </w:t>
      </w:r>
      <w:r w:rsidR="00F22409">
        <w:rPr>
          <w:rFonts w:eastAsia="Calibri"/>
          <w:sz w:val="22"/>
          <w:szCs w:val="22"/>
          <w:lang w:val="en-US" w:eastAsia="en-US"/>
        </w:rPr>
        <w:lastRenderedPageBreak/>
        <w:t>impossible to transmit in poorer countries. Thus</w:t>
      </w:r>
      <w:r w:rsidR="00EF0CF3">
        <w:rPr>
          <w:rFonts w:eastAsia="Calibri"/>
          <w:sz w:val="22"/>
          <w:szCs w:val="22"/>
          <w:lang w:val="en-US" w:eastAsia="en-US"/>
        </w:rPr>
        <w:t>,</w:t>
      </w:r>
      <w:r w:rsidR="00F22409">
        <w:rPr>
          <w:rFonts w:eastAsia="Calibri"/>
          <w:sz w:val="22"/>
          <w:szCs w:val="22"/>
          <w:lang w:val="en-US" w:eastAsia="en-US"/>
        </w:rPr>
        <w:t xml:space="preserve"> while access may in theory be free or nearly so, in some cases it is largely only hypothetical.</w:t>
      </w:r>
    </w:p>
    <w:p w14:paraId="5C4CBD61" w14:textId="77777777" w:rsidR="00F22409" w:rsidRDefault="00F22409" w:rsidP="00F22409">
      <w:pPr>
        <w:spacing w:after="120"/>
        <w:rPr>
          <w:rFonts w:eastAsia="Calibri"/>
          <w:sz w:val="22"/>
          <w:szCs w:val="22"/>
          <w:lang w:val="en-US" w:eastAsia="en-US"/>
        </w:rPr>
      </w:pPr>
      <w:r>
        <w:rPr>
          <w:rFonts w:eastAsia="Calibri"/>
          <w:sz w:val="22"/>
          <w:szCs w:val="22"/>
          <w:lang w:val="en-US" w:eastAsia="en-US"/>
        </w:rPr>
        <w:t>Turning access into derived benefit also has challenges</w:t>
      </w:r>
      <w:r w:rsidR="005B16D7">
        <w:rPr>
          <w:rFonts w:eastAsia="Calibri"/>
          <w:sz w:val="22"/>
          <w:szCs w:val="22"/>
          <w:lang w:val="en-US" w:eastAsia="en-US"/>
        </w:rPr>
        <w:t xml:space="preserve"> </w:t>
      </w:r>
      <w:r w:rsidR="001C037C">
        <w:rPr>
          <w:rFonts w:eastAsia="Calibri"/>
          <w:noProof/>
          <w:sz w:val="22"/>
          <w:szCs w:val="22"/>
          <w:lang w:val="en-US" w:eastAsia="en-US"/>
        </w:rPr>
        <w:t>(Helmy</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2016)</w:t>
      </w:r>
      <w:r>
        <w:rPr>
          <w:rFonts w:eastAsia="Calibri"/>
          <w:sz w:val="22"/>
          <w:szCs w:val="22"/>
          <w:lang w:val="en-US" w:eastAsia="en-US"/>
        </w:rPr>
        <w:t>. P</w:t>
      </w:r>
      <w:r w:rsidRPr="00F22409">
        <w:rPr>
          <w:rFonts w:eastAsia="Calibri"/>
          <w:sz w:val="22"/>
          <w:szCs w:val="22"/>
          <w:lang w:val="en-US" w:eastAsia="en-US"/>
        </w:rPr>
        <w:t>rocessing power and human resources are</w:t>
      </w:r>
      <w:r>
        <w:rPr>
          <w:rFonts w:eastAsia="Calibri"/>
          <w:sz w:val="22"/>
          <w:szCs w:val="22"/>
          <w:lang w:val="en-US" w:eastAsia="en-US"/>
        </w:rPr>
        <w:t xml:space="preserve"> significant</w:t>
      </w:r>
      <w:r w:rsidRPr="00F22409">
        <w:rPr>
          <w:rFonts w:eastAsia="Calibri"/>
          <w:sz w:val="22"/>
          <w:szCs w:val="22"/>
          <w:lang w:val="en-US" w:eastAsia="en-US"/>
        </w:rPr>
        <w:t xml:space="preserve"> limiting factors to use</w:t>
      </w:r>
      <w:r>
        <w:rPr>
          <w:rFonts w:eastAsia="Calibri"/>
          <w:sz w:val="22"/>
          <w:szCs w:val="22"/>
          <w:lang w:val="en-US" w:eastAsia="en-US"/>
        </w:rPr>
        <w:t>.</w:t>
      </w:r>
      <w:r w:rsidR="00AF7026">
        <w:rPr>
          <w:rFonts w:eastAsia="Calibri"/>
          <w:sz w:val="22"/>
          <w:szCs w:val="22"/>
          <w:lang w:val="en-US" w:eastAsia="en-US"/>
        </w:rPr>
        <w:t xml:space="preserve"> Moreover, researchers </w:t>
      </w:r>
      <w:r w:rsidR="00CA4925">
        <w:rPr>
          <w:rFonts w:eastAsia="Calibri"/>
          <w:sz w:val="22"/>
          <w:szCs w:val="22"/>
          <w:lang w:val="en-US" w:eastAsia="en-US"/>
        </w:rPr>
        <w:t>frequently</w:t>
      </w:r>
      <w:r w:rsidR="00AF7026">
        <w:rPr>
          <w:rFonts w:eastAsia="Calibri"/>
          <w:sz w:val="22"/>
          <w:szCs w:val="22"/>
          <w:lang w:val="en-US" w:eastAsia="en-US"/>
        </w:rPr>
        <w:t xml:space="preserve"> withhold critical information from that which they submit to databases compromising its</w:t>
      </w:r>
      <w:r w:rsidR="00CA4925">
        <w:rPr>
          <w:rFonts w:eastAsia="Calibri"/>
          <w:sz w:val="22"/>
          <w:szCs w:val="22"/>
          <w:lang w:val="en-US" w:eastAsia="en-US"/>
        </w:rPr>
        <w:t xml:space="preserve"> subsequent</w:t>
      </w:r>
      <w:r w:rsidR="00AF7026">
        <w:rPr>
          <w:rFonts w:eastAsia="Calibri"/>
          <w:sz w:val="22"/>
          <w:szCs w:val="22"/>
          <w:lang w:val="en-US" w:eastAsia="en-US"/>
        </w:rPr>
        <w:t xml:space="preserve"> use</w:t>
      </w:r>
      <w:r w:rsidR="00CA4925">
        <w:rPr>
          <w:rFonts w:eastAsia="Calibri"/>
          <w:sz w:val="22"/>
          <w:szCs w:val="22"/>
          <w:lang w:val="en-US" w:eastAsia="en-US"/>
        </w:rPr>
        <w:t xml:space="preserve"> by, and therefore potential to benefit,</w:t>
      </w:r>
      <w:r w:rsidR="00AF7026">
        <w:rPr>
          <w:rFonts w:eastAsia="Calibri"/>
          <w:sz w:val="22"/>
          <w:szCs w:val="22"/>
          <w:lang w:val="en-US" w:eastAsia="en-US"/>
        </w:rPr>
        <w:t xml:space="preserve"> others</w:t>
      </w:r>
      <w:r w:rsidR="00CA4925">
        <w:rPr>
          <w:rFonts w:eastAsia="Calibri"/>
          <w:sz w:val="22"/>
          <w:szCs w:val="22"/>
          <w:lang w:val="en-US" w:eastAsia="en-US"/>
        </w:rPr>
        <w:t xml:space="preserve"> </w:t>
      </w:r>
      <w:r w:rsidR="001C037C">
        <w:rPr>
          <w:rFonts w:eastAsia="Calibri"/>
          <w:noProof/>
          <w:sz w:val="22"/>
          <w:szCs w:val="22"/>
          <w:lang w:val="en-US" w:eastAsia="en-US"/>
        </w:rPr>
        <w:t>(Pope</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2015)</w:t>
      </w:r>
      <w:r w:rsidR="00AF7026">
        <w:rPr>
          <w:rFonts w:eastAsia="Calibri"/>
          <w:sz w:val="22"/>
          <w:szCs w:val="22"/>
          <w:lang w:val="en-US" w:eastAsia="en-US"/>
        </w:rPr>
        <w:t>.</w:t>
      </w:r>
    </w:p>
    <w:p w14:paraId="070A100D" w14:textId="77777777" w:rsidR="00106DAE" w:rsidRDefault="00106DAE" w:rsidP="00F22409">
      <w:pPr>
        <w:spacing w:after="120"/>
        <w:rPr>
          <w:rFonts w:eastAsia="Calibri"/>
          <w:sz w:val="22"/>
          <w:szCs w:val="22"/>
          <w:lang w:eastAsia="en-US"/>
        </w:rPr>
      </w:pPr>
      <w:r w:rsidRPr="00BB430C">
        <w:rPr>
          <w:rFonts w:eastAsia="Calibri"/>
          <w:bCs/>
          <w:sz w:val="22"/>
          <w:szCs w:val="22"/>
          <w:lang w:val="en-US" w:eastAsia="en-US"/>
        </w:rPr>
        <w:t xml:space="preserve">Whether or not </w:t>
      </w:r>
      <w:r>
        <w:rPr>
          <w:rFonts w:eastAsia="Calibri"/>
          <w:bCs/>
          <w:sz w:val="22"/>
          <w:szCs w:val="22"/>
          <w:lang w:val="en-US" w:eastAsia="en-US"/>
        </w:rPr>
        <w:t>access and benefit</w:t>
      </w:r>
      <w:r w:rsidR="00EF0CF3">
        <w:rPr>
          <w:rFonts w:eastAsia="Calibri"/>
          <w:bCs/>
          <w:sz w:val="22"/>
          <w:szCs w:val="22"/>
          <w:lang w:val="en-US" w:eastAsia="en-US"/>
        </w:rPr>
        <w:t>-</w:t>
      </w:r>
      <w:r>
        <w:rPr>
          <w:rFonts w:eastAsia="Calibri"/>
          <w:bCs/>
          <w:sz w:val="22"/>
          <w:szCs w:val="22"/>
          <w:lang w:val="en-US" w:eastAsia="en-US"/>
        </w:rPr>
        <w:t>sharing (</w:t>
      </w:r>
      <w:r w:rsidRPr="00BB430C">
        <w:rPr>
          <w:rFonts w:eastAsia="Calibri"/>
          <w:bCs/>
          <w:sz w:val="22"/>
          <w:szCs w:val="22"/>
          <w:lang w:val="en-US" w:eastAsia="en-US"/>
        </w:rPr>
        <w:t>ABS</w:t>
      </w:r>
      <w:r>
        <w:rPr>
          <w:rFonts w:eastAsia="Calibri"/>
          <w:bCs/>
          <w:sz w:val="22"/>
          <w:szCs w:val="22"/>
          <w:lang w:val="en-US" w:eastAsia="en-US"/>
        </w:rPr>
        <w:t>)</w:t>
      </w:r>
      <w:r w:rsidRPr="00BB430C">
        <w:rPr>
          <w:rFonts w:eastAsia="Calibri"/>
          <w:bCs/>
          <w:sz w:val="22"/>
          <w:szCs w:val="22"/>
          <w:lang w:val="en-US" w:eastAsia="en-US"/>
        </w:rPr>
        <w:t xml:space="preserve"> legislation includes the</w:t>
      </w:r>
      <w:r w:rsidRPr="00BB430C">
        <w:rPr>
          <w:rFonts w:eastAsia="Calibri"/>
          <w:sz w:val="22"/>
          <w:szCs w:val="22"/>
          <w:lang w:eastAsia="en-US"/>
        </w:rPr>
        <w:t xml:space="preserve"> use of DSI on GRFA for the conservation and sustainable use of GRFA, including exchange, access and the fair and equitable sharing of the benefits arising from their use, the research and commercial sectors may react in unexpected ways. Some fear that any additional compliance or subscription costs may slow the distribution of </w:t>
      </w:r>
      <w:r w:rsidRPr="00BB430C">
        <w:rPr>
          <w:rFonts w:eastAsia="Calibri"/>
          <w:sz w:val="22"/>
          <w:szCs w:val="22"/>
          <w:lang w:val="en-US" w:eastAsia="en-US"/>
        </w:rPr>
        <w:t xml:space="preserve">assets for upstream research </w:t>
      </w:r>
      <w:r w:rsidR="001C037C">
        <w:rPr>
          <w:rFonts w:eastAsia="Calibri"/>
          <w:noProof/>
          <w:sz w:val="22"/>
          <w:szCs w:val="22"/>
          <w:lang w:val="en-US" w:eastAsia="en-US"/>
        </w:rPr>
        <w:t>(Manzella, 2016)</w:t>
      </w:r>
      <w:r w:rsidRPr="00BB430C">
        <w:rPr>
          <w:rFonts w:eastAsia="Calibri"/>
          <w:sz w:val="22"/>
          <w:szCs w:val="22"/>
          <w:lang w:eastAsia="en-US"/>
        </w:rPr>
        <w:t xml:space="preserve"> as the information is either not </w:t>
      </w:r>
      <w:r>
        <w:rPr>
          <w:rFonts w:eastAsia="Calibri"/>
          <w:sz w:val="22"/>
          <w:szCs w:val="22"/>
          <w:lang w:eastAsia="en-US"/>
        </w:rPr>
        <w:t xml:space="preserve">generated or it is kept secret. </w:t>
      </w:r>
      <w:r w:rsidRPr="00BB430C">
        <w:rPr>
          <w:rFonts w:eastAsia="Calibri"/>
          <w:sz w:val="22"/>
          <w:szCs w:val="22"/>
          <w:lang w:eastAsia="en-US"/>
        </w:rPr>
        <w:t>However, as recorded in</w:t>
      </w:r>
      <w:r w:rsidR="00A95D30">
        <w:rPr>
          <w:rFonts w:eastAsia="Calibri"/>
          <w:sz w:val="22"/>
          <w:szCs w:val="22"/>
          <w:lang w:eastAsia="en-US"/>
        </w:rPr>
        <w:t xml:space="preserve"> interviews for</w:t>
      </w:r>
      <w:r w:rsidRPr="00BB430C">
        <w:rPr>
          <w:rFonts w:eastAsia="Calibri"/>
          <w:sz w:val="22"/>
          <w:szCs w:val="22"/>
          <w:lang w:eastAsia="en-US"/>
        </w:rPr>
        <w:t xml:space="preserve"> this study, failure of legislation to provide a framework for ABS might have similar effects. Researchers and businesses may prioritize the value of DSI to country of origin, or to indigenous peoples, and either keep the data secret or abandon its collection altogether.</w:t>
      </w:r>
    </w:p>
    <w:p w14:paraId="28168616" w14:textId="77777777" w:rsidR="00260C56" w:rsidRPr="00A43161" w:rsidRDefault="00260C56" w:rsidP="00F22409">
      <w:pPr>
        <w:spacing w:after="120"/>
        <w:rPr>
          <w:rFonts w:eastAsia="Calibri"/>
          <w:lang w:eastAsia="en-US"/>
        </w:rPr>
      </w:pPr>
    </w:p>
    <w:p w14:paraId="0322B8C9" w14:textId="77777777" w:rsidR="00B678E5" w:rsidRPr="00A43161" w:rsidRDefault="00A43161" w:rsidP="00B678E5">
      <w:pPr>
        <w:pStyle w:val="TableEntry"/>
        <w:keepNext/>
        <w:spacing w:before="120" w:after="120"/>
        <w:rPr>
          <w:b/>
          <w:sz w:val="24"/>
          <w:szCs w:val="24"/>
        </w:rPr>
      </w:pPr>
      <w:r w:rsidRPr="00A43161">
        <w:rPr>
          <w:b/>
          <w:sz w:val="24"/>
          <w:szCs w:val="24"/>
        </w:rPr>
        <w:t>Conclusion</w:t>
      </w:r>
    </w:p>
    <w:p w14:paraId="6617B2BC" w14:textId="77777777" w:rsidR="001B7B13" w:rsidRDefault="0042549D" w:rsidP="00F22409">
      <w:pPr>
        <w:spacing w:after="120"/>
        <w:rPr>
          <w:rFonts w:eastAsia="Calibri"/>
          <w:sz w:val="22"/>
          <w:szCs w:val="22"/>
          <w:lang w:eastAsia="en-US"/>
        </w:rPr>
      </w:pPr>
      <w:r>
        <w:rPr>
          <w:rFonts w:eastAsia="Calibri"/>
          <w:sz w:val="22"/>
          <w:szCs w:val="22"/>
          <w:lang w:eastAsia="en-US"/>
        </w:rPr>
        <w:t xml:space="preserve">DSI as </w:t>
      </w:r>
      <w:r w:rsidR="00D243D3">
        <w:rPr>
          <w:rFonts w:eastAsia="Calibri"/>
          <w:sz w:val="22"/>
          <w:szCs w:val="22"/>
          <w:lang w:eastAsia="en-US"/>
        </w:rPr>
        <w:t xml:space="preserve">held </w:t>
      </w:r>
      <w:r>
        <w:rPr>
          <w:rFonts w:eastAsia="Calibri"/>
          <w:sz w:val="22"/>
          <w:szCs w:val="22"/>
          <w:lang w:eastAsia="en-US"/>
        </w:rPr>
        <w:t>by the</w:t>
      </w:r>
      <w:r w:rsidR="001B7B13">
        <w:rPr>
          <w:rFonts w:eastAsia="Calibri"/>
          <w:sz w:val="22"/>
          <w:szCs w:val="22"/>
          <w:lang w:eastAsia="en-US"/>
        </w:rPr>
        <w:t xml:space="preserve"> physical media of</w:t>
      </w:r>
      <w:r>
        <w:rPr>
          <w:rFonts w:eastAsia="Calibri"/>
          <w:sz w:val="22"/>
          <w:szCs w:val="22"/>
          <w:lang w:eastAsia="en-US"/>
        </w:rPr>
        <w:t xml:space="preserve"> databases and</w:t>
      </w:r>
      <w:r w:rsidR="001B7B13">
        <w:rPr>
          <w:rFonts w:eastAsia="Calibri"/>
          <w:sz w:val="22"/>
          <w:szCs w:val="22"/>
          <w:lang w:eastAsia="en-US"/>
        </w:rPr>
        <w:t xml:space="preserve"> how it has been used for many decades </w:t>
      </w:r>
      <w:r>
        <w:rPr>
          <w:rFonts w:eastAsia="Calibri"/>
          <w:sz w:val="22"/>
          <w:szCs w:val="22"/>
          <w:lang w:eastAsia="en-US"/>
        </w:rPr>
        <w:t xml:space="preserve">in research, industry and public resources management </w:t>
      </w:r>
      <w:r w:rsidR="001B7B13">
        <w:rPr>
          <w:rFonts w:eastAsia="Calibri"/>
          <w:sz w:val="22"/>
          <w:szCs w:val="22"/>
          <w:lang w:eastAsia="en-US"/>
        </w:rPr>
        <w:t>was examined in this study</w:t>
      </w:r>
      <w:r>
        <w:rPr>
          <w:rFonts w:eastAsia="Calibri"/>
          <w:sz w:val="22"/>
          <w:szCs w:val="22"/>
          <w:lang w:eastAsia="en-US"/>
        </w:rPr>
        <w:t xml:space="preserve">. This </w:t>
      </w:r>
      <w:r w:rsidR="00783BFD">
        <w:rPr>
          <w:rFonts w:eastAsia="Calibri"/>
          <w:sz w:val="22"/>
          <w:szCs w:val="22"/>
          <w:lang w:eastAsia="en-US"/>
        </w:rPr>
        <w:t xml:space="preserve">included </w:t>
      </w:r>
      <w:r w:rsidR="0007725F">
        <w:rPr>
          <w:rFonts w:eastAsia="Calibri"/>
          <w:sz w:val="22"/>
          <w:szCs w:val="22"/>
          <w:lang w:eastAsia="en-US"/>
        </w:rPr>
        <w:t>DSI</w:t>
      </w:r>
      <w:r>
        <w:rPr>
          <w:rFonts w:eastAsia="Calibri"/>
          <w:sz w:val="22"/>
          <w:szCs w:val="22"/>
          <w:lang w:eastAsia="en-US"/>
        </w:rPr>
        <w:t xml:space="preserve"> on GRFA</w:t>
      </w:r>
      <w:r w:rsidR="0007725F">
        <w:rPr>
          <w:rFonts w:eastAsia="Calibri"/>
          <w:sz w:val="22"/>
          <w:szCs w:val="22"/>
          <w:lang w:eastAsia="en-US"/>
        </w:rPr>
        <w:t xml:space="preserve"> that has added value to these genetic resources</w:t>
      </w:r>
      <w:r>
        <w:rPr>
          <w:rFonts w:eastAsia="Calibri"/>
          <w:sz w:val="22"/>
          <w:szCs w:val="22"/>
          <w:lang w:eastAsia="en-US"/>
        </w:rPr>
        <w:t>.</w:t>
      </w:r>
      <w:r w:rsidR="001B7B13">
        <w:rPr>
          <w:rFonts w:eastAsia="Calibri"/>
          <w:sz w:val="22"/>
          <w:szCs w:val="22"/>
          <w:lang w:eastAsia="en-US"/>
        </w:rPr>
        <w:t xml:space="preserve"> </w:t>
      </w:r>
      <w:r w:rsidR="00B678E5">
        <w:rPr>
          <w:rFonts w:eastAsia="Calibri"/>
          <w:sz w:val="22"/>
          <w:szCs w:val="22"/>
          <w:lang w:eastAsia="en-US"/>
        </w:rPr>
        <w:t>DSI</w:t>
      </w:r>
      <w:r w:rsidR="00EF0CF3">
        <w:rPr>
          <w:rFonts w:eastAsia="Calibri"/>
          <w:sz w:val="22"/>
          <w:szCs w:val="22"/>
          <w:lang w:eastAsia="en-US"/>
        </w:rPr>
        <w:t>,</w:t>
      </w:r>
      <w:r w:rsidR="00B678E5">
        <w:rPr>
          <w:rFonts w:eastAsia="Calibri"/>
          <w:sz w:val="22"/>
          <w:szCs w:val="22"/>
          <w:lang w:eastAsia="en-US"/>
        </w:rPr>
        <w:t xml:space="preserve"> for example</w:t>
      </w:r>
      <w:r w:rsidR="00EF0CF3">
        <w:rPr>
          <w:rFonts w:eastAsia="Calibri"/>
          <w:sz w:val="22"/>
          <w:szCs w:val="22"/>
          <w:lang w:eastAsia="en-US"/>
        </w:rPr>
        <w:t>,</w:t>
      </w:r>
      <w:r w:rsidR="00B678E5">
        <w:rPr>
          <w:rFonts w:eastAsia="Calibri"/>
          <w:sz w:val="22"/>
          <w:szCs w:val="22"/>
          <w:lang w:eastAsia="en-US"/>
        </w:rPr>
        <w:t xml:space="preserve"> has been used since the 1990s by companies that specialize in monitoring transgenes in international trade or certify seed stocks as “GMO free”, or test for potential patent infringements</w:t>
      </w:r>
      <w:r w:rsidR="0007725F">
        <w:rPr>
          <w:rFonts w:eastAsia="Calibri"/>
          <w:sz w:val="22"/>
          <w:szCs w:val="22"/>
          <w:lang w:eastAsia="en-US"/>
        </w:rPr>
        <w:t xml:space="preserve"> </w:t>
      </w:r>
      <w:r w:rsidR="001C037C">
        <w:rPr>
          <w:rFonts w:eastAsia="Calibri"/>
          <w:noProof/>
          <w:sz w:val="22"/>
          <w:szCs w:val="22"/>
          <w:lang w:eastAsia="en-US"/>
        </w:rPr>
        <w:t>(Heinemann</w:t>
      </w:r>
      <w:r w:rsidR="001C037C" w:rsidRPr="001C037C">
        <w:rPr>
          <w:rFonts w:eastAsia="Calibri"/>
          <w:i/>
          <w:noProof/>
          <w:sz w:val="22"/>
          <w:szCs w:val="22"/>
          <w:lang w:eastAsia="en-US"/>
        </w:rPr>
        <w:t xml:space="preserve"> et al.</w:t>
      </w:r>
      <w:r w:rsidR="001C037C">
        <w:rPr>
          <w:rFonts w:eastAsia="Calibri"/>
          <w:noProof/>
          <w:sz w:val="22"/>
          <w:szCs w:val="22"/>
          <w:lang w:eastAsia="en-US"/>
        </w:rPr>
        <w:t>, 2004; Heinemann, 2007)</w:t>
      </w:r>
      <w:r w:rsidR="00B678E5">
        <w:rPr>
          <w:rFonts w:eastAsia="Calibri"/>
          <w:sz w:val="22"/>
          <w:szCs w:val="22"/>
          <w:lang w:eastAsia="en-US"/>
        </w:rPr>
        <w:t>.</w:t>
      </w:r>
      <w:r w:rsidR="0007725F">
        <w:rPr>
          <w:rFonts w:eastAsia="Calibri"/>
          <w:sz w:val="22"/>
          <w:szCs w:val="22"/>
          <w:lang w:eastAsia="en-US"/>
        </w:rPr>
        <w:t xml:space="preserve"> </w:t>
      </w:r>
    </w:p>
    <w:p w14:paraId="3630CD96" w14:textId="77777777" w:rsidR="0042549D" w:rsidRDefault="007B7D6C" w:rsidP="00F22409">
      <w:pPr>
        <w:spacing w:after="120"/>
        <w:rPr>
          <w:rFonts w:eastAsia="Calibri"/>
          <w:sz w:val="22"/>
          <w:szCs w:val="22"/>
          <w:lang w:eastAsia="en-US"/>
        </w:rPr>
      </w:pPr>
      <w:r>
        <w:rPr>
          <w:rFonts w:eastAsia="Calibri"/>
          <w:sz w:val="22"/>
          <w:szCs w:val="22"/>
          <w:lang w:eastAsia="en-US"/>
        </w:rPr>
        <w:t>The study also looked at new and envisioned uses relevant to GRFA. The</w:t>
      </w:r>
      <w:r w:rsidR="0042549D">
        <w:rPr>
          <w:rFonts w:eastAsia="Calibri"/>
          <w:sz w:val="22"/>
          <w:szCs w:val="22"/>
          <w:lang w:eastAsia="en-US"/>
        </w:rPr>
        <w:t xml:space="preserve"> actual and</w:t>
      </w:r>
      <w:r w:rsidR="00B678E5">
        <w:rPr>
          <w:rFonts w:eastAsia="Calibri"/>
          <w:sz w:val="22"/>
          <w:szCs w:val="22"/>
          <w:lang w:eastAsia="en-US"/>
        </w:rPr>
        <w:t xml:space="preserve"> especially</w:t>
      </w:r>
      <w:r w:rsidR="0042549D">
        <w:rPr>
          <w:rFonts w:eastAsia="Calibri"/>
          <w:sz w:val="22"/>
          <w:szCs w:val="22"/>
          <w:lang w:eastAsia="en-US"/>
        </w:rPr>
        <w:t xml:space="preserve"> potential value</w:t>
      </w:r>
      <w:r>
        <w:rPr>
          <w:rFonts w:eastAsia="Calibri"/>
          <w:sz w:val="22"/>
          <w:szCs w:val="22"/>
          <w:lang w:eastAsia="en-US"/>
        </w:rPr>
        <w:t xml:space="preserve"> of DSI on GRFA</w:t>
      </w:r>
      <w:r w:rsidR="0042549D">
        <w:rPr>
          <w:rFonts w:eastAsia="Calibri"/>
          <w:sz w:val="22"/>
          <w:szCs w:val="22"/>
          <w:lang w:eastAsia="en-US"/>
        </w:rPr>
        <w:t xml:space="preserve"> is rapidly increasing because</w:t>
      </w:r>
      <w:r w:rsidR="00B678E5">
        <w:rPr>
          <w:rFonts w:eastAsia="Calibri"/>
          <w:sz w:val="22"/>
          <w:szCs w:val="22"/>
          <w:lang w:eastAsia="en-US"/>
        </w:rPr>
        <w:t xml:space="preserve"> highly anticipated</w:t>
      </w:r>
      <w:r w:rsidR="0042549D">
        <w:rPr>
          <w:rFonts w:eastAsia="Calibri"/>
          <w:sz w:val="22"/>
          <w:szCs w:val="22"/>
          <w:lang w:eastAsia="en-US"/>
        </w:rPr>
        <w:t xml:space="preserve"> new technologies would be impossible without it. Some of these technologies even convert DSI</w:t>
      </w:r>
      <w:r w:rsidR="00B678E5">
        <w:rPr>
          <w:rFonts w:eastAsia="Calibri"/>
          <w:sz w:val="22"/>
          <w:szCs w:val="22"/>
          <w:lang w:eastAsia="en-US"/>
        </w:rPr>
        <w:t xml:space="preserve"> on physical electronic media</w:t>
      </w:r>
      <w:r w:rsidR="0042549D">
        <w:rPr>
          <w:rFonts w:eastAsia="Calibri"/>
          <w:sz w:val="22"/>
          <w:szCs w:val="22"/>
          <w:lang w:eastAsia="en-US"/>
        </w:rPr>
        <w:t xml:space="preserve"> into biological genetic material using only machines and chemical precursors.</w:t>
      </w:r>
    </w:p>
    <w:p w14:paraId="094BC491" w14:textId="77777777" w:rsidR="001B7B13" w:rsidRDefault="0042549D" w:rsidP="00F22409">
      <w:pPr>
        <w:spacing w:after="120"/>
        <w:rPr>
          <w:rFonts w:eastAsia="Calibri"/>
          <w:sz w:val="22"/>
          <w:szCs w:val="22"/>
          <w:lang w:eastAsia="en-US"/>
        </w:rPr>
      </w:pPr>
      <w:r>
        <w:rPr>
          <w:rFonts w:eastAsia="Calibri"/>
          <w:sz w:val="22"/>
          <w:szCs w:val="22"/>
          <w:lang w:eastAsia="en-US"/>
        </w:rPr>
        <w:t xml:space="preserve">This study </w:t>
      </w:r>
      <w:r w:rsidR="00D243D3">
        <w:rPr>
          <w:rFonts w:eastAsia="Calibri"/>
          <w:sz w:val="22"/>
          <w:szCs w:val="22"/>
          <w:lang w:eastAsia="en-US"/>
        </w:rPr>
        <w:t>used</w:t>
      </w:r>
      <w:r>
        <w:rPr>
          <w:rFonts w:eastAsia="Calibri"/>
          <w:sz w:val="22"/>
          <w:szCs w:val="22"/>
          <w:lang w:eastAsia="en-US"/>
        </w:rPr>
        <w:t xml:space="preserve"> the latest scientific literature, with many examples taken from papers </w:t>
      </w:r>
      <w:r w:rsidR="00783BFD">
        <w:rPr>
          <w:rFonts w:eastAsia="Calibri"/>
          <w:sz w:val="22"/>
          <w:szCs w:val="22"/>
          <w:lang w:eastAsia="en-US"/>
        </w:rPr>
        <w:t>in the last two years</w:t>
      </w:r>
      <w:r>
        <w:rPr>
          <w:rFonts w:eastAsia="Calibri"/>
          <w:sz w:val="22"/>
          <w:szCs w:val="22"/>
          <w:lang w:eastAsia="en-US"/>
        </w:rPr>
        <w:t>. Some of these references inform the future looking nature of the study. Those</w:t>
      </w:r>
      <w:r w:rsidR="00BC517D">
        <w:rPr>
          <w:rFonts w:eastAsia="Calibri"/>
          <w:sz w:val="22"/>
          <w:szCs w:val="22"/>
          <w:lang w:eastAsia="en-US"/>
        </w:rPr>
        <w:t xml:space="preserve"> references</w:t>
      </w:r>
      <w:r>
        <w:rPr>
          <w:rFonts w:eastAsia="Calibri"/>
          <w:sz w:val="22"/>
          <w:szCs w:val="22"/>
          <w:lang w:eastAsia="en-US"/>
        </w:rPr>
        <w:t xml:space="preserve"> in </w:t>
      </w:r>
      <w:r w:rsidR="00BC517D">
        <w:rPr>
          <w:rFonts w:eastAsia="Calibri"/>
          <w:sz w:val="22"/>
          <w:szCs w:val="22"/>
          <w:lang w:eastAsia="en-US"/>
        </w:rPr>
        <w:t>general</w:t>
      </w:r>
      <w:r>
        <w:rPr>
          <w:rFonts w:eastAsia="Calibri"/>
          <w:sz w:val="22"/>
          <w:szCs w:val="22"/>
          <w:lang w:eastAsia="en-US"/>
        </w:rPr>
        <w:t xml:space="preserve"> come from premier, mainstream scientific journals or interviews with scientists that are at</w:t>
      </w:r>
      <w:r w:rsidR="001B7B13">
        <w:rPr>
          <w:rFonts w:eastAsia="Calibri"/>
          <w:sz w:val="22"/>
          <w:szCs w:val="22"/>
          <w:lang w:eastAsia="en-US"/>
        </w:rPr>
        <w:t xml:space="preserve"> the forefront of developments.</w:t>
      </w:r>
    </w:p>
    <w:p w14:paraId="3AC0B6AF" w14:textId="77777777" w:rsidR="00B678E5" w:rsidRDefault="007B7D6C" w:rsidP="00F22409">
      <w:pPr>
        <w:spacing w:after="120"/>
        <w:rPr>
          <w:rFonts w:eastAsia="Calibri"/>
          <w:sz w:val="22"/>
          <w:szCs w:val="22"/>
          <w:lang w:eastAsia="en-US"/>
        </w:rPr>
      </w:pPr>
      <w:r>
        <w:rPr>
          <w:rFonts w:eastAsia="Calibri"/>
          <w:sz w:val="22"/>
          <w:szCs w:val="22"/>
          <w:lang w:eastAsia="en-US"/>
        </w:rPr>
        <w:t>While DSI has long had value separate from the biological genetic material that it describes,</w:t>
      </w:r>
      <w:r w:rsidR="0042549D">
        <w:rPr>
          <w:rFonts w:eastAsia="Calibri"/>
          <w:sz w:val="22"/>
          <w:szCs w:val="22"/>
          <w:lang w:eastAsia="en-US"/>
        </w:rPr>
        <w:t xml:space="preserve"> some of the projections</w:t>
      </w:r>
      <w:r>
        <w:rPr>
          <w:rFonts w:eastAsia="Calibri"/>
          <w:sz w:val="22"/>
          <w:szCs w:val="22"/>
          <w:lang w:eastAsia="en-US"/>
        </w:rPr>
        <w:t xml:space="preserve"> of future value may</w:t>
      </w:r>
      <w:r w:rsidR="0042549D">
        <w:rPr>
          <w:rFonts w:eastAsia="Calibri"/>
          <w:sz w:val="22"/>
          <w:szCs w:val="22"/>
          <w:lang w:eastAsia="en-US"/>
        </w:rPr>
        <w:t xml:space="preserve"> fail to be realized, or even later viewed as hype. Nevertheless,</w:t>
      </w:r>
      <w:r w:rsidR="001B7B13">
        <w:rPr>
          <w:rFonts w:eastAsia="Calibri"/>
          <w:sz w:val="22"/>
          <w:szCs w:val="22"/>
          <w:lang w:eastAsia="en-US"/>
        </w:rPr>
        <w:t xml:space="preserve"> </w:t>
      </w:r>
      <w:r>
        <w:rPr>
          <w:rFonts w:eastAsia="Calibri"/>
          <w:sz w:val="22"/>
          <w:szCs w:val="22"/>
          <w:lang w:eastAsia="en-US"/>
        </w:rPr>
        <w:t>t</w:t>
      </w:r>
      <w:r w:rsidR="001B7B13">
        <w:rPr>
          <w:rFonts w:eastAsia="Calibri"/>
          <w:sz w:val="22"/>
          <w:szCs w:val="22"/>
          <w:lang w:eastAsia="en-US"/>
        </w:rPr>
        <w:t>here is wide</w:t>
      </w:r>
      <w:r w:rsidR="00FF36E4">
        <w:rPr>
          <w:rFonts w:eastAsia="Calibri"/>
          <w:sz w:val="22"/>
          <w:szCs w:val="22"/>
          <w:lang w:eastAsia="en-US"/>
        </w:rPr>
        <w:t>-</w:t>
      </w:r>
      <w:r w:rsidR="001B7B13">
        <w:rPr>
          <w:rFonts w:eastAsia="Calibri"/>
          <w:sz w:val="22"/>
          <w:szCs w:val="22"/>
          <w:lang w:eastAsia="en-US"/>
        </w:rPr>
        <w:t xml:space="preserve">scale enthusiasm among both basic researchers and scientific entrepreneurs for emerging technologies that can reify DSI as GRFA, or add value to GRFA. There </w:t>
      </w:r>
      <w:r w:rsidR="006A2004">
        <w:rPr>
          <w:rFonts w:eastAsia="Calibri"/>
          <w:sz w:val="22"/>
          <w:szCs w:val="22"/>
          <w:lang w:eastAsia="en-US"/>
        </w:rPr>
        <w:t>has been no abatement of effort</w:t>
      </w:r>
      <w:r w:rsidR="001B7B13">
        <w:rPr>
          <w:rFonts w:eastAsia="Calibri"/>
          <w:sz w:val="22"/>
          <w:szCs w:val="22"/>
          <w:lang w:eastAsia="en-US"/>
        </w:rPr>
        <w:t xml:space="preserve"> to further develop these and i</w:t>
      </w:r>
      <w:r w:rsidR="00B678E5">
        <w:rPr>
          <w:rFonts w:eastAsia="Calibri"/>
          <w:sz w:val="22"/>
          <w:szCs w:val="22"/>
          <w:lang w:eastAsia="en-US"/>
        </w:rPr>
        <w:t xml:space="preserve">ndeed even newer technologies. </w:t>
      </w:r>
      <w:r>
        <w:rPr>
          <w:rFonts w:eastAsia="Calibri"/>
          <w:sz w:val="22"/>
          <w:szCs w:val="22"/>
          <w:lang w:eastAsia="en-US"/>
        </w:rPr>
        <w:t>Such high</w:t>
      </w:r>
      <w:r w:rsidR="00FF36E4">
        <w:rPr>
          <w:rFonts w:eastAsia="Calibri"/>
          <w:sz w:val="22"/>
          <w:szCs w:val="22"/>
          <w:lang w:eastAsia="en-US"/>
        </w:rPr>
        <w:t>-</w:t>
      </w:r>
      <w:r>
        <w:rPr>
          <w:rFonts w:eastAsia="Calibri"/>
          <w:sz w:val="22"/>
          <w:szCs w:val="22"/>
          <w:lang w:eastAsia="en-US"/>
        </w:rPr>
        <w:t>quality projections inform a policy discussion</w:t>
      </w:r>
      <w:r w:rsidR="00FF36E4">
        <w:rPr>
          <w:rFonts w:eastAsia="Calibri"/>
          <w:sz w:val="22"/>
          <w:szCs w:val="22"/>
          <w:lang w:eastAsia="en-US"/>
        </w:rPr>
        <w:t>,</w:t>
      </w:r>
      <w:r>
        <w:rPr>
          <w:rFonts w:eastAsia="Calibri"/>
          <w:sz w:val="22"/>
          <w:szCs w:val="22"/>
          <w:lang w:eastAsia="en-US"/>
        </w:rPr>
        <w:t xml:space="preserve"> especially on </w:t>
      </w:r>
      <w:r w:rsidRPr="001B7B13">
        <w:rPr>
          <w:rFonts w:eastAsia="Calibri"/>
          <w:i/>
          <w:sz w:val="22"/>
          <w:szCs w:val="22"/>
          <w:lang w:eastAsia="en-US"/>
        </w:rPr>
        <w:t>potential</w:t>
      </w:r>
      <w:r>
        <w:rPr>
          <w:rFonts w:eastAsia="Calibri"/>
          <w:sz w:val="22"/>
          <w:szCs w:val="22"/>
          <w:lang w:eastAsia="en-US"/>
        </w:rPr>
        <w:t xml:space="preserve"> value of DSI on GRFA.</w:t>
      </w:r>
    </w:p>
    <w:p w14:paraId="0E2D2068" w14:textId="77777777" w:rsidR="00791F6A" w:rsidRPr="00BB430C" w:rsidRDefault="00791F6A">
      <w:pPr>
        <w:rPr>
          <w:noProof/>
          <w:sz w:val="22"/>
          <w:szCs w:val="22"/>
        </w:rPr>
      </w:pPr>
      <w:r w:rsidRPr="00BB430C">
        <w:rPr>
          <w:noProof/>
          <w:sz w:val="22"/>
          <w:szCs w:val="22"/>
        </w:rPr>
        <w:br w:type="page"/>
      </w:r>
    </w:p>
    <w:p w14:paraId="7440FE89" w14:textId="77777777" w:rsidR="00A61D8E" w:rsidRPr="00A43161" w:rsidRDefault="00791F6A" w:rsidP="00076763">
      <w:pPr>
        <w:pStyle w:val="TableEntry"/>
        <w:numPr>
          <w:ilvl w:val="0"/>
          <w:numId w:val="5"/>
        </w:numPr>
        <w:spacing w:before="120" w:after="120"/>
        <w:ind w:left="0" w:firstLine="0"/>
        <w:jc w:val="center"/>
        <w:rPr>
          <w:b/>
          <w:sz w:val="24"/>
          <w:szCs w:val="24"/>
        </w:rPr>
      </w:pPr>
      <w:r w:rsidRPr="00A43161">
        <w:rPr>
          <w:b/>
          <w:caps/>
          <w:sz w:val="24"/>
          <w:szCs w:val="24"/>
        </w:rPr>
        <w:lastRenderedPageBreak/>
        <w:t>INTRODUCTION</w:t>
      </w:r>
    </w:p>
    <w:p w14:paraId="7C71B5EB" w14:textId="77777777" w:rsidR="00A43161" w:rsidRPr="00BB430C" w:rsidRDefault="00A43161" w:rsidP="00A43161">
      <w:pPr>
        <w:pStyle w:val="TableEntry"/>
        <w:spacing w:before="120" w:after="120"/>
      </w:pPr>
      <w:r w:rsidRPr="00BB430C">
        <w:t xml:space="preserve">This exploratory fact-finding scoping study examines how </w:t>
      </w:r>
      <w:r w:rsidR="0096786F">
        <w:t>DSI</w:t>
      </w:r>
      <w:r w:rsidRPr="00BB430C">
        <w:t xml:space="preserve"> on genetic resources for food and agriculture is being used currently</w:t>
      </w:r>
      <w:r w:rsidR="0096786F">
        <w:t>,</w:t>
      </w:r>
      <w:r w:rsidRPr="00BB430C">
        <w:t xml:space="preserve"> how it might be used in the future and what the implications of its use are and might be in the future for the food and agriculture sector. The study covers:</w:t>
      </w:r>
    </w:p>
    <w:p w14:paraId="315CE4CB" w14:textId="77777777" w:rsidR="00A43161" w:rsidRPr="00BB430C" w:rsidRDefault="00A43161" w:rsidP="00076763">
      <w:pPr>
        <w:pStyle w:val="TableEntry"/>
        <w:numPr>
          <w:ilvl w:val="0"/>
          <w:numId w:val="2"/>
        </w:numPr>
        <w:spacing w:before="120" w:after="120"/>
        <w:ind w:left="1134" w:hanging="283"/>
      </w:pPr>
      <w:r w:rsidRPr="00BB430C">
        <w:t>terminology used in this area;</w:t>
      </w:r>
    </w:p>
    <w:p w14:paraId="53C2134A" w14:textId="77777777" w:rsidR="00A43161" w:rsidRPr="00BB430C" w:rsidRDefault="00A43161" w:rsidP="00076763">
      <w:pPr>
        <w:pStyle w:val="TableEntry"/>
        <w:numPr>
          <w:ilvl w:val="0"/>
          <w:numId w:val="2"/>
        </w:numPr>
        <w:spacing w:before="120" w:after="120"/>
        <w:ind w:left="1134" w:hanging="283"/>
      </w:pPr>
      <w:r w:rsidRPr="00BB430C">
        <w:t>current status of biotechnologies (including identification, characterization, breeding and genetic improvement and conservation of GRFA) in the management of GRFA and agroecosystems and future developments;</w:t>
      </w:r>
    </w:p>
    <w:p w14:paraId="576AEC07" w14:textId="77777777" w:rsidR="00A43161" w:rsidRPr="00BB430C" w:rsidRDefault="00A43161" w:rsidP="00076763">
      <w:pPr>
        <w:pStyle w:val="TableEntry"/>
        <w:numPr>
          <w:ilvl w:val="0"/>
          <w:numId w:val="2"/>
        </w:numPr>
        <w:spacing w:before="120" w:after="120"/>
        <w:ind w:left="1134" w:hanging="283"/>
      </w:pPr>
      <w:r w:rsidRPr="00BB430C">
        <w:t>the types and extent of current and future uses of DSI on GRFA in biotechnologies; and</w:t>
      </w:r>
    </w:p>
    <w:p w14:paraId="3BEDA2D5" w14:textId="77777777" w:rsidR="00A43161" w:rsidRPr="00BB430C" w:rsidRDefault="00A43161" w:rsidP="00076763">
      <w:pPr>
        <w:pStyle w:val="TableEntry"/>
        <w:numPr>
          <w:ilvl w:val="0"/>
          <w:numId w:val="2"/>
        </w:numPr>
        <w:spacing w:before="120" w:after="120"/>
        <w:ind w:left="1134" w:hanging="283"/>
      </w:pPr>
      <w:r w:rsidRPr="00BB430C">
        <w:t>actors involved with DSI on GRFA</w:t>
      </w:r>
      <w:r w:rsidR="0096786F">
        <w:t>,</w:t>
      </w:r>
      <w:r w:rsidRPr="00BB430C">
        <w:t xml:space="preserve"> and the relevance of DSI now and in the future on GRFA for food security and nutrition.</w:t>
      </w:r>
    </w:p>
    <w:p w14:paraId="268C9A80" w14:textId="77777777" w:rsidR="00807111" w:rsidRDefault="00807111" w:rsidP="00DD3C0E">
      <w:pPr>
        <w:pStyle w:val="TableEntry"/>
        <w:spacing w:before="120" w:after="120"/>
      </w:pPr>
      <w:r>
        <w:t xml:space="preserve">1965 Nobel laurette </w:t>
      </w:r>
      <w:r w:rsidR="004B5F1F">
        <w:t xml:space="preserve">Jacques Monod famously said that “What was true for </w:t>
      </w:r>
      <w:r w:rsidR="004B5F1F" w:rsidRPr="00333487">
        <w:rPr>
          <w:i/>
        </w:rPr>
        <w:t>E. coli</w:t>
      </w:r>
      <w:r w:rsidR="004B5F1F">
        <w:t xml:space="preserve"> is true for the elephant”</w:t>
      </w:r>
      <w:r w:rsidR="0096786F">
        <w:t>.</w:t>
      </w:r>
      <w:r w:rsidR="004B5F1F">
        <w:t xml:space="preserve"> There would prove to be many exceptions to this prediction about the biolog</w:t>
      </w:r>
      <w:r w:rsidR="00333487">
        <w:t>y</w:t>
      </w:r>
      <w:r w:rsidR="004B5F1F">
        <w:t xml:space="preserve"> of a</w:t>
      </w:r>
      <w:r w:rsidR="00107B52">
        <w:t xml:space="preserve"> bacterium</w:t>
      </w:r>
      <w:r w:rsidR="004B5F1F">
        <w:t xml:space="preserve"> and</w:t>
      </w:r>
      <w:r w:rsidR="00333487">
        <w:t xml:space="preserve"> an</w:t>
      </w:r>
      <w:r w:rsidR="004B5F1F">
        <w:t xml:space="preserve"> elephant. Nevertheless, Monod</w:t>
      </w:r>
      <w:r>
        <w:t xml:space="preserve">’s </w:t>
      </w:r>
      <w:r w:rsidR="004E32C7">
        <w:t>remark</w:t>
      </w:r>
      <w:r>
        <w:t xml:space="preserve"> was insightful for guiding the new science of molecular biology </w:t>
      </w:r>
      <w:r w:rsidR="00DD3C0E">
        <w:t xml:space="preserve">that </w:t>
      </w:r>
      <w:r>
        <w:t xml:space="preserve">was to eventually discover </w:t>
      </w:r>
      <w:r w:rsidR="00107B52">
        <w:t>remarkable</w:t>
      </w:r>
      <w:r>
        <w:t xml:space="preserve"> similarities in how genes and genomes work across all of life. The quality of the prediction he made is </w:t>
      </w:r>
      <w:r w:rsidR="00107B52">
        <w:t>especially</w:t>
      </w:r>
      <w:r>
        <w:t xml:space="preserve"> evident when comparing organisms that do not describe the extreme ends of the biological spectrum</w:t>
      </w:r>
      <w:r w:rsidR="00120F41">
        <w:t xml:space="preserve"> </w:t>
      </w:r>
      <w:r w:rsidR="001C037C">
        <w:t>(Lidder and Sonnino, 2011)</w:t>
      </w:r>
      <w:r>
        <w:t>.</w:t>
      </w:r>
    </w:p>
    <w:p w14:paraId="7B0FE129" w14:textId="77777777" w:rsidR="00E45707" w:rsidRDefault="00807111" w:rsidP="00BB430C">
      <w:pPr>
        <w:pStyle w:val="TableEntry"/>
        <w:spacing w:before="120" w:after="120"/>
      </w:pPr>
      <w:r>
        <w:t xml:space="preserve">The modern equivalent of Monod’s assertion is that what can be done with DSI in </w:t>
      </w:r>
      <w:r w:rsidR="004E32C7">
        <w:t>one</w:t>
      </w:r>
      <w:r>
        <w:t xml:space="preserve"> organism</w:t>
      </w:r>
      <w:r w:rsidR="004E32C7">
        <w:t xml:space="preserve"> at least</w:t>
      </w:r>
      <w:r>
        <w:t xml:space="preserve"> may be done in any other organism</w:t>
      </w:r>
      <w:r w:rsidR="004E32C7">
        <w:t xml:space="preserve"> of</w:t>
      </w:r>
      <w:r>
        <w:t xml:space="preserve"> similar type. </w:t>
      </w:r>
      <w:r w:rsidR="00E45707">
        <w:t>When it comes to the use of DSI,</w:t>
      </w:r>
      <w:r>
        <w:t xml:space="preserve"> what is true for the elephant is true for the goat. What is true for</w:t>
      </w:r>
      <w:r w:rsidR="00E45707">
        <w:t xml:space="preserve"> </w:t>
      </w:r>
      <w:r w:rsidR="00E45707" w:rsidRPr="00333487">
        <w:rPr>
          <w:i/>
        </w:rPr>
        <w:t>Candida albicans</w:t>
      </w:r>
      <w:r w:rsidR="00E45707">
        <w:t xml:space="preserve"> (a pathogen) is true for the</w:t>
      </w:r>
      <w:r>
        <w:t xml:space="preserve"> </w:t>
      </w:r>
      <w:r w:rsidR="00E45707" w:rsidRPr="00333487">
        <w:rPr>
          <w:i/>
        </w:rPr>
        <w:t>Saccharomyces cerevisiae</w:t>
      </w:r>
      <w:r w:rsidR="00E45707">
        <w:t xml:space="preserve"> (the yeast used to make fermented beverages and bread).</w:t>
      </w:r>
      <w:r w:rsidR="004E32C7">
        <w:t xml:space="preserve"> For some uses of DSI, what can be done in </w:t>
      </w:r>
      <w:r w:rsidR="004E32C7" w:rsidRPr="00333487">
        <w:rPr>
          <w:i/>
        </w:rPr>
        <w:t>E. coli</w:t>
      </w:r>
      <w:r w:rsidR="004E32C7">
        <w:t xml:space="preserve"> can also be done in the elephant.</w:t>
      </w:r>
      <w:r w:rsidR="004E32C7">
        <w:rPr>
          <w:rStyle w:val="FootnoteReference"/>
        </w:rPr>
        <w:footnoteReference w:id="15"/>
      </w:r>
      <w:r w:rsidR="00E45707">
        <w:t xml:space="preserve"> This simple prediction has been true enough to make the use of DSI routine in the </w:t>
      </w:r>
      <w:r w:rsidR="00B60A69">
        <w:t>characterization</w:t>
      </w:r>
      <w:r w:rsidR="00E45707">
        <w:t>, conservation and sustainable use of</w:t>
      </w:r>
      <w:r w:rsidR="00B60A69">
        <w:t xml:space="preserve"> both</w:t>
      </w:r>
      <w:r w:rsidR="00E45707">
        <w:t xml:space="preserve"> organisms that are and are not considered to be genetic resources for food and agriculture (GRFA)</w:t>
      </w:r>
      <w:r w:rsidR="00A54FDC">
        <w:t xml:space="preserve"> </w:t>
      </w:r>
      <w:r w:rsidR="001C037C">
        <w:t>(CBD, 2018)</w:t>
      </w:r>
      <w:r w:rsidR="00E45707">
        <w:t>.</w:t>
      </w:r>
    </w:p>
    <w:p w14:paraId="2B3DD8BB" w14:textId="77777777" w:rsidR="004B5F1F" w:rsidRDefault="00A40B16" w:rsidP="00BB430C">
      <w:pPr>
        <w:pStyle w:val="TableEntry"/>
        <w:spacing w:before="120" w:after="120"/>
      </w:pPr>
      <w:r>
        <w:t>The Monod</w:t>
      </w:r>
      <w:r w:rsidR="00880CD0">
        <w:t xml:space="preserve"> anecdote informs us</w:t>
      </w:r>
      <w:r>
        <w:t xml:space="preserve"> that s</w:t>
      </w:r>
      <w:r w:rsidR="00E45707">
        <w:t>ometimes when discussing the use of DSI on GRFA, it is both prudent and necessary to use an example involving an organism that some might not consider to be GRFA (at least not at the moment). At the cutting edge of science</w:t>
      </w:r>
      <w:r w:rsidR="00F87540">
        <w:t>,</w:t>
      </w:r>
      <w:r w:rsidR="00E45707">
        <w:t xml:space="preserve"> the</w:t>
      </w:r>
      <w:r w:rsidR="00DF035B">
        <w:t>re may only be one</w:t>
      </w:r>
      <w:r w:rsidR="00E45707">
        <w:t xml:space="preserve"> example</w:t>
      </w:r>
      <w:r w:rsidR="00DF035B">
        <w:t xml:space="preserve"> available, but it nevertheless</w:t>
      </w:r>
      <w:r w:rsidR="00E45707">
        <w:t xml:space="preserve"> proves the principle</w:t>
      </w:r>
      <w:r w:rsidR="00E50979">
        <w:t>. Although</w:t>
      </w:r>
      <w:r w:rsidR="00F87540">
        <w:t xml:space="preserve"> it remains to be seen how many proofs of principle will become routine uses of DSI on GRFA, some uses of</w:t>
      </w:r>
      <w:r w:rsidR="00E50979">
        <w:t xml:space="preserve"> DSI </w:t>
      </w:r>
      <w:r w:rsidR="00F87540">
        <w:t>have</w:t>
      </w:r>
      <w:r w:rsidR="00E50979">
        <w:t xml:space="preserve"> long been part of biological research</w:t>
      </w:r>
      <w:r w:rsidR="00F87540">
        <w:t xml:space="preserve"> on GRFA and its management</w:t>
      </w:r>
      <w:r w:rsidR="00E45707">
        <w:t>.</w:t>
      </w:r>
    </w:p>
    <w:p w14:paraId="7EB05B11" w14:textId="77777777" w:rsidR="000A446C" w:rsidRDefault="000A446C" w:rsidP="00BB430C">
      <w:pPr>
        <w:pStyle w:val="TableEntry"/>
        <w:spacing w:before="120" w:after="120"/>
      </w:pPr>
      <w:r>
        <w:t xml:space="preserve">Monod’s prediction has also increased in value and prescience with changes in technology over time. When the insecticidal qualities of the soil bacterium </w:t>
      </w:r>
      <w:r w:rsidRPr="00333487">
        <w:rPr>
          <w:i/>
        </w:rPr>
        <w:t>Bacillus thuringenesis</w:t>
      </w:r>
      <w:r>
        <w:t xml:space="preserve"> became apparent, this species of bacteria became a GRFA</w:t>
      </w:r>
      <w:r w:rsidR="00DE5C15">
        <w:t xml:space="preserve"> or at the very least a resource for management of GRFA. Subsequently, individual fragments of DNA from </w:t>
      </w:r>
      <w:r w:rsidR="00DE5C15" w:rsidRPr="00333487">
        <w:rPr>
          <w:i/>
        </w:rPr>
        <w:t>B. thuringenesis</w:t>
      </w:r>
      <w:r w:rsidR="00DE5C15">
        <w:t xml:space="preserve"> were found to confer upon crop plants, such as cotton, soybeans and maize, the trait of toxicity to</w:t>
      </w:r>
      <w:r w:rsidR="00DF035B">
        <w:t xml:space="preserve"> some</w:t>
      </w:r>
      <w:r w:rsidR="00DE5C15">
        <w:t xml:space="preserve"> insects</w:t>
      </w:r>
      <w:r w:rsidR="007C01C4">
        <w:t xml:space="preserve"> </w:t>
      </w:r>
      <w:r w:rsidR="001C037C">
        <w:t>(Heisey and Rubenstein, 2015)</w:t>
      </w:r>
      <w:r w:rsidR="00DE5C15">
        <w:t>. Genetic engineering technology was used to create crop GRFA that had one or more</w:t>
      </w:r>
      <w:r w:rsidR="00DF035B">
        <w:t xml:space="preserve"> genes sourced from</w:t>
      </w:r>
      <w:r w:rsidR="00DE5C15">
        <w:t xml:space="preserve"> </w:t>
      </w:r>
      <w:r w:rsidR="00DE5C15" w:rsidRPr="001E5042">
        <w:rPr>
          <w:i/>
        </w:rPr>
        <w:t>B. thuringenesis</w:t>
      </w:r>
      <w:r w:rsidR="00DE5C15">
        <w:t>, making these bacteria unequivocally a genetic resource.</w:t>
      </w:r>
    </w:p>
    <w:p w14:paraId="4EA292E9" w14:textId="77777777" w:rsidR="00DE5C15" w:rsidRDefault="00DE5C15" w:rsidP="00BB430C">
      <w:pPr>
        <w:pStyle w:val="TableEntry"/>
        <w:spacing w:before="120" w:after="120"/>
      </w:pPr>
      <w:r>
        <w:t xml:space="preserve">In one way, the use of DSI is an incremental advance in that progression of </w:t>
      </w:r>
      <w:r w:rsidRPr="001E5042">
        <w:rPr>
          <w:i/>
        </w:rPr>
        <w:t>B. thuringenesis</w:t>
      </w:r>
      <w:r>
        <w:t xml:space="preserve"> from soil micro</w:t>
      </w:r>
      <w:r w:rsidR="00DD3C0E">
        <w:t>-</w:t>
      </w:r>
      <w:r>
        <w:t xml:space="preserve">organism to GRFA. Based on the DNA sequence of the genes from </w:t>
      </w:r>
      <w:r w:rsidRPr="001E5042">
        <w:rPr>
          <w:i/>
        </w:rPr>
        <w:t>B. thuringenesis</w:t>
      </w:r>
      <w:r>
        <w:t xml:space="preserve"> for the insecticidal traits, entire genes can be synthesized from chemical percursors and then inserted into crop plant. Isolating the bacteria from soil is not necessary.</w:t>
      </w:r>
    </w:p>
    <w:p w14:paraId="4DEAD8AC" w14:textId="77777777" w:rsidR="00DE5C15" w:rsidRDefault="00DE5C15" w:rsidP="00BB430C">
      <w:pPr>
        <w:pStyle w:val="TableEntry"/>
        <w:spacing w:before="120" w:after="120"/>
      </w:pPr>
      <w:r>
        <w:lastRenderedPageBreak/>
        <w:t xml:space="preserve">In other ways, DSI is a significant advance on the use of </w:t>
      </w:r>
      <w:r w:rsidRPr="001E5042">
        <w:rPr>
          <w:i/>
        </w:rPr>
        <w:t>B. thuringenesis</w:t>
      </w:r>
      <w:r>
        <w:t xml:space="preserve"> DNA. For example, the DNA sequence of the gene from the bacterium can be altered in such a way as to create the same protein in plants, but is expressed more efficiently than would be the literal</w:t>
      </w:r>
      <w:r w:rsidR="00DF035B">
        <w:t xml:space="preserve"> DNA</w:t>
      </w:r>
      <w:r>
        <w:t xml:space="preserve"> sequence from the bacterium.</w:t>
      </w:r>
      <w:r>
        <w:rPr>
          <w:rStyle w:val="FootnoteReference"/>
        </w:rPr>
        <w:footnoteReference w:id="16"/>
      </w:r>
      <w:r w:rsidR="007C01C4">
        <w:t xml:space="preserve"> Bioinformatics was the science of studying the sequences of genes that revealed differences between plants and </w:t>
      </w:r>
      <w:r w:rsidR="007C01C4" w:rsidRPr="001E5042">
        <w:rPr>
          <w:i/>
        </w:rPr>
        <w:t>B. thuringenesis</w:t>
      </w:r>
      <w:r w:rsidR="00DF035B">
        <w:t xml:space="preserve"> explaining why different DNA sequences determining the same protein have different expression efficiencies</w:t>
      </w:r>
      <w:r w:rsidR="007C01C4">
        <w:t>.</w:t>
      </w:r>
      <w:r w:rsidR="00C338EB">
        <w:t xml:space="preserve"> Additionally, DSI has been used to</w:t>
      </w:r>
      <w:r w:rsidR="00CF00A8">
        <w:t xml:space="preserve"> design and</w:t>
      </w:r>
      <w:r w:rsidR="00C338EB">
        <w:t xml:space="preserve"> create novel combinatorial toxicities by combining regions of different toxin genes </w:t>
      </w:r>
      <w:r w:rsidR="001C037C">
        <w:t>(Honee</w:t>
      </w:r>
      <w:r w:rsidR="001C037C" w:rsidRPr="001C037C">
        <w:rPr>
          <w:i/>
        </w:rPr>
        <w:t xml:space="preserve"> et al.</w:t>
      </w:r>
      <w:r w:rsidR="001C037C">
        <w:t>, 1990)</w:t>
      </w:r>
      <w:r w:rsidR="00C338EB">
        <w:t>.</w:t>
      </w:r>
    </w:p>
    <w:p w14:paraId="45872B21" w14:textId="77777777" w:rsidR="007C01C4" w:rsidRDefault="00A60C91" w:rsidP="00BB430C">
      <w:pPr>
        <w:pStyle w:val="TableEntry"/>
        <w:spacing w:before="120" w:after="120"/>
      </w:pPr>
      <w:r>
        <w:t>Comparative genomics</w:t>
      </w:r>
      <w:r w:rsidR="00083AC7">
        <w:t xml:space="preserve"> can use</w:t>
      </w:r>
      <w:r>
        <w:t xml:space="preserve"> DSI</w:t>
      </w:r>
      <w:r w:rsidR="00083AC7">
        <w:t xml:space="preserve"> on genomes from different species</w:t>
      </w:r>
      <w:r w:rsidR="007C01C4">
        <w:t xml:space="preserve"> to identify</w:t>
      </w:r>
      <w:r w:rsidR="00083AC7">
        <w:t xml:space="preserve"> valuable</w:t>
      </w:r>
      <w:r w:rsidR="007C01C4">
        <w:t xml:space="preserve"> </w:t>
      </w:r>
      <w:r w:rsidR="00083AC7">
        <w:t>genes</w:t>
      </w:r>
      <w:r w:rsidR="00042856">
        <w:t>, extending the use of DSI beyond natural breeding populations</w:t>
      </w:r>
      <w:r w:rsidR="007C01C4">
        <w:t>.</w:t>
      </w:r>
      <w:r w:rsidR="005968E4">
        <w:t xml:space="preserve"> For example, the</w:t>
      </w:r>
      <w:r w:rsidR="00B32094" w:rsidRPr="00B32094">
        <w:t xml:space="preserve"> </w:t>
      </w:r>
      <w:r w:rsidR="00B32094">
        <w:t>copy number variation</w:t>
      </w:r>
      <w:r w:rsidR="005968E4">
        <w:t xml:space="preserve"> </w:t>
      </w:r>
      <w:r w:rsidR="00B32094">
        <w:t>(</w:t>
      </w:r>
      <w:r w:rsidR="005968E4">
        <w:t>CNV</w:t>
      </w:r>
      <w:r w:rsidR="00B32094">
        <w:t>)</w:t>
      </w:r>
      <w:r w:rsidR="005968E4">
        <w:t xml:space="preserve"> </w:t>
      </w:r>
      <w:r w:rsidR="00890A04">
        <w:t>information</w:t>
      </w:r>
      <w:r w:rsidR="005968E4">
        <w:t xml:space="preserve"> of the cattle genome was used to</w:t>
      </w:r>
      <w:r w:rsidR="00890A04">
        <w:t xml:space="preserve"> build a high resolution array to</w:t>
      </w:r>
      <w:r w:rsidR="005968E4">
        <w:t xml:space="preserve"> map CNVs in the less well study genomes of goats</w:t>
      </w:r>
      <w:r w:rsidR="00890A04">
        <w:t xml:space="preserve"> </w:t>
      </w:r>
      <w:r w:rsidR="001C037C">
        <w:t>(Fontanesi</w:t>
      </w:r>
      <w:r w:rsidR="001C037C" w:rsidRPr="001C037C">
        <w:rPr>
          <w:i/>
        </w:rPr>
        <w:t xml:space="preserve"> et al.</w:t>
      </w:r>
      <w:r w:rsidR="001C037C">
        <w:t>, 2010)</w:t>
      </w:r>
      <w:r w:rsidR="00890A04">
        <w:t>.</w:t>
      </w:r>
    </w:p>
    <w:p w14:paraId="6D8E795C" w14:textId="77777777" w:rsidR="007C01C4" w:rsidRDefault="001E2BED" w:rsidP="00BB430C">
      <w:pPr>
        <w:pStyle w:val="TableEntry"/>
        <w:spacing w:before="120" w:after="120"/>
      </w:pPr>
      <w:r>
        <w:rPr>
          <w:rFonts w:eastAsia="Calibri"/>
          <w:bCs/>
          <w:lang w:val="en-US" w:eastAsia="en-US"/>
        </w:rPr>
        <w:t>This makes it possible to extend</w:t>
      </w:r>
      <w:r w:rsidR="001E5042">
        <w:rPr>
          <w:rFonts w:eastAsia="Calibri"/>
          <w:bCs/>
          <w:lang w:val="en-US" w:eastAsia="en-US"/>
        </w:rPr>
        <w:t xml:space="preserve"> DSI</w:t>
      </w:r>
      <w:r>
        <w:rPr>
          <w:rFonts w:eastAsia="Calibri"/>
          <w:bCs/>
          <w:lang w:val="en-US" w:eastAsia="en-US"/>
        </w:rPr>
        <w:t xml:space="preserve"> to organisms that are both outside the natural breeding range and traditional descriptions of GRFA. </w:t>
      </w:r>
      <w:r w:rsidR="007C01C4">
        <w:rPr>
          <w:rFonts w:eastAsia="Calibri"/>
          <w:bCs/>
          <w:lang w:val="en-US" w:eastAsia="en-US"/>
        </w:rPr>
        <w:t xml:space="preserve">The kiwi bird is an example of an organism that by law is not </w:t>
      </w:r>
      <w:r w:rsidR="00BD648C">
        <w:rPr>
          <w:rFonts w:eastAsia="Calibri"/>
          <w:bCs/>
          <w:lang w:val="en-US" w:eastAsia="en-US"/>
        </w:rPr>
        <w:t>food or farmed but is edible and historically was eaten.</w:t>
      </w:r>
      <w:r w:rsidR="007C01C4">
        <w:rPr>
          <w:rFonts w:eastAsia="Calibri"/>
          <w:bCs/>
          <w:lang w:val="en-US" w:eastAsia="en-US"/>
        </w:rPr>
        <w:t xml:space="preserve"> </w:t>
      </w:r>
      <w:r w:rsidR="00BD648C">
        <w:rPr>
          <w:rFonts w:eastAsia="Calibri"/>
          <w:bCs/>
          <w:lang w:val="en-US" w:eastAsia="en-US"/>
        </w:rPr>
        <w:t xml:space="preserve">It </w:t>
      </w:r>
      <w:r w:rsidR="007C01C4">
        <w:rPr>
          <w:rFonts w:eastAsia="Calibri"/>
          <w:bCs/>
          <w:lang w:val="en-US" w:eastAsia="en-US"/>
        </w:rPr>
        <w:t xml:space="preserve">has a </w:t>
      </w:r>
      <w:r w:rsidR="007C01C4" w:rsidRPr="00842949">
        <w:rPr>
          <w:rFonts w:eastAsia="Calibri"/>
          <w:bCs/>
          <w:lang w:val="en-US" w:eastAsia="en-US"/>
        </w:rPr>
        <w:t>unique genome</w:t>
      </w:r>
      <w:r w:rsidR="007C01C4">
        <w:rPr>
          <w:rFonts w:eastAsia="Calibri"/>
          <w:bCs/>
          <w:lang w:val="en-US" w:eastAsia="en-US"/>
        </w:rPr>
        <w:t xml:space="preserve"> that</w:t>
      </w:r>
      <w:r w:rsidR="007C01C4" w:rsidRPr="00842949">
        <w:rPr>
          <w:rFonts w:eastAsia="Calibri"/>
          <w:bCs/>
          <w:lang w:val="en-US" w:eastAsia="en-US"/>
        </w:rPr>
        <w:t xml:space="preserve"> is important to GRFA both for the genes for traits it carries, and for the genes it does not have. The kiwi bird genome can be </w:t>
      </w:r>
      <w:r w:rsidR="007C01C4">
        <w:rPr>
          <w:rFonts w:eastAsia="Calibri"/>
          <w:bCs/>
          <w:lang w:val="en-US" w:eastAsia="en-US"/>
        </w:rPr>
        <w:t xml:space="preserve">used by comparative genomics to </w:t>
      </w:r>
      <w:r w:rsidR="007C01C4" w:rsidRPr="00842949">
        <w:rPr>
          <w:rFonts w:eastAsia="Calibri"/>
          <w:bCs/>
          <w:lang w:val="en-US" w:eastAsia="en-US"/>
        </w:rPr>
        <w:t>provide clues about what unknown genes in organisms that we do eat</w:t>
      </w:r>
      <w:r w:rsidR="00452764">
        <w:rPr>
          <w:rFonts w:eastAsia="Calibri"/>
          <w:bCs/>
          <w:lang w:val="en-US" w:eastAsia="en-US"/>
        </w:rPr>
        <w:t xml:space="preserve"> – </w:t>
      </w:r>
      <w:r w:rsidR="007C01C4">
        <w:rPr>
          <w:rFonts w:eastAsia="Calibri"/>
          <w:bCs/>
          <w:lang w:val="en-US" w:eastAsia="en-US"/>
        </w:rPr>
        <w:t>both bird and mammal</w:t>
      </w:r>
      <w:r w:rsidR="00452764">
        <w:rPr>
          <w:rFonts w:eastAsia="Calibri"/>
          <w:bCs/>
          <w:lang w:val="en-US" w:eastAsia="en-US"/>
        </w:rPr>
        <w:t xml:space="preserve"> – </w:t>
      </w:r>
      <w:r w:rsidR="007C01C4" w:rsidRPr="00842949">
        <w:rPr>
          <w:rFonts w:eastAsia="Calibri"/>
          <w:bCs/>
          <w:lang w:val="en-US" w:eastAsia="en-US"/>
        </w:rPr>
        <w:t>may be responsible for traits that may be improved</w:t>
      </w:r>
      <w:r w:rsidR="007C01C4">
        <w:rPr>
          <w:rFonts w:eastAsia="Calibri"/>
          <w:bCs/>
          <w:lang w:val="en-US" w:eastAsia="en-US"/>
        </w:rPr>
        <w:t xml:space="preserve"> or eliminated</w:t>
      </w:r>
      <w:r w:rsidR="008B6BB1">
        <w:rPr>
          <w:rFonts w:eastAsia="Calibri"/>
          <w:bCs/>
          <w:lang w:val="en-US" w:eastAsia="en-US"/>
        </w:rPr>
        <w:t xml:space="preserve"> </w:t>
      </w:r>
      <w:r w:rsidR="001C037C">
        <w:rPr>
          <w:rFonts w:eastAsia="Calibri"/>
          <w:bCs/>
          <w:lang w:eastAsia="en-US"/>
        </w:rPr>
        <w:t>(Le Duc</w:t>
      </w:r>
      <w:r w:rsidR="001C037C" w:rsidRPr="001C037C">
        <w:rPr>
          <w:rFonts w:eastAsia="Calibri"/>
          <w:bCs/>
          <w:i/>
          <w:lang w:eastAsia="en-US"/>
        </w:rPr>
        <w:t xml:space="preserve"> et al.</w:t>
      </w:r>
      <w:r w:rsidR="001C037C">
        <w:rPr>
          <w:rFonts w:eastAsia="Calibri"/>
          <w:bCs/>
          <w:lang w:eastAsia="en-US"/>
        </w:rPr>
        <w:t>, 2015)</w:t>
      </w:r>
      <w:r w:rsidR="007C01C4" w:rsidRPr="00842949">
        <w:rPr>
          <w:rFonts w:eastAsia="Calibri"/>
          <w:bCs/>
          <w:lang w:val="en-US" w:eastAsia="en-US"/>
        </w:rPr>
        <w:t xml:space="preserve">. </w:t>
      </w:r>
    </w:p>
    <w:p w14:paraId="0DD2BF9A" w14:textId="77777777" w:rsidR="00547C42" w:rsidRDefault="00D51289" w:rsidP="00AB3257">
      <w:pPr>
        <w:pStyle w:val="TableEntry"/>
        <w:spacing w:before="120" w:after="120"/>
      </w:pPr>
      <w:r>
        <w:t>The</w:t>
      </w:r>
      <w:r w:rsidR="001234FF">
        <w:t xml:space="preserve"> variety of</w:t>
      </w:r>
      <w:r>
        <w:t xml:space="preserve"> use</w:t>
      </w:r>
      <w:r w:rsidR="001234FF">
        <w:t>s</w:t>
      </w:r>
      <w:r>
        <w:t xml:space="preserve"> of DSI in biology in general is growing along with other</w:t>
      </w:r>
      <w:r w:rsidR="00547C42" w:rsidRPr="00BB430C">
        <w:t xml:space="preserve"> changes in </w:t>
      </w:r>
      <w:r>
        <w:t>bio</w:t>
      </w:r>
      <w:r w:rsidR="00547C42" w:rsidRPr="00BB430C">
        <w:t>technology</w:t>
      </w:r>
      <w:r>
        <w:t xml:space="preserve"> and computation</w:t>
      </w:r>
      <w:r w:rsidR="00547C42" w:rsidRPr="00BB430C">
        <w:t xml:space="preserve">. Those changes are illustrated by improvements in three co-evolving technologies (Figure </w:t>
      </w:r>
      <w:r w:rsidR="00117E56">
        <w:t>I.</w:t>
      </w:r>
      <w:r w:rsidR="00AB3257">
        <w:t>1</w:t>
      </w:r>
      <w:r w:rsidR="00547C42" w:rsidRPr="00BB430C">
        <w:t>). The first of these is in scale of DNA sequencing (</w:t>
      </w:r>
      <w:r w:rsidR="00452764">
        <w:t>“</w:t>
      </w:r>
      <w:r w:rsidR="00547C42" w:rsidRPr="00BB430C">
        <w:t>reading</w:t>
      </w:r>
      <w:r w:rsidR="00452764">
        <w:t>”</w:t>
      </w:r>
      <w:r w:rsidR="00547C42" w:rsidRPr="00BB430C">
        <w:t>)</w:t>
      </w:r>
      <w:r w:rsidR="00452764">
        <w:t>.</w:t>
      </w:r>
      <w:r w:rsidR="00547C42" w:rsidRPr="00BB430C">
        <w:rPr>
          <w:rStyle w:val="FootnoteReference"/>
          <w:sz w:val="22"/>
          <w:szCs w:val="22"/>
        </w:rPr>
        <w:footnoteReference w:id="17"/>
      </w:r>
      <w:r w:rsidR="00547C42" w:rsidRPr="00BB430C">
        <w:t xml:space="preserve"> The second is in scale of DNA synthesis to manufacture genomes (</w:t>
      </w:r>
      <w:r w:rsidR="00452764">
        <w:t>“</w:t>
      </w:r>
      <w:r w:rsidR="00547C42" w:rsidRPr="00BB430C">
        <w:t>writing</w:t>
      </w:r>
      <w:r w:rsidR="00452764">
        <w:t>”</w:t>
      </w:r>
      <w:r w:rsidR="00547C42" w:rsidRPr="00BB430C">
        <w:t>) or make DNA molecules used to modify existing genomes (</w:t>
      </w:r>
      <w:r w:rsidR="00452764">
        <w:t>“</w:t>
      </w:r>
      <w:r w:rsidR="00547C42" w:rsidRPr="00BB430C">
        <w:t>editing</w:t>
      </w:r>
      <w:r w:rsidR="00452764">
        <w:t>”</w:t>
      </w:r>
      <w:r w:rsidR="00547C42" w:rsidRPr="00BB430C">
        <w:t xml:space="preserve">). “Since 1975, reading and writing platforms have exhibited increases in throughput of three-million-fold and one-billion-fold” and a million-fold reduction in cost in the past </w:t>
      </w:r>
      <w:r w:rsidR="008F78E3">
        <w:t>ten</w:t>
      </w:r>
      <w:r w:rsidR="008F78E3" w:rsidRPr="00BB430C">
        <w:t xml:space="preserve"> </w:t>
      </w:r>
      <w:r w:rsidR="00547C42" w:rsidRPr="00BB430C">
        <w:t xml:space="preserve">years in both reading and writing </w:t>
      </w:r>
      <w:r w:rsidR="001C037C">
        <w:t>(Chari and Church, 2017)</w:t>
      </w:r>
      <w:r w:rsidR="00547C42" w:rsidRPr="00BB430C">
        <w:t>.</w:t>
      </w:r>
    </w:p>
    <w:p w14:paraId="690D301D" w14:textId="77777777" w:rsidR="00C4616A" w:rsidRDefault="00AB3257">
      <w:pPr>
        <w:pStyle w:val="TableEntry"/>
        <w:spacing w:before="120" w:after="120"/>
      </w:pPr>
      <w:r w:rsidRPr="000770CD">
        <w:rPr>
          <w:lang w:val="en-CA" w:eastAsia="en-CA"/>
        </w:rPr>
        <w:lastRenderedPageBreak/>
        <mc:AlternateContent>
          <mc:Choice Requires="wps">
            <w:drawing>
              <wp:anchor distT="114935" distB="114935" distL="114300" distR="114300" simplePos="0" relativeHeight="251702272" behindDoc="0" locked="0" layoutInCell="1" allowOverlap="1" wp14:anchorId="476F2B96" wp14:editId="0EE7FC67">
                <wp:simplePos x="0" y="0"/>
                <wp:positionH relativeFrom="column">
                  <wp:posOffset>0</wp:posOffset>
                </wp:positionH>
                <wp:positionV relativeFrom="paragraph">
                  <wp:posOffset>48</wp:posOffset>
                </wp:positionV>
                <wp:extent cx="5257800" cy="5611495"/>
                <wp:effectExtent l="0" t="0" r="19050" b="27305"/>
                <wp:wrapTopAndBottom/>
                <wp:docPr id="14" name="Text Box 14"/>
                <wp:cNvGraphicFramePr/>
                <a:graphic xmlns:a="http://schemas.openxmlformats.org/drawingml/2006/main">
                  <a:graphicData uri="http://schemas.microsoft.com/office/word/2010/wordprocessingShape">
                    <wps:wsp>
                      <wps:cNvSpPr txBox="1"/>
                      <wps:spPr>
                        <a:xfrm>
                          <a:off x="0" y="0"/>
                          <a:ext cx="5257800" cy="5611495"/>
                        </a:xfrm>
                        <a:prstGeom prst="rect">
                          <a:avLst/>
                        </a:prstGeom>
                        <a:ln w="12700" cmpd="sng"/>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2">
                          <a:schemeClr val="dk1"/>
                        </a:lnRef>
                        <a:fillRef idx="1">
                          <a:schemeClr val="lt1"/>
                        </a:fillRef>
                        <a:effectRef idx="0">
                          <a:schemeClr val="dk1"/>
                        </a:effectRef>
                        <a:fontRef idx="minor">
                          <a:schemeClr val="dk1"/>
                        </a:fontRef>
                      </wps:style>
                      <wps:txbx>
                        <w:txbxContent>
                          <w:p w14:paraId="540F1DFC" w14:textId="77777777" w:rsidR="00F63D94" w:rsidRDefault="00F63D94" w:rsidP="00AB3257">
                            <w:r>
                              <w:rPr>
                                <w:noProof/>
                                <w:lang w:val="en-CA" w:eastAsia="en-CA"/>
                              </w:rPr>
                              <w:drawing>
                                <wp:inline distT="0" distB="0" distL="0" distR="0" wp14:anchorId="27987930" wp14:editId="1F6DF231">
                                  <wp:extent cx="5062220" cy="3973195"/>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it 2 living.jpg"/>
                                          <pic:cNvPicPr/>
                                        </pic:nvPicPr>
                                        <pic:blipFill>
                                          <a:blip r:embed="rId19">
                                            <a:extLst>
                                              <a:ext uri="{28A0092B-C50C-407E-A947-70E740481C1C}">
                                                <a14:useLocalDpi xmlns:a14="http://schemas.microsoft.com/office/drawing/2010/main" val="0"/>
                                              </a:ext>
                                            </a:extLst>
                                          </a:blip>
                                          <a:stretch>
                                            <a:fillRect/>
                                          </a:stretch>
                                        </pic:blipFill>
                                        <pic:spPr>
                                          <a:xfrm>
                                            <a:off x="0" y="0"/>
                                            <a:ext cx="5062220" cy="3973195"/>
                                          </a:xfrm>
                                          <a:prstGeom prst="rect">
                                            <a:avLst/>
                                          </a:prstGeom>
                                        </pic:spPr>
                                      </pic:pic>
                                    </a:graphicData>
                                  </a:graphic>
                                </wp:inline>
                              </w:drawing>
                            </w:r>
                          </w:p>
                          <w:p w14:paraId="62FE2CD4" w14:textId="77777777" w:rsidR="00F63D94" w:rsidRDefault="00F63D94" w:rsidP="00AB3257">
                            <w:pPr>
                              <w:rPr>
                                <w:sz w:val="22"/>
                              </w:rPr>
                            </w:pPr>
                            <w:r>
                              <w:rPr>
                                <w:b/>
                                <w:sz w:val="22"/>
                              </w:rPr>
                              <w:t>Figure I.1</w:t>
                            </w:r>
                            <w:r w:rsidRPr="004824B5">
                              <w:rPr>
                                <w:sz w:val="22"/>
                              </w:rPr>
                              <w:t>. Moving information between digital and living worlds</w:t>
                            </w:r>
                            <w:r>
                              <w:rPr>
                                <w:sz w:val="22"/>
                              </w:rPr>
                              <w:br/>
                              <w:t>Note:</w:t>
                            </w:r>
                            <w:r w:rsidRPr="004824B5">
                              <w:rPr>
                                <w:sz w:val="22"/>
                              </w:rPr>
                              <w:t xml:space="preserve"> From top left, a cell or organism is a genetic resource from which </w:t>
                            </w:r>
                            <w:r>
                              <w:rPr>
                                <w:sz w:val="22"/>
                              </w:rPr>
                              <w:t>material such as genomic DNA (circle) is extracted</w:t>
                            </w:r>
                            <w:r w:rsidRPr="004824B5">
                              <w:rPr>
                                <w:sz w:val="22"/>
                              </w:rPr>
                              <w:t>. The order of bases in the genome is determined by sequencing and the information is stored as a digital sequence. The information may or may not be further modified and a new genome written, or a genome edited, using the digital information. The synthesized DNA is transferred to a living organism (e.g. yeast) for final assembly of large pieces and may be</w:t>
                            </w:r>
                            <w:r w:rsidRPr="004824B5">
                              <w:rPr>
                                <w:sz w:val="20"/>
                              </w:rPr>
                              <w:t xml:space="preserve"> </w:t>
                            </w:r>
                            <w:r w:rsidRPr="004824B5">
                              <w:rPr>
                                <w:sz w:val="22"/>
                              </w:rPr>
                              <w:t>further transferred to other cells to create a new genetic resource.</w:t>
                            </w:r>
                          </w:p>
                          <w:p w14:paraId="4C0AAA84" w14:textId="77777777" w:rsidR="00F63D94" w:rsidRPr="004824B5" w:rsidRDefault="00F63D94" w:rsidP="00AB3257">
                            <w:pPr>
                              <w:rPr>
                                <w:sz w:val="22"/>
                              </w:rPr>
                            </w:pPr>
                            <w:r w:rsidRPr="00345B9B">
                              <w:rPr>
                                <w:i/>
                                <w:sz w:val="22"/>
                              </w:rPr>
                              <w:t>Source:</w:t>
                            </w:r>
                            <w:r>
                              <w:rPr>
                                <w:sz w:val="22"/>
                              </w:rPr>
                              <w:t xml:space="preserve"> </w:t>
                            </w:r>
                            <w:r>
                              <w:rPr>
                                <w:sz w:val="22"/>
                              </w:rPr>
                              <w:fldChar w:fldCharType="begin"/>
                            </w:r>
                            <w:r>
                              <w:rPr>
                                <w:sz w:val="22"/>
                              </w:rPr>
                              <w:instrText xml:space="preserve"> ADDIN EN.CITE &lt;EndNote&gt;&lt;Cite&gt;&lt;Author&gt;Gibson&lt;/Author&gt;&lt;Year&gt;2014&lt;/Year&gt;&lt;RecNum&gt;46&lt;/RecNum&gt;&lt;DisplayText&gt;(Gibson, 2014)&lt;/DisplayText&gt;&lt;record&gt;&lt;rec-number&gt;46&lt;/rec-number&gt;&lt;foreign-keys&gt;&lt;key app="EN" db-id="vav00vdrjedrwre5xsc5vxpsx0fp9arstrrf" timestamp="1509420641"&gt;46&lt;/key&gt;&lt;/foreign-keys&gt;&lt;ref-type name="Journal Article"&gt;17&lt;/ref-type&gt;&lt;contributors&gt;&lt;authors&gt;&lt;author&gt;Gibson, D.G.&lt;/author&gt;&lt;/authors&gt;&lt;/contributors&gt;&lt;titles&gt;&lt;title&gt;Programming biological operating systems: genome design, assembly and activation&lt;/title&gt;&lt;secondary-title&gt;Nature Methods&lt;/secondary-title&gt;&lt;alt-title&gt;Nat Method&lt;/alt-title&gt;&lt;/titles&gt;&lt;periodical&gt;&lt;full-title&gt;Nature Methods&lt;/full-title&gt;&lt;abbr-1&gt;Nat Method&lt;/abbr-1&gt;&lt;/periodical&gt;&lt;alt-periodical&gt;&lt;full-title&gt;Nature Methods&lt;/full-title&gt;&lt;abbr-1&gt;Nat Method&lt;/abbr-1&gt;&lt;/alt-periodical&gt;&lt;pages&gt;521-526&lt;/pages&gt;&lt;volume&gt;11&lt;/volume&gt;&lt;dates&gt;&lt;year&gt;2014&lt;/year&gt;&lt;/dates&gt;&lt;urls&gt;&lt;/urls&gt;&lt;/record&gt;&lt;/Cite&gt;&lt;/EndNote&gt;</w:instrText>
                            </w:r>
                            <w:r>
                              <w:rPr>
                                <w:sz w:val="22"/>
                              </w:rPr>
                              <w:fldChar w:fldCharType="separate"/>
                            </w:r>
                            <w:r>
                              <w:rPr>
                                <w:noProof/>
                                <w:sz w:val="22"/>
                              </w:rPr>
                              <w:t>Gibson (2014)</w:t>
                            </w:r>
                            <w:r>
                              <w:rPr>
                                <w:sz w:val="22"/>
                              </w:rPr>
                              <w:fldChar w:fldCharType="end"/>
                            </w:r>
                            <w:r>
                              <w:rPr>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6F2B96" id="Text Box 14" o:spid="_x0000_s1035" type="#_x0000_t202" style="position:absolute;margin-left:0;margin-top:0;width:414pt;height:441.85pt;z-index:251702272;visibility:visible;mso-wrap-style:square;mso-height-percent:0;mso-wrap-distance-left:9pt;mso-wrap-distance-top:9.05pt;mso-wrap-distance-right:9pt;mso-wrap-distance-bottom:9.05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6wUqwIAAIwFAAAOAAAAZHJzL2Uyb0RvYy54bWysVFtv2jAUfp+0/2D5nSZBoRRUqFIqpklV&#10;W62d+mwcB6I5tmcbSDftv++zQyjqqj1Me0mOz/nO/XJ51TaS7IR1tVYzmp2llAjFdVmr9Yx+fVoO&#10;LihxnqmSSa3EjL4IR6/mHz9c7s1UDPVGy1JYAiPKTfdmRjfem2mSOL4RDXNn2ggFYaVtwzyedp2U&#10;lu1hvZHJME3Pk722pbGaC+fAvemEdB7tV5Xg/r6qnPBEzihi8/Fr43cVvsn8kk3XlplNzQ9hsH+I&#10;omG1gtOjqRvmGdna+g9TTc2tdrryZ1w3ia6qmouYA7LJ0jfZPG6YETEXFMeZY5nc/zPL73YPltQl&#10;epdToliDHj2J1pNr3RKwUJ+9cVPAHg2AvgUf2J7vwAxpt5Vtwh8JEchR6ZdjdYM1DuZoOBpfpBBx&#10;yEbnWZZPRsFO8qpurPOfhG5IIGbUon2xqmx363wH7SHBm1Rkj2CG42i1McjCqXXXU3iFTkAF/7EV&#10;Pxej8bAYjyaD82KUDfIsvRgURToc3CyLtEjz5WKSX/86hNTrJyH9Ls1I+RcpOt9fRIXCIbFhjDGO&#10;rFhIS3YMw1Z+i0VCclIBGVSqWsqjUvaekvS90gEb449jfFRM31N89SZ6dPSolT8qNrXS9u/KVYdH&#10;T05yDaRvV22ckknf+ZUuXzAQVncr5Qxf1mjaLXP+gVnsEBqNu+Dv8amkRp/0gaJko+2P9/gBj9GG&#10;lJI9dhLt/L5lVlAiPysM/STL87DE8ZGjmXjYU8nqVKK2zUKjExkukOGRDHgve7KyunnG+SiCV4iY&#10;4vA9o74nF767FDg/XBRFBGFtDfO36tHwYDpUOYzkU/vMrDnMrcfw3Ol+e9n0zfh22KCpdLH1uqrj&#10;bIc6d1U91B8rH7fjcJ7CTTl9R9TrEZ3/BgAA//8DAFBLAwQUAAYACAAAACEA+LnWKNoAAAAFAQAA&#10;DwAAAGRycy9kb3ducmV2LnhtbEyPQUvDQBCF74L/YRnBm93YgIaYTVGLIKUXqweP2+w0Cd2dDZlt&#10;E/+9oxe9DPN4w5vvVas5eHXGkftIBm4XGSikJrqeWgMf7y83BShOlpz1kdDAFzKs6suLypYuTvSG&#10;511qlYQQl9ZAl9JQas1Nh8HyIg5I4h3iGGwSObbajXaS8OD1MsvudLA9yYfODvjcYXPcnYKBTY7H&#10;z7zlLU+Hp/zVZeut36yNub6aHx9AJZzT3zH84As61MK0jydyrLwBKZJ+p3jFshC5l6XI70HXlf5P&#10;X38DAAD//wMAUEsBAi0AFAAGAAgAAAAhALaDOJL+AAAA4QEAABMAAAAAAAAAAAAAAAAAAAAAAFtD&#10;b250ZW50X1R5cGVzXS54bWxQSwECLQAUAAYACAAAACEAOP0h/9YAAACUAQAACwAAAAAAAAAAAAAA&#10;AAAvAQAAX3JlbHMvLnJlbHNQSwECLQAUAAYACAAAACEAoJOsFKsCAACMBQAADgAAAAAAAAAAAAAA&#10;AAAuAgAAZHJzL2Uyb0RvYy54bWxQSwECLQAUAAYACAAAACEA+LnWKNoAAAAFAQAADwAAAAAAAAAA&#10;AAAAAAAFBQAAZHJzL2Rvd25yZXYueG1sUEsFBgAAAAAEAAQA8wAAAAwGAAAAAA==&#10;" fillcolor="white [3201]" strokecolor="black [3200]" strokeweight="1pt">
                <v:textbox>
                  <w:txbxContent>
                    <w:p w14:paraId="540F1DFC" w14:textId="77777777" w:rsidR="00F63D94" w:rsidRDefault="00F63D94" w:rsidP="00AB3257">
                      <w:r>
                        <w:rPr>
                          <w:noProof/>
                          <w:lang w:val="en-CA" w:eastAsia="en-CA"/>
                        </w:rPr>
                        <w:drawing>
                          <wp:inline distT="0" distB="0" distL="0" distR="0" wp14:anchorId="27987930" wp14:editId="1F6DF231">
                            <wp:extent cx="5062220" cy="3973195"/>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it 2 living.jpg"/>
                                    <pic:cNvPicPr/>
                                  </pic:nvPicPr>
                                  <pic:blipFill>
                                    <a:blip r:embed="rId19">
                                      <a:extLst>
                                        <a:ext uri="{28A0092B-C50C-407E-A947-70E740481C1C}">
                                          <a14:useLocalDpi xmlns:a14="http://schemas.microsoft.com/office/drawing/2010/main" val="0"/>
                                        </a:ext>
                                      </a:extLst>
                                    </a:blip>
                                    <a:stretch>
                                      <a:fillRect/>
                                    </a:stretch>
                                  </pic:blipFill>
                                  <pic:spPr>
                                    <a:xfrm>
                                      <a:off x="0" y="0"/>
                                      <a:ext cx="5062220" cy="3973195"/>
                                    </a:xfrm>
                                    <a:prstGeom prst="rect">
                                      <a:avLst/>
                                    </a:prstGeom>
                                  </pic:spPr>
                                </pic:pic>
                              </a:graphicData>
                            </a:graphic>
                          </wp:inline>
                        </w:drawing>
                      </w:r>
                    </w:p>
                    <w:p w14:paraId="62FE2CD4" w14:textId="77777777" w:rsidR="00F63D94" w:rsidRDefault="00F63D94" w:rsidP="00AB3257">
                      <w:pPr>
                        <w:rPr>
                          <w:sz w:val="22"/>
                        </w:rPr>
                      </w:pPr>
                      <w:r>
                        <w:rPr>
                          <w:b/>
                          <w:sz w:val="22"/>
                        </w:rPr>
                        <w:t>Figure I.1</w:t>
                      </w:r>
                      <w:r w:rsidRPr="004824B5">
                        <w:rPr>
                          <w:sz w:val="22"/>
                        </w:rPr>
                        <w:t>. Moving information between digital and living worlds</w:t>
                      </w:r>
                      <w:r>
                        <w:rPr>
                          <w:sz w:val="22"/>
                        </w:rPr>
                        <w:br/>
                        <w:t>Note:</w:t>
                      </w:r>
                      <w:r w:rsidRPr="004824B5">
                        <w:rPr>
                          <w:sz w:val="22"/>
                        </w:rPr>
                        <w:t xml:space="preserve"> From top left, a cell or organism is a genetic resource from which </w:t>
                      </w:r>
                      <w:r>
                        <w:rPr>
                          <w:sz w:val="22"/>
                        </w:rPr>
                        <w:t>material such as genomic DNA (circle) is extracted</w:t>
                      </w:r>
                      <w:r w:rsidRPr="004824B5">
                        <w:rPr>
                          <w:sz w:val="22"/>
                        </w:rPr>
                        <w:t>. The order of bases in the genome is determined by sequencing and the information is stored as a digital sequence. The information may or may not be further modified and a new genome written, or a genome edited, using the digital information. The synthesized DNA is transferred to a living organism (e.g. yeast) for final assembly of large pieces and may be</w:t>
                      </w:r>
                      <w:r w:rsidRPr="004824B5">
                        <w:rPr>
                          <w:sz w:val="20"/>
                        </w:rPr>
                        <w:t xml:space="preserve"> </w:t>
                      </w:r>
                      <w:r w:rsidRPr="004824B5">
                        <w:rPr>
                          <w:sz w:val="22"/>
                        </w:rPr>
                        <w:t>further transferred to other cells to create a new genetic resource.</w:t>
                      </w:r>
                    </w:p>
                    <w:p w14:paraId="4C0AAA84" w14:textId="77777777" w:rsidR="00F63D94" w:rsidRPr="004824B5" w:rsidRDefault="00F63D94" w:rsidP="00AB3257">
                      <w:pPr>
                        <w:rPr>
                          <w:sz w:val="22"/>
                        </w:rPr>
                      </w:pPr>
                      <w:r w:rsidRPr="00345B9B">
                        <w:rPr>
                          <w:i/>
                          <w:sz w:val="22"/>
                        </w:rPr>
                        <w:t>Source:</w:t>
                      </w:r>
                      <w:r>
                        <w:rPr>
                          <w:sz w:val="22"/>
                        </w:rPr>
                        <w:t xml:space="preserve"> </w:t>
                      </w:r>
                      <w:r>
                        <w:rPr>
                          <w:sz w:val="22"/>
                        </w:rPr>
                        <w:fldChar w:fldCharType="begin"/>
                      </w:r>
                      <w:r>
                        <w:rPr>
                          <w:sz w:val="22"/>
                        </w:rPr>
                        <w:instrText xml:space="preserve"> ADDIN EN.CITE &lt;EndNote&gt;&lt;Cite&gt;&lt;Author&gt;Gibson&lt;/Author&gt;&lt;Year&gt;2014&lt;/Year&gt;&lt;RecNum&gt;46&lt;/RecNum&gt;&lt;DisplayText&gt;(Gibson, 2014)&lt;/DisplayText&gt;&lt;record&gt;&lt;rec-number&gt;46&lt;/rec-number&gt;&lt;foreign-keys&gt;&lt;key app="EN" db-id="vav00vdrjedrwre5xsc5vxpsx0fp9arstrrf" timestamp="1509420641"&gt;46&lt;/key&gt;&lt;/foreign-keys&gt;&lt;ref-type name="Journal Article"&gt;17&lt;/ref-type&gt;&lt;contributors&gt;&lt;authors&gt;&lt;author&gt;Gibson, D.G.&lt;/author&gt;&lt;/authors&gt;&lt;/contributors&gt;&lt;titles&gt;&lt;title&gt;Programming biological operating systems: genome design, assembly and activation&lt;/title&gt;&lt;secondary-title&gt;Nature Methods&lt;/secondary-title&gt;&lt;alt-title&gt;Nat Method&lt;/alt-title&gt;&lt;/titles&gt;&lt;periodical&gt;&lt;full-title&gt;Nature Methods&lt;/full-title&gt;&lt;abbr-1&gt;Nat Method&lt;/abbr-1&gt;&lt;/periodical&gt;&lt;alt-periodical&gt;&lt;full-title&gt;Nature Methods&lt;/full-title&gt;&lt;abbr-1&gt;Nat Method&lt;/abbr-1&gt;&lt;/alt-periodical&gt;&lt;pages&gt;521-526&lt;/pages&gt;&lt;volume&gt;11&lt;/volume&gt;&lt;dates&gt;&lt;year&gt;2014&lt;/year&gt;&lt;/dates&gt;&lt;urls&gt;&lt;/urls&gt;&lt;/record&gt;&lt;/Cite&gt;&lt;/EndNote&gt;</w:instrText>
                      </w:r>
                      <w:r>
                        <w:rPr>
                          <w:sz w:val="22"/>
                        </w:rPr>
                        <w:fldChar w:fldCharType="separate"/>
                      </w:r>
                      <w:r>
                        <w:rPr>
                          <w:noProof/>
                          <w:sz w:val="22"/>
                        </w:rPr>
                        <w:t>Gibson (2014)</w:t>
                      </w:r>
                      <w:r>
                        <w:rPr>
                          <w:sz w:val="22"/>
                        </w:rPr>
                        <w:fldChar w:fldCharType="end"/>
                      </w:r>
                      <w:r>
                        <w:rPr>
                          <w:sz w:val="22"/>
                        </w:rPr>
                        <w:t>.</w:t>
                      </w:r>
                    </w:p>
                  </w:txbxContent>
                </v:textbox>
                <w10:wrap type="topAndBottom"/>
              </v:shape>
            </w:pict>
          </mc:Fallback>
        </mc:AlternateContent>
      </w:r>
      <w:r w:rsidR="00547C42" w:rsidRPr="00BB430C">
        <w:t xml:space="preserve">The third of these is in computational power for analysis of DNA sequences along with increases in storage and transmission of data. As an indicator of growth in processing power, the number of transistors per chip has been doubling every two years </w:t>
      </w:r>
      <w:r w:rsidR="00BC517D">
        <w:t>until</w:t>
      </w:r>
      <w:r w:rsidR="00547C42" w:rsidRPr="00BB430C">
        <w:t xml:space="preserve"> 2004 </w:t>
      </w:r>
      <w:r w:rsidR="001C037C">
        <w:t>(Waldrop, 2016)</w:t>
      </w:r>
      <w:r w:rsidR="00547C42" w:rsidRPr="00BB430C">
        <w:t xml:space="preserve">. Genomics data </w:t>
      </w:r>
      <w:r w:rsidR="00DF035B">
        <w:t>may</w:t>
      </w:r>
      <w:r w:rsidR="00547C42" w:rsidRPr="00BB430C">
        <w:t xml:space="preserve"> use exabytes</w:t>
      </w:r>
      <w:r w:rsidR="00B00308" w:rsidRPr="00BB430C">
        <w:rPr>
          <w:rStyle w:val="FootnoteReference"/>
          <w:sz w:val="22"/>
          <w:szCs w:val="22"/>
        </w:rPr>
        <w:footnoteReference w:id="18"/>
      </w:r>
      <w:r w:rsidR="00547C42" w:rsidRPr="00BB430C">
        <w:t xml:space="preserve"> of storage by 2025 </w:t>
      </w:r>
      <w:r w:rsidR="001C037C">
        <w:t>(Stephens</w:t>
      </w:r>
      <w:r w:rsidR="001C037C" w:rsidRPr="001C037C">
        <w:rPr>
          <w:i/>
        </w:rPr>
        <w:t xml:space="preserve"> et al.</w:t>
      </w:r>
      <w:r w:rsidR="001C037C">
        <w:t>, 2015)</w:t>
      </w:r>
      <w:r w:rsidR="00547C42" w:rsidRPr="00BB430C">
        <w:t>.</w:t>
      </w:r>
    </w:p>
    <w:p w14:paraId="39FBB914" w14:textId="77777777" w:rsidR="00260C56" w:rsidRPr="00BB430C" w:rsidRDefault="00260C56" w:rsidP="008C18A7">
      <w:pPr>
        <w:pStyle w:val="TableEntry"/>
        <w:spacing w:before="120" w:after="120"/>
      </w:pPr>
    </w:p>
    <w:p w14:paraId="08F8075D" w14:textId="77777777" w:rsidR="00A61D8E" w:rsidRPr="00A43161" w:rsidRDefault="00763A2E" w:rsidP="00DB04CA">
      <w:pPr>
        <w:pStyle w:val="TableEntry"/>
        <w:spacing w:before="120" w:after="120"/>
        <w:rPr>
          <w:b/>
          <w:sz w:val="24"/>
          <w:szCs w:val="24"/>
        </w:rPr>
      </w:pPr>
      <w:r w:rsidRPr="00A43161">
        <w:rPr>
          <w:b/>
          <w:sz w:val="24"/>
          <w:szCs w:val="24"/>
        </w:rPr>
        <w:t>1</w:t>
      </w:r>
      <w:r w:rsidR="008C18A7" w:rsidRPr="00A43161">
        <w:rPr>
          <w:b/>
          <w:sz w:val="24"/>
          <w:szCs w:val="24"/>
        </w:rPr>
        <w:t xml:space="preserve">.1 </w:t>
      </w:r>
      <w:r w:rsidR="00A61D8E" w:rsidRPr="00A43161">
        <w:rPr>
          <w:b/>
          <w:sz w:val="24"/>
          <w:szCs w:val="24"/>
        </w:rPr>
        <w:t>Co-evolving technologies</w:t>
      </w:r>
    </w:p>
    <w:p w14:paraId="2E3F3F1F" w14:textId="77777777" w:rsidR="00B00308" w:rsidRPr="00BB430C" w:rsidRDefault="00B00308" w:rsidP="00B00308">
      <w:pPr>
        <w:pStyle w:val="TableEntry"/>
        <w:spacing w:before="120" w:after="120"/>
      </w:pPr>
      <w:r w:rsidRPr="00BB430C">
        <w:t xml:space="preserve">DNA sequencing technology has its origins in the 1970s </w:t>
      </w:r>
      <w:r w:rsidR="001C037C">
        <w:t>(Mardis, 2017)</w:t>
      </w:r>
      <w:r w:rsidRPr="00BB430C">
        <w:t>. For many years sequencing was done on a small scale, was laborious and expensive. Large public and private investments in the genome sequencing projects of the late 1980s fertilized the development of technologies that could affordably deliver the sequence of entire genomes.</w:t>
      </w:r>
    </w:p>
    <w:p w14:paraId="4B6554EA" w14:textId="77777777" w:rsidR="00B00308" w:rsidRPr="00BB430C" w:rsidRDefault="00B00308" w:rsidP="00B00308">
      <w:pPr>
        <w:pStyle w:val="TableEntry"/>
        <w:spacing w:before="120" w:after="120"/>
      </w:pPr>
      <w:r w:rsidRPr="00BB430C">
        <w:t xml:space="preserve">With increased capacity has come decreased cost </w:t>
      </w:r>
      <w:r w:rsidR="001C037C">
        <w:t>(NIH, 2016)</w:t>
      </w:r>
      <w:r w:rsidRPr="00BB430C">
        <w:t>. The first human genome sequence delivered in 2000 is estimated to have cost US</w:t>
      </w:r>
      <w:r w:rsidR="00D20EE0">
        <w:t>D</w:t>
      </w:r>
      <w:r w:rsidRPr="00BB430C">
        <w:t>500</w:t>
      </w:r>
      <w:r w:rsidR="00D20EE0">
        <w:t> </w:t>
      </w:r>
      <w:r w:rsidRPr="00BB430C">
        <w:t>000</w:t>
      </w:r>
      <w:r w:rsidR="00D20EE0">
        <w:t> </w:t>
      </w:r>
      <w:r w:rsidRPr="00BB430C">
        <w:t>000</w:t>
      </w:r>
      <w:r w:rsidR="00D20EE0">
        <w:t>–</w:t>
      </w:r>
      <w:r w:rsidRPr="00BB430C">
        <w:t>1</w:t>
      </w:r>
      <w:r w:rsidR="00D20EE0">
        <w:t> </w:t>
      </w:r>
      <w:r w:rsidRPr="00BB430C">
        <w:t>000</w:t>
      </w:r>
      <w:r w:rsidR="00D20EE0">
        <w:t> </w:t>
      </w:r>
      <w:r w:rsidRPr="00BB430C">
        <w:t>000</w:t>
      </w:r>
      <w:r w:rsidR="00D20EE0">
        <w:t> </w:t>
      </w:r>
      <w:r w:rsidRPr="00BB430C">
        <w:t xml:space="preserve">000. Higher quality data could be produced by 2006 at an estimated cost of only </w:t>
      </w:r>
      <w:r w:rsidR="00D20EE0">
        <w:t>USD</w:t>
      </w:r>
      <w:r w:rsidRPr="00BB430C">
        <w:t>14</w:t>
      </w:r>
      <w:r w:rsidR="00D20EE0">
        <w:t> </w:t>
      </w:r>
      <w:r w:rsidRPr="00BB430C">
        <w:t>000</w:t>
      </w:r>
      <w:r w:rsidR="00D20EE0">
        <w:t> </w:t>
      </w:r>
      <w:r w:rsidRPr="00BB430C">
        <w:t>000</w:t>
      </w:r>
      <w:r w:rsidR="00D20EE0">
        <w:t>–</w:t>
      </w:r>
      <w:r w:rsidRPr="00BB430C">
        <w:t>25</w:t>
      </w:r>
      <w:r w:rsidR="00D20EE0">
        <w:t> </w:t>
      </w:r>
      <w:r w:rsidRPr="00BB430C">
        <w:t>000</w:t>
      </w:r>
      <w:r w:rsidR="00D20EE0">
        <w:t> </w:t>
      </w:r>
      <w:r w:rsidRPr="00BB430C">
        <w:t xml:space="preserve">000, and by the end of 2015 it was as low as </w:t>
      </w:r>
      <w:r w:rsidR="00D20EE0">
        <w:t>USD</w:t>
      </w:r>
      <w:r w:rsidRPr="00BB430C">
        <w:t>1</w:t>
      </w:r>
      <w:r w:rsidR="00D20EE0">
        <w:t> </w:t>
      </w:r>
      <w:r w:rsidRPr="00BB430C">
        <w:t>500 per genome.</w:t>
      </w:r>
    </w:p>
    <w:p w14:paraId="097767E2" w14:textId="77777777" w:rsidR="00B00308" w:rsidRPr="00BB430C" w:rsidRDefault="00B00308" w:rsidP="00B00308">
      <w:pPr>
        <w:pStyle w:val="TableEntry"/>
        <w:spacing w:before="120" w:after="120"/>
      </w:pPr>
      <w:r w:rsidRPr="00BB430C">
        <w:t xml:space="preserve">DNA synthesis technology also has its origins around 1970, with the production of molecules called oligomers composed of small numbers of nucleotides </w:t>
      </w:r>
      <w:r w:rsidR="001C037C">
        <w:t>(Amarnarth and Broom, 1977)</w:t>
      </w:r>
      <w:r w:rsidRPr="00BB430C">
        <w:t xml:space="preserve">. This </w:t>
      </w:r>
      <w:r w:rsidRPr="00BB430C">
        <w:lastRenderedPageBreak/>
        <w:t>technology too has improved to where now it is possible to synthesize DNA molecules that correspond to genes (e.g. on the order of over 1</w:t>
      </w:r>
      <w:r w:rsidR="00F464F1">
        <w:t> </w:t>
      </w:r>
      <w:r w:rsidRPr="00BB430C">
        <w:t>000 nucleotides)</w:t>
      </w:r>
      <w:r w:rsidR="00F464F1">
        <w:t>,</w:t>
      </w:r>
      <w:r w:rsidRPr="00BB430C">
        <w:t xml:space="preserve"> which are then connected to make even larger, up to chromosome sized, molecules.</w:t>
      </w:r>
    </w:p>
    <w:p w14:paraId="44D8F888" w14:textId="77777777" w:rsidR="00B00308" w:rsidRPr="00BB430C" w:rsidRDefault="00B00308" w:rsidP="00B00308">
      <w:pPr>
        <w:pStyle w:val="TableEntry"/>
        <w:spacing w:before="120" w:after="120"/>
      </w:pPr>
      <w:r w:rsidRPr="00BB430C">
        <w:t xml:space="preserve">The scale at which information about genetic resources can now be gathered, stored and transmitted is vast compared to even the end of the last </w:t>
      </w:r>
      <w:r w:rsidR="00E231A6">
        <w:t>c</w:t>
      </w:r>
      <w:r w:rsidR="00F464F1" w:rsidRPr="00BB430C">
        <w:t>entury</w:t>
      </w:r>
      <w:r w:rsidRPr="00BB430C">
        <w:t xml:space="preserve">, and capacity is rapidly increasing. As many as 2.5 million plant and animal species </w:t>
      </w:r>
      <w:r w:rsidR="00E2586A">
        <w:t>are expected to</w:t>
      </w:r>
      <w:r w:rsidR="00E2586A" w:rsidRPr="00BB430C">
        <w:t xml:space="preserve"> </w:t>
      </w:r>
      <w:r w:rsidRPr="00BB430C">
        <w:t xml:space="preserve">have complete genome sequences, and between 100 million and 2 billion people </w:t>
      </w:r>
      <w:r w:rsidR="00E2586A">
        <w:t>may</w:t>
      </w:r>
      <w:r w:rsidR="00E2586A" w:rsidRPr="00BB430C">
        <w:t xml:space="preserve"> </w:t>
      </w:r>
      <w:r w:rsidRPr="00BB430C">
        <w:t xml:space="preserve">have their genomes sequenced, by 2025 </w:t>
      </w:r>
      <w:r w:rsidR="001C037C">
        <w:t>(Stephens</w:t>
      </w:r>
      <w:r w:rsidR="001C037C" w:rsidRPr="001C037C">
        <w:rPr>
          <w:i/>
        </w:rPr>
        <w:t xml:space="preserve"> et al.</w:t>
      </w:r>
      <w:r w:rsidR="001C037C">
        <w:t>, 2015)</w:t>
      </w:r>
      <w:r w:rsidRPr="00BB430C">
        <w:t xml:space="preserve">. The rate of growth in this capacity, already possibly doubling once every </w:t>
      </w:r>
      <w:r w:rsidR="000F7330">
        <w:t>seven</w:t>
      </w:r>
      <w:r w:rsidR="00F464F1" w:rsidRPr="00BB430C">
        <w:t xml:space="preserve"> </w:t>
      </w:r>
      <w:r w:rsidRPr="00BB430C">
        <w:t>months, portends a future where all genomes may one day be described and variations in them recorded in near real time, globally.</w:t>
      </w:r>
    </w:p>
    <w:p w14:paraId="52C3526C" w14:textId="77777777" w:rsidR="00B00308" w:rsidRPr="00BB430C" w:rsidRDefault="00B00308" w:rsidP="00B00308">
      <w:pPr>
        <w:pStyle w:val="TableEntry"/>
        <w:spacing w:before="120" w:after="120"/>
      </w:pPr>
      <w:r w:rsidRPr="00BB430C">
        <w:t>Costs of synthesis are currently about US</w:t>
      </w:r>
      <w:r w:rsidR="00F46732">
        <w:t>D</w:t>
      </w:r>
      <w:r w:rsidRPr="00BB430C">
        <w:t xml:space="preserve">0.15 per base pair </w:t>
      </w:r>
      <w:r w:rsidR="001C037C">
        <w:t>(Petrone, 2016)</w:t>
      </w:r>
      <w:r w:rsidRPr="00BB430C">
        <w:t xml:space="preserve">. The cost to synthesize the human genome, as a collection of gene sized molecules, would be </w:t>
      </w:r>
      <w:r w:rsidR="00F46732">
        <w:t>USD</w:t>
      </w:r>
      <w:r w:rsidRPr="00BB430C">
        <w:t>450</w:t>
      </w:r>
      <w:r w:rsidR="00B90D1D">
        <w:t> </w:t>
      </w:r>
      <w:r w:rsidRPr="00BB430C">
        <w:t>000</w:t>
      </w:r>
      <w:r w:rsidR="00B90D1D">
        <w:t> </w:t>
      </w:r>
      <w:r w:rsidRPr="00BB430C">
        <w:t xml:space="preserve">000. This would not include the cost of assembling the fragments into a whole genome. Not only is the synthesis cost prohibitive, but presently the assembly would be unmanageable </w:t>
      </w:r>
      <w:r w:rsidR="001C037C">
        <w:t>(Perkel, 2017)</w:t>
      </w:r>
      <w:r w:rsidRPr="00BB430C">
        <w:t>.</w:t>
      </w:r>
    </w:p>
    <w:p w14:paraId="2A3DCAFC" w14:textId="77777777" w:rsidR="00B00308" w:rsidRPr="00BB430C" w:rsidRDefault="00B00308" w:rsidP="00B00308">
      <w:pPr>
        <w:pStyle w:val="TableEntry"/>
        <w:spacing w:before="120" w:after="120"/>
      </w:pPr>
      <w:r w:rsidRPr="00BB430C">
        <w:t xml:space="preserve">Nevertheless, there is growing evidence that in time technological advancements will overcome barriers to the construction of viruses and organisms using only DSI. Small genomes can be synthesized either entirely or in large parts that are then assembled in yeast cells in the laboratory </w:t>
      </w:r>
      <w:r w:rsidR="001C037C">
        <w:t>(Perkel, 2017)</w:t>
      </w:r>
      <w:r w:rsidRPr="00BB430C">
        <w:t xml:space="preserve">. The complete synthesis of five chromosomes of the yeast </w:t>
      </w:r>
      <w:r w:rsidRPr="00BB430C">
        <w:rPr>
          <w:i/>
        </w:rPr>
        <w:t>Saccharomyces cerevisiae</w:t>
      </w:r>
      <w:r w:rsidRPr="00BB430C">
        <w:t xml:space="preserve"> is evidence that even larger genomes may soon be assembled, if not outright synthesized </w:t>
      </w:r>
      <w:r w:rsidR="001C037C">
        <w:t>(Richardson</w:t>
      </w:r>
      <w:r w:rsidR="001C037C" w:rsidRPr="001C037C">
        <w:rPr>
          <w:i/>
        </w:rPr>
        <w:t xml:space="preserve"> et al.</w:t>
      </w:r>
      <w:r w:rsidR="001C037C">
        <w:t>, 2017)</w:t>
      </w:r>
      <w:r w:rsidRPr="00BB430C">
        <w:t>.</w:t>
      </w:r>
    </w:p>
    <w:p w14:paraId="1FA0DF8B" w14:textId="77777777" w:rsidR="00B00308" w:rsidRPr="00BB430C" w:rsidRDefault="00B00308" w:rsidP="00B00308">
      <w:pPr>
        <w:pStyle w:val="TableEntry"/>
        <w:spacing w:before="120" w:after="120"/>
      </w:pPr>
      <w:r w:rsidRPr="00BB430C">
        <w:t>Not just genomes but also obtaining other material necessary for a virus or cellular organism</w:t>
      </w:r>
      <w:r w:rsidR="00BC517D">
        <w:t xml:space="preserve"> to reproduce</w:t>
      </w:r>
      <w:r w:rsidRPr="00BB430C">
        <w:t xml:space="preserve"> is becoming more independent of possessing the original biological material </w:t>
      </w:r>
      <w:r w:rsidR="001C037C">
        <w:t>(Jewett and Forster, 2010; Gibson, 2014)</w:t>
      </w:r>
      <w:r w:rsidRPr="00BB430C">
        <w:t xml:space="preserve">. Indeed, the history of work on this extends back many decades. In the 1960s, researchers isolated and purified </w:t>
      </w:r>
      <w:r w:rsidRPr="00BB430C">
        <w:rPr>
          <w:i/>
        </w:rPr>
        <w:t>in vivo</w:t>
      </w:r>
      <w:r w:rsidRPr="00BB430C">
        <w:t xml:space="preserve"> synthesized T4 and</w:t>
      </w:r>
      <w:r w:rsidR="0066574C">
        <w:t xml:space="preserve"> lambda</w:t>
      </w:r>
      <w:r w:rsidRPr="00BB430C">
        <w:t xml:space="preserve"> </w:t>
      </w:r>
      <w:r w:rsidR="0066574C">
        <w:t xml:space="preserve">(λ) </w:t>
      </w:r>
      <w:r w:rsidRPr="00BB430C">
        <w:t xml:space="preserve">viral genomes and mixed them together with isolated and purified viral coat proteins to reconstitute viruses </w:t>
      </w:r>
      <w:r w:rsidRPr="00E2586A">
        <w:rPr>
          <w:i/>
        </w:rPr>
        <w:t>in vitro</w:t>
      </w:r>
      <w:r w:rsidRPr="00BB430C">
        <w:t xml:space="preserve"> </w:t>
      </w:r>
      <w:r w:rsidR="001C037C">
        <w:t>(Edgar and Wood, 1966; Weigle, 1966; Kaiser and Masuda, 1973)</w:t>
      </w:r>
      <w:r w:rsidRPr="00BB430C">
        <w:t>. By 2002, the 7</w:t>
      </w:r>
      <w:r w:rsidR="00B90D1D">
        <w:t> </w:t>
      </w:r>
      <w:r w:rsidRPr="00BB430C">
        <w:t xml:space="preserve">500 RNA nucleotides long poliovirus genome was synthesized. To recreate the viral genome, the researchers assembled together shorter synthesized DNA molecules </w:t>
      </w:r>
      <w:r w:rsidR="001C037C">
        <w:t>(Wimmer, 2006)</w:t>
      </w:r>
      <w:r w:rsidRPr="00BB430C">
        <w:t xml:space="preserve">. The RNA genome was synthesized using enzymes that </w:t>
      </w:r>
      <w:r w:rsidR="00E2586A">
        <w:t>assemble RNA polymers from DNA “templates”</w:t>
      </w:r>
      <w:r w:rsidRPr="00BB430C">
        <w:t xml:space="preserve">. The RNA genome was combined together in a test tube with the enzymes that increased the number of RNA genomes and </w:t>
      </w:r>
      <w:r w:rsidR="00B90D1D">
        <w:t>that</w:t>
      </w:r>
      <w:r w:rsidR="00B90D1D" w:rsidRPr="00BB430C">
        <w:t xml:space="preserve"> </w:t>
      </w:r>
      <w:r w:rsidRPr="00BB430C">
        <w:t xml:space="preserve">use RNA to construct proteins. This mixture was able to produce infectious viral particles </w:t>
      </w:r>
      <w:r w:rsidR="001C037C">
        <w:t>(Wimmer, 2006)</w:t>
      </w:r>
      <w:r w:rsidRPr="00BB430C">
        <w:t>.</w:t>
      </w:r>
    </w:p>
    <w:p w14:paraId="79ACA199" w14:textId="77777777" w:rsidR="00B00308" w:rsidRPr="00BB430C" w:rsidRDefault="00B00308" w:rsidP="00B00308">
      <w:pPr>
        <w:pStyle w:val="TableEntry"/>
        <w:spacing w:before="120" w:after="120"/>
      </w:pPr>
      <w:r w:rsidRPr="00BB430C">
        <w:t xml:space="preserve">The critical role of DSI in the reconstruction of the poliovirus was emphasized retrospectively by one of the researchers. “Our experiment has thus overthrown one axiom in biology—namely, that the proliferation of cells or, for that matter, viruses depends on the physical presence of a functional genome to instruct the replication process. It was believed that without parental genomes, no daughter cells or progeny viruses would arise. We have broken this fundamental law of biology by reducing poliovirus to a chemical entity, </w:t>
      </w:r>
      <w:r w:rsidRPr="00BB430C">
        <w:rPr>
          <w:i/>
        </w:rPr>
        <w:t>which can be synthesized on the basis of information stored in the public domain</w:t>
      </w:r>
      <w:r w:rsidRPr="00BB430C">
        <w:t xml:space="preserve">—an experimental proof of principle that is applicable to the synthesis of all viruses” </w:t>
      </w:r>
      <w:r w:rsidR="001C037C">
        <w:t>(emphasis added to Wimmer, 2006)</w:t>
      </w:r>
      <w:r w:rsidRPr="00BB430C">
        <w:t xml:space="preserve">. Since then, several other viruses have been reconstructed in this way </w:t>
      </w:r>
      <w:r w:rsidR="001C037C">
        <w:t>(Wimmer, 2006)</w:t>
      </w:r>
      <w:r w:rsidR="00E2586A">
        <w:t xml:space="preserve"> indicating that this proof of principle could be extended to viruses relevant to GRFA</w:t>
      </w:r>
      <w:r w:rsidRPr="00BB430C">
        <w:t xml:space="preserve">. </w:t>
      </w:r>
    </w:p>
    <w:p w14:paraId="6EC05D12" w14:textId="77777777" w:rsidR="00B00308" w:rsidRPr="00BB430C" w:rsidRDefault="00B00308" w:rsidP="00B00308">
      <w:pPr>
        <w:pStyle w:val="TableEntry"/>
        <w:spacing w:before="120" w:after="120"/>
      </w:pPr>
      <w:r w:rsidRPr="00BB430C">
        <w:t xml:space="preserve">In the case of poliovirus reconstruction, the enzymes needed for the production of the virus particle were isolated from human cells. This step may not be necessary in the future. Machines such as the “digital-to-biological converter” that are now being tested can, from a mix of precursor molecules and an electronic DNA sequence, synthesize new DNA genomes and the proteins </w:t>
      </w:r>
      <w:r w:rsidR="001C037C">
        <w:t>(Boles</w:t>
      </w:r>
      <w:r w:rsidR="001C037C" w:rsidRPr="001C037C">
        <w:rPr>
          <w:i/>
        </w:rPr>
        <w:t xml:space="preserve"> et al.</w:t>
      </w:r>
      <w:r w:rsidR="001C037C">
        <w:t>, 2017)</w:t>
      </w:r>
      <w:r w:rsidRPr="00BB430C">
        <w:t xml:space="preserve">. The converter “receives digitally transmitted DNA sequence information and converts it into biopolymers, such as DNA, RNA and proteins, as well as complex entities such as viral particles, without any human intervention” </w:t>
      </w:r>
      <w:r w:rsidR="001C037C">
        <w:t>(Boles</w:t>
      </w:r>
      <w:r w:rsidR="001C037C" w:rsidRPr="001C037C">
        <w:rPr>
          <w:i/>
        </w:rPr>
        <w:t xml:space="preserve"> et al.</w:t>
      </w:r>
      <w:r w:rsidR="001C037C">
        <w:t>, 2017)</w:t>
      </w:r>
      <w:r w:rsidRPr="00BB430C">
        <w:t>.</w:t>
      </w:r>
    </w:p>
    <w:p w14:paraId="64BF6A5B" w14:textId="77777777" w:rsidR="00B00308" w:rsidRPr="00BB430C" w:rsidRDefault="00B00308" w:rsidP="00B00308">
      <w:pPr>
        <w:pStyle w:val="TableEntry"/>
        <w:spacing w:before="120" w:after="120"/>
      </w:pPr>
      <w:r w:rsidRPr="00DF156D">
        <w:rPr>
          <w:i/>
        </w:rPr>
        <w:t>De novo</w:t>
      </w:r>
      <w:r w:rsidRPr="00BB430C">
        <w:t xml:space="preserve"> synthesis from DSI is neither always the intention nor the most important new technology. Instead, the technology of gene editing, where an existing genome can be converted incrementally to conform to a new design </w:t>
      </w:r>
      <w:r w:rsidR="001C037C">
        <w:t>(Chari and Church, 2017; Perkel, 2017)</w:t>
      </w:r>
      <w:r w:rsidRPr="00BB430C">
        <w:t xml:space="preserve">, will likely be </w:t>
      </w:r>
      <w:r w:rsidRPr="00BB430C">
        <w:lastRenderedPageBreak/>
        <w:t>the more common application of DSI at least in</w:t>
      </w:r>
      <w:r w:rsidR="00AF184A">
        <w:t>to</w:t>
      </w:r>
      <w:r w:rsidRPr="00BB430C">
        <w:t xml:space="preserve"> the foreseeable future. Its generality was demonstrated by changing multiple occurrences of a particular DNA sequence </w:t>
      </w:r>
      <w:r w:rsidRPr="00AF184A">
        <w:rPr>
          <w:i/>
        </w:rPr>
        <w:t>in vivo</w:t>
      </w:r>
      <w:r w:rsidRPr="00BB430C">
        <w:t xml:space="preserve">. The DNA sequence TAG was changed at 321 separate locations in the bacterium </w:t>
      </w:r>
      <w:r w:rsidRPr="00BB430C">
        <w:rPr>
          <w:i/>
        </w:rPr>
        <w:t>Escherichia coli</w:t>
      </w:r>
      <w:r w:rsidRPr="00BB430C">
        <w:t xml:space="preserve"> genome using short “mutagenic” DNA molecules, making it possible to now assign the sequence code TAG to a new kind of amino acid for incorporation into proteins </w:t>
      </w:r>
      <w:r w:rsidR="001C037C">
        <w:t>(Gallagher</w:t>
      </w:r>
      <w:r w:rsidR="001C037C" w:rsidRPr="001C037C">
        <w:rPr>
          <w:i/>
        </w:rPr>
        <w:t xml:space="preserve"> et al.</w:t>
      </w:r>
      <w:r w:rsidR="001C037C">
        <w:t>, 2014)</w:t>
      </w:r>
      <w:r w:rsidRPr="00BB430C">
        <w:t>.</w:t>
      </w:r>
    </w:p>
    <w:p w14:paraId="1E6017C7" w14:textId="77777777" w:rsidR="00B00308" w:rsidRPr="00BB430C" w:rsidRDefault="00B00308" w:rsidP="00B00308">
      <w:pPr>
        <w:pStyle w:val="TableEntry"/>
        <w:spacing w:before="120" w:after="120"/>
      </w:pPr>
      <w:r w:rsidRPr="00BB430C">
        <w:t xml:space="preserve">Gene editing can be applied to GRFA. These techniques have been used to create new traits in plants. This can be used to increase the efficiency of insertion of transgenes or to modify existing alleles based on the DNA sequences in other species. For example, using a technique called </w:t>
      </w:r>
      <w:r w:rsidR="00B90D1D">
        <w:t>o</w:t>
      </w:r>
      <w:r w:rsidR="00B90D1D" w:rsidRPr="00BB430C">
        <w:t>ligonucleotide-</w:t>
      </w:r>
      <w:r w:rsidR="00B90D1D">
        <w:t>d</w:t>
      </w:r>
      <w:r w:rsidR="00B90D1D" w:rsidRPr="00BB430C">
        <w:t xml:space="preserve">irected </w:t>
      </w:r>
      <w:r w:rsidR="00B90D1D">
        <w:t>m</w:t>
      </w:r>
      <w:r w:rsidR="00B90D1D" w:rsidRPr="00BB430C">
        <w:t xml:space="preserve">utagenesis </w:t>
      </w:r>
      <w:r w:rsidR="00B90D1D">
        <w:t>(</w:t>
      </w:r>
      <w:r w:rsidRPr="00BB430C">
        <w:t>ODM</w:t>
      </w:r>
      <w:r w:rsidR="00B90D1D">
        <w:t>)</w:t>
      </w:r>
      <w:r w:rsidRPr="00BB430C">
        <w:t xml:space="preserve">, herbicide resistance traits were introduced into canola and flax </w:t>
      </w:r>
      <w:r w:rsidR="001C037C">
        <w:t>(Songstad</w:t>
      </w:r>
      <w:r w:rsidR="001C037C" w:rsidRPr="001C037C">
        <w:rPr>
          <w:i/>
        </w:rPr>
        <w:t xml:space="preserve"> et al.</w:t>
      </w:r>
      <w:r w:rsidR="001C037C">
        <w:t>, 2017)</w:t>
      </w:r>
      <w:r w:rsidRPr="00BB430C">
        <w:t>.</w:t>
      </w:r>
    </w:p>
    <w:p w14:paraId="677CE44A" w14:textId="77777777" w:rsidR="00B00308" w:rsidRPr="00BB430C" w:rsidRDefault="00B00308" w:rsidP="00B00308">
      <w:pPr>
        <w:pStyle w:val="TableEntry"/>
        <w:spacing w:before="120" w:after="120"/>
      </w:pPr>
      <w:r w:rsidRPr="00BB430C">
        <w:t>Complementing the changes in DNA reading and writing, and the physical information technology infrastructure, ha</w:t>
      </w:r>
      <w:r w:rsidR="00B90D1D">
        <w:t>ve</w:t>
      </w:r>
      <w:r w:rsidRPr="00BB430C">
        <w:t xml:space="preserve"> been changes in bioinformatics, the science of working with biological information</w:t>
      </w:r>
      <w:r w:rsidR="006F55F0">
        <w:t xml:space="preserve"> </w:t>
      </w:r>
      <w:r w:rsidR="001C037C">
        <w:t>(Oldham, 2009; Lidder and Sonnino, 2011)</w:t>
      </w:r>
      <w:r w:rsidRPr="00BB430C">
        <w:t xml:space="preserve">. Bioinformatics, including genomics and synthetic biology, has been more than a field in which DNA sequences are compared. Within this sector has emerged a culture of large shared databases, tools and software for collaborative work. </w:t>
      </w:r>
    </w:p>
    <w:p w14:paraId="3D4ED129" w14:textId="77777777" w:rsidR="00A61D8E" w:rsidRDefault="00B00308" w:rsidP="00B00308">
      <w:pPr>
        <w:pStyle w:val="TableEntry"/>
        <w:spacing w:before="120" w:after="120"/>
      </w:pPr>
      <w:r w:rsidRPr="00BB430C">
        <w:t xml:space="preserve">The synergy of the changes in the technologies and culture of working with large datasets discussed in this section have reduced costs and increased capacity in genome sequencing and DNA synthesis. Nevertheless, the direct costs, infrastructure requirements and training will remain significant barriers to those in developing countries </w:t>
      </w:r>
      <w:r w:rsidR="001C037C">
        <w:t>(Helmy</w:t>
      </w:r>
      <w:r w:rsidR="001C037C" w:rsidRPr="001C037C">
        <w:rPr>
          <w:i/>
        </w:rPr>
        <w:t xml:space="preserve"> et al.</w:t>
      </w:r>
      <w:r w:rsidR="001C037C">
        <w:t>, 2016)</w:t>
      </w:r>
      <w:r w:rsidRPr="00BB430C">
        <w:t>.</w:t>
      </w:r>
      <w:r w:rsidR="00A61D8E" w:rsidRPr="00BB430C">
        <w:t xml:space="preserve"> </w:t>
      </w:r>
    </w:p>
    <w:p w14:paraId="13BAE96A" w14:textId="77777777" w:rsidR="00271BA9" w:rsidRPr="00BB430C" w:rsidRDefault="00271BA9" w:rsidP="008C18A7">
      <w:pPr>
        <w:pStyle w:val="TableEntry"/>
        <w:spacing w:before="120" w:after="120"/>
      </w:pPr>
    </w:p>
    <w:p w14:paraId="049940FB" w14:textId="77777777" w:rsidR="00A61D8E" w:rsidRPr="00796F66" w:rsidRDefault="00763A2E" w:rsidP="00DB04CA">
      <w:pPr>
        <w:pStyle w:val="TableEntry"/>
        <w:spacing w:before="120" w:after="120"/>
        <w:rPr>
          <w:b/>
          <w:sz w:val="24"/>
          <w:szCs w:val="24"/>
        </w:rPr>
      </w:pPr>
      <w:r w:rsidRPr="00796F66">
        <w:rPr>
          <w:b/>
          <w:sz w:val="24"/>
          <w:szCs w:val="24"/>
        </w:rPr>
        <w:t>1.2</w:t>
      </w:r>
      <w:r w:rsidR="008C18A7" w:rsidRPr="00796F66">
        <w:rPr>
          <w:b/>
          <w:sz w:val="24"/>
          <w:szCs w:val="24"/>
        </w:rPr>
        <w:t xml:space="preserve"> </w:t>
      </w:r>
      <w:r w:rsidR="00A61D8E" w:rsidRPr="00796F66">
        <w:rPr>
          <w:b/>
          <w:sz w:val="24"/>
          <w:szCs w:val="24"/>
        </w:rPr>
        <w:t>Interchangeability</w:t>
      </w:r>
      <w:r w:rsidR="00296EEA" w:rsidRPr="00796F66">
        <w:rPr>
          <w:b/>
          <w:sz w:val="24"/>
          <w:szCs w:val="24"/>
        </w:rPr>
        <w:t xml:space="preserve"> of material</w:t>
      </w:r>
      <w:r w:rsidR="001F2258">
        <w:rPr>
          <w:rFonts w:eastAsia="Calibri"/>
          <w:bCs/>
          <w:vertAlign w:val="superscript"/>
          <w:lang w:eastAsia="en-US"/>
        </w:rPr>
        <w:t>6</w:t>
      </w:r>
    </w:p>
    <w:p w14:paraId="065E9CE0" w14:textId="77777777" w:rsidR="00B00308" w:rsidRPr="00BB430C" w:rsidRDefault="00B00308" w:rsidP="00B00308">
      <w:pPr>
        <w:pStyle w:val="TableEntry"/>
        <w:spacing w:before="120" w:after="120"/>
      </w:pPr>
      <w:r w:rsidRPr="00BB430C">
        <w:t xml:space="preserve">Bioinformatics has been applied to extracting information from both DNA sequences and the scientific literature </w:t>
      </w:r>
      <w:r w:rsidR="001C037C">
        <w:t>(Al-Aamri</w:t>
      </w:r>
      <w:r w:rsidR="001C037C" w:rsidRPr="001C037C">
        <w:rPr>
          <w:i/>
        </w:rPr>
        <w:t xml:space="preserve"> et al.</w:t>
      </w:r>
      <w:r w:rsidR="001C037C">
        <w:t>, 2017)</w:t>
      </w:r>
      <w:r w:rsidRPr="00BB430C">
        <w:t xml:space="preserve">. These kinds of information can be presented in very different ways, ranging from highly structured to unstructured. They can also be carried by different media, from DNA molecules, to written text, to electronic media. Still, the informational content can be studied using a shared </w:t>
      </w:r>
      <w:r w:rsidR="00D6412D">
        <w:t>approach in the discipline of</w:t>
      </w:r>
      <w:r w:rsidR="00B90D1D">
        <w:t xml:space="preserve"> </w:t>
      </w:r>
      <w:r w:rsidRPr="00BB430C">
        <w:t>bioinformatics</w:t>
      </w:r>
      <w:r w:rsidR="00D6412D">
        <w:t xml:space="preserve"> (Luscombe</w:t>
      </w:r>
      <w:r w:rsidR="00D6412D" w:rsidRPr="00D6412D">
        <w:rPr>
          <w:i/>
        </w:rPr>
        <w:t xml:space="preserve"> et al.</w:t>
      </w:r>
      <w:r w:rsidR="00D6412D">
        <w:t>, 2001)</w:t>
      </w:r>
      <w:r w:rsidRPr="00BB430C">
        <w:t>.</w:t>
      </w:r>
    </w:p>
    <w:p w14:paraId="76B4FFFC" w14:textId="77777777" w:rsidR="00B00308" w:rsidRPr="00BB430C" w:rsidRDefault="00B00308" w:rsidP="00BB430C">
      <w:pPr>
        <w:pStyle w:val="TableEntry"/>
        <w:spacing w:before="120" w:after="120"/>
      </w:pPr>
      <w:r w:rsidRPr="00BB430C">
        <w:t>DNA sequence information, in the form of DSI, is</w:t>
      </w:r>
      <w:r w:rsidR="0029421E">
        <w:t xml:space="preserve"> transferable</w:t>
      </w:r>
      <w:r w:rsidRPr="00BB430C">
        <w:t xml:space="preserve"> between the DNA molecules of organisms, to the media of electronic storage and transmission, and back to molecules of DNA </w:t>
      </w:r>
      <w:r w:rsidR="001C037C">
        <w:t>(Boles</w:t>
      </w:r>
      <w:r w:rsidR="001C037C" w:rsidRPr="001C037C">
        <w:rPr>
          <w:i/>
        </w:rPr>
        <w:t xml:space="preserve"> et al.</w:t>
      </w:r>
      <w:r w:rsidR="001C037C">
        <w:t>, 2017)</w:t>
      </w:r>
      <w:r w:rsidRPr="00BB430C">
        <w:t>.</w:t>
      </w:r>
      <w:r w:rsidR="0029421E">
        <w:t xml:space="preserve"> These different kinds of material are interchangeable for holding information.</w:t>
      </w:r>
      <w:r w:rsidRPr="00BB430C">
        <w:t xml:space="preserve"> Information is</w:t>
      </w:r>
      <w:r w:rsidR="0029421E">
        <w:t xml:space="preserve"> thus</w:t>
      </w:r>
      <w:r w:rsidRPr="00BB430C">
        <w:t xml:space="preserve"> fungible, allowing value to be created from biological material without access to the biological</w:t>
      </w:r>
      <w:r w:rsidR="00A71353">
        <w:t xml:space="preserve"> genetic</w:t>
      </w:r>
      <w:r w:rsidRPr="00BB430C">
        <w:t xml:space="preserve"> material in a laboratory, environment or country.</w:t>
      </w:r>
    </w:p>
    <w:p w14:paraId="18CD52BF" w14:textId="77777777" w:rsidR="00271BA9" w:rsidRPr="00BB430C" w:rsidRDefault="0029421E" w:rsidP="00B00308">
      <w:pPr>
        <w:pStyle w:val="TableEntry"/>
        <w:spacing w:before="120" w:after="120"/>
      </w:pPr>
      <w:r>
        <w:t>In addition</w:t>
      </w:r>
      <w:r w:rsidR="00B00308" w:rsidRPr="00BB430C">
        <w:t>, information may be used in ways that are special to the medium, whether that be electronic or biological</w:t>
      </w:r>
      <w:r>
        <w:t>. A DNA molecule of a particular nucleotide sequence can be used in ways that an electronic medium of equivalent informational content about the sequence cannot be, and vice versa.</w:t>
      </w:r>
      <w:r w:rsidR="00B00308" w:rsidRPr="00BB430C">
        <w:t xml:space="preserve"> </w:t>
      </w:r>
      <w:r>
        <w:t>The</w:t>
      </w:r>
      <w:r w:rsidR="00B00308" w:rsidRPr="00BB430C">
        <w:t xml:space="preserve"> actual or potential value</w:t>
      </w:r>
      <w:r>
        <w:t xml:space="preserve"> of these two material forms of the same information</w:t>
      </w:r>
      <w:r w:rsidR="00B00308" w:rsidRPr="00BB430C">
        <w:t xml:space="preserve"> may vary according to whether it is coupled or uncoupled</w:t>
      </w:r>
      <w:r w:rsidR="00A71353">
        <w:t xml:space="preserve"> (“dematerialized”)</w:t>
      </w:r>
      <w:r w:rsidR="00B00308" w:rsidRPr="00BB430C">
        <w:t xml:space="preserve"> from biological</w:t>
      </w:r>
      <w:r w:rsidR="00A71353">
        <w:t xml:space="preserve"> genetic</w:t>
      </w:r>
      <w:r w:rsidR="00B00308" w:rsidRPr="00BB430C">
        <w:t xml:space="preserve"> material.</w:t>
      </w:r>
    </w:p>
    <w:p w14:paraId="17EC27F4" w14:textId="77777777" w:rsidR="00BB430C" w:rsidRPr="00BB430C" w:rsidRDefault="00BB430C" w:rsidP="00DB04CA">
      <w:pPr>
        <w:pStyle w:val="TableEntry"/>
        <w:spacing w:before="120" w:after="120"/>
      </w:pPr>
    </w:p>
    <w:p w14:paraId="59C588D1" w14:textId="77777777" w:rsidR="00A61D8E" w:rsidRPr="00796F66" w:rsidRDefault="00763A2E" w:rsidP="00DB04CA">
      <w:pPr>
        <w:pStyle w:val="TableEntry"/>
        <w:spacing w:before="120" w:after="120"/>
        <w:rPr>
          <w:b/>
          <w:sz w:val="24"/>
          <w:szCs w:val="24"/>
        </w:rPr>
      </w:pPr>
      <w:r w:rsidRPr="00796F66">
        <w:rPr>
          <w:b/>
          <w:sz w:val="24"/>
          <w:szCs w:val="24"/>
        </w:rPr>
        <w:t>1.3</w:t>
      </w:r>
      <w:r w:rsidR="008C18A7" w:rsidRPr="00796F66">
        <w:rPr>
          <w:b/>
          <w:sz w:val="24"/>
          <w:szCs w:val="24"/>
        </w:rPr>
        <w:t xml:space="preserve"> </w:t>
      </w:r>
      <w:r w:rsidR="00A61D8E" w:rsidRPr="00796F66">
        <w:rPr>
          <w:b/>
          <w:sz w:val="24"/>
          <w:szCs w:val="24"/>
        </w:rPr>
        <w:t>What</w:t>
      </w:r>
      <w:r w:rsidR="00E231A6">
        <w:rPr>
          <w:b/>
          <w:sz w:val="24"/>
          <w:szCs w:val="24"/>
        </w:rPr>
        <w:t xml:space="preserve"> i</w:t>
      </w:r>
      <w:r w:rsidR="00A61D8E" w:rsidRPr="00796F66">
        <w:rPr>
          <w:b/>
          <w:sz w:val="24"/>
          <w:szCs w:val="24"/>
        </w:rPr>
        <w:t>s next</w:t>
      </w:r>
    </w:p>
    <w:p w14:paraId="0A1E9737" w14:textId="77777777" w:rsidR="00E50979" w:rsidRDefault="00516C73" w:rsidP="00E50979">
      <w:pPr>
        <w:spacing w:after="120"/>
        <w:rPr>
          <w:noProof/>
          <w:sz w:val="22"/>
          <w:szCs w:val="22"/>
        </w:rPr>
      </w:pPr>
      <w:r>
        <w:rPr>
          <w:noProof/>
          <w:sz w:val="22"/>
          <w:szCs w:val="22"/>
        </w:rPr>
        <w:t xml:space="preserve">This report summarizes the findings of the study examining terms associated with DSI to assist policy-makers and others to </w:t>
      </w:r>
      <w:r w:rsidR="00E26D3A">
        <w:rPr>
          <w:noProof/>
          <w:sz w:val="22"/>
          <w:szCs w:val="22"/>
        </w:rPr>
        <w:t xml:space="preserve">identify similarities and differences in how different </w:t>
      </w:r>
      <w:r w:rsidR="00302058">
        <w:rPr>
          <w:noProof/>
          <w:sz w:val="22"/>
          <w:szCs w:val="22"/>
        </w:rPr>
        <w:t xml:space="preserve">speakers </w:t>
      </w:r>
      <w:r w:rsidR="00E26D3A">
        <w:rPr>
          <w:noProof/>
          <w:sz w:val="22"/>
          <w:szCs w:val="22"/>
        </w:rPr>
        <w:t>may view what is and is not DSI. Recognizing the existence of divergent views, it was a practical necessity to adopt</w:t>
      </w:r>
      <w:r w:rsidR="003D1452">
        <w:rPr>
          <w:noProof/>
          <w:sz w:val="22"/>
          <w:szCs w:val="22"/>
        </w:rPr>
        <w:t xml:space="preserve"> a</w:t>
      </w:r>
      <w:r w:rsidR="00E26D3A">
        <w:rPr>
          <w:noProof/>
          <w:sz w:val="22"/>
          <w:szCs w:val="22"/>
        </w:rPr>
        <w:t xml:space="preserve"> working definition of DSI for use in reporting the findings of the study</w:t>
      </w:r>
      <w:r w:rsidR="00302058">
        <w:rPr>
          <w:noProof/>
          <w:sz w:val="22"/>
          <w:szCs w:val="22"/>
        </w:rPr>
        <w:t xml:space="preserve"> but also important to not impose an arbitrary or prescriptive definition on the international community</w:t>
      </w:r>
      <w:r w:rsidR="00E26D3A">
        <w:rPr>
          <w:noProof/>
          <w:sz w:val="22"/>
          <w:szCs w:val="22"/>
        </w:rPr>
        <w:t xml:space="preserve">. </w:t>
      </w:r>
    </w:p>
    <w:p w14:paraId="529BD1ED" w14:textId="77777777" w:rsidR="00B00308" w:rsidRPr="00BB430C" w:rsidRDefault="00302058" w:rsidP="00E50979">
      <w:pPr>
        <w:spacing w:after="120"/>
        <w:rPr>
          <w:noProof/>
          <w:sz w:val="22"/>
          <w:szCs w:val="22"/>
        </w:rPr>
      </w:pPr>
      <w:r>
        <w:rPr>
          <w:noProof/>
          <w:sz w:val="22"/>
          <w:szCs w:val="22"/>
        </w:rPr>
        <w:t>Consistent with the terms of reference, this</w:t>
      </w:r>
      <w:r w:rsidRPr="00BB430C">
        <w:rPr>
          <w:noProof/>
          <w:sz w:val="22"/>
          <w:szCs w:val="22"/>
        </w:rPr>
        <w:t xml:space="preserve"> </w:t>
      </w:r>
      <w:r w:rsidR="00705DAE">
        <w:rPr>
          <w:noProof/>
          <w:sz w:val="22"/>
          <w:szCs w:val="22"/>
        </w:rPr>
        <w:t>study scoped</w:t>
      </w:r>
      <w:r w:rsidR="00E50979">
        <w:rPr>
          <w:noProof/>
          <w:sz w:val="22"/>
          <w:szCs w:val="22"/>
        </w:rPr>
        <w:t xml:space="preserve"> both current and</w:t>
      </w:r>
      <w:r w:rsidR="00B00308" w:rsidRPr="00BB430C">
        <w:rPr>
          <w:noProof/>
          <w:sz w:val="22"/>
          <w:szCs w:val="22"/>
        </w:rPr>
        <w:t xml:space="preserve"> </w:t>
      </w:r>
      <w:r w:rsidR="00B00308" w:rsidRPr="00BB430C">
        <w:rPr>
          <w:i/>
          <w:noProof/>
          <w:sz w:val="22"/>
          <w:szCs w:val="22"/>
        </w:rPr>
        <w:t>future</w:t>
      </w:r>
      <w:r w:rsidR="00B00308" w:rsidRPr="00BB430C">
        <w:rPr>
          <w:noProof/>
          <w:sz w:val="22"/>
          <w:szCs w:val="22"/>
        </w:rPr>
        <w:t xml:space="preserve"> </w:t>
      </w:r>
      <w:r w:rsidR="00034B57">
        <w:rPr>
          <w:noProof/>
          <w:sz w:val="22"/>
          <w:szCs w:val="22"/>
        </w:rPr>
        <w:t xml:space="preserve">uses of </w:t>
      </w:r>
      <w:r w:rsidR="00B00308" w:rsidRPr="00BB430C">
        <w:rPr>
          <w:noProof/>
          <w:sz w:val="22"/>
          <w:szCs w:val="22"/>
        </w:rPr>
        <w:t>DSI on GRFA</w:t>
      </w:r>
      <w:r w:rsidR="00BE3A22">
        <w:rPr>
          <w:noProof/>
          <w:sz w:val="22"/>
          <w:szCs w:val="22"/>
        </w:rPr>
        <w:t>, with an emphasis on actual or potential contributions to food security and nutrition</w:t>
      </w:r>
      <w:r w:rsidR="00B00308" w:rsidRPr="00BB430C">
        <w:rPr>
          <w:noProof/>
          <w:sz w:val="22"/>
          <w:szCs w:val="22"/>
        </w:rPr>
        <w:t>.</w:t>
      </w:r>
      <w:r>
        <w:rPr>
          <w:noProof/>
          <w:sz w:val="22"/>
          <w:szCs w:val="22"/>
        </w:rPr>
        <w:t xml:space="preserve"> Already and increasingly</w:t>
      </w:r>
      <w:r w:rsidR="00B00308" w:rsidRPr="00BB430C">
        <w:rPr>
          <w:noProof/>
          <w:sz w:val="22"/>
          <w:szCs w:val="22"/>
        </w:rPr>
        <w:t xml:space="preserve"> </w:t>
      </w:r>
      <w:r>
        <w:rPr>
          <w:noProof/>
          <w:sz w:val="22"/>
          <w:szCs w:val="22"/>
        </w:rPr>
        <w:t>i</w:t>
      </w:r>
      <w:r w:rsidRPr="00BB430C">
        <w:rPr>
          <w:noProof/>
          <w:sz w:val="22"/>
          <w:szCs w:val="22"/>
        </w:rPr>
        <w:t xml:space="preserve">n </w:t>
      </w:r>
      <w:r w:rsidR="00B00308" w:rsidRPr="00BB430C">
        <w:rPr>
          <w:noProof/>
          <w:sz w:val="22"/>
          <w:szCs w:val="22"/>
        </w:rPr>
        <w:t xml:space="preserve">the near and long-term future, the tools and techniques applied to </w:t>
      </w:r>
      <w:r w:rsidR="00B00308" w:rsidRPr="00BB430C">
        <w:rPr>
          <w:noProof/>
          <w:sz w:val="22"/>
          <w:szCs w:val="22"/>
        </w:rPr>
        <w:lastRenderedPageBreak/>
        <w:t xml:space="preserve">working with information in DNA sequences will be extended to more biological materials than DNA, as well as more forms of DSI which will be used on GRFA the way that either DNA molecules or DNA sequences </w:t>
      </w:r>
      <w:r>
        <w:rPr>
          <w:noProof/>
          <w:sz w:val="22"/>
          <w:szCs w:val="22"/>
        </w:rPr>
        <w:t>have been</w:t>
      </w:r>
      <w:r w:rsidR="00B00308" w:rsidRPr="00BB430C">
        <w:rPr>
          <w:noProof/>
          <w:sz w:val="22"/>
          <w:szCs w:val="22"/>
        </w:rPr>
        <w:t>.</w:t>
      </w:r>
    </w:p>
    <w:p w14:paraId="3ED14CBC" w14:textId="77777777" w:rsidR="00B00308" w:rsidRDefault="00B00308" w:rsidP="00E50979">
      <w:pPr>
        <w:spacing w:before="120" w:after="120"/>
        <w:rPr>
          <w:noProof/>
          <w:sz w:val="22"/>
          <w:szCs w:val="22"/>
        </w:rPr>
      </w:pPr>
      <w:r w:rsidRPr="00BB430C">
        <w:rPr>
          <w:noProof/>
          <w:sz w:val="22"/>
          <w:szCs w:val="22"/>
        </w:rPr>
        <w:t>The potential implications of the use of DSI on GRFA for the</w:t>
      </w:r>
      <w:r w:rsidR="00E50979">
        <w:rPr>
          <w:noProof/>
          <w:sz w:val="22"/>
          <w:szCs w:val="22"/>
        </w:rPr>
        <w:t xml:space="preserve"> characterization,</w:t>
      </w:r>
      <w:r w:rsidRPr="00BB430C">
        <w:rPr>
          <w:noProof/>
          <w:sz w:val="22"/>
          <w:szCs w:val="22"/>
        </w:rPr>
        <w:t xml:space="preserve"> conservation and sustainable use of GRFA, including exchange, access, and the fair and equitable sharing of the benefits arising from </w:t>
      </w:r>
      <w:r w:rsidR="00E50979">
        <w:rPr>
          <w:noProof/>
          <w:sz w:val="22"/>
          <w:szCs w:val="22"/>
        </w:rPr>
        <w:t>the use of DSI</w:t>
      </w:r>
      <w:r w:rsidRPr="00BB430C">
        <w:rPr>
          <w:noProof/>
          <w:sz w:val="22"/>
          <w:szCs w:val="22"/>
        </w:rPr>
        <w:t xml:space="preserve">, </w:t>
      </w:r>
      <w:r w:rsidR="003D1452">
        <w:rPr>
          <w:noProof/>
          <w:sz w:val="22"/>
          <w:szCs w:val="22"/>
        </w:rPr>
        <w:t>are</w:t>
      </w:r>
      <w:r w:rsidR="003D1452" w:rsidRPr="00BB430C">
        <w:rPr>
          <w:noProof/>
          <w:sz w:val="22"/>
          <w:szCs w:val="22"/>
        </w:rPr>
        <w:t xml:space="preserve"> </w:t>
      </w:r>
      <w:r w:rsidRPr="00BB430C">
        <w:rPr>
          <w:noProof/>
          <w:sz w:val="22"/>
          <w:szCs w:val="22"/>
        </w:rPr>
        <w:t>discussed.</w:t>
      </w:r>
    </w:p>
    <w:p w14:paraId="7E79A7C1" w14:textId="77777777" w:rsidR="00CF00A8" w:rsidRPr="00BB430C" w:rsidRDefault="00CF00A8" w:rsidP="00E50979">
      <w:pPr>
        <w:spacing w:before="120" w:after="120"/>
        <w:rPr>
          <w:noProof/>
          <w:sz w:val="22"/>
          <w:szCs w:val="22"/>
        </w:rPr>
      </w:pPr>
      <w:r>
        <w:rPr>
          <w:noProof/>
          <w:sz w:val="22"/>
          <w:szCs w:val="22"/>
        </w:rPr>
        <w:t xml:space="preserve">Importantly, the use of DSI makes it possible to derive benefit from information about GRFA that can be used in other kinds of organisms or applications, and for information about organisms that are not GRFA to be used on or for the management of GRFA. This report therefore includes study findings </w:t>
      </w:r>
      <w:r w:rsidR="00106717">
        <w:rPr>
          <w:noProof/>
          <w:sz w:val="22"/>
          <w:szCs w:val="22"/>
        </w:rPr>
        <w:t>of GRFA becoming</w:t>
      </w:r>
      <w:r>
        <w:rPr>
          <w:noProof/>
          <w:sz w:val="22"/>
          <w:szCs w:val="22"/>
        </w:rPr>
        <w:t xml:space="preserve"> a source of </w:t>
      </w:r>
      <w:r w:rsidR="00106717">
        <w:rPr>
          <w:noProof/>
          <w:sz w:val="22"/>
          <w:szCs w:val="22"/>
        </w:rPr>
        <w:t>potential new pharmaceutical or industrial products</w:t>
      </w:r>
      <w:r w:rsidR="006E1DED">
        <w:rPr>
          <w:noProof/>
          <w:sz w:val="22"/>
          <w:szCs w:val="22"/>
        </w:rPr>
        <w:t>,</w:t>
      </w:r>
      <w:r w:rsidR="00106717">
        <w:rPr>
          <w:noProof/>
          <w:sz w:val="22"/>
          <w:szCs w:val="22"/>
        </w:rPr>
        <w:t xml:space="preserve"> which constitute new potential income pathways for farmers.</w:t>
      </w:r>
    </w:p>
    <w:p w14:paraId="1C2580B1" w14:textId="77777777" w:rsidR="006B3595" w:rsidRDefault="00B00308" w:rsidP="008D0183">
      <w:pPr>
        <w:spacing w:before="120" w:after="120"/>
        <w:rPr>
          <w:noProof/>
          <w:sz w:val="22"/>
          <w:szCs w:val="22"/>
        </w:rPr>
      </w:pPr>
      <w:r w:rsidRPr="00BB430C">
        <w:rPr>
          <w:noProof/>
          <w:sz w:val="22"/>
          <w:szCs w:val="22"/>
        </w:rPr>
        <w:t>A future looking analysis at the cutting edge of research in a scientific area runs the risk of appearing speculative, of describing science fiction rather than science. The report is therefore built upon concrete examples</w:t>
      </w:r>
      <w:r w:rsidR="00ED7531">
        <w:rPr>
          <w:noProof/>
          <w:sz w:val="22"/>
          <w:szCs w:val="22"/>
        </w:rPr>
        <w:t xml:space="preserve"> in each sub-sector (</w:t>
      </w:r>
      <w:r w:rsidR="00CF48DB">
        <w:rPr>
          <w:noProof/>
          <w:sz w:val="22"/>
          <w:szCs w:val="22"/>
        </w:rPr>
        <w:t>animal</w:t>
      </w:r>
      <w:r w:rsidR="00ED7531">
        <w:rPr>
          <w:noProof/>
          <w:sz w:val="22"/>
          <w:szCs w:val="22"/>
        </w:rPr>
        <w:t xml:space="preserve">, </w:t>
      </w:r>
      <w:r w:rsidR="00CF48DB">
        <w:rPr>
          <w:noProof/>
          <w:sz w:val="22"/>
          <w:szCs w:val="22"/>
        </w:rPr>
        <w:t>aquatic</w:t>
      </w:r>
      <w:r w:rsidR="00ED7531">
        <w:rPr>
          <w:noProof/>
          <w:sz w:val="22"/>
          <w:szCs w:val="22"/>
        </w:rPr>
        <w:t xml:space="preserve">, forest, </w:t>
      </w:r>
      <w:r w:rsidR="00CF48DB">
        <w:rPr>
          <w:noProof/>
          <w:sz w:val="22"/>
          <w:szCs w:val="22"/>
        </w:rPr>
        <w:t>microbial</w:t>
      </w:r>
      <w:r w:rsidR="00ED7531">
        <w:rPr>
          <w:noProof/>
          <w:sz w:val="22"/>
          <w:szCs w:val="22"/>
        </w:rPr>
        <w:t xml:space="preserve"> and plant genetic resources in food and agriculture)</w:t>
      </w:r>
      <w:r w:rsidRPr="00BB430C">
        <w:rPr>
          <w:noProof/>
          <w:sz w:val="22"/>
          <w:szCs w:val="22"/>
        </w:rPr>
        <w:t xml:space="preserve">. The </w:t>
      </w:r>
      <w:r w:rsidR="00ED7531">
        <w:rPr>
          <w:noProof/>
          <w:sz w:val="22"/>
          <w:szCs w:val="22"/>
        </w:rPr>
        <w:t>examples</w:t>
      </w:r>
      <w:r w:rsidR="00ED7531" w:rsidRPr="00BB430C">
        <w:rPr>
          <w:noProof/>
          <w:sz w:val="22"/>
          <w:szCs w:val="22"/>
        </w:rPr>
        <w:t xml:space="preserve"> </w:t>
      </w:r>
      <w:r w:rsidRPr="00BB430C">
        <w:rPr>
          <w:noProof/>
          <w:sz w:val="22"/>
          <w:szCs w:val="22"/>
        </w:rPr>
        <w:t>are not meant to be a comprehensive mapping of DSI on GRFA, but to demonstrate that which is, or nearly is, possible.</w:t>
      </w:r>
    </w:p>
    <w:p w14:paraId="65C6B73A" w14:textId="77777777" w:rsidR="000A446C" w:rsidRPr="008D0183" w:rsidRDefault="006B3595" w:rsidP="008D0183">
      <w:pPr>
        <w:spacing w:after="120"/>
        <w:rPr>
          <w:noProof/>
          <w:sz w:val="22"/>
          <w:szCs w:val="22"/>
        </w:rPr>
      </w:pPr>
      <w:r>
        <w:rPr>
          <w:sz w:val="22"/>
          <w:szCs w:val="22"/>
        </w:rPr>
        <w:t xml:space="preserve">The study upon which this report is based was </w:t>
      </w:r>
      <w:r w:rsidRPr="008D0183">
        <w:rPr>
          <w:i/>
          <w:sz w:val="22"/>
          <w:szCs w:val="22"/>
        </w:rPr>
        <w:t>exploratory</w:t>
      </w:r>
      <w:r>
        <w:rPr>
          <w:sz w:val="22"/>
          <w:szCs w:val="22"/>
        </w:rPr>
        <w:t xml:space="preserve"> and </w:t>
      </w:r>
      <w:r w:rsidR="00E07180" w:rsidRPr="008D0183">
        <w:rPr>
          <w:i/>
          <w:sz w:val="22"/>
          <w:szCs w:val="22"/>
        </w:rPr>
        <w:t>scoping</w:t>
      </w:r>
      <w:r>
        <w:rPr>
          <w:sz w:val="22"/>
          <w:szCs w:val="22"/>
        </w:rPr>
        <w:t xml:space="preserve">. It presents a </w:t>
      </w:r>
      <w:r w:rsidR="006E1DED">
        <w:rPr>
          <w:sz w:val="22"/>
          <w:szCs w:val="22"/>
        </w:rPr>
        <w:t>“</w:t>
      </w:r>
      <w:r>
        <w:rPr>
          <w:sz w:val="22"/>
          <w:szCs w:val="22"/>
        </w:rPr>
        <w:t>big picture</w:t>
      </w:r>
      <w:r w:rsidR="006E1DED">
        <w:rPr>
          <w:sz w:val="22"/>
          <w:szCs w:val="22"/>
        </w:rPr>
        <w:t>”</w:t>
      </w:r>
      <w:r>
        <w:rPr>
          <w:sz w:val="22"/>
          <w:szCs w:val="22"/>
        </w:rPr>
        <w:t xml:space="preserve"> view of </w:t>
      </w:r>
      <w:r w:rsidRPr="00E07180">
        <w:rPr>
          <w:sz w:val="22"/>
          <w:szCs w:val="22"/>
        </w:rPr>
        <w:t>DSI</w:t>
      </w:r>
      <w:r>
        <w:rPr>
          <w:sz w:val="22"/>
          <w:szCs w:val="22"/>
        </w:rPr>
        <w:t xml:space="preserve"> on GRFA, not</w:t>
      </w:r>
      <w:r w:rsidR="003D1452">
        <w:rPr>
          <w:sz w:val="22"/>
          <w:szCs w:val="22"/>
        </w:rPr>
        <w:t xml:space="preserve"> limited to</w:t>
      </w:r>
      <w:r>
        <w:rPr>
          <w:sz w:val="22"/>
          <w:szCs w:val="22"/>
        </w:rPr>
        <w:t xml:space="preserve"> GRFA affected by DSI.</w:t>
      </w:r>
      <w:r w:rsidR="0020628C">
        <w:rPr>
          <w:sz w:val="22"/>
          <w:szCs w:val="22"/>
        </w:rPr>
        <w:t xml:space="preserve"> The examples used throughout this report illustrate the relevance of DSI to food security and nutrition.</w:t>
      </w:r>
      <w:r>
        <w:rPr>
          <w:sz w:val="22"/>
          <w:szCs w:val="22"/>
        </w:rPr>
        <w:t xml:space="preserve"> </w:t>
      </w:r>
      <w:r w:rsidR="00E07180">
        <w:rPr>
          <w:sz w:val="22"/>
          <w:szCs w:val="22"/>
        </w:rPr>
        <w:t>Although a sector</w:t>
      </w:r>
      <w:r w:rsidR="006E1DED">
        <w:rPr>
          <w:sz w:val="22"/>
          <w:szCs w:val="22"/>
        </w:rPr>
        <w:t>-</w:t>
      </w:r>
      <w:r w:rsidR="00E07180">
        <w:rPr>
          <w:sz w:val="22"/>
          <w:szCs w:val="22"/>
        </w:rPr>
        <w:t>by</w:t>
      </w:r>
      <w:r w:rsidR="006E1DED">
        <w:rPr>
          <w:sz w:val="22"/>
          <w:szCs w:val="22"/>
        </w:rPr>
        <w:t>-</w:t>
      </w:r>
      <w:r w:rsidR="00E07180">
        <w:rPr>
          <w:sz w:val="22"/>
          <w:szCs w:val="22"/>
        </w:rPr>
        <w:t>sector analysis was not requested, examples from all sectors are provided. Sub-sector-focused analysis could be useful in the future to answer more detailed questions about DSI on specific kinds of GRFA.</w:t>
      </w:r>
      <w:r>
        <w:rPr>
          <w:sz w:val="22"/>
          <w:szCs w:val="22"/>
        </w:rPr>
        <w:t xml:space="preserve"> </w:t>
      </w:r>
      <w:r w:rsidR="000A446C">
        <w:rPr>
          <w:sz w:val="22"/>
          <w:szCs w:val="22"/>
        </w:rPr>
        <w:t xml:space="preserve">The </w:t>
      </w:r>
      <w:r w:rsidR="0020628C">
        <w:rPr>
          <w:sz w:val="22"/>
          <w:szCs w:val="22"/>
        </w:rPr>
        <w:t>report of the study</w:t>
      </w:r>
      <w:r w:rsidR="000A446C">
        <w:rPr>
          <w:sz w:val="22"/>
          <w:szCs w:val="22"/>
        </w:rPr>
        <w:t xml:space="preserve"> does not present comprehensive and</w:t>
      </w:r>
      <w:r w:rsidR="002B5BB1">
        <w:rPr>
          <w:sz w:val="22"/>
          <w:szCs w:val="22"/>
        </w:rPr>
        <w:t xml:space="preserve"> fully</w:t>
      </w:r>
      <w:r w:rsidR="000A446C">
        <w:rPr>
          <w:sz w:val="22"/>
          <w:szCs w:val="22"/>
        </w:rPr>
        <w:t xml:space="preserve"> detailed information due to</w:t>
      </w:r>
      <w:r w:rsidR="002B5BB1">
        <w:rPr>
          <w:sz w:val="22"/>
          <w:szCs w:val="22"/>
        </w:rPr>
        <w:t xml:space="preserve"> constraints on length. However, its extensive bibliography will guide those interested in more details</w:t>
      </w:r>
      <w:r w:rsidR="000A446C">
        <w:rPr>
          <w:sz w:val="22"/>
          <w:szCs w:val="22"/>
        </w:rPr>
        <w:t xml:space="preserve">. </w:t>
      </w:r>
    </w:p>
    <w:p w14:paraId="13701D5D" w14:textId="77777777" w:rsidR="002E4DDB" w:rsidRPr="00BB430C" w:rsidRDefault="002E4DDB" w:rsidP="00B00308">
      <w:pPr>
        <w:rPr>
          <w:noProof/>
          <w:sz w:val="22"/>
          <w:szCs w:val="22"/>
        </w:rPr>
      </w:pPr>
      <w:r w:rsidRPr="00BB430C">
        <w:rPr>
          <w:sz w:val="22"/>
          <w:szCs w:val="22"/>
        </w:rPr>
        <w:br w:type="page"/>
      </w:r>
    </w:p>
    <w:p w14:paraId="4F2344D6" w14:textId="77777777" w:rsidR="00A61D8E" w:rsidRPr="00796F66" w:rsidRDefault="00A61D8E" w:rsidP="00076763">
      <w:pPr>
        <w:pStyle w:val="TableEntry"/>
        <w:numPr>
          <w:ilvl w:val="0"/>
          <w:numId w:val="5"/>
        </w:numPr>
        <w:spacing w:before="120" w:after="120"/>
        <w:ind w:left="0" w:firstLine="0"/>
        <w:jc w:val="center"/>
        <w:rPr>
          <w:b/>
          <w:caps/>
          <w:sz w:val="24"/>
          <w:szCs w:val="24"/>
        </w:rPr>
      </w:pPr>
      <w:r w:rsidRPr="00796F66">
        <w:rPr>
          <w:b/>
          <w:caps/>
          <w:sz w:val="24"/>
          <w:szCs w:val="24"/>
        </w:rPr>
        <w:lastRenderedPageBreak/>
        <w:t>Terminology and definitions</w:t>
      </w:r>
    </w:p>
    <w:p w14:paraId="1714AD98" w14:textId="77777777" w:rsidR="00B00308" w:rsidRPr="00BB430C" w:rsidRDefault="00B00308" w:rsidP="00B00308">
      <w:pPr>
        <w:pStyle w:val="TableEntry"/>
        <w:spacing w:before="120" w:after="120"/>
      </w:pPr>
      <w:r w:rsidRPr="00BB430C">
        <w:t xml:space="preserve">DSI has no universally agreed definition. This is reflected in decision XIII/16 of the Convention on Biological Diversity (CBD) and the decision of the Commission on Genetic Resources for Food and Agriculture </w:t>
      </w:r>
      <w:r w:rsidR="006E1DED">
        <w:t xml:space="preserve">(CGRFA) </w:t>
      </w:r>
      <w:r w:rsidRPr="00BB430C">
        <w:t>to establish a new work stream on DSI. Both decisions note that “there is recognition that there are a multiplicity of terms that have been used in this area (including, inter alia, “genetic sequence data, “genetic sequence information”, “genetic information”, “dematerialized genetic resources”, “</w:t>
      </w:r>
      <w:r w:rsidRPr="00BB430C">
        <w:rPr>
          <w:i/>
        </w:rPr>
        <w:t>in silico</w:t>
      </w:r>
      <w:r w:rsidRPr="00BB430C">
        <w:t xml:space="preserve"> utilization” and that further consideration is needed regarding the appropriate term or terms to be used” </w:t>
      </w:r>
      <w:r w:rsidR="001C037C">
        <w:t>(paragraph 86</w:t>
      </w:r>
      <w:r w:rsidR="00E231A6">
        <w:t>,</w:t>
      </w:r>
      <w:r w:rsidR="001C037C">
        <w:t xml:space="preserve"> CGRFA, 2017)</w:t>
      </w:r>
      <w:r w:rsidRPr="00BB430C">
        <w:t xml:space="preserve">. </w:t>
      </w:r>
    </w:p>
    <w:p w14:paraId="0F54709F" w14:textId="77777777" w:rsidR="00271BA9" w:rsidRPr="00BB430C" w:rsidRDefault="00B00308" w:rsidP="00B00308">
      <w:pPr>
        <w:pStyle w:val="TableEntry"/>
        <w:spacing w:before="120" w:after="120"/>
      </w:pPr>
      <w:r w:rsidRPr="00BB430C">
        <w:t>How these and related terms are used in the relevant research literature will be described to explore potential implications of the use of DSI on GRFA for the conservation and sustainable use of GRFA, including exchange, access and the fair and equitable sharing of the benefits arising from their use.</w:t>
      </w:r>
    </w:p>
    <w:p w14:paraId="3571336B" w14:textId="77777777" w:rsidR="00BB430C" w:rsidRPr="00BB430C" w:rsidRDefault="00BB430C" w:rsidP="00DB04CA">
      <w:pPr>
        <w:pStyle w:val="TableEntry"/>
        <w:spacing w:before="120" w:after="120"/>
      </w:pPr>
    </w:p>
    <w:p w14:paraId="52CE576D" w14:textId="77777777" w:rsidR="0049559D" w:rsidRPr="00796F66" w:rsidRDefault="007477C6" w:rsidP="00DB04CA">
      <w:pPr>
        <w:pStyle w:val="TableEntry"/>
        <w:spacing w:before="120" w:after="120"/>
        <w:rPr>
          <w:b/>
          <w:sz w:val="24"/>
          <w:szCs w:val="24"/>
        </w:rPr>
      </w:pPr>
      <w:r w:rsidRPr="00796F66">
        <w:rPr>
          <w:b/>
          <w:sz w:val="24"/>
          <w:szCs w:val="24"/>
        </w:rPr>
        <w:t>2</w:t>
      </w:r>
      <w:r w:rsidR="00582928" w:rsidRPr="00796F66">
        <w:rPr>
          <w:b/>
          <w:sz w:val="24"/>
          <w:szCs w:val="24"/>
        </w:rPr>
        <w:t xml:space="preserve">.1 </w:t>
      </w:r>
      <w:r w:rsidR="0049559D" w:rsidRPr="00796F66">
        <w:rPr>
          <w:b/>
          <w:sz w:val="24"/>
          <w:szCs w:val="24"/>
        </w:rPr>
        <w:t>Terminology</w:t>
      </w:r>
    </w:p>
    <w:p w14:paraId="50FCDC58" w14:textId="77777777" w:rsidR="00A61D8E" w:rsidRPr="0049559D" w:rsidRDefault="0049559D" w:rsidP="0049559D">
      <w:pPr>
        <w:pStyle w:val="Heading4"/>
        <w:spacing w:before="120" w:after="120"/>
        <w:rPr>
          <w:rFonts w:ascii="Times New Roman" w:eastAsia="Times New Roman" w:hAnsi="Times New Roman" w:cs="Times New Roman"/>
          <w:iCs w:val="0"/>
          <w:noProof/>
          <w:color w:val="auto"/>
          <w:sz w:val="22"/>
          <w:szCs w:val="22"/>
        </w:rPr>
      </w:pPr>
      <w:r w:rsidRPr="0049559D">
        <w:rPr>
          <w:rFonts w:ascii="Times New Roman" w:eastAsia="Times New Roman" w:hAnsi="Times New Roman" w:cs="Times New Roman"/>
          <w:iCs w:val="0"/>
          <w:noProof/>
          <w:color w:val="auto"/>
          <w:sz w:val="22"/>
          <w:szCs w:val="22"/>
        </w:rPr>
        <w:t xml:space="preserve">2.1.1 </w:t>
      </w:r>
      <w:r w:rsidR="00A61D8E" w:rsidRPr="0049559D">
        <w:rPr>
          <w:rFonts w:ascii="Times New Roman" w:eastAsia="Times New Roman" w:hAnsi="Times New Roman" w:cs="Times New Roman"/>
          <w:iCs w:val="0"/>
          <w:noProof/>
          <w:color w:val="auto"/>
          <w:sz w:val="22"/>
          <w:szCs w:val="22"/>
        </w:rPr>
        <w:t>Genetic sequence data</w:t>
      </w:r>
    </w:p>
    <w:p w14:paraId="0F9DFD74" w14:textId="77777777" w:rsidR="00271BA9" w:rsidRPr="00BB430C" w:rsidRDefault="00B00308" w:rsidP="00582928">
      <w:pPr>
        <w:pStyle w:val="TableEntry"/>
        <w:spacing w:before="120" w:after="120"/>
      </w:pPr>
      <w:r w:rsidRPr="00BB430C">
        <w:t xml:space="preserve">Genetic sequence data (GSD) is </w:t>
      </w:r>
      <w:r w:rsidR="00516F76">
        <w:t>a</w:t>
      </w:r>
      <w:r w:rsidRPr="00BB430C">
        <w:t xml:space="preserve"> term consistent with</w:t>
      </w:r>
      <w:r w:rsidR="00E1580F">
        <w:t xml:space="preserve"> the nucleotide order in molecules such as</w:t>
      </w:r>
      <w:r w:rsidRPr="00BB430C">
        <w:t xml:space="preserve"> DNA. It is also a term used by the World Health </w:t>
      </w:r>
      <w:r w:rsidR="006E1DED" w:rsidRPr="00BB430C">
        <w:t>Organi</w:t>
      </w:r>
      <w:r w:rsidR="006E1DED">
        <w:t>z</w:t>
      </w:r>
      <w:r w:rsidR="006E1DED" w:rsidRPr="00BB430C">
        <w:t xml:space="preserve">ation </w:t>
      </w:r>
      <w:r w:rsidR="006E1DED">
        <w:t xml:space="preserve">(WHO) </w:t>
      </w:r>
      <w:r w:rsidRPr="00BB430C">
        <w:t>in its Pandemic Influenza Preparedness (PIP) framework. In context, it is clear that WHO is referring to nucleotide and/or amino acid sequences associated with viruses because it recommends that GSD be stored in GenBank or</w:t>
      </w:r>
      <w:r w:rsidR="009F7920">
        <w:t xml:space="preserve"> the </w:t>
      </w:r>
      <w:r w:rsidR="009F7920" w:rsidRPr="002118A8">
        <w:rPr>
          <w:lang w:val="en-US"/>
        </w:rPr>
        <w:t>Global Initiative on Sharing All Influenza Data</w:t>
      </w:r>
      <w:r w:rsidRPr="00BB430C">
        <w:t xml:space="preserve"> </w:t>
      </w:r>
      <w:r w:rsidR="009F7920">
        <w:t>(</w:t>
      </w:r>
      <w:r w:rsidRPr="00BB430C">
        <w:t>GISAID</w:t>
      </w:r>
      <w:r w:rsidR="009F7920">
        <w:t>)</w:t>
      </w:r>
      <w:r w:rsidRPr="00BB430C">
        <w:t xml:space="preserve">, which do store this kind of information. For example, GenBank is the US National Institutes of Health’s “genetic sequence database, an annotated collection of all publicly available DNA sequences” </w:t>
      </w:r>
      <w:r w:rsidR="001C037C">
        <w:t>(GenBank)</w:t>
      </w:r>
      <w:r w:rsidRPr="00BB430C">
        <w:t>.</w:t>
      </w:r>
    </w:p>
    <w:p w14:paraId="3B110AAE" w14:textId="77777777" w:rsidR="00BB430C" w:rsidRDefault="00BB430C" w:rsidP="00DB04CA">
      <w:pPr>
        <w:pStyle w:val="TableEntry"/>
        <w:spacing w:before="120" w:after="120"/>
      </w:pPr>
    </w:p>
    <w:p w14:paraId="17D39040" w14:textId="77777777" w:rsidR="00A61D8E" w:rsidRPr="0049559D" w:rsidRDefault="007477C6" w:rsidP="0049559D">
      <w:pPr>
        <w:pStyle w:val="Heading4"/>
        <w:spacing w:before="120" w:after="120"/>
        <w:rPr>
          <w:rFonts w:ascii="Times New Roman" w:eastAsia="Times New Roman" w:hAnsi="Times New Roman" w:cs="Times New Roman"/>
          <w:iCs w:val="0"/>
          <w:noProof/>
          <w:color w:val="auto"/>
          <w:sz w:val="22"/>
          <w:szCs w:val="22"/>
        </w:rPr>
      </w:pPr>
      <w:r w:rsidRPr="0049559D">
        <w:rPr>
          <w:rFonts w:ascii="Times New Roman" w:eastAsia="Times New Roman" w:hAnsi="Times New Roman" w:cs="Times New Roman"/>
          <w:iCs w:val="0"/>
          <w:noProof/>
          <w:color w:val="auto"/>
          <w:sz w:val="22"/>
          <w:szCs w:val="22"/>
        </w:rPr>
        <w:t>2</w:t>
      </w:r>
      <w:r w:rsidR="00582928" w:rsidRPr="0049559D">
        <w:rPr>
          <w:rFonts w:ascii="Times New Roman" w:eastAsia="Times New Roman" w:hAnsi="Times New Roman" w:cs="Times New Roman"/>
          <w:iCs w:val="0"/>
          <w:noProof/>
          <w:color w:val="auto"/>
          <w:sz w:val="22"/>
          <w:szCs w:val="22"/>
        </w:rPr>
        <w:t>.</w:t>
      </w:r>
      <w:r w:rsidR="0049559D">
        <w:rPr>
          <w:rFonts w:ascii="Times New Roman" w:eastAsia="Times New Roman" w:hAnsi="Times New Roman" w:cs="Times New Roman"/>
          <w:iCs w:val="0"/>
          <w:noProof/>
          <w:color w:val="auto"/>
          <w:sz w:val="22"/>
          <w:szCs w:val="22"/>
        </w:rPr>
        <w:t>1.</w:t>
      </w:r>
      <w:r w:rsidR="00582928" w:rsidRPr="0049559D">
        <w:rPr>
          <w:rFonts w:ascii="Times New Roman" w:eastAsia="Times New Roman" w:hAnsi="Times New Roman" w:cs="Times New Roman"/>
          <w:iCs w:val="0"/>
          <w:noProof/>
          <w:color w:val="auto"/>
          <w:sz w:val="22"/>
          <w:szCs w:val="22"/>
        </w:rPr>
        <w:t xml:space="preserve">2 </w:t>
      </w:r>
      <w:r w:rsidR="00A61D8E" w:rsidRPr="0049559D">
        <w:rPr>
          <w:rFonts w:ascii="Times New Roman" w:eastAsia="Times New Roman" w:hAnsi="Times New Roman" w:cs="Times New Roman"/>
          <w:iCs w:val="0"/>
          <w:noProof/>
          <w:color w:val="auto"/>
          <w:sz w:val="22"/>
          <w:szCs w:val="22"/>
        </w:rPr>
        <w:t>Genetic information, genetic material and genomic sequence data</w:t>
      </w:r>
    </w:p>
    <w:p w14:paraId="2A51B554" w14:textId="77777777" w:rsidR="00045734" w:rsidRPr="00BB430C" w:rsidRDefault="00045734" w:rsidP="00AB3257">
      <w:pPr>
        <w:pStyle w:val="TableEntry"/>
        <w:spacing w:before="120" w:after="120"/>
      </w:pPr>
      <w:r w:rsidRPr="00BB430C">
        <w:t>DSI is a term so far rarely found in the scientific literature</w:t>
      </w:r>
      <w:r w:rsidR="00E060AE">
        <w:t xml:space="preserve"> </w:t>
      </w:r>
      <w:r w:rsidR="006239F0">
        <w:t xml:space="preserve">(Figure </w:t>
      </w:r>
      <w:r w:rsidR="00117E56">
        <w:t>I.</w:t>
      </w:r>
      <w:r w:rsidR="00AB3257">
        <w:t>2</w:t>
      </w:r>
      <w:r w:rsidR="00E060AE">
        <w:t>)</w:t>
      </w:r>
      <w:r w:rsidRPr="00BB430C">
        <w:t xml:space="preserve">. The terms GSD, genetic information, genetic material and genomic sequence data are more common. In the scientific literature, genetic information is generally described in material terms. There is a long scientific tradition of calling DNA sequences genetic information or data, such as in the phrases </w:t>
      </w:r>
      <w:r w:rsidR="006E1DED">
        <w:t>“</w:t>
      </w:r>
      <w:r w:rsidRPr="00BB430C">
        <w:t>genetically transmitted information</w:t>
      </w:r>
      <w:r w:rsidR="006E1DED">
        <w:t>”</w:t>
      </w:r>
      <w:r w:rsidRPr="00BB430C">
        <w:t xml:space="preserve"> </w:t>
      </w:r>
      <w:r w:rsidR="001C037C">
        <w:t>(</w:t>
      </w:r>
      <w:r w:rsidR="00AB3257">
        <w:t>English Oxford Living Dictionaries</w:t>
      </w:r>
      <w:r w:rsidR="001C037C">
        <w:t>)</w:t>
      </w:r>
      <w:r w:rsidRPr="00BB430C">
        <w:t xml:space="preserve"> or </w:t>
      </w:r>
      <w:r w:rsidR="006E1DED">
        <w:t>“</w:t>
      </w:r>
      <w:r w:rsidRPr="00BB430C">
        <w:t>genetic information in DNA is conveyed by the sequence of its four nucleotide building blocks</w:t>
      </w:r>
      <w:r w:rsidR="006E1DED">
        <w:t>”</w:t>
      </w:r>
      <w:r w:rsidRPr="00BB430C">
        <w:t xml:space="preserve"> </w:t>
      </w:r>
      <w:r w:rsidR="001C037C">
        <w:t>(Watson</w:t>
      </w:r>
      <w:r w:rsidR="001C037C" w:rsidRPr="001C037C">
        <w:rPr>
          <w:i/>
        </w:rPr>
        <w:t xml:space="preserve"> et al.</w:t>
      </w:r>
      <w:r w:rsidR="001C037C">
        <w:t>, 2014)</w:t>
      </w:r>
      <w:r w:rsidRPr="00BB430C">
        <w:t>.</w:t>
      </w:r>
    </w:p>
    <w:p w14:paraId="1BA61556" w14:textId="77777777" w:rsidR="00045734" w:rsidRPr="00BB430C" w:rsidRDefault="00AB3257" w:rsidP="00045734">
      <w:pPr>
        <w:pStyle w:val="TableEntry"/>
        <w:spacing w:before="120" w:after="120"/>
      </w:pPr>
      <w:r w:rsidRPr="002F7805">
        <w:rPr>
          <w:rFonts w:eastAsia="Calibri"/>
          <w:lang w:val="en-CA" w:eastAsia="en-CA"/>
        </w:rPr>
        <w:lastRenderedPageBreak/>
        <mc:AlternateContent>
          <mc:Choice Requires="wps">
            <w:drawing>
              <wp:anchor distT="114935" distB="114935" distL="114300" distR="114300" simplePos="0" relativeHeight="251704320" behindDoc="0" locked="0" layoutInCell="1" allowOverlap="1" wp14:anchorId="74CAA5E6" wp14:editId="1D4B6863">
                <wp:simplePos x="0" y="0"/>
                <wp:positionH relativeFrom="margin">
                  <wp:align>right</wp:align>
                </wp:positionH>
                <wp:positionV relativeFrom="paragraph">
                  <wp:posOffset>264</wp:posOffset>
                </wp:positionV>
                <wp:extent cx="5143500" cy="3387725"/>
                <wp:effectExtent l="0" t="0" r="19050" b="22225"/>
                <wp:wrapTopAndBottom/>
                <wp:docPr id="17" name="Text Box 17"/>
                <wp:cNvGraphicFramePr/>
                <a:graphic xmlns:a="http://schemas.openxmlformats.org/drawingml/2006/main">
                  <a:graphicData uri="http://schemas.microsoft.com/office/word/2010/wordprocessingShape">
                    <wps:wsp>
                      <wps:cNvSpPr txBox="1"/>
                      <wps:spPr>
                        <a:xfrm>
                          <a:off x="0" y="0"/>
                          <a:ext cx="5143500" cy="3387725"/>
                        </a:xfrm>
                        <a:prstGeom prst="rect">
                          <a:avLst/>
                        </a:prstGeom>
                        <a:ln w="12700" cmpd="sng"/>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2">
                          <a:schemeClr val="dk1"/>
                        </a:lnRef>
                        <a:fillRef idx="1">
                          <a:schemeClr val="lt1"/>
                        </a:fillRef>
                        <a:effectRef idx="0">
                          <a:schemeClr val="dk1"/>
                        </a:effectRef>
                        <a:fontRef idx="minor">
                          <a:schemeClr val="dk1"/>
                        </a:fontRef>
                      </wps:style>
                      <wps:txbx>
                        <w:txbxContent>
                          <w:p w14:paraId="365D44F9" w14:textId="77777777" w:rsidR="00F63D94" w:rsidRDefault="00F63D94" w:rsidP="00AB3257">
                            <w:r>
                              <w:rPr>
                                <w:noProof/>
                                <w:lang w:val="en-CA" w:eastAsia="en-CA"/>
                              </w:rPr>
                              <w:drawing>
                                <wp:inline distT="0" distB="0" distL="0" distR="0" wp14:anchorId="57F10DC7" wp14:editId="55AA6C2D">
                                  <wp:extent cx="4935220" cy="2441936"/>
                                  <wp:effectExtent l="0" t="0" r="0" b="0"/>
                                  <wp:docPr id="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35220" cy="2441936"/>
                                          </a:xfrm>
                                          <a:prstGeom prst="rect">
                                            <a:avLst/>
                                          </a:prstGeom>
                                          <a:noFill/>
                                          <a:ln>
                                            <a:noFill/>
                                          </a:ln>
                                        </pic:spPr>
                                      </pic:pic>
                                    </a:graphicData>
                                  </a:graphic>
                                </wp:inline>
                              </w:drawing>
                            </w:r>
                          </w:p>
                          <w:p w14:paraId="332BD442" w14:textId="77777777" w:rsidR="00F63D94" w:rsidRDefault="00F63D94" w:rsidP="00AB3257">
                            <w:pPr>
                              <w:rPr>
                                <w:sz w:val="22"/>
                              </w:rPr>
                            </w:pPr>
                            <w:r>
                              <w:rPr>
                                <w:b/>
                                <w:sz w:val="22"/>
                              </w:rPr>
                              <w:t>Figure I.2</w:t>
                            </w:r>
                            <w:r w:rsidRPr="006F2717">
                              <w:rPr>
                                <w:sz w:val="22"/>
                              </w:rPr>
                              <w:t xml:space="preserve">. </w:t>
                            </w:r>
                            <w:r>
                              <w:rPr>
                                <w:sz w:val="22"/>
                              </w:rPr>
                              <w:t>Use of t</w:t>
                            </w:r>
                            <w:r w:rsidRPr="006F2717">
                              <w:rPr>
                                <w:sz w:val="22"/>
                              </w:rPr>
                              <w:t xml:space="preserve">he terms </w:t>
                            </w:r>
                            <w:r>
                              <w:rPr>
                                <w:sz w:val="22"/>
                              </w:rPr>
                              <w:t>“</w:t>
                            </w:r>
                            <w:r w:rsidRPr="006F2717">
                              <w:rPr>
                                <w:sz w:val="22"/>
                              </w:rPr>
                              <w:t>genetic material</w:t>
                            </w:r>
                            <w:r>
                              <w:rPr>
                                <w:sz w:val="22"/>
                              </w:rPr>
                              <w:t>”</w:t>
                            </w:r>
                            <w:r w:rsidRPr="006F2717">
                              <w:rPr>
                                <w:sz w:val="22"/>
                              </w:rPr>
                              <w:t xml:space="preserve"> and </w:t>
                            </w:r>
                            <w:r>
                              <w:rPr>
                                <w:sz w:val="22"/>
                              </w:rPr>
                              <w:t>“</w:t>
                            </w:r>
                            <w:r w:rsidRPr="006F2717">
                              <w:rPr>
                                <w:sz w:val="22"/>
                              </w:rPr>
                              <w:t>genetic information</w:t>
                            </w:r>
                            <w:r>
                              <w:rPr>
                                <w:sz w:val="22"/>
                              </w:rPr>
                              <w:t>”.</w:t>
                            </w:r>
                          </w:p>
                          <w:p w14:paraId="337AAC9D" w14:textId="77777777" w:rsidR="00F63D94" w:rsidRDefault="00F63D94" w:rsidP="00AB3257">
                            <w:pPr>
                              <w:rPr>
                                <w:sz w:val="22"/>
                              </w:rPr>
                            </w:pPr>
                            <w:r>
                              <w:rPr>
                                <w:sz w:val="22"/>
                              </w:rPr>
                              <w:t xml:space="preserve">Note: </w:t>
                            </w:r>
                            <w:r w:rsidRPr="006F2717">
                              <w:rPr>
                                <w:sz w:val="22"/>
                              </w:rPr>
                              <w:t xml:space="preserve">The terms </w:t>
                            </w:r>
                            <w:r>
                              <w:rPr>
                                <w:sz w:val="22"/>
                              </w:rPr>
                              <w:t>“</w:t>
                            </w:r>
                            <w:r w:rsidRPr="006F2717">
                              <w:rPr>
                                <w:sz w:val="22"/>
                              </w:rPr>
                              <w:t>digital sequence information</w:t>
                            </w:r>
                            <w:r>
                              <w:rPr>
                                <w:sz w:val="22"/>
                              </w:rPr>
                              <w:t>”</w:t>
                            </w:r>
                            <w:r w:rsidRPr="006F2717">
                              <w:rPr>
                                <w:sz w:val="22"/>
                              </w:rPr>
                              <w:t xml:space="preserve"> and </w:t>
                            </w:r>
                            <w:r>
                              <w:rPr>
                                <w:sz w:val="22"/>
                              </w:rPr>
                              <w:t>“</w:t>
                            </w:r>
                            <w:r w:rsidRPr="006F2717">
                              <w:rPr>
                                <w:sz w:val="22"/>
                              </w:rPr>
                              <w:t>genetic sequence data</w:t>
                            </w:r>
                            <w:r>
                              <w:rPr>
                                <w:sz w:val="22"/>
                              </w:rPr>
                              <w:t>”</w:t>
                            </w:r>
                            <w:r w:rsidRPr="006F2717">
                              <w:rPr>
                                <w:sz w:val="22"/>
                              </w:rPr>
                              <w:t xml:space="preserve"> return</w:t>
                            </w:r>
                            <w:r>
                              <w:rPr>
                                <w:sz w:val="22"/>
                              </w:rPr>
                              <w:t>ed</w:t>
                            </w:r>
                            <w:r w:rsidRPr="006F2717">
                              <w:rPr>
                                <w:sz w:val="22"/>
                              </w:rPr>
                              <w:t xml:space="preserve"> no results.</w:t>
                            </w:r>
                            <w:r>
                              <w:rPr>
                                <w:sz w:val="22"/>
                              </w:rPr>
                              <w:t xml:space="preserve"> Note increase around the time of</w:t>
                            </w:r>
                            <w:r w:rsidRPr="006F2717">
                              <w:rPr>
                                <w:sz w:val="22"/>
                              </w:rPr>
                              <w:t xml:space="preserve"> the first experiments showing that genes were made of DNA</w:t>
                            </w:r>
                            <w:r>
                              <w:rPr>
                                <w:sz w:val="22"/>
                              </w:rPr>
                              <w:t>.</w:t>
                            </w:r>
                          </w:p>
                          <w:p w14:paraId="043CC533" w14:textId="77777777" w:rsidR="00F63D94" w:rsidRPr="006F2717" w:rsidRDefault="00F63D94" w:rsidP="00AB3257">
                            <w:pPr>
                              <w:rPr>
                                <w:sz w:val="22"/>
                              </w:rPr>
                            </w:pPr>
                            <w:r w:rsidRPr="00164DA6">
                              <w:rPr>
                                <w:i/>
                                <w:sz w:val="22"/>
                              </w:rPr>
                              <w:t>Source:</w:t>
                            </w:r>
                            <w:r>
                              <w:rPr>
                                <w:sz w:val="22"/>
                              </w:rPr>
                              <w:t xml:space="preserve"> </w:t>
                            </w:r>
                            <w:r>
                              <w:rPr>
                                <w:sz w:val="22"/>
                              </w:rPr>
                              <w:fldChar w:fldCharType="begin"/>
                            </w:r>
                            <w:r>
                              <w:rPr>
                                <w:sz w:val="22"/>
                              </w:rPr>
                              <w:instrText xml:space="preserve"> ADDIN EN.CITE &lt;EndNote&gt;&lt;Cite&gt;&lt;Author&gt;Avery&lt;/Author&gt;&lt;Year&gt;1944&lt;/Year&gt;&lt;RecNum&gt;281&lt;/RecNum&gt;&lt;DisplayText&gt;(Avery&lt;style face="italic"&gt; et al.&lt;/style&gt;, 1944)&lt;/DisplayText&gt;&lt;record&gt;&lt;rec-number&gt;281&lt;/rec-number&gt;&lt;foreign-keys&gt;&lt;key app="EN" db-id="vav00vdrjedrwre5xsc5vxpsx0fp9arstrrf" timestamp="1516565323"&gt;281&lt;/key&gt;&lt;/foreign-keys&gt;&lt;ref-type name="Journal Article"&gt;17&lt;/ref-type&gt;&lt;contributors&gt;&lt;authors&gt;&lt;author&gt;Avery, O.T.&lt;/author&gt;&lt;author&gt;MacLeod, C.M.&lt;/author&gt;&lt;author&gt;McCarty, M.&lt;/author&gt;&lt;/authors&gt;&lt;/contributors&gt;&lt;titles&gt;&lt;title&gt;Studies on the chemical nature of the substance inducing transformation of Pneumococcal types&lt;/title&gt;&lt;secondary-title&gt;Journal Experimental Medicine&lt;/secondary-title&gt;&lt;alt-title&gt;J. Exp. Med.&lt;/alt-title&gt;&lt;/titles&gt;&lt;periodical&gt;&lt;full-title&gt;Journal Experimental Medicine&lt;/full-title&gt;&lt;abbr-1&gt;J. Exp. Med.&lt;/abbr-1&gt;&lt;/periodical&gt;&lt;alt-periodical&gt;&lt;full-title&gt;Journal Experimental Medicine&lt;/full-title&gt;&lt;abbr-1&gt;J. Exp. Med.&lt;/abbr-1&gt;&lt;/alt-periodical&gt;&lt;pages&gt;137-158&lt;/pages&gt;&lt;volume&gt;79&lt;/volume&gt;&lt;dates&gt;&lt;year&gt;1944&lt;/year&gt;&lt;/dates&gt;&lt;urls&gt;&lt;/urls&gt;&lt;/record&gt;&lt;/Cite&gt;&lt;/EndNote&gt;</w:instrText>
                            </w:r>
                            <w:r>
                              <w:rPr>
                                <w:sz w:val="22"/>
                              </w:rPr>
                              <w:fldChar w:fldCharType="separate"/>
                            </w:r>
                            <w:r>
                              <w:rPr>
                                <w:noProof/>
                                <w:sz w:val="22"/>
                              </w:rPr>
                              <w:t>(Avery</w:t>
                            </w:r>
                            <w:r w:rsidRPr="001C037C">
                              <w:rPr>
                                <w:i/>
                                <w:noProof/>
                                <w:sz w:val="22"/>
                              </w:rPr>
                              <w:t xml:space="preserve"> et al.</w:t>
                            </w:r>
                            <w:r>
                              <w:rPr>
                                <w:noProof/>
                                <w:sz w:val="22"/>
                              </w:rPr>
                              <w:t>, 1944)</w:t>
                            </w:r>
                            <w:r>
                              <w:rPr>
                                <w:sz w:val="22"/>
                              </w:rPr>
                              <w:fldChar w:fldCharType="end"/>
                            </w:r>
                            <w:r w:rsidRPr="006F2717">
                              <w:rPr>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CAA5E6" id="Text Box 17" o:spid="_x0000_s1036" type="#_x0000_t202" style="position:absolute;margin-left:353.8pt;margin-top:0;width:405pt;height:266.75pt;z-index:251704320;visibility:visible;mso-wrap-style:square;mso-height-percent:0;mso-wrap-distance-left:9pt;mso-wrap-distance-top:9.05pt;mso-wrap-distance-right:9pt;mso-wrap-distance-bottom:9.05pt;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ousqwIAAI0FAAAOAAAAZHJzL2Uyb0RvYy54bWysVFtv2jAUfp+0/2D5nSahUFpUqFIqpklV&#10;W62d+mwcG6IltmcbCJv23/fZIYC6ag/TXpLjc75zv1zfNHVFNsK6UqsJzc5SSoTiuijVckK/vsx7&#10;l5Q4z1TBKq3EhO6EozfTjx+ut2Ys+nqlq0JYAiPKjbdmQlfem3GSOL4SNXNn2ggFodS2Zh5Pu0wK&#10;y7awXldJP00vkq22hbGaC+fAvWuFdBrtSym4f5TSCU+qCUVsPn5t/C7CN5les/HSMrMq+T4M9g9R&#10;1KxUcHowdcc8I2tb/mGqLrnVTkt/xnWdaClLLmIOyCZL32TzvGJGxFxQHGcOZXL/zyx/2DxZUhbo&#10;3YgSxWr06EU0ntzqhoCF+myNGwP2bAD0DfjAdnwHZki7kbYOfyREIEeld4fqBmsczGE2OB+mEHHI&#10;zs8vR6P+MNhJjurGOv9J6JoEYkIt2heryjb3zrfQDhK8VYpsEUx/FK3WBlk4tWx7Cq/QCajgP7bi&#10;52w46uej4VXvIh9mvUGWXvbyPO337uZ5mqeD+exqcPtrH1Knn4T02zQj5XeVaH1/ERKFQ2L9GGMc&#10;WTGrLNkwDFvxLRYJyVUKyKAiy6o6KGXvKVW+U9pjY/xxjA+K6XuKR2+iQ0ePWvmDYl0qbf+uLFs8&#10;enKSayB9s2jaKYkrE1gLXewwEVa3O+UMn5fo2j1z/olZLBE6jcPgH/GRlUaj9J6iZKXtj/f4AY/Z&#10;hpSSLZYS/fy+ZlZQUn1WmPqrbDAIWxwfA3QTD3sqWZxK1LqeabQiwwkyPJIB76uOlFbXr7gfefAK&#10;EVMcvifUd+TMt6cC94eLPI8g7K1h/l49Gx5MhzKHmXxpXpk1+8H1mJ4H3a0vG7+Z3xYbNJXO117L&#10;Mg73sar7BmDn43rs71M4KqfviDpe0elvAAAA//8DAFBLAwQUAAYACAAAACEA5gU5GtsAAAAFAQAA&#10;DwAAAGRycy9kb3ducmV2LnhtbEyPQUsDMRCF74L/IYzgzSY1VMq62aIWQUovVg8e0810d2kyWTZp&#10;d/33jl7s5cHjDe99U66m4MUZh9RFMjCfKRBIdXQdNQY+P17vliBStuSsj4QGvjHBqrq+Km3h4kjv&#10;eN7lRnAJpcIaaHPuCylT3WKwaRZ7JM4OcQg2sx0a6QY7cnnw8l6pBxlsR7zQ2h5fWqyPu1MwsNF4&#10;/NJN2qbx8KzfnFpv/WZtzO3N9PQIIuOU/4/hF5/RoWKmfTyRS8Ib4Efyn3K2nCu2ewMLrRcgq1Je&#10;0lc/AAAA//8DAFBLAQItABQABgAIAAAAIQC2gziS/gAAAOEBAAATAAAAAAAAAAAAAAAAAAAAAABb&#10;Q29udGVudF9UeXBlc10ueG1sUEsBAi0AFAAGAAgAAAAhADj9If/WAAAAlAEAAAsAAAAAAAAAAAAA&#10;AAAALwEAAF9yZWxzLy5yZWxzUEsBAi0AFAAGAAgAAAAhANa+i6yrAgAAjQUAAA4AAAAAAAAAAAAA&#10;AAAALgIAAGRycy9lMm9Eb2MueG1sUEsBAi0AFAAGAAgAAAAhAOYFORrbAAAABQEAAA8AAAAAAAAA&#10;AAAAAAAABQUAAGRycy9kb3ducmV2LnhtbFBLBQYAAAAABAAEAPMAAAANBgAAAAA=&#10;" fillcolor="white [3201]" strokecolor="black [3200]" strokeweight="1pt">
                <v:textbox>
                  <w:txbxContent>
                    <w:p w14:paraId="365D44F9" w14:textId="77777777" w:rsidR="00F63D94" w:rsidRDefault="00F63D94" w:rsidP="00AB3257">
                      <w:r>
                        <w:rPr>
                          <w:noProof/>
                          <w:lang w:val="en-CA" w:eastAsia="en-CA"/>
                        </w:rPr>
                        <w:drawing>
                          <wp:inline distT="0" distB="0" distL="0" distR="0" wp14:anchorId="57F10DC7" wp14:editId="55AA6C2D">
                            <wp:extent cx="4935220" cy="2441936"/>
                            <wp:effectExtent l="0" t="0" r="0" b="0"/>
                            <wp:docPr id="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35220" cy="2441936"/>
                                    </a:xfrm>
                                    <a:prstGeom prst="rect">
                                      <a:avLst/>
                                    </a:prstGeom>
                                    <a:noFill/>
                                    <a:ln>
                                      <a:noFill/>
                                    </a:ln>
                                  </pic:spPr>
                                </pic:pic>
                              </a:graphicData>
                            </a:graphic>
                          </wp:inline>
                        </w:drawing>
                      </w:r>
                    </w:p>
                    <w:p w14:paraId="332BD442" w14:textId="77777777" w:rsidR="00F63D94" w:rsidRDefault="00F63D94" w:rsidP="00AB3257">
                      <w:pPr>
                        <w:rPr>
                          <w:sz w:val="22"/>
                        </w:rPr>
                      </w:pPr>
                      <w:r>
                        <w:rPr>
                          <w:b/>
                          <w:sz w:val="22"/>
                        </w:rPr>
                        <w:t>Figure I.2</w:t>
                      </w:r>
                      <w:r w:rsidRPr="006F2717">
                        <w:rPr>
                          <w:sz w:val="22"/>
                        </w:rPr>
                        <w:t xml:space="preserve">. </w:t>
                      </w:r>
                      <w:r>
                        <w:rPr>
                          <w:sz w:val="22"/>
                        </w:rPr>
                        <w:t>Use of t</w:t>
                      </w:r>
                      <w:r w:rsidRPr="006F2717">
                        <w:rPr>
                          <w:sz w:val="22"/>
                        </w:rPr>
                        <w:t xml:space="preserve">he terms </w:t>
                      </w:r>
                      <w:r>
                        <w:rPr>
                          <w:sz w:val="22"/>
                        </w:rPr>
                        <w:t>“</w:t>
                      </w:r>
                      <w:r w:rsidRPr="006F2717">
                        <w:rPr>
                          <w:sz w:val="22"/>
                        </w:rPr>
                        <w:t>genetic material</w:t>
                      </w:r>
                      <w:r>
                        <w:rPr>
                          <w:sz w:val="22"/>
                        </w:rPr>
                        <w:t>”</w:t>
                      </w:r>
                      <w:r w:rsidRPr="006F2717">
                        <w:rPr>
                          <w:sz w:val="22"/>
                        </w:rPr>
                        <w:t xml:space="preserve"> and </w:t>
                      </w:r>
                      <w:r>
                        <w:rPr>
                          <w:sz w:val="22"/>
                        </w:rPr>
                        <w:t>“</w:t>
                      </w:r>
                      <w:r w:rsidRPr="006F2717">
                        <w:rPr>
                          <w:sz w:val="22"/>
                        </w:rPr>
                        <w:t>genetic information</w:t>
                      </w:r>
                      <w:r>
                        <w:rPr>
                          <w:sz w:val="22"/>
                        </w:rPr>
                        <w:t>”.</w:t>
                      </w:r>
                    </w:p>
                    <w:p w14:paraId="337AAC9D" w14:textId="77777777" w:rsidR="00F63D94" w:rsidRDefault="00F63D94" w:rsidP="00AB3257">
                      <w:pPr>
                        <w:rPr>
                          <w:sz w:val="22"/>
                        </w:rPr>
                      </w:pPr>
                      <w:r>
                        <w:rPr>
                          <w:sz w:val="22"/>
                        </w:rPr>
                        <w:t xml:space="preserve">Note: </w:t>
                      </w:r>
                      <w:r w:rsidRPr="006F2717">
                        <w:rPr>
                          <w:sz w:val="22"/>
                        </w:rPr>
                        <w:t xml:space="preserve">The terms </w:t>
                      </w:r>
                      <w:r>
                        <w:rPr>
                          <w:sz w:val="22"/>
                        </w:rPr>
                        <w:t>“</w:t>
                      </w:r>
                      <w:r w:rsidRPr="006F2717">
                        <w:rPr>
                          <w:sz w:val="22"/>
                        </w:rPr>
                        <w:t>digital sequence information</w:t>
                      </w:r>
                      <w:r>
                        <w:rPr>
                          <w:sz w:val="22"/>
                        </w:rPr>
                        <w:t>”</w:t>
                      </w:r>
                      <w:r w:rsidRPr="006F2717">
                        <w:rPr>
                          <w:sz w:val="22"/>
                        </w:rPr>
                        <w:t xml:space="preserve"> and </w:t>
                      </w:r>
                      <w:r>
                        <w:rPr>
                          <w:sz w:val="22"/>
                        </w:rPr>
                        <w:t>“</w:t>
                      </w:r>
                      <w:r w:rsidRPr="006F2717">
                        <w:rPr>
                          <w:sz w:val="22"/>
                        </w:rPr>
                        <w:t>genetic sequence data</w:t>
                      </w:r>
                      <w:r>
                        <w:rPr>
                          <w:sz w:val="22"/>
                        </w:rPr>
                        <w:t>”</w:t>
                      </w:r>
                      <w:r w:rsidRPr="006F2717">
                        <w:rPr>
                          <w:sz w:val="22"/>
                        </w:rPr>
                        <w:t xml:space="preserve"> return</w:t>
                      </w:r>
                      <w:r>
                        <w:rPr>
                          <w:sz w:val="22"/>
                        </w:rPr>
                        <w:t>ed</w:t>
                      </w:r>
                      <w:r w:rsidRPr="006F2717">
                        <w:rPr>
                          <w:sz w:val="22"/>
                        </w:rPr>
                        <w:t xml:space="preserve"> no results.</w:t>
                      </w:r>
                      <w:r>
                        <w:rPr>
                          <w:sz w:val="22"/>
                        </w:rPr>
                        <w:t xml:space="preserve"> Note increase around the time of</w:t>
                      </w:r>
                      <w:r w:rsidRPr="006F2717">
                        <w:rPr>
                          <w:sz w:val="22"/>
                        </w:rPr>
                        <w:t xml:space="preserve"> the first experiments showing that genes were made of DNA</w:t>
                      </w:r>
                      <w:r>
                        <w:rPr>
                          <w:sz w:val="22"/>
                        </w:rPr>
                        <w:t>.</w:t>
                      </w:r>
                    </w:p>
                    <w:p w14:paraId="043CC533" w14:textId="77777777" w:rsidR="00F63D94" w:rsidRPr="006F2717" w:rsidRDefault="00F63D94" w:rsidP="00AB3257">
                      <w:pPr>
                        <w:rPr>
                          <w:sz w:val="22"/>
                        </w:rPr>
                      </w:pPr>
                      <w:r w:rsidRPr="00164DA6">
                        <w:rPr>
                          <w:i/>
                          <w:sz w:val="22"/>
                        </w:rPr>
                        <w:t>Source:</w:t>
                      </w:r>
                      <w:r>
                        <w:rPr>
                          <w:sz w:val="22"/>
                        </w:rPr>
                        <w:t xml:space="preserve"> </w:t>
                      </w:r>
                      <w:r>
                        <w:rPr>
                          <w:sz w:val="22"/>
                        </w:rPr>
                        <w:fldChar w:fldCharType="begin"/>
                      </w:r>
                      <w:r>
                        <w:rPr>
                          <w:sz w:val="22"/>
                        </w:rPr>
                        <w:instrText xml:space="preserve"> ADDIN EN.CITE &lt;EndNote&gt;&lt;Cite&gt;&lt;Author&gt;Avery&lt;/Author&gt;&lt;Year&gt;1944&lt;/Year&gt;&lt;RecNum&gt;281&lt;/RecNum&gt;&lt;DisplayText&gt;(Avery&lt;style face="italic"&gt; et al.&lt;/style&gt;, 1944)&lt;/DisplayText&gt;&lt;record&gt;&lt;rec-number&gt;281&lt;/rec-number&gt;&lt;foreign-keys&gt;&lt;key app="EN" db-id="vav00vdrjedrwre5xsc5vxpsx0fp9arstrrf" timestamp="1516565323"&gt;281&lt;/key&gt;&lt;/foreign-keys&gt;&lt;ref-type name="Journal Article"&gt;17&lt;/ref-type&gt;&lt;contributors&gt;&lt;authors&gt;&lt;author&gt;Avery, O.T.&lt;/author&gt;&lt;author&gt;MacLeod, C.M.&lt;/author&gt;&lt;author&gt;McCarty, M.&lt;/author&gt;&lt;/authors&gt;&lt;/contributors&gt;&lt;titles&gt;&lt;title&gt;Studies on the chemical nature of the substance inducing transformation of Pneumococcal types&lt;/title&gt;&lt;secondary-title&gt;Journal Experimental Medicine&lt;/secondary-title&gt;&lt;alt-title&gt;J. Exp. Med.&lt;/alt-title&gt;&lt;/titles&gt;&lt;periodical&gt;&lt;full-title&gt;Journal Experimental Medicine&lt;/full-title&gt;&lt;abbr-1&gt;J. Exp. Med.&lt;/abbr-1&gt;&lt;/periodical&gt;&lt;alt-periodical&gt;&lt;full-title&gt;Journal Experimental Medicine&lt;/full-title&gt;&lt;abbr-1&gt;J. Exp. Med.&lt;/abbr-1&gt;&lt;/alt-periodical&gt;&lt;pages&gt;137-158&lt;/pages&gt;&lt;volume&gt;79&lt;/volume&gt;&lt;dates&gt;&lt;year&gt;1944&lt;/year&gt;&lt;/dates&gt;&lt;urls&gt;&lt;/urls&gt;&lt;/record&gt;&lt;/Cite&gt;&lt;/EndNote&gt;</w:instrText>
                      </w:r>
                      <w:r>
                        <w:rPr>
                          <w:sz w:val="22"/>
                        </w:rPr>
                        <w:fldChar w:fldCharType="separate"/>
                      </w:r>
                      <w:r>
                        <w:rPr>
                          <w:noProof/>
                          <w:sz w:val="22"/>
                        </w:rPr>
                        <w:t>(Avery</w:t>
                      </w:r>
                      <w:r w:rsidRPr="001C037C">
                        <w:rPr>
                          <w:i/>
                          <w:noProof/>
                          <w:sz w:val="22"/>
                        </w:rPr>
                        <w:t xml:space="preserve"> et al.</w:t>
                      </w:r>
                      <w:r>
                        <w:rPr>
                          <w:noProof/>
                          <w:sz w:val="22"/>
                        </w:rPr>
                        <w:t>, 1944)</w:t>
                      </w:r>
                      <w:r>
                        <w:rPr>
                          <w:sz w:val="22"/>
                        </w:rPr>
                        <w:fldChar w:fldCharType="end"/>
                      </w:r>
                      <w:r w:rsidRPr="006F2717">
                        <w:rPr>
                          <w:sz w:val="22"/>
                        </w:rPr>
                        <w:t>.</w:t>
                      </w:r>
                    </w:p>
                  </w:txbxContent>
                </v:textbox>
                <w10:wrap type="topAndBottom" anchorx="margin"/>
              </v:shape>
            </w:pict>
          </mc:Fallback>
        </mc:AlternateContent>
      </w:r>
      <w:r w:rsidR="00045734" w:rsidRPr="00BB430C">
        <w:t>Genetic material is</w:t>
      </w:r>
      <w:r w:rsidR="002C5FC1">
        <w:t xml:space="preserve"> sometimes</w:t>
      </w:r>
      <w:r w:rsidR="00045734" w:rsidRPr="00BB430C">
        <w:t xml:space="preserve"> used in the scientific literature as it is used in international instruments such as the International Treaty on Plant Genetic Resources for Food and Agriculture (ITPGRFA, Treaty) to mean “any material of plant origin, including reproductive and vegetative propagating material, containing functional units of heredity” </w:t>
      </w:r>
      <w:r w:rsidR="001C037C">
        <w:t>(ITPGRFA)</w:t>
      </w:r>
      <w:r w:rsidR="002C5FC1">
        <w:t>. More often, it is used to mean</w:t>
      </w:r>
      <w:r w:rsidR="00045734" w:rsidRPr="00BB430C">
        <w:t xml:space="preserve"> DNA, genes or genetic information. In the famous 1953 paper by James Watson and Francis Crick describing the structure of DNA, they equated DNA with genetic material: “It has not escaped our notice that the specific pairing we have postulated immediately suggests a possible copying mechanism for the genetic material” </w:t>
      </w:r>
      <w:r w:rsidR="001C037C">
        <w:t>(Watson and Crick, 1953)</w:t>
      </w:r>
      <w:r w:rsidR="00045734" w:rsidRPr="00BB430C">
        <w:t xml:space="preserve">. The equation of subcellular macromolecular structures with the genetic material was made in 1935 by Nobel laureate H.J. Muller referring to structures on the scale of chromosomes </w:t>
      </w:r>
      <w:r w:rsidR="001C037C">
        <w:t>(Muller and Prokofyeva, 1935)</w:t>
      </w:r>
      <w:r w:rsidR="00045734" w:rsidRPr="00BB430C">
        <w:t>. This terminology</w:t>
      </w:r>
      <w:r w:rsidR="00A929AB">
        <w:t xml:space="preserve"> remains in common usage </w:t>
      </w:r>
      <w:r w:rsidR="00045734" w:rsidRPr="00BB430C">
        <w:t xml:space="preserve">today </w:t>
      </w:r>
      <w:r w:rsidR="001C037C">
        <w:t>(e.g. Griffiths</w:t>
      </w:r>
      <w:r w:rsidR="001C037C" w:rsidRPr="001C037C">
        <w:rPr>
          <w:i/>
        </w:rPr>
        <w:t xml:space="preserve"> et al.</w:t>
      </w:r>
      <w:r w:rsidR="001C037C">
        <w:t>, 2000; Stegemann and Bock, 2009; Ofir and Sorek, 2017)</w:t>
      </w:r>
      <w:r w:rsidR="00045734" w:rsidRPr="00BB430C">
        <w:t>.</w:t>
      </w:r>
    </w:p>
    <w:p w14:paraId="4D8D3219" w14:textId="77777777" w:rsidR="00045734" w:rsidRPr="00BB430C" w:rsidRDefault="00045734" w:rsidP="00045734">
      <w:pPr>
        <w:pStyle w:val="TableEntry"/>
        <w:spacing w:before="120" w:after="120"/>
      </w:pPr>
      <w:r w:rsidRPr="00BB430C">
        <w:t>Different concepts of genetic material probably reflect different terminologies in agricultural and molecular biology sciences. Prior to the consolidation of the hypothesis that DNA could be the material form of the gene, geneticists were restricted to work</w:t>
      </w:r>
      <w:r w:rsidR="00A929AB">
        <w:t>ing</w:t>
      </w:r>
      <w:r w:rsidRPr="00BB430C">
        <w:t xml:space="preserve"> on material of cellular or larger scales and considered these to be the minimum reproducing unit.</w:t>
      </w:r>
    </w:p>
    <w:p w14:paraId="3CC7C937" w14:textId="77777777" w:rsidR="00045734" w:rsidRPr="00BB430C" w:rsidRDefault="00045734" w:rsidP="00E231A6">
      <w:pPr>
        <w:pStyle w:val="TableEntry"/>
        <w:spacing w:before="120" w:after="120"/>
      </w:pPr>
      <w:r w:rsidRPr="00BB430C">
        <w:t xml:space="preserve">Referring to genetic material as “any material of plant origin, including reproductive and vegetative propagating material, containing functional units of heredity” has a long tradition in management of GRFA, and is consistent with classical applied genetics </w:t>
      </w:r>
      <w:r w:rsidR="002047A4">
        <w:t>b</w:t>
      </w:r>
      <w:r w:rsidR="002047A4" w:rsidRPr="00BB430C">
        <w:t>e</w:t>
      </w:r>
      <w:r w:rsidR="002047A4">
        <w:t>cause</w:t>
      </w:r>
      <w:r w:rsidR="002047A4" w:rsidRPr="00BB430C">
        <w:t xml:space="preserve"> </w:t>
      </w:r>
      <w:r w:rsidRPr="00BB430C">
        <w:t xml:space="preserve">the predominant tool </w:t>
      </w:r>
      <w:r w:rsidR="002047A4">
        <w:t>i</w:t>
      </w:r>
      <w:r w:rsidR="002047A4" w:rsidRPr="00BB430C">
        <w:t xml:space="preserve">s </w:t>
      </w:r>
      <w:r w:rsidRPr="00BB430C">
        <w:t xml:space="preserve">breeding. The agricultural genetics literature from the 1940s explicitly equated “genetic material” with that which could recreate the plant (seeds or propagules) </w:t>
      </w:r>
      <w:r w:rsidR="001C037C">
        <w:t>(Weiss, 1943)</w:t>
      </w:r>
      <w:r w:rsidR="00A71353">
        <w:t>.</w:t>
      </w:r>
      <w:r w:rsidR="00A71353" w:rsidRPr="00A71353">
        <w:t xml:space="preserve"> </w:t>
      </w:r>
      <w:r w:rsidRPr="00BB430C">
        <w:t xml:space="preserve">In all the cases described above from the molecular biology literature, genetic </w:t>
      </w:r>
      <w:r w:rsidRPr="00BB430C">
        <w:rPr>
          <w:i/>
        </w:rPr>
        <w:t>information</w:t>
      </w:r>
      <w:r w:rsidRPr="00BB430C">
        <w:t xml:space="preserve"> had an associated physical</w:t>
      </w:r>
      <w:r w:rsidR="000C350C">
        <w:t xml:space="preserve"> </w:t>
      </w:r>
      <w:r w:rsidR="00E231A6">
        <w:t xml:space="preserve">– </w:t>
      </w:r>
      <w:r w:rsidR="002C5FC1">
        <w:t>tangible</w:t>
      </w:r>
      <w:r w:rsidR="000C350C">
        <w:t xml:space="preserve"> </w:t>
      </w:r>
      <w:r w:rsidR="00E231A6">
        <w:t>–</w:t>
      </w:r>
      <w:r w:rsidR="000C350C">
        <w:t xml:space="preserve"> </w:t>
      </w:r>
      <w:r w:rsidRPr="00BB430C">
        <w:t xml:space="preserve">material. This is consistent with how geneticists view inheritance. In nature, genetic information is routinely </w:t>
      </w:r>
      <w:r w:rsidR="00A929AB">
        <w:t>exchanged</w:t>
      </w:r>
      <w:r w:rsidR="00A929AB" w:rsidRPr="00BB430C">
        <w:t xml:space="preserve"> </w:t>
      </w:r>
      <w:r w:rsidRPr="00BB430C">
        <w:t>between different media</w:t>
      </w:r>
      <w:r w:rsidR="001B0613">
        <w:t xml:space="preserve"> (Annex</w:t>
      </w:r>
      <w:r w:rsidR="00893294">
        <w:t>)</w:t>
      </w:r>
      <w:r w:rsidRPr="00BB430C">
        <w:t>.</w:t>
      </w:r>
      <w:r w:rsidR="00667094" w:rsidRPr="00BB430C">
        <w:rPr>
          <w:rStyle w:val="FootnoteReference"/>
          <w:sz w:val="22"/>
          <w:szCs w:val="22"/>
        </w:rPr>
        <w:footnoteReference w:id="19"/>
      </w:r>
      <w:r w:rsidR="00846EF6">
        <w:t xml:space="preserve"> </w:t>
      </w:r>
      <w:r w:rsidRPr="00BB430C">
        <w:t>The essence of heredity is the transfer of DNA sequence information</w:t>
      </w:r>
      <w:r w:rsidR="00A929AB">
        <w:t>,</w:t>
      </w:r>
      <w:r w:rsidRPr="00BB430C">
        <w:t xml:space="preserve"> not the atoms of the physical molecules of DNA that store the information. A child may contain no atoms from the DNA molecules of </w:t>
      </w:r>
      <w:r w:rsidR="001B6A09">
        <w:t>his/</w:t>
      </w:r>
      <w:r w:rsidRPr="00BB430C">
        <w:t xml:space="preserve">her grandparents, but </w:t>
      </w:r>
      <w:r w:rsidR="001B6A09">
        <w:t>he/</w:t>
      </w:r>
      <w:r w:rsidRPr="00BB430C">
        <w:t>she inherits their genes. The genetic information in the grandchild has a physical continuity from the grandparents, but not</w:t>
      </w:r>
      <w:r w:rsidR="000C350C">
        <w:t xml:space="preserve"> literarly the molecules of their bodies</w:t>
      </w:r>
      <w:r w:rsidRPr="00BB430C">
        <w:t>.</w:t>
      </w:r>
    </w:p>
    <w:p w14:paraId="577F1E8B" w14:textId="77777777" w:rsidR="00A61D8E" w:rsidRPr="00BB430C" w:rsidRDefault="00045734" w:rsidP="00045734">
      <w:pPr>
        <w:pStyle w:val="TableEntry"/>
        <w:spacing w:before="120" w:after="120"/>
      </w:pPr>
      <w:r w:rsidRPr="00BB430C">
        <w:lastRenderedPageBreak/>
        <w:t xml:space="preserve">The commercial use of information may also take a material view </w:t>
      </w:r>
      <w:r w:rsidR="001C037C">
        <w:t>(Mueller, 2003)</w:t>
      </w:r>
      <w:r w:rsidRPr="00BB430C">
        <w:t xml:space="preserve"> such as in the following examples of a patent and a Material Transfer Agreement (MTA).</w:t>
      </w:r>
    </w:p>
    <w:p w14:paraId="42C392FD" w14:textId="77777777" w:rsidR="00667094" w:rsidRPr="00BB430C" w:rsidRDefault="00667094" w:rsidP="00076763">
      <w:pPr>
        <w:pStyle w:val="ListParagraph"/>
        <w:numPr>
          <w:ilvl w:val="0"/>
          <w:numId w:val="3"/>
        </w:numPr>
        <w:rPr>
          <w:noProof/>
          <w:sz w:val="22"/>
          <w:szCs w:val="22"/>
        </w:rPr>
      </w:pPr>
      <w:r w:rsidRPr="00BB430C">
        <w:rPr>
          <w:noProof/>
          <w:sz w:val="22"/>
          <w:szCs w:val="22"/>
        </w:rPr>
        <w:t>A patent</w:t>
      </w:r>
      <w:r w:rsidR="00664314">
        <w:rPr>
          <w:noProof/>
          <w:sz w:val="22"/>
          <w:szCs w:val="22"/>
        </w:rPr>
        <w:t xml:space="preserve"> granted in 2004</w:t>
      </w:r>
      <w:r w:rsidRPr="00BB430C">
        <w:rPr>
          <w:noProof/>
          <w:sz w:val="22"/>
          <w:szCs w:val="22"/>
        </w:rPr>
        <w:t xml:space="preserve"> claimed any DNA molecule at least 95</w:t>
      </w:r>
      <w:r w:rsidR="001B6A09">
        <w:rPr>
          <w:noProof/>
          <w:sz w:val="22"/>
          <w:szCs w:val="22"/>
        </w:rPr>
        <w:t xml:space="preserve"> percent</w:t>
      </w:r>
      <w:r w:rsidR="001B6A09" w:rsidRPr="00BB430C">
        <w:rPr>
          <w:noProof/>
          <w:sz w:val="22"/>
          <w:szCs w:val="22"/>
        </w:rPr>
        <w:t xml:space="preserve"> </w:t>
      </w:r>
      <w:r w:rsidRPr="00BB430C">
        <w:rPr>
          <w:noProof/>
          <w:sz w:val="22"/>
          <w:szCs w:val="22"/>
        </w:rPr>
        <w:t>identical to a specified sequence</w:t>
      </w:r>
      <w:r w:rsidR="00743683">
        <w:rPr>
          <w:noProof/>
          <w:sz w:val="22"/>
          <w:szCs w:val="22"/>
        </w:rPr>
        <w:t xml:space="preserve"> from the human and GRFA pathogen </w:t>
      </w:r>
      <w:r w:rsidR="00743683" w:rsidRPr="009746F7">
        <w:rPr>
          <w:i/>
          <w:noProof/>
          <w:sz w:val="22"/>
          <w:szCs w:val="22"/>
        </w:rPr>
        <w:t>E</w:t>
      </w:r>
      <w:r w:rsidR="00722EA9">
        <w:rPr>
          <w:i/>
          <w:noProof/>
          <w:sz w:val="22"/>
          <w:szCs w:val="22"/>
        </w:rPr>
        <w:t>.</w:t>
      </w:r>
      <w:r w:rsidR="00743683" w:rsidRPr="009746F7">
        <w:rPr>
          <w:i/>
          <w:noProof/>
          <w:sz w:val="22"/>
          <w:szCs w:val="22"/>
        </w:rPr>
        <w:t xml:space="preserve"> coli</w:t>
      </w:r>
      <w:r w:rsidR="00743683">
        <w:rPr>
          <w:noProof/>
          <w:sz w:val="22"/>
          <w:szCs w:val="22"/>
        </w:rPr>
        <w:t>,</w:t>
      </w:r>
      <w:r w:rsidRPr="00BB430C">
        <w:rPr>
          <w:noProof/>
          <w:sz w:val="22"/>
          <w:szCs w:val="22"/>
        </w:rPr>
        <w:t xml:space="preserve"> and all computer readable media that contain similar DNA sequences </w:t>
      </w:r>
      <w:r w:rsidR="001C037C">
        <w:rPr>
          <w:noProof/>
          <w:sz w:val="22"/>
          <w:szCs w:val="22"/>
        </w:rPr>
        <w:t>(Dillon</w:t>
      </w:r>
      <w:r w:rsidR="001C037C" w:rsidRPr="001C037C">
        <w:rPr>
          <w:i/>
          <w:noProof/>
          <w:sz w:val="22"/>
          <w:szCs w:val="22"/>
        </w:rPr>
        <w:t xml:space="preserve"> et al.</w:t>
      </w:r>
      <w:r w:rsidR="001C037C">
        <w:rPr>
          <w:noProof/>
          <w:sz w:val="22"/>
          <w:szCs w:val="22"/>
        </w:rPr>
        <w:t>, 2004)</w:t>
      </w:r>
      <w:r w:rsidRPr="00BB430C">
        <w:rPr>
          <w:noProof/>
          <w:sz w:val="22"/>
          <w:szCs w:val="22"/>
        </w:rPr>
        <w:t>. Computer readable media with DNA sequences were equated with DNA molecules of a sequence of nucleotides.</w:t>
      </w:r>
      <w:r w:rsidR="00664314">
        <w:rPr>
          <w:rStyle w:val="FootnoteReference"/>
          <w:noProof/>
        </w:rPr>
        <w:footnoteReference w:id="20"/>
      </w:r>
    </w:p>
    <w:p w14:paraId="63EABB3D" w14:textId="77777777" w:rsidR="00667094" w:rsidRPr="00BB430C" w:rsidRDefault="00667094" w:rsidP="00076763">
      <w:pPr>
        <w:pStyle w:val="ListParagraph"/>
        <w:numPr>
          <w:ilvl w:val="0"/>
          <w:numId w:val="3"/>
        </w:numPr>
        <w:rPr>
          <w:noProof/>
          <w:sz w:val="22"/>
          <w:szCs w:val="22"/>
        </w:rPr>
      </w:pPr>
      <w:r w:rsidRPr="00BB430C">
        <w:rPr>
          <w:noProof/>
          <w:sz w:val="22"/>
          <w:szCs w:val="22"/>
        </w:rPr>
        <w:t xml:space="preserve">An MTA on genomic information that clearly defined data </w:t>
      </w:r>
      <w:r w:rsidRPr="00BB430C">
        <w:rPr>
          <w:i/>
          <w:noProof/>
          <w:sz w:val="22"/>
          <w:szCs w:val="22"/>
        </w:rPr>
        <w:t>per se</w:t>
      </w:r>
      <w:r w:rsidRPr="00BB430C">
        <w:rPr>
          <w:noProof/>
          <w:sz w:val="22"/>
          <w:szCs w:val="22"/>
        </w:rPr>
        <w:t xml:space="preserve"> as the object of transfer. “A model MTA…defined ‘material’ as ‘the annotated draft assembled rice genome </w:t>
      </w:r>
      <w:r w:rsidRPr="00BB430C">
        <w:rPr>
          <w:i/>
          <w:noProof/>
          <w:sz w:val="22"/>
          <w:szCs w:val="22"/>
        </w:rPr>
        <w:t>sequence</w:t>
      </w:r>
      <w:r w:rsidRPr="00BB430C">
        <w:rPr>
          <w:noProof/>
          <w:sz w:val="22"/>
          <w:szCs w:val="22"/>
        </w:rPr>
        <w:t xml:space="preserve"> described in [name of the publication] and </w:t>
      </w:r>
      <w:r w:rsidRPr="00BB430C">
        <w:rPr>
          <w:i/>
          <w:noProof/>
          <w:sz w:val="22"/>
          <w:szCs w:val="22"/>
        </w:rPr>
        <w:t>the medium on which it is provided</w:t>
      </w:r>
      <w:r w:rsidRPr="00BB430C">
        <w:rPr>
          <w:noProof/>
          <w:sz w:val="22"/>
          <w:szCs w:val="22"/>
        </w:rPr>
        <w:t xml:space="preserve">’ </w:t>
      </w:r>
      <w:r w:rsidR="00AC7159">
        <w:rPr>
          <w:noProof/>
          <w:sz w:val="22"/>
          <w:szCs w:val="22"/>
        </w:rPr>
        <w:t>(</w:t>
      </w:r>
      <w:r w:rsidRPr="00BB430C">
        <w:rPr>
          <w:noProof/>
          <w:sz w:val="22"/>
          <w:szCs w:val="22"/>
        </w:rPr>
        <w:t>emphasis added</w:t>
      </w:r>
      <w:r w:rsidR="00AC7159">
        <w:rPr>
          <w:noProof/>
          <w:sz w:val="22"/>
          <w:szCs w:val="22"/>
        </w:rPr>
        <w:t>)</w:t>
      </w:r>
      <w:r w:rsidRPr="00BB430C">
        <w:rPr>
          <w:noProof/>
          <w:sz w:val="22"/>
          <w:szCs w:val="22"/>
        </w:rPr>
        <w:t xml:space="preserve">. The MTA also covered modifications (e.g. multiple sequence alignments and/or gene predictions) and unmodified derivatives (‘substances or data created by the recipient which contain/incorporate the material and includes without being limiting replicated forms of the material and all cells, tissues, plants and seed containing/incorporating any part of the material’)” </w:t>
      </w:r>
      <w:r w:rsidR="001C037C">
        <w:rPr>
          <w:noProof/>
          <w:sz w:val="22"/>
          <w:szCs w:val="22"/>
        </w:rPr>
        <w:t>(recounted in Manzella, 2016)</w:t>
      </w:r>
      <w:r w:rsidRPr="00BB430C">
        <w:rPr>
          <w:noProof/>
          <w:sz w:val="22"/>
          <w:szCs w:val="22"/>
        </w:rPr>
        <w:t>. It is worth emphasizing that the MTA formally recognized that the genetic information is in a physical</w:t>
      </w:r>
      <w:r w:rsidR="00AC7159">
        <w:rPr>
          <w:noProof/>
          <w:sz w:val="22"/>
          <w:szCs w:val="22"/>
        </w:rPr>
        <w:t xml:space="preserve"> – </w:t>
      </w:r>
      <w:r w:rsidRPr="00BB430C">
        <w:rPr>
          <w:noProof/>
          <w:sz w:val="22"/>
          <w:szCs w:val="22"/>
        </w:rPr>
        <w:t>material</w:t>
      </w:r>
      <w:r w:rsidR="00AC7159">
        <w:rPr>
          <w:noProof/>
          <w:sz w:val="22"/>
          <w:szCs w:val="22"/>
        </w:rPr>
        <w:t xml:space="preserve"> – </w:t>
      </w:r>
      <w:r w:rsidRPr="00BB430C">
        <w:rPr>
          <w:noProof/>
          <w:sz w:val="22"/>
          <w:szCs w:val="22"/>
        </w:rPr>
        <w:t>form whether it is DNA or instead a medium used by a computer.</w:t>
      </w:r>
      <w:r w:rsidRPr="00BB430C">
        <w:rPr>
          <w:rStyle w:val="FootnoteReference"/>
          <w:noProof/>
          <w:sz w:val="22"/>
          <w:szCs w:val="22"/>
        </w:rPr>
        <w:footnoteReference w:id="21"/>
      </w:r>
      <w:r w:rsidRPr="00BB430C">
        <w:rPr>
          <w:noProof/>
          <w:sz w:val="22"/>
          <w:szCs w:val="22"/>
        </w:rPr>
        <w:t xml:space="preserve"> </w:t>
      </w:r>
    </w:p>
    <w:p w14:paraId="3F1E105E" w14:textId="77777777" w:rsidR="00271BA9" w:rsidRPr="00BB430C" w:rsidRDefault="00271BA9" w:rsidP="00271BA9">
      <w:pPr>
        <w:pStyle w:val="TableEntry"/>
        <w:spacing w:before="120" w:after="120"/>
        <w:ind w:left="720"/>
      </w:pPr>
    </w:p>
    <w:p w14:paraId="7F66ADA0" w14:textId="77777777" w:rsidR="00A61D8E" w:rsidRPr="0049559D" w:rsidRDefault="007477C6" w:rsidP="0049559D">
      <w:pPr>
        <w:pStyle w:val="Heading4"/>
        <w:spacing w:before="120" w:after="120"/>
        <w:rPr>
          <w:rFonts w:ascii="Times New Roman" w:eastAsia="Times New Roman" w:hAnsi="Times New Roman" w:cs="Times New Roman"/>
          <w:iCs w:val="0"/>
          <w:noProof/>
          <w:color w:val="auto"/>
          <w:sz w:val="22"/>
          <w:szCs w:val="22"/>
        </w:rPr>
      </w:pPr>
      <w:r w:rsidRPr="0049559D">
        <w:rPr>
          <w:rFonts w:ascii="Times New Roman" w:eastAsia="Times New Roman" w:hAnsi="Times New Roman" w:cs="Times New Roman"/>
          <w:iCs w:val="0"/>
          <w:noProof/>
          <w:color w:val="auto"/>
          <w:sz w:val="22"/>
          <w:szCs w:val="22"/>
        </w:rPr>
        <w:t>2</w:t>
      </w:r>
      <w:r w:rsidR="00582928" w:rsidRPr="0049559D">
        <w:rPr>
          <w:rFonts w:ascii="Times New Roman" w:eastAsia="Times New Roman" w:hAnsi="Times New Roman" w:cs="Times New Roman"/>
          <w:iCs w:val="0"/>
          <w:noProof/>
          <w:color w:val="auto"/>
          <w:sz w:val="22"/>
          <w:szCs w:val="22"/>
        </w:rPr>
        <w:t>.</w:t>
      </w:r>
      <w:r w:rsidR="0049559D">
        <w:rPr>
          <w:rFonts w:ascii="Times New Roman" w:eastAsia="Times New Roman" w:hAnsi="Times New Roman" w:cs="Times New Roman"/>
          <w:iCs w:val="0"/>
          <w:noProof/>
          <w:color w:val="auto"/>
          <w:sz w:val="22"/>
          <w:szCs w:val="22"/>
        </w:rPr>
        <w:t>1.</w:t>
      </w:r>
      <w:r w:rsidR="00582928" w:rsidRPr="0049559D">
        <w:rPr>
          <w:rFonts w:ascii="Times New Roman" w:eastAsia="Times New Roman" w:hAnsi="Times New Roman" w:cs="Times New Roman"/>
          <w:iCs w:val="0"/>
          <w:noProof/>
          <w:color w:val="auto"/>
          <w:sz w:val="22"/>
          <w:szCs w:val="22"/>
        </w:rPr>
        <w:t xml:space="preserve">3 </w:t>
      </w:r>
      <w:r w:rsidR="00A61D8E" w:rsidRPr="0049559D">
        <w:rPr>
          <w:rFonts w:ascii="Times New Roman" w:eastAsia="Times New Roman" w:hAnsi="Times New Roman" w:cs="Times New Roman"/>
          <w:iCs w:val="0"/>
          <w:noProof/>
          <w:color w:val="auto"/>
          <w:sz w:val="22"/>
          <w:szCs w:val="22"/>
        </w:rPr>
        <w:t>Dematerialized genetic resources</w:t>
      </w:r>
      <w:r w:rsidR="001F2258">
        <w:rPr>
          <w:rFonts w:eastAsia="Calibri"/>
          <w:bCs/>
          <w:sz w:val="22"/>
          <w:szCs w:val="22"/>
          <w:vertAlign w:val="superscript"/>
          <w:lang w:eastAsia="en-US"/>
        </w:rPr>
        <w:t>6</w:t>
      </w:r>
    </w:p>
    <w:p w14:paraId="211FDE45" w14:textId="77777777" w:rsidR="00F92700" w:rsidRPr="00BB430C" w:rsidRDefault="00F92700" w:rsidP="00F92700">
      <w:pPr>
        <w:pStyle w:val="TableEntry"/>
        <w:spacing w:before="120" w:after="120"/>
      </w:pPr>
      <w:r w:rsidRPr="00BB430C">
        <w:t xml:space="preserve">Dematerialization of the use of genetic resources was described by the Secretary of the ITPGRFA (Treaty) as “the increasing trend for the information and knowledge content of genetic material to be extracted, processed and exchanged in its own right, </w:t>
      </w:r>
      <w:r w:rsidRPr="00A71353">
        <w:rPr>
          <w:u w:val="single"/>
        </w:rPr>
        <w:t>detached</w:t>
      </w:r>
      <w:r w:rsidRPr="00BB430C">
        <w:t xml:space="preserve"> from the physical exchange of the plant genetic material: value is increasingly created at the level of the processing and use of such information and knowledge”</w:t>
      </w:r>
      <w:r w:rsidR="006E28E6">
        <w:t xml:space="preserve"> </w:t>
      </w:r>
      <w:r w:rsidR="001C037C">
        <w:t>(emphasis added to FAO, 2013)</w:t>
      </w:r>
      <w:r w:rsidRPr="00BB430C">
        <w:t>.</w:t>
      </w:r>
    </w:p>
    <w:p w14:paraId="5E9EBC61" w14:textId="77777777" w:rsidR="00F92700" w:rsidRPr="00BB430C" w:rsidRDefault="00F92700" w:rsidP="00F92700">
      <w:pPr>
        <w:pStyle w:val="TableEntry"/>
        <w:spacing w:before="120" w:after="120"/>
      </w:pPr>
      <w:r w:rsidRPr="00BB430C">
        <w:t xml:space="preserve">In paragraph 86 of the CGRFA-16/17/Report </w:t>
      </w:r>
      <w:r w:rsidR="001C037C">
        <w:t>(CGRFA, 2017)</w:t>
      </w:r>
      <w:r w:rsidRPr="00BB430C">
        <w:t xml:space="preserve">, “dematerialized genetic resources” is included as a term </w:t>
      </w:r>
      <w:r w:rsidR="009746F7">
        <w:t>associated with</w:t>
      </w:r>
      <w:r w:rsidRPr="00BB430C">
        <w:t xml:space="preserve"> DSI. Dematerialized genetic resources could be what some refer to as intangible genetic resources, or be included in derivative products </w:t>
      </w:r>
      <w:r w:rsidR="001C037C">
        <w:t>(Tvedt and Young, 2007; Bagley and Rai, 2013; Bagley, 2016)</w:t>
      </w:r>
      <w:r w:rsidRPr="00BB430C">
        <w:t xml:space="preserve">. Intangible when referring to property can mean “information, reputation, and the like” and “is generally characterized as non-physical property where owner’s rights surround control of physical manifestations or tokens of some abstract idea or type” </w:t>
      </w:r>
      <w:r w:rsidR="001C037C">
        <w:t>(Moore, 2000)</w:t>
      </w:r>
      <w:r w:rsidRPr="00BB430C">
        <w:t>.</w:t>
      </w:r>
    </w:p>
    <w:p w14:paraId="0AADC1BD" w14:textId="77777777" w:rsidR="00F92700" w:rsidRPr="00BB430C" w:rsidRDefault="00F92700" w:rsidP="00F92700">
      <w:pPr>
        <w:pStyle w:val="TableEntry"/>
        <w:spacing w:before="120" w:after="120"/>
      </w:pPr>
      <w:r w:rsidRPr="00BB430C">
        <w:t xml:space="preserve">Intangible genetic resources distinguishes between “invisible” information and “visible” genetic material and as a concept contrasts with materialistic scientific conceptions discussed above, but also from “dematerialized use” where information is a commodity or has a value independent of biological material. As the Secretary said: “Breeding is no longer so focused on plant genetic resources as </w:t>
      </w:r>
      <w:r w:rsidRPr="00BB430C">
        <w:rPr>
          <w:i/>
        </w:rPr>
        <w:t>raw materials</w:t>
      </w:r>
      <w:r w:rsidRPr="00BB430C">
        <w:t xml:space="preserve">” </w:t>
      </w:r>
      <w:r w:rsidR="001C037C">
        <w:t>(FAO, 2013)</w:t>
      </w:r>
      <w:r w:rsidRPr="00BB430C">
        <w:t>. If the focus is only this, then “your Treaty which, even in embryonic form, address the non-material values of genetic resources, such as Article 17, and Articles 13.2a and b, you may, in seven to ten years’ time, find yourself with a static museum of raw materials, rather than a dynamic framework which facilitates and governs the ongoing innovative uses of genetic resources, at the level of their epistemic value, i.e. their information and knowledge values, including characterization data, genomic data, trait</w:t>
      </w:r>
      <w:r w:rsidR="00B05ECC">
        <w:t xml:space="preserve">s and even environmental data” </w:t>
      </w:r>
      <w:r w:rsidR="001C037C">
        <w:t>(FAO, 2013)</w:t>
      </w:r>
      <w:r w:rsidRPr="00BB430C">
        <w:t xml:space="preserve">. Likewise, in the First Meeting of the Expert Consultation on the Global Information System on Plant Genetic Resources for Food and Agriculture (GLIS), </w:t>
      </w:r>
      <w:r w:rsidRPr="00BB430C">
        <w:lastRenderedPageBreak/>
        <w:t xml:space="preserve">information associated with germplasm was described alongside “value addition activities” </w:t>
      </w:r>
      <w:r w:rsidR="001C037C">
        <w:t>(paragraph 6</w:t>
      </w:r>
      <w:r w:rsidR="00860F26">
        <w:t>,</w:t>
      </w:r>
      <w:r w:rsidR="001C037C">
        <w:t xml:space="preserve"> GLIS, 2015)</w:t>
      </w:r>
      <w:r w:rsidRPr="00BB430C">
        <w:t xml:space="preserve">. </w:t>
      </w:r>
    </w:p>
    <w:p w14:paraId="46EE23BC" w14:textId="77777777" w:rsidR="00F92700" w:rsidRPr="00BB430C" w:rsidRDefault="00F92700" w:rsidP="00F92700">
      <w:pPr>
        <w:pStyle w:val="TableEntry"/>
        <w:spacing w:before="120" w:after="120"/>
      </w:pPr>
      <w:r w:rsidRPr="00BB430C">
        <w:t xml:space="preserve">The value of the genetic material of seeds is in the </w:t>
      </w:r>
      <w:r w:rsidR="009746F7">
        <w:t>biological</w:t>
      </w:r>
      <w:r w:rsidR="009746F7" w:rsidRPr="00BB430C">
        <w:t xml:space="preserve"> </w:t>
      </w:r>
      <w:r w:rsidRPr="00BB430C">
        <w:t xml:space="preserve">material that may be used or exchanged. Dematerialization </w:t>
      </w:r>
      <w:r w:rsidRPr="00BB430C">
        <w:rPr>
          <w:i/>
        </w:rPr>
        <w:t>of the use</w:t>
      </w:r>
      <w:r w:rsidRPr="00BB430C">
        <w:t xml:space="preserve"> of genetic resources, where value is created at the level of the processing and use of, for example, DNA sequence in databases, is made possible because of the contextual and quantitative information embedded into it. As is discussed in more detail in Chapter </w:t>
      </w:r>
      <w:r w:rsidR="00846EF6">
        <w:t>III</w:t>
      </w:r>
      <w:r w:rsidRPr="00BB430C">
        <w:t>, knowing DNA sequences of the plant genome can be used to identify or design physical and analytic tools</w:t>
      </w:r>
      <w:r w:rsidR="00C54725">
        <w:t xml:space="preserve"> (for </w:t>
      </w:r>
      <w:r w:rsidR="004777C4">
        <w:t>“</w:t>
      </w:r>
      <w:r w:rsidR="00C54725">
        <w:t>markers</w:t>
      </w:r>
      <w:r w:rsidR="004777C4">
        <w:t>”</w:t>
      </w:r>
      <w:r w:rsidR="00C54725">
        <w:t>)</w:t>
      </w:r>
      <w:r w:rsidRPr="00BB430C">
        <w:t xml:space="preserve"> that can “be used to follow the inheritance of linked traits during the breeding cycle, reducing phenotyping requirements” </w:t>
      </w:r>
      <w:r w:rsidR="001C037C">
        <w:t>(GLIS, 2015)</w:t>
      </w:r>
      <w:r w:rsidRPr="00BB430C">
        <w:t>. To sell or use these is not to use the seed. As such, both use and value have been uncoupled from the seed or its exchange, but it nonetheless supports</w:t>
      </w:r>
      <w:r w:rsidR="004777C4">
        <w:t>, for example,</w:t>
      </w:r>
      <w:r w:rsidR="00C616BC">
        <w:t xml:space="preserve"> </w:t>
      </w:r>
      <w:r w:rsidRPr="00BB430C">
        <w:t>breeding and conservation outcomes.</w:t>
      </w:r>
    </w:p>
    <w:p w14:paraId="38DDC65A" w14:textId="77777777" w:rsidR="00F92700" w:rsidRDefault="00F92700" w:rsidP="00F92700">
      <w:pPr>
        <w:pStyle w:val="TableEntry"/>
        <w:spacing w:before="120" w:after="120"/>
      </w:pPr>
      <w:r w:rsidRPr="00BB430C">
        <w:t xml:space="preserve">As is discussed in more detail in Chapters </w:t>
      </w:r>
      <w:r w:rsidR="00846EF6">
        <w:t>III</w:t>
      </w:r>
      <w:r w:rsidRPr="00BB430C">
        <w:t xml:space="preserve"> and </w:t>
      </w:r>
      <w:r w:rsidR="00846EF6">
        <w:t>IV</w:t>
      </w:r>
      <w:r w:rsidRPr="00BB430C">
        <w:t>, information and knowledge content of genetic material is being gathered on a scale that creates even more opportunit</w:t>
      </w:r>
      <w:r w:rsidR="00C54725">
        <w:t>ies for value. Genome sequences have become</w:t>
      </w:r>
      <w:r w:rsidR="002B26B3">
        <w:t xml:space="preserve"> the scale of</w:t>
      </w:r>
      <w:r w:rsidRPr="00BB430C">
        <w:t xml:space="preserve"> </w:t>
      </w:r>
      <w:r w:rsidR="004777C4">
        <w:t>“</w:t>
      </w:r>
      <w:r w:rsidRPr="00BB430C">
        <w:t>big data</w:t>
      </w:r>
      <w:r w:rsidR="004777C4">
        <w:t>”</w:t>
      </w:r>
      <w:r w:rsidRPr="00BB430C">
        <w:t xml:space="preserve"> </w:t>
      </w:r>
      <w:r w:rsidR="001C037C">
        <w:t>(Rajan, 2015)</w:t>
      </w:r>
      <w:r w:rsidRPr="00BB430C">
        <w:t>. Information on genetic resources provides the basis for levels of analysis that would be impossible with smaller data sets. Qualitatively new skills and knowledge emerge from this resource, not all of which require, or must be applied to, biological material.</w:t>
      </w:r>
    </w:p>
    <w:p w14:paraId="2F0F497B" w14:textId="77777777" w:rsidR="00BB430C" w:rsidRPr="00BB430C" w:rsidRDefault="00BB430C" w:rsidP="00F92700">
      <w:pPr>
        <w:pStyle w:val="TableEntry"/>
        <w:spacing w:before="120" w:after="120"/>
      </w:pPr>
    </w:p>
    <w:p w14:paraId="7882C4E7" w14:textId="77777777" w:rsidR="000B3CEB" w:rsidRPr="00796F66" w:rsidRDefault="007477C6" w:rsidP="00F92700">
      <w:pPr>
        <w:pStyle w:val="TableEntry"/>
        <w:spacing w:before="120" w:after="120"/>
        <w:rPr>
          <w:b/>
          <w:sz w:val="24"/>
          <w:szCs w:val="24"/>
        </w:rPr>
      </w:pPr>
      <w:r w:rsidRPr="00796F66">
        <w:rPr>
          <w:b/>
          <w:sz w:val="24"/>
          <w:szCs w:val="24"/>
        </w:rPr>
        <w:t>2</w:t>
      </w:r>
      <w:r w:rsidR="00582928" w:rsidRPr="00796F66">
        <w:rPr>
          <w:b/>
          <w:sz w:val="24"/>
          <w:szCs w:val="24"/>
        </w:rPr>
        <w:t>.</w:t>
      </w:r>
      <w:r w:rsidR="0049559D" w:rsidRPr="00796F66">
        <w:rPr>
          <w:b/>
          <w:sz w:val="24"/>
          <w:szCs w:val="24"/>
        </w:rPr>
        <w:t>2</w:t>
      </w:r>
      <w:r w:rsidR="00582928" w:rsidRPr="00796F66">
        <w:rPr>
          <w:b/>
          <w:sz w:val="24"/>
          <w:szCs w:val="24"/>
        </w:rPr>
        <w:t xml:space="preserve"> </w:t>
      </w:r>
      <w:r w:rsidR="000B3CEB" w:rsidRPr="00796F66">
        <w:rPr>
          <w:b/>
          <w:sz w:val="24"/>
          <w:szCs w:val="24"/>
        </w:rPr>
        <w:t>Common characteristics of terms</w:t>
      </w:r>
    </w:p>
    <w:p w14:paraId="4BC8CE39" w14:textId="77777777" w:rsidR="00F92700" w:rsidRPr="00BB430C" w:rsidRDefault="00A70544" w:rsidP="00F92700">
      <w:pPr>
        <w:pStyle w:val="TableEntry"/>
        <w:spacing w:before="120" w:after="120"/>
      </w:pPr>
      <w:r>
        <w:t>T</w:t>
      </w:r>
      <w:r w:rsidR="00F92700" w:rsidRPr="00BB430C">
        <w:t>he wide range of terms associated with DSI and discussed abov</w:t>
      </w:r>
      <w:r>
        <w:t>e have</w:t>
      </w:r>
      <w:r w:rsidR="00F92700" w:rsidRPr="00BB430C">
        <w:t xml:space="preserve"> some characteristics in common. With the possible exception of the term “dematerialized genetic resources”</w:t>
      </w:r>
      <w:r w:rsidR="001F2258" w:rsidRPr="001F2258">
        <w:rPr>
          <w:rFonts w:eastAsia="Calibri"/>
          <w:bCs/>
          <w:vertAlign w:val="superscript"/>
          <w:lang w:eastAsia="en-US"/>
        </w:rPr>
        <w:t xml:space="preserve"> </w:t>
      </w:r>
      <w:r w:rsidR="001F2258">
        <w:rPr>
          <w:rFonts w:eastAsia="Calibri"/>
          <w:bCs/>
          <w:vertAlign w:val="superscript"/>
          <w:lang w:eastAsia="en-US"/>
        </w:rPr>
        <w:t>6</w:t>
      </w:r>
      <w:r w:rsidR="00F92700" w:rsidRPr="00BB430C">
        <w:t xml:space="preserve">, they all refer to things with the ability to interchange information stored in physical material, such as DNA, with information </w:t>
      </w:r>
      <w:r w:rsidR="00F92700" w:rsidRPr="00BB430C">
        <w:rPr>
          <w:i/>
        </w:rPr>
        <w:t>in silico</w:t>
      </w:r>
      <w:r w:rsidR="00F92700" w:rsidRPr="00BB430C">
        <w:t>, that which is used in</w:t>
      </w:r>
      <w:r w:rsidR="006274A8">
        <w:t>, for example,</w:t>
      </w:r>
      <w:r w:rsidR="00F92700" w:rsidRPr="00BB430C">
        <w:t xml:space="preserve"> electronic media.</w:t>
      </w:r>
    </w:p>
    <w:p w14:paraId="719C47BB" w14:textId="77777777" w:rsidR="00F92700" w:rsidRPr="00BB430C" w:rsidRDefault="00F92700" w:rsidP="00F92700">
      <w:pPr>
        <w:pStyle w:val="TableEntry"/>
        <w:spacing w:before="120" w:after="120"/>
      </w:pPr>
      <w:r w:rsidRPr="00BB430C">
        <w:t xml:space="preserve">The terms differ in broadness of the kinds of information that apply to GRFA. GSD can be used in a way that is more specific than is genetic information which is more specific than </w:t>
      </w:r>
      <w:r w:rsidRPr="00BB430C">
        <w:rPr>
          <w:i/>
        </w:rPr>
        <w:t>in silico</w:t>
      </w:r>
      <w:r w:rsidRPr="00BB430C">
        <w:t xml:space="preserve"> utilization and dematerialized use of genetic resources. Setting aside metadata, GSD could mean no more than a series of letters, such as A,G,C,T, representing a sequence of nucleotides in DNA.</w:t>
      </w:r>
    </w:p>
    <w:p w14:paraId="1378C7C6" w14:textId="77777777" w:rsidR="00F92700" w:rsidRPr="00BB430C" w:rsidRDefault="00F92700">
      <w:pPr>
        <w:pStyle w:val="TableEntry"/>
        <w:spacing w:before="120" w:after="120"/>
      </w:pPr>
      <w:r w:rsidRPr="00BB430C">
        <w:t>In practice, however, GSD is always linked to metadata</w:t>
      </w:r>
      <w:r w:rsidR="00A70544">
        <w:t xml:space="preserve"> and schema</w:t>
      </w:r>
      <w:r w:rsidR="00846EF6">
        <w:t>ta</w:t>
      </w:r>
      <w:r w:rsidRPr="00BB430C">
        <w:t>, which are contextual</w:t>
      </w:r>
      <w:r w:rsidR="006239F0">
        <w:t xml:space="preserve"> (Figure </w:t>
      </w:r>
      <w:r w:rsidR="00117E56">
        <w:t>I.3</w:t>
      </w:r>
      <w:r w:rsidR="00A70544">
        <w:t>)</w:t>
      </w:r>
      <w:r w:rsidRPr="00BB430C">
        <w:t xml:space="preserve">. They range from such things as sequence orientation to geographic and phenotypic data and are ubiquitous in the databases </w:t>
      </w:r>
      <w:r w:rsidR="001C037C">
        <w:t>(Zamir, 2013; Manzella, 2016)</w:t>
      </w:r>
      <w:r w:rsidRPr="00BB430C">
        <w:t xml:space="preserve">. For an example of how contextual DSI from biome studies is used in GRFA, see Box </w:t>
      </w:r>
      <w:r w:rsidR="00A70544">
        <w:t>I.</w:t>
      </w:r>
      <w:r w:rsidRPr="00BB430C">
        <w:t>1. These data also may be used separately from the sequence data.</w:t>
      </w:r>
    </w:p>
    <w:p w14:paraId="1B94ADB4" w14:textId="77777777" w:rsidR="00C04B32" w:rsidRDefault="00F92700" w:rsidP="00F92700">
      <w:pPr>
        <w:pStyle w:val="TableEntry"/>
        <w:spacing w:before="120" w:after="120"/>
      </w:pPr>
      <w:r w:rsidRPr="00BB430C">
        <w:t xml:space="preserve">The terms also have in common that they describe kinds of information that are amenable to study using the same methodologies. The same methodologies can be applied to information in DNA sequences and the scientific literature </w:t>
      </w:r>
      <w:r w:rsidR="001C037C">
        <w:t>(Al-Aamri</w:t>
      </w:r>
      <w:r w:rsidR="001C037C" w:rsidRPr="001C037C">
        <w:rPr>
          <w:i/>
        </w:rPr>
        <w:t xml:space="preserve"> et al.</w:t>
      </w:r>
      <w:r w:rsidR="001C037C">
        <w:t>, 2017)</w:t>
      </w:r>
      <w:r w:rsidRPr="00BB430C">
        <w:t xml:space="preserve">. Bioinformatics is a science of such methods. It is the “organization and analysis of biological and related information, usually involving the use of computers to develop databases, retrieval mechanisms, and data analysis tools, especially in the fields of molecular biology, structural biology, and genetics” </w:t>
      </w:r>
      <w:r w:rsidR="001C037C">
        <w:t>(NLM)</w:t>
      </w:r>
      <w:r w:rsidRPr="00BB430C">
        <w:t>. Synthetic biology is another. It links bioinformatics and biological engineering, from design through to construction.</w:t>
      </w:r>
    </w:p>
    <w:p w14:paraId="31D8A3C4" w14:textId="77777777" w:rsidR="00BB430C" w:rsidRPr="00BB430C" w:rsidRDefault="00117E56" w:rsidP="00F92700">
      <w:pPr>
        <w:pStyle w:val="TableEntry"/>
        <w:spacing w:before="120" w:after="120"/>
      </w:pPr>
      <w:r w:rsidRPr="000770CD">
        <w:rPr>
          <w:lang w:val="en-CA" w:eastAsia="en-CA"/>
        </w:rPr>
        <w:lastRenderedPageBreak/>
        <mc:AlternateContent>
          <mc:Choice Requires="wps">
            <w:drawing>
              <wp:anchor distT="114935" distB="114935" distL="114300" distR="114300" simplePos="0" relativeHeight="251706368" behindDoc="0" locked="0" layoutInCell="1" allowOverlap="1" wp14:anchorId="70F04CF1" wp14:editId="4DC4B57B">
                <wp:simplePos x="0" y="0"/>
                <wp:positionH relativeFrom="column">
                  <wp:posOffset>0</wp:posOffset>
                </wp:positionH>
                <wp:positionV relativeFrom="paragraph">
                  <wp:posOffset>347980</wp:posOffset>
                </wp:positionV>
                <wp:extent cx="5143500" cy="6807200"/>
                <wp:effectExtent l="0" t="0" r="19050" b="12700"/>
                <wp:wrapTopAndBottom/>
                <wp:docPr id="13" name="Text Box 13"/>
                <wp:cNvGraphicFramePr/>
                <a:graphic xmlns:a="http://schemas.openxmlformats.org/drawingml/2006/main">
                  <a:graphicData uri="http://schemas.microsoft.com/office/word/2010/wordprocessingShape">
                    <wps:wsp>
                      <wps:cNvSpPr txBox="1"/>
                      <wps:spPr>
                        <a:xfrm>
                          <a:off x="0" y="0"/>
                          <a:ext cx="5143500" cy="6807200"/>
                        </a:xfrm>
                        <a:prstGeom prst="rect">
                          <a:avLst/>
                        </a:prstGeom>
                        <a:ln w="12700" cmpd="sng"/>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2">
                          <a:schemeClr val="dk1"/>
                        </a:lnRef>
                        <a:fillRef idx="1">
                          <a:schemeClr val="lt1"/>
                        </a:fillRef>
                        <a:effectRef idx="0">
                          <a:schemeClr val="dk1"/>
                        </a:effectRef>
                        <a:fontRef idx="minor">
                          <a:schemeClr val="dk1"/>
                        </a:fontRef>
                      </wps:style>
                      <wps:txbx>
                        <w:txbxContent>
                          <w:tbl>
                            <w:tblPr>
                              <w:tblW w:w="7813" w:type="dxa"/>
                              <w:tblInd w:w="93" w:type="dxa"/>
                              <w:tblLayout w:type="fixed"/>
                              <w:tblLook w:val="04A0" w:firstRow="1" w:lastRow="0" w:firstColumn="1" w:lastColumn="0" w:noHBand="0" w:noVBand="1"/>
                            </w:tblPr>
                            <w:tblGrid>
                              <w:gridCol w:w="2993"/>
                              <w:gridCol w:w="992"/>
                              <w:gridCol w:w="2835"/>
                              <w:gridCol w:w="993"/>
                            </w:tblGrid>
                            <w:tr w:rsidR="00F63D94" w:rsidRPr="008C21D6" w14:paraId="5C004942" w14:textId="77777777" w:rsidTr="008C21D6">
                              <w:trPr>
                                <w:trHeight w:val="320"/>
                              </w:trPr>
                              <w:tc>
                                <w:tcPr>
                                  <w:tcW w:w="2993" w:type="dxa"/>
                                  <w:tcBorders>
                                    <w:top w:val="nil"/>
                                    <w:left w:val="nil"/>
                                    <w:bottom w:val="nil"/>
                                    <w:right w:val="nil"/>
                                  </w:tcBorders>
                                  <w:shd w:val="clear" w:color="auto" w:fill="auto"/>
                                  <w:noWrap/>
                                  <w:vAlign w:val="bottom"/>
                                  <w:hideMark/>
                                </w:tcPr>
                                <w:p w14:paraId="24E4A34D"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Information field </w:t>
                                  </w:r>
                                </w:p>
                              </w:tc>
                              <w:tc>
                                <w:tcPr>
                                  <w:tcW w:w="992" w:type="dxa"/>
                                  <w:tcBorders>
                                    <w:top w:val="nil"/>
                                    <w:left w:val="nil"/>
                                    <w:bottom w:val="nil"/>
                                    <w:right w:val="nil"/>
                                  </w:tcBorders>
                                  <w:shd w:val="clear" w:color="auto" w:fill="auto"/>
                                  <w:noWrap/>
                                  <w:vAlign w:val="bottom"/>
                                  <w:hideMark/>
                                </w:tcPr>
                                <w:p w14:paraId="72598BE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Entries </w:t>
                                  </w:r>
                                </w:p>
                              </w:tc>
                              <w:tc>
                                <w:tcPr>
                                  <w:tcW w:w="2835" w:type="dxa"/>
                                  <w:tcBorders>
                                    <w:top w:val="nil"/>
                                    <w:left w:val="nil"/>
                                    <w:bottom w:val="nil"/>
                                    <w:right w:val="nil"/>
                                  </w:tcBorders>
                                  <w:shd w:val="clear" w:color="auto" w:fill="auto"/>
                                  <w:noWrap/>
                                  <w:vAlign w:val="bottom"/>
                                  <w:hideMark/>
                                </w:tcPr>
                                <w:p w14:paraId="7058E8F8"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Information field </w:t>
                                  </w:r>
                                </w:p>
                              </w:tc>
                              <w:tc>
                                <w:tcPr>
                                  <w:tcW w:w="993" w:type="dxa"/>
                                  <w:tcBorders>
                                    <w:top w:val="nil"/>
                                    <w:left w:val="nil"/>
                                    <w:bottom w:val="nil"/>
                                    <w:right w:val="nil"/>
                                  </w:tcBorders>
                                  <w:shd w:val="clear" w:color="auto" w:fill="auto"/>
                                  <w:noWrap/>
                                  <w:vAlign w:val="bottom"/>
                                  <w:hideMark/>
                                </w:tcPr>
                                <w:p w14:paraId="1DEE5A0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Entries </w:t>
                                  </w:r>
                                </w:p>
                              </w:tc>
                            </w:tr>
                            <w:tr w:rsidR="00F63D94" w:rsidRPr="008C21D6" w14:paraId="0FE7BF0D" w14:textId="77777777" w:rsidTr="008C21D6">
                              <w:trPr>
                                <w:trHeight w:val="320"/>
                              </w:trPr>
                              <w:tc>
                                <w:tcPr>
                                  <w:tcW w:w="3985" w:type="dxa"/>
                                  <w:gridSpan w:val="2"/>
                                  <w:tcBorders>
                                    <w:top w:val="nil"/>
                                    <w:left w:val="nil"/>
                                    <w:bottom w:val="nil"/>
                                    <w:right w:val="nil"/>
                                  </w:tcBorders>
                                  <w:shd w:val="clear" w:color="auto" w:fill="auto"/>
                                  <w:noWrap/>
                                  <w:vAlign w:val="bottom"/>
                                  <w:hideMark/>
                                </w:tcPr>
                                <w:p w14:paraId="120741D8"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Enzyme nomenclature </w:t>
                                  </w:r>
                                </w:p>
                              </w:tc>
                              <w:tc>
                                <w:tcPr>
                                  <w:tcW w:w="2835" w:type="dxa"/>
                                  <w:tcBorders>
                                    <w:top w:val="nil"/>
                                    <w:left w:val="nil"/>
                                    <w:bottom w:val="nil"/>
                                    <w:right w:val="nil"/>
                                  </w:tcBorders>
                                  <w:shd w:val="clear" w:color="auto" w:fill="auto"/>
                                  <w:noWrap/>
                                  <w:vAlign w:val="bottom"/>
                                  <w:hideMark/>
                                </w:tcPr>
                                <w:p w14:paraId="3B75BF48"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Functional parameters </w:t>
                                  </w:r>
                                </w:p>
                              </w:tc>
                              <w:tc>
                                <w:tcPr>
                                  <w:tcW w:w="993" w:type="dxa"/>
                                  <w:tcBorders>
                                    <w:top w:val="nil"/>
                                    <w:left w:val="nil"/>
                                    <w:bottom w:val="nil"/>
                                    <w:right w:val="nil"/>
                                  </w:tcBorders>
                                  <w:shd w:val="clear" w:color="auto" w:fill="auto"/>
                                  <w:noWrap/>
                                  <w:vAlign w:val="bottom"/>
                                  <w:hideMark/>
                                </w:tcPr>
                                <w:p w14:paraId="2F37EF65" w14:textId="77777777" w:rsidR="00F63D94" w:rsidRPr="008C21D6" w:rsidRDefault="00F63D94" w:rsidP="008C21D6">
                                  <w:pPr>
                                    <w:rPr>
                                      <w:bCs/>
                                      <w:color w:val="2A2A2A"/>
                                      <w:sz w:val="22"/>
                                      <w:szCs w:val="22"/>
                                      <w:lang w:val="mi-NZ" w:eastAsia="en-US"/>
                                    </w:rPr>
                                  </w:pPr>
                                </w:p>
                              </w:tc>
                            </w:tr>
                            <w:tr w:rsidR="00F63D94" w:rsidRPr="008C21D6" w14:paraId="31ED767F" w14:textId="77777777" w:rsidTr="008C21D6">
                              <w:trPr>
                                <w:trHeight w:val="360"/>
                              </w:trPr>
                              <w:tc>
                                <w:tcPr>
                                  <w:tcW w:w="2993" w:type="dxa"/>
                                  <w:tcBorders>
                                    <w:top w:val="nil"/>
                                    <w:left w:val="nil"/>
                                    <w:bottom w:val="nil"/>
                                    <w:right w:val="nil"/>
                                  </w:tcBorders>
                                  <w:shd w:val="clear" w:color="auto" w:fill="auto"/>
                                  <w:noWrap/>
                                  <w:vAlign w:val="bottom"/>
                                  <w:hideMark/>
                                </w:tcPr>
                                <w:p w14:paraId="48990288"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EC number </w:t>
                                  </w:r>
                                </w:p>
                              </w:tc>
                              <w:tc>
                                <w:tcPr>
                                  <w:tcW w:w="992" w:type="dxa"/>
                                  <w:tcBorders>
                                    <w:top w:val="nil"/>
                                    <w:left w:val="nil"/>
                                    <w:bottom w:val="nil"/>
                                    <w:right w:val="nil"/>
                                  </w:tcBorders>
                                  <w:shd w:val="clear" w:color="auto" w:fill="auto"/>
                                  <w:noWrap/>
                                  <w:vAlign w:val="bottom"/>
                                  <w:hideMark/>
                                </w:tcPr>
                                <w:p w14:paraId="3102E6B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w:t>
                                  </w:r>
                                  <w:r>
                                    <w:rPr>
                                      <w:bCs/>
                                      <w:color w:val="2A2A2A"/>
                                      <w:sz w:val="22"/>
                                      <w:szCs w:val="22"/>
                                      <w:lang w:val="mi-NZ" w:eastAsia="en-US"/>
                                    </w:rPr>
                                    <w:t xml:space="preserve"> </w:t>
                                  </w:r>
                                  <w:r w:rsidRPr="008C21D6">
                                    <w:rPr>
                                      <w:bCs/>
                                      <w:color w:val="2A2A2A"/>
                                      <w:sz w:val="22"/>
                                      <w:szCs w:val="22"/>
                                      <w:lang w:val="mi-NZ" w:eastAsia="en-US"/>
                                    </w:rPr>
                                    <w:t>869 </w:t>
                                  </w:r>
                                </w:p>
                              </w:tc>
                              <w:tc>
                                <w:tcPr>
                                  <w:tcW w:w="2835" w:type="dxa"/>
                                  <w:tcBorders>
                                    <w:top w:val="nil"/>
                                    <w:left w:val="nil"/>
                                    <w:bottom w:val="nil"/>
                                    <w:right w:val="nil"/>
                                  </w:tcBorders>
                                  <w:shd w:val="clear" w:color="auto" w:fill="auto"/>
                                  <w:noWrap/>
                                  <w:vAlign w:val="bottom"/>
                                  <w:hideMark/>
                                </w:tcPr>
                                <w:p w14:paraId="57599CA6" w14:textId="77777777" w:rsidR="00F63D94" w:rsidRPr="008C21D6" w:rsidRDefault="00F63D94" w:rsidP="008C21D6">
                                  <w:pPr>
                                    <w:rPr>
                                      <w:bCs/>
                                      <w:i/>
                                      <w:iCs/>
                                      <w:color w:val="2A2A2A"/>
                                      <w:sz w:val="22"/>
                                      <w:szCs w:val="22"/>
                                      <w:lang w:val="mi-NZ" w:eastAsia="en-US"/>
                                    </w:rPr>
                                  </w:pPr>
                                  <w:r w:rsidRPr="008C21D6">
                                    <w:rPr>
                                      <w:bCs/>
                                      <w:i/>
                                      <w:iCs/>
                                      <w:color w:val="2A2A2A"/>
                                      <w:sz w:val="22"/>
                                      <w:szCs w:val="22"/>
                                      <w:lang w:val="mi-NZ" w:eastAsia="en-US"/>
                                    </w:rPr>
                                    <w:t>K</w:t>
                                  </w:r>
                                  <w:r w:rsidRPr="008C21D6">
                                    <w:rPr>
                                      <w:bCs/>
                                      <w:color w:val="2A2A2A"/>
                                      <w:sz w:val="22"/>
                                      <w:szCs w:val="22"/>
                                      <w:vertAlign w:val="subscript"/>
                                      <w:lang w:val="mi-NZ" w:eastAsia="en-US"/>
                                    </w:rPr>
                                    <w:t>m</w:t>
                                  </w:r>
                                  <w:r w:rsidRPr="008C21D6">
                                    <w:rPr>
                                      <w:bCs/>
                                      <w:color w:val="2A2A2A"/>
                                      <w:sz w:val="22"/>
                                      <w:szCs w:val="22"/>
                                      <w:lang w:val="mi-NZ" w:eastAsia="en-US"/>
                                    </w:rPr>
                                    <w:t> value </w:t>
                                  </w:r>
                                </w:p>
                              </w:tc>
                              <w:tc>
                                <w:tcPr>
                                  <w:tcW w:w="993" w:type="dxa"/>
                                  <w:tcBorders>
                                    <w:top w:val="nil"/>
                                    <w:left w:val="nil"/>
                                    <w:bottom w:val="nil"/>
                                    <w:right w:val="nil"/>
                                  </w:tcBorders>
                                  <w:shd w:val="clear" w:color="auto" w:fill="auto"/>
                                  <w:noWrap/>
                                  <w:vAlign w:val="bottom"/>
                                  <w:hideMark/>
                                </w:tcPr>
                                <w:p w14:paraId="23DB5F8D"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28 134 </w:t>
                                  </w:r>
                                </w:p>
                              </w:tc>
                            </w:tr>
                            <w:tr w:rsidR="00F63D94" w:rsidRPr="008C21D6" w14:paraId="2D550445" w14:textId="77777777" w:rsidTr="008C21D6">
                              <w:trPr>
                                <w:trHeight w:val="320"/>
                              </w:trPr>
                              <w:tc>
                                <w:tcPr>
                                  <w:tcW w:w="2993" w:type="dxa"/>
                                  <w:tcBorders>
                                    <w:top w:val="nil"/>
                                    <w:left w:val="nil"/>
                                    <w:bottom w:val="nil"/>
                                    <w:right w:val="nil"/>
                                  </w:tcBorders>
                                  <w:shd w:val="clear" w:color="auto" w:fill="auto"/>
                                  <w:noWrap/>
                                  <w:vAlign w:val="bottom"/>
                                  <w:hideMark/>
                                </w:tcPr>
                                <w:p w14:paraId="7DE7AA8B"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Recommended name </w:t>
                                  </w:r>
                                </w:p>
                              </w:tc>
                              <w:tc>
                                <w:tcPr>
                                  <w:tcW w:w="992" w:type="dxa"/>
                                  <w:tcBorders>
                                    <w:top w:val="nil"/>
                                    <w:left w:val="nil"/>
                                    <w:bottom w:val="nil"/>
                                    <w:right w:val="nil"/>
                                  </w:tcBorders>
                                  <w:shd w:val="clear" w:color="auto" w:fill="auto"/>
                                  <w:noWrap/>
                                  <w:vAlign w:val="bottom"/>
                                  <w:hideMark/>
                                </w:tcPr>
                                <w:p w14:paraId="3B86907B"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w:t>
                                  </w:r>
                                  <w:r>
                                    <w:rPr>
                                      <w:bCs/>
                                      <w:color w:val="2A2A2A"/>
                                      <w:sz w:val="22"/>
                                      <w:szCs w:val="22"/>
                                      <w:lang w:val="mi-NZ" w:eastAsia="en-US"/>
                                    </w:rPr>
                                    <w:t xml:space="preserve"> </w:t>
                                  </w:r>
                                  <w:r w:rsidRPr="008C21D6">
                                    <w:rPr>
                                      <w:bCs/>
                                      <w:color w:val="2A2A2A"/>
                                      <w:sz w:val="22"/>
                                      <w:szCs w:val="22"/>
                                      <w:lang w:val="mi-NZ" w:eastAsia="en-US"/>
                                    </w:rPr>
                                    <w:t>509 </w:t>
                                  </w:r>
                                </w:p>
                              </w:tc>
                              <w:tc>
                                <w:tcPr>
                                  <w:tcW w:w="2835" w:type="dxa"/>
                                  <w:tcBorders>
                                    <w:top w:val="nil"/>
                                    <w:left w:val="nil"/>
                                    <w:bottom w:val="nil"/>
                                    <w:right w:val="nil"/>
                                  </w:tcBorders>
                                  <w:shd w:val="clear" w:color="auto" w:fill="auto"/>
                                  <w:noWrap/>
                                  <w:vAlign w:val="bottom"/>
                                  <w:hideMark/>
                                </w:tcPr>
                                <w:p w14:paraId="34618D6F"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Turnover number </w:t>
                                  </w:r>
                                </w:p>
                              </w:tc>
                              <w:tc>
                                <w:tcPr>
                                  <w:tcW w:w="993" w:type="dxa"/>
                                  <w:tcBorders>
                                    <w:top w:val="nil"/>
                                    <w:left w:val="nil"/>
                                    <w:bottom w:val="nil"/>
                                    <w:right w:val="nil"/>
                                  </w:tcBorders>
                                  <w:shd w:val="clear" w:color="auto" w:fill="auto"/>
                                  <w:noWrap/>
                                  <w:vAlign w:val="bottom"/>
                                  <w:hideMark/>
                                </w:tcPr>
                                <w:p w14:paraId="1D7BB17F"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w:t>
                                  </w:r>
                                  <w:r>
                                    <w:rPr>
                                      <w:bCs/>
                                      <w:color w:val="2A2A2A"/>
                                      <w:sz w:val="22"/>
                                      <w:szCs w:val="22"/>
                                      <w:lang w:val="mi-NZ" w:eastAsia="en-US"/>
                                    </w:rPr>
                                    <w:t xml:space="preserve"> </w:t>
                                  </w:r>
                                  <w:r w:rsidRPr="008C21D6">
                                    <w:rPr>
                                      <w:bCs/>
                                      <w:color w:val="2A2A2A"/>
                                      <w:sz w:val="22"/>
                                      <w:szCs w:val="22"/>
                                      <w:lang w:val="mi-NZ" w:eastAsia="en-US"/>
                                    </w:rPr>
                                    <w:t>986 </w:t>
                                  </w:r>
                                </w:p>
                              </w:tc>
                            </w:tr>
                            <w:tr w:rsidR="00F63D94" w:rsidRPr="008C21D6" w14:paraId="17F311C8" w14:textId="77777777" w:rsidTr="008C21D6">
                              <w:trPr>
                                <w:trHeight w:val="320"/>
                              </w:trPr>
                              <w:tc>
                                <w:tcPr>
                                  <w:tcW w:w="2993" w:type="dxa"/>
                                  <w:tcBorders>
                                    <w:top w:val="nil"/>
                                    <w:left w:val="nil"/>
                                    <w:bottom w:val="nil"/>
                                    <w:right w:val="nil"/>
                                  </w:tcBorders>
                                  <w:shd w:val="clear" w:color="auto" w:fill="auto"/>
                                  <w:noWrap/>
                                  <w:vAlign w:val="bottom"/>
                                  <w:hideMark/>
                                </w:tcPr>
                                <w:p w14:paraId="3191883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Systematic name </w:t>
                                  </w:r>
                                </w:p>
                              </w:tc>
                              <w:tc>
                                <w:tcPr>
                                  <w:tcW w:w="992" w:type="dxa"/>
                                  <w:tcBorders>
                                    <w:top w:val="nil"/>
                                    <w:left w:val="nil"/>
                                    <w:bottom w:val="nil"/>
                                    <w:right w:val="nil"/>
                                  </w:tcBorders>
                                  <w:shd w:val="clear" w:color="auto" w:fill="auto"/>
                                  <w:noWrap/>
                                  <w:vAlign w:val="bottom"/>
                                  <w:hideMark/>
                                </w:tcPr>
                                <w:p w14:paraId="37233B7C"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w:t>
                                  </w:r>
                                  <w:r>
                                    <w:rPr>
                                      <w:bCs/>
                                      <w:color w:val="2A2A2A"/>
                                      <w:sz w:val="22"/>
                                      <w:szCs w:val="22"/>
                                      <w:lang w:val="mi-NZ" w:eastAsia="en-US"/>
                                    </w:rPr>
                                    <w:t xml:space="preserve"> </w:t>
                                  </w:r>
                                  <w:r w:rsidRPr="008C21D6">
                                    <w:rPr>
                                      <w:bCs/>
                                      <w:color w:val="2A2A2A"/>
                                      <w:sz w:val="22"/>
                                      <w:szCs w:val="22"/>
                                      <w:lang w:val="mi-NZ" w:eastAsia="en-US"/>
                                    </w:rPr>
                                    <w:t>182 </w:t>
                                  </w:r>
                                </w:p>
                              </w:tc>
                              <w:tc>
                                <w:tcPr>
                                  <w:tcW w:w="2835" w:type="dxa"/>
                                  <w:tcBorders>
                                    <w:top w:val="nil"/>
                                    <w:left w:val="nil"/>
                                    <w:bottom w:val="nil"/>
                                    <w:right w:val="nil"/>
                                  </w:tcBorders>
                                  <w:shd w:val="clear" w:color="auto" w:fill="auto"/>
                                  <w:noWrap/>
                                  <w:vAlign w:val="bottom"/>
                                  <w:hideMark/>
                                </w:tcPr>
                                <w:p w14:paraId="5DADE2E8"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Specific activity </w:t>
                                  </w:r>
                                </w:p>
                              </w:tc>
                              <w:tc>
                                <w:tcPr>
                                  <w:tcW w:w="993" w:type="dxa"/>
                                  <w:tcBorders>
                                    <w:top w:val="nil"/>
                                    <w:left w:val="nil"/>
                                    <w:bottom w:val="nil"/>
                                    <w:right w:val="nil"/>
                                  </w:tcBorders>
                                  <w:shd w:val="clear" w:color="auto" w:fill="auto"/>
                                  <w:noWrap/>
                                  <w:vAlign w:val="bottom"/>
                                  <w:hideMark/>
                                </w:tcPr>
                                <w:p w14:paraId="72E6B678"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11 787 </w:t>
                                  </w:r>
                                </w:p>
                              </w:tc>
                            </w:tr>
                            <w:tr w:rsidR="00F63D94" w:rsidRPr="008C21D6" w14:paraId="2246AFE1" w14:textId="77777777" w:rsidTr="008C21D6">
                              <w:trPr>
                                <w:trHeight w:val="320"/>
                              </w:trPr>
                              <w:tc>
                                <w:tcPr>
                                  <w:tcW w:w="2993" w:type="dxa"/>
                                  <w:tcBorders>
                                    <w:top w:val="nil"/>
                                    <w:left w:val="nil"/>
                                    <w:bottom w:val="nil"/>
                                    <w:right w:val="nil"/>
                                  </w:tcBorders>
                                  <w:shd w:val="clear" w:color="auto" w:fill="auto"/>
                                  <w:noWrap/>
                                  <w:vAlign w:val="bottom"/>
                                  <w:hideMark/>
                                </w:tcPr>
                                <w:p w14:paraId="62FDE69E"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Synonyms </w:t>
                                  </w:r>
                                </w:p>
                              </w:tc>
                              <w:tc>
                                <w:tcPr>
                                  <w:tcW w:w="992" w:type="dxa"/>
                                  <w:tcBorders>
                                    <w:top w:val="nil"/>
                                    <w:left w:val="nil"/>
                                    <w:bottom w:val="nil"/>
                                    <w:right w:val="nil"/>
                                  </w:tcBorders>
                                  <w:shd w:val="clear" w:color="auto" w:fill="auto"/>
                                  <w:noWrap/>
                                  <w:vAlign w:val="bottom"/>
                                  <w:hideMark/>
                                </w:tcPr>
                                <w:p w14:paraId="418527BF"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17 707 </w:t>
                                  </w:r>
                                </w:p>
                              </w:tc>
                              <w:tc>
                                <w:tcPr>
                                  <w:tcW w:w="2835" w:type="dxa"/>
                                  <w:tcBorders>
                                    <w:top w:val="nil"/>
                                    <w:left w:val="nil"/>
                                    <w:bottom w:val="nil"/>
                                    <w:right w:val="nil"/>
                                  </w:tcBorders>
                                  <w:shd w:val="clear" w:color="auto" w:fill="auto"/>
                                  <w:noWrap/>
                                  <w:vAlign w:val="bottom"/>
                                  <w:hideMark/>
                                </w:tcPr>
                                <w:p w14:paraId="2C5296E4"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pH optimum </w:t>
                                  </w:r>
                                </w:p>
                              </w:tc>
                              <w:tc>
                                <w:tcPr>
                                  <w:tcW w:w="993" w:type="dxa"/>
                                  <w:tcBorders>
                                    <w:top w:val="nil"/>
                                    <w:left w:val="nil"/>
                                    <w:bottom w:val="nil"/>
                                    <w:right w:val="nil"/>
                                  </w:tcBorders>
                                  <w:shd w:val="clear" w:color="auto" w:fill="auto"/>
                                  <w:noWrap/>
                                  <w:vAlign w:val="bottom"/>
                                  <w:hideMark/>
                                </w:tcPr>
                                <w:p w14:paraId="77736DC2"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14 037 </w:t>
                                  </w:r>
                                </w:p>
                              </w:tc>
                            </w:tr>
                            <w:tr w:rsidR="00F63D94" w:rsidRPr="008C21D6" w14:paraId="3A202739" w14:textId="77777777" w:rsidTr="008C21D6">
                              <w:trPr>
                                <w:trHeight w:val="320"/>
                              </w:trPr>
                              <w:tc>
                                <w:tcPr>
                                  <w:tcW w:w="2993" w:type="dxa"/>
                                  <w:tcBorders>
                                    <w:top w:val="nil"/>
                                    <w:left w:val="nil"/>
                                    <w:bottom w:val="nil"/>
                                    <w:right w:val="nil"/>
                                  </w:tcBorders>
                                  <w:shd w:val="clear" w:color="auto" w:fill="auto"/>
                                  <w:noWrap/>
                                  <w:vAlign w:val="bottom"/>
                                  <w:hideMark/>
                                </w:tcPr>
                                <w:p w14:paraId="0CD5FCB8"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CAS registry number </w:t>
                                  </w:r>
                                </w:p>
                              </w:tc>
                              <w:tc>
                                <w:tcPr>
                                  <w:tcW w:w="992" w:type="dxa"/>
                                  <w:tcBorders>
                                    <w:top w:val="nil"/>
                                    <w:left w:val="nil"/>
                                    <w:bottom w:val="nil"/>
                                    <w:right w:val="nil"/>
                                  </w:tcBorders>
                                  <w:shd w:val="clear" w:color="auto" w:fill="auto"/>
                                  <w:noWrap/>
                                  <w:vAlign w:val="bottom"/>
                                  <w:hideMark/>
                                </w:tcPr>
                                <w:p w14:paraId="084CD83E"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w:t>
                                  </w:r>
                                  <w:r>
                                    <w:rPr>
                                      <w:bCs/>
                                      <w:color w:val="2A2A2A"/>
                                      <w:sz w:val="22"/>
                                      <w:szCs w:val="22"/>
                                      <w:lang w:val="mi-NZ" w:eastAsia="en-US"/>
                                    </w:rPr>
                                    <w:t xml:space="preserve"> </w:t>
                                  </w:r>
                                  <w:r w:rsidRPr="008C21D6">
                                    <w:rPr>
                                      <w:bCs/>
                                      <w:color w:val="2A2A2A"/>
                                      <w:sz w:val="22"/>
                                      <w:szCs w:val="22"/>
                                      <w:lang w:val="mi-NZ" w:eastAsia="en-US"/>
                                    </w:rPr>
                                    <w:t>552 </w:t>
                                  </w:r>
                                </w:p>
                              </w:tc>
                              <w:tc>
                                <w:tcPr>
                                  <w:tcW w:w="2835" w:type="dxa"/>
                                  <w:tcBorders>
                                    <w:top w:val="nil"/>
                                    <w:left w:val="nil"/>
                                    <w:bottom w:val="nil"/>
                                    <w:right w:val="nil"/>
                                  </w:tcBorders>
                                  <w:shd w:val="clear" w:color="auto" w:fill="auto"/>
                                  <w:noWrap/>
                                  <w:vAlign w:val="bottom"/>
                                  <w:hideMark/>
                                </w:tcPr>
                                <w:p w14:paraId="07107B3F"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pH range </w:t>
                                  </w:r>
                                </w:p>
                              </w:tc>
                              <w:tc>
                                <w:tcPr>
                                  <w:tcW w:w="993" w:type="dxa"/>
                                  <w:tcBorders>
                                    <w:top w:val="nil"/>
                                    <w:left w:val="nil"/>
                                    <w:bottom w:val="nil"/>
                                    <w:right w:val="nil"/>
                                  </w:tcBorders>
                                  <w:shd w:val="clear" w:color="auto" w:fill="auto"/>
                                  <w:noWrap/>
                                  <w:vAlign w:val="bottom"/>
                                  <w:hideMark/>
                                </w:tcPr>
                                <w:p w14:paraId="1E54E69F"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w:t>
                                  </w:r>
                                  <w:r>
                                    <w:rPr>
                                      <w:bCs/>
                                      <w:color w:val="2A2A2A"/>
                                      <w:sz w:val="22"/>
                                      <w:szCs w:val="22"/>
                                      <w:lang w:val="mi-NZ" w:eastAsia="en-US"/>
                                    </w:rPr>
                                    <w:t xml:space="preserve"> </w:t>
                                  </w:r>
                                  <w:r w:rsidRPr="008C21D6">
                                    <w:rPr>
                                      <w:bCs/>
                                      <w:color w:val="2A2A2A"/>
                                      <w:sz w:val="22"/>
                                      <w:szCs w:val="22"/>
                                      <w:lang w:val="mi-NZ" w:eastAsia="en-US"/>
                                    </w:rPr>
                                    <w:t>929 </w:t>
                                  </w:r>
                                </w:p>
                              </w:tc>
                            </w:tr>
                            <w:tr w:rsidR="00F63D94" w:rsidRPr="008C21D6" w14:paraId="77438DE9" w14:textId="77777777" w:rsidTr="008C21D6">
                              <w:trPr>
                                <w:trHeight w:val="320"/>
                              </w:trPr>
                              <w:tc>
                                <w:tcPr>
                                  <w:tcW w:w="2993" w:type="dxa"/>
                                  <w:tcBorders>
                                    <w:top w:val="nil"/>
                                    <w:left w:val="nil"/>
                                    <w:bottom w:val="nil"/>
                                    <w:right w:val="nil"/>
                                  </w:tcBorders>
                                  <w:shd w:val="clear" w:color="auto" w:fill="auto"/>
                                  <w:noWrap/>
                                  <w:vAlign w:val="bottom"/>
                                  <w:hideMark/>
                                </w:tcPr>
                                <w:p w14:paraId="7E8D77CA"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Reaction  </w:t>
                                  </w:r>
                                </w:p>
                              </w:tc>
                              <w:tc>
                                <w:tcPr>
                                  <w:tcW w:w="992" w:type="dxa"/>
                                  <w:tcBorders>
                                    <w:top w:val="nil"/>
                                    <w:left w:val="nil"/>
                                    <w:bottom w:val="nil"/>
                                    <w:right w:val="nil"/>
                                  </w:tcBorders>
                                  <w:shd w:val="clear" w:color="auto" w:fill="auto"/>
                                  <w:noWrap/>
                                  <w:vAlign w:val="bottom"/>
                                  <w:hideMark/>
                                </w:tcPr>
                                <w:p w14:paraId="14398888"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w:t>
                                  </w:r>
                                  <w:r>
                                    <w:rPr>
                                      <w:bCs/>
                                      <w:color w:val="2A2A2A"/>
                                      <w:sz w:val="22"/>
                                      <w:szCs w:val="22"/>
                                      <w:lang w:val="mi-NZ" w:eastAsia="en-US"/>
                                    </w:rPr>
                                    <w:t xml:space="preserve"> </w:t>
                                  </w:r>
                                  <w:r w:rsidRPr="008C21D6">
                                    <w:rPr>
                                      <w:bCs/>
                                      <w:color w:val="2A2A2A"/>
                                      <w:sz w:val="22"/>
                                      <w:szCs w:val="22"/>
                                      <w:lang w:val="mi-NZ" w:eastAsia="en-US"/>
                                    </w:rPr>
                                    <w:t>518 </w:t>
                                  </w:r>
                                </w:p>
                              </w:tc>
                              <w:tc>
                                <w:tcPr>
                                  <w:tcW w:w="2835" w:type="dxa"/>
                                  <w:tcBorders>
                                    <w:top w:val="nil"/>
                                    <w:left w:val="nil"/>
                                    <w:bottom w:val="nil"/>
                                    <w:right w:val="nil"/>
                                  </w:tcBorders>
                                  <w:shd w:val="clear" w:color="auto" w:fill="auto"/>
                                  <w:noWrap/>
                                  <w:vAlign w:val="bottom"/>
                                  <w:hideMark/>
                                </w:tcPr>
                                <w:p w14:paraId="7E377E87"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Temperature optimum </w:t>
                                  </w:r>
                                </w:p>
                              </w:tc>
                              <w:tc>
                                <w:tcPr>
                                  <w:tcW w:w="993" w:type="dxa"/>
                                  <w:tcBorders>
                                    <w:top w:val="nil"/>
                                    <w:left w:val="nil"/>
                                    <w:bottom w:val="nil"/>
                                    <w:right w:val="nil"/>
                                  </w:tcBorders>
                                  <w:shd w:val="clear" w:color="auto" w:fill="auto"/>
                                  <w:noWrap/>
                                  <w:vAlign w:val="bottom"/>
                                  <w:hideMark/>
                                </w:tcPr>
                                <w:p w14:paraId="31FDF8EE"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6</w:t>
                                  </w:r>
                                  <w:r>
                                    <w:rPr>
                                      <w:bCs/>
                                      <w:color w:val="2A2A2A"/>
                                      <w:sz w:val="22"/>
                                      <w:szCs w:val="22"/>
                                      <w:lang w:val="mi-NZ" w:eastAsia="en-US"/>
                                    </w:rPr>
                                    <w:t xml:space="preserve"> </w:t>
                                  </w:r>
                                  <w:r w:rsidRPr="008C21D6">
                                    <w:rPr>
                                      <w:bCs/>
                                      <w:color w:val="2A2A2A"/>
                                      <w:sz w:val="22"/>
                                      <w:szCs w:val="22"/>
                                      <w:lang w:val="mi-NZ" w:eastAsia="en-US"/>
                                    </w:rPr>
                                    <w:t>147 </w:t>
                                  </w:r>
                                </w:p>
                              </w:tc>
                            </w:tr>
                            <w:tr w:rsidR="00F63D94" w:rsidRPr="008C21D6" w14:paraId="5F3F10B3" w14:textId="77777777" w:rsidTr="008C21D6">
                              <w:trPr>
                                <w:trHeight w:val="320"/>
                              </w:trPr>
                              <w:tc>
                                <w:tcPr>
                                  <w:tcW w:w="2993" w:type="dxa"/>
                                  <w:tcBorders>
                                    <w:top w:val="nil"/>
                                    <w:left w:val="nil"/>
                                    <w:bottom w:val="nil"/>
                                    <w:right w:val="nil"/>
                                  </w:tcBorders>
                                  <w:shd w:val="clear" w:color="auto" w:fill="auto"/>
                                  <w:noWrap/>
                                  <w:vAlign w:val="bottom"/>
                                  <w:hideMark/>
                                </w:tcPr>
                                <w:p w14:paraId="75A82079"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Reaction type </w:t>
                                  </w:r>
                                </w:p>
                              </w:tc>
                              <w:tc>
                                <w:tcPr>
                                  <w:tcW w:w="992" w:type="dxa"/>
                                  <w:tcBorders>
                                    <w:top w:val="nil"/>
                                    <w:left w:val="nil"/>
                                    <w:bottom w:val="nil"/>
                                    <w:right w:val="nil"/>
                                  </w:tcBorders>
                                  <w:shd w:val="clear" w:color="auto" w:fill="auto"/>
                                  <w:noWrap/>
                                  <w:vAlign w:val="bottom"/>
                                  <w:hideMark/>
                                </w:tcPr>
                                <w:p w14:paraId="4DF2B379"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4</w:t>
                                  </w:r>
                                  <w:r>
                                    <w:rPr>
                                      <w:bCs/>
                                      <w:color w:val="2A2A2A"/>
                                      <w:sz w:val="22"/>
                                      <w:szCs w:val="22"/>
                                      <w:lang w:val="mi-NZ" w:eastAsia="en-US"/>
                                    </w:rPr>
                                    <w:t xml:space="preserve"> </w:t>
                                  </w:r>
                                  <w:r w:rsidRPr="008C21D6">
                                    <w:rPr>
                                      <w:bCs/>
                                      <w:color w:val="2A2A2A"/>
                                      <w:sz w:val="22"/>
                                      <w:szCs w:val="22"/>
                                      <w:lang w:val="mi-NZ" w:eastAsia="en-US"/>
                                    </w:rPr>
                                    <w:t>123 </w:t>
                                  </w:r>
                                </w:p>
                              </w:tc>
                              <w:tc>
                                <w:tcPr>
                                  <w:tcW w:w="2835" w:type="dxa"/>
                                  <w:tcBorders>
                                    <w:top w:val="nil"/>
                                    <w:left w:val="nil"/>
                                    <w:bottom w:val="nil"/>
                                    <w:right w:val="nil"/>
                                  </w:tcBorders>
                                  <w:shd w:val="clear" w:color="auto" w:fill="auto"/>
                                  <w:noWrap/>
                                  <w:vAlign w:val="bottom"/>
                                  <w:hideMark/>
                                </w:tcPr>
                                <w:p w14:paraId="72DC09FD"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Temperature range </w:t>
                                  </w:r>
                                </w:p>
                              </w:tc>
                              <w:tc>
                                <w:tcPr>
                                  <w:tcW w:w="993" w:type="dxa"/>
                                  <w:tcBorders>
                                    <w:top w:val="nil"/>
                                    <w:left w:val="nil"/>
                                    <w:bottom w:val="nil"/>
                                    <w:right w:val="nil"/>
                                  </w:tcBorders>
                                  <w:shd w:val="clear" w:color="auto" w:fill="auto"/>
                                  <w:noWrap/>
                                  <w:vAlign w:val="bottom"/>
                                  <w:hideMark/>
                                </w:tcPr>
                                <w:p w14:paraId="7E78115D"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908 </w:t>
                                  </w:r>
                                </w:p>
                              </w:tc>
                            </w:tr>
                            <w:tr w:rsidR="00F63D94" w:rsidRPr="008C21D6" w14:paraId="61E71BEF" w14:textId="77777777" w:rsidTr="008C21D6">
                              <w:trPr>
                                <w:trHeight w:val="320"/>
                              </w:trPr>
                              <w:tc>
                                <w:tcPr>
                                  <w:tcW w:w="3985" w:type="dxa"/>
                                  <w:gridSpan w:val="2"/>
                                  <w:tcBorders>
                                    <w:top w:val="nil"/>
                                    <w:left w:val="nil"/>
                                    <w:bottom w:val="nil"/>
                                    <w:right w:val="nil"/>
                                  </w:tcBorders>
                                  <w:shd w:val="clear" w:color="auto" w:fill="auto"/>
                                  <w:noWrap/>
                                  <w:vAlign w:val="bottom"/>
                                  <w:hideMark/>
                                </w:tcPr>
                                <w:p w14:paraId="11707CDF"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Enzyme structure </w:t>
                                  </w:r>
                                </w:p>
                              </w:tc>
                              <w:tc>
                                <w:tcPr>
                                  <w:tcW w:w="2835" w:type="dxa"/>
                                  <w:tcBorders>
                                    <w:top w:val="nil"/>
                                    <w:left w:val="nil"/>
                                    <w:bottom w:val="nil"/>
                                    <w:right w:val="nil"/>
                                  </w:tcBorders>
                                  <w:shd w:val="clear" w:color="auto" w:fill="auto"/>
                                  <w:noWrap/>
                                  <w:vAlign w:val="bottom"/>
                                  <w:hideMark/>
                                </w:tcPr>
                                <w:p w14:paraId="23732253"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Molecular properties </w:t>
                                  </w:r>
                                </w:p>
                              </w:tc>
                              <w:tc>
                                <w:tcPr>
                                  <w:tcW w:w="993" w:type="dxa"/>
                                  <w:tcBorders>
                                    <w:top w:val="nil"/>
                                    <w:left w:val="nil"/>
                                    <w:bottom w:val="nil"/>
                                    <w:right w:val="nil"/>
                                  </w:tcBorders>
                                  <w:shd w:val="clear" w:color="auto" w:fill="auto"/>
                                  <w:noWrap/>
                                  <w:vAlign w:val="bottom"/>
                                  <w:hideMark/>
                                </w:tcPr>
                                <w:p w14:paraId="12F87D2E" w14:textId="77777777" w:rsidR="00F63D94" w:rsidRPr="008C21D6" w:rsidRDefault="00F63D94" w:rsidP="008C21D6">
                                  <w:pPr>
                                    <w:rPr>
                                      <w:bCs/>
                                      <w:color w:val="2A2A2A"/>
                                      <w:sz w:val="22"/>
                                      <w:szCs w:val="22"/>
                                      <w:lang w:val="mi-NZ" w:eastAsia="en-US"/>
                                    </w:rPr>
                                  </w:pPr>
                                </w:p>
                              </w:tc>
                            </w:tr>
                            <w:tr w:rsidR="00F63D94" w:rsidRPr="008C21D6" w14:paraId="76DF6FD2" w14:textId="77777777" w:rsidTr="008C21D6">
                              <w:trPr>
                                <w:trHeight w:val="320"/>
                              </w:trPr>
                              <w:tc>
                                <w:tcPr>
                                  <w:tcW w:w="2993" w:type="dxa"/>
                                  <w:tcBorders>
                                    <w:top w:val="nil"/>
                                    <w:left w:val="nil"/>
                                    <w:bottom w:val="nil"/>
                                    <w:right w:val="nil"/>
                                  </w:tcBorders>
                                  <w:shd w:val="clear" w:color="auto" w:fill="auto"/>
                                  <w:noWrap/>
                                  <w:vAlign w:val="bottom"/>
                                  <w:hideMark/>
                                </w:tcPr>
                                <w:p w14:paraId="7A2791F0"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Molecular weight </w:t>
                                  </w:r>
                                </w:p>
                              </w:tc>
                              <w:tc>
                                <w:tcPr>
                                  <w:tcW w:w="992" w:type="dxa"/>
                                  <w:tcBorders>
                                    <w:top w:val="nil"/>
                                    <w:left w:val="nil"/>
                                    <w:bottom w:val="nil"/>
                                    <w:right w:val="nil"/>
                                  </w:tcBorders>
                                  <w:shd w:val="clear" w:color="auto" w:fill="auto"/>
                                  <w:noWrap/>
                                  <w:vAlign w:val="bottom"/>
                                  <w:hideMark/>
                                </w:tcPr>
                                <w:p w14:paraId="5B169687"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12 329 </w:t>
                                  </w:r>
                                </w:p>
                              </w:tc>
                              <w:tc>
                                <w:tcPr>
                                  <w:tcW w:w="2835" w:type="dxa"/>
                                  <w:tcBorders>
                                    <w:top w:val="nil"/>
                                    <w:left w:val="nil"/>
                                    <w:bottom w:val="nil"/>
                                    <w:right w:val="nil"/>
                                  </w:tcBorders>
                                  <w:shd w:val="clear" w:color="auto" w:fill="auto"/>
                                  <w:noWrap/>
                                  <w:vAlign w:val="bottom"/>
                                  <w:hideMark/>
                                </w:tcPr>
                                <w:p w14:paraId="0C999A14"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pH stability </w:t>
                                  </w:r>
                                </w:p>
                              </w:tc>
                              <w:tc>
                                <w:tcPr>
                                  <w:tcW w:w="993" w:type="dxa"/>
                                  <w:tcBorders>
                                    <w:top w:val="nil"/>
                                    <w:left w:val="nil"/>
                                    <w:bottom w:val="nil"/>
                                    <w:right w:val="nil"/>
                                  </w:tcBorders>
                                  <w:shd w:val="clear" w:color="auto" w:fill="auto"/>
                                  <w:noWrap/>
                                  <w:vAlign w:val="bottom"/>
                                  <w:hideMark/>
                                </w:tcPr>
                                <w:p w14:paraId="7BB8AD5B"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2</w:t>
                                  </w:r>
                                  <w:r>
                                    <w:rPr>
                                      <w:bCs/>
                                      <w:color w:val="2A2A2A"/>
                                      <w:sz w:val="22"/>
                                      <w:szCs w:val="22"/>
                                      <w:lang w:val="mi-NZ" w:eastAsia="en-US"/>
                                    </w:rPr>
                                    <w:t xml:space="preserve"> </w:t>
                                  </w:r>
                                  <w:r w:rsidRPr="008C21D6">
                                    <w:rPr>
                                      <w:bCs/>
                                      <w:color w:val="2A2A2A"/>
                                      <w:sz w:val="22"/>
                                      <w:szCs w:val="22"/>
                                      <w:lang w:val="mi-NZ" w:eastAsia="en-US"/>
                                    </w:rPr>
                                    <w:t>931 </w:t>
                                  </w:r>
                                </w:p>
                              </w:tc>
                            </w:tr>
                            <w:tr w:rsidR="00F63D94" w:rsidRPr="008C21D6" w14:paraId="07F16207" w14:textId="77777777" w:rsidTr="008C21D6">
                              <w:trPr>
                                <w:trHeight w:val="320"/>
                              </w:trPr>
                              <w:tc>
                                <w:tcPr>
                                  <w:tcW w:w="2993" w:type="dxa"/>
                                  <w:tcBorders>
                                    <w:top w:val="nil"/>
                                    <w:left w:val="nil"/>
                                    <w:bottom w:val="nil"/>
                                    <w:right w:val="nil"/>
                                  </w:tcBorders>
                                  <w:shd w:val="clear" w:color="auto" w:fill="auto"/>
                                  <w:noWrap/>
                                  <w:vAlign w:val="bottom"/>
                                  <w:hideMark/>
                                </w:tcPr>
                                <w:p w14:paraId="74D1BD8D"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Subunits </w:t>
                                  </w:r>
                                </w:p>
                              </w:tc>
                              <w:tc>
                                <w:tcPr>
                                  <w:tcW w:w="992" w:type="dxa"/>
                                  <w:tcBorders>
                                    <w:top w:val="nil"/>
                                    <w:left w:val="nil"/>
                                    <w:bottom w:val="nil"/>
                                    <w:right w:val="nil"/>
                                  </w:tcBorders>
                                  <w:shd w:val="clear" w:color="auto" w:fill="auto"/>
                                  <w:noWrap/>
                                  <w:vAlign w:val="bottom"/>
                                  <w:hideMark/>
                                </w:tcPr>
                                <w:p w14:paraId="2D61CA94"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7</w:t>
                                  </w:r>
                                  <w:r>
                                    <w:rPr>
                                      <w:bCs/>
                                      <w:color w:val="2A2A2A"/>
                                      <w:sz w:val="22"/>
                                      <w:szCs w:val="22"/>
                                      <w:lang w:val="mi-NZ" w:eastAsia="en-US"/>
                                    </w:rPr>
                                    <w:t xml:space="preserve"> </w:t>
                                  </w:r>
                                  <w:r w:rsidRPr="008C21D6">
                                    <w:rPr>
                                      <w:bCs/>
                                      <w:color w:val="2A2A2A"/>
                                      <w:sz w:val="22"/>
                                      <w:szCs w:val="22"/>
                                      <w:lang w:val="mi-NZ" w:eastAsia="en-US"/>
                                    </w:rPr>
                                    <w:t>416 </w:t>
                                  </w:r>
                                </w:p>
                              </w:tc>
                              <w:tc>
                                <w:tcPr>
                                  <w:tcW w:w="2835" w:type="dxa"/>
                                  <w:tcBorders>
                                    <w:top w:val="nil"/>
                                    <w:left w:val="nil"/>
                                    <w:bottom w:val="nil"/>
                                    <w:right w:val="nil"/>
                                  </w:tcBorders>
                                  <w:shd w:val="clear" w:color="auto" w:fill="auto"/>
                                  <w:noWrap/>
                                  <w:vAlign w:val="bottom"/>
                                  <w:hideMark/>
                                </w:tcPr>
                                <w:p w14:paraId="1BA54917"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Temperature stability </w:t>
                                  </w:r>
                                </w:p>
                              </w:tc>
                              <w:tc>
                                <w:tcPr>
                                  <w:tcW w:w="993" w:type="dxa"/>
                                  <w:tcBorders>
                                    <w:top w:val="nil"/>
                                    <w:left w:val="nil"/>
                                    <w:bottom w:val="nil"/>
                                    <w:right w:val="nil"/>
                                  </w:tcBorders>
                                  <w:shd w:val="clear" w:color="auto" w:fill="auto"/>
                                  <w:noWrap/>
                                  <w:vAlign w:val="bottom"/>
                                  <w:hideMark/>
                                </w:tcPr>
                                <w:p w14:paraId="2EF1A91C"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6</w:t>
                                  </w:r>
                                  <w:r>
                                    <w:rPr>
                                      <w:bCs/>
                                      <w:color w:val="2A2A2A"/>
                                      <w:sz w:val="22"/>
                                      <w:szCs w:val="22"/>
                                      <w:lang w:val="mi-NZ" w:eastAsia="en-US"/>
                                    </w:rPr>
                                    <w:t xml:space="preserve"> </w:t>
                                  </w:r>
                                  <w:r w:rsidRPr="008C21D6">
                                    <w:rPr>
                                      <w:bCs/>
                                      <w:color w:val="2A2A2A"/>
                                      <w:sz w:val="22"/>
                                      <w:szCs w:val="22"/>
                                      <w:lang w:val="mi-NZ" w:eastAsia="en-US"/>
                                    </w:rPr>
                                    <w:t>825 </w:t>
                                  </w:r>
                                </w:p>
                              </w:tc>
                            </w:tr>
                            <w:tr w:rsidR="00F63D94" w:rsidRPr="008C21D6" w14:paraId="0A05837F" w14:textId="77777777" w:rsidTr="008C21D6">
                              <w:trPr>
                                <w:trHeight w:val="320"/>
                              </w:trPr>
                              <w:tc>
                                <w:tcPr>
                                  <w:tcW w:w="2993" w:type="dxa"/>
                                  <w:tcBorders>
                                    <w:top w:val="nil"/>
                                    <w:left w:val="nil"/>
                                    <w:bottom w:val="nil"/>
                                    <w:right w:val="nil"/>
                                  </w:tcBorders>
                                  <w:shd w:val="clear" w:color="auto" w:fill="auto"/>
                                  <w:noWrap/>
                                  <w:vAlign w:val="bottom"/>
                                  <w:hideMark/>
                                </w:tcPr>
                                <w:p w14:paraId="524A6BA0"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Sequence links </w:t>
                                  </w:r>
                                </w:p>
                              </w:tc>
                              <w:tc>
                                <w:tcPr>
                                  <w:tcW w:w="992" w:type="dxa"/>
                                  <w:tcBorders>
                                    <w:top w:val="nil"/>
                                    <w:left w:val="nil"/>
                                    <w:bottom w:val="nil"/>
                                    <w:right w:val="nil"/>
                                  </w:tcBorders>
                                  <w:shd w:val="clear" w:color="auto" w:fill="auto"/>
                                  <w:noWrap/>
                                  <w:vAlign w:val="bottom"/>
                                  <w:hideMark/>
                                </w:tcPr>
                                <w:p w14:paraId="0C0FC51A"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33 099 </w:t>
                                  </w:r>
                                </w:p>
                              </w:tc>
                              <w:tc>
                                <w:tcPr>
                                  <w:tcW w:w="2835" w:type="dxa"/>
                                  <w:tcBorders>
                                    <w:top w:val="nil"/>
                                    <w:left w:val="nil"/>
                                    <w:bottom w:val="nil"/>
                                    <w:right w:val="nil"/>
                                  </w:tcBorders>
                                  <w:shd w:val="clear" w:color="auto" w:fill="auto"/>
                                  <w:noWrap/>
                                  <w:vAlign w:val="bottom"/>
                                  <w:hideMark/>
                                </w:tcPr>
                                <w:p w14:paraId="5409201B"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General stability </w:t>
                                  </w:r>
                                </w:p>
                              </w:tc>
                              <w:tc>
                                <w:tcPr>
                                  <w:tcW w:w="993" w:type="dxa"/>
                                  <w:tcBorders>
                                    <w:top w:val="nil"/>
                                    <w:left w:val="nil"/>
                                    <w:bottom w:val="nil"/>
                                    <w:right w:val="nil"/>
                                  </w:tcBorders>
                                  <w:shd w:val="clear" w:color="auto" w:fill="auto"/>
                                  <w:noWrap/>
                                  <w:vAlign w:val="bottom"/>
                                  <w:hideMark/>
                                </w:tcPr>
                                <w:p w14:paraId="7D218558"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5</w:t>
                                  </w:r>
                                  <w:r>
                                    <w:rPr>
                                      <w:bCs/>
                                      <w:color w:val="2A2A2A"/>
                                      <w:sz w:val="22"/>
                                      <w:szCs w:val="22"/>
                                      <w:lang w:val="mi-NZ" w:eastAsia="en-US"/>
                                    </w:rPr>
                                    <w:t xml:space="preserve"> </w:t>
                                  </w:r>
                                  <w:r w:rsidRPr="008C21D6">
                                    <w:rPr>
                                      <w:bCs/>
                                      <w:color w:val="2A2A2A"/>
                                      <w:sz w:val="22"/>
                                      <w:szCs w:val="22"/>
                                      <w:lang w:val="mi-NZ" w:eastAsia="en-US"/>
                                    </w:rPr>
                                    <w:t>398 </w:t>
                                  </w:r>
                                </w:p>
                              </w:tc>
                            </w:tr>
                            <w:tr w:rsidR="00F63D94" w:rsidRPr="008C21D6" w14:paraId="78DCA393" w14:textId="77777777" w:rsidTr="008C21D6">
                              <w:trPr>
                                <w:trHeight w:val="320"/>
                              </w:trPr>
                              <w:tc>
                                <w:tcPr>
                                  <w:tcW w:w="2993" w:type="dxa"/>
                                  <w:tcBorders>
                                    <w:top w:val="nil"/>
                                    <w:left w:val="nil"/>
                                    <w:bottom w:val="nil"/>
                                    <w:right w:val="nil"/>
                                  </w:tcBorders>
                                  <w:shd w:val="clear" w:color="auto" w:fill="auto"/>
                                  <w:noWrap/>
                                  <w:vAlign w:val="bottom"/>
                                  <w:hideMark/>
                                </w:tcPr>
                                <w:p w14:paraId="109262CD"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Post-translational modification </w:t>
                                  </w:r>
                                </w:p>
                              </w:tc>
                              <w:tc>
                                <w:tcPr>
                                  <w:tcW w:w="992" w:type="dxa"/>
                                  <w:tcBorders>
                                    <w:top w:val="nil"/>
                                    <w:left w:val="nil"/>
                                    <w:bottom w:val="nil"/>
                                    <w:right w:val="nil"/>
                                  </w:tcBorders>
                                  <w:shd w:val="clear" w:color="auto" w:fill="auto"/>
                                  <w:noWrap/>
                                  <w:vAlign w:val="bottom"/>
                                  <w:hideMark/>
                                </w:tcPr>
                                <w:p w14:paraId="5AE506C5"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w:t>
                                  </w:r>
                                  <w:r>
                                    <w:rPr>
                                      <w:bCs/>
                                      <w:color w:val="2A2A2A"/>
                                      <w:sz w:val="22"/>
                                      <w:szCs w:val="22"/>
                                      <w:lang w:val="mi-NZ" w:eastAsia="en-US"/>
                                    </w:rPr>
                                    <w:t xml:space="preserve"> </w:t>
                                  </w:r>
                                  <w:r w:rsidRPr="008C21D6">
                                    <w:rPr>
                                      <w:bCs/>
                                      <w:color w:val="2A2A2A"/>
                                      <w:sz w:val="22"/>
                                      <w:szCs w:val="22"/>
                                      <w:lang w:val="mi-NZ" w:eastAsia="en-US"/>
                                    </w:rPr>
                                    <w:t>112 </w:t>
                                  </w:r>
                                </w:p>
                              </w:tc>
                              <w:tc>
                                <w:tcPr>
                                  <w:tcW w:w="2835" w:type="dxa"/>
                                  <w:tcBorders>
                                    <w:top w:val="nil"/>
                                    <w:left w:val="nil"/>
                                    <w:bottom w:val="nil"/>
                                    <w:right w:val="nil"/>
                                  </w:tcBorders>
                                  <w:shd w:val="clear" w:color="auto" w:fill="auto"/>
                                  <w:noWrap/>
                                  <w:vAlign w:val="bottom"/>
                                  <w:hideMark/>
                                </w:tcPr>
                                <w:p w14:paraId="1F41AB87"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Organic solvent stability </w:t>
                                  </w:r>
                                </w:p>
                              </w:tc>
                              <w:tc>
                                <w:tcPr>
                                  <w:tcW w:w="993" w:type="dxa"/>
                                  <w:tcBorders>
                                    <w:top w:val="nil"/>
                                    <w:left w:val="nil"/>
                                    <w:bottom w:val="nil"/>
                                    <w:right w:val="nil"/>
                                  </w:tcBorders>
                                  <w:shd w:val="clear" w:color="auto" w:fill="auto"/>
                                  <w:noWrap/>
                                  <w:vAlign w:val="bottom"/>
                                  <w:hideMark/>
                                </w:tcPr>
                                <w:p w14:paraId="355E2C77"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311 </w:t>
                                  </w:r>
                                </w:p>
                              </w:tc>
                            </w:tr>
                            <w:tr w:rsidR="00F63D94" w:rsidRPr="008C21D6" w14:paraId="662A0A6E" w14:textId="77777777" w:rsidTr="008C21D6">
                              <w:trPr>
                                <w:trHeight w:val="320"/>
                              </w:trPr>
                              <w:tc>
                                <w:tcPr>
                                  <w:tcW w:w="2993" w:type="dxa"/>
                                  <w:tcBorders>
                                    <w:top w:val="nil"/>
                                    <w:left w:val="nil"/>
                                    <w:bottom w:val="nil"/>
                                    <w:right w:val="nil"/>
                                  </w:tcBorders>
                                  <w:shd w:val="clear" w:color="auto" w:fill="auto"/>
                                  <w:noWrap/>
                                  <w:vAlign w:val="bottom"/>
                                  <w:hideMark/>
                                </w:tcPr>
                                <w:p w14:paraId="437C3025"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Crystallization </w:t>
                                  </w:r>
                                </w:p>
                              </w:tc>
                              <w:tc>
                                <w:tcPr>
                                  <w:tcW w:w="992" w:type="dxa"/>
                                  <w:tcBorders>
                                    <w:top w:val="nil"/>
                                    <w:left w:val="nil"/>
                                    <w:bottom w:val="nil"/>
                                    <w:right w:val="nil"/>
                                  </w:tcBorders>
                                  <w:shd w:val="clear" w:color="auto" w:fill="auto"/>
                                  <w:noWrap/>
                                  <w:vAlign w:val="bottom"/>
                                  <w:hideMark/>
                                </w:tcPr>
                                <w:p w14:paraId="0E4FCB18"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w:t>
                                  </w:r>
                                  <w:r>
                                    <w:rPr>
                                      <w:bCs/>
                                      <w:color w:val="2A2A2A"/>
                                      <w:sz w:val="22"/>
                                      <w:szCs w:val="22"/>
                                      <w:lang w:val="mi-NZ" w:eastAsia="en-US"/>
                                    </w:rPr>
                                    <w:t xml:space="preserve"> </w:t>
                                  </w:r>
                                  <w:r w:rsidRPr="008C21D6">
                                    <w:rPr>
                                      <w:bCs/>
                                      <w:color w:val="2A2A2A"/>
                                      <w:sz w:val="22"/>
                                      <w:szCs w:val="22"/>
                                      <w:lang w:val="mi-NZ" w:eastAsia="en-US"/>
                                    </w:rPr>
                                    <w:t>003 </w:t>
                                  </w:r>
                                </w:p>
                              </w:tc>
                              <w:tc>
                                <w:tcPr>
                                  <w:tcW w:w="2835" w:type="dxa"/>
                                  <w:tcBorders>
                                    <w:top w:val="nil"/>
                                    <w:left w:val="nil"/>
                                    <w:bottom w:val="nil"/>
                                    <w:right w:val="nil"/>
                                  </w:tcBorders>
                                  <w:shd w:val="clear" w:color="auto" w:fill="auto"/>
                                  <w:noWrap/>
                                  <w:vAlign w:val="bottom"/>
                                  <w:hideMark/>
                                </w:tcPr>
                                <w:p w14:paraId="262F0E6B"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Oxidation stability </w:t>
                                  </w:r>
                                </w:p>
                              </w:tc>
                              <w:tc>
                                <w:tcPr>
                                  <w:tcW w:w="993" w:type="dxa"/>
                                  <w:tcBorders>
                                    <w:top w:val="nil"/>
                                    <w:left w:val="nil"/>
                                    <w:bottom w:val="nil"/>
                                    <w:right w:val="nil"/>
                                  </w:tcBorders>
                                  <w:shd w:val="clear" w:color="auto" w:fill="auto"/>
                                  <w:noWrap/>
                                  <w:vAlign w:val="bottom"/>
                                  <w:hideMark/>
                                </w:tcPr>
                                <w:p w14:paraId="7648E94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349 </w:t>
                                  </w:r>
                                </w:p>
                              </w:tc>
                            </w:tr>
                            <w:tr w:rsidR="00F63D94" w:rsidRPr="008C21D6" w14:paraId="136F65FC" w14:textId="77777777" w:rsidTr="008C21D6">
                              <w:trPr>
                                <w:trHeight w:val="320"/>
                              </w:trPr>
                              <w:tc>
                                <w:tcPr>
                                  <w:tcW w:w="2993" w:type="dxa"/>
                                  <w:tcBorders>
                                    <w:top w:val="nil"/>
                                    <w:left w:val="nil"/>
                                    <w:bottom w:val="nil"/>
                                    <w:right w:val="nil"/>
                                  </w:tcBorders>
                                  <w:shd w:val="clear" w:color="auto" w:fill="auto"/>
                                  <w:noWrap/>
                                  <w:vAlign w:val="bottom"/>
                                  <w:hideMark/>
                                </w:tcPr>
                                <w:p w14:paraId="75DEFC4B"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3D-structure, specific PDB links </w:t>
                                  </w:r>
                                </w:p>
                              </w:tc>
                              <w:tc>
                                <w:tcPr>
                                  <w:tcW w:w="992" w:type="dxa"/>
                                  <w:tcBorders>
                                    <w:top w:val="nil"/>
                                    <w:left w:val="nil"/>
                                    <w:bottom w:val="nil"/>
                                    <w:right w:val="nil"/>
                                  </w:tcBorders>
                                  <w:shd w:val="clear" w:color="auto" w:fill="auto"/>
                                  <w:noWrap/>
                                  <w:vAlign w:val="bottom"/>
                                  <w:hideMark/>
                                </w:tcPr>
                                <w:p w14:paraId="0681BD64"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6</w:t>
                                  </w:r>
                                  <w:r>
                                    <w:rPr>
                                      <w:bCs/>
                                      <w:color w:val="2A2A2A"/>
                                      <w:sz w:val="22"/>
                                      <w:szCs w:val="22"/>
                                      <w:lang w:val="mi-NZ" w:eastAsia="en-US"/>
                                    </w:rPr>
                                    <w:t xml:space="preserve"> </w:t>
                                  </w:r>
                                  <w:r w:rsidRPr="008C21D6">
                                    <w:rPr>
                                      <w:bCs/>
                                      <w:color w:val="2A2A2A"/>
                                      <w:sz w:val="22"/>
                                      <w:szCs w:val="22"/>
                                      <w:lang w:val="mi-NZ" w:eastAsia="en-US"/>
                                    </w:rPr>
                                    <w:t>142 </w:t>
                                  </w:r>
                                </w:p>
                              </w:tc>
                              <w:tc>
                                <w:tcPr>
                                  <w:tcW w:w="2835" w:type="dxa"/>
                                  <w:tcBorders>
                                    <w:top w:val="nil"/>
                                    <w:left w:val="nil"/>
                                    <w:bottom w:val="nil"/>
                                    <w:right w:val="nil"/>
                                  </w:tcBorders>
                                  <w:shd w:val="clear" w:color="auto" w:fill="auto"/>
                                  <w:noWrap/>
                                  <w:vAlign w:val="bottom"/>
                                  <w:hideMark/>
                                </w:tcPr>
                                <w:p w14:paraId="3A4B476C"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Storage stability </w:t>
                                  </w:r>
                                </w:p>
                              </w:tc>
                              <w:tc>
                                <w:tcPr>
                                  <w:tcW w:w="993" w:type="dxa"/>
                                  <w:tcBorders>
                                    <w:top w:val="nil"/>
                                    <w:left w:val="nil"/>
                                    <w:bottom w:val="nil"/>
                                    <w:right w:val="nil"/>
                                  </w:tcBorders>
                                  <w:shd w:val="clear" w:color="auto" w:fill="auto"/>
                                  <w:noWrap/>
                                  <w:vAlign w:val="bottom"/>
                                  <w:hideMark/>
                                </w:tcPr>
                                <w:p w14:paraId="74FFC682"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6</w:t>
                                  </w:r>
                                  <w:r>
                                    <w:rPr>
                                      <w:bCs/>
                                      <w:color w:val="2A2A2A"/>
                                      <w:sz w:val="22"/>
                                      <w:szCs w:val="22"/>
                                      <w:lang w:val="mi-NZ" w:eastAsia="en-US"/>
                                    </w:rPr>
                                    <w:t xml:space="preserve"> </w:t>
                                  </w:r>
                                  <w:r w:rsidRPr="008C21D6">
                                    <w:rPr>
                                      <w:bCs/>
                                      <w:color w:val="2A2A2A"/>
                                      <w:sz w:val="22"/>
                                      <w:szCs w:val="22"/>
                                      <w:lang w:val="mi-NZ" w:eastAsia="en-US"/>
                                    </w:rPr>
                                    <w:t>505 </w:t>
                                  </w:r>
                                </w:p>
                              </w:tc>
                            </w:tr>
                            <w:tr w:rsidR="00F63D94" w:rsidRPr="008C21D6" w14:paraId="58DA40BB" w14:textId="77777777" w:rsidTr="008C21D6">
                              <w:trPr>
                                <w:trHeight w:val="320"/>
                              </w:trPr>
                              <w:tc>
                                <w:tcPr>
                                  <w:tcW w:w="3985" w:type="dxa"/>
                                  <w:gridSpan w:val="2"/>
                                  <w:tcBorders>
                                    <w:top w:val="nil"/>
                                    <w:left w:val="nil"/>
                                    <w:bottom w:val="nil"/>
                                    <w:right w:val="nil"/>
                                  </w:tcBorders>
                                  <w:shd w:val="clear" w:color="auto" w:fill="auto"/>
                                  <w:noWrap/>
                                  <w:vAlign w:val="bottom"/>
                                  <w:hideMark/>
                                </w:tcPr>
                                <w:p w14:paraId="33A838A8"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Enzyme–ligand interactions </w:t>
                                  </w:r>
                                </w:p>
                              </w:tc>
                              <w:tc>
                                <w:tcPr>
                                  <w:tcW w:w="2835" w:type="dxa"/>
                                  <w:tcBorders>
                                    <w:top w:val="nil"/>
                                    <w:left w:val="nil"/>
                                    <w:bottom w:val="nil"/>
                                    <w:right w:val="nil"/>
                                  </w:tcBorders>
                                  <w:shd w:val="clear" w:color="auto" w:fill="auto"/>
                                  <w:noWrap/>
                                  <w:vAlign w:val="bottom"/>
                                  <w:hideMark/>
                                </w:tcPr>
                                <w:p w14:paraId="57926324"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Purification </w:t>
                                  </w:r>
                                </w:p>
                              </w:tc>
                              <w:tc>
                                <w:tcPr>
                                  <w:tcW w:w="993" w:type="dxa"/>
                                  <w:tcBorders>
                                    <w:top w:val="nil"/>
                                    <w:left w:val="nil"/>
                                    <w:bottom w:val="nil"/>
                                    <w:right w:val="nil"/>
                                  </w:tcBorders>
                                  <w:shd w:val="clear" w:color="auto" w:fill="auto"/>
                                  <w:noWrap/>
                                  <w:vAlign w:val="bottom"/>
                                  <w:hideMark/>
                                </w:tcPr>
                                <w:p w14:paraId="25F23B50"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11 176 </w:t>
                                  </w:r>
                                </w:p>
                              </w:tc>
                            </w:tr>
                            <w:tr w:rsidR="00F63D94" w:rsidRPr="008C21D6" w14:paraId="11364752" w14:textId="77777777" w:rsidTr="008C21D6">
                              <w:trPr>
                                <w:trHeight w:val="320"/>
                              </w:trPr>
                              <w:tc>
                                <w:tcPr>
                                  <w:tcW w:w="2993" w:type="dxa"/>
                                  <w:tcBorders>
                                    <w:top w:val="nil"/>
                                    <w:left w:val="nil"/>
                                    <w:bottom w:val="nil"/>
                                    <w:right w:val="nil"/>
                                  </w:tcBorders>
                                  <w:shd w:val="clear" w:color="auto" w:fill="auto"/>
                                  <w:noWrap/>
                                  <w:vAlign w:val="bottom"/>
                                  <w:hideMark/>
                                </w:tcPr>
                                <w:p w14:paraId="47F22983"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Substrates/products </w:t>
                                  </w:r>
                                </w:p>
                              </w:tc>
                              <w:tc>
                                <w:tcPr>
                                  <w:tcW w:w="992" w:type="dxa"/>
                                  <w:tcBorders>
                                    <w:top w:val="nil"/>
                                    <w:left w:val="nil"/>
                                    <w:bottom w:val="nil"/>
                                    <w:right w:val="nil"/>
                                  </w:tcBorders>
                                  <w:shd w:val="clear" w:color="auto" w:fill="auto"/>
                                  <w:noWrap/>
                                  <w:vAlign w:val="bottom"/>
                                  <w:hideMark/>
                                </w:tcPr>
                                <w:p w14:paraId="302F6FCA"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47 630 </w:t>
                                  </w:r>
                                </w:p>
                              </w:tc>
                              <w:tc>
                                <w:tcPr>
                                  <w:tcW w:w="2835" w:type="dxa"/>
                                  <w:tcBorders>
                                    <w:top w:val="nil"/>
                                    <w:left w:val="nil"/>
                                    <w:bottom w:val="nil"/>
                                    <w:right w:val="nil"/>
                                  </w:tcBorders>
                                  <w:shd w:val="clear" w:color="auto" w:fill="auto"/>
                                  <w:noWrap/>
                                  <w:vAlign w:val="bottom"/>
                                  <w:hideMark/>
                                </w:tcPr>
                                <w:p w14:paraId="26E0731F"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Cloned </w:t>
                                  </w:r>
                                </w:p>
                              </w:tc>
                              <w:tc>
                                <w:tcPr>
                                  <w:tcW w:w="993" w:type="dxa"/>
                                  <w:tcBorders>
                                    <w:top w:val="nil"/>
                                    <w:left w:val="nil"/>
                                    <w:bottom w:val="nil"/>
                                    <w:right w:val="nil"/>
                                  </w:tcBorders>
                                  <w:shd w:val="clear" w:color="auto" w:fill="auto"/>
                                  <w:noWrap/>
                                  <w:vAlign w:val="bottom"/>
                                  <w:hideMark/>
                                </w:tcPr>
                                <w:p w14:paraId="0BAD44D5"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2</w:t>
                                  </w:r>
                                  <w:r>
                                    <w:rPr>
                                      <w:bCs/>
                                      <w:color w:val="2A2A2A"/>
                                      <w:sz w:val="22"/>
                                      <w:szCs w:val="22"/>
                                      <w:lang w:val="mi-NZ" w:eastAsia="en-US"/>
                                    </w:rPr>
                                    <w:t xml:space="preserve"> </w:t>
                                  </w:r>
                                  <w:r w:rsidRPr="008C21D6">
                                    <w:rPr>
                                      <w:bCs/>
                                      <w:color w:val="2A2A2A"/>
                                      <w:sz w:val="22"/>
                                      <w:szCs w:val="22"/>
                                      <w:lang w:val="mi-NZ" w:eastAsia="en-US"/>
                                    </w:rPr>
                                    <w:t>015 </w:t>
                                  </w:r>
                                </w:p>
                              </w:tc>
                            </w:tr>
                            <w:tr w:rsidR="00F63D94" w:rsidRPr="008C21D6" w14:paraId="0FD53E2A" w14:textId="77777777" w:rsidTr="008C21D6">
                              <w:trPr>
                                <w:trHeight w:val="320"/>
                              </w:trPr>
                              <w:tc>
                                <w:tcPr>
                                  <w:tcW w:w="2993" w:type="dxa"/>
                                  <w:tcBorders>
                                    <w:top w:val="nil"/>
                                    <w:left w:val="nil"/>
                                    <w:bottom w:val="nil"/>
                                    <w:right w:val="nil"/>
                                  </w:tcBorders>
                                  <w:shd w:val="clear" w:color="auto" w:fill="auto"/>
                                  <w:noWrap/>
                                  <w:vAlign w:val="bottom"/>
                                  <w:hideMark/>
                                </w:tcPr>
                                <w:p w14:paraId="6A5AC125"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Natural substrate </w:t>
                                  </w:r>
                                </w:p>
                              </w:tc>
                              <w:tc>
                                <w:tcPr>
                                  <w:tcW w:w="992" w:type="dxa"/>
                                  <w:tcBorders>
                                    <w:top w:val="nil"/>
                                    <w:left w:val="nil"/>
                                    <w:bottom w:val="nil"/>
                                    <w:right w:val="nil"/>
                                  </w:tcBorders>
                                  <w:shd w:val="clear" w:color="auto" w:fill="auto"/>
                                  <w:noWrap/>
                                  <w:vAlign w:val="bottom"/>
                                  <w:hideMark/>
                                </w:tcPr>
                                <w:p w14:paraId="36B096A9"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7</w:t>
                                  </w:r>
                                  <w:r>
                                    <w:rPr>
                                      <w:bCs/>
                                      <w:color w:val="2A2A2A"/>
                                      <w:sz w:val="22"/>
                                      <w:szCs w:val="22"/>
                                      <w:lang w:val="mi-NZ" w:eastAsia="en-US"/>
                                    </w:rPr>
                                    <w:t xml:space="preserve"> </w:t>
                                  </w:r>
                                  <w:r w:rsidRPr="008C21D6">
                                    <w:rPr>
                                      <w:bCs/>
                                      <w:color w:val="2A2A2A"/>
                                      <w:sz w:val="22"/>
                                      <w:szCs w:val="22"/>
                                      <w:lang w:val="mi-NZ" w:eastAsia="en-US"/>
                                    </w:rPr>
                                    <w:t>668 </w:t>
                                  </w:r>
                                </w:p>
                              </w:tc>
                              <w:tc>
                                <w:tcPr>
                                  <w:tcW w:w="2835" w:type="dxa"/>
                                  <w:tcBorders>
                                    <w:top w:val="nil"/>
                                    <w:left w:val="nil"/>
                                    <w:bottom w:val="nil"/>
                                    <w:right w:val="nil"/>
                                  </w:tcBorders>
                                  <w:shd w:val="clear" w:color="auto" w:fill="auto"/>
                                  <w:noWrap/>
                                  <w:vAlign w:val="bottom"/>
                                  <w:hideMark/>
                                </w:tcPr>
                                <w:p w14:paraId="2F90B2A7"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Engineering </w:t>
                                  </w:r>
                                </w:p>
                              </w:tc>
                              <w:tc>
                                <w:tcPr>
                                  <w:tcW w:w="993" w:type="dxa"/>
                                  <w:tcBorders>
                                    <w:top w:val="nil"/>
                                    <w:left w:val="nil"/>
                                    <w:bottom w:val="nil"/>
                                    <w:right w:val="nil"/>
                                  </w:tcBorders>
                                  <w:shd w:val="clear" w:color="auto" w:fill="auto"/>
                                  <w:noWrap/>
                                  <w:vAlign w:val="bottom"/>
                                  <w:hideMark/>
                                </w:tcPr>
                                <w:p w14:paraId="5D2281AA"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797 </w:t>
                                  </w:r>
                                </w:p>
                              </w:tc>
                            </w:tr>
                            <w:tr w:rsidR="00F63D94" w:rsidRPr="008C21D6" w14:paraId="2A281503" w14:textId="77777777" w:rsidTr="008C21D6">
                              <w:trPr>
                                <w:trHeight w:val="320"/>
                              </w:trPr>
                              <w:tc>
                                <w:tcPr>
                                  <w:tcW w:w="2993" w:type="dxa"/>
                                  <w:tcBorders>
                                    <w:top w:val="nil"/>
                                    <w:left w:val="nil"/>
                                    <w:bottom w:val="nil"/>
                                    <w:right w:val="nil"/>
                                  </w:tcBorders>
                                  <w:shd w:val="clear" w:color="auto" w:fill="auto"/>
                                  <w:noWrap/>
                                  <w:vAlign w:val="bottom"/>
                                  <w:hideMark/>
                                </w:tcPr>
                                <w:p w14:paraId="02BE77DA"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Cofactor </w:t>
                                  </w:r>
                                </w:p>
                              </w:tc>
                              <w:tc>
                                <w:tcPr>
                                  <w:tcW w:w="992" w:type="dxa"/>
                                  <w:tcBorders>
                                    <w:top w:val="nil"/>
                                    <w:left w:val="nil"/>
                                    <w:bottom w:val="nil"/>
                                    <w:right w:val="nil"/>
                                  </w:tcBorders>
                                  <w:shd w:val="clear" w:color="auto" w:fill="auto"/>
                                  <w:noWrap/>
                                  <w:vAlign w:val="bottom"/>
                                  <w:hideMark/>
                                </w:tcPr>
                                <w:p w14:paraId="6008883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6</w:t>
                                  </w:r>
                                  <w:r>
                                    <w:rPr>
                                      <w:bCs/>
                                      <w:color w:val="2A2A2A"/>
                                      <w:sz w:val="22"/>
                                      <w:szCs w:val="22"/>
                                      <w:lang w:val="mi-NZ" w:eastAsia="en-US"/>
                                    </w:rPr>
                                    <w:t xml:space="preserve"> </w:t>
                                  </w:r>
                                  <w:r w:rsidRPr="008C21D6">
                                    <w:rPr>
                                      <w:bCs/>
                                      <w:color w:val="2A2A2A"/>
                                      <w:sz w:val="22"/>
                                      <w:szCs w:val="22"/>
                                      <w:lang w:val="mi-NZ" w:eastAsia="en-US"/>
                                    </w:rPr>
                                    <w:t>217 </w:t>
                                  </w:r>
                                </w:p>
                              </w:tc>
                              <w:tc>
                                <w:tcPr>
                                  <w:tcW w:w="2835" w:type="dxa"/>
                                  <w:tcBorders>
                                    <w:top w:val="nil"/>
                                    <w:left w:val="nil"/>
                                    <w:bottom w:val="nil"/>
                                    <w:right w:val="nil"/>
                                  </w:tcBorders>
                                  <w:shd w:val="clear" w:color="auto" w:fill="auto"/>
                                  <w:noWrap/>
                                  <w:vAlign w:val="bottom"/>
                                  <w:hideMark/>
                                </w:tcPr>
                                <w:p w14:paraId="425E6B4B"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Renatured </w:t>
                                  </w:r>
                                </w:p>
                              </w:tc>
                              <w:tc>
                                <w:tcPr>
                                  <w:tcW w:w="993" w:type="dxa"/>
                                  <w:tcBorders>
                                    <w:top w:val="nil"/>
                                    <w:left w:val="nil"/>
                                    <w:bottom w:val="nil"/>
                                    <w:right w:val="nil"/>
                                  </w:tcBorders>
                                  <w:shd w:val="clear" w:color="auto" w:fill="auto"/>
                                  <w:noWrap/>
                                  <w:vAlign w:val="bottom"/>
                                  <w:hideMark/>
                                </w:tcPr>
                                <w:p w14:paraId="3B46E76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199 </w:t>
                                  </w:r>
                                </w:p>
                              </w:tc>
                            </w:tr>
                            <w:tr w:rsidR="00F63D94" w:rsidRPr="008C21D6" w14:paraId="433DD21F" w14:textId="77777777" w:rsidTr="008C21D6">
                              <w:trPr>
                                <w:trHeight w:val="320"/>
                              </w:trPr>
                              <w:tc>
                                <w:tcPr>
                                  <w:tcW w:w="2993" w:type="dxa"/>
                                  <w:tcBorders>
                                    <w:top w:val="nil"/>
                                    <w:left w:val="nil"/>
                                    <w:bottom w:val="nil"/>
                                    <w:right w:val="nil"/>
                                  </w:tcBorders>
                                  <w:shd w:val="clear" w:color="auto" w:fill="auto"/>
                                  <w:noWrap/>
                                  <w:vAlign w:val="bottom"/>
                                  <w:hideMark/>
                                </w:tcPr>
                                <w:p w14:paraId="5EBAEF93"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Activating compound </w:t>
                                  </w:r>
                                </w:p>
                              </w:tc>
                              <w:tc>
                                <w:tcPr>
                                  <w:tcW w:w="992" w:type="dxa"/>
                                  <w:tcBorders>
                                    <w:top w:val="nil"/>
                                    <w:left w:val="nil"/>
                                    <w:bottom w:val="nil"/>
                                    <w:right w:val="nil"/>
                                  </w:tcBorders>
                                  <w:shd w:val="clear" w:color="auto" w:fill="auto"/>
                                  <w:noWrap/>
                                  <w:vAlign w:val="bottom"/>
                                  <w:hideMark/>
                                </w:tcPr>
                                <w:p w14:paraId="4485D24A"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6</w:t>
                                  </w:r>
                                  <w:r>
                                    <w:rPr>
                                      <w:bCs/>
                                      <w:color w:val="2A2A2A"/>
                                      <w:sz w:val="22"/>
                                      <w:szCs w:val="22"/>
                                      <w:lang w:val="mi-NZ" w:eastAsia="en-US"/>
                                    </w:rPr>
                                    <w:t xml:space="preserve"> </w:t>
                                  </w:r>
                                  <w:r w:rsidRPr="008C21D6">
                                    <w:rPr>
                                      <w:bCs/>
                                      <w:color w:val="2A2A2A"/>
                                      <w:sz w:val="22"/>
                                      <w:szCs w:val="22"/>
                                      <w:lang w:val="mi-NZ" w:eastAsia="en-US"/>
                                    </w:rPr>
                                    <w:t>217 </w:t>
                                  </w:r>
                                </w:p>
                              </w:tc>
                              <w:tc>
                                <w:tcPr>
                                  <w:tcW w:w="2835" w:type="dxa"/>
                                  <w:tcBorders>
                                    <w:top w:val="nil"/>
                                    <w:left w:val="nil"/>
                                    <w:bottom w:val="nil"/>
                                    <w:right w:val="nil"/>
                                  </w:tcBorders>
                                  <w:shd w:val="clear" w:color="auto" w:fill="auto"/>
                                  <w:noWrap/>
                                  <w:vAlign w:val="bottom"/>
                                  <w:hideMark/>
                                </w:tcPr>
                                <w:p w14:paraId="5CE12C5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Application </w:t>
                                  </w:r>
                                </w:p>
                              </w:tc>
                              <w:tc>
                                <w:tcPr>
                                  <w:tcW w:w="993" w:type="dxa"/>
                                  <w:tcBorders>
                                    <w:top w:val="nil"/>
                                    <w:left w:val="nil"/>
                                    <w:bottom w:val="nil"/>
                                    <w:right w:val="nil"/>
                                  </w:tcBorders>
                                  <w:shd w:val="clear" w:color="auto" w:fill="auto"/>
                                  <w:noWrap/>
                                  <w:vAlign w:val="bottom"/>
                                  <w:hideMark/>
                                </w:tcPr>
                                <w:p w14:paraId="456EB5B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338 </w:t>
                                  </w:r>
                                </w:p>
                              </w:tc>
                            </w:tr>
                            <w:tr w:rsidR="00F63D94" w:rsidRPr="008C21D6" w14:paraId="5C14F6A8" w14:textId="77777777" w:rsidTr="008C21D6">
                              <w:trPr>
                                <w:trHeight w:val="320"/>
                              </w:trPr>
                              <w:tc>
                                <w:tcPr>
                                  <w:tcW w:w="2993" w:type="dxa"/>
                                  <w:tcBorders>
                                    <w:top w:val="nil"/>
                                    <w:left w:val="nil"/>
                                    <w:bottom w:val="nil"/>
                                    <w:right w:val="nil"/>
                                  </w:tcBorders>
                                  <w:shd w:val="clear" w:color="auto" w:fill="auto"/>
                                  <w:noWrap/>
                                  <w:vAlign w:val="bottom"/>
                                  <w:hideMark/>
                                </w:tcPr>
                                <w:p w14:paraId="35B2C249"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Metals/ions </w:t>
                                  </w:r>
                                </w:p>
                              </w:tc>
                              <w:tc>
                                <w:tcPr>
                                  <w:tcW w:w="992" w:type="dxa"/>
                                  <w:tcBorders>
                                    <w:top w:val="nil"/>
                                    <w:left w:val="nil"/>
                                    <w:bottom w:val="nil"/>
                                    <w:right w:val="nil"/>
                                  </w:tcBorders>
                                  <w:shd w:val="clear" w:color="auto" w:fill="auto"/>
                                  <w:noWrap/>
                                  <w:vAlign w:val="bottom"/>
                                  <w:hideMark/>
                                </w:tcPr>
                                <w:p w14:paraId="25D427E3"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13 173 </w:t>
                                  </w:r>
                                </w:p>
                              </w:tc>
                              <w:tc>
                                <w:tcPr>
                                  <w:tcW w:w="3828" w:type="dxa"/>
                                  <w:gridSpan w:val="2"/>
                                  <w:tcBorders>
                                    <w:top w:val="nil"/>
                                    <w:left w:val="nil"/>
                                    <w:bottom w:val="nil"/>
                                    <w:right w:val="nil"/>
                                  </w:tcBorders>
                                  <w:shd w:val="clear" w:color="auto" w:fill="auto"/>
                                  <w:noWrap/>
                                  <w:vAlign w:val="bottom"/>
                                  <w:hideMark/>
                                </w:tcPr>
                                <w:p w14:paraId="570B003D"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Organism-related information </w:t>
                                  </w:r>
                                </w:p>
                              </w:tc>
                            </w:tr>
                            <w:tr w:rsidR="00F63D94" w:rsidRPr="008C21D6" w14:paraId="74333DE9" w14:textId="77777777" w:rsidTr="008C21D6">
                              <w:trPr>
                                <w:trHeight w:val="320"/>
                              </w:trPr>
                              <w:tc>
                                <w:tcPr>
                                  <w:tcW w:w="2993" w:type="dxa"/>
                                  <w:tcBorders>
                                    <w:top w:val="nil"/>
                                    <w:left w:val="nil"/>
                                    <w:bottom w:val="nil"/>
                                    <w:right w:val="nil"/>
                                  </w:tcBorders>
                                  <w:shd w:val="clear" w:color="auto" w:fill="auto"/>
                                  <w:noWrap/>
                                  <w:vAlign w:val="bottom"/>
                                  <w:hideMark/>
                                </w:tcPr>
                                <w:p w14:paraId="2B476459"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Inhibitors </w:t>
                                  </w:r>
                                </w:p>
                              </w:tc>
                              <w:tc>
                                <w:tcPr>
                                  <w:tcW w:w="992" w:type="dxa"/>
                                  <w:tcBorders>
                                    <w:top w:val="nil"/>
                                    <w:left w:val="nil"/>
                                    <w:bottom w:val="nil"/>
                                    <w:right w:val="nil"/>
                                  </w:tcBorders>
                                  <w:shd w:val="clear" w:color="auto" w:fill="auto"/>
                                  <w:noWrap/>
                                  <w:vAlign w:val="bottom"/>
                                  <w:hideMark/>
                                </w:tcPr>
                                <w:p w14:paraId="6CE1719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56 336 </w:t>
                                  </w:r>
                                </w:p>
                              </w:tc>
                              <w:tc>
                                <w:tcPr>
                                  <w:tcW w:w="2835" w:type="dxa"/>
                                  <w:tcBorders>
                                    <w:top w:val="nil"/>
                                    <w:left w:val="nil"/>
                                    <w:bottom w:val="nil"/>
                                    <w:right w:val="nil"/>
                                  </w:tcBorders>
                                  <w:shd w:val="clear" w:color="auto" w:fill="auto"/>
                                  <w:noWrap/>
                                  <w:vAlign w:val="bottom"/>
                                  <w:hideMark/>
                                </w:tcPr>
                                <w:p w14:paraId="1FCF7DBB"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Organism </w:t>
                                  </w:r>
                                </w:p>
                              </w:tc>
                              <w:tc>
                                <w:tcPr>
                                  <w:tcW w:w="993" w:type="dxa"/>
                                  <w:tcBorders>
                                    <w:top w:val="nil"/>
                                    <w:left w:val="nil"/>
                                    <w:bottom w:val="nil"/>
                                    <w:right w:val="nil"/>
                                  </w:tcBorders>
                                  <w:shd w:val="clear" w:color="auto" w:fill="auto"/>
                                  <w:noWrap/>
                                  <w:vAlign w:val="bottom"/>
                                  <w:hideMark/>
                                </w:tcPr>
                                <w:p w14:paraId="76173AAF"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40 027 </w:t>
                                  </w:r>
                                </w:p>
                              </w:tc>
                            </w:tr>
                            <w:tr w:rsidR="00F63D94" w:rsidRPr="008C21D6" w14:paraId="50B88411" w14:textId="77777777" w:rsidTr="008C21D6">
                              <w:trPr>
                                <w:trHeight w:val="320"/>
                              </w:trPr>
                              <w:tc>
                                <w:tcPr>
                                  <w:tcW w:w="3985" w:type="dxa"/>
                                  <w:gridSpan w:val="2"/>
                                  <w:tcBorders>
                                    <w:top w:val="nil"/>
                                    <w:left w:val="nil"/>
                                    <w:bottom w:val="nil"/>
                                    <w:right w:val="nil"/>
                                  </w:tcBorders>
                                  <w:shd w:val="clear" w:color="auto" w:fill="auto"/>
                                  <w:noWrap/>
                                  <w:vAlign w:val="bottom"/>
                                  <w:hideMark/>
                                </w:tcPr>
                                <w:p w14:paraId="6CDB1B0A"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Bibliographical data </w:t>
                                  </w:r>
                                </w:p>
                              </w:tc>
                              <w:tc>
                                <w:tcPr>
                                  <w:tcW w:w="2835" w:type="dxa"/>
                                  <w:tcBorders>
                                    <w:top w:val="nil"/>
                                    <w:left w:val="nil"/>
                                    <w:bottom w:val="nil"/>
                                    <w:right w:val="nil"/>
                                  </w:tcBorders>
                                  <w:shd w:val="clear" w:color="auto" w:fill="auto"/>
                                  <w:noWrap/>
                                  <w:vAlign w:val="bottom"/>
                                  <w:hideMark/>
                                </w:tcPr>
                                <w:p w14:paraId="2CA9312A"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Source tissue, organ </w:t>
                                  </w:r>
                                </w:p>
                              </w:tc>
                              <w:tc>
                                <w:tcPr>
                                  <w:tcW w:w="993" w:type="dxa"/>
                                  <w:tcBorders>
                                    <w:top w:val="nil"/>
                                    <w:left w:val="nil"/>
                                    <w:bottom w:val="nil"/>
                                    <w:right w:val="nil"/>
                                  </w:tcBorders>
                                  <w:shd w:val="clear" w:color="auto" w:fill="auto"/>
                                  <w:noWrap/>
                                  <w:vAlign w:val="bottom"/>
                                  <w:hideMark/>
                                </w:tcPr>
                                <w:p w14:paraId="71CFECB3"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19 347 </w:t>
                                  </w:r>
                                </w:p>
                              </w:tc>
                            </w:tr>
                            <w:tr w:rsidR="00F63D94" w:rsidRPr="008C21D6" w14:paraId="603EA04D" w14:textId="77777777" w:rsidTr="008C21D6">
                              <w:trPr>
                                <w:trHeight w:val="320"/>
                              </w:trPr>
                              <w:tc>
                                <w:tcPr>
                                  <w:tcW w:w="2993" w:type="dxa"/>
                                  <w:tcBorders>
                                    <w:top w:val="nil"/>
                                    <w:left w:val="nil"/>
                                    <w:bottom w:val="nil"/>
                                    <w:right w:val="nil"/>
                                  </w:tcBorders>
                                  <w:shd w:val="clear" w:color="auto" w:fill="auto"/>
                                  <w:noWrap/>
                                  <w:vAlign w:val="bottom"/>
                                  <w:hideMark/>
                                </w:tcPr>
                                <w:p w14:paraId="51AF4F8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References </w:t>
                                  </w:r>
                                </w:p>
                              </w:tc>
                              <w:tc>
                                <w:tcPr>
                                  <w:tcW w:w="992" w:type="dxa"/>
                                  <w:tcBorders>
                                    <w:top w:val="nil"/>
                                    <w:left w:val="nil"/>
                                    <w:bottom w:val="nil"/>
                                    <w:right w:val="nil"/>
                                  </w:tcBorders>
                                  <w:shd w:val="clear" w:color="auto" w:fill="auto"/>
                                  <w:noWrap/>
                                  <w:vAlign w:val="bottom"/>
                                  <w:hideMark/>
                                </w:tcPr>
                                <w:p w14:paraId="4D8AAF3B"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46 305 </w:t>
                                  </w:r>
                                </w:p>
                              </w:tc>
                              <w:tc>
                                <w:tcPr>
                                  <w:tcW w:w="2835" w:type="dxa"/>
                                  <w:tcBorders>
                                    <w:top w:val="nil"/>
                                    <w:left w:val="nil"/>
                                    <w:bottom w:val="nil"/>
                                    <w:right w:val="nil"/>
                                  </w:tcBorders>
                                  <w:shd w:val="clear" w:color="auto" w:fill="auto"/>
                                  <w:noWrap/>
                                  <w:vAlign w:val="bottom"/>
                                  <w:hideMark/>
                                </w:tcPr>
                                <w:p w14:paraId="5C714552"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Localization </w:t>
                                  </w:r>
                                </w:p>
                              </w:tc>
                              <w:tc>
                                <w:tcPr>
                                  <w:tcW w:w="993" w:type="dxa"/>
                                  <w:tcBorders>
                                    <w:top w:val="nil"/>
                                    <w:left w:val="nil"/>
                                    <w:bottom w:val="nil"/>
                                    <w:right w:val="nil"/>
                                  </w:tcBorders>
                                  <w:shd w:val="clear" w:color="auto" w:fill="auto"/>
                                  <w:noWrap/>
                                  <w:vAlign w:val="bottom"/>
                                  <w:hideMark/>
                                </w:tcPr>
                                <w:p w14:paraId="007D414C"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7</w:t>
                                  </w:r>
                                  <w:r>
                                    <w:rPr>
                                      <w:bCs/>
                                      <w:color w:val="2A2A2A"/>
                                      <w:sz w:val="22"/>
                                      <w:szCs w:val="22"/>
                                      <w:lang w:val="mi-NZ" w:eastAsia="en-US"/>
                                    </w:rPr>
                                    <w:t xml:space="preserve"> </w:t>
                                  </w:r>
                                  <w:r w:rsidRPr="008C21D6">
                                    <w:rPr>
                                      <w:bCs/>
                                      <w:color w:val="2A2A2A"/>
                                      <w:sz w:val="22"/>
                                      <w:szCs w:val="22"/>
                                      <w:lang w:val="mi-NZ" w:eastAsia="en-US"/>
                                    </w:rPr>
                                    <w:t>935 </w:t>
                                  </w:r>
                                </w:p>
                              </w:tc>
                            </w:tr>
                          </w:tbl>
                          <w:p w14:paraId="5D98A3CE" w14:textId="77777777" w:rsidR="00F63D94" w:rsidRDefault="00F63D94" w:rsidP="00117E56"/>
                          <w:p w14:paraId="43D1087A" w14:textId="77777777" w:rsidR="00F63D94" w:rsidRDefault="00F63D94" w:rsidP="00117E56">
                            <w:pPr>
                              <w:rPr>
                                <w:sz w:val="22"/>
                              </w:rPr>
                            </w:pPr>
                            <w:r w:rsidRPr="003070CE">
                              <w:rPr>
                                <w:b/>
                                <w:sz w:val="22"/>
                              </w:rPr>
                              <w:t xml:space="preserve">Figure </w:t>
                            </w:r>
                            <w:r>
                              <w:rPr>
                                <w:b/>
                                <w:sz w:val="22"/>
                              </w:rPr>
                              <w:t>I.3</w:t>
                            </w:r>
                            <w:r w:rsidRPr="004824B5">
                              <w:rPr>
                                <w:sz w:val="22"/>
                              </w:rPr>
                              <w:t xml:space="preserve">. </w:t>
                            </w:r>
                            <w:r>
                              <w:rPr>
                                <w:sz w:val="22"/>
                              </w:rPr>
                              <w:t>A peek at the meta-data of BRENDA</w:t>
                            </w:r>
                          </w:p>
                          <w:p w14:paraId="453F06B6" w14:textId="77777777" w:rsidR="00F63D94" w:rsidRPr="00155023" w:rsidRDefault="00F63D94" w:rsidP="00117E56">
                            <w:pPr>
                              <w:rPr>
                                <w:sz w:val="22"/>
                                <w:lang w:val="mi-NZ"/>
                              </w:rPr>
                            </w:pPr>
                            <w:r>
                              <w:rPr>
                                <w:sz w:val="22"/>
                              </w:rPr>
                              <w:t>Note: “</w:t>
                            </w:r>
                            <w:r w:rsidRPr="00155023">
                              <w:rPr>
                                <w:bCs/>
                                <w:sz w:val="22"/>
                                <w:lang w:val="mi-NZ"/>
                              </w:rPr>
                              <w:t>The database covers organism-specific information on functional and molecular properties, in detail on the nomenclature, reaction and specificity, enzyme structure, stability, application and engineering, organism, ligands, literature references and links to other databases</w:t>
                            </w:r>
                            <w:r>
                              <w:rPr>
                                <w:sz w:val="22"/>
                              </w:rPr>
                              <w:t xml:space="preserve">” </w:t>
                            </w:r>
                            <w:r>
                              <w:rPr>
                                <w:sz w:val="22"/>
                              </w:rPr>
                              <w:fldChar w:fldCharType="begin"/>
                            </w:r>
                            <w:r>
                              <w:rPr>
                                <w:sz w:val="22"/>
                              </w:rPr>
                              <w:instrText xml:space="preserve"> ADDIN EN.CITE &lt;EndNote&gt;&lt;Cite&gt;&lt;Author&gt;Schomburg&lt;/Author&gt;&lt;Year&gt;2002&lt;/Year&gt;&lt;RecNum&gt;287&lt;/RecNum&gt;&lt;DisplayText&gt;(Schomburg&lt;style face="italic"&gt; et al.&lt;/style&gt;, 2002)&lt;/DisplayText&gt;&lt;record&gt;&lt;rec-number&gt;287&lt;/rec-number&gt;&lt;foreign-keys&gt;&lt;key app="EN" db-id="vav00vdrjedrwre5xsc5vxpsx0fp9arstrrf" timestamp="1516742242"&gt;287&lt;/key&gt;&lt;/foreign-keys&gt;&lt;ref-type name="Journal Article"&gt;17&lt;/ref-type&gt;&lt;contributors&gt;&lt;authors&gt;&lt;author&gt;Schomburg, I.&lt;/author&gt;&lt;author&gt;Chang, A.&lt;/author&gt;&lt;author&gt;Schomburg, D.&lt;/author&gt;&lt;/authors&gt;&lt;/contributors&gt;&lt;titles&gt;&lt;title&gt;BRENDA, enzyme data and metabolic information&lt;/title&gt;&lt;secondary-title&gt;Nucleic Acids Res&lt;/secondary-title&gt;&lt;alt-title&gt;Nucleic Acids Res&lt;/alt-title&gt;&lt;/titles&gt;&lt;periodical&gt;&lt;full-title&gt;Nucleic Acids Res&lt;/full-title&gt;&lt;/periodical&gt;&lt;alt-periodical&gt;&lt;full-title&gt;Nucleic Acids Res&lt;/full-title&gt;&lt;/alt-periodical&gt;&lt;pages&gt;47-49&lt;/pages&gt;&lt;volume&gt;30&lt;/volume&gt;&lt;dates&gt;&lt;year&gt;2002&lt;/year&gt;&lt;/dates&gt;&lt;urls&gt;&lt;/urls&gt;&lt;/record&gt;&lt;/Cite&gt;&lt;/EndNote&gt;</w:instrText>
                            </w:r>
                            <w:r>
                              <w:rPr>
                                <w:sz w:val="22"/>
                              </w:rPr>
                              <w:fldChar w:fldCharType="separate"/>
                            </w:r>
                            <w:r>
                              <w:rPr>
                                <w:noProof/>
                                <w:sz w:val="22"/>
                              </w:rPr>
                              <w:t>(Schomburg</w:t>
                            </w:r>
                            <w:r w:rsidRPr="001C037C">
                              <w:rPr>
                                <w:i/>
                                <w:noProof/>
                                <w:sz w:val="22"/>
                              </w:rPr>
                              <w:t xml:space="preserve"> et al.</w:t>
                            </w:r>
                            <w:r>
                              <w:rPr>
                                <w:noProof/>
                                <w:sz w:val="22"/>
                              </w:rPr>
                              <w:t>, 2002)</w:t>
                            </w:r>
                            <w:r>
                              <w:rPr>
                                <w:sz w:val="22"/>
                              </w:rPr>
                              <w:fldChar w:fldCharType="end"/>
                            </w:r>
                            <w:r>
                              <w:rPr>
                                <w:sz w:val="22"/>
                              </w:rPr>
                              <w:t>. It can be used to calculate or simulate metabolic pathways using “</w:t>
                            </w:r>
                            <w:r w:rsidRPr="00155023">
                              <w:rPr>
                                <w:bCs/>
                                <w:sz w:val="22"/>
                                <w:lang w:val="mi-NZ"/>
                              </w:rPr>
                              <w:t>the information of substrate/product chains and the corresponding kinetic data of the preceding and following enzymes</w:t>
                            </w:r>
                            <w:r>
                              <w:rPr>
                                <w:bCs/>
                                <w:sz w:val="22"/>
                                <w:lang w:val="mi-NZ"/>
                              </w:rPr>
                              <w:t xml:space="preserve">” </w:t>
                            </w:r>
                            <w:r>
                              <w:rPr>
                                <w:bCs/>
                                <w:sz w:val="22"/>
                                <w:lang w:val="mi-NZ"/>
                              </w:rPr>
                              <w:fldChar w:fldCharType="begin"/>
                            </w:r>
                            <w:r>
                              <w:rPr>
                                <w:bCs/>
                                <w:sz w:val="22"/>
                                <w:lang w:val="mi-NZ"/>
                              </w:rPr>
                              <w:instrText xml:space="preserve"> ADDIN EN.CITE &lt;EndNote&gt;&lt;Cite&gt;&lt;Author&gt;Schomburg&lt;/Author&gt;&lt;Year&gt;2002&lt;/Year&gt;&lt;RecNum&gt;287&lt;/RecNum&gt;&lt;DisplayText&gt;(Schomburg&lt;style face="italic"&gt; et al.&lt;/style&gt;, 2002)&lt;/DisplayText&gt;&lt;record&gt;&lt;rec-number&gt;287&lt;/rec-number&gt;&lt;foreign-keys&gt;&lt;key app="EN" db-id="vav00vdrjedrwre5xsc5vxpsx0fp9arstrrf" timestamp="1516742242"&gt;287&lt;/key&gt;&lt;/foreign-keys&gt;&lt;ref-type name="Journal Article"&gt;17&lt;/ref-type&gt;&lt;contributors&gt;&lt;authors&gt;&lt;author&gt;Schomburg, I.&lt;/author&gt;&lt;author&gt;Chang, A.&lt;/author&gt;&lt;author&gt;Schomburg, D.&lt;/author&gt;&lt;/authors&gt;&lt;/contributors&gt;&lt;titles&gt;&lt;title&gt;BRENDA, enzyme data and metabolic information&lt;/title&gt;&lt;secondary-title&gt;Nucleic Acids Res&lt;/secondary-title&gt;&lt;alt-title&gt;Nucleic Acids Res&lt;/alt-title&gt;&lt;/titles&gt;&lt;periodical&gt;&lt;full-title&gt;Nucleic Acids Res&lt;/full-title&gt;&lt;/periodical&gt;&lt;alt-periodical&gt;&lt;full-title&gt;Nucleic Acids Res&lt;/full-title&gt;&lt;/alt-periodical&gt;&lt;pages&gt;47-49&lt;/pages&gt;&lt;volume&gt;30&lt;/volume&gt;&lt;dates&gt;&lt;year&gt;2002&lt;/year&gt;&lt;/dates&gt;&lt;urls&gt;&lt;/urls&gt;&lt;/record&gt;&lt;/Cite&gt;&lt;/EndNote&gt;</w:instrText>
                            </w:r>
                            <w:r>
                              <w:rPr>
                                <w:bCs/>
                                <w:sz w:val="22"/>
                                <w:lang w:val="mi-NZ"/>
                              </w:rPr>
                              <w:fldChar w:fldCharType="separate"/>
                            </w:r>
                            <w:r>
                              <w:rPr>
                                <w:bCs/>
                                <w:noProof/>
                                <w:sz w:val="22"/>
                                <w:lang w:val="mi-NZ"/>
                              </w:rPr>
                              <w:t>(Schomburg</w:t>
                            </w:r>
                            <w:r w:rsidRPr="001C037C">
                              <w:rPr>
                                <w:bCs/>
                                <w:i/>
                                <w:noProof/>
                                <w:sz w:val="22"/>
                                <w:lang w:val="mi-NZ"/>
                              </w:rPr>
                              <w:t xml:space="preserve"> et al.</w:t>
                            </w:r>
                            <w:r>
                              <w:rPr>
                                <w:bCs/>
                                <w:noProof/>
                                <w:sz w:val="22"/>
                                <w:lang w:val="mi-NZ"/>
                              </w:rPr>
                              <w:t>, 2002)</w:t>
                            </w:r>
                            <w:r>
                              <w:rPr>
                                <w:bCs/>
                                <w:sz w:val="22"/>
                                <w:lang w:val="mi-NZ"/>
                              </w:rPr>
                              <w:fldChar w:fldCharType="end"/>
                            </w:r>
                            <w:r>
                              <w:rPr>
                                <w:bCs/>
                                <w:sz w:val="22"/>
                                <w:lang w:val="mi-NZ"/>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F04CF1" id="Text Box 13" o:spid="_x0000_s1037" type="#_x0000_t202" style="position:absolute;margin-left:0;margin-top:27.4pt;width:405pt;height:536pt;z-index:251706368;visibility:visible;mso-wrap-style:square;mso-width-percent:0;mso-height-percent:0;mso-wrap-distance-left:9pt;mso-wrap-distance-top:9.05pt;mso-wrap-distance-right:9pt;mso-wrap-distance-bottom:9.0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tZZqwIAAI0FAAAOAAAAZHJzL2Uyb0RvYy54bWysVF1v2jAUfZ+0/2DlnSahUCgqVCkV06Sq&#10;rdZOfTaODdEc27MNhE377zt2CEVdtYdpL4nte+7nufdeXTe1JFtuXaXVNMnPsoRwxXRZqdU0+fq8&#10;6I0T4jxVJZVa8Wmy5y65nn38cLUzE97Xay1LbgmMKDfZmWmy9t5M0tSxNa+pO9OGKwiFtjX1uNpV&#10;Wlq6g/Vapv0su0h32pbGasadw+ttK0xm0b4QnPkHIRz3RE4TxObj18bvMnzT2RWdrCw164odwqD/&#10;EEVNKwWnR1O31FOysdUfpuqKWe208GdM16kWomI85oBs8uxNNk9ranjMBcVx5lgm9//MsvvtoyVV&#10;Ce7OE6JoDY6eeePJjW4InlCfnXETwJ4MgL7BO7Ddu8NjSLsRtg5/JEQgR6X3x+oGawyPw3xwPswg&#10;YpBdjLMR+At20ld1Y53/xHVNwmGaWNAXq0q3d8630A4SvElFdgimP4pWa4MsnFq1nMIrdAIq+I9U&#10;/JwPR/1iNLzsXRTDvDfIs3GvKLJ+73ZRZEU2WMwvBze/DiF1+mlIv00znvxe8tb3Fy5QOCTWjzHG&#10;luVzacmWotnKb7FISE4qIIOKqKQ8KuXvKUnfKR2wMf7YxkfF7D3FV2+8Q0ePWvmjYl0pbf+uLFo8&#10;ODnJNRx9s2zaLjlSv9TlHh1hdTtTzrBFBdbuqPOP1GKIwDQWg3/AR0gNovThlJC1tj/eew949Dak&#10;CdlhKMHn9w21PCHys0LXX+aDQZjieBmATVzsqWR5KlGbeq5BRY4VZFg8BryX3VFYXb9gfxTBK0RU&#10;MfieJr47zn27KrB/GC+KCMLcGurv1JNhwXQoc+jJ5+aFWnNoXI/uudfd+NLJm/5tsUFT6WLjtahi&#10;c4dCt1U9EICZj+Nx2E9hqZzeI+p1i85+AwAA//8DAFBLAwQUAAYACAAAACEACev5Pd0AAAAIAQAA&#10;DwAAAGRycy9kb3ducmV2LnhtbEyPwU7DMBBE70j8g7VI3KidBqooxKmACglVvVA4cHTjbRLVXkex&#10;24S/ZznBcWdGs2+q9eyduOAY+0AasoUCgdQE21Or4fPj9a4AEZMha1wg1PCNEdb19VVlShsmesfL&#10;PrWCSyiWRkOX0lBKGZsOvYmLMCCxdwyjN4nPsZV2NBOXeyeXSq2kNz3xh84M+NJhc9qfvYZtjqev&#10;vI27OB2f8zerNju33Wh9ezM/PYJIOKe/MPziMzrUzHQIZ7JROA08JGl4uGd+dotMsXDgWLZcFSDr&#10;Sv4fUP8AAAD//wMAUEsBAi0AFAAGAAgAAAAhALaDOJL+AAAA4QEAABMAAAAAAAAAAAAAAAAAAAAA&#10;AFtDb250ZW50X1R5cGVzXS54bWxQSwECLQAUAAYACAAAACEAOP0h/9YAAACUAQAACwAAAAAAAAAA&#10;AAAAAAAvAQAAX3JlbHMvLnJlbHNQSwECLQAUAAYACAAAACEAFmLWWasCAACNBQAADgAAAAAAAAAA&#10;AAAAAAAuAgAAZHJzL2Uyb0RvYy54bWxQSwECLQAUAAYACAAAACEACev5Pd0AAAAIAQAADwAAAAAA&#10;AAAAAAAAAAAFBQAAZHJzL2Rvd25yZXYueG1sUEsFBgAAAAAEAAQA8wAAAA8GAAAAAA==&#10;" fillcolor="white [3201]" strokecolor="black [3200]" strokeweight="1pt">
                <v:textbox>
                  <w:txbxContent>
                    <w:tbl>
                      <w:tblPr>
                        <w:tblW w:w="7813" w:type="dxa"/>
                        <w:tblInd w:w="93" w:type="dxa"/>
                        <w:tblLayout w:type="fixed"/>
                        <w:tblLook w:val="04A0" w:firstRow="1" w:lastRow="0" w:firstColumn="1" w:lastColumn="0" w:noHBand="0" w:noVBand="1"/>
                      </w:tblPr>
                      <w:tblGrid>
                        <w:gridCol w:w="2993"/>
                        <w:gridCol w:w="992"/>
                        <w:gridCol w:w="2835"/>
                        <w:gridCol w:w="993"/>
                      </w:tblGrid>
                      <w:tr w:rsidR="00F63D94" w:rsidRPr="008C21D6" w14:paraId="5C004942" w14:textId="77777777" w:rsidTr="008C21D6">
                        <w:trPr>
                          <w:trHeight w:val="320"/>
                        </w:trPr>
                        <w:tc>
                          <w:tcPr>
                            <w:tcW w:w="2993" w:type="dxa"/>
                            <w:tcBorders>
                              <w:top w:val="nil"/>
                              <w:left w:val="nil"/>
                              <w:bottom w:val="nil"/>
                              <w:right w:val="nil"/>
                            </w:tcBorders>
                            <w:shd w:val="clear" w:color="auto" w:fill="auto"/>
                            <w:noWrap/>
                            <w:vAlign w:val="bottom"/>
                            <w:hideMark/>
                          </w:tcPr>
                          <w:p w14:paraId="24E4A34D"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Information field </w:t>
                            </w:r>
                          </w:p>
                        </w:tc>
                        <w:tc>
                          <w:tcPr>
                            <w:tcW w:w="992" w:type="dxa"/>
                            <w:tcBorders>
                              <w:top w:val="nil"/>
                              <w:left w:val="nil"/>
                              <w:bottom w:val="nil"/>
                              <w:right w:val="nil"/>
                            </w:tcBorders>
                            <w:shd w:val="clear" w:color="auto" w:fill="auto"/>
                            <w:noWrap/>
                            <w:vAlign w:val="bottom"/>
                            <w:hideMark/>
                          </w:tcPr>
                          <w:p w14:paraId="72598BE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Entries </w:t>
                            </w:r>
                          </w:p>
                        </w:tc>
                        <w:tc>
                          <w:tcPr>
                            <w:tcW w:w="2835" w:type="dxa"/>
                            <w:tcBorders>
                              <w:top w:val="nil"/>
                              <w:left w:val="nil"/>
                              <w:bottom w:val="nil"/>
                              <w:right w:val="nil"/>
                            </w:tcBorders>
                            <w:shd w:val="clear" w:color="auto" w:fill="auto"/>
                            <w:noWrap/>
                            <w:vAlign w:val="bottom"/>
                            <w:hideMark/>
                          </w:tcPr>
                          <w:p w14:paraId="7058E8F8"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Information field </w:t>
                            </w:r>
                          </w:p>
                        </w:tc>
                        <w:tc>
                          <w:tcPr>
                            <w:tcW w:w="993" w:type="dxa"/>
                            <w:tcBorders>
                              <w:top w:val="nil"/>
                              <w:left w:val="nil"/>
                              <w:bottom w:val="nil"/>
                              <w:right w:val="nil"/>
                            </w:tcBorders>
                            <w:shd w:val="clear" w:color="auto" w:fill="auto"/>
                            <w:noWrap/>
                            <w:vAlign w:val="bottom"/>
                            <w:hideMark/>
                          </w:tcPr>
                          <w:p w14:paraId="1DEE5A0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Entries </w:t>
                            </w:r>
                          </w:p>
                        </w:tc>
                      </w:tr>
                      <w:tr w:rsidR="00F63D94" w:rsidRPr="008C21D6" w14:paraId="0FE7BF0D" w14:textId="77777777" w:rsidTr="008C21D6">
                        <w:trPr>
                          <w:trHeight w:val="320"/>
                        </w:trPr>
                        <w:tc>
                          <w:tcPr>
                            <w:tcW w:w="3985" w:type="dxa"/>
                            <w:gridSpan w:val="2"/>
                            <w:tcBorders>
                              <w:top w:val="nil"/>
                              <w:left w:val="nil"/>
                              <w:bottom w:val="nil"/>
                              <w:right w:val="nil"/>
                            </w:tcBorders>
                            <w:shd w:val="clear" w:color="auto" w:fill="auto"/>
                            <w:noWrap/>
                            <w:vAlign w:val="bottom"/>
                            <w:hideMark/>
                          </w:tcPr>
                          <w:p w14:paraId="120741D8"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Enzyme nomenclature </w:t>
                            </w:r>
                          </w:p>
                        </w:tc>
                        <w:tc>
                          <w:tcPr>
                            <w:tcW w:w="2835" w:type="dxa"/>
                            <w:tcBorders>
                              <w:top w:val="nil"/>
                              <w:left w:val="nil"/>
                              <w:bottom w:val="nil"/>
                              <w:right w:val="nil"/>
                            </w:tcBorders>
                            <w:shd w:val="clear" w:color="auto" w:fill="auto"/>
                            <w:noWrap/>
                            <w:vAlign w:val="bottom"/>
                            <w:hideMark/>
                          </w:tcPr>
                          <w:p w14:paraId="3B75BF48"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Functional parameters </w:t>
                            </w:r>
                          </w:p>
                        </w:tc>
                        <w:tc>
                          <w:tcPr>
                            <w:tcW w:w="993" w:type="dxa"/>
                            <w:tcBorders>
                              <w:top w:val="nil"/>
                              <w:left w:val="nil"/>
                              <w:bottom w:val="nil"/>
                              <w:right w:val="nil"/>
                            </w:tcBorders>
                            <w:shd w:val="clear" w:color="auto" w:fill="auto"/>
                            <w:noWrap/>
                            <w:vAlign w:val="bottom"/>
                            <w:hideMark/>
                          </w:tcPr>
                          <w:p w14:paraId="2F37EF65" w14:textId="77777777" w:rsidR="00F63D94" w:rsidRPr="008C21D6" w:rsidRDefault="00F63D94" w:rsidP="008C21D6">
                            <w:pPr>
                              <w:rPr>
                                <w:bCs/>
                                <w:color w:val="2A2A2A"/>
                                <w:sz w:val="22"/>
                                <w:szCs w:val="22"/>
                                <w:lang w:val="mi-NZ" w:eastAsia="en-US"/>
                              </w:rPr>
                            </w:pPr>
                          </w:p>
                        </w:tc>
                      </w:tr>
                      <w:tr w:rsidR="00F63D94" w:rsidRPr="008C21D6" w14:paraId="31ED767F" w14:textId="77777777" w:rsidTr="008C21D6">
                        <w:trPr>
                          <w:trHeight w:val="360"/>
                        </w:trPr>
                        <w:tc>
                          <w:tcPr>
                            <w:tcW w:w="2993" w:type="dxa"/>
                            <w:tcBorders>
                              <w:top w:val="nil"/>
                              <w:left w:val="nil"/>
                              <w:bottom w:val="nil"/>
                              <w:right w:val="nil"/>
                            </w:tcBorders>
                            <w:shd w:val="clear" w:color="auto" w:fill="auto"/>
                            <w:noWrap/>
                            <w:vAlign w:val="bottom"/>
                            <w:hideMark/>
                          </w:tcPr>
                          <w:p w14:paraId="48990288"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EC number </w:t>
                            </w:r>
                          </w:p>
                        </w:tc>
                        <w:tc>
                          <w:tcPr>
                            <w:tcW w:w="992" w:type="dxa"/>
                            <w:tcBorders>
                              <w:top w:val="nil"/>
                              <w:left w:val="nil"/>
                              <w:bottom w:val="nil"/>
                              <w:right w:val="nil"/>
                            </w:tcBorders>
                            <w:shd w:val="clear" w:color="auto" w:fill="auto"/>
                            <w:noWrap/>
                            <w:vAlign w:val="bottom"/>
                            <w:hideMark/>
                          </w:tcPr>
                          <w:p w14:paraId="3102E6B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w:t>
                            </w:r>
                            <w:r>
                              <w:rPr>
                                <w:bCs/>
                                <w:color w:val="2A2A2A"/>
                                <w:sz w:val="22"/>
                                <w:szCs w:val="22"/>
                                <w:lang w:val="mi-NZ" w:eastAsia="en-US"/>
                              </w:rPr>
                              <w:t xml:space="preserve"> </w:t>
                            </w:r>
                            <w:r w:rsidRPr="008C21D6">
                              <w:rPr>
                                <w:bCs/>
                                <w:color w:val="2A2A2A"/>
                                <w:sz w:val="22"/>
                                <w:szCs w:val="22"/>
                                <w:lang w:val="mi-NZ" w:eastAsia="en-US"/>
                              </w:rPr>
                              <w:t>869 </w:t>
                            </w:r>
                          </w:p>
                        </w:tc>
                        <w:tc>
                          <w:tcPr>
                            <w:tcW w:w="2835" w:type="dxa"/>
                            <w:tcBorders>
                              <w:top w:val="nil"/>
                              <w:left w:val="nil"/>
                              <w:bottom w:val="nil"/>
                              <w:right w:val="nil"/>
                            </w:tcBorders>
                            <w:shd w:val="clear" w:color="auto" w:fill="auto"/>
                            <w:noWrap/>
                            <w:vAlign w:val="bottom"/>
                            <w:hideMark/>
                          </w:tcPr>
                          <w:p w14:paraId="57599CA6" w14:textId="77777777" w:rsidR="00F63D94" w:rsidRPr="008C21D6" w:rsidRDefault="00F63D94" w:rsidP="008C21D6">
                            <w:pPr>
                              <w:rPr>
                                <w:bCs/>
                                <w:i/>
                                <w:iCs/>
                                <w:color w:val="2A2A2A"/>
                                <w:sz w:val="22"/>
                                <w:szCs w:val="22"/>
                                <w:lang w:val="mi-NZ" w:eastAsia="en-US"/>
                              </w:rPr>
                            </w:pPr>
                            <w:r w:rsidRPr="008C21D6">
                              <w:rPr>
                                <w:bCs/>
                                <w:i/>
                                <w:iCs/>
                                <w:color w:val="2A2A2A"/>
                                <w:sz w:val="22"/>
                                <w:szCs w:val="22"/>
                                <w:lang w:val="mi-NZ" w:eastAsia="en-US"/>
                              </w:rPr>
                              <w:t>K</w:t>
                            </w:r>
                            <w:r w:rsidRPr="008C21D6">
                              <w:rPr>
                                <w:bCs/>
                                <w:color w:val="2A2A2A"/>
                                <w:sz w:val="22"/>
                                <w:szCs w:val="22"/>
                                <w:vertAlign w:val="subscript"/>
                                <w:lang w:val="mi-NZ" w:eastAsia="en-US"/>
                              </w:rPr>
                              <w:t>m</w:t>
                            </w:r>
                            <w:r w:rsidRPr="008C21D6">
                              <w:rPr>
                                <w:bCs/>
                                <w:color w:val="2A2A2A"/>
                                <w:sz w:val="22"/>
                                <w:szCs w:val="22"/>
                                <w:lang w:val="mi-NZ" w:eastAsia="en-US"/>
                              </w:rPr>
                              <w:t> value </w:t>
                            </w:r>
                          </w:p>
                        </w:tc>
                        <w:tc>
                          <w:tcPr>
                            <w:tcW w:w="993" w:type="dxa"/>
                            <w:tcBorders>
                              <w:top w:val="nil"/>
                              <w:left w:val="nil"/>
                              <w:bottom w:val="nil"/>
                              <w:right w:val="nil"/>
                            </w:tcBorders>
                            <w:shd w:val="clear" w:color="auto" w:fill="auto"/>
                            <w:noWrap/>
                            <w:vAlign w:val="bottom"/>
                            <w:hideMark/>
                          </w:tcPr>
                          <w:p w14:paraId="23DB5F8D"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28 134 </w:t>
                            </w:r>
                          </w:p>
                        </w:tc>
                      </w:tr>
                      <w:tr w:rsidR="00F63D94" w:rsidRPr="008C21D6" w14:paraId="2D550445" w14:textId="77777777" w:rsidTr="008C21D6">
                        <w:trPr>
                          <w:trHeight w:val="320"/>
                        </w:trPr>
                        <w:tc>
                          <w:tcPr>
                            <w:tcW w:w="2993" w:type="dxa"/>
                            <w:tcBorders>
                              <w:top w:val="nil"/>
                              <w:left w:val="nil"/>
                              <w:bottom w:val="nil"/>
                              <w:right w:val="nil"/>
                            </w:tcBorders>
                            <w:shd w:val="clear" w:color="auto" w:fill="auto"/>
                            <w:noWrap/>
                            <w:vAlign w:val="bottom"/>
                            <w:hideMark/>
                          </w:tcPr>
                          <w:p w14:paraId="7DE7AA8B"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Recommended name </w:t>
                            </w:r>
                          </w:p>
                        </w:tc>
                        <w:tc>
                          <w:tcPr>
                            <w:tcW w:w="992" w:type="dxa"/>
                            <w:tcBorders>
                              <w:top w:val="nil"/>
                              <w:left w:val="nil"/>
                              <w:bottom w:val="nil"/>
                              <w:right w:val="nil"/>
                            </w:tcBorders>
                            <w:shd w:val="clear" w:color="auto" w:fill="auto"/>
                            <w:noWrap/>
                            <w:vAlign w:val="bottom"/>
                            <w:hideMark/>
                          </w:tcPr>
                          <w:p w14:paraId="3B86907B"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w:t>
                            </w:r>
                            <w:r>
                              <w:rPr>
                                <w:bCs/>
                                <w:color w:val="2A2A2A"/>
                                <w:sz w:val="22"/>
                                <w:szCs w:val="22"/>
                                <w:lang w:val="mi-NZ" w:eastAsia="en-US"/>
                              </w:rPr>
                              <w:t xml:space="preserve"> </w:t>
                            </w:r>
                            <w:r w:rsidRPr="008C21D6">
                              <w:rPr>
                                <w:bCs/>
                                <w:color w:val="2A2A2A"/>
                                <w:sz w:val="22"/>
                                <w:szCs w:val="22"/>
                                <w:lang w:val="mi-NZ" w:eastAsia="en-US"/>
                              </w:rPr>
                              <w:t>509 </w:t>
                            </w:r>
                          </w:p>
                        </w:tc>
                        <w:tc>
                          <w:tcPr>
                            <w:tcW w:w="2835" w:type="dxa"/>
                            <w:tcBorders>
                              <w:top w:val="nil"/>
                              <w:left w:val="nil"/>
                              <w:bottom w:val="nil"/>
                              <w:right w:val="nil"/>
                            </w:tcBorders>
                            <w:shd w:val="clear" w:color="auto" w:fill="auto"/>
                            <w:noWrap/>
                            <w:vAlign w:val="bottom"/>
                            <w:hideMark/>
                          </w:tcPr>
                          <w:p w14:paraId="34618D6F"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Turnover number </w:t>
                            </w:r>
                          </w:p>
                        </w:tc>
                        <w:tc>
                          <w:tcPr>
                            <w:tcW w:w="993" w:type="dxa"/>
                            <w:tcBorders>
                              <w:top w:val="nil"/>
                              <w:left w:val="nil"/>
                              <w:bottom w:val="nil"/>
                              <w:right w:val="nil"/>
                            </w:tcBorders>
                            <w:shd w:val="clear" w:color="auto" w:fill="auto"/>
                            <w:noWrap/>
                            <w:vAlign w:val="bottom"/>
                            <w:hideMark/>
                          </w:tcPr>
                          <w:p w14:paraId="1D7BB17F"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w:t>
                            </w:r>
                            <w:r>
                              <w:rPr>
                                <w:bCs/>
                                <w:color w:val="2A2A2A"/>
                                <w:sz w:val="22"/>
                                <w:szCs w:val="22"/>
                                <w:lang w:val="mi-NZ" w:eastAsia="en-US"/>
                              </w:rPr>
                              <w:t xml:space="preserve"> </w:t>
                            </w:r>
                            <w:r w:rsidRPr="008C21D6">
                              <w:rPr>
                                <w:bCs/>
                                <w:color w:val="2A2A2A"/>
                                <w:sz w:val="22"/>
                                <w:szCs w:val="22"/>
                                <w:lang w:val="mi-NZ" w:eastAsia="en-US"/>
                              </w:rPr>
                              <w:t>986 </w:t>
                            </w:r>
                          </w:p>
                        </w:tc>
                      </w:tr>
                      <w:tr w:rsidR="00F63D94" w:rsidRPr="008C21D6" w14:paraId="17F311C8" w14:textId="77777777" w:rsidTr="008C21D6">
                        <w:trPr>
                          <w:trHeight w:val="320"/>
                        </w:trPr>
                        <w:tc>
                          <w:tcPr>
                            <w:tcW w:w="2993" w:type="dxa"/>
                            <w:tcBorders>
                              <w:top w:val="nil"/>
                              <w:left w:val="nil"/>
                              <w:bottom w:val="nil"/>
                              <w:right w:val="nil"/>
                            </w:tcBorders>
                            <w:shd w:val="clear" w:color="auto" w:fill="auto"/>
                            <w:noWrap/>
                            <w:vAlign w:val="bottom"/>
                            <w:hideMark/>
                          </w:tcPr>
                          <w:p w14:paraId="3191883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Systematic name </w:t>
                            </w:r>
                          </w:p>
                        </w:tc>
                        <w:tc>
                          <w:tcPr>
                            <w:tcW w:w="992" w:type="dxa"/>
                            <w:tcBorders>
                              <w:top w:val="nil"/>
                              <w:left w:val="nil"/>
                              <w:bottom w:val="nil"/>
                              <w:right w:val="nil"/>
                            </w:tcBorders>
                            <w:shd w:val="clear" w:color="auto" w:fill="auto"/>
                            <w:noWrap/>
                            <w:vAlign w:val="bottom"/>
                            <w:hideMark/>
                          </w:tcPr>
                          <w:p w14:paraId="37233B7C"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w:t>
                            </w:r>
                            <w:r>
                              <w:rPr>
                                <w:bCs/>
                                <w:color w:val="2A2A2A"/>
                                <w:sz w:val="22"/>
                                <w:szCs w:val="22"/>
                                <w:lang w:val="mi-NZ" w:eastAsia="en-US"/>
                              </w:rPr>
                              <w:t xml:space="preserve"> </w:t>
                            </w:r>
                            <w:r w:rsidRPr="008C21D6">
                              <w:rPr>
                                <w:bCs/>
                                <w:color w:val="2A2A2A"/>
                                <w:sz w:val="22"/>
                                <w:szCs w:val="22"/>
                                <w:lang w:val="mi-NZ" w:eastAsia="en-US"/>
                              </w:rPr>
                              <w:t>182 </w:t>
                            </w:r>
                          </w:p>
                        </w:tc>
                        <w:tc>
                          <w:tcPr>
                            <w:tcW w:w="2835" w:type="dxa"/>
                            <w:tcBorders>
                              <w:top w:val="nil"/>
                              <w:left w:val="nil"/>
                              <w:bottom w:val="nil"/>
                              <w:right w:val="nil"/>
                            </w:tcBorders>
                            <w:shd w:val="clear" w:color="auto" w:fill="auto"/>
                            <w:noWrap/>
                            <w:vAlign w:val="bottom"/>
                            <w:hideMark/>
                          </w:tcPr>
                          <w:p w14:paraId="5DADE2E8"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Specific activity </w:t>
                            </w:r>
                          </w:p>
                        </w:tc>
                        <w:tc>
                          <w:tcPr>
                            <w:tcW w:w="993" w:type="dxa"/>
                            <w:tcBorders>
                              <w:top w:val="nil"/>
                              <w:left w:val="nil"/>
                              <w:bottom w:val="nil"/>
                              <w:right w:val="nil"/>
                            </w:tcBorders>
                            <w:shd w:val="clear" w:color="auto" w:fill="auto"/>
                            <w:noWrap/>
                            <w:vAlign w:val="bottom"/>
                            <w:hideMark/>
                          </w:tcPr>
                          <w:p w14:paraId="72E6B678"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11 787 </w:t>
                            </w:r>
                          </w:p>
                        </w:tc>
                      </w:tr>
                      <w:tr w:rsidR="00F63D94" w:rsidRPr="008C21D6" w14:paraId="2246AFE1" w14:textId="77777777" w:rsidTr="008C21D6">
                        <w:trPr>
                          <w:trHeight w:val="320"/>
                        </w:trPr>
                        <w:tc>
                          <w:tcPr>
                            <w:tcW w:w="2993" w:type="dxa"/>
                            <w:tcBorders>
                              <w:top w:val="nil"/>
                              <w:left w:val="nil"/>
                              <w:bottom w:val="nil"/>
                              <w:right w:val="nil"/>
                            </w:tcBorders>
                            <w:shd w:val="clear" w:color="auto" w:fill="auto"/>
                            <w:noWrap/>
                            <w:vAlign w:val="bottom"/>
                            <w:hideMark/>
                          </w:tcPr>
                          <w:p w14:paraId="62FDE69E"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Synonyms </w:t>
                            </w:r>
                          </w:p>
                        </w:tc>
                        <w:tc>
                          <w:tcPr>
                            <w:tcW w:w="992" w:type="dxa"/>
                            <w:tcBorders>
                              <w:top w:val="nil"/>
                              <w:left w:val="nil"/>
                              <w:bottom w:val="nil"/>
                              <w:right w:val="nil"/>
                            </w:tcBorders>
                            <w:shd w:val="clear" w:color="auto" w:fill="auto"/>
                            <w:noWrap/>
                            <w:vAlign w:val="bottom"/>
                            <w:hideMark/>
                          </w:tcPr>
                          <w:p w14:paraId="418527BF"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17 707 </w:t>
                            </w:r>
                          </w:p>
                        </w:tc>
                        <w:tc>
                          <w:tcPr>
                            <w:tcW w:w="2835" w:type="dxa"/>
                            <w:tcBorders>
                              <w:top w:val="nil"/>
                              <w:left w:val="nil"/>
                              <w:bottom w:val="nil"/>
                              <w:right w:val="nil"/>
                            </w:tcBorders>
                            <w:shd w:val="clear" w:color="auto" w:fill="auto"/>
                            <w:noWrap/>
                            <w:vAlign w:val="bottom"/>
                            <w:hideMark/>
                          </w:tcPr>
                          <w:p w14:paraId="2C5296E4"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pH optimum </w:t>
                            </w:r>
                          </w:p>
                        </w:tc>
                        <w:tc>
                          <w:tcPr>
                            <w:tcW w:w="993" w:type="dxa"/>
                            <w:tcBorders>
                              <w:top w:val="nil"/>
                              <w:left w:val="nil"/>
                              <w:bottom w:val="nil"/>
                              <w:right w:val="nil"/>
                            </w:tcBorders>
                            <w:shd w:val="clear" w:color="auto" w:fill="auto"/>
                            <w:noWrap/>
                            <w:vAlign w:val="bottom"/>
                            <w:hideMark/>
                          </w:tcPr>
                          <w:p w14:paraId="77736DC2"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14 037 </w:t>
                            </w:r>
                          </w:p>
                        </w:tc>
                      </w:tr>
                      <w:tr w:rsidR="00F63D94" w:rsidRPr="008C21D6" w14:paraId="3A202739" w14:textId="77777777" w:rsidTr="008C21D6">
                        <w:trPr>
                          <w:trHeight w:val="320"/>
                        </w:trPr>
                        <w:tc>
                          <w:tcPr>
                            <w:tcW w:w="2993" w:type="dxa"/>
                            <w:tcBorders>
                              <w:top w:val="nil"/>
                              <w:left w:val="nil"/>
                              <w:bottom w:val="nil"/>
                              <w:right w:val="nil"/>
                            </w:tcBorders>
                            <w:shd w:val="clear" w:color="auto" w:fill="auto"/>
                            <w:noWrap/>
                            <w:vAlign w:val="bottom"/>
                            <w:hideMark/>
                          </w:tcPr>
                          <w:p w14:paraId="0CD5FCB8"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CAS registry number </w:t>
                            </w:r>
                          </w:p>
                        </w:tc>
                        <w:tc>
                          <w:tcPr>
                            <w:tcW w:w="992" w:type="dxa"/>
                            <w:tcBorders>
                              <w:top w:val="nil"/>
                              <w:left w:val="nil"/>
                              <w:bottom w:val="nil"/>
                              <w:right w:val="nil"/>
                            </w:tcBorders>
                            <w:shd w:val="clear" w:color="auto" w:fill="auto"/>
                            <w:noWrap/>
                            <w:vAlign w:val="bottom"/>
                            <w:hideMark/>
                          </w:tcPr>
                          <w:p w14:paraId="084CD83E"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w:t>
                            </w:r>
                            <w:r>
                              <w:rPr>
                                <w:bCs/>
                                <w:color w:val="2A2A2A"/>
                                <w:sz w:val="22"/>
                                <w:szCs w:val="22"/>
                                <w:lang w:val="mi-NZ" w:eastAsia="en-US"/>
                              </w:rPr>
                              <w:t xml:space="preserve"> </w:t>
                            </w:r>
                            <w:r w:rsidRPr="008C21D6">
                              <w:rPr>
                                <w:bCs/>
                                <w:color w:val="2A2A2A"/>
                                <w:sz w:val="22"/>
                                <w:szCs w:val="22"/>
                                <w:lang w:val="mi-NZ" w:eastAsia="en-US"/>
                              </w:rPr>
                              <w:t>552 </w:t>
                            </w:r>
                          </w:p>
                        </w:tc>
                        <w:tc>
                          <w:tcPr>
                            <w:tcW w:w="2835" w:type="dxa"/>
                            <w:tcBorders>
                              <w:top w:val="nil"/>
                              <w:left w:val="nil"/>
                              <w:bottom w:val="nil"/>
                              <w:right w:val="nil"/>
                            </w:tcBorders>
                            <w:shd w:val="clear" w:color="auto" w:fill="auto"/>
                            <w:noWrap/>
                            <w:vAlign w:val="bottom"/>
                            <w:hideMark/>
                          </w:tcPr>
                          <w:p w14:paraId="07107B3F"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pH range </w:t>
                            </w:r>
                          </w:p>
                        </w:tc>
                        <w:tc>
                          <w:tcPr>
                            <w:tcW w:w="993" w:type="dxa"/>
                            <w:tcBorders>
                              <w:top w:val="nil"/>
                              <w:left w:val="nil"/>
                              <w:bottom w:val="nil"/>
                              <w:right w:val="nil"/>
                            </w:tcBorders>
                            <w:shd w:val="clear" w:color="auto" w:fill="auto"/>
                            <w:noWrap/>
                            <w:vAlign w:val="bottom"/>
                            <w:hideMark/>
                          </w:tcPr>
                          <w:p w14:paraId="1E54E69F"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w:t>
                            </w:r>
                            <w:r>
                              <w:rPr>
                                <w:bCs/>
                                <w:color w:val="2A2A2A"/>
                                <w:sz w:val="22"/>
                                <w:szCs w:val="22"/>
                                <w:lang w:val="mi-NZ" w:eastAsia="en-US"/>
                              </w:rPr>
                              <w:t xml:space="preserve"> </w:t>
                            </w:r>
                            <w:r w:rsidRPr="008C21D6">
                              <w:rPr>
                                <w:bCs/>
                                <w:color w:val="2A2A2A"/>
                                <w:sz w:val="22"/>
                                <w:szCs w:val="22"/>
                                <w:lang w:val="mi-NZ" w:eastAsia="en-US"/>
                              </w:rPr>
                              <w:t>929 </w:t>
                            </w:r>
                          </w:p>
                        </w:tc>
                      </w:tr>
                      <w:tr w:rsidR="00F63D94" w:rsidRPr="008C21D6" w14:paraId="77438DE9" w14:textId="77777777" w:rsidTr="008C21D6">
                        <w:trPr>
                          <w:trHeight w:val="320"/>
                        </w:trPr>
                        <w:tc>
                          <w:tcPr>
                            <w:tcW w:w="2993" w:type="dxa"/>
                            <w:tcBorders>
                              <w:top w:val="nil"/>
                              <w:left w:val="nil"/>
                              <w:bottom w:val="nil"/>
                              <w:right w:val="nil"/>
                            </w:tcBorders>
                            <w:shd w:val="clear" w:color="auto" w:fill="auto"/>
                            <w:noWrap/>
                            <w:vAlign w:val="bottom"/>
                            <w:hideMark/>
                          </w:tcPr>
                          <w:p w14:paraId="7E8D77CA"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Reaction  </w:t>
                            </w:r>
                          </w:p>
                        </w:tc>
                        <w:tc>
                          <w:tcPr>
                            <w:tcW w:w="992" w:type="dxa"/>
                            <w:tcBorders>
                              <w:top w:val="nil"/>
                              <w:left w:val="nil"/>
                              <w:bottom w:val="nil"/>
                              <w:right w:val="nil"/>
                            </w:tcBorders>
                            <w:shd w:val="clear" w:color="auto" w:fill="auto"/>
                            <w:noWrap/>
                            <w:vAlign w:val="bottom"/>
                            <w:hideMark/>
                          </w:tcPr>
                          <w:p w14:paraId="14398888"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w:t>
                            </w:r>
                            <w:r>
                              <w:rPr>
                                <w:bCs/>
                                <w:color w:val="2A2A2A"/>
                                <w:sz w:val="22"/>
                                <w:szCs w:val="22"/>
                                <w:lang w:val="mi-NZ" w:eastAsia="en-US"/>
                              </w:rPr>
                              <w:t xml:space="preserve"> </w:t>
                            </w:r>
                            <w:r w:rsidRPr="008C21D6">
                              <w:rPr>
                                <w:bCs/>
                                <w:color w:val="2A2A2A"/>
                                <w:sz w:val="22"/>
                                <w:szCs w:val="22"/>
                                <w:lang w:val="mi-NZ" w:eastAsia="en-US"/>
                              </w:rPr>
                              <w:t>518 </w:t>
                            </w:r>
                          </w:p>
                        </w:tc>
                        <w:tc>
                          <w:tcPr>
                            <w:tcW w:w="2835" w:type="dxa"/>
                            <w:tcBorders>
                              <w:top w:val="nil"/>
                              <w:left w:val="nil"/>
                              <w:bottom w:val="nil"/>
                              <w:right w:val="nil"/>
                            </w:tcBorders>
                            <w:shd w:val="clear" w:color="auto" w:fill="auto"/>
                            <w:noWrap/>
                            <w:vAlign w:val="bottom"/>
                            <w:hideMark/>
                          </w:tcPr>
                          <w:p w14:paraId="7E377E87"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Temperature optimum </w:t>
                            </w:r>
                          </w:p>
                        </w:tc>
                        <w:tc>
                          <w:tcPr>
                            <w:tcW w:w="993" w:type="dxa"/>
                            <w:tcBorders>
                              <w:top w:val="nil"/>
                              <w:left w:val="nil"/>
                              <w:bottom w:val="nil"/>
                              <w:right w:val="nil"/>
                            </w:tcBorders>
                            <w:shd w:val="clear" w:color="auto" w:fill="auto"/>
                            <w:noWrap/>
                            <w:vAlign w:val="bottom"/>
                            <w:hideMark/>
                          </w:tcPr>
                          <w:p w14:paraId="31FDF8EE"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6</w:t>
                            </w:r>
                            <w:r>
                              <w:rPr>
                                <w:bCs/>
                                <w:color w:val="2A2A2A"/>
                                <w:sz w:val="22"/>
                                <w:szCs w:val="22"/>
                                <w:lang w:val="mi-NZ" w:eastAsia="en-US"/>
                              </w:rPr>
                              <w:t xml:space="preserve"> </w:t>
                            </w:r>
                            <w:r w:rsidRPr="008C21D6">
                              <w:rPr>
                                <w:bCs/>
                                <w:color w:val="2A2A2A"/>
                                <w:sz w:val="22"/>
                                <w:szCs w:val="22"/>
                                <w:lang w:val="mi-NZ" w:eastAsia="en-US"/>
                              </w:rPr>
                              <w:t>147 </w:t>
                            </w:r>
                          </w:p>
                        </w:tc>
                      </w:tr>
                      <w:tr w:rsidR="00F63D94" w:rsidRPr="008C21D6" w14:paraId="5F3F10B3" w14:textId="77777777" w:rsidTr="008C21D6">
                        <w:trPr>
                          <w:trHeight w:val="320"/>
                        </w:trPr>
                        <w:tc>
                          <w:tcPr>
                            <w:tcW w:w="2993" w:type="dxa"/>
                            <w:tcBorders>
                              <w:top w:val="nil"/>
                              <w:left w:val="nil"/>
                              <w:bottom w:val="nil"/>
                              <w:right w:val="nil"/>
                            </w:tcBorders>
                            <w:shd w:val="clear" w:color="auto" w:fill="auto"/>
                            <w:noWrap/>
                            <w:vAlign w:val="bottom"/>
                            <w:hideMark/>
                          </w:tcPr>
                          <w:p w14:paraId="75A82079"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Reaction type </w:t>
                            </w:r>
                          </w:p>
                        </w:tc>
                        <w:tc>
                          <w:tcPr>
                            <w:tcW w:w="992" w:type="dxa"/>
                            <w:tcBorders>
                              <w:top w:val="nil"/>
                              <w:left w:val="nil"/>
                              <w:bottom w:val="nil"/>
                              <w:right w:val="nil"/>
                            </w:tcBorders>
                            <w:shd w:val="clear" w:color="auto" w:fill="auto"/>
                            <w:noWrap/>
                            <w:vAlign w:val="bottom"/>
                            <w:hideMark/>
                          </w:tcPr>
                          <w:p w14:paraId="4DF2B379"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4</w:t>
                            </w:r>
                            <w:r>
                              <w:rPr>
                                <w:bCs/>
                                <w:color w:val="2A2A2A"/>
                                <w:sz w:val="22"/>
                                <w:szCs w:val="22"/>
                                <w:lang w:val="mi-NZ" w:eastAsia="en-US"/>
                              </w:rPr>
                              <w:t xml:space="preserve"> </w:t>
                            </w:r>
                            <w:r w:rsidRPr="008C21D6">
                              <w:rPr>
                                <w:bCs/>
                                <w:color w:val="2A2A2A"/>
                                <w:sz w:val="22"/>
                                <w:szCs w:val="22"/>
                                <w:lang w:val="mi-NZ" w:eastAsia="en-US"/>
                              </w:rPr>
                              <w:t>123 </w:t>
                            </w:r>
                          </w:p>
                        </w:tc>
                        <w:tc>
                          <w:tcPr>
                            <w:tcW w:w="2835" w:type="dxa"/>
                            <w:tcBorders>
                              <w:top w:val="nil"/>
                              <w:left w:val="nil"/>
                              <w:bottom w:val="nil"/>
                              <w:right w:val="nil"/>
                            </w:tcBorders>
                            <w:shd w:val="clear" w:color="auto" w:fill="auto"/>
                            <w:noWrap/>
                            <w:vAlign w:val="bottom"/>
                            <w:hideMark/>
                          </w:tcPr>
                          <w:p w14:paraId="72DC09FD"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Temperature range </w:t>
                            </w:r>
                          </w:p>
                        </w:tc>
                        <w:tc>
                          <w:tcPr>
                            <w:tcW w:w="993" w:type="dxa"/>
                            <w:tcBorders>
                              <w:top w:val="nil"/>
                              <w:left w:val="nil"/>
                              <w:bottom w:val="nil"/>
                              <w:right w:val="nil"/>
                            </w:tcBorders>
                            <w:shd w:val="clear" w:color="auto" w:fill="auto"/>
                            <w:noWrap/>
                            <w:vAlign w:val="bottom"/>
                            <w:hideMark/>
                          </w:tcPr>
                          <w:p w14:paraId="7E78115D"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908 </w:t>
                            </w:r>
                          </w:p>
                        </w:tc>
                      </w:tr>
                      <w:tr w:rsidR="00F63D94" w:rsidRPr="008C21D6" w14:paraId="61E71BEF" w14:textId="77777777" w:rsidTr="008C21D6">
                        <w:trPr>
                          <w:trHeight w:val="320"/>
                        </w:trPr>
                        <w:tc>
                          <w:tcPr>
                            <w:tcW w:w="3985" w:type="dxa"/>
                            <w:gridSpan w:val="2"/>
                            <w:tcBorders>
                              <w:top w:val="nil"/>
                              <w:left w:val="nil"/>
                              <w:bottom w:val="nil"/>
                              <w:right w:val="nil"/>
                            </w:tcBorders>
                            <w:shd w:val="clear" w:color="auto" w:fill="auto"/>
                            <w:noWrap/>
                            <w:vAlign w:val="bottom"/>
                            <w:hideMark/>
                          </w:tcPr>
                          <w:p w14:paraId="11707CDF"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Enzyme structure </w:t>
                            </w:r>
                          </w:p>
                        </w:tc>
                        <w:tc>
                          <w:tcPr>
                            <w:tcW w:w="2835" w:type="dxa"/>
                            <w:tcBorders>
                              <w:top w:val="nil"/>
                              <w:left w:val="nil"/>
                              <w:bottom w:val="nil"/>
                              <w:right w:val="nil"/>
                            </w:tcBorders>
                            <w:shd w:val="clear" w:color="auto" w:fill="auto"/>
                            <w:noWrap/>
                            <w:vAlign w:val="bottom"/>
                            <w:hideMark/>
                          </w:tcPr>
                          <w:p w14:paraId="23732253"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Molecular properties </w:t>
                            </w:r>
                          </w:p>
                        </w:tc>
                        <w:tc>
                          <w:tcPr>
                            <w:tcW w:w="993" w:type="dxa"/>
                            <w:tcBorders>
                              <w:top w:val="nil"/>
                              <w:left w:val="nil"/>
                              <w:bottom w:val="nil"/>
                              <w:right w:val="nil"/>
                            </w:tcBorders>
                            <w:shd w:val="clear" w:color="auto" w:fill="auto"/>
                            <w:noWrap/>
                            <w:vAlign w:val="bottom"/>
                            <w:hideMark/>
                          </w:tcPr>
                          <w:p w14:paraId="12F87D2E" w14:textId="77777777" w:rsidR="00F63D94" w:rsidRPr="008C21D6" w:rsidRDefault="00F63D94" w:rsidP="008C21D6">
                            <w:pPr>
                              <w:rPr>
                                <w:bCs/>
                                <w:color w:val="2A2A2A"/>
                                <w:sz w:val="22"/>
                                <w:szCs w:val="22"/>
                                <w:lang w:val="mi-NZ" w:eastAsia="en-US"/>
                              </w:rPr>
                            </w:pPr>
                          </w:p>
                        </w:tc>
                      </w:tr>
                      <w:tr w:rsidR="00F63D94" w:rsidRPr="008C21D6" w14:paraId="76DF6FD2" w14:textId="77777777" w:rsidTr="008C21D6">
                        <w:trPr>
                          <w:trHeight w:val="320"/>
                        </w:trPr>
                        <w:tc>
                          <w:tcPr>
                            <w:tcW w:w="2993" w:type="dxa"/>
                            <w:tcBorders>
                              <w:top w:val="nil"/>
                              <w:left w:val="nil"/>
                              <w:bottom w:val="nil"/>
                              <w:right w:val="nil"/>
                            </w:tcBorders>
                            <w:shd w:val="clear" w:color="auto" w:fill="auto"/>
                            <w:noWrap/>
                            <w:vAlign w:val="bottom"/>
                            <w:hideMark/>
                          </w:tcPr>
                          <w:p w14:paraId="7A2791F0"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Molecular weight </w:t>
                            </w:r>
                          </w:p>
                        </w:tc>
                        <w:tc>
                          <w:tcPr>
                            <w:tcW w:w="992" w:type="dxa"/>
                            <w:tcBorders>
                              <w:top w:val="nil"/>
                              <w:left w:val="nil"/>
                              <w:bottom w:val="nil"/>
                              <w:right w:val="nil"/>
                            </w:tcBorders>
                            <w:shd w:val="clear" w:color="auto" w:fill="auto"/>
                            <w:noWrap/>
                            <w:vAlign w:val="bottom"/>
                            <w:hideMark/>
                          </w:tcPr>
                          <w:p w14:paraId="5B169687"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12 329 </w:t>
                            </w:r>
                          </w:p>
                        </w:tc>
                        <w:tc>
                          <w:tcPr>
                            <w:tcW w:w="2835" w:type="dxa"/>
                            <w:tcBorders>
                              <w:top w:val="nil"/>
                              <w:left w:val="nil"/>
                              <w:bottom w:val="nil"/>
                              <w:right w:val="nil"/>
                            </w:tcBorders>
                            <w:shd w:val="clear" w:color="auto" w:fill="auto"/>
                            <w:noWrap/>
                            <w:vAlign w:val="bottom"/>
                            <w:hideMark/>
                          </w:tcPr>
                          <w:p w14:paraId="0C999A14"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pH stability </w:t>
                            </w:r>
                          </w:p>
                        </w:tc>
                        <w:tc>
                          <w:tcPr>
                            <w:tcW w:w="993" w:type="dxa"/>
                            <w:tcBorders>
                              <w:top w:val="nil"/>
                              <w:left w:val="nil"/>
                              <w:bottom w:val="nil"/>
                              <w:right w:val="nil"/>
                            </w:tcBorders>
                            <w:shd w:val="clear" w:color="auto" w:fill="auto"/>
                            <w:noWrap/>
                            <w:vAlign w:val="bottom"/>
                            <w:hideMark/>
                          </w:tcPr>
                          <w:p w14:paraId="7BB8AD5B"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2</w:t>
                            </w:r>
                            <w:r>
                              <w:rPr>
                                <w:bCs/>
                                <w:color w:val="2A2A2A"/>
                                <w:sz w:val="22"/>
                                <w:szCs w:val="22"/>
                                <w:lang w:val="mi-NZ" w:eastAsia="en-US"/>
                              </w:rPr>
                              <w:t xml:space="preserve"> </w:t>
                            </w:r>
                            <w:r w:rsidRPr="008C21D6">
                              <w:rPr>
                                <w:bCs/>
                                <w:color w:val="2A2A2A"/>
                                <w:sz w:val="22"/>
                                <w:szCs w:val="22"/>
                                <w:lang w:val="mi-NZ" w:eastAsia="en-US"/>
                              </w:rPr>
                              <w:t>931 </w:t>
                            </w:r>
                          </w:p>
                        </w:tc>
                      </w:tr>
                      <w:tr w:rsidR="00F63D94" w:rsidRPr="008C21D6" w14:paraId="07F16207" w14:textId="77777777" w:rsidTr="008C21D6">
                        <w:trPr>
                          <w:trHeight w:val="320"/>
                        </w:trPr>
                        <w:tc>
                          <w:tcPr>
                            <w:tcW w:w="2993" w:type="dxa"/>
                            <w:tcBorders>
                              <w:top w:val="nil"/>
                              <w:left w:val="nil"/>
                              <w:bottom w:val="nil"/>
                              <w:right w:val="nil"/>
                            </w:tcBorders>
                            <w:shd w:val="clear" w:color="auto" w:fill="auto"/>
                            <w:noWrap/>
                            <w:vAlign w:val="bottom"/>
                            <w:hideMark/>
                          </w:tcPr>
                          <w:p w14:paraId="74D1BD8D"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Subunits </w:t>
                            </w:r>
                          </w:p>
                        </w:tc>
                        <w:tc>
                          <w:tcPr>
                            <w:tcW w:w="992" w:type="dxa"/>
                            <w:tcBorders>
                              <w:top w:val="nil"/>
                              <w:left w:val="nil"/>
                              <w:bottom w:val="nil"/>
                              <w:right w:val="nil"/>
                            </w:tcBorders>
                            <w:shd w:val="clear" w:color="auto" w:fill="auto"/>
                            <w:noWrap/>
                            <w:vAlign w:val="bottom"/>
                            <w:hideMark/>
                          </w:tcPr>
                          <w:p w14:paraId="2D61CA94"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7</w:t>
                            </w:r>
                            <w:r>
                              <w:rPr>
                                <w:bCs/>
                                <w:color w:val="2A2A2A"/>
                                <w:sz w:val="22"/>
                                <w:szCs w:val="22"/>
                                <w:lang w:val="mi-NZ" w:eastAsia="en-US"/>
                              </w:rPr>
                              <w:t xml:space="preserve"> </w:t>
                            </w:r>
                            <w:r w:rsidRPr="008C21D6">
                              <w:rPr>
                                <w:bCs/>
                                <w:color w:val="2A2A2A"/>
                                <w:sz w:val="22"/>
                                <w:szCs w:val="22"/>
                                <w:lang w:val="mi-NZ" w:eastAsia="en-US"/>
                              </w:rPr>
                              <w:t>416 </w:t>
                            </w:r>
                          </w:p>
                        </w:tc>
                        <w:tc>
                          <w:tcPr>
                            <w:tcW w:w="2835" w:type="dxa"/>
                            <w:tcBorders>
                              <w:top w:val="nil"/>
                              <w:left w:val="nil"/>
                              <w:bottom w:val="nil"/>
                              <w:right w:val="nil"/>
                            </w:tcBorders>
                            <w:shd w:val="clear" w:color="auto" w:fill="auto"/>
                            <w:noWrap/>
                            <w:vAlign w:val="bottom"/>
                            <w:hideMark/>
                          </w:tcPr>
                          <w:p w14:paraId="1BA54917"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Temperature stability </w:t>
                            </w:r>
                          </w:p>
                        </w:tc>
                        <w:tc>
                          <w:tcPr>
                            <w:tcW w:w="993" w:type="dxa"/>
                            <w:tcBorders>
                              <w:top w:val="nil"/>
                              <w:left w:val="nil"/>
                              <w:bottom w:val="nil"/>
                              <w:right w:val="nil"/>
                            </w:tcBorders>
                            <w:shd w:val="clear" w:color="auto" w:fill="auto"/>
                            <w:noWrap/>
                            <w:vAlign w:val="bottom"/>
                            <w:hideMark/>
                          </w:tcPr>
                          <w:p w14:paraId="2EF1A91C"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6</w:t>
                            </w:r>
                            <w:r>
                              <w:rPr>
                                <w:bCs/>
                                <w:color w:val="2A2A2A"/>
                                <w:sz w:val="22"/>
                                <w:szCs w:val="22"/>
                                <w:lang w:val="mi-NZ" w:eastAsia="en-US"/>
                              </w:rPr>
                              <w:t xml:space="preserve"> </w:t>
                            </w:r>
                            <w:r w:rsidRPr="008C21D6">
                              <w:rPr>
                                <w:bCs/>
                                <w:color w:val="2A2A2A"/>
                                <w:sz w:val="22"/>
                                <w:szCs w:val="22"/>
                                <w:lang w:val="mi-NZ" w:eastAsia="en-US"/>
                              </w:rPr>
                              <w:t>825 </w:t>
                            </w:r>
                          </w:p>
                        </w:tc>
                      </w:tr>
                      <w:tr w:rsidR="00F63D94" w:rsidRPr="008C21D6" w14:paraId="0A05837F" w14:textId="77777777" w:rsidTr="008C21D6">
                        <w:trPr>
                          <w:trHeight w:val="320"/>
                        </w:trPr>
                        <w:tc>
                          <w:tcPr>
                            <w:tcW w:w="2993" w:type="dxa"/>
                            <w:tcBorders>
                              <w:top w:val="nil"/>
                              <w:left w:val="nil"/>
                              <w:bottom w:val="nil"/>
                              <w:right w:val="nil"/>
                            </w:tcBorders>
                            <w:shd w:val="clear" w:color="auto" w:fill="auto"/>
                            <w:noWrap/>
                            <w:vAlign w:val="bottom"/>
                            <w:hideMark/>
                          </w:tcPr>
                          <w:p w14:paraId="524A6BA0"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Sequence links </w:t>
                            </w:r>
                          </w:p>
                        </w:tc>
                        <w:tc>
                          <w:tcPr>
                            <w:tcW w:w="992" w:type="dxa"/>
                            <w:tcBorders>
                              <w:top w:val="nil"/>
                              <w:left w:val="nil"/>
                              <w:bottom w:val="nil"/>
                              <w:right w:val="nil"/>
                            </w:tcBorders>
                            <w:shd w:val="clear" w:color="auto" w:fill="auto"/>
                            <w:noWrap/>
                            <w:vAlign w:val="bottom"/>
                            <w:hideMark/>
                          </w:tcPr>
                          <w:p w14:paraId="0C0FC51A"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33 099 </w:t>
                            </w:r>
                          </w:p>
                        </w:tc>
                        <w:tc>
                          <w:tcPr>
                            <w:tcW w:w="2835" w:type="dxa"/>
                            <w:tcBorders>
                              <w:top w:val="nil"/>
                              <w:left w:val="nil"/>
                              <w:bottom w:val="nil"/>
                              <w:right w:val="nil"/>
                            </w:tcBorders>
                            <w:shd w:val="clear" w:color="auto" w:fill="auto"/>
                            <w:noWrap/>
                            <w:vAlign w:val="bottom"/>
                            <w:hideMark/>
                          </w:tcPr>
                          <w:p w14:paraId="5409201B"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General stability </w:t>
                            </w:r>
                          </w:p>
                        </w:tc>
                        <w:tc>
                          <w:tcPr>
                            <w:tcW w:w="993" w:type="dxa"/>
                            <w:tcBorders>
                              <w:top w:val="nil"/>
                              <w:left w:val="nil"/>
                              <w:bottom w:val="nil"/>
                              <w:right w:val="nil"/>
                            </w:tcBorders>
                            <w:shd w:val="clear" w:color="auto" w:fill="auto"/>
                            <w:noWrap/>
                            <w:vAlign w:val="bottom"/>
                            <w:hideMark/>
                          </w:tcPr>
                          <w:p w14:paraId="7D218558"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5</w:t>
                            </w:r>
                            <w:r>
                              <w:rPr>
                                <w:bCs/>
                                <w:color w:val="2A2A2A"/>
                                <w:sz w:val="22"/>
                                <w:szCs w:val="22"/>
                                <w:lang w:val="mi-NZ" w:eastAsia="en-US"/>
                              </w:rPr>
                              <w:t xml:space="preserve"> </w:t>
                            </w:r>
                            <w:r w:rsidRPr="008C21D6">
                              <w:rPr>
                                <w:bCs/>
                                <w:color w:val="2A2A2A"/>
                                <w:sz w:val="22"/>
                                <w:szCs w:val="22"/>
                                <w:lang w:val="mi-NZ" w:eastAsia="en-US"/>
                              </w:rPr>
                              <w:t>398 </w:t>
                            </w:r>
                          </w:p>
                        </w:tc>
                      </w:tr>
                      <w:tr w:rsidR="00F63D94" w:rsidRPr="008C21D6" w14:paraId="78DCA393" w14:textId="77777777" w:rsidTr="008C21D6">
                        <w:trPr>
                          <w:trHeight w:val="320"/>
                        </w:trPr>
                        <w:tc>
                          <w:tcPr>
                            <w:tcW w:w="2993" w:type="dxa"/>
                            <w:tcBorders>
                              <w:top w:val="nil"/>
                              <w:left w:val="nil"/>
                              <w:bottom w:val="nil"/>
                              <w:right w:val="nil"/>
                            </w:tcBorders>
                            <w:shd w:val="clear" w:color="auto" w:fill="auto"/>
                            <w:noWrap/>
                            <w:vAlign w:val="bottom"/>
                            <w:hideMark/>
                          </w:tcPr>
                          <w:p w14:paraId="109262CD"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Post-translational modification </w:t>
                            </w:r>
                          </w:p>
                        </w:tc>
                        <w:tc>
                          <w:tcPr>
                            <w:tcW w:w="992" w:type="dxa"/>
                            <w:tcBorders>
                              <w:top w:val="nil"/>
                              <w:left w:val="nil"/>
                              <w:bottom w:val="nil"/>
                              <w:right w:val="nil"/>
                            </w:tcBorders>
                            <w:shd w:val="clear" w:color="auto" w:fill="auto"/>
                            <w:noWrap/>
                            <w:vAlign w:val="bottom"/>
                            <w:hideMark/>
                          </w:tcPr>
                          <w:p w14:paraId="5AE506C5"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w:t>
                            </w:r>
                            <w:r>
                              <w:rPr>
                                <w:bCs/>
                                <w:color w:val="2A2A2A"/>
                                <w:sz w:val="22"/>
                                <w:szCs w:val="22"/>
                                <w:lang w:val="mi-NZ" w:eastAsia="en-US"/>
                              </w:rPr>
                              <w:t xml:space="preserve"> </w:t>
                            </w:r>
                            <w:r w:rsidRPr="008C21D6">
                              <w:rPr>
                                <w:bCs/>
                                <w:color w:val="2A2A2A"/>
                                <w:sz w:val="22"/>
                                <w:szCs w:val="22"/>
                                <w:lang w:val="mi-NZ" w:eastAsia="en-US"/>
                              </w:rPr>
                              <w:t>112 </w:t>
                            </w:r>
                          </w:p>
                        </w:tc>
                        <w:tc>
                          <w:tcPr>
                            <w:tcW w:w="2835" w:type="dxa"/>
                            <w:tcBorders>
                              <w:top w:val="nil"/>
                              <w:left w:val="nil"/>
                              <w:bottom w:val="nil"/>
                              <w:right w:val="nil"/>
                            </w:tcBorders>
                            <w:shd w:val="clear" w:color="auto" w:fill="auto"/>
                            <w:noWrap/>
                            <w:vAlign w:val="bottom"/>
                            <w:hideMark/>
                          </w:tcPr>
                          <w:p w14:paraId="1F41AB87"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Organic solvent stability </w:t>
                            </w:r>
                          </w:p>
                        </w:tc>
                        <w:tc>
                          <w:tcPr>
                            <w:tcW w:w="993" w:type="dxa"/>
                            <w:tcBorders>
                              <w:top w:val="nil"/>
                              <w:left w:val="nil"/>
                              <w:bottom w:val="nil"/>
                              <w:right w:val="nil"/>
                            </w:tcBorders>
                            <w:shd w:val="clear" w:color="auto" w:fill="auto"/>
                            <w:noWrap/>
                            <w:vAlign w:val="bottom"/>
                            <w:hideMark/>
                          </w:tcPr>
                          <w:p w14:paraId="355E2C77"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311 </w:t>
                            </w:r>
                          </w:p>
                        </w:tc>
                      </w:tr>
                      <w:tr w:rsidR="00F63D94" w:rsidRPr="008C21D6" w14:paraId="662A0A6E" w14:textId="77777777" w:rsidTr="008C21D6">
                        <w:trPr>
                          <w:trHeight w:val="320"/>
                        </w:trPr>
                        <w:tc>
                          <w:tcPr>
                            <w:tcW w:w="2993" w:type="dxa"/>
                            <w:tcBorders>
                              <w:top w:val="nil"/>
                              <w:left w:val="nil"/>
                              <w:bottom w:val="nil"/>
                              <w:right w:val="nil"/>
                            </w:tcBorders>
                            <w:shd w:val="clear" w:color="auto" w:fill="auto"/>
                            <w:noWrap/>
                            <w:vAlign w:val="bottom"/>
                            <w:hideMark/>
                          </w:tcPr>
                          <w:p w14:paraId="437C3025"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Crystallization </w:t>
                            </w:r>
                          </w:p>
                        </w:tc>
                        <w:tc>
                          <w:tcPr>
                            <w:tcW w:w="992" w:type="dxa"/>
                            <w:tcBorders>
                              <w:top w:val="nil"/>
                              <w:left w:val="nil"/>
                              <w:bottom w:val="nil"/>
                              <w:right w:val="nil"/>
                            </w:tcBorders>
                            <w:shd w:val="clear" w:color="auto" w:fill="auto"/>
                            <w:noWrap/>
                            <w:vAlign w:val="bottom"/>
                            <w:hideMark/>
                          </w:tcPr>
                          <w:p w14:paraId="0E4FCB18"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w:t>
                            </w:r>
                            <w:r>
                              <w:rPr>
                                <w:bCs/>
                                <w:color w:val="2A2A2A"/>
                                <w:sz w:val="22"/>
                                <w:szCs w:val="22"/>
                                <w:lang w:val="mi-NZ" w:eastAsia="en-US"/>
                              </w:rPr>
                              <w:t xml:space="preserve"> </w:t>
                            </w:r>
                            <w:r w:rsidRPr="008C21D6">
                              <w:rPr>
                                <w:bCs/>
                                <w:color w:val="2A2A2A"/>
                                <w:sz w:val="22"/>
                                <w:szCs w:val="22"/>
                                <w:lang w:val="mi-NZ" w:eastAsia="en-US"/>
                              </w:rPr>
                              <w:t>003 </w:t>
                            </w:r>
                          </w:p>
                        </w:tc>
                        <w:tc>
                          <w:tcPr>
                            <w:tcW w:w="2835" w:type="dxa"/>
                            <w:tcBorders>
                              <w:top w:val="nil"/>
                              <w:left w:val="nil"/>
                              <w:bottom w:val="nil"/>
                              <w:right w:val="nil"/>
                            </w:tcBorders>
                            <w:shd w:val="clear" w:color="auto" w:fill="auto"/>
                            <w:noWrap/>
                            <w:vAlign w:val="bottom"/>
                            <w:hideMark/>
                          </w:tcPr>
                          <w:p w14:paraId="262F0E6B"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Oxidation stability </w:t>
                            </w:r>
                          </w:p>
                        </w:tc>
                        <w:tc>
                          <w:tcPr>
                            <w:tcW w:w="993" w:type="dxa"/>
                            <w:tcBorders>
                              <w:top w:val="nil"/>
                              <w:left w:val="nil"/>
                              <w:bottom w:val="nil"/>
                              <w:right w:val="nil"/>
                            </w:tcBorders>
                            <w:shd w:val="clear" w:color="auto" w:fill="auto"/>
                            <w:noWrap/>
                            <w:vAlign w:val="bottom"/>
                            <w:hideMark/>
                          </w:tcPr>
                          <w:p w14:paraId="7648E94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349 </w:t>
                            </w:r>
                          </w:p>
                        </w:tc>
                      </w:tr>
                      <w:tr w:rsidR="00F63D94" w:rsidRPr="008C21D6" w14:paraId="136F65FC" w14:textId="77777777" w:rsidTr="008C21D6">
                        <w:trPr>
                          <w:trHeight w:val="320"/>
                        </w:trPr>
                        <w:tc>
                          <w:tcPr>
                            <w:tcW w:w="2993" w:type="dxa"/>
                            <w:tcBorders>
                              <w:top w:val="nil"/>
                              <w:left w:val="nil"/>
                              <w:bottom w:val="nil"/>
                              <w:right w:val="nil"/>
                            </w:tcBorders>
                            <w:shd w:val="clear" w:color="auto" w:fill="auto"/>
                            <w:noWrap/>
                            <w:vAlign w:val="bottom"/>
                            <w:hideMark/>
                          </w:tcPr>
                          <w:p w14:paraId="75DEFC4B"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3D-structure, specific PDB links </w:t>
                            </w:r>
                          </w:p>
                        </w:tc>
                        <w:tc>
                          <w:tcPr>
                            <w:tcW w:w="992" w:type="dxa"/>
                            <w:tcBorders>
                              <w:top w:val="nil"/>
                              <w:left w:val="nil"/>
                              <w:bottom w:val="nil"/>
                              <w:right w:val="nil"/>
                            </w:tcBorders>
                            <w:shd w:val="clear" w:color="auto" w:fill="auto"/>
                            <w:noWrap/>
                            <w:vAlign w:val="bottom"/>
                            <w:hideMark/>
                          </w:tcPr>
                          <w:p w14:paraId="0681BD64"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6</w:t>
                            </w:r>
                            <w:r>
                              <w:rPr>
                                <w:bCs/>
                                <w:color w:val="2A2A2A"/>
                                <w:sz w:val="22"/>
                                <w:szCs w:val="22"/>
                                <w:lang w:val="mi-NZ" w:eastAsia="en-US"/>
                              </w:rPr>
                              <w:t xml:space="preserve"> </w:t>
                            </w:r>
                            <w:r w:rsidRPr="008C21D6">
                              <w:rPr>
                                <w:bCs/>
                                <w:color w:val="2A2A2A"/>
                                <w:sz w:val="22"/>
                                <w:szCs w:val="22"/>
                                <w:lang w:val="mi-NZ" w:eastAsia="en-US"/>
                              </w:rPr>
                              <w:t>142 </w:t>
                            </w:r>
                          </w:p>
                        </w:tc>
                        <w:tc>
                          <w:tcPr>
                            <w:tcW w:w="2835" w:type="dxa"/>
                            <w:tcBorders>
                              <w:top w:val="nil"/>
                              <w:left w:val="nil"/>
                              <w:bottom w:val="nil"/>
                              <w:right w:val="nil"/>
                            </w:tcBorders>
                            <w:shd w:val="clear" w:color="auto" w:fill="auto"/>
                            <w:noWrap/>
                            <w:vAlign w:val="bottom"/>
                            <w:hideMark/>
                          </w:tcPr>
                          <w:p w14:paraId="3A4B476C"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Storage stability </w:t>
                            </w:r>
                          </w:p>
                        </w:tc>
                        <w:tc>
                          <w:tcPr>
                            <w:tcW w:w="993" w:type="dxa"/>
                            <w:tcBorders>
                              <w:top w:val="nil"/>
                              <w:left w:val="nil"/>
                              <w:bottom w:val="nil"/>
                              <w:right w:val="nil"/>
                            </w:tcBorders>
                            <w:shd w:val="clear" w:color="auto" w:fill="auto"/>
                            <w:noWrap/>
                            <w:vAlign w:val="bottom"/>
                            <w:hideMark/>
                          </w:tcPr>
                          <w:p w14:paraId="74FFC682"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6</w:t>
                            </w:r>
                            <w:r>
                              <w:rPr>
                                <w:bCs/>
                                <w:color w:val="2A2A2A"/>
                                <w:sz w:val="22"/>
                                <w:szCs w:val="22"/>
                                <w:lang w:val="mi-NZ" w:eastAsia="en-US"/>
                              </w:rPr>
                              <w:t xml:space="preserve"> </w:t>
                            </w:r>
                            <w:r w:rsidRPr="008C21D6">
                              <w:rPr>
                                <w:bCs/>
                                <w:color w:val="2A2A2A"/>
                                <w:sz w:val="22"/>
                                <w:szCs w:val="22"/>
                                <w:lang w:val="mi-NZ" w:eastAsia="en-US"/>
                              </w:rPr>
                              <w:t>505 </w:t>
                            </w:r>
                          </w:p>
                        </w:tc>
                      </w:tr>
                      <w:tr w:rsidR="00F63D94" w:rsidRPr="008C21D6" w14:paraId="58DA40BB" w14:textId="77777777" w:rsidTr="008C21D6">
                        <w:trPr>
                          <w:trHeight w:val="320"/>
                        </w:trPr>
                        <w:tc>
                          <w:tcPr>
                            <w:tcW w:w="3985" w:type="dxa"/>
                            <w:gridSpan w:val="2"/>
                            <w:tcBorders>
                              <w:top w:val="nil"/>
                              <w:left w:val="nil"/>
                              <w:bottom w:val="nil"/>
                              <w:right w:val="nil"/>
                            </w:tcBorders>
                            <w:shd w:val="clear" w:color="auto" w:fill="auto"/>
                            <w:noWrap/>
                            <w:vAlign w:val="bottom"/>
                            <w:hideMark/>
                          </w:tcPr>
                          <w:p w14:paraId="33A838A8"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Enzyme–ligand interactions </w:t>
                            </w:r>
                          </w:p>
                        </w:tc>
                        <w:tc>
                          <w:tcPr>
                            <w:tcW w:w="2835" w:type="dxa"/>
                            <w:tcBorders>
                              <w:top w:val="nil"/>
                              <w:left w:val="nil"/>
                              <w:bottom w:val="nil"/>
                              <w:right w:val="nil"/>
                            </w:tcBorders>
                            <w:shd w:val="clear" w:color="auto" w:fill="auto"/>
                            <w:noWrap/>
                            <w:vAlign w:val="bottom"/>
                            <w:hideMark/>
                          </w:tcPr>
                          <w:p w14:paraId="57926324"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Purification </w:t>
                            </w:r>
                          </w:p>
                        </w:tc>
                        <w:tc>
                          <w:tcPr>
                            <w:tcW w:w="993" w:type="dxa"/>
                            <w:tcBorders>
                              <w:top w:val="nil"/>
                              <w:left w:val="nil"/>
                              <w:bottom w:val="nil"/>
                              <w:right w:val="nil"/>
                            </w:tcBorders>
                            <w:shd w:val="clear" w:color="auto" w:fill="auto"/>
                            <w:noWrap/>
                            <w:vAlign w:val="bottom"/>
                            <w:hideMark/>
                          </w:tcPr>
                          <w:p w14:paraId="25F23B50"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11 176 </w:t>
                            </w:r>
                          </w:p>
                        </w:tc>
                      </w:tr>
                      <w:tr w:rsidR="00F63D94" w:rsidRPr="008C21D6" w14:paraId="11364752" w14:textId="77777777" w:rsidTr="008C21D6">
                        <w:trPr>
                          <w:trHeight w:val="320"/>
                        </w:trPr>
                        <w:tc>
                          <w:tcPr>
                            <w:tcW w:w="2993" w:type="dxa"/>
                            <w:tcBorders>
                              <w:top w:val="nil"/>
                              <w:left w:val="nil"/>
                              <w:bottom w:val="nil"/>
                              <w:right w:val="nil"/>
                            </w:tcBorders>
                            <w:shd w:val="clear" w:color="auto" w:fill="auto"/>
                            <w:noWrap/>
                            <w:vAlign w:val="bottom"/>
                            <w:hideMark/>
                          </w:tcPr>
                          <w:p w14:paraId="47F22983"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Substrates/products </w:t>
                            </w:r>
                          </w:p>
                        </w:tc>
                        <w:tc>
                          <w:tcPr>
                            <w:tcW w:w="992" w:type="dxa"/>
                            <w:tcBorders>
                              <w:top w:val="nil"/>
                              <w:left w:val="nil"/>
                              <w:bottom w:val="nil"/>
                              <w:right w:val="nil"/>
                            </w:tcBorders>
                            <w:shd w:val="clear" w:color="auto" w:fill="auto"/>
                            <w:noWrap/>
                            <w:vAlign w:val="bottom"/>
                            <w:hideMark/>
                          </w:tcPr>
                          <w:p w14:paraId="302F6FCA"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47 630 </w:t>
                            </w:r>
                          </w:p>
                        </w:tc>
                        <w:tc>
                          <w:tcPr>
                            <w:tcW w:w="2835" w:type="dxa"/>
                            <w:tcBorders>
                              <w:top w:val="nil"/>
                              <w:left w:val="nil"/>
                              <w:bottom w:val="nil"/>
                              <w:right w:val="nil"/>
                            </w:tcBorders>
                            <w:shd w:val="clear" w:color="auto" w:fill="auto"/>
                            <w:noWrap/>
                            <w:vAlign w:val="bottom"/>
                            <w:hideMark/>
                          </w:tcPr>
                          <w:p w14:paraId="26E0731F"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Cloned </w:t>
                            </w:r>
                          </w:p>
                        </w:tc>
                        <w:tc>
                          <w:tcPr>
                            <w:tcW w:w="993" w:type="dxa"/>
                            <w:tcBorders>
                              <w:top w:val="nil"/>
                              <w:left w:val="nil"/>
                              <w:bottom w:val="nil"/>
                              <w:right w:val="nil"/>
                            </w:tcBorders>
                            <w:shd w:val="clear" w:color="auto" w:fill="auto"/>
                            <w:noWrap/>
                            <w:vAlign w:val="bottom"/>
                            <w:hideMark/>
                          </w:tcPr>
                          <w:p w14:paraId="0BAD44D5"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2</w:t>
                            </w:r>
                            <w:r>
                              <w:rPr>
                                <w:bCs/>
                                <w:color w:val="2A2A2A"/>
                                <w:sz w:val="22"/>
                                <w:szCs w:val="22"/>
                                <w:lang w:val="mi-NZ" w:eastAsia="en-US"/>
                              </w:rPr>
                              <w:t xml:space="preserve"> </w:t>
                            </w:r>
                            <w:r w:rsidRPr="008C21D6">
                              <w:rPr>
                                <w:bCs/>
                                <w:color w:val="2A2A2A"/>
                                <w:sz w:val="22"/>
                                <w:szCs w:val="22"/>
                                <w:lang w:val="mi-NZ" w:eastAsia="en-US"/>
                              </w:rPr>
                              <w:t>015 </w:t>
                            </w:r>
                          </w:p>
                        </w:tc>
                      </w:tr>
                      <w:tr w:rsidR="00F63D94" w:rsidRPr="008C21D6" w14:paraId="0FD53E2A" w14:textId="77777777" w:rsidTr="008C21D6">
                        <w:trPr>
                          <w:trHeight w:val="320"/>
                        </w:trPr>
                        <w:tc>
                          <w:tcPr>
                            <w:tcW w:w="2993" w:type="dxa"/>
                            <w:tcBorders>
                              <w:top w:val="nil"/>
                              <w:left w:val="nil"/>
                              <w:bottom w:val="nil"/>
                              <w:right w:val="nil"/>
                            </w:tcBorders>
                            <w:shd w:val="clear" w:color="auto" w:fill="auto"/>
                            <w:noWrap/>
                            <w:vAlign w:val="bottom"/>
                            <w:hideMark/>
                          </w:tcPr>
                          <w:p w14:paraId="6A5AC125"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Natural substrate </w:t>
                            </w:r>
                          </w:p>
                        </w:tc>
                        <w:tc>
                          <w:tcPr>
                            <w:tcW w:w="992" w:type="dxa"/>
                            <w:tcBorders>
                              <w:top w:val="nil"/>
                              <w:left w:val="nil"/>
                              <w:bottom w:val="nil"/>
                              <w:right w:val="nil"/>
                            </w:tcBorders>
                            <w:shd w:val="clear" w:color="auto" w:fill="auto"/>
                            <w:noWrap/>
                            <w:vAlign w:val="bottom"/>
                            <w:hideMark/>
                          </w:tcPr>
                          <w:p w14:paraId="36B096A9"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7</w:t>
                            </w:r>
                            <w:r>
                              <w:rPr>
                                <w:bCs/>
                                <w:color w:val="2A2A2A"/>
                                <w:sz w:val="22"/>
                                <w:szCs w:val="22"/>
                                <w:lang w:val="mi-NZ" w:eastAsia="en-US"/>
                              </w:rPr>
                              <w:t xml:space="preserve"> </w:t>
                            </w:r>
                            <w:r w:rsidRPr="008C21D6">
                              <w:rPr>
                                <w:bCs/>
                                <w:color w:val="2A2A2A"/>
                                <w:sz w:val="22"/>
                                <w:szCs w:val="22"/>
                                <w:lang w:val="mi-NZ" w:eastAsia="en-US"/>
                              </w:rPr>
                              <w:t>668 </w:t>
                            </w:r>
                          </w:p>
                        </w:tc>
                        <w:tc>
                          <w:tcPr>
                            <w:tcW w:w="2835" w:type="dxa"/>
                            <w:tcBorders>
                              <w:top w:val="nil"/>
                              <w:left w:val="nil"/>
                              <w:bottom w:val="nil"/>
                              <w:right w:val="nil"/>
                            </w:tcBorders>
                            <w:shd w:val="clear" w:color="auto" w:fill="auto"/>
                            <w:noWrap/>
                            <w:vAlign w:val="bottom"/>
                            <w:hideMark/>
                          </w:tcPr>
                          <w:p w14:paraId="2F90B2A7"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Engineering </w:t>
                            </w:r>
                          </w:p>
                        </w:tc>
                        <w:tc>
                          <w:tcPr>
                            <w:tcW w:w="993" w:type="dxa"/>
                            <w:tcBorders>
                              <w:top w:val="nil"/>
                              <w:left w:val="nil"/>
                              <w:bottom w:val="nil"/>
                              <w:right w:val="nil"/>
                            </w:tcBorders>
                            <w:shd w:val="clear" w:color="auto" w:fill="auto"/>
                            <w:noWrap/>
                            <w:vAlign w:val="bottom"/>
                            <w:hideMark/>
                          </w:tcPr>
                          <w:p w14:paraId="5D2281AA"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797 </w:t>
                            </w:r>
                          </w:p>
                        </w:tc>
                      </w:tr>
                      <w:tr w:rsidR="00F63D94" w:rsidRPr="008C21D6" w14:paraId="2A281503" w14:textId="77777777" w:rsidTr="008C21D6">
                        <w:trPr>
                          <w:trHeight w:val="320"/>
                        </w:trPr>
                        <w:tc>
                          <w:tcPr>
                            <w:tcW w:w="2993" w:type="dxa"/>
                            <w:tcBorders>
                              <w:top w:val="nil"/>
                              <w:left w:val="nil"/>
                              <w:bottom w:val="nil"/>
                              <w:right w:val="nil"/>
                            </w:tcBorders>
                            <w:shd w:val="clear" w:color="auto" w:fill="auto"/>
                            <w:noWrap/>
                            <w:vAlign w:val="bottom"/>
                            <w:hideMark/>
                          </w:tcPr>
                          <w:p w14:paraId="02BE77DA"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Cofactor </w:t>
                            </w:r>
                          </w:p>
                        </w:tc>
                        <w:tc>
                          <w:tcPr>
                            <w:tcW w:w="992" w:type="dxa"/>
                            <w:tcBorders>
                              <w:top w:val="nil"/>
                              <w:left w:val="nil"/>
                              <w:bottom w:val="nil"/>
                              <w:right w:val="nil"/>
                            </w:tcBorders>
                            <w:shd w:val="clear" w:color="auto" w:fill="auto"/>
                            <w:noWrap/>
                            <w:vAlign w:val="bottom"/>
                            <w:hideMark/>
                          </w:tcPr>
                          <w:p w14:paraId="6008883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6</w:t>
                            </w:r>
                            <w:r>
                              <w:rPr>
                                <w:bCs/>
                                <w:color w:val="2A2A2A"/>
                                <w:sz w:val="22"/>
                                <w:szCs w:val="22"/>
                                <w:lang w:val="mi-NZ" w:eastAsia="en-US"/>
                              </w:rPr>
                              <w:t xml:space="preserve"> </w:t>
                            </w:r>
                            <w:r w:rsidRPr="008C21D6">
                              <w:rPr>
                                <w:bCs/>
                                <w:color w:val="2A2A2A"/>
                                <w:sz w:val="22"/>
                                <w:szCs w:val="22"/>
                                <w:lang w:val="mi-NZ" w:eastAsia="en-US"/>
                              </w:rPr>
                              <w:t>217 </w:t>
                            </w:r>
                          </w:p>
                        </w:tc>
                        <w:tc>
                          <w:tcPr>
                            <w:tcW w:w="2835" w:type="dxa"/>
                            <w:tcBorders>
                              <w:top w:val="nil"/>
                              <w:left w:val="nil"/>
                              <w:bottom w:val="nil"/>
                              <w:right w:val="nil"/>
                            </w:tcBorders>
                            <w:shd w:val="clear" w:color="auto" w:fill="auto"/>
                            <w:noWrap/>
                            <w:vAlign w:val="bottom"/>
                            <w:hideMark/>
                          </w:tcPr>
                          <w:p w14:paraId="425E6B4B"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Renatured </w:t>
                            </w:r>
                          </w:p>
                        </w:tc>
                        <w:tc>
                          <w:tcPr>
                            <w:tcW w:w="993" w:type="dxa"/>
                            <w:tcBorders>
                              <w:top w:val="nil"/>
                              <w:left w:val="nil"/>
                              <w:bottom w:val="nil"/>
                              <w:right w:val="nil"/>
                            </w:tcBorders>
                            <w:shd w:val="clear" w:color="auto" w:fill="auto"/>
                            <w:noWrap/>
                            <w:vAlign w:val="bottom"/>
                            <w:hideMark/>
                          </w:tcPr>
                          <w:p w14:paraId="3B46E76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199 </w:t>
                            </w:r>
                          </w:p>
                        </w:tc>
                      </w:tr>
                      <w:tr w:rsidR="00F63D94" w:rsidRPr="008C21D6" w14:paraId="433DD21F" w14:textId="77777777" w:rsidTr="008C21D6">
                        <w:trPr>
                          <w:trHeight w:val="320"/>
                        </w:trPr>
                        <w:tc>
                          <w:tcPr>
                            <w:tcW w:w="2993" w:type="dxa"/>
                            <w:tcBorders>
                              <w:top w:val="nil"/>
                              <w:left w:val="nil"/>
                              <w:bottom w:val="nil"/>
                              <w:right w:val="nil"/>
                            </w:tcBorders>
                            <w:shd w:val="clear" w:color="auto" w:fill="auto"/>
                            <w:noWrap/>
                            <w:vAlign w:val="bottom"/>
                            <w:hideMark/>
                          </w:tcPr>
                          <w:p w14:paraId="5EBAEF93"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Activating compound </w:t>
                            </w:r>
                          </w:p>
                        </w:tc>
                        <w:tc>
                          <w:tcPr>
                            <w:tcW w:w="992" w:type="dxa"/>
                            <w:tcBorders>
                              <w:top w:val="nil"/>
                              <w:left w:val="nil"/>
                              <w:bottom w:val="nil"/>
                              <w:right w:val="nil"/>
                            </w:tcBorders>
                            <w:shd w:val="clear" w:color="auto" w:fill="auto"/>
                            <w:noWrap/>
                            <w:vAlign w:val="bottom"/>
                            <w:hideMark/>
                          </w:tcPr>
                          <w:p w14:paraId="4485D24A"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6</w:t>
                            </w:r>
                            <w:r>
                              <w:rPr>
                                <w:bCs/>
                                <w:color w:val="2A2A2A"/>
                                <w:sz w:val="22"/>
                                <w:szCs w:val="22"/>
                                <w:lang w:val="mi-NZ" w:eastAsia="en-US"/>
                              </w:rPr>
                              <w:t xml:space="preserve"> </w:t>
                            </w:r>
                            <w:r w:rsidRPr="008C21D6">
                              <w:rPr>
                                <w:bCs/>
                                <w:color w:val="2A2A2A"/>
                                <w:sz w:val="22"/>
                                <w:szCs w:val="22"/>
                                <w:lang w:val="mi-NZ" w:eastAsia="en-US"/>
                              </w:rPr>
                              <w:t>217 </w:t>
                            </w:r>
                          </w:p>
                        </w:tc>
                        <w:tc>
                          <w:tcPr>
                            <w:tcW w:w="2835" w:type="dxa"/>
                            <w:tcBorders>
                              <w:top w:val="nil"/>
                              <w:left w:val="nil"/>
                              <w:bottom w:val="nil"/>
                              <w:right w:val="nil"/>
                            </w:tcBorders>
                            <w:shd w:val="clear" w:color="auto" w:fill="auto"/>
                            <w:noWrap/>
                            <w:vAlign w:val="bottom"/>
                            <w:hideMark/>
                          </w:tcPr>
                          <w:p w14:paraId="5CE12C5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Application </w:t>
                            </w:r>
                          </w:p>
                        </w:tc>
                        <w:tc>
                          <w:tcPr>
                            <w:tcW w:w="993" w:type="dxa"/>
                            <w:tcBorders>
                              <w:top w:val="nil"/>
                              <w:left w:val="nil"/>
                              <w:bottom w:val="nil"/>
                              <w:right w:val="nil"/>
                            </w:tcBorders>
                            <w:shd w:val="clear" w:color="auto" w:fill="auto"/>
                            <w:noWrap/>
                            <w:vAlign w:val="bottom"/>
                            <w:hideMark/>
                          </w:tcPr>
                          <w:p w14:paraId="456EB5B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338 </w:t>
                            </w:r>
                          </w:p>
                        </w:tc>
                      </w:tr>
                      <w:tr w:rsidR="00F63D94" w:rsidRPr="008C21D6" w14:paraId="5C14F6A8" w14:textId="77777777" w:rsidTr="008C21D6">
                        <w:trPr>
                          <w:trHeight w:val="320"/>
                        </w:trPr>
                        <w:tc>
                          <w:tcPr>
                            <w:tcW w:w="2993" w:type="dxa"/>
                            <w:tcBorders>
                              <w:top w:val="nil"/>
                              <w:left w:val="nil"/>
                              <w:bottom w:val="nil"/>
                              <w:right w:val="nil"/>
                            </w:tcBorders>
                            <w:shd w:val="clear" w:color="auto" w:fill="auto"/>
                            <w:noWrap/>
                            <w:vAlign w:val="bottom"/>
                            <w:hideMark/>
                          </w:tcPr>
                          <w:p w14:paraId="35B2C249"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Metals/ions </w:t>
                            </w:r>
                          </w:p>
                        </w:tc>
                        <w:tc>
                          <w:tcPr>
                            <w:tcW w:w="992" w:type="dxa"/>
                            <w:tcBorders>
                              <w:top w:val="nil"/>
                              <w:left w:val="nil"/>
                              <w:bottom w:val="nil"/>
                              <w:right w:val="nil"/>
                            </w:tcBorders>
                            <w:shd w:val="clear" w:color="auto" w:fill="auto"/>
                            <w:noWrap/>
                            <w:vAlign w:val="bottom"/>
                            <w:hideMark/>
                          </w:tcPr>
                          <w:p w14:paraId="25D427E3"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13 173 </w:t>
                            </w:r>
                          </w:p>
                        </w:tc>
                        <w:tc>
                          <w:tcPr>
                            <w:tcW w:w="3828" w:type="dxa"/>
                            <w:gridSpan w:val="2"/>
                            <w:tcBorders>
                              <w:top w:val="nil"/>
                              <w:left w:val="nil"/>
                              <w:bottom w:val="nil"/>
                              <w:right w:val="nil"/>
                            </w:tcBorders>
                            <w:shd w:val="clear" w:color="auto" w:fill="auto"/>
                            <w:noWrap/>
                            <w:vAlign w:val="bottom"/>
                            <w:hideMark/>
                          </w:tcPr>
                          <w:p w14:paraId="570B003D"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Organism-related information </w:t>
                            </w:r>
                          </w:p>
                        </w:tc>
                      </w:tr>
                      <w:tr w:rsidR="00F63D94" w:rsidRPr="008C21D6" w14:paraId="74333DE9" w14:textId="77777777" w:rsidTr="008C21D6">
                        <w:trPr>
                          <w:trHeight w:val="320"/>
                        </w:trPr>
                        <w:tc>
                          <w:tcPr>
                            <w:tcW w:w="2993" w:type="dxa"/>
                            <w:tcBorders>
                              <w:top w:val="nil"/>
                              <w:left w:val="nil"/>
                              <w:bottom w:val="nil"/>
                              <w:right w:val="nil"/>
                            </w:tcBorders>
                            <w:shd w:val="clear" w:color="auto" w:fill="auto"/>
                            <w:noWrap/>
                            <w:vAlign w:val="bottom"/>
                            <w:hideMark/>
                          </w:tcPr>
                          <w:p w14:paraId="2B476459"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Inhibitors </w:t>
                            </w:r>
                          </w:p>
                        </w:tc>
                        <w:tc>
                          <w:tcPr>
                            <w:tcW w:w="992" w:type="dxa"/>
                            <w:tcBorders>
                              <w:top w:val="nil"/>
                              <w:left w:val="nil"/>
                              <w:bottom w:val="nil"/>
                              <w:right w:val="nil"/>
                            </w:tcBorders>
                            <w:shd w:val="clear" w:color="auto" w:fill="auto"/>
                            <w:noWrap/>
                            <w:vAlign w:val="bottom"/>
                            <w:hideMark/>
                          </w:tcPr>
                          <w:p w14:paraId="6CE1719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56 336 </w:t>
                            </w:r>
                          </w:p>
                        </w:tc>
                        <w:tc>
                          <w:tcPr>
                            <w:tcW w:w="2835" w:type="dxa"/>
                            <w:tcBorders>
                              <w:top w:val="nil"/>
                              <w:left w:val="nil"/>
                              <w:bottom w:val="nil"/>
                              <w:right w:val="nil"/>
                            </w:tcBorders>
                            <w:shd w:val="clear" w:color="auto" w:fill="auto"/>
                            <w:noWrap/>
                            <w:vAlign w:val="bottom"/>
                            <w:hideMark/>
                          </w:tcPr>
                          <w:p w14:paraId="1FCF7DBB"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Organism </w:t>
                            </w:r>
                          </w:p>
                        </w:tc>
                        <w:tc>
                          <w:tcPr>
                            <w:tcW w:w="993" w:type="dxa"/>
                            <w:tcBorders>
                              <w:top w:val="nil"/>
                              <w:left w:val="nil"/>
                              <w:bottom w:val="nil"/>
                              <w:right w:val="nil"/>
                            </w:tcBorders>
                            <w:shd w:val="clear" w:color="auto" w:fill="auto"/>
                            <w:noWrap/>
                            <w:vAlign w:val="bottom"/>
                            <w:hideMark/>
                          </w:tcPr>
                          <w:p w14:paraId="76173AAF"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40 027 </w:t>
                            </w:r>
                          </w:p>
                        </w:tc>
                      </w:tr>
                      <w:tr w:rsidR="00F63D94" w:rsidRPr="008C21D6" w14:paraId="50B88411" w14:textId="77777777" w:rsidTr="008C21D6">
                        <w:trPr>
                          <w:trHeight w:val="320"/>
                        </w:trPr>
                        <w:tc>
                          <w:tcPr>
                            <w:tcW w:w="3985" w:type="dxa"/>
                            <w:gridSpan w:val="2"/>
                            <w:tcBorders>
                              <w:top w:val="nil"/>
                              <w:left w:val="nil"/>
                              <w:bottom w:val="nil"/>
                              <w:right w:val="nil"/>
                            </w:tcBorders>
                            <w:shd w:val="clear" w:color="auto" w:fill="auto"/>
                            <w:noWrap/>
                            <w:vAlign w:val="bottom"/>
                            <w:hideMark/>
                          </w:tcPr>
                          <w:p w14:paraId="6CDB1B0A"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Bibliographical data </w:t>
                            </w:r>
                          </w:p>
                        </w:tc>
                        <w:tc>
                          <w:tcPr>
                            <w:tcW w:w="2835" w:type="dxa"/>
                            <w:tcBorders>
                              <w:top w:val="nil"/>
                              <w:left w:val="nil"/>
                              <w:bottom w:val="nil"/>
                              <w:right w:val="nil"/>
                            </w:tcBorders>
                            <w:shd w:val="clear" w:color="auto" w:fill="auto"/>
                            <w:noWrap/>
                            <w:vAlign w:val="bottom"/>
                            <w:hideMark/>
                          </w:tcPr>
                          <w:p w14:paraId="2CA9312A"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Source tissue, organ </w:t>
                            </w:r>
                          </w:p>
                        </w:tc>
                        <w:tc>
                          <w:tcPr>
                            <w:tcW w:w="993" w:type="dxa"/>
                            <w:tcBorders>
                              <w:top w:val="nil"/>
                              <w:left w:val="nil"/>
                              <w:bottom w:val="nil"/>
                              <w:right w:val="nil"/>
                            </w:tcBorders>
                            <w:shd w:val="clear" w:color="auto" w:fill="auto"/>
                            <w:noWrap/>
                            <w:vAlign w:val="bottom"/>
                            <w:hideMark/>
                          </w:tcPr>
                          <w:p w14:paraId="71CFECB3"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19 347 </w:t>
                            </w:r>
                          </w:p>
                        </w:tc>
                      </w:tr>
                      <w:tr w:rsidR="00F63D94" w:rsidRPr="008C21D6" w14:paraId="603EA04D" w14:textId="77777777" w:rsidTr="008C21D6">
                        <w:trPr>
                          <w:trHeight w:val="320"/>
                        </w:trPr>
                        <w:tc>
                          <w:tcPr>
                            <w:tcW w:w="2993" w:type="dxa"/>
                            <w:tcBorders>
                              <w:top w:val="nil"/>
                              <w:left w:val="nil"/>
                              <w:bottom w:val="nil"/>
                              <w:right w:val="nil"/>
                            </w:tcBorders>
                            <w:shd w:val="clear" w:color="auto" w:fill="auto"/>
                            <w:noWrap/>
                            <w:vAlign w:val="bottom"/>
                            <w:hideMark/>
                          </w:tcPr>
                          <w:p w14:paraId="51AF4F86"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References </w:t>
                            </w:r>
                          </w:p>
                        </w:tc>
                        <w:tc>
                          <w:tcPr>
                            <w:tcW w:w="992" w:type="dxa"/>
                            <w:tcBorders>
                              <w:top w:val="nil"/>
                              <w:left w:val="nil"/>
                              <w:bottom w:val="nil"/>
                              <w:right w:val="nil"/>
                            </w:tcBorders>
                            <w:shd w:val="clear" w:color="auto" w:fill="auto"/>
                            <w:noWrap/>
                            <w:vAlign w:val="bottom"/>
                            <w:hideMark/>
                          </w:tcPr>
                          <w:p w14:paraId="4D8AAF3B"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46 305 </w:t>
                            </w:r>
                          </w:p>
                        </w:tc>
                        <w:tc>
                          <w:tcPr>
                            <w:tcW w:w="2835" w:type="dxa"/>
                            <w:tcBorders>
                              <w:top w:val="nil"/>
                              <w:left w:val="nil"/>
                              <w:bottom w:val="nil"/>
                              <w:right w:val="nil"/>
                            </w:tcBorders>
                            <w:shd w:val="clear" w:color="auto" w:fill="auto"/>
                            <w:noWrap/>
                            <w:vAlign w:val="bottom"/>
                            <w:hideMark/>
                          </w:tcPr>
                          <w:p w14:paraId="5C714552"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Localization </w:t>
                            </w:r>
                          </w:p>
                        </w:tc>
                        <w:tc>
                          <w:tcPr>
                            <w:tcW w:w="993" w:type="dxa"/>
                            <w:tcBorders>
                              <w:top w:val="nil"/>
                              <w:left w:val="nil"/>
                              <w:bottom w:val="nil"/>
                              <w:right w:val="nil"/>
                            </w:tcBorders>
                            <w:shd w:val="clear" w:color="auto" w:fill="auto"/>
                            <w:noWrap/>
                            <w:vAlign w:val="bottom"/>
                            <w:hideMark/>
                          </w:tcPr>
                          <w:p w14:paraId="007D414C" w14:textId="77777777" w:rsidR="00F63D94" w:rsidRPr="008C21D6" w:rsidRDefault="00F63D94" w:rsidP="008C21D6">
                            <w:pPr>
                              <w:rPr>
                                <w:bCs/>
                                <w:color w:val="2A2A2A"/>
                                <w:sz w:val="22"/>
                                <w:szCs w:val="22"/>
                                <w:lang w:val="mi-NZ" w:eastAsia="en-US"/>
                              </w:rPr>
                            </w:pPr>
                            <w:r w:rsidRPr="008C21D6">
                              <w:rPr>
                                <w:bCs/>
                                <w:color w:val="2A2A2A"/>
                                <w:sz w:val="22"/>
                                <w:szCs w:val="22"/>
                                <w:lang w:val="mi-NZ" w:eastAsia="en-US"/>
                              </w:rPr>
                              <w:t>7</w:t>
                            </w:r>
                            <w:r>
                              <w:rPr>
                                <w:bCs/>
                                <w:color w:val="2A2A2A"/>
                                <w:sz w:val="22"/>
                                <w:szCs w:val="22"/>
                                <w:lang w:val="mi-NZ" w:eastAsia="en-US"/>
                              </w:rPr>
                              <w:t xml:space="preserve"> </w:t>
                            </w:r>
                            <w:r w:rsidRPr="008C21D6">
                              <w:rPr>
                                <w:bCs/>
                                <w:color w:val="2A2A2A"/>
                                <w:sz w:val="22"/>
                                <w:szCs w:val="22"/>
                                <w:lang w:val="mi-NZ" w:eastAsia="en-US"/>
                              </w:rPr>
                              <w:t>935 </w:t>
                            </w:r>
                          </w:p>
                        </w:tc>
                      </w:tr>
                    </w:tbl>
                    <w:p w14:paraId="5D98A3CE" w14:textId="77777777" w:rsidR="00F63D94" w:rsidRDefault="00F63D94" w:rsidP="00117E56"/>
                    <w:p w14:paraId="43D1087A" w14:textId="77777777" w:rsidR="00F63D94" w:rsidRDefault="00F63D94" w:rsidP="00117E56">
                      <w:pPr>
                        <w:rPr>
                          <w:sz w:val="22"/>
                        </w:rPr>
                      </w:pPr>
                      <w:r w:rsidRPr="003070CE">
                        <w:rPr>
                          <w:b/>
                          <w:sz w:val="22"/>
                        </w:rPr>
                        <w:t xml:space="preserve">Figure </w:t>
                      </w:r>
                      <w:r>
                        <w:rPr>
                          <w:b/>
                          <w:sz w:val="22"/>
                        </w:rPr>
                        <w:t>I.3</w:t>
                      </w:r>
                      <w:r w:rsidRPr="004824B5">
                        <w:rPr>
                          <w:sz w:val="22"/>
                        </w:rPr>
                        <w:t xml:space="preserve">. </w:t>
                      </w:r>
                      <w:r>
                        <w:rPr>
                          <w:sz w:val="22"/>
                        </w:rPr>
                        <w:t>A peek at the meta-data of BRENDA</w:t>
                      </w:r>
                    </w:p>
                    <w:p w14:paraId="453F06B6" w14:textId="77777777" w:rsidR="00F63D94" w:rsidRPr="00155023" w:rsidRDefault="00F63D94" w:rsidP="00117E56">
                      <w:pPr>
                        <w:rPr>
                          <w:sz w:val="22"/>
                          <w:lang w:val="mi-NZ"/>
                        </w:rPr>
                      </w:pPr>
                      <w:r>
                        <w:rPr>
                          <w:sz w:val="22"/>
                        </w:rPr>
                        <w:t>Note: “</w:t>
                      </w:r>
                      <w:r w:rsidRPr="00155023">
                        <w:rPr>
                          <w:bCs/>
                          <w:sz w:val="22"/>
                          <w:lang w:val="mi-NZ"/>
                        </w:rPr>
                        <w:t>The database covers organism-specific information on functional and molecular properties, in detail on the nomenclature, reaction and specificity, enzyme structure, stability, application and engineering, organism, ligands, literature references and links to other databases</w:t>
                      </w:r>
                      <w:r>
                        <w:rPr>
                          <w:sz w:val="22"/>
                        </w:rPr>
                        <w:t xml:space="preserve">” </w:t>
                      </w:r>
                      <w:r>
                        <w:rPr>
                          <w:sz w:val="22"/>
                        </w:rPr>
                        <w:fldChar w:fldCharType="begin"/>
                      </w:r>
                      <w:r>
                        <w:rPr>
                          <w:sz w:val="22"/>
                        </w:rPr>
                        <w:instrText xml:space="preserve"> ADDIN EN.CITE &lt;EndNote&gt;&lt;Cite&gt;&lt;Author&gt;Schomburg&lt;/Author&gt;&lt;Year&gt;2002&lt;/Year&gt;&lt;RecNum&gt;287&lt;/RecNum&gt;&lt;DisplayText&gt;(Schomburg&lt;style face="italic"&gt; et al.&lt;/style&gt;, 2002)&lt;/DisplayText&gt;&lt;record&gt;&lt;rec-number&gt;287&lt;/rec-number&gt;&lt;foreign-keys&gt;&lt;key app="EN" db-id="vav00vdrjedrwre5xsc5vxpsx0fp9arstrrf" timestamp="1516742242"&gt;287&lt;/key&gt;&lt;/foreign-keys&gt;&lt;ref-type name="Journal Article"&gt;17&lt;/ref-type&gt;&lt;contributors&gt;&lt;authors&gt;&lt;author&gt;Schomburg, I.&lt;/author&gt;&lt;author&gt;Chang, A.&lt;/author&gt;&lt;author&gt;Schomburg, D.&lt;/author&gt;&lt;/authors&gt;&lt;/contributors&gt;&lt;titles&gt;&lt;title&gt;BRENDA, enzyme data and metabolic information&lt;/title&gt;&lt;secondary-title&gt;Nucleic Acids Res&lt;/secondary-title&gt;&lt;alt-title&gt;Nucleic Acids Res&lt;/alt-title&gt;&lt;/titles&gt;&lt;periodical&gt;&lt;full-title&gt;Nucleic Acids Res&lt;/full-title&gt;&lt;/periodical&gt;&lt;alt-periodical&gt;&lt;full-title&gt;Nucleic Acids Res&lt;/full-title&gt;&lt;/alt-periodical&gt;&lt;pages&gt;47-49&lt;/pages&gt;&lt;volume&gt;30&lt;/volume&gt;&lt;dates&gt;&lt;year&gt;2002&lt;/year&gt;&lt;/dates&gt;&lt;urls&gt;&lt;/urls&gt;&lt;/record&gt;&lt;/Cite&gt;&lt;/EndNote&gt;</w:instrText>
                      </w:r>
                      <w:r>
                        <w:rPr>
                          <w:sz w:val="22"/>
                        </w:rPr>
                        <w:fldChar w:fldCharType="separate"/>
                      </w:r>
                      <w:r>
                        <w:rPr>
                          <w:noProof/>
                          <w:sz w:val="22"/>
                        </w:rPr>
                        <w:t>(Schomburg</w:t>
                      </w:r>
                      <w:r w:rsidRPr="001C037C">
                        <w:rPr>
                          <w:i/>
                          <w:noProof/>
                          <w:sz w:val="22"/>
                        </w:rPr>
                        <w:t xml:space="preserve"> et al.</w:t>
                      </w:r>
                      <w:r>
                        <w:rPr>
                          <w:noProof/>
                          <w:sz w:val="22"/>
                        </w:rPr>
                        <w:t>, 2002)</w:t>
                      </w:r>
                      <w:r>
                        <w:rPr>
                          <w:sz w:val="22"/>
                        </w:rPr>
                        <w:fldChar w:fldCharType="end"/>
                      </w:r>
                      <w:r>
                        <w:rPr>
                          <w:sz w:val="22"/>
                        </w:rPr>
                        <w:t>. It can be used to calculate or simulate metabolic pathways using “</w:t>
                      </w:r>
                      <w:r w:rsidRPr="00155023">
                        <w:rPr>
                          <w:bCs/>
                          <w:sz w:val="22"/>
                          <w:lang w:val="mi-NZ"/>
                        </w:rPr>
                        <w:t>the information of substrate/product chains and the corresponding kinetic data of the preceding and following enzymes</w:t>
                      </w:r>
                      <w:r>
                        <w:rPr>
                          <w:bCs/>
                          <w:sz w:val="22"/>
                          <w:lang w:val="mi-NZ"/>
                        </w:rPr>
                        <w:t xml:space="preserve">” </w:t>
                      </w:r>
                      <w:r>
                        <w:rPr>
                          <w:bCs/>
                          <w:sz w:val="22"/>
                          <w:lang w:val="mi-NZ"/>
                        </w:rPr>
                        <w:fldChar w:fldCharType="begin"/>
                      </w:r>
                      <w:r>
                        <w:rPr>
                          <w:bCs/>
                          <w:sz w:val="22"/>
                          <w:lang w:val="mi-NZ"/>
                        </w:rPr>
                        <w:instrText xml:space="preserve"> ADDIN EN.CITE &lt;EndNote&gt;&lt;Cite&gt;&lt;Author&gt;Schomburg&lt;/Author&gt;&lt;Year&gt;2002&lt;/Year&gt;&lt;RecNum&gt;287&lt;/RecNum&gt;&lt;DisplayText&gt;(Schomburg&lt;style face="italic"&gt; et al.&lt;/style&gt;, 2002)&lt;/DisplayText&gt;&lt;record&gt;&lt;rec-number&gt;287&lt;/rec-number&gt;&lt;foreign-keys&gt;&lt;key app="EN" db-id="vav00vdrjedrwre5xsc5vxpsx0fp9arstrrf" timestamp="1516742242"&gt;287&lt;/key&gt;&lt;/foreign-keys&gt;&lt;ref-type name="Journal Article"&gt;17&lt;/ref-type&gt;&lt;contributors&gt;&lt;authors&gt;&lt;author&gt;Schomburg, I.&lt;/author&gt;&lt;author&gt;Chang, A.&lt;/author&gt;&lt;author&gt;Schomburg, D.&lt;/author&gt;&lt;/authors&gt;&lt;/contributors&gt;&lt;titles&gt;&lt;title&gt;BRENDA, enzyme data and metabolic information&lt;/title&gt;&lt;secondary-title&gt;Nucleic Acids Res&lt;/secondary-title&gt;&lt;alt-title&gt;Nucleic Acids Res&lt;/alt-title&gt;&lt;/titles&gt;&lt;periodical&gt;&lt;full-title&gt;Nucleic Acids Res&lt;/full-title&gt;&lt;/periodical&gt;&lt;alt-periodical&gt;&lt;full-title&gt;Nucleic Acids Res&lt;/full-title&gt;&lt;/alt-periodical&gt;&lt;pages&gt;47-49&lt;/pages&gt;&lt;volume&gt;30&lt;/volume&gt;&lt;dates&gt;&lt;year&gt;2002&lt;/year&gt;&lt;/dates&gt;&lt;urls&gt;&lt;/urls&gt;&lt;/record&gt;&lt;/Cite&gt;&lt;/EndNote&gt;</w:instrText>
                      </w:r>
                      <w:r>
                        <w:rPr>
                          <w:bCs/>
                          <w:sz w:val="22"/>
                          <w:lang w:val="mi-NZ"/>
                        </w:rPr>
                        <w:fldChar w:fldCharType="separate"/>
                      </w:r>
                      <w:r>
                        <w:rPr>
                          <w:bCs/>
                          <w:noProof/>
                          <w:sz w:val="22"/>
                          <w:lang w:val="mi-NZ"/>
                        </w:rPr>
                        <w:t>(Schomburg</w:t>
                      </w:r>
                      <w:r w:rsidRPr="001C037C">
                        <w:rPr>
                          <w:bCs/>
                          <w:i/>
                          <w:noProof/>
                          <w:sz w:val="22"/>
                          <w:lang w:val="mi-NZ"/>
                        </w:rPr>
                        <w:t xml:space="preserve"> et al.</w:t>
                      </w:r>
                      <w:r>
                        <w:rPr>
                          <w:bCs/>
                          <w:noProof/>
                          <w:sz w:val="22"/>
                          <w:lang w:val="mi-NZ"/>
                        </w:rPr>
                        <w:t>, 2002)</w:t>
                      </w:r>
                      <w:r>
                        <w:rPr>
                          <w:bCs/>
                          <w:sz w:val="22"/>
                          <w:lang w:val="mi-NZ"/>
                        </w:rPr>
                        <w:fldChar w:fldCharType="end"/>
                      </w:r>
                      <w:r>
                        <w:rPr>
                          <w:bCs/>
                          <w:sz w:val="22"/>
                          <w:lang w:val="mi-NZ"/>
                        </w:rPr>
                        <w:t>.</w:t>
                      </w:r>
                    </w:p>
                  </w:txbxContent>
                </v:textbox>
                <w10:wrap type="topAndBottom"/>
              </v:shape>
            </w:pict>
          </mc:Fallback>
        </mc:AlternateContent>
      </w:r>
    </w:p>
    <w:p w14:paraId="5F0F53B8" w14:textId="77777777" w:rsidR="00F05553" w:rsidRPr="00BB430C" w:rsidRDefault="007477C6" w:rsidP="00F70E00">
      <w:pPr>
        <w:pStyle w:val="TableEntry"/>
        <w:keepNext/>
        <w:spacing w:before="120" w:after="120"/>
        <w:rPr>
          <w:i/>
        </w:rPr>
      </w:pPr>
      <w:r w:rsidRPr="00BB430C">
        <w:rPr>
          <w:i/>
        </w:rPr>
        <w:t>2</w:t>
      </w:r>
      <w:r w:rsidR="00582928" w:rsidRPr="00BB430C">
        <w:rPr>
          <w:i/>
        </w:rPr>
        <w:t>.</w:t>
      </w:r>
      <w:r w:rsidR="0049559D">
        <w:rPr>
          <w:i/>
        </w:rPr>
        <w:t>2</w:t>
      </w:r>
      <w:r w:rsidR="00582928" w:rsidRPr="00BB430C">
        <w:rPr>
          <w:i/>
        </w:rPr>
        <w:t xml:space="preserve">.1 </w:t>
      </w:r>
      <w:r w:rsidR="00F05553" w:rsidRPr="00BB430C">
        <w:rPr>
          <w:i/>
        </w:rPr>
        <w:t>Beyond DNA</w:t>
      </w:r>
    </w:p>
    <w:p w14:paraId="6A0B988D" w14:textId="77777777" w:rsidR="00034B57" w:rsidRPr="00034B57" w:rsidRDefault="006C4452" w:rsidP="00F70E00">
      <w:pPr>
        <w:pStyle w:val="TableEntry"/>
        <w:keepNext/>
        <w:shd w:val="clear" w:color="auto" w:fill="E0E0E0"/>
        <w:spacing w:before="120" w:after="120"/>
        <w:rPr>
          <w:lang w:val="en-US"/>
        </w:rPr>
      </w:pPr>
      <w:r>
        <w:rPr>
          <w:lang w:val="en-US"/>
        </w:rPr>
        <w:t>“[I]</w:t>
      </w:r>
      <w:r w:rsidR="00034B57">
        <w:rPr>
          <w:lang w:val="en-US"/>
        </w:rPr>
        <w:t>nstead of asking ‘</w:t>
      </w:r>
      <w:r w:rsidR="00034B57" w:rsidRPr="00034B57">
        <w:rPr>
          <w:lang w:val="en-US"/>
        </w:rPr>
        <w:t>Which r</w:t>
      </w:r>
      <w:r w:rsidR="00034B57">
        <w:rPr>
          <w:lang w:val="en-US"/>
        </w:rPr>
        <w:t>esources are genetic resources?’</w:t>
      </w:r>
      <w:r w:rsidR="00034B57" w:rsidRPr="00034B57">
        <w:rPr>
          <w:lang w:val="en-US"/>
        </w:rPr>
        <w:t xml:space="preserve"> we are tempted</w:t>
      </w:r>
      <w:r w:rsidR="00034B57">
        <w:rPr>
          <w:lang w:val="en-US"/>
        </w:rPr>
        <w:t xml:space="preserve"> to ask ‘</w:t>
      </w:r>
      <w:r w:rsidR="00034B57" w:rsidRPr="00034B57">
        <w:rPr>
          <w:lang w:val="en-US"/>
        </w:rPr>
        <w:t>When is a biological resource not a genetic</w:t>
      </w:r>
      <w:r w:rsidR="00034B57">
        <w:rPr>
          <w:lang w:val="en-US"/>
        </w:rPr>
        <w:t xml:space="preserve"> resource?’</w:t>
      </w:r>
      <w:r w:rsidR="00034B57" w:rsidRPr="00034B57">
        <w:rPr>
          <w:lang w:val="en-US"/>
        </w:rPr>
        <w:t xml:space="preserve"> Alas, the answers to this second question</w:t>
      </w:r>
      <w:r w:rsidR="00034B57">
        <w:rPr>
          <w:lang w:val="en-US"/>
        </w:rPr>
        <w:t xml:space="preserve"> have also proven illusive” </w:t>
      </w:r>
      <w:r w:rsidR="001C037C">
        <w:rPr>
          <w:lang w:val="en-US"/>
        </w:rPr>
        <w:t>(Tvedt and Young, 2007)</w:t>
      </w:r>
      <w:r w:rsidR="00034B57">
        <w:rPr>
          <w:lang w:val="en-US"/>
        </w:rPr>
        <w:t>.</w:t>
      </w:r>
    </w:p>
    <w:p w14:paraId="59E849D7" w14:textId="77777777" w:rsidR="00153663" w:rsidRPr="00BB430C" w:rsidRDefault="00153663" w:rsidP="00582928">
      <w:pPr>
        <w:pStyle w:val="TableEntry"/>
        <w:spacing w:before="120" w:after="120"/>
      </w:pPr>
      <w:r w:rsidRPr="00BB430C">
        <w:t xml:space="preserve">While some of the terms used seem to be limited to information on DNA, other terms embrace more than DNA. In fact DSI could be understood not to be limited to information on DNA sequences. Instead, DSI could embrace all genetic information in living things. DNA sequence information alone is not always sufficient to characterize diversity or select for desired phenotypes of GRFA (Box </w:t>
      </w:r>
      <w:r w:rsidR="00F70E00">
        <w:t>I.</w:t>
      </w:r>
      <w:r w:rsidRPr="00BB430C">
        <w:t>2).</w:t>
      </w:r>
      <w:r w:rsidR="00901E81">
        <w:t xml:space="preserve"> </w:t>
      </w:r>
      <w:r w:rsidR="00901E81" w:rsidRPr="00901E81">
        <w:t>Genetic Resources must include phenotypes a</w:t>
      </w:r>
      <w:r w:rsidR="00901E81">
        <w:t xml:space="preserve">nd </w:t>
      </w:r>
      <w:r w:rsidR="00901E81" w:rsidRPr="00901E81">
        <w:t xml:space="preserve">genotypes in </w:t>
      </w:r>
      <w:r w:rsidR="00901E81" w:rsidRPr="00901E81">
        <w:lastRenderedPageBreak/>
        <w:t>order t</w:t>
      </w:r>
      <w:r w:rsidR="00901E81">
        <w:t>o understand and enhance value.</w:t>
      </w:r>
      <w:r w:rsidRPr="00BB430C">
        <w:t xml:space="preserve"> The difference between a desirable trait and its alternative therefore may be identified, stored and transmitted as DSI that is not a DNA sequence.</w:t>
      </w:r>
    </w:p>
    <w:p w14:paraId="3F65972B" w14:textId="77777777" w:rsidR="00F70E00" w:rsidRPr="00BB430C" w:rsidRDefault="00FE1CBA" w:rsidP="00860F26">
      <w:pPr>
        <w:pStyle w:val="Heading4"/>
        <w:spacing w:before="120" w:after="120"/>
        <w:rPr>
          <w:rFonts w:ascii="Times New Roman" w:eastAsia="Times New Roman" w:hAnsi="Times New Roman" w:cs="Times New Roman"/>
          <w:i w:val="0"/>
          <w:iCs w:val="0"/>
          <w:noProof/>
          <w:color w:val="auto"/>
          <w:sz w:val="22"/>
          <w:szCs w:val="22"/>
        </w:rPr>
      </w:pPr>
      <w:r>
        <w:rPr>
          <w:rFonts w:ascii="Times New Roman" w:eastAsia="Times New Roman" w:hAnsi="Times New Roman" w:cs="Times New Roman"/>
          <w:i w:val="0"/>
          <w:iCs w:val="0"/>
          <w:noProof/>
          <w:color w:val="auto"/>
          <w:sz w:val="22"/>
          <w:szCs w:val="22"/>
        </w:rPr>
        <w:t xml:space="preserve">The over 1 </w:t>
      </w:r>
      <w:r w:rsidR="00F70E00" w:rsidRPr="00BB430C">
        <w:rPr>
          <w:rFonts w:ascii="Times New Roman" w:eastAsia="Times New Roman" w:hAnsi="Times New Roman" w:cs="Times New Roman"/>
          <w:i w:val="0"/>
          <w:iCs w:val="0"/>
          <w:noProof/>
          <w:color w:val="auto"/>
          <w:sz w:val="22"/>
          <w:szCs w:val="22"/>
        </w:rPr>
        <w:t>700 databases of DSI in routine use</w:t>
      </w:r>
      <w:r w:rsidR="00F70E00">
        <w:rPr>
          <w:rFonts w:ascii="Times New Roman" w:eastAsia="Times New Roman" w:hAnsi="Times New Roman" w:cs="Times New Roman"/>
          <w:i w:val="0"/>
          <w:iCs w:val="0"/>
          <w:noProof/>
          <w:color w:val="auto"/>
          <w:sz w:val="22"/>
          <w:szCs w:val="22"/>
        </w:rPr>
        <w:t xml:space="preserve"> (Table I.1)</w:t>
      </w:r>
      <w:r w:rsidR="00F70E00" w:rsidRPr="00BB430C">
        <w:rPr>
          <w:rFonts w:ascii="Times New Roman" w:eastAsia="Times New Roman" w:hAnsi="Times New Roman" w:cs="Times New Roman"/>
          <w:i w:val="0"/>
          <w:iCs w:val="0"/>
          <w:noProof/>
          <w:color w:val="auto"/>
          <w:sz w:val="22"/>
          <w:szCs w:val="22"/>
        </w:rPr>
        <w:t xml:space="preserve"> range in coverage from familiar DNA DSI such as in GenBank to LincSNP, which links single nucleotide polymorphisms (SNPs) to disease, LNCediting, a database for functional edits to a specific class of RNA molecules (and which only occur in RNA), RCSB </w:t>
      </w:r>
      <w:r w:rsidR="00BB32BD">
        <w:rPr>
          <w:rFonts w:ascii="Times New Roman" w:eastAsia="Times New Roman" w:hAnsi="Times New Roman" w:cs="Times New Roman"/>
          <w:i w:val="0"/>
          <w:iCs w:val="0"/>
          <w:noProof/>
          <w:color w:val="auto"/>
          <w:sz w:val="22"/>
          <w:szCs w:val="22"/>
        </w:rPr>
        <w:t>that</w:t>
      </w:r>
      <w:r w:rsidR="00BB32BD" w:rsidRPr="00BB430C">
        <w:rPr>
          <w:rFonts w:ascii="Times New Roman" w:eastAsia="Times New Roman" w:hAnsi="Times New Roman" w:cs="Times New Roman"/>
          <w:i w:val="0"/>
          <w:iCs w:val="0"/>
          <w:noProof/>
          <w:color w:val="auto"/>
          <w:sz w:val="22"/>
          <w:szCs w:val="22"/>
        </w:rPr>
        <w:t xml:space="preserve"> </w:t>
      </w:r>
      <w:r w:rsidR="00F70E00" w:rsidRPr="00BB430C">
        <w:rPr>
          <w:rFonts w:ascii="Times New Roman" w:eastAsia="Times New Roman" w:hAnsi="Times New Roman" w:cs="Times New Roman"/>
          <w:i w:val="0"/>
          <w:iCs w:val="0"/>
          <w:noProof/>
          <w:color w:val="auto"/>
          <w:sz w:val="22"/>
          <w:szCs w:val="22"/>
        </w:rPr>
        <w:t xml:space="preserve">associates genes and proteins with </w:t>
      </w:r>
      <w:r w:rsidR="00BB32BD">
        <w:rPr>
          <w:rFonts w:ascii="Times New Roman" w:eastAsia="Times New Roman" w:hAnsi="Times New Roman" w:cs="Times New Roman"/>
          <w:i w:val="0"/>
          <w:iCs w:val="0"/>
          <w:noProof/>
          <w:color w:val="auto"/>
          <w:sz w:val="22"/>
          <w:szCs w:val="22"/>
        </w:rPr>
        <w:t>three-</w:t>
      </w:r>
      <w:r w:rsidR="00F70E00" w:rsidRPr="00BB430C">
        <w:rPr>
          <w:rFonts w:ascii="Times New Roman" w:eastAsia="Times New Roman" w:hAnsi="Times New Roman" w:cs="Times New Roman"/>
          <w:i w:val="0"/>
          <w:iCs w:val="0"/>
          <w:noProof/>
          <w:color w:val="auto"/>
          <w:sz w:val="22"/>
          <w:szCs w:val="22"/>
        </w:rPr>
        <w:t xml:space="preserve">dimensional protein structures, on to BioGRID that lists gene and protein interactions as well as post-translational modifications to proteins and PlaMoM that aids prediction about macromolecules transported in the plant phloem based on stored DSI </w:t>
      </w:r>
      <w:r w:rsidR="001C037C">
        <w:rPr>
          <w:rFonts w:ascii="Times New Roman" w:eastAsia="Times New Roman" w:hAnsi="Times New Roman" w:cs="Times New Roman"/>
          <w:i w:val="0"/>
          <w:iCs w:val="0"/>
          <w:noProof/>
          <w:color w:val="auto"/>
          <w:sz w:val="22"/>
          <w:szCs w:val="22"/>
        </w:rPr>
        <w:t>(</w:t>
      </w:r>
      <w:r w:rsidR="00860F26" w:rsidRPr="002F7805">
        <w:rPr>
          <w:rFonts w:ascii="Times New Roman" w:eastAsia="Times New Roman" w:hAnsi="Times New Roman" w:cs="Times New Roman"/>
          <w:i w:val="0"/>
          <w:iCs w:val="0"/>
          <w:noProof/>
          <w:color w:val="auto"/>
          <w:sz w:val="22"/>
          <w:szCs w:val="22"/>
        </w:rPr>
        <w:t>Nucleic Acids Research</w:t>
      </w:r>
      <w:r w:rsidR="001C037C">
        <w:rPr>
          <w:rFonts w:ascii="Times New Roman" w:eastAsia="Times New Roman" w:hAnsi="Times New Roman" w:cs="Times New Roman"/>
          <w:i w:val="0"/>
          <w:iCs w:val="0"/>
          <w:noProof/>
          <w:color w:val="auto"/>
          <w:sz w:val="22"/>
          <w:szCs w:val="22"/>
        </w:rPr>
        <w:t>, 2017)</w:t>
      </w:r>
      <w:r>
        <w:rPr>
          <w:rFonts w:ascii="Times New Roman" w:eastAsia="Times New Roman" w:hAnsi="Times New Roman" w:cs="Times New Roman"/>
          <w:i w:val="0"/>
          <w:iCs w:val="0"/>
          <w:noProof/>
          <w:color w:val="auto"/>
          <w:sz w:val="22"/>
          <w:szCs w:val="22"/>
        </w:rPr>
        <w:t>.</w:t>
      </w:r>
      <w:r w:rsidR="00F70E00" w:rsidRPr="00BB430C">
        <w:rPr>
          <w:rStyle w:val="FootnoteReference"/>
          <w:rFonts w:ascii="Times New Roman" w:eastAsia="Times New Roman" w:hAnsi="Times New Roman" w:cs="Times New Roman"/>
          <w:i w:val="0"/>
          <w:iCs w:val="0"/>
          <w:noProof/>
          <w:color w:val="auto"/>
          <w:sz w:val="22"/>
          <w:szCs w:val="22"/>
        </w:rPr>
        <w:footnoteReference w:id="22"/>
      </w:r>
      <w:r w:rsidR="00F70E00" w:rsidRPr="00BB430C">
        <w:rPr>
          <w:rFonts w:ascii="Times New Roman" w:eastAsia="Times New Roman" w:hAnsi="Times New Roman" w:cs="Times New Roman"/>
          <w:i w:val="0"/>
          <w:iCs w:val="0"/>
          <w:noProof/>
          <w:color w:val="auto"/>
          <w:sz w:val="22"/>
          <w:szCs w:val="22"/>
        </w:rPr>
        <w:t xml:space="preserve"> The European Bioinformatics Institute (EBI) in the U</w:t>
      </w:r>
      <w:r w:rsidR="00794778">
        <w:rPr>
          <w:rFonts w:ascii="Times New Roman" w:eastAsia="Times New Roman" w:hAnsi="Times New Roman" w:cs="Times New Roman"/>
          <w:i w:val="0"/>
          <w:iCs w:val="0"/>
          <w:noProof/>
          <w:color w:val="auto"/>
          <w:sz w:val="22"/>
          <w:szCs w:val="22"/>
        </w:rPr>
        <w:t xml:space="preserve">nited </w:t>
      </w:r>
      <w:r w:rsidR="00F70E00" w:rsidRPr="00BB430C">
        <w:rPr>
          <w:rFonts w:ascii="Times New Roman" w:eastAsia="Times New Roman" w:hAnsi="Times New Roman" w:cs="Times New Roman"/>
          <w:i w:val="0"/>
          <w:iCs w:val="0"/>
          <w:noProof/>
          <w:color w:val="auto"/>
          <w:sz w:val="22"/>
          <w:szCs w:val="22"/>
        </w:rPr>
        <w:t>K</w:t>
      </w:r>
      <w:r w:rsidR="00794778">
        <w:rPr>
          <w:rFonts w:ascii="Times New Roman" w:eastAsia="Times New Roman" w:hAnsi="Times New Roman" w:cs="Times New Roman"/>
          <w:i w:val="0"/>
          <w:iCs w:val="0"/>
          <w:noProof/>
          <w:color w:val="auto"/>
          <w:sz w:val="22"/>
          <w:szCs w:val="22"/>
        </w:rPr>
        <w:t>ingdom</w:t>
      </w:r>
      <w:r w:rsidR="00F70E00" w:rsidRPr="00BB430C">
        <w:rPr>
          <w:rFonts w:ascii="Times New Roman" w:eastAsia="Times New Roman" w:hAnsi="Times New Roman" w:cs="Times New Roman"/>
          <w:i w:val="0"/>
          <w:iCs w:val="0"/>
          <w:noProof/>
          <w:color w:val="auto"/>
          <w:sz w:val="22"/>
          <w:szCs w:val="22"/>
        </w:rPr>
        <w:t xml:space="preserve"> is one of the largest archives of biology data and only 10</w:t>
      </w:r>
      <w:r w:rsidR="00BB32BD">
        <w:rPr>
          <w:rFonts w:ascii="Times New Roman" w:eastAsia="Times New Roman" w:hAnsi="Times New Roman" w:cs="Times New Roman"/>
          <w:i w:val="0"/>
          <w:iCs w:val="0"/>
          <w:noProof/>
          <w:color w:val="auto"/>
          <w:sz w:val="22"/>
          <w:szCs w:val="22"/>
        </w:rPr>
        <w:t xml:space="preserve"> percent</w:t>
      </w:r>
      <w:r w:rsidR="00BB32BD" w:rsidRPr="00BB430C">
        <w:rPr>
          <w:rFonts w:ascii="Times New Roman" w:eastAsia="Times New Roman" w:hAnsi="Times New Roman" w:cs="Times New Roman"/>
          <w:i w:val="0"/>
          <w:iCs w:val="0"/>
          <w:noProof/>
          <w:color w:val="auto"/>
          <w:sz w:val="22"/>
          <w:szCs w:val="22"/>
        </w:rPr>
        <w:t xml:space="preserve"> </w:t>
      </w:r>
      <w:r w:rsidR="00F70E00" w:rsidRPr="00BB430C">
        <w:rPr>
          <w:rFonts w:ascii="Times New Roman" w:eastAsia="Times New Roman" w:hAnsi="Times New Roman" w:cs="Times New Roman"/>
          <w:i w:val="0"/>
          <w:iCs w:val="0"/>
          <w:noProof/>
          <w:color w:val="auto"/>
          <w:sz w:val="22"/>
          <w:szCs w:val="22"/>
        </w:rPr>
        <w:t xml:space="preserve">is DNA sequences </w:t>
      </w:r>
      <w:r w:rsidR="001C037C">
        <w:rPr>
          <w:rFonts w:ascii="Times New Roman" w:eastAsia="Times New Roman" w:hAnsi="Times New Roman" w:cs="Times New Roman"/>
          <w:i w:val="0"/>
          <w:iCs w:val="0"/>
          <w:noProof/>
          <w:color w:val="auto"/>
          <w:sz w:val="22"/>
          <w:szCs w:val="22"/>
        </w:rPr>
        <w:t>(Marx, 2013)</w:t>
      </w:r>
      <w:r w:rsidR="00F70E00" w:rsidRPr="00BB430C">
        <w:rPr>
          <w:rFonts w:ascii="Times New Roman" w:eastAsia="Times New Roman" w:hAnsi="Times New Roman" w:cs="Times New Roman"/>
          <w:i w:val="0"/>
          <w:iCs w:val="0"/>
          <w:noProof/>
          <w:color w:val="auto"/>
          <w:sz w:val="22"/>
          <w:szCs w:val="22"/>
        </w:rPr>
        <w:t>.</w:t>
      </w:r>
      <w:r w:rsidR="00F70E00">
        <w:rPr>
          <w:rFonts w:ascii="Times New Roman" w:eastAsia="Times New Roman" w:hAnsi="Times New Roman" w:cs="Times New Roman"/>
          <w:i w:val="0"/>
          <w:iCs w:val="0"/>
          <w:noProof/>
          <w:color w:val="auto"/>
          <w:sz w:val="22"/>
          <w:szCs w:val="22"/>
        </w:rPr>
        <w:t xml:space="preserve"> All the categories except “Human Genes and Disease” (with just two databases) have content relevant to GRFA.</w:t>
      </w:r>
      <w:r w:rsidR="00F70E00" w:rsidRPr="00BB430C">
        <w:rPr>
          <w:rFonts w:ascii="Times New Roman" w:eastAsia="Times New Roman" w:hAnsi="Times New Roman" w:cs="Times New Roman"/>
          <w:i w:val="0"/>
          <w:iCs w:val="0"/>
          <w:noProof/>
          <w:color w:val="auto"/>
          <w:sz w:val="22"/>
          <w:szCs w:val="22"/>
        </w:rPr>
        <w:t xml:space="preserve"> </w:t>
      </w:r>
    </w:p>
    <w:p w14:paraId="37653333" w14:textId="77777777" w:rsidR="00F70E00" w:rsidRDefault="00F70E00" w:rsidP="00F70E00">
      <w:pPr>
        <w:pStyle w:val="Heading4"/>
        <w:spacing w:before="120" w:after="120"/>
        <w:rPr>
          <w:rFonts w:ascii="Times New Roman" w:eastAsia="Times New Roman" w:hAnsi="Times New Roman" w:cs="Times New Roman"/>
          <w:i w:val="0"/>
          <w:iCs w:val="0"/>
          <w:color w:val="auto"/>
          <w:sz w:val="22"/>
          <w:szCs w:val="22"/>
          <w:lang w:val="mi-NZ"/>
        </w:rPr>
      </w:pPr>
      <w:r w:rsidRPr="00BB430C">
        <w:rPr>
          <w:rFonts w:ascii="Times New Roman" w:eastAsia="Times New Roman" w:hAnsi="Times New Roman" w:cs="Times New Roman"/>
          <w:i w:val="0"/>
          <w:iCs w:val="0"/>
          <w:noProof/>
          <w:color w:val="auto"/>
          <w:sz w:val="22"/>
          <w:szCs w:val="22"/>
        </w:rPr>
        <w:t>In the First Meeting of the Expert Consultation on the Global Information System</w:t>
      </w:r>
      <w:r>
        <w:rPr>
          <w:rFonts w:ascii="Times New Roman" w:eastAsia="Times New Roman" w:hAnsi="Times New Roman" w:cs="Times New Roman"/>
          <w:i w:val="0"/>
          <w:iCs w:val="0"/>
          <w:noProof/>
          <w:color w:val="auto"/>
          <w:sz w:val="22"/>
          <w:szCs w:val="22"/>
        </w:rPr>
        <w:t xml:space="preserve"> (GLIS)</w:t>
      </w:r>
      <w:r w:rsidRPr="00BB430C">
        <w:rPr>
          <w:rFonts w:ascii="Times New Roman" w:eastAsia="Times New Roman" w:hAnsi="Times New Roman" w:cs="Times New Roman"/>
          <w:i w:val="0"/>
          <w:iCs w:val="0"/>
          <w:noProof/>
          <w:color w:val="auto"/>
          <w:sz w:val="22"/>
          <w:szCs w:val="22"/>
        </w:rPr>
        <w:t xml:space="preserve"> on Plant Genetic Resources for Food and Agriculture, the experts associated “a wide range of different types of data available about PGRFA” including genomics but also beyond DNA sequences, such as phenomics. Relevant expertise of experts appointed to the Scientific Advisory Committee on the GLIS Article 17 included “bioinformatics and molecular genetics; the ‘omics, in particular genomics, phenomics and proteomics; management of environmental and geo-spatial data about</w:t>
      </w:r>
      <w:r w:rsidRPr="00BB430C">
        <w:rPr>
          <w:rFonts w:ascii="Times New Roman" w:eastAsia="Times New Roman" w:hAnsi="Times New Roman" w:cs="Times New Roman"/>
          <w:i w:val="0"/>
          <w:iCs w:val="0"/>
          <w:color w:val="auto"/>
          <w:sz w:val="22"/>
          <w:szCs w:val="22"/>
          <w:lang w:val="mi-NZ"/>
        </w:rPr>
        <w:t xml:space="preserve"> plant genetic resources”</w:t>
      </w:r>
      <w:r>
        <w:rPr>
          <w:rFonts w:ascii="Times New Roman" w:eastAsia="Times New Roman" w:hAnsi="Times New Roman" w:cs="Times New Roman"/>
          <w:i w:val="0"/>
          <w:iCs w:val="0"/>
          <w:color w:val="auto"/>
          <w:sz w:val="22"/>
          <w:szCs w:val="22"/>
          <w:lang w:val="mi-NZ"/>
        </w:rPr>
        <w:t xml:space="preserve"> </w:t>
      </w:r>
      <w:r w:rsidR="001C037C">
        <w:rPr>
          <w:rFonts w:ascii="Times New Roman" w:eastAsia="Times New Roman" w:hAnsi="Times New Roman" w:cs="Times New Roman"/>
          <w:i w:val="0"/>
          <w:iCs w:val="0"/>
          <w:noProof/>
          <w:color w:val="auto"/>
          <w:sz w:val="22"/>
          <w:szCs w:val="22"/>
          <w:lang w:val="mi-NZ"/>
        </w:rPr>
        <w:t>(Appendix 5</w:t>
      </w:r>
      <w:r w:rsidR="00860F26">
        <w:rPr>
          <w:rFonts w:ascii="Times New Roman" w:eastAsia="Times New Roman" w:hAnsi="Times New Roman" w:cs="Times New Roman"/>
          <w:i w:val="0"/>
          <w:iCs w:val="0"/>
          <w:noProof/>
          <w:color w:val="auto"/>
          <w:sz w:val="22"/>
          <w:szCs w:val="22"/>
          <w:lang w:val="mi-NZ"/>
        </w:rPr>
        <w:t>,</w:t>
      </w:r>
      <w:r w:rsidR="001C037C">
        <w:rPr>
          <w:rFonts w:ascii="Times New Roman" w:eastAsia="Times New Roman" w:hAnsi="Times New Roman" w:cs="Times New Roman"/>
          <w:i w:val="0"/>
          <w:iCs w:val="0"/>
          <w:noProof/>
          <w:color w:val="auto"/>
          <w:sz w:val="22"/>
          <w:szCs w:val="22"/>
          <w:lang w:val="mi-NZ"/>
        </w:rPr>
        <w:t xml:space="preserve"> GLIS, 2015)</w:t>
      </w:r>
      <w:r w:rsidRPr="00BB430C">
        <w:rPr>
          <w:rFonts w:ascii="Times New Roman" w:eastAsia="Times New Roman" w:hAnsi="Times New Roman" w:cs="Times New Roman"/>
          <w:i w:val="0"/>
          <w:iCs w:val="0"/>
          <w:color w:val="auto"/>
          <w:sz w:val="22"/>
          <w:szCs w:val="22"/>
          <w:lang w:val="mi-NZ"/>
        </w:rPr>
        <w:t>.</w:t>
      </w:r>
    </w:p>
    <w:p w14:paraId="4069F88E" w14:textId="77777777" w:rsidR="00940617" w:rsidRPr="008679C7" w:rsidRDefault="00940617" w:rsidP="008679C7"/>
    <w:p w14:paraId="3C712EEF" w14:textId="77777777" w:rsidR="00F70E00" w:rsidRPr="00BB430C" w:rsidRDefault="00F70E00" w:rsidP="00F70E00">
      <w:pPr>
        <w:pStyle w:val="Heading4"/>
        <w:spacing w:before="120" w:after="120"/>
        <w:rPr>
          <w:rFonts w:ascii="Times New Roman" w:eastAsia="Times New Roman" w:hAnsi="Times New Roman" w:cs="Times New Roman"/>
          <w:iCs w:val="0"/>
          <w:noProof/>
          <w:color w:val="auto"/>
          <w:sz w:val="22"/>
          <w:szCs w:val="22"/>
        </w:rPr>
      </w:pPr>
      <w:r w:rsidRPr="00BB430C">
        <w:rPr>
          <w:rFonts w:ascii="Times New Roman" w:eastAsia="Times New Roman" w:hAnsi="Times New Roman" w:cs="Times New Roman"/>
          <w:iCs w:val="0"/>
          <w:noProof/>
          <w:color w:val="auto"/>
          <w:sz w:val="22"/>
          <w:szCs w:val="22"/>
        </w:rPr>
        <w:t>2.</w:t>
      </w:r>
      <w:r w:rsidR="0049559D">
        <w:rPr>
          <w:rFonts w:ascii="Times New Roman" w:eastAsia="Times New Roman" w:hAnsi="Times New Roman" w:cs="Times New Roman"/>
          <w:iCs w:val="0"/>
          <w:noProof/>
          <w:color w:val="auto"/>
          <w:sz w:val="22"/>
          <w:szCs w:val="22"/>
        </w:rPr>
        <w:t>2</w:t>
      </w:r>
      <w:r w:rsidRPr="00BB430C">
        <w:rPr>
          <w:rFonts w:ascii="Times New Roman" w:eastAsia="Times New Roman" w:hAnsi="Times New Roman" w:cs="Times New Roman"/>
          <w:iCs w:val="0"/>
          <w:noProof/>
          <w:color w:val="auto"/>
          <w:sz w:val="22"/>
          <w:szCs w:val="22"/>
        </w:rPr>
        <w:t>.2 Codes</w:t>
      </w:r>
    </w:p>
    <w:p w14:paraId="5D226E60" w14:textId="77777777" w:rsidR="00F05553" w:rsidRPr="00BB430C" w:rsidRDefault="00F70E00" w:rsidP="00F70E00">
      <w:pPr>
        <w:pStyle w:val="TableEntry"/>
        <w:spacing w:before="120" w:after="120"/>
      </w:pPr>
      <w:r w:rsidRPr="00BB430C">
        <w:t xml:space="preserve">Macromolecules, including ones that are not nucleic acids, are increasingly being discussed in the scientific community as possessing forms of genetic information. Those discussions use terms such as epigenetics, epigenome, non-DNA inheritance and prions. A new field being dubbed </w:t>
      </w:r>
      <w:r w:rsidR="00794778">
        <w:t>“</w:t>
      </w:r>
      <w:r w:rsidRPr="00BB430C">
        <w:t>code biology</w:t>
      </w:r>
      <w:r w:rsidR="00794778">
        <w:t>”</w:t>
      </w:r>
      <w:r w:rsidRPr="00BB430C">
        <w:t xml:space="preserve"> is devoted to the actual or potential characteristics of diverse biological materials to be amenable to bioinformatics-type studies </w:t>
      </w:r>
      <w:r w:rsidR="001C037C">
        <w:t>(Barbieri, 2018)</w:t>
      </w:r>
      <w:r w:rsidRPr="00BB430C">
        <w:t>. How DSI on GRFA is used by scientists now portents a time when DNA</w:t>
      </w:r>
      <w:r w:rsidR="00CA4EE9">
        <w:t xml:space="preserve"> sequence</w:t>
      </w:r>
      <w:r w:rsidRPr="00BB430C">
        <w:t xml:space="preserve"> itself may not be center stage, or at least must share the stage with many more forms of DSI such as the metabolic, histone, sugar, splicing, tubulin, signaling, ubiquitin and glycomic codes </w:t>
      </w:r>
      <w:r w:rsidR="001C037C">
        <w:t>(Barbieri, 2018; Buckeridge, 2018; Gabius, 2018; Marijuán</w:t>
      </w:r>
      <w:r w:rsidR="001C037C" w:rsidRPr="001C037C">
        <w:rPr>
          <w:i/>
        </w:rPr>
        <w:t xml:space="preserve"> et al.</w:t>
      </w:r>
      <w:r w:rsidR="001C037C">
        <w:t>, 2018; Prakash and Fournier, 2018)</w:t>
      </w:r>
      <w:r w:rsidR="00C96AE1">
        <w:t>.</w:t>
      </w:r>
    </w:p>
    <w:tbl>
      <w:tblPr>
        <w:tblStyle w:val="TableGrid"/>
        <w:tblW w:w="0" w:type="auto"/>
        <w:tblLook w:val="04A0" w:firstRow="1" w:lastRow="0" w:firstColumn="1" w:lastColumn="0" w:noHBand="0" w:noVBand="1"/>
      </w:tblPr>
      <w:tblGrid>
        <w:gridCol w:w="8607"/>
      </w:tblGrid>
      <w:tr w:rsidR="00F05553" w:rsidRPr="00BB430C" w14:paraId="1851852D" w14:textId="77777777" w:rsidTr="00F05553">
        <w:tc>
          <w:tcPr>
            <w:tcW w:w="8614" w:type="dxa"/>
          </w:tcPr>
          <w:p w14:paraId="0CF133C4" w14:textId="77777777" w:rsidR="00F05553" w:rsidRPr="00BB430C" w:rsidRDefault="00F05553" w:rsidP="00860F26">
            <w:pPr>
              <w:pStyle w:val="Heading5"/>
              <w:spacing w:before="120" w:after="120"/>
              <w:outlineLvl w:val="4"/>
              <w:rPr>
                <w:rFonts w:ascii="Times New Roman" w:hAnsi="Times New Roman" w:cs="Times New Roman"/>
                <w:b/>
                <w:color w:val="auto"/>
                <w:sz w:val="22"/>
                <w:szCs w:val="22"/>
              </w:rPr>
            </w:pPr>
            <w:bookmarkStart w:id="5" w:name="_Toc374968954"/>
            <w:r w:rsidRPr="00BB430C">
              <w:rPr>
                <w:rFonts w:ascii="Times New Roman" w:hAnsi="Times New Roman" w:cs="Times New Roman"/>
                <w:b/>
                <w:color w:val="auto"/>
                <w:sz w:val="22"/>
                <w:szCs w:val="22"/>
              </w:rPr>
              <w:lastRenderedPageBreak/>
              <w:t xml:space="preserve">Box </w:t>
            </w:r>
            <w:r w:rsidR="00322848">
              <w:rPr>
                <w:rFonts w:ascii="Times New Roman" w:hAnsi="Times New Roman" w:cs="Times New Roman"/>
                <w:b/>
                <w:color w:val="auto"/>
                <w:sz w:val="22"/>
                <w:szCs w:val="22"/>
              </w:rPr>
              <w:t>I</w:t>
            </w:r>
            <w:r w:rsidR="00063404">
              <w:rPr>
                <w:rFonts w:ascii="Times New Roman" w:hAnsi="Times New Roman" w:cs="Times New Roman"/>
                <w:b/>
                <w:color w:val="auto"/>
                <w:sz w:val="22"/>
                <w:szCs w:val="22"/>
              </w:rPr>
              <w:t>.</w:t>
            </w:r>
            <w:r w:rsidR="00BB430C">
              <w:rPr>
                <w:rFonts w:ascii="Times New Roman" w:hAnsi="Times New Roman" w:cs="Times New Roman"/>
                <w:b/>
                <w:color w:val="auto"/>
                <w:sz w:val="22"/>
                <w:szCs w:val="22"/>
              </w:rPr>
              <w:t>1</w:t>
            </w:r>
            <w:r w:rsidRPr="00BB430C">
              <w:rPr>
                <w:rFonts w:ascii="Times New Roman" w:hAnsi="Times New Roman" w:cs="Times New Roman"/>
                <w:b/>
                <w:color w:val="auto"/>
                <w:sz w:val="22"/>
                <w:szCs w:val="22"/>
              </w:rPr>
              <w:t xml:space="preserve"> DSI of the rumen biome and its use in management of animal genetic resources</w:t>
            </w:r>
            <w:bookmarkEnd w:id="5"/>
          </w:p>
          <w:p w14:paraId="1C5BA658" w14:textId="77777777" w:rsidR="00153663" w:rsidRPr="00BB430C" w:rsidRDefault="00153663" w:rsidP="00DB04CA">
            <w:pPr>
              <w:spacing w:before="120" w:after="120"/>
              <w:rPr>
                <w:sz w:val="22"/>
                <w:szCs w:val="22"/>
              </w:rPr>
            </w:pPr>
            <w:r w:rsidRPr="00BB430C">
              <w:rPr>
                <w:sz w:val="22"/>
                <w:szCs w:val="22"/>
              </w:rPr>
              <w:t xml:space="preserve">There are about 200 species of ruminant animals and nine species that are domesticated as livestock, including cattle, buffaloes, sheep, goats, reindeer and camels. The estimated population size is 3.6 billion animals worldwide, with the vast majority in developing countries </w:t>
            </w:r>
            <w:r w:rsidR="001C037C">
              <w:rPr>
                <w:noProof/>
                <w:sz w:val="22"/>
                <w:szCs w:val="22"/>
              </w:rPr>
              <w:t>(Steinfeld</w:t>
            </w:r>
            <w:r w:rsidR="001C037C" w:rsidRPr="001C037C">
              <w:rPr>
                <w:i/>
                <w:noProof/>
                <w:sz w:val="22"/>
                <w:szCs w:val="22"/>
              </w:rPr>
              <w:t xml:space="preserve"> et al.</w:t>
            </w:r>
            <w:r w:rsidR="001C037C">
              <w:rPr>
                <w:noProof/>
                <w:sz w:val="22"/>
                <w:szCs w:val="22"/>
              </w:rPr>
              <w:t>, 2006; Hackmann and Spain, 2010)</w:t>
            </w:r>
            <w:r w:rsidRPr="00BB430C">
              <w:rPr>
                <w:sz w:val="22"/>
                <w:szCs w:val="22"/>
              </w:rPr>
              <w:t>.</w:t>
            </w:r>
          </w:p>
          <w:p w14:paraId="03094408" w14:textId="77777777" w:rsidR="00153663" w:rsidRPr="00BB430C" w:rsidRDefault="00153663" w:rsidP="00DB04CA">
            <w:pPr>
              <w:spacing w:before="120" w:after="120"/>
              <w:rPr>
                <w:sz w:val="22"/>
                <w:szCs w:val="22"/>
              </w:rPr>
            </w:pPr>
            <w:r w:rsidRPr="00BB430C">
              <w:rPr>
                <w:sz w:val="22"/>
                <w:szCs w:val="22"/>
              </w:rPr>
              <w:t>The rumen harbo</w:t>
            </w:r>
            <w:r w:rsidR="002134FD">
              <w:rPr>
                <w:sz w:val="22"/>
                <w:szCs w:val="22"/>
              </w:rPr>
              <w:t>u</w:t>
            </w:r>
            <w:r w:rsidRPr="00BB430C">
              <w:rPr>
                <w:sz w:val="22"/>
                <w:szCs w:val="22"/>
              </w:rPr>
              <w:t xml:space="preserve">rs a complex microbial ecosystem that allows these animals to digest plant material that other animals and humans cannot efficiently use </w:t>
            </w:r>
            <w:r w:rsidR="001C037C">
              <w:rPr>
                <w:noProof/>
                <w:sz w:val="22"/>
                <w:szCs w:val="22"/>
              </w:rPr>
              <w:t>(McSweeney and Mackie, 2012)</w:t>
            </w:r>
            <w:r w:rsidRPr="00BB430C">
              <w:rPr>
                <w:sz w:val="22"/>
                <w:szCs w:val="22"/>
              </w:rPr>
              <w:t xml:space="preserve">. This is due to the particular mix of microorganisms found in the rumen. These microbial communities break down complex plant polysaccharides that are indigestible or unproductively used by monogastric animals </w:t>
            </w:r>
            <w:r w:rsidR="001C037C">
              <w:rPr>
                <w:noProof/>
                <w:sz w:val="22"/>
                <w:szCs w:val="22"/>
              </w:rPr>
              <w:t>(de Tarso</w:t>
            </w:r>
            <w:r w:rsidR="001C037C" w:rsidRPr="001C037C">
              <w:rPr>
                <w:i/>
                <w:noProof/>
                <w:sz w:val="22"/>
                <w:szCs w:val="22"/>
              </w:rPr>
              <w:t xml:space="preserve"> et al.</w:t>
            </w:r>
            <w:r w:rsidR="001C037C">
              <w:rPr>
                <w:noProof/>
                <w:sz w:val="22"/>
                <w:szCs w:val="22"/>
              </w:rPr>
              <w:t>, 2016)</w:t>
            </w:r>
            <w:r w:rsidRPr="00BB430C">
              <w:rPr>
                <w:sz w:val="22"/>
                <w:szCs w:val="22"/>
              </w:rPr>
              <w:t>.</w:t>
            </w:r>
          </w:p>
          <w:p w14:paraId="15839404" w14:textId="77777777" w:rsidR="00153663" w:rsidRPr="00BB430C" w:rsidRDefault="00153663" w:rsidP="00DB04CA">
            <w:pPr>
              <w:spacing w:before="120" w:after="120"/>
              <w:rPr>
                <w:sz w:val="22"/>
                <w:szCs w:val="22"/>
              </w:rPr>
            </w:pPr>
            <w:r w:rsidRPr="00BB430C">
              <w:rPr>
                <w:sz w:val="22"/>
                <w:szCs w:val="22"/>
              </w:rPr>
              <w:t>The rumen in ruminant livestock has a highly diverse</w:t>
            </w:r>
            <w:r w:rsidR="00DE0C6D">
              <w:rPr>
                <w:sz w:val="22"/>
                <w:szCs w:val="22"/>
              </w:rPr>
              <w:t xml:space="preserve"> </w:t>
            </w:r>
            <w:r w:rsidR="00DE0C6D" w:rsidRPr="00BB430C">
              <w:rPr>
                <w:sz w:val="22"/>
                <w:szCs w:val="22"/>
              </w:rPr>
              <w:t>anaerobic</w:t>
            </w:r>
            <w:r w:rsidRPr="00BB430C">
              <w:rPr>
                <w:sz w:val="22"/>
                <w:szCs w:val="22"/>
              </w:rPr>
              <w:t xml:space="preserve"> microbiome. </w:t>
            </w:r>
            <w:r w:rsidR="00A111B3" w:rsidRPr="00BB430C">
              <w:rPr>
                <w:sz w:val="22"/>
                <w:szCs w:val="22"/>
              </w:rPr>
              <w:t>The rumen microbiome</w:t>
            </w:r>
            <w:r w:rsidR="00A111B3">
              <w:rPr>
                <w:sz w:val="22"/>
                <w:szCs w:val="22"/>
              </w:rPr>
              <w:t xml:space="preserve"> is a source of metabolic diversity</w:t>
            </w:r>
            <w:r w:rsidR="00DE0C6D">
              <w:rPr>
                <w:sz w:val="22"/>
                <w:szCs w:val="22"/>
              </w:rPr>
              <w:t>. Knowledge about it can be applied to improve</w:t>
            </w:r>
            <w:r w:rsidRPr="00BB430C">
              <w:rPr>
                <w:sz w:val="22"/>
                <w:szCs w:val="22"/>
              </w:rPr>
              <w:t xml:space="preserve"> animal health and productivity, lignocellulose digestion and</w:t>
            </w:r>
            <w:r w:rsidR="00DE0C6D">
              <w:rPr>
                <w:sz w:val="22"/>
                <w:szCs w:val="22"/>
              </w:rPr>
              <w:t xml:space="preserve"> to the</w:t>
            </w:r>
            <w:r w:rsidRPr="00BB430C">
              <w:rPr>
                <w:sz w:val="22"/>
                <w:szCs w:val="22"/>
              </w:rPr>
              <w:t xml:space="preserve"> mitigation of climate change </w:t>
            </w:r>
            <w:r w:rsidR="001C037C">
              <w:rPr>
                <w:noProof/>
                <w:sz w:val="22"/>
                <w:szCs w:val="22"/>
              </w:rPr>
              <w:t>(Campanaro</w:t>
            </w:r>
            <w:r w:rsidR="001C037C" w:rsidRPr="001C037C">
              <w:rPr>
                <w:i/>
                <w:noProof/>
                <w:sz w:val="22"/>
                <w:szCs w:val="22"/>
              </w:rPr>
              <w:t xml:space="preserve"> et al.</w:t>
            </w:r>
            <w:r w:rsidR="001C037C">
              <w:rPr>
                <w:noProof/>
                <w:sz w:val="22"/>
                <w:szCs w:val="22"/>
              </w:rPr>
              <w:t>, 2017)</w:t>
            </w:r>
            <w:r w:rsidRPr="00BB430C">
              <w:rPr>
                <w:sz w:val="22"/>
                <w:szCs w:val="22"/>
              </w:rPr>
              <w:t>.</w:t>
            </w:r>
          </w:p>
          <w:p w14:paraId="73D21E44" w14:textId="77777777" w:rsidR="00153663" w:rsidRPr="00BB430C" w:rsidRDefault="00153663" w:rsidP="00A111B3">
            <w:pPr>
              <w:spacing w:before="120" w:after="120"/>
              <w:rPr>
                <w:sz w:val="22"/>
                <w:szCs w:val="22"/>
              </w:rPr>
            </w:pPr>
            <w:r w:rsidRPr="00BB430C">
              <w:rPr>
                <w:sz w:val="22"/>
                <w:szCs w:val="22"/>
              </w:rPr>
              <w:t>Within the last few years, several significant metagenomic surveys of the rumen microbiome have been completed</w:t>
            </w:r>
            <w:r w:rsidR="00A111B3">
              <w:rPr>
                <w:sz w:val="22"/>
                <w:szCs w:val="22"/>
              </w:rPr>
              <w:t xml:space="preserve">, creating DSI </w:t>
            </w:r>
            <w:r w:rsidR="00A111B3" w:rsidRPr="00BB430C">
              <w:rPr>
                <w:sz w:val="22"/>
                <w:szCs w:val="22"/>
              </w:rPr>
              <w:t>that is applied to the dual challenges of increasing feed efficiency and reducing greenhouse gas emissions</w:t>
            </w:r>
            <w:r w:rsidRPr="00BB430C">
              <w:rPr>
                <w:sz w:val="22"/>
                <w:szCs w:val="22"/>
              </w:rPr>
              <w:t xml:space="preserve"> </w:t>
            </w:r>
            <w:r w:rsidR="001C037C">
              <w:rPr>
                <w:noProof/>
                <w:sz w:val="22"/>
                <w:szCs w:val="22"/>
              </w:rPr>
              <w:t>(Henderson</w:t>
            </w:r>
            <w:r w:rsidR="001C037C" w:rsidRPr="001C037C">
              <w:rPr>
                <w:i/>
                <w:noProof/>
                <w:sz w:val="22"/>
                <w:szCs w:val="22"/>
              </w:rPr>
              <w:t xml:space="preserve"> et al.</w:t>
            </w:r>
            <w:r w:rsidR="001C037C">
              <w:rPr>
                <w:noProof/>
                <w:sz w:val="22"/>
                <w:szCs w:val="22"/>
              </w:rPr>
              <w:t>, 2015; Campanaro</w:t>
            </w:r>
            <w:r w:rsidR="001C037C" w:rsidRPr="001C037C">
              <w:rPr>
                <w:i/>
                <w:noProof/>
                <w:sz w:val="22"/>
                <w:szCs w:val="22"/>
              </w:rPr>
              <w:t xml:space="preserve"> et al.</w:t>
            </w:r>
            <w:r w:rsidR="001C037C">
              <w:rPr>
                <w:noProof/>
                <w:sz w:val="22"/>
                <w:szCs w:val="22"/>
              </w:rPr>
              <w:t>, 2017)</w:t>
            </w:r>
            <w:r w:rsidRPr="00BB430C">
              <w:rPr>
                <w:sz w:val="22"/>
                <w:szCs w:val="22"/>
              </w:rPr>
              <w:t xml:space="preserve">. </w:t>
            </w:r>
            <w:r w:rsidR="00A111B3">
              <w:rPr>
                <w:sz w:val="22"/>
                <w:szCs w:val="22"/>
              </w:rPr>
              <w:t>For example, a</w:t>
            </w:r>
            <w:r w:rsidRPr="00BB430C">
              <w:rPr>
                <w:sz w:val="22"/>
                <w:szCs w:val="22"/>
              </w:rPr>
              <w:t>n end product of anaerobic digestion is methane. Most of the 37</w:t>
            </w:r>
            <w:r w:rsidR="00794778">
              <w:rPr>
                <w:sz w:val="22"/>
                <w:szCs w:val="22"/>
              </w:rPr>
              <w:t xml:space="preserve"> percent</w:t>
            </w:r>
            <w:r w:rsidR="00794778" w:rsidRPr="00BB430C">
              <w:rPr>
                <w:sz w:val="22"/>
                <w:szCs w:val="22"/>
              </w:rPr>
              <w:t xml:space="preserve"> </w:t>
            </w:r>
            <w:r w:rsidRPr="00BB430C">
              <w:rPr>
                <w:sz w:val="22"/>
                <w:szCs w:val="22"/>
              </w:rPr>
              <w:t>of anthropogenic methane comes from fermentation in the rumen of ruminant livestock. Unfortunately, methane is a greenhouse gas with 23 times the global warming potential of CO</w:t>
            </w:r>
            <w:r w:rsidRPr="00DE0C6D">
              <w:rPr>
                <w:sz w:val="22"/>
                <w:szCs w:val="22"/>
                <w:vertAlign w:val="subscript"/>
              </w:rPr>
              <w:t>2</w:t>
            </w:r>
            <w:r w:rsidRPr="00BB430C">
              <w:rPr>
                <w:sz w:val="22"/>
                <w:szCs w:val="22"/>
              </w:rPr>
              <w:t xml:space="preserve">. Changes to fermentation efficiency could reduce methane emissions and improve retention of feed energy for the animal </w:t>
            </w:r>
            <w:r w:rsidR="001C037C">
              <w:rPr>
                <w:noProof/>
                <w:sz w:val="22"/>
                <w:szCs w:val="22"/>
              </w:rPr>
              <w:t>(Gerber</w:t>
            </w:r>
            <w:r w:rsidR="001C037C" w:rsidRPr="001C037C">
              <w:rPr>
                <w:i/>
                <w:noProof/>
                <w:sz w:val="22"/>
                <w:szCs w:val="22"/>
              </w:rPr>
              <w:t xml:space="preserve"> et al.</w:t>
            </w:r>
            <w:r w:rsidR="001C037C">
              <w:rPr>
                <w:noProof/>
                <w:sz w:val="22"/>
                <w:szCs w:val="22"/>
              </w:rPr>
              <w:t>, 2013; Henderson</w:t>
            </w:r>
            <w:r w:rsidR="001C037C" w:rsidRPr="001C037C">
              <w:rPr>
                <w:i/>
                <w:noProof/>
                <w:sz w:val="22"/>
                <w:szCs w:val="22"/>
              </w:rPr>
              <w:t xml:space="preserve"> et al.</w:t>
            </w:r>
            <w:r w:rsidR="001C037C">
              <w:rPr>
                <w:noProof/>
                <w:sz w:val="22"/>
                <w:szCs w:val="22"/>
              </w:rPr>
              <w:t>, 2015)</w:t>
            </w:r>
            <w:r w:rsidRPr="00BB430C">
              <w:rPr>
                <w:sz w:val="22"/>
                <w:szCs w:val="22"/>
              </w:rPr>
              <w:t>.</w:t>
            </w:r>
          </w:p>
          <w:p w14:paraId="5EE00C1D" w14:textId="77777777" w:rsidR="00153663" w:rsidRPr="00BB430C" w:rsidRDefault="00E403DE" w:rsidP="00DB04CA">
            <w:pPr>
              <w:spacing w:before="120" w:after="120"/>
              <w:rPr>
                <w:sz w:val="22"/>
                <w:szCs w:val="22"/>
              </w:rPr>
            </w:pPr>
            <w:r>
              <w:rPr>
                <w:sz w:val="22"/>
                <w:szCs w:val="22"/>
              </w:rPr>
              <w:t>In one study, r</w:t>
            </w:r>
            <w:r w:rsidR="00153663" w:rsidRPr="00BB430C">
              <w:rPr>
                <w:sz w:val="22"/>
                <w:szCs w:val="22"/>
              </w:rPr>
              <w:t xml:space="preserve">umen microbiomes were surveyed from 742 animals from seven different global regions </w:t>
            </w:r>
            <w:r w:rsidR="001C037C">
              <w:rPr>
                <w:noProof/>
                <w:sz w:val="22"/>
                <w:szCs w:val="22"/>
              </w:rPr>
              <w:t>(Henderson</w:t>
            </w:r>
            <w:r w:rsidR="001C037C" w:rsidRPr="001C037C">
              <w:rPr>
                <w:i/>
                <w:noProof/>
                <w:sz w:val="22"/>
                <w:szCs w:val="22"/>
              </w:rPr>
              <w:t xml:space="preserve"> et al.</w:t>
            </w:r>
            <w:r w:rsidR="001C037C">
              <w:rPr>
                <w:noProof/>
                <w:sz w:val="22"/>
                <w:szCs w:val="22"/>
              </w:rPr>
              <w:t>, 2015)</w:t>
            </w:r>
            <w:r w:rsidR="00153663" w:rsidRPr="00BB430C">
              <w:rPr>
                <w:sz w:val="22"/>
                <w:szCs w:val="22"/>
              </w:rPr>
              <w:t>. The diversity of the rumen microbiome was surprisingly consistent. Differences were in</w:t>
            </w:r>
            <w:r>
              <w:rPr>
                <w:sz w:val="22"/>
                <w:szCs w:val="22"/>
              </w:rPr>
              <w:t xml:space="preserve"> the ratio of the sizes of the populations of different species, and in which species had the largest populations</w:t>
            </w:r>
            <w:r w:rsidR="00153663" w:rsidRPr="00BB430C">
              <w:rPr>
                <w:sz w:val="22"/>
                <w:szCs w:val="22"/>
              </w:rPr>
              <w:t xml:space="preserve">. The most important determinant of </w:t>
            </w:r>
            <w:r w:rsidR="00DE0C6D" w:rsidRPr="00BB430C">
              <w:rPr>
                <w:sz w:val="22"/>
                <w:szCs w:val="22"/>
              </w:rPr>
              <w:t>th</w:t>
            </w:r>
            <w:r w:rsidR="00DE0C6D">
              <w:rPr>
                <w:sz w:val="22"/>
                <w:szCs w:val="22"/>
              </w:rPr>
              <w:t>ese</w:t>
            </w:r>
            <w:r w:rsidR="00DE0C6D" w:rsidRPr="00BB430C">
              <w:rPr>
                <w:sz w:val="22"/>
                <w:szCs w:val="22"/>
              </w:rPr>
              <w:t xml:space="preserve"> </w:t>
            </w:r>
            <w:r w:rsidR="00DE0C6D">
              <w:rPr>
                <w:sz w:val="22"/>
                <w:szCs w:val="22"/>
              </w:rPr>
              <w:t>difference</w:t>
            </w:r>
            <w:r w:rsidR="003127B1">
              <w:rPr>
                <w:sz w:val="22"/>
                <w:szCs w:val="22"/>
              </w:rPr>
              <w:t>s</w:t>
            </w:r>
            <w:r w:rsidR="00DE0C6D" w:rsidRPr="00BB430C">
              <w:rPr>
                <w:sz w:val="22"/>
                <w:szCs w:val="22"/>
              </w:rPr>
              <w:t xml:space="preserve"> </w:t>
            </w:r>
            <w:r w:rsidR="00153663" w:rsidRPr="00BB430C">
              <w:rPr>
                <w:sz w:val="22"/>
                <w:szCs w:val="22"/>
              </w:rPr>
              <w:t>was diet because the majority of micro</w:t>
            </w:r>
            <w:r w:rsidR="002134FD">
              <w:rPr>
                <w:sz w:val="22"/>
                <w:szCs w:val="22"/>
              </w:rPr>
              <w:t>-</w:t>
            </w:r>
            <w:r w:rsidR="00153663" w:rsidRPr="00BB430C">
              <w:rPr>
                <w:sz w:val="22"/>
                <w:szCs w:val="22"/>
              </w:rPr>
              <w:t xml:space="preserve">organisms in the rumen ferment the most feed </w:t>
            </w:r>
            <w:r w:rsidR="001C037C">
              <w:rPr>
                <w:noProof/>
                <w:sz w:val="22"/>
                <w:szCs w:val="22"/>
              </w:rPr>
              <w:t>(Henderson</w:t>
            </w:r>
            <w:r w:rsidR="001C037C" w:rsidRPr="001C037C">
              <w:rPr>
                <w:i/>
                <w:noProof/>
                <w:sz w:val="22"/>
                <w:szCs w:val="22"/>
              </w:rPr>
              <w:t xml:space="preserve"> et al.</w:t>
            </w:r>
            <w:r w:rsidR="001C037C">
              <w:rPr>
                <w:noProof/>
                <w:sz w:val="22"/>
                <w:szCs w:val="22"/>
              </w:rPr>
              <w:t>, 2015)</w:t>
            </w:r>
            <w:r w:rsidR="00153663" w:rsidRPr="00BB430C">
              <w:rPr>
                <w:sz w:val="22"/>
                <w:szCs w:val="22"/>
              </w:rPr>
              <w:t>.</w:t>
            </w:r>
          </w:p>
          <w:p w14:paraId="543DA6A6" w14:textId="77777777" w:rsidR="00153663" w:rsidRPr="00BB430C" w:rsidRDefault="00153663" w:rsidP="00DB04CA">
            <w:pPr>
              <w:spacing w:before="120" w:after="120"/>
              <w:rPr>
                <w:sz w:val="22"/>
                <w:szCs w:val="22"/>
              </w:rPr>
            </w:pPr>
            <w:r w:rsidRPr="00BB430C">
              <w:rPr>
                <w:sz w:val="22"/>
                <w:szCs w:val="22"/>
              </w:rPr>
              <w:t>Diet drove the demographics of the microbial community and the greatest variation was among the bacteria</w:t>
            </w:r>
            <w:r w:rsidR="00E403DE">
              <w:rPr>
                <w:sz w:val="22"/>
                <w:szCs w:val="22"/>
              </w:rPr>
              <w:t xml:space="preserve"> in the microbial community of the rumen</w:t>
            </w:r>
            <w:r w:rsidRPr="00BB430C">
              <w:rPr>
                <w:sz w:val="22"/>
                <w:szCs w:val="22"/>
              </w:rPr>
              <w:t xml:space="preserve">. </w:t>
            </w:r>
            <w:r w:rsidR="00E403DE">
              <w:rPr>
                <w:sz w:val="22"/>
                <w:szCs w:val="22"/>
              </w:rPr>
              <w:t>M</w:t>
            </w:r>
            <w:r w:rsidRPr="00BB430C">
              <w:rPr>
                <w:sz w:val="22"/>
                <w:szCs w:val="22"/>
              </w:rPr>
              <w:t>any rumen bacteria are known only through genomic DNA sequences. However,</w:t>
            </w:r>
            <w:r w:rsidR="00E403DE">
              <w:rPr>
                <w:sz w:val="22"/>
                <w:szCs w:val="22"/>
              </w:rPr>
              <w:t xml:space="preserve"> DSI from</w:t>
            </w:r>
            <w:r w:rsidRPr="00BB430C">
              <w:rPr>
                <w:sz w:val="22"/>
                <w:szCs w:val="22"/>
              </w:rPr>
              <w:t xml:space="preserve"> harvested DNA sequences could still be used to predict the metabolic phenotypes of the microbes, not just infer the potential from a description of the microbial species.</w:t>
            </w:r>
            <w:r w:rsidR="00D774D7">
              <w:rPr>
                <w:sz w:val="22"/>
                <w:szCs w:val="22"/>
              </w:rPr>
              <w:t xml:space="preserve"> Parenthetically, t</w:t>
            </w:r>
            <w:r w:rsidR="00D774D7" w:rsidRPr="00830374">
              <w:rPr>
                <w:sz w:val="22"/>
                <w:szCs w:val="22"/>
              </w:rPr>
              <w:t>his study is an example of both the value of DSI for metagenomic analyses and</w:t>
            </w:r>
            <w:r w:rsidR="00D774D7">
              <w:rPr>
                <w:sz w:val="22"/>
                <w:szCs w:val="22"/>
              </w:rPr>
              <w:t xml:space="preserve"> international collaborations resulting in the release of DSI on</w:t>
            </w:r>
            <w:r w:rsidR="00D774D7" w:rsidRPr="00830374">
              <w:rPr>
                <w:sz w:val="22"/>
                <w:szCs w:val="22"/>
              </w:rPr>
              <w:t xml:space="preserve"> GRFA from</w:t>
            </w:r>
            <w:r w:rsidR="00D774D7">
              <w:rPr>
                <w:sz w:val="22"/>
                <w:szCs w:val="22"/>
              </w:rPr>
              <w:t xml:space="preserve"> both</w:t>
            </w:r>
            <w:r w:rsidR="00D774D7" w:rsidRPr="00830374">
              <w:rPr>
                <w:sz w:val="22"/>
                <w:szCs w:val="22"/>
              </w:rPr>
              <w:t xml:space="preserve"> developing</w:t>
            </w:r>
            <w:r w:rsidR="00D774D7">
              <w:rPr>
                <w:sz w:val="22"/>
                <w:szCs w:val="22"/>
              </w:rPr>
              <w:t xml:space="preserve"> and developed</w:t>
            </w:r>
            <w:r w:rsidR="00D774D7" w:rsidRPr="00830374">
              <w:rPr>
                <w:sz w:val="22"/>
                <w:szCs w:val="22"/>
              </w:rPr>
              <w:t xml:space="preserve"> countries</w:t>
            </w:r>
            <w:r w:rsidR="004D5EC4">
              <w:rPr>
                <w:sz w:val="22"/>
                <w:szCs w:val="22"/>
              </w:rPr>
              <w:t>.</w:t>
            </w:r>
          </w:p>
          <w:p w14:paraId="5C2F20A5" w14:textId="77777777" w:rsidR="00153663" w:rsidRPr="00BB430C" w:rsidRDefault="00153663" w:rsidP="00DB04CA">
            <w:pPr>
              <w:spacing w:before="120" w:after="120"/>
              <w:rPr>
                <w:sz w:val="22"/>
                <w:szCs w:val="22"/>
              </w:rPr>
            </w:pPr>
            <w:r w:rsidRPr="00BB430C">
              <w:rPr>
                <w:sz w:val="22"/>
                <w:szCs w:val="22"/>
              </w:rPr>
              <w:t>In a complementary “genome-centric metagenomics” approach to surveying different ruminants on different diets, another study extracted rumen fluid (containing the microbiome) and fed</w:t>
            </w:r>
            <w:r w:rsidR="00E403DE">
              <w:rPr>
                <w:sz w:val="22"/>
                <w:szCs w:val="22"/>
              </w:rPr>
              <w:t xml:space="preserve"> cultures of</w:t>
            </w:r>
            <w:r w:rsidRPr="00BB430C">
              <w:rPr>
                <w:sz w:val="22"/>
                <w:szCs w:val="22"/>
              </w:rPr>
              <w:t xml:space="preserve"> the same microbiome different diets. Metabolic pathways were constructed based on detected genes from the metagenomic sequencing because they differed depending on the polysaccharide/protein composition of the experimentally varied diets </w:t>
            </w:r>
            <w:r w:rsidR="001C037C">
              <w:rPr>
                <w:noProof/>
                <w:sz w:val="22"/>
                <w:szCs w:val="22"/>
              </w:rPr>
              <w:t>(Campanaro</w:t>
            </w:r>
            <w:r w:rsidR="001C037C" w:rsidRPr="001C037C">
              <w:rPr>
                <w:i/>
                <w:noProof/>
                <w:sz w:val="22"/>
                <w:szCs w:val="22"/>
              </w:rPr>
              <w:t xml:space="preserve"> et al.</w:t>
            </w:r>
            <w:r w:rsidR="001C037C">
              <w:rPr>
                <w:noProof/>
                <w:sz w:val="22"/>
                <w:szCs w:val="22"/>
              </w:rPr>
              <w:t>, 2017)</w:t>
            </w:r>
            <w:r w:rsidRPr="00BB430C">
              <w:rPr>
                <w:sz w:val="22"/>
                <w:szCs w:val="22"/>
              </w:rPr>
              <w:t>.</w:t>
            </w:r>
          </w:p>
          <w:p w14:paraId="17043AD4" w14:textId="77777777" w:rsidR="00F05553" w:rsidRPr="00BB430C" w:rsidRDefault="00E403DE" w:rsidP="00CC54E3">
            <w:pPr>
              <w:spacing w:before="120" w:after="120"/>
              <w:rPr>
                <w:sz w:val="22"/>
                <w:szCs w:val="22"/>
              </w:rPr>
            </w:pPr>
            <w:r w:rsidRPr="00BB430C">
              <w:rPr>
                <w:sz w:val="22"/>
                <w:szCs w:val="22"/>
              </w:rPr>
              <w:t>The</w:t>
            </w:r>
            <w:r>
              <w:rPr>
                <w:sz w:val="22"/>
                <w:szCs w:val="22"/>
              </w:rPr>
              <w:t xml:space="preserve"> two different</w:t>
            </w:r>
            <w:r w:rsidRPr="00BB430C">
              <w:rPr>
                <w:sz w:val="22"/>
                <w:szCs w:val="22"/>
              </w:rPr>
              <w:t xml:space="preserve"> </w:t>
            </w:r>
            <w:r w:rsidR="00CC54E3">
              <w:rPr>
                <w:sz w:val="22"/>
                <w:szCs w:val="22"/>
              </w:rPr>
              <w:t xml:space="preserve">methodologies </w:t>
            </w:r>
            <w:r>
              <w:rPr>
                <w:sz w:val="22"/>
                <w:szCs w:val="22"/>
              </w:rPr>
              <w:t>used by these studies</w:t>
            </w:r>
            <w:r w:rsidR="00F05553" w:rsidRPr="00BB430C">
              <w:rPr>
                <w:sz w:val="22"/>
                <w:szCs w:val="22"/>
              </w:rPr>
              <w:t xml:space="preserve"> identif</w:t>
            </w:r>
            <w:r>
              <w:rPr>
                <w:sz w:val="22"/>
                <w:szCs w:val="22"/>
              </w:rPr>
              <w:t>ied</w:t>
            </w:r>
            <w:r w:rsidR="00F05553" w:rsidRPr="00BB430C">
              <w:rPr>
                <w:sz w:val="22"/>
                <w:szCs w:val="22"/>
              </w:rPr>
              <w:t xml:space="preserve"> the key</w:t>
            </w:r>
            <w:r w:rsidR="005C7A82">
              <w:rPr>
                <w:sz w:val="22"/>
                <w:szCs w:val="22"/>
              </w:rPr>
              <w:t xml:space="preserve"> microbes contributing</w:t>
            </w:r>
            <w:r w:rsidR="00F05553" w:rsidRPr="00BB430C">
              <w:rPr>
                <w:sz w:val="22"/>
                <w:szCs w:val="22"/>
              </w:rPr>
              <w:t xml:space="preserve"> to methane production. Such knowledge might lead to manipulations of the metabolome of the rumen or diets of livestock</w:t>
            </w:r>
            <w:r w:rsidR="005C7A82">
              <w:rPr>
                <w:sz w:val="22"/>
                <w:szCs w:val="22"/>
              </w:rPr>
              <w:t xml:space="preserve"> for improved management of animal genetic resources.</w:t>
            </w:r>
          </w:p>
        </w:tc>
      </w:tr>
    </w:tbl>
    <w:p w14:paraId="0A6EBEA2" w14:textId="77777777" w:rsidR="00F05553" w:rsidRPr="00BB430C" w:rsidRDefault="00F05553" w:rsidP="00DB04CA">
      <w:pPr>
        <w:pStyle w:val="TableEntry"/>
        <w:spacing w:before="120" w:after="120"/>
      </w:pPr>
    </w:p>
    <w:p w14:paraId="5593F191" w14:textId="77777777" w:rsidR="008F6C31" w:rsidRDefault="008F6C31">
      <w:bookmarkStart w:id="6" w:name="_Toc374968955"/>
      <w:r>
        <w:br w:type="page"/>
      </w:r>
    </w:p>
    <w:tbl>
      <w:tblPr>
        <w:tblStyle w:val="TableGrid"/>
        <w:tblW w:w="0" w:type="auto"/>
        <w:tblLook w:val="04A0" w:firstRow="1" w:lastRow="0" w:firstColumn="1" w:lastColumn="0" w:noHBand="0" w:noVBand="1"/>
      </w:tblPr>
      <w:tblGrid>
        <w:gridCol w:w="8607"/>
      </w:tblGrid>
      <w:tr w:rsidR="00F05553" w:rsidRPr="00BB430C" w14:paraId="4F8A5A10" w14:textId="77777777" w:rsidTr="00F05553">
        <w:tc>
          <w:tcPr>
            <w:tcW w:w="8614" w:type="dxa"/>
          </w:tcPr>
          <w:p w14:paraId="27A721AB" w14:textId="77777777" w:rsidR="00870A3D" w:rsidRDefault="00F05553" w:rsidP="004901BC">
            <w:pPr>
              <w:pStyle w:val="Heading5"/>
              <w:spacing w:before="120" w:after="120"/>
              <w:outlineLvl w:val="4"/>
              <w:rPr>
                <w:rFonts w:ascii="Times New Roman" w:eastAsia="Times New Roman" w:hAnsi="Times New Roman" w:cs="Times New Roman"/>
                <w:noProof/>
                <w:color w:val="auto"/>
                <w:sz w:val="22"/>
                <w:szCs w:val="22"/>
              </w:rPr>
            </w:pPr>
            <w:r w:rsidRPr="00BB430C">
              <w:rPr>
                <w:rFonts w:ascii="Times New Roman" w:hAnsi="Times New Roman" w:cs="Times New Roman"/>
                <w:b/>
                <w:color w:val="auto"/>
                <w:sz w:val="22"/>
                <w:szCs w:val="22"/>
              </w:rPr>
              <w:lastRenderedPageBreak/>
              <w:t xml:space="preserve">Box </w:t>
            </w:r>
            <w:r w:rsidR="00063404">
              <w:rPr>
                <w:rFonts w:ascii="Times New Roman" w:hAnsi="Times New Roman" w:cs="Times New Roman"/>
                <w:b/>
                <w:color w:val="auto"/>
                <w:sz w:val="22"/>
                <w:szCs w:val="22"/>
              </w:rPr>
              <w:t>I.</w:t>
            </w:r>
            <w:r w:rsidR="00BB430C">
              <w:rPr>
                <w:rFonts w:ascii="Times New Roman" w:hAnsi="Times New Roman" w:cs="Times New Roman"/>
                <w:b/>
                <w:color w:val="auto"/>
                <w:sz w:val="22"/>
                <w:szCs w:val="22"/>
              </w:rPr>
              <w:t>2</w:t>
            </w:r>
            <w:r w:rsidRPr="00BB430C">
              <w:rPr>
                <w:rFonts w:ascii="Times New Roman" w:hAnsi="Times New Roman" w:cs="Times New Roman"/>
                <w:b/>
                <w:color w:val="auto"/>
                <w:sz w:val="22"/>
                <w:szCs w:val="22"/>
              </w:rPr>
              <w:t xml:space="preserve"> DSI</w:t>
            </w:r>
            <w:r w:rsidR="00AC13B0">
              <w:rPr>
                <w:rFonts w:ascii="Times New Roman" w:hAnsi="Times New Roman" w:cs="Times New Roman"/>
                <w:b/>
                <w:color w:val="auto"/>
                <w:sz w:val="22"/>
                <w:szCs w:val="22"/>
              </w:rPr>
              <w:t xml:space="preserve"> </w:t>
            </w:r>
            <w:r w:rsidR="00BF560D">
              <w:rPr>
                <w:rFonts w:ascii="Times New Roman" w:hAnsi="Times New Roman" w:cs="Times New Roman"/>
                <w:b/>
                <w:color w:val="auto"/>
                <w:sz w:val="22"/>
                <w:szCs w:val="22"/>
              </w:rPr>
              <w:t>contributes</w:t>
            </w:r>
            <w:r w:rsidR="00AC13B0">
              <w:rPr>
                <w:rFonts w:ascii="Times New Roman" w:hAnsi="Times New Roman" w:cs="Times New Roman"/>
                <w:b/>
                <w:color w:val="auto"/>
                <w:sz w:val="22"/>
                <w:szCs w:val="22"/>
              </w:rPr>
              <w:t xml:space="preserve"> to</w:t>
            </w:r>
            <w:r w:rsidR="00BF560D">
              <w:rPr>
                <w:rFonts w:ascii="Times New Roman" w:hAnsi="Times New Roman" w:cs="Times New Roman"/>
                <w:b/>
                <w:color w:val="auto"/>
                <w:sz w:val="22"/>
                <w:szCs w:val="22"/>
              </w:rPr>
              <w:t xml:space="preserve"> identifying</w:t>
            </w:r>
            <w:r w:rsidR="00AC13B0">
              <w:rPr>
                <w:rFonts w:ascii="Times New Roman" w:hAnsi="Times New Roman" w:cs="Times New Roman"/>
                <w:b/>
                <w:color w:val="auto"/>
                <w:sz w:val="22"/>
                <w:szCs w:val="22"/>
              </w:rPr>
              <w:t xml:space="preserve"> link</w:t>
            </w:r>
            <w:r w:rsidR="00BF560D">
              <w:rPr>
                <w:rFonts w:ascii="Times New Roman" w:hAnsi="Times New Roman" w:cs="Times New Roman"/>
                <w:b/>
                <w:color w:val="auto"/>
                <w:sz w:val="22"/>
                <w:szCs w:val="22"/>
              </w:rPr>
              <w:t xml:space="preserve"> between</w:t>
            </w:r>
            <w:r w:rsidR="00AC13B0">
              <w:rPr>
                <w:rFonts w:ascii="Times New Roman" w:hAnsi="Times New Roman" w:cs="Times New Roman"/>
                <w:b/>
                <w:color w:val="auto"/>
                <w:sz w:val="22"/>
                <w:szCs w:val="22"/>
              </w:rPr>
              <w:t xml:space="preserve"> genotype and phenotype</w:t>
            </w:r>
            <w:bookmarkEnd w:id="6"/>
          </w:p>
          <w:p w14:paraId="51C3565E" w14:textId="77777777" w:rsidR="008E655B" w:rsidRDefault="004901BC" w:rsidP="004901BC">
            <w:pPr>
              <w:pStyle w:val="Heading5"/>
              <w:spacing w:before="120" w:after="120"/>
              <w:outlineLvl w:val="4"/>
              <w:rPr>
                <w:rFonts w:ascii="Times New Roman" w:eastAsia="Times New Roman" w:hAnsi="Times New Roman" w:cs="Times New Roman"/>
                <w:noProof/>
                <w:color w:val="auto"/>
                <w:sz w:val="22"/>
                <w:szCs w:val="22"/>
              </w:rPr>
            </w:pPr>
            <w:r w:rsidRPr="00BB430C">
              <w:rPr>
                <w:rFonts w:ascii="Times New Roman" w:eastAsia="Times New Roman" w:hAnsi="Times New Roman" w:cs="Times New Roman"/>
                <w:noProof/>
                <w:color w:val="auto"/>
                <w:sz w:val="22"/>
                <w:szCs w:val="22"/>
              </w:rPr>
              <w:t>The genotype and the environment determine the phenotype. Over time, the environment, including anthropogenic influences through breeding,</w:t>
            </w:r>
            <w:r w:rsidR="00B3679E">
              <w:rPr>
                <w:rFonts w:ascii="Times New Roman" w:eastAsia="Times New Roman" w:hAnsi="Times New Roman" w:cs="Times New Roman"/>
                <w:noProof/>
                <w:color w:val="auto"/>
                <w:sz w:val="22"/>
                <w:szCs w:val="22"/>
              </w:rPr>
              <w:t xml:space="preserve"> may</w:t>
            </w:r>
            <w:r w:rsidRPr="00BB430C">
              <w:rPr>
                <w:rFonts w:ascii="Times New Roman" w:eastAsia="Times New Roman" w:hAnsi="Times New Roman" w:cs="Times New Roman"/>
                <w:noProof/>
                <w:color w:val="auto"/>
                <w:sz w:val="22"/>
                <w:szCs w:val="22"/>
              </w:rPr>
              <w:t xml:space="preserve"> select and </w:t>
            </w:r>
            <w:r w:rsidR="00B3679E" w:rsidRPr="00BB430C">
              <w:rPr>
                <w:rFonts w:ascii="Times New Roman" w:eastAsia="Times New Roman" w:hAnsi="Times New Roman" w:cs="Times New Roman"/>
                <w:noProof/>
                <w:color w:val="auto"/>
                <w:sz w:val="22"/>
                <w:szCs w:val="22"/>
              </w:rPr>
              <w:t>amplif</w:t>
            </w:r>
            <w:r w:rsidR="00B3679E">
              <w:rPr>
                <w:rFonts w:ascii="Times New Roman" w:eastAsia="Times New Roman" w:hAnsi="Times New Roman" w:cs="Times New Roman"/>
                <w:noProof/>
                <w:color w:val="auto"/>
                <w:sz w:val="22"/>
                <w:szCs w:val="22"/>
              </w:rPr>
              <w:t>y</w:t>
            </w:r>
            <w:r w:rsidR="00B3679E" w:rsidRPr="00BB430C">
              <w:rPr>
                <w:rFonts w:ascii="Times New Roman" w:eastAsia="Times New Roman" w:hAnsi="Times New Roman" w:cs="Times New Roman"/>
                <w:noProof/>
                <w:color w:val="auto"/>
                <w:sz w:val="22"/>
                <w:szCs w:val="22"/>
              </w:rPr>
              <w:t xml:space="preserve"> </w:t>
            </w:r>
            <w:r w:rsidRPr="00BB430C">
              <w:rPr>
                <w:rFonts w:ascii="Times New Roman" w:eastAsia="Times New Roman" w:hAnsi="Times New Roman" w:cs="Times New Roman"/>
                <w:noProof/>
                <w:color w:val="auto"/>
                <w:sz w:val="22"/>
                <w:szCs w:val="22"/>
              </w:rPr>
              <w:t xml:space="preserve">genetic differences between populations </w:t>
            </w:r>
            <w:r w:rsidR="001C037C">
              <w:rPr>
                <w:rFonts w:ascii="Times New Roman" w:eastAsia="Times New Roman" w:hAnsi="Times New Roman" w:cs="Times New Roman"/>
                <w:noProof/>
                <w:color w:val="auto"/>
                <w:sz w:val="22"/>
                <w:szCs w:val="22"/>
              </w:rPr>
              <w:t>(Boggess</w:t>
            </w:r>
            <w:r w:rsidR="001C037C" w:rsidRPr="001C037C">
              <w:rPr>
                <w:rFonts w:ascii="Times New Roman" w:eastAsia="Times New Roman" w:hAnsi="Times New Roman" w:cs="Times New Roman"/>
                <w:i/>
                <w:noProof/>
                <w:color w:val="auto"/>
                <w:sz w:val="22"/>
                <w:szCs w:val="22"/>
              </w:rPr>
              <w:t xml:space="preserve"> et al.</w:t>
            </w:r>
            <w:r w:rsidR="001C037C">
              <w:rPr>
                <w:rFonts w:ascii="Times New Roman" w:eastAsia="Times New Roman" w:hAnsi="Times New Roman" w:cs="Times New Roman"/>
                <w:noProof/>
                <w:color w:val="auto"/>
                <w:sz w:val="22"/>
                <w:szCs w:val="22"/>
              </w:rPr>
              <w:t>, 2013)</w:t>
            </w:r>
            <w:r w:rsidRPr="00BB430C">
              <w:rPr>
                <w:rFonts w:ascii="Times New Roman" w:eastAsia="Times New Roman" w:hAnsi="Times New Roman" w:cs="Times New Roman"/>
                <w:noProof/>
                <w:color w:val="auto"/>
                <w:sz w:val="22"/>
                <w:szCs w:val="22"/>
              </w:rPr>
              <w:t>. However, the environment influences phenotype in more ways tha</w:t>
            </w:r>
            <w:r w:rsidR="00462100">
              <w:rPr>
                <w:rFonts w:ascii="Times New Roman" w:eastAsia="Times New Roman" w:hAnsi="Times New Roman" w:cs="Times New Roman"/>
                <w:noProof/>
                <w:color w:val="auto"/>
                <w:sz w:val="22"/>
                <w:szCs w:val="22"/>
              </w:rPr>
              <w:t>n</w:t>
            </w:r>
            <w:r w:rsidRPr="00BB430C">
              <w:rPr>
                <w:rFonts w:ascii="Times New Roman" w:eastAsia="Times New Roman" w:hAnsi="Times New Roman" w:cs="Times New Roman"/>
                <w:noProof/>
                <w:color w:val="auto"/>
                <w:sz w:val="22"/>
                <w:szCs w:val="22"/>
              </w:rPr>
              <w:t xml:space="preserve"> just allelic variation. For example,</w:t>
            </w:r>
            <w:r w:rsidR="00AC13B0">
              <w:rPr>
                <w:rFonts w:ascii="Times New Roman" w:eastAsia="Times New Roman" w:hAnsi="Times New Roman" w:cs="Times New Roman"/>
                <w:noProof/>
                <w:color w:val="auto"/>
                <w:sz w:val="22"/>
                <w:szCs w:val="22"/>
              </w:rPr>
              <w:t xml:space="preserve"> different environments can result</w:t>
            </w:r>
            <w:r w:rsidR="003127B1">
              <w:rPr>
                <w:rFonts w:ascii="Times New Roman" w:eastAsia="Times New Roman" w:hAnsi="Times New Roman" w:cs="Times New Roman"/>
                <w:noProof/>
                <w:color w:val="auto"/>
                <w:sz w:val="22"/>
                <w:szCs w:val="22"/>
              </w:rPr>
              <w:t xml:space="preserve"> in</w:t>
            </w:r>
            <w:r w:rsidR="00AC13B0">
              <w:rPr>
                <w:rFonts w:ascii="Times New Roman" w:eastAsia="Times New Roman" w:hAnsi="Times New Roman" w:cs="Times New Roman"/>
                <w:noProof/>
                <w:color w:val="auto"/>
                <w:sz w:val="22"/>
                <w:szCs w:val="22"/>
              </w:rPr>
              <w:t xml:space="preserve"> variations in the proteins produced from the same gene. T</w:t>
            </w:r>
            <w:r w:rsidRPr="00BB430C">
              <w:rPr>
                <w:rFonts w:ascii="Times New Roman" w:eastAsia="Times New Roman" w:hAnsi="Times New Roman" w:cs="Times New Roman"/>
                <w:noProof/>
                <w:color w:val="auto"/>
                <w:sz w:val="22"/>
                <w:szCs w:val="22"/>
              </w:rPr>
              <w:t xml:space="preserve">he protein diversity </w:t>
            </w:r>
            <w:r w:rsidR="00AC13B0">
              <w:rPr>
                <w:rFonts w:ascii="Times New Roman" w:eastAsia="Times New Roman" w:hAnsi="Times New Roman" w:cs="Times New Roman"/>
                <w:noProof/>
                <w:color w:val="auto"/>
                <w:sz w:val="22"/>
                <w:szCs w:val="22"/>
              </w:rPr>
              <w:t>of</w:t>
            </w:r>
            <w:r w:rsidR="00AC13B0" w:rsidRPr="00BB430C">
              <w:rPr>
                <w:rFonts w:ascii="Times New Roman" w:eastAsia="Times New Roman" w:hAnsi="Times New Roman" w:cs="Times New Roman"/>
                <w:noProof/>
                <w:color w:val="auto"/>
                <w:sz w:val="22"/>
                <w:szCs w:val="22"/>
              </w:rPr>
              <w:t xml:space="preserve"> </w:t>
            </w:r>
            <w:r w:rsidRPr="00BB430C">
              <w:rPr>
                <w:rFonts w:ascii="Times New Roman" w:eastAsia="Times New Roman" w:hAnsi="Times New Roman" w:cs="Times New Roman"/>
                <w:noProof/>
                <w:color w:val="auto"/>
                <w:sz w:val="22"/>
                <w:szCs w:val="22"/>
              </w:rPr>
              <w:t>a single genome relative to the number of genes “can be considered to increase 5-fold by considering all [the RNA] splice forms per protein. When the ~300 [post-translational modifications] are considered the number of distinct protein chains rises to around greater than 500,000. On top of this precise proteolytic processing can convert the parent chain to two or more stable daughter chains giving rise to up to potentially 1,000,000 protein chains</w:t>
            </w:r>
            <w:r w:rsidR="00AC13B0">
              <w:rPr>
                <w:rFonts w:ascii="Times New Roman" w:eastAsia="Times New Roman" w:hAnsi="Times New Roman" w:cs="Times New Roman"/>
                <w:noProof/>
                <w:color w:val="auto"/>
                <w:sz w:val="22"/>
                <w:szCs w:val="22"/>
              </w:rPr>
              <w:t>”</w:t>
            </w:r>
            <w:r w:rsidR="0057243B">
              <w:rPr>
                <w:rFonts w:ascii="Times New Roman" w:eastAsia="Times New Roman" w:hAnsi="Times New Roman" w:cs="Times New Roman"/>
                <w:noProof/>
                <w:color w:val="auto"/>
                <w:sz w:val="22"/>
                <w:szCs w:val="22"/>
              </w:rPr>
              <w:t xml:space="preserve"> </w:t>
            </w:r>
            <w:r w:rsidR="001C037C">
              <w:rPr>
                <w:rFonts w:ascii="Times New Roman" w:eastAsia="Times New Roman" w:hAnsi="Times New Roman" w:cs="Times New Roman"/>
                <w:noProof/>
                <w:color w:val="auto"/>
                <w:sz w:val="22"/>
                <w:szCs w:val="22"/>
              </w:rPr>
              <w:t>(Overall, 2014)</w:t>
            </w:r>
            <w:r w:rsidR="0057243B">
              <w:rPr>
                <w:rFonts w:ascii="Times New Roman" w:eastAsia="Times New Roman" w:hAnsi="Times New Roman" w:cs="Times New Roman"/>
                <w:noProof/>
                <w:color w:val="auto"/>
                <w:sz w:val="22"/>
                <w:szCs w:val="22"/>
              </w:rPr>
              <w:t>.</w:t>
            </w:r>
          </w:p>
          <w:p w14:paraId="4DD5254C" w14:textId="77777777" w:rsidR="004901BC" w:rsidRDefault="00AC13B0" w:rsidP="004901BC">
            <w:pPr>
              <w:pStyle w:val="Heading5"/>
              <w:spacing w:before="120" w:after="120"/>
              <w:outlineLvl w:val="4"/>
              <w:rPr>
                <w:rFonts w:ascii="Times New Roman" w:eastAsia="Times New Roman" w:hAnsi="Times New Roman" w:cs="Times New Roman"/>
                <w:noProof/>
                <w:color w:val="auto"/>
                <w:sz w:val="22"/>
                <w:szCs w:val="22"/>
              </w:rPr>
            </w:pPr>
            <w:r>
              <w:rPr>
                <w:rFonts w:ascii="Times New Roman" w:eastAsia="Times New Roman" w:hAnsi="Times New Roman" w:cs="Times New Roman"/>
                <w:noProof/>
                <w:color w:val="auto"/>
                <w:sz w:val="22"/>
                <w:szCs w:val="22"/>
              </w:rPr>
              <w:t>Critically</w:t>
            </w:r>
            <w:r w:rsidR="004901BC" w:rsidRPr="00BB430C">
              <w:rPr>
                <w:rFonts w:ascii="Times New Roman" w:eastAsia="Times New Roman" w:hAnsi="Times New Roman" w:cs="Times New Roman"/>
                <w:noProof/>
                <w:color w:val="auto"/>
                <w:sz w:val="22"/>
                <w:szCs w:val="22"/>
              </w:rPr>
              <w:t xml:space="preserve">, </w:t>
            </w:r>
            <w:r>
              <w:rPr>
                <w:rFonts w:ascii="Times New Roman" w:eastAsia="Times New Roman" w:hAnsi="Times New Roman" w:cs="Times New Roman"/>
                <w:noProof/>
                <w:color w:val="auto"/>
                <w:sz w:val="22"/>
                <w:szCs w:val="22"/>
              </w:rPr>
              <w:t>“</w:t>
            </w:r>
            <w:r w:rsidR="004901BC" w:rsidRPr="00BB430C">
              <w:rPr>
                <w:rFonts w:ascii="Times New Roman" w:eastAsia="Times New Roman" w:hAnsi="Times New Roman" w:cs="Times New Roman"/>
                <w:i/>
                <w:noProof/>
                <w:color w:val="auto"/>
                <w:sz w:val="22"/>
                <w:szCs w:val="22"/>
              </w:rPr>
              <w:t>understanding the genetic sequence alone does not provide this information</w:t>
            </w:r>
            <w:r w:rsidR="004901BC" w:rsidRPr="00BB430C">
              <w:rPr>
                <w:rFonts w:ascii="Times New Roman" w:eastAsia="Times New Roman" w:hAnsi="Times New Roman" w:cs="Times New Roman"/>
                <w:noProof/>
                <w:color w:val="auto"/>
                <w:sz w:val="22"/>
                <w:szCs w:val="22"/>
              </w:rPr>
              <w:t>” (emphasis added to Overall, 2014).</w:t>
            </w:r>
            <w:r w:rsidR="008E655B">
              <w:rPr>
                <w:rFonts w:ascii="Times New Roman" w:eastAsia="Times New Roman" w:hAnsi="Times New Roman" w:cs="Times New Roman"/>
                <w:noProof/>
                <w:color w:val="auto"/>
                <w:sz w:val="22"/>
                <w:szCs w:val="22"/>
              </w:rPr>
              <w:t xml:space="preserve"> Not all traits can be identified from DNA (or more broadly genome) sequences. That is one reason why DSI on GRFA is not just DNA databases. </w:t>
            </w:r>
          </w:p>
          <w:p w14:paraId="0504A396" w14:textId="77777777" w:rsidR="004901BC" w:rsidRPr="00BB430C" w:rsidRDefault="004901BC" w:rsidP="004901BC">
            <w:pPr>
              <w:pStyle w:val="Heading5"/>
              <w:spacing w:before="120" w:after="120"/>
              <w:outlineLvl w:val="4"/>
              <w:rPr>
                <w:rFonts w:ascii="Times New Roman" w:eastAsia="Times New Roman" w:hAnsi="Times New Roman" w:cs="Times New Roman"/>
                <w:noProof/>
                <w:color w:val="auto"/>
                <w:sz w:val="22"/>
                <w:szCs w:val="22"/>
              </w:rPr>
            </w:pPr>
            <w:r w:rsidRPr="00BB430C">
              <w:rPr>
                <w:rFonts w:ascii="Times New Roman" w:eastAsia="Times New Roman" w:hAnsi="Times New Roman" w:cs="Times New Roman"/>
                <w:noProof/>
                <w:color w:val="auto"/>
                <w:sz w:val="22"/>
                <w:szCs w:val="22"/>
              </w:rPr>
              <w:t xml:space="preserve">Functional omics is changing breeding of GRFA from the traditional approach of crossing desired phenotypes to concentrate desired genetic traits, to </w:t>
            </w:r>
            <w:r w:rsidR="003E362E">
              <w:rPr>
                <w:rFonts w:ascii="Times New Roman" w:eastAsia="Times New Roman" w:hAnsi="Times New Roman" w:cs="Times New Roman"/>
                <w:noProof/>
                <w:color w:val="auto"/>
                <w:sz w:val="22"/>
                <w:szCs w:val="22"/>
              </w:rPr>
              <w:t xml:space="preserve">the </w:t>
            </w:r>
            <w:r w:rsidRPr="00BB430C">
              <w:rPr>
                <w:rFonts w:ascii="Times New Roman" w:eastAsia="Times New Roman" w:hAnsi="Times New Roman" w:cs="Times New Roman"/>
                <w:noProof/>
                <w:color w:val="auto"/>
                <w:sz w:val="22"/>
                <w:szCs w:val="22"/>
              </w:rPr>
              <w:t xml:space="preserve">use of full phenotype and genotype DSI to predict the “phenotype from a known genotype (genomics) and a full accounting of all environmental effects. This is the approach that will eventually provide an extraordinary improvement in animal and plant production systems, but is predicated on a comprehensive understanding of biological proteomics and metabolomics” </w:t>
            </w:r>
            <w:r w:rsidR="001C037C">
              <w:rPr>
                <w:rFonts w:ascii="Times New Roman" w:eastAsia="Times New Roman" w:hAnsi="Times New Roman" w:cs="Times New Roman"/>
                <w:noProof/>
                <w:color w:val="auto"/>
                <w:sz w:val="22"/>
                <w:szCs w:val="22"/>
              </w:rPr>
              <w:t>(Boggess</w:t>
            </w:r>
            <w:r w:rsidR="001C037C" w:rsidRPr="001C037C">
              <w:rPr>
                <w:rFonts w:ascii="Times New Roman" w:eastAsia="Times New Roman" w:hAnsi="Times New Roman" w:cs="Times New Roman"/>
                <w:i/>
                <w:noProof/>
                <w:color w:val="auto"/>
                <w:sz w:val="22"/>
                <w:szCs w:val="22"/>
              </w:rPr>
              <w:t xml:space="preserve"> et al.</w:t>
            </w:r>
            <w:r w:rsidR="001C037C">
              <w:rPr>
                <w:rFonts w:ascii="Times New Roman" w:eastAsia="Times New Roman" w:hAnsi="Times New Roman" w:cs="Times New Roman"/>
                <w:noProof/>
                <w:color w:val="auto"/>
                <w:sz w:val="22"/>
                <w:szCs w:val="22"/>
              </w:rPr>
              <w:t>, 2013)</w:t>
            </w:r>
            <w:r w:rsidRPr="00BB430C">
              <w:rPr>
                <w:rFonts w:ascii="Times New Roman" w:eastAsia="Times New Roman" w:hAnsi="Times New Roman" w:cs="Times New Roman"/>
                <w:noProof/>
                <w:color w:val="auto"/>
                <w:sz w:val="22"/>
                <w:szCs w:val="22"/>
              </w:rPr>
              <w:t>.</w:t>
            </w:r>
          </w:p>
          <w:p w14:paraId="1E047634" w14:textId="77777777" w:rsidR="00F05553" w:rsidRPr="00BB430C" w:rsidRDefault="004901BC" w:rsidP="004901BC">
            <w:pPr>
              <w:pStyle w:val="TableEntry"/>
              <w:spacing w:before="120" w:after="120"/>
            </w:pPr>
            <w:r w:rsidRPr="00BB430C">
              <w:t xml:space="preserve">With the help of DSI, phenotypic detail at the omics level is accessed. Using omics DSI informs searches for genes or consortia of genes that provide a particular phenotype. Derived DNA sequences can be used as a tool for breeding, such as when the sequences are used in </w:t>
            </w:r>
            <w:r w:rsidR="00CC54E3">
              <w:t>MAS</w:t>
            </w:r>
            <w:r w:rsidRPr="00BB430C">
              <w:t xml:space="preserve"> to enrich for particular genes. Phenotype DSI can be used to synthesize a genome that produces the desired phenotype, or to edit a genome to create the phenotype. Through such uses of DSI</w:t>
            </w:r>
            <w:r w:rsidR="00BF7EB3">
              <w:t>,</w:t>
            </w:r>
            <w:r w:rsidRPr="00BB430C">
              <w:t xml:space="preserve"> DNA becomes the product, rather than the source, of the information that produces value from a genetic resource. For example:</w:t>
            </w:r>
          </w:p>
          <w:p w14:paraId="2C377206" w14:textId="77777777" w:rsidR="004901BC" w:rsidRPr="00BB430C" w:rsidRDefault="004901BC" w:rsidP="008679C7">
            <w:pPr>
              <w:pStyle w:val="ListParagraph"/>
              <w:numPr>
                <w:ilvl w:val="0"/>
                <w:numId w:val="4"/>
              </w:numPr>
              <w:rPr>
                <w:sz w:val="22"/>
                <w:szCs w:val="22"/>
              </w:rPr>
            </w:pPr>
            <w:r w:rsidRPr="00BB430C">
              <w:rPr>
                <w:sz w:val="22"/>
                <w:szCs w:val="22"/>
              </w:rPr>
              <w:t>Researchers interested in finding new proteins that could be used in place of antibiotics</w:t>
            </w:r>
            <w:r w:rsidR="008E655B">
              <w:rPr>
                <w:sz w:val="22"/>
                <w:szCs w:val="22"/>
              </w:rPr>
              <w:t xml:space="preserve"> found that they</w:t>
            </w:r>
            <w:r w:rsidRPr="00BB430C">
              <w:rPr>
                <w:sz w:val="22"/>
                <w:szCs w:val="22"/>
              </w:rPr>
              <w:t xml:space="preserve"> could design those proteins from an analysis of proteins with varying degrees of antibacterial activity </w:t>
            </w:r>
            <w:r w:rsidR="001C037C">
              <w:rPr>
                <w:noProof/>
                <w:sz w:val="22"/>
                <w:szCs w:val="22"/>
              </w:rPr>
              <w:t>(Speck-Planche</w:t>
            </w:r>
            <w:r w:rsidR="001C037C" w:rsidRPr="001C037C">
              <w:rPr>
                <w:i/>
                <w:noProof/>
                <w:sz w:val="22"/>
                <w:szCs w:val="22"/>
              </w:rPr>
              <w:t xml:space="preserve"> et al.</w:t>
            </w:r>
            <w:r w:rsidR="001C037C">
              <w:rPr>
                <w:noProof/>
                <w:sz w:val="22"/>
                <w:szCs w:val="22"/>
              </w:rPr>
              <w:t>, 2016)</w:t>
            </w:r>
            <w:r w:rsidRPr="00BB430C">
              <w:rPr>
                <w:sz w:val="22"/>
                <w:szCs w:val="22"/>
              </w:rPr>
              <w:t>. Proteins with antibacterial activities are made by all organisms</w:t>
            </w:r>
            <w:r w:rsidR="008E655B">
              <w:rPr>
                <w:sz w:val="22"/>
                <w:szCs w:val="22"/>
              </w:rPr>
              <w:t xml:space="preserve">, including GRFA, just as they can be used to treat infections </w:t>
            </w:r>
            <w:r w:rsidR="00CC54E3">
              <w:rPr>
                <w:sz w:val="22"/>
                <w:szCs w:val="22"/>
              </w:rPr>
              <w:t>i</w:t>
            </w:r>
            <w:r w:rsidR="008E655B">
              <w:rPr>
                <w:sz w:val="22"/>
                <w:szCs w:val="22"/>
              </w:rPr>
              <w:t>n GRFA.</w:t>
            </w:r>
            <w:r w:rsidRPr="00BB430C">
              <w:rPr>
                <w:sz w:val="22"/>
                <w:szCs w:val="22"/>
              </w:rPr>
              <w:t xml:space="preserve"> The existing proteins </w:t>
            </w:r>
            <w:r w:rsidR="008E655B">
              <w:rPr>
                <w:sz w:val="22"/>
                <w:szCs w:val="22"/>
              </w:rPr>
              <w:t>were</w:t>
            </w:r>
            <w:r w:rsidR="008E655B" w:rsidRPr="00BB430C">
              <w:rPr>
                <w:sz w:val="22"/>
                <w:szCs w:val="22"/>
              </w:rPr>
              <w:t xml:space="preserve"> </w:t>
            </w:r>
            <w:r w:rsidRPr="00BB430C">
              <w:rPr>
                <w:sz w:val="22"/>
                <w:szCs w:val="22"/>
              </w:rPr>
              <w:t xml:space="preserve">identified through DSI that is annotated DNA sequences or amino acid sequences, or </w:t>
            </w:r>
            <w:r w:rsidR="0022440A">
              <w:rPr>
                <w:sz w:val="22"/>
                <w:szCs w:val="22"/>
              </w:rPr>
              <w:t xml:space="preserve">from </w:t>
            </w:r>
            <w:r w:rsidRPr="00BB430C">
              <w:rPr>
                <w:sz w:val="22"/>
                <w:szCs w:val="22"/>
              </w:rPr>
              <w:t xml:space="preserve">the scientific literature. The fundamental information necessary was not DNA sequence information, but either inferred or known amino acid sequences. Using bioinformatics approaches, models were built that could predict with high accuracy what sequence of amino acids in a protein would have antibacterial activity against the largest number of pathogens, or be specific to types of pathogens </w:t>
            </w:r>
            <w:r w:rsidR="001C037C">
              <w:rPr>
                <w:noProof/>
                <w:sz w:val="22"/>
                <w:szCs w:val="22"/>
              </w:rPr>
              <w:t>(Speck-Planche</w:t>
            </w:r>
            <w:r w:rsidR="001C037C" w:rsidRPr="001C037C">
              <w:rPr>
                <w:i/>
                <w:noProof/>
                <w:sz w:val="22"/>
                <w:szCs w:val="22"/>
              </w:rPr>
              <w:t xml:space="preserve"> et al.</w:t>
            </w:r>
            <w:r w:rsidR="001C037C">
              <w:rPr>
                <w:noProof/>
                <w:sz w:val="22"/>
                <w:szCs w:val="22"/>
              </w:rPr>
              <w:t>, 2016)</w:t>
            </w:r>
            <w:r w:rsidRPr="00BB430C">
              <w:rPr>
                <w:sz w:val="22"/>
                <w:szCs w:val="22"/>
              </w:rPr>
              <w:t xml:space="preserve">. From this information, new genes could be sought in existing DNA databases to find the organisms producing peptides with desired antibacterial activities, or new genes could be synthesized that would correspond to proteins of the desired attributes. The fundamental information necessary to produce value from an antibacterial peptide came from publicly accessible databases, but the products </w:t>
            </w:r>
            <w:r w:rsidR="00CC54E3">
              <w:rPr>
                <w:sz w:val="22"/>
                <w:szCs w:val="22"/>
              </w:rPr>
              <w:t>were</w:t>
            </w:r>
            <w:r w:rsidR="00CC54E3" w:rsidRPr="00BB430C">
              <w:rPr>
                <w:sz w:val="22"/>
                <w:szCs w:val="22"/>
              </w:rPr>
              <w:t xml:space="preserve"> </w:t>
            </w:r>
            <w:r w:rsidRPr="00BB430C">
              <w:rPr>
                <w:sz w:val="22"/>
                <w:szCs w:val="22"/>
              </w:rPr>
              <w:t>not just a recreation of already described genes or extracted from an organism taken from a particular environment.</w:t>
            </w:r>
          </w:p>
          <w:p w14:paraId="661E0E71" w14:textId="77777777" w:rsidR="004901BC" w:rsidRPr="00BB430C" w:rsidRDefault="004901BC" w:rsidP="008679C7">
            <w:pPr>
              <w:pStyle w:val="ListParagraph"/>
              <w:numPr>
                <w:ilvl w:val="0"/>
                <w:numId w:val="4"/>
              </w:numPr>
              <w:spacing w:after="120"/>
              <w:ind w:left="714" w:hanging="357"/>
              <w:contextualSpacing w:val="0"/>
              <w:rPr>
                <w:sz w:val="22"/>
                <w:szCs w:val="22"/>
              </w:rPr>
            </w:pPr>
            <w:r w:rsidRPr="00BB430C">
              <w:rPr>
                <w:sz w:val="22"/>
                <w:szCs w:val="22"/>
              </w:rPr>
              <w:t xml:space="preserve">Not only is the proteome diversity larger than can be predicted from the number of genes in a genome </w:t>
            </w:r>
            <w:r w:rsidR="001C037C">
              <w:rPr>
                <w:noProof/>
                <w:sz w:val="22"/>
                <w:szCs w:val="22"/>
              </w:rPr>
              <w:t>(Wilhelm</w:t>
            </w:r>
            <w:r w:rsidR="001C037C" w:rsidRPr="001C037C">
              <w:rPr>
                <w:i/>
                <w:noProof/>
                <w:sz w:val="22"/>
                <w:szCs w:val="22"/>
              </w:rPr>
              <w:t xml:space="preserve"> et al.</w:t>
            </w:r>
            <w:r w:rsidR="001C037C">
              <w:rPr>
                <w:noProof/>
                <w:sz w:val="22"/>
                <w:szCs w:val="22"/>
              </w:rPr>
              <w:t>, 2014)</w:t>
            </w:r>
            <w:r w:rsidRPr="00BB430C">
              <w:rPr>
                <w:sz w:val="22"/>
                <w:szCs w:val="22"/>
              </w:rPr>
              <w:t xml:space="preserve">, but also metabolite diversity is larger than can be predicted from the known number of enzymes </w:t>
            </w:r>
            <w:r w:rsidR="001C037C">
              <w:rPr>
                <w:noProof/>
                <w:sz w:val="22"/>
                <w:szCs w:val="22"/>
              </w:rPr>
              <w:t>(Moriya</w:t>
            </w:r>
            <w:r w:rsidR="001C037C" w:rsidRPr="001C037C">
              <w:rPr>
                <w:i/>
                <w:noProof/>
                <w:sz w:val="22"/>
                <w:szCs w:val="22"/>
              </w:rPr>
              <w:t xml:space="preserve"> et al.</w:t>
            </w:r>
            <w:r w:rsidR="001C037C">
              <w:rPr>
                <w:noProof/>
                <w:sz w:val="22"/>
                <w:szCs w:val="22"/>
              </w:rPr>
              <w:t>, 2016)</w:t>
            </w:r>
            <w:r w:rsidRPr="00BB430C">
              <w:rPr>
                <w:sz w:val="22"/>
                <w:szCs w:val="22"/>
              </w:rPr>
              <w:t xml:space="preserve">. This suggests that either enzymes have considerable </w:t>
            </w:r>
            <w:r w:rsidR="00BF0CF5">
              <w:rPr>
                <w:sz w:val="22"/>
                <w:szCs w:val="22"/>
              </w:rPr>
              <w:t>“</w:t>
            </w:r>
            <w:r w:rsidRPr="00BB430C">
              <w:rPr>
                <w:sz w:val="22"/>
                <w:szCs w:val="22"/>
              </w:rPr>
              <w:t>moonlighting</w:t>
            </w:r>
            <w:r w:rsidR="00BF0CF5">
              <w:rPr>
                <w:sz w:val="22"/>
                <w:szCs w:val="22"/>
              </w:rPr>
              <w:t>”</w:t>
            </w:r>
            <w:r w:rsidRPr="00BB430C">
              <w:rPr>
                <w:sz w:val="22"/>
                <w:szCs w:val="22"/>
              </w:rPr>
              <w:t xml:space="preserve"> activity and engage in </w:t>
            </w:r>
            <w:r w:rsidRPr="00BB430C">
              <w:rPr>
                <w:sz w:val="22"/>
                <w:szCs w:val="22"/>
              </w:rPr>
              <w:lastRenderedPageBreak/>
              <w:t>more diverse reactions than currently known, or that many unassigned genes encode enzymes not assigned to particular substrate</w:t>
            </w:r>
            <w:r w:rsidR="00BF0CF5">
              <w:rPr>
                <w:sz w:val="22"/>
                <w:szCs w:val="22"/>
              </w:rPr>
              <w:t>s</w:t>
            </w:r>
            <w:r w:rsidRPr="00BB430C">
              <w:rPr>
                <w:sz w:val="22"/>
                <w:szCs w:val="22"/>
              </w:rPr>
              <w:t xml:space="preserve"> (metabolites).</w:t>
            </w:r>
          </w:p>
          <w:p w14:paraId="2A1D0315" w14:textId="77777777" w:rsidR="00BD705C" w:rsidRPr="00BB430C" w:rsidRDefault="004901BC" w:rsidP="008F6C31">
            <w:pPr>
              <w:pStyle w:val="ListParagraph"/>
              <w:keepNext/>
              <w:spacing w:before="120" w:after="120"/>
              <w:rPr>
                <w:sz w:val="22"/>
                <w:szCs w:val="22"/>
              </w:rPr>
            </w:pPr>
            <w:r w:rsidRPr="00BB430C">
              <w:rPr>
                <w:sz w:val="22"/>
                <w:szCs w:val="22"/>
              </w:rPr>
              <w:t xml:space="preserve">This inspired researchers to search for DSI that described enzyme-substrate structures, rather than DNA sequences of enzyme genes, because the latter approach requires “functional associations to other identified enzyme genes in the context of pathway or genome information” </w:t>
            </w:r>
            <w:r w:rsidR="001C037C">
              <w:rPr>
                <w:noProof/>
                <w:sz w:val="22"/>
                <w:szCs w:val="22"/>
              </w:rPr>
              <w:t>(Moriya</w:t>
            </w:r>
            <w:r w:rsidR="001C037C" w:rsidRPr="001C037C">
              <w:rPr>
                <w:i/>
                <w:noProof/>
                <w:sz w:val="22"/>
                <w:szCs w:val="22"/>
              </w:rPr>
              <w:t xml:space="preserve"> et al.</w:t>
            </w:r>
            <w:r w:rsidR="001C037C">
              <w:rPr>
                <w:noProof/>
                <w:sz w:val="22"/>
                <w:szCs w:val="22"/>
              </w:rPr>
              <w:t>, 2016)</w:t>
            </w:r>
            <w:r w:rsidRPr="00BB430C">
              <w:rPr>
                <w:sz w:val="22"/>
                <w:szCs w:val="22"/>
              </w:rPr>
              <w:t xml:space="preserve">. Using databases such as KEGG, the researchers used whole-structure comparison of substrate−product pairs of metabolites of a pathway to identify the likely features of proteins that would serve as catalysts and then to work from that to identify DNA sequences that are predicted to give rise to such proteins </w:t>
            </w:r>
            <w:r w:rsidR="001C037C">
              <w:rPr>
                <w:noProof/>
                <w:sz w:val="22"/>
                <w:szCs w:val="22"/>
              </w:rPr>
              <w:t>(Moriya</w:t>
            </w:r>
            <w:r w:rsidR="001C037C" w:rsidRPr="001C037C">
              <w:rPr>
                <w:i/>
                <w:noProof/>
                <w:sz w:val="22"/>
                <w:szCs w:val="22"/>
              </w:rPr>
              <w:t xml:space="preserve"> et al.</w:t>
            </w:r>
            <w:r w:rsidR="001C037C">
              <w:rPr>
                <w:noProof/>
                <w:sz w:val="22"/>
                <w:szCs w:val="22"/>
              </w:rPr>
              <w:t>, 2016)</w:t>
            </w:r>
            <w:r w:rsidRPr="00BB430C">
              <w:rPr>
                <w:sz w:val="22"/>
                <w:szCs w:val="22"/>
              </w:rPr>
              <w:t>.</w:t>
            </w:r>
          </w:p>
          <w:p w14:paraId="360C0409" w14:textId="77777777" w:rsidR="004901BC" w:rsidRPr="00BB430C" w:rsidRDefault="004901BC" w:rsidP="004901BC">
            <w:pPr>
              <w:spacing w:before="120" w:after="120"/>
              <w:rPr>
                <w:sz w:val="22"/>
                <w:szCs w:val="22"/>
              </w:rPr>
            </w:pPr>
            <w:r w:rsidRPr="00BB430C">
              <w:rPr>
                <w:sz w:val="22"/>
                <w:szCs w:val="22"/>
              </w:rPr>
              <w:t>Where the DNA</w:t>
            </w:r>
            <w:r w:rsidR="00CC54E3">
              <w:rPr>
                <w:sz w:val="22"/>
                <w:szCs w:val="22"/>
              </w:rPr>
              <w:t xml:space="preserve"> alone</w:t>
            </w:r>
            <w:r w:rsidRPr="00BB430C">
              <w:rPr>
                <w:sz w:val="22"/>
                <w:szCs w:val="22"/>
              </w:rPr>
              <w:t xml:space="preserve"> is not explanatory, DSI may reveal epigenetic or epiallelic variations </w:t>
            </w:r>
            <w:r w:rsidR="001C037C">
              <w:rPr>
                <w:noProof/>
                <w:sz w:val="22"/>
                <w:szCs w:val="22"/>
              </w:rPr>
              <w:t>(Fortes and Gallusci, 2017)</w:t>
            </w:r>
            <w:r w:rsidRPr="00BB430C">
              <w:rPr>
                <w:sz w:val="22"/>
                <w:szCs w:val="22"/>
              </w:rPr>
              <w:t>. Epigenes leading to selectable traits can be mapped as epiQTL, in analogy to QTL for genes. EpiQTL have been linked to a large number of important crop traits and stability is important for</w:t>
            </w:r>
            <w:r w:rsidR="00B3679E">
              <w:rPr>
                <w:sz w:val="22"/>
                <w:szCs w:val="22"/>
              </w:rPr>
              <w:t xml:space="preserve"> trueness-to-type in cultivars </w:t>
            </w:r>
            <w:r w:rsidR="001C037C">
              <w:rPr>
                <w:noProof/>
                <w:sz w:val="22"/>
                <w:szCs w:val="22"/>
              </w:rPr>
              <w:t>(see Table 1 in Rodríguez López and Wilkinson, 2015)</w:t>
            </w:r>
            <w:r w:rsidRPr="00BB430C">
              <w:rPr>
                <w:sz w:val="22"/>
                <w:szCs w:val="22"/>
              </w:rPr>
              <w:t>. Where these are due to differences in DNA methylation, specific markers can be developed, in analogy to DNA markers for MAS.</w:t>
            </w:r>
          </w:p>
          <w:p w14:paraId="0603AB15" w14:textId="77777777" w:rsidR="00B3679E" w:rsidRPr="00BB430C" w:rsidRDefault="004901BC" w:rsidP="008679C7">
            <w:pPr>
              <w:pStyle w:val="ListParagraph"/>
              <w:numPr>
                <w:ilvl w:val="0"/>
                <w:numId w:val="6"/>
              </w:numPr>
              <w:rPr>
                <w:sz w:val="22"/>
                <w:szCs w:val="22"/>
              </w:rPr>
            </w:pPr>
            <w:r w:rsidRPr="00BB430C">
              <w:rPr>
                <w:sz w:val="22"/>
                <w:szCs w:val="22"/>
              </w:rPr>
              <w:t>Genome</w:t>
            </w:r>
            <w:r w:rsidR="00BF7EB3">
              <w:rPr>
                <w:sz w:val="22"/>
                <w:szCs w:val="22"/>
              </w:rPr>
              <w:t>-</w:t>
            </w:r>
            <w:r w:rsidRPr="00BB430C">
              <w:rPr>
                <w:sz w:val="22"/>
                <w:szCs w:val="22"/>
              </w:rPr>
              <w:t xml:space="preserve">wide changes </w:t>
            </w:r>
            <w:r w:rsidR="00B3679E">
              <w:rPr>
                <w:sz w:val="22"/>
                <w:szCs w:val="22"/>
              </w:rPr>
              <w:t>in</w:t>
            </w:r>
            <w:r w:rsidR="00B3679E" w:rsidRPr="00BB430C">
              <w:rPr>
                <w:sz w:val="22"/>
                <w:szCs w:val="22"/>
              </w:rPr>
              <w:t xml:space="preserve"> </w:t>
            </w:r>
            <w:r w:rsidRPr="00BB430C">
              <w:rPr>
                <w:sz w:val="22"/>
                <w:szCs w:val="22"/>
              </w:rPr>
              <w:t>methylation</w:t>
            </w:r>
            <w:r w:rsidR="00B3679E">
              <w:rPr>
                <w:sz w:val="22"/>
                <w:szCs w:val="22"/>
              </w:rPr>
              <w:t xml:space="preserve"> of DNA nucleotides</w:t>
            </w:r>
            <w:r w:rsidRPr="00BB430C">
              <w:rPr>
                <w:sz w:val="22"/>
                <w:szCs w:val="22"/>
              </w:rPr>
              <w:t xml:space="preserve"> can occur during micropropagation of clones, resulting in significant phenotypic changes. “For instance, in oil palm, mantled inflorescence syndrome was found to be associated with global changes to C-methylation status during micropropagation, and caused catastrophic reductions in yield among all affected plants and incurred huge costs to the industry” </w:t>
            </w:r>
            <w:r w:rsidR="001C037C">
              <w:rPr>
                <w:noProof/>
                <w:sz w:val="22"/>
                <w:szCs w:val="22"/>
              </w:rPr>
              <w:t>(Rodríguez López and Wilkinson, 2015)</w:t>
            </w:r>
            <w:r w:rsidRPr="00BB430C">
              <w:rPr>
                <w:sz w:val="22"/>
                <w:szCs w:val="22"/>
              </w:rPr>
              <w:t xml:space="preserve">. Phenotypic variation from changes in epialleles is an important source of diversity even in highly inbred staple crop cultivars, and may contribute more phenotypic plasticity than allelic variation </w:t>
            </w:r>
            <w:r w:rsidR="001C037C">
              <w:rPr>
                <w:noProof/>
                <w:sz w:val="22"/>
                <w:szCs w:val="22"/>
              </w:rPr>
              <w:t>(Rodríguez López and Wilkinson, 2015)</w:t>
            </w:r>
            <w:r w:rsidRPr="00BB430C">
              <w:rPr>
                <w:sz w:val="22"/>
                <w:szCs w:val="22"/>
              </w:rPr>
              <w:t xml:space="preserve">. Methylation distinguishes epialleles of the gene FIE1 in rice and P1-rr in maize. These genes affect flower phenotypes or pigments in the grain </w:t>
            </w:r>
            <w:r w:rsidR="001C037C">
              <w:rPr>
                <w:noProof/>
                <w:sz w:val="22"/>
                <w:szCs w:val="22"/>
              </w:rPr>
              <w:t>(Rodríguez López and Wilkinson, 2015)</w:t>
            </w:r>
            <w:r w:rsidRPr="00BB430C">
              <w:rPr>
                <w:sz w:val="22"/>
                <w:szCs w:val="22"/>
              </w:rPr>
              <w:t>.</w:t>
            </w:r>
          </w:p>
          <w:p w14:paraId="55C707FD" w14:textId="77777777" w:rsidR="00F05553" w:rsidRPr="008D0183" w:rsidRDefault="004901BC" w:rsidP="0070055A">
            <w:pPr>
              <w:pStyle w:val="ListParagraph"/>
              <w:numPr>
                <w:ilvl w:val="0"/>
                <w:numId w:val="6"/>
              </w:numPr>
              <w:rPr>
                <w:sz w:val="22"/>
                <w:szCs w:val="22"/>
              </w:rPr>
            </w:pPr>
            <w:r w:rsidRPr="008D0183">
              <w:rPr>
                <w:sz w:val="22"/>
                <w:szCs w:val="22"/>
              </w:rPr>
              <w:t>Tibetan pigs are adapted to the high altitude environment of 4</w:t>
            </w:r>
            <w:r w:rsidR="0070055A">
              <w:rPr>
                <w:sz w:val="22"/>
                <w:szCs w:val="22"/>
              </w:rPr>
              <w:t> </w:t>
            </w:r>
            <w:r w:rsidRPr="008D0183">
              <w:rPr>
                <w:sz w:val="22"/>
                <w:szCs w:val="22"/>
              </w:rPr>
              <w:t xml:space="preserve">000+ metres. Adaptation has been linked to various allelic markers </w:t>
            </w:r>
            <w:r w:rsidR="001C037C">
              <w:rPr>
                <w:noProof/>
                <w:sz w:val="22"/>
                <w:szCs w:val="22"/>
              </w:rPr>
              <w:t>(Jin</w:t>
            </w:r>
            <w:r w:rsidR="001C037C" w:rsidRPr="001C037C">
              <w:rPr>
                <w:i/>
                <w:noProof/>
                <w:sz w:val="22"/>
                <w:szCs w:val="22"/>
              </w:rPr>
              <w:t xml:space="preserve"> et al.</w:t>
            </w:r>
            <w:r w:rsidR="001C037C">
              <w:rPr>
                <w:noProof/>
                <w:sz w:val="22"/>
                <w:szCs w:val="22"/>
              </w:rPr>
              <w:t>, 2018)</w:t>
            </w:r>
            <w:r w:rsidRPr="008D0183">
              <w:rPr>
                <w:sz w:val="22"/>
                <w:szCs w:val="22"/>
              </w:rPr>
              <w:t xml:space="preserve">. The Tibetan pig is now also being farmed in low land areas, providing an ideal comparator for identifying epigenetic markers </w:t>
            </w:r>
            <w:r w:rsidR="00B3679E">
              <w:rPr>
                <w:sz w:val="22"/>
                <w:szCs w:val="22"/>
              </w:rPr>
              <w:t>associated with</w:t>
            </w:r>
            <w:r w:rsidRPr="008D0183">
              <w:rPr>
                <w:sz w:val="22"/>
                <w:szCs w:val="22"/>
              </w:rPr>
              <w:t xml:space="preserve"> acclimation to relative hyperoxic conditions. The methylation status of genes in the genomes of pigs reared at different elevations was determined using bisulphite DNA sequencing identifying genes related to hypoxia, oxygen transport and energy metabolism associated with significantly different expression levels </w:t>
            </w:r>
            <w:r w:rsidR="001C037C">
              <w:rPr>
                <w:noProof/>
                <w:sz w:val="22"/>
                <w:szCs w:val="22"/>
              </w:rPr>
              <w:t>(Jin</w:t>
            </w:r>
            <w:r w:rsidR="001C037C" w:rsidRPr="001C037C">
              <w:rPr>
                <w:i/>
                <w:noProof/>
                <w:sz w:val="22"/>
                <w:szCs w:val="22"/>
              </w:rPr>
              <w:t xml:space="preserve"> et al.</w:t>
            </w:r>
            <w:r w:rsidR="001C037C">
              <w:rPr>
                <w:noProof/>
                <w:sz w:val="22"/>
                <w:szCs w:val="22"/>
              </w:rPr>
              <w:t>, 2018)</w:t>
            </w:r>
            <w:r w:rsidRPr="008D0183">
              <w:rPr>
                <w:sz w:val="22"/>
                <w:szCs w:val="22"/>
              </w:rPr>
              <w:t>.</w:t>
            </w:r>
          </w:p>
        </w:tc>
      </w:tr>
    </w:tbl>
    <w:p w14:paraId="09ADF9E6" w14:textId="77777777" w:rsidR="00621291" w:rsidRPr="00BB430C" w:rsidRDefault="00621291" w:rsidP="00621291">
      <w:pPr>
        <w:rPr>
          <w:sz w:val="22"/>
          <w:szCs w:val="22"/>
          <w:lang w:val="mi-NZ"/>
        </w:rPr>
      </w:pPr>
      <w:bookmarkStart w:id="7" w:name="_Toc374968956"/>
    </w:p>
    <w:tbl>
      <w:tblPr>
        <w:tblStyle w:val="TableGrid"/>
        <w:tblW w:w="0" w:type="auto"/>
        <w:tblLook w:val="04A0" w:firstRow="1" w:lastRow="0" w:firstColumn="1" w:lastColumn="0" w:noHBand="0" w:noVBand="1"/>
      </w:tblPr>
      <w:tblGrid>
        <w:gridCol w:w="5354"/>
      </w:tblGrid>
      <w:tr w:rsidR="00B871D1" w14:paraId="4BAA13F8" w14:textId="77777777" w:rsidTr="00B871D1">
        <w:tc>
          <w:tcPr>
            <w:tcW w:w="5354" w:type="dxa"/>
            <w:tcBorders>
              <w:top w:val="nil"/>
              <w:left w:val="nil"/>
              <w:bottom w:val="nil"/>
              <w:right w:val="nil"/>
            </w:tcBorders>
          </w:tcPr>
          <w:p w14:paraId="7258971C" w14:textId="77777777" w:rsidR="00B871D1" w:rsidRPr="00B871D1" w:rsidRDefault="00B871D1" w:rsidP="00F70E00">
            <w:pPr>
              <w:pStyle w:val="Heading4"/>
              <w:spacing w:before="120" w:after="120"/>
              <w:ind w:left="33"/>
              <w:outlineLvl w:val="3"/>
              <w:rPr>
                <w:rFonts w:ascii="Times New Roman" w:eastAsia="Times New Roman" w:hAnsi="Times New Roman" w:cs="Times New Roman"/>
                <w:b/>
                <w:i w:val="0"/>
                <w:iCs w:val="0"/>
                <w:noProof/>
                <w:color w:val="auto"/>
                <w:sz w:val="22"/>
                <w:szCs w:val="22"/>
              </w:rPr>
            </w:pPr>
            <w:r>
              <w:rPr>
                <w:rFonts w:ascii="Times New Roman" w:eastAsia="Times New Roman" w:hAnsi="Times New Roman" w:cs="Times New Roman"/>
                <w:b/>
                <w:i w:val="0"/>
                <w:iCs w:val="0"/>
                <w:noProof/>
                <w:color w:val="auto"/>
                <w:szCs w:val="22"/>
                <w:lang w:val="mi-NZ"/>
              </w:rPr>
              <w:lastRenderedPageBreak/>
              <w:t xml:space="preserve">Table </w:t>
            </w:r>
            <w:r w:rsidR="00F70E00">
              <w:rPr>
                <w:rFonts w:ascii="Times New Roman" w:eastAsia="Times New Roman" w:hAnsi="Times New Roman" w:cs="Times New Roman"/>
                <w:b/>
                <w:i w:val="0"/>
                <w:iCs w:val="0"/>
                <w:noProof/>
                <w:color w:val="auto"/>
                <w:szCs w:val="22"/>
                <w:lang w:val="mi-NZ"/>
              </w:rPr>
              <w:t>I.1</w:t>
            </w:r>
            <w:r>
              <w:rPr>
                <w:rFonts w:ascii="Times New Roman" w:eastAsia="Times New Roman" w:hAnsi="Times New Roman" w:cs="Times New Roman"/>
                <w:b/>
                <w:i w:val="0"/>
                <w:iCs w:val="0"/>
                <w:noProof/>
                <w:color w:val="auto"/>
                <w:szCs w:val="22"/>
                <w:lang w:val="mi-NZ"/>
              </w:rPr>
              <w:t xml:space="preserve">: </w:t>
            </w:r>
            <w:r w:rsidRPr="00B871D1">
              <w:rPr>
                <w:rFonts w:ascii="Times New Roman" w:eastAsia="Times New Roman" w:hAnsi="Times New Roman" w:cs="Times New Roman"/>
                <w:b/>
                <w:i w:val="0"/>
                <w:iCs w:val="0"/>
                <w:noProof/>
                <w:color w:val="auto"/>
                <w:szCs w:val="22"/>
                <w:lang w:val="mi-NZ"/>
              </w:rPr>
              <w:t>NAR Database Summary Paper Category List</w:t>
            </w:r>
          </w:p>
        </w:tc>
      </w:tr>
      <w:tr w:rsidR="00B871D1" w14:paraId="0D103380" w14:textId="77777777" w:rsidTr="00B871D1">
        <w:tc>
          <w:tcPr>
            <w:tcW w:w="5354" w:type="dxa"/>
          </w:tcPr>
          <w:p w14:paraId="56CCE23D" w14:textId="77777777" w:rsidR="00B871D1" w:rsidRDefault="00B871D1" w:rsidP="00705DAE">
            <w:pPr>
              <w:pStyle w:val="Heading4"/>
              <w:spacing w:before="120" w:after="120"/>
              <w:ind w:left="33"/>
              <w:outlineLvl w:val="3"/>
              <w:rPr>
                <w:rFonts w:ascii="Times New Roman" w:eastAsia="Times New Roman" w:hAnsi="Times New Roman" w:cs="Times New Roman"/>
                <w:i w:val="0"/>
                <w:iCs w:val="0"/>
                <w:noProof/>
                <w:color w:val="auto"/>
                <w:sz w:val="22"/>
                <w:szCs w:val="22"/>
              </w:rPr>
            </w:pPr>
            <w:r w:rsidRPr="00B871D1">
              <w:rPr>
                <w:rFonts w:ascii="Times New Roman" w:eastAsia="Times New Roman" w:hAnsi="Times New Roman" w:cs="Times New Roman"/>
                <w:i w:val="0"/>
                <w:iCs w:val="0"/>
                <w:noProof/>
                <w:color w:val="auto"/>
                <w:sz w:val="22"/>
                <w:szCs w:val="22"/>
                <w:lang w:val="mi-NZ"/>
              </w:rPr>
              <w:t xml:space="preserve">Nucleotide </w:t>
            </w:r>
            <w:r w:rsidR="00BF7EB3">
              <w:rPr>
                <w:rFonts w:ascii="Times New Roman" w:eastAsia="Times New Roman" w:hAnsi="Times New Roman" w:cs="Times New Roman"/>
                <w:i w:val="0"/>
                <w:iCs w:val="0"/>
                <w:noProof/>
                <w:color w:val="auto"/>
                <w:sz w:val="22"/>
                <w:szCs w:val="22"/>
                <w:lang w:val="mi-NZ"/>
              </w:rPr>
              <w:t>s</w:t>
            </w:r>
            <w:r w:rsidRPr="00B871D1">
              <w:rPr>
                <w:rFonts w:ascii="Times New Roman" w:eastAsia="Times New Roman" w:hAnsi="Times New Roman" w:cs="Times New Roman"/>
                <w:i w:val="0"/>
                <w:iCs w:val="0"/>
                <w:noProof/>
                <w:color w:val="auto"/>
                <w:sz w:val="22"/>
                <w:szCs w:val="22"/>
                <w:lang w:val="mi-NZ"/>
              </w:rPr>
              <w:t xml:space="preserve">equence </w:t>
            </w:r>
            <w:r w:rsidR="00BF7EB3">
              <w:rPr>
                <w:rFonts w:ascii="Times New Roman" w:eastAsia="Times New Roman" w:hAnsi="Times New Roman" w:cs="Times New Roman"/>
                <w:i w:val="0"/>
                <w:iCs w:val="0"/>
                <w:noProof/>
                <w:color w:val="auto"/>
                <w:sz w:val="22"/>
                <w:szCs w:val="22"/>
                <w:lang w:val="mi-NZ"/>
              </w:rPr>
              <w:t>d</w:t>
            </w:r>
            <w:r w:rsidRPr="00B871D1">
              <w:rPr>
                <w:rFonts w:ascii="Times New Roman" w:eastAsia="Times New Roman" w:hAnsi="Times New Roman" w:cs="Times New Roman"/>
                <w:i w:val="0"/>
                <w:iCs w:val="0"/>
                <w:noProof/>
                <w:color w:val="auto"/>
                <w:sz w:val="22"/>
                <w:szCs w:val="22"/>
                <w:lang w:val="mi-NZ"/>
              </w:rPr>
              <w:t>atabases</w:t>
            </w:r>
          </w:p>
        </w:tc>
      </w:tr>
      <w:tr w:rsidR="00B871D1" w14:paraId="782132BE" w14:textId="77777777" w:rsidTr="00B871D1">
        <w:tc>
          <w:tcPr>
            <w:tcW w:w="5354" w:type="dxa"/>
          </w:tcPr>
          <w:p w14:paraId="41947A36" w14:textId="77777777" w:rsidR="00B871D1" w:rsidRDefault="00B871D1" w:rsidP="00705DAE">
            <w:pPr>
              <w:pStyle w:val="Heading4"/>
              <w:spacing w:before="120" w:after="120"/>
              <w:ind w:left="33"/>
              <w:outlineLvl w:val="3"/>
              <w:rPr>
                <w:rFonts w:ascii="Times New Roman" w:eastAsia="Times New Roman" w:hAnsi="Times New Roman" w:cs="Times New Roman"/>
                <w:i w:val="0"/>
                <w:iCs w:val="0"/>
                <w:noProof/>
                <w:color w:val="auto"/>
                <w:sz w:val="22"/>
                <w:szCs w:val="22"/>
              </w:rPr>
            </w:pPr>
            <w:r w:rsidRPr="00B871D1">
              <w:rPr>
                <w:rFonts w:ascii="Times New Roman" w:eastAsia="Times New Roman" w:hAnsi="Times New Roman" w:cs="Times New Roman"/>
                <w:i w:val="0"/>
                <w:iCs w:val="0"/>
                <w:noProof/>
                <w:color w:val="auto"/>
                <w:sz w:val="22"/>
                <w:szCs w:val="22"/>
                <w:lang w:val="mi-NZ"/>
              </w:rPr>
              <w:t>RNA sequence databases</w:t>
            </w:r>
          </w:p>
        </w:tc>
      </w:tr>
      <w:tr w:rsidR="00B871D1" w14:paraId="44B4A732" w14:textId="77777777" w:rsidTr="00B871D1">
        <w:tc>
          <w:tcPr>
            <w:tcW w:w="5354" w:type="dxa"/>
          </w:tcPr>
          <w:p w14:paraId="2CA4AE04" w14:textId="77777777" w:rsidR="00B871D1" w:rsidRDefault="00B871D1" w:rsidP="00705DAE">
            <w:pPr>
              <w:pStyle w:val="Heading4"/>
              <w:spacing w:before="120" w:after="120"/>
              <w:ind w:left="33"/>
              <w:outlineLvl w:val="3"/>
              <w:rPr>
                <w:rFonts w:ascii="Times New Roman" w:eastAsia="Times New Roman" w:hAnsi="Times New Roman" w:cs="Times New Roman"/>
                <w:i w:val="0"/>
                <w:iCs w:val="0"/>
                <w:noProof/>
                <w:color w:val="auto"/>
                <w:sz w:val="22"/>
                <w:szCs w:val="22"/>
              </w:rPr>
            </w:pPr>
            <w:r w:rsidRPr="00B871D1">
              <w:rPr>
                <w:rFonts w:ascii="Times New Roman" w:eastAsia="Times New Roman" w:hAnsi="Times New Roman" w:cs="Times New Roman"/>
                <w:i w:val="0"/>
                <w:iCs w:val="0"/>
                <w:noProof/>
                <w:color w:val="auto"/>
                <w:sz w:val="22"/>
                <w:szCs w:val="22"/>
                <w:lang w:val="mi-NZ"/>
              </w:rPr>
              <w:t>Protein sequence databases</w:t>
            </w:r>
          </w:p>
        </w:tc>
      </w:tr>
      <w:tr w:rsidR="00B871D1" w14:paraId="5EEB42D2" w14:textId="77777777" w:rsidTr="00B871D1">
        <w:tc>
          <w:tcPr>
            <w:tcW w:w="5354" w:type="dxa"/>
          </w:tcPr>
          <w:p w14:paraId="617EF78A" w14:textId="77777777" w:rsidR="00B871D1" w:rsidRDefault="00B871D1" w:rsidP="00BF7EB3">
            <w:pPr>
              <w:pStyle w:val="Heading4"/>
              <w:spacing w:before="120" w:after="120"/>
              <w:ind w:left="33"/>
              <w:outlineLvl w:val="3"/>
              <w:rPr>
                <w:rFonts w:ascii="Times New Roman" w:eastAsia="Times New Roman" w:hAnsi="Times New Roman" w:cs="Times New Roman"/>
                <w:i w:val="0"/>
                <w:iCs w:val="0"/>
                <w:noProof/>
                <w:color w:val="auto"/>
                <w:sz w:val="22"/>
                <w:szCs w:val="22"/>
              </w:rPr>
            </w:pPr>
            <w:r w:rsidRPr="00B871D1">
              <w:rPr>
                <w:rFonts w:ascii="Times New Roman" w:eastAsia="Times New Roman" w:hAnsi="Times New Roman" w:cs="Times New Roman"/>
                <w:i w:val="0"/>
                <w:iCs w:val="0"/>
                <w:noProof/>
                <w:color w:val="auto"/>
                <w:sz w:val="22"/>
                <w:szCs w:val="22"/>
                <w:lang w:val="mi-NZ"/>
              </w:rPr>
              <w:t xml:space="preserve">Structure </w:t>
            </w:r>
            <w:r w:rsidR="00BF7EB3">
              <w:rPr>
                <w:rFonts w:ascii="Times New Roman" w:eastAsia="Times New Roman" w:hAnsi="Times New Roman" w:cs="Times New Roman"/>
                <w:i w:val="0"/>
                <w:iCs w:val="0"/>
                <w:noProof/>
                <w:color w:val="auto"/>
                <w:sz w:val="22"/>
                <w:szCs w:val="22"/>
                <w:lang w:val="mi-NZ"/>
              </w:rPr>
              <w:t>d</w:t>
            </w:r>
            <w:r w:rsidR="00BF7EB3" w:rsidRPr="00B871D1">
              <w:rPr>
                <w:rFonts w:ascii="Times New Roman" w:eastAsia="Times New Roman" w:hAnsi="Times New Roman" w:cs="Times New Roman"/>
                <w:i w:val="0"/>
                <w:iCs w:val="0"/>
                <w:noProof/>
                <w:color w:val="auto"/>
                <w:sz w:val="22"/>
                <w:szCs w:val="22"/>
                <w:lang w:val="mi-NZ"/>
              </w:rPr>
              <w:t>atabases</w:t>
            </w:r>
          </w:p>
        </w:tc>
      </w:tr>
      <w:tr w:rsidR="00B871D1" w14:paraId="0538239A" w14:textId="77777777" w:rsidTr="00B871D1">
        <w:tc>
          <w:tcPr>
            <w:tcW w:w="5354" w:type="dxa"/>
          </w:tcPr>
          <w:p w14:paraId="026F5C64" w14:textId="77777777" w:rsidR="00B871D1" w:rsidRPr="00B871D1" w:rsidRDefault="00B871D1" w:rsidP="00BF7EB3">
            <w:pPr>
              <w:pStyle w:val="Heading4"/>
              <w:spacing w:before="120" w:after="120"/>
              <w:ind w:left="33"/>
              <w:outlineLvl w:val="3"/>
              <w:rPr>
                <w:rFonts w:ascii="Times New Roman" w:eastAsia="Times New Roman" w:hAnsi="Times New Roman" w:cs="Times New Roman"/>
                <w:i w:val="0"/>
                <w:iCs w:val="0"/>
                <w:noProof/>
                <w:color w:val="auto"/>
                <w:sz w:val="22"/>
                <w:szCs w:val="22"/>
                <w:lang w:val="mi-NZ"/>
              </w:rPr>
            </w:pPr>
            <w:r w:rsidRPr="00B871D1">
              <w:rPr>
                <w:rFonts w:ascii="Times New Roman" w:eastAsia="Times New Roman" w:hAnsi="Times New Roman" w:cs="Times New Roman"/>
                <w:i w:val="0"/>
                <w:iCs w:val="0"/>
                <w:noProof/>
                <w:color w:val="auto"/>
                <w:sz w:val="22"/>
                <w:szCs w:val="22"/>
                <w:lang w:val="mi-NZ"/>
              </w:rPr>
              <w:t xml:space="preserve">Genomics </w:t>
            </w:r>
            <w:r w:rsidR="00BF7EB3">
              <w:rPr>
                <w:rFonts w:ascii="Times New Roman" w:eastAsia="Times New Roman" w:hAnsi="Times New Roman" w:cs="Times New Roman"/>
                <w:i w:val="0"/>
                <w:iCs w:val="0"/>
                <w:noProof/>
                <w:color w:val="auto"/>
                <w:sz w:val="22"/>
                <w:szCs w:val="22"/>
                <w:lang w:val="mi-NZ"/>
              </w:rPr>
              <w:t>d</w:t>
            </w:r>
            <w:r w:rsidR="00BF7EB3" w:rsidRPr="00B871D1">
              <w:rPr>
                <w:rFonts w:ascii="Times New Roman" w:eastAsia="Times New Roman" w:hAnsi="Times New Roman" w:cs="Times New Roman"/>
                <w:i w:val="0"/>
                <w:iCs w:val="0"/>
                <w:noProof/>
                <w:color w:val="auto"/>
                <w:sz w:val="22"/>
                <w:szCs w:val="22"/>
                <w:lang w:val="mi-NZ"/>
              </w:rPr>
              <w:t xml:space="preserve">atabases </w:t>
            </w:r>
            <w:r w:rsidRPr="00B871D1">
              <w:rPr>
                <w:rFonts w:ascii="Times New Roman" w:eastAsia="Times New Roman" w:hAnsi="Times New Roman" w:cs="Times New Roman"/>
                <w:i w:val="0"/>
                <w:iCs w:val="0"/>
                <w:noProof/>
                <w:color w:val="auto"/>
                <w:sz w:val="22"/>
                <w:szCs w:val="22"/>
                <w:lang w:val="mi-NZ"/>
              </w:rPr>
              <w:t>(non-vertebrate)</w:t>
            </w:r>
          </w:p>
        </w:tc>
      </w:tr>
      <w:tr w:rsidR="00B871D1" w14:paraId="6CB6933C" w14:textId="77777777" w:rsidTr="00B871D1">
        <w:tc>
          <w:tcPr>
            <w:tcW w:w="5354" w:type="dxa"/>
          </w:tcPr>
          <w:p w14:paraId="55BA720F" w14:textId="77777777" w:rsidR="00B871D1" w:rsidRPr="00B871D1" w:rsidRDefault="00B871D1" w:rsidP="00705DAE">
            <w:pPr>
              <w:pStyle w:val="Heading4"/>
              <w:spacing w:before="120" w:after="120"/>
              <w:ind w:left="33"/>
              <w:outlineLvl w:val="3"/>
              <w:rPr>
                <w:rFonts w:ascii="Times New Roman" w:eastAsia="Times New Roman" w:hAnsi="Times New Roman" w:cs="Times New Roman"/>
                <w:i w:val="0"/>
                <w:iCs w:val="0"/>
                <w:noProof/>
                <w:color w:val="auto"/>
                <w:sz w:val="22"/>
                <w:szCs w:val="22"/>
                <w:lang w:val="mi-NZ"/>
              </w:rPr>
            </w:pPr>
            <w:r w:rsidRPr="00B871D1">
              <w:rPr>
                <w:rFonts w:ascii="Times New Roman" w:eastAsia="Times New Roman" w:hAnsi="Times New Roman" w:cs="Times New Roman"/>
                <w:i w:val="0"/>
                <w:iCs w:val="0"/>
                <w:noProof/>
                <w:color w:val="auto"/>
                <w:sz w:val="22"/>
                <w:szCs w:val="22"/>
                <w:lang w:val="mi-NZ"/>
              </w:rPr>
              <w:t xml:space="preserve">Metabolic and </w:t>
            </w:r>
            <w:r w:rsidR="00BF7EB3">
              <w:rPr>
                <w:rFonts w:ascii="Times New Roman" w:eastAsia="Times New Roman" w:hAnsi="Times New Roman" w:cs="Times New Roman"/>
                <w:i w:val="0"/>
                <w:iCs w:val="0"/>
                <w:noProof/>
                <w:color w:val="auto"/>
                <w:sz w:val="22"/>
                <w:szCs w:val="22"/>
                <w:lang w:val="mi-NZ"/>
              </w:rPr>
              <w:t>s</w:t>
            </w:r>
            <w:r w:rsidRPr="00B871D1">
              <w:rPr>
                <w:rFonts w:ascii="Times New Roman" w:eastAsia="Times New Roman" w:hAnsi="Times New Roman" w:cs="Times New Roman"/>
                <w:i w:val="0"/>
                <w:iCs w:val="0"/>
                <w:noProof/>
                <w:color w:val="auto"/>
                <w:sz w:val="22"/>
                <w:szCs w:val="22"/>
                <w:lang w:val="mi-NZ"/>
              </w:rPr>
              <w:t xml:space="preserve">ignaling </w:t>
            </w:r>
            <w:r w:rsidR="00BF7EB3">
              <w:rPr>
                <w:rFonts w:ascii="Times New Roman" w:eastAsia="Times New Roman" w:hAnsi="Times New Roman" w:cs="Times New Roman"/>
                <w:i w:val="0"/>
                <w:iCs w:val="0"/>
                <w:noProof/>
                <w:color w:val="auto"/>
                <w:sz w:val="22"/>
                <w:szCs w:val="22"/>
                <w:lang w:val="mi-NZ"/>
              </w:rPr>
              <w:t>p</w:t>
            </w:r>
            <w:r w:rsidRPr="00B871D1">
              <w:rPr>
                <w:rFonts w:ascii="Times New Roman" w:eastAsia="Times New Roman" w:hAnsi="Times New Roman" w:cs="Times New Roman"/>
                <w:i w:val="0"/>
                <w:iCs w:val="0"/>
                <w:noProof/>
                <w:color w:val="auto"/>
                <w:sz w:val="22"/>
                <w:szCs w:val="22"/>
                <w:lang w:val="mi-NZ"/>
              </w:rPr>
              <w:t>athways</w:t>
            </w:r>
          </w:p>
        </w:tc>
      </w:tr>
      <w:tr w:rsidR="00B871D1" w14:paraId="09117D94" w14:textId="77777777" w:rsidTr="00B871D1">
        <w:tc>
          <w:tcPr>
            <w:tcW w:w="5354" w:type="dxa"/>
          </w:tcPr>
          <w:p w14:paraId="333B67FF" w14:textId="77777777" w:rsidR="00B871D1" w:rsidRPr="00B871D1" w:rsidRDefault="00B871D1" w:rsidP="00BF7EB3">
            <w:pPr>
              <w:pStyle w:val="Heading4"/>
              <w:spacing w:before="120" w:after="120"/>
              <w:ind w:left="33"/>
              <w:outlineLvl w:val="3"/>
              <w:rPr>
                <w:rFonts w:ascii="Times New Roman" w:eastAsia="Times New Roman" w:hAnsi="Times New Roman" w:cs="Times New Roman"/>
                <w:i w:val="0"/>
                <w:iCs w:val="0"/>
                <w:noProof/>
                <w:color w:val="auto"/>
                <w:sz w:val="22"/>
                <w:szCs w:val="22"/>
                <w:lang w:val="mi-NZ"/>
              </w:rPr>
            </w:pPr>
            <w:r w:rsidRPr="00B871D1">
              <w:rPr>
                <w:rFonts w:ascii="Times New Roman" w:eastAsia="Times New Roman" w:hAnsi="Times New Roman" w:cs="Times New Roman"/>
                <w:i w:val="0"/>
                <w:iCs w:val="0"/>
                <w:noProof/>
                <w:color w:val="auto"/>
                <w:sz w:val="22"/>
                <w:szCs w:val="22"/>
                <w:lang w:val="mi-NZ"/>
              </w:rPr>
              <w:t xml:space="preserve">Human and other </w:t>
            </w:r>
            <w:r w:rsidR="00BF7EB3">
              <w:rPr>
                <w:rFonts w:ascii="Times New Roman" w:eastAsia="Times New Roman" w:hAnsi="Times New Roman" w:cs="Times New Roman"/>
                <w:i w:val="0"/>
                <w:iCs w:val="0"/>
                <w:noProof/>
                <w:color w:val="auto"/>
                <w:sz w:val="22"/>
                <w:szCs w:val="22"/>
                <w:lang w:val="mi-NZ"/>
              </w:rPr>
              <w:t>v</w:t>
            </w:r>
            <w:r w:rsidRPr="00B871D1">
              <w:rPr>
                <w:rFonts w:ascii="Times New Roman" w:eastAsia="Times New Roman" w:hAnsi="Times New Roman" w:cs="Times New Roman"/>
                <w:i w:val="0"/>
                <w:iCs w:val="0"/>
                <w:noProof/>
                <w:color w:val="auto"/>
                <w:sz w:val="22"/>
                <w:szCs w:val="22"/>
                <w:lang w:val="mi-NZ"/>
              </w:rPr>
              <w:t xml:space="preserve">ertebrate </w:t>
            </w:r>
            <w:r w:rsidR="00BF7EB3">
              <w:rPr>
                <w:rFonts w:ascii="Times New Roman" w:eastAsia="Times New Roman" w:hAnsi="Times New Roman" w:cs="Times New Roman"/>
                <w:i w:val="0"/>
                <w:iCs w:val="0"/>
                <w:noProof/>
                <w:color w:val="auto"/>
                <w:sz w:val="22"/>
                <w:szCs w:val="22"/>
                <w:lang w:val="mi-NZ"/>
              </w:rPr>
              <w:t>g</w:t>
            </w:r>
            <w:r w:rsidR="00BF7EB3" w:rsidRPr="00B871D1">
              <w:rPr>
                <w:rFonts w:ascii="Times New Roman" w:eastAsia="Times New Roman" w:hAnsi="Times New Roman" w:cs="Times New Roman"/>
                <w:i w:val="0"/>
                <w:iCs w:val="0"/>
                <w:noProof/>
                <w:color w:val="auto"/>
                <w:sz w:val="22"/>
                <w:szCs w:val="22"/>
                <w:lang w:val="mi-NZ"/>
              </w:rPr>
              <w:t>enomes</w:t>
            </w:r>
          </w:p>
        </w:tc>
      </w:tr>
      <w:tr w:rsidR="00B871D1" w14:paraId="6E712699" w14:textId="77777777" w:rsidTr="00B871D1">
        <w:tc>
          <w:tcPr>
            <w:tcW w:w="5354" w:type="dxa"/>
          </w:tcPr>
          <w:p w14:paraId="7F0B455E" w14:textId="77777777" w:rsidR="00B871D1" w:rsidRPr="00B871D1" w:rsidRDefault="00B871D1" w:rsidP="00BF7EB3">
            <w:pPr>
              <w:pStyle w:val="Heading4"/>
              <w:spacing w:before="120" w:after="120"/>
              <w:ind w:left="33"/>
              <w:outlineLvl w:val="3"/>
              <w:rPr>
                <w:rFonts w:ascii="Times New Roman" w:eastAsia="Times New Roman" w:hAnsi="Times New Roman" w:cs="Times New Roman"/>
                <w:i w:val="0"/>
                <w:iCs w:val="0"/>
                <w:noProof/>
                <w:color w:val="auto"/>
                <w:sz w:val="22"/>
                <w:szCs w:val="22"/>
                <w:lang w:val="mi-NZ"/>
              </w:rPr>
            </w:pPr>
            <w:r w:rsidRPr="00B871D1">
              <w:rPr>
                <w:rFonts w:ascii="Times New Roman" w:eastAsia="Times New Roman" w:hAnsi="Times New Roman" w:cs="Times New Roman"/>
                <w:i w:val="0"/>
                <w:iCs w:val="0"/>
                <w:noProof/>
                <w:color w:val="auto"/>
                <w:sz w:val="22"/>
                <w:szCs w:val="22"/>
                <w:lang w:val="mi-NZ"/>
              </w:rPr>
              <w:t xml:space="preserve">Human </w:t>
            </w:r>
            <w:r w:rsidR="00BF7EB3">
              <w:rPr>
                <w:rFonts w:ascii="Times New Roman" w:eastAsia="Times New Roman" w:hAnsi="Times New Roman" w:cs="Times New Roman"/>
                <w:i w:val="0"/>
                <w:iCs w:val="0"/>
                <w:noProof/>
                <w:color w:val="auto"/>
                <w:sz w:val="22"/>
                <w:szCs w:val="22"/>
                <w:lang w:val="mi-NZ"/>
              </w:rPr>
              <w:t>g</w:t>
            </w:r>
            <w:r w:rsidR="00BF7EB3" w:rsidRPr="00B871D1">
              <w:rPr>
                <w:rFonts w:ascii="Times New Roman" w:eastAsia="Times New Roman" w:hAnsi="Times New Roman" w:cs="Times New Roman"/>
                <w:i w:val="0"/>
                <w:iCs w:val="0"/>
                <w:noProof/>
                <w:color w:val="auto"/>
                <w:sz w:val="22"/>
                <w:szCs w:val="22"/>
                <w:lang w:val="mi-NZ"/>
              </w:rPr>
              <w:t xml:space="preserve">enes </w:t>
            </w:r>
            <w:r w:rsidRPr="00B871D1">
              <w:rPr>
                <w:rFonts w:ascii="Times New Roman" w:eastAsia="Times New Roman" w:hAnsi="Times New Roman" w:cs="Times New Roman"/>
                <w:i w:val="0"/>
                <w:iCs w:val="0"/>
                <w:noProof/>
                <w:color w:val="auto"/>
                <w:sz w:val="22"/>
                <w:szCs w:val="22"/>
                <w:lang w:val="mi-NZ"/>
              </w:rPr>
              <w:t xml:space="preserve">and </w:t>
            </w:r>
            <w:r w:rsidR="00BF7EB3">
              <w:rPr>
                <w:rFonts w:ascii="Times New Roman" w:eastAsia="Times New Roman" w:hAnsi="Times New Roman" w:cs="Times New Roman"/>
                <w:i w:val="0"/>
                <w:iCs w:val="0"/>
                <w:noProof/>
                <w:color w:val="auto"/>
                <w:sz w:val="22"/>
                <w:szCs w:val="22"/>
                <w:lang w:val="mi-NZ"/>
              </w:rPr>
              <w:t>d</w:t>
            </w:r>
            <w:r w:rsidR="00BF7EB3" w:rsidRPr="00B871D1">
              <w:rPr>
                <w:rFonts w:ascii="Times New Roman" w:eastAsia="Times New Roman" w:hAnsi="Times New Roman" w:cs="Times New Roman"/>
                <w:i w:val="0"/>
                <w:iCs w:val="0"/>
                <w:noProof/>
                <w:color w:val="auto"/>
                <w:sz w:val="22"/>
                <w:szCs w:val="22"/>
                <w:lang w:val="mi-NZ"/>
              </w:rPr>
              <w:t>iseases</w:t>
            </w:r>
          </w:p>
        </w:tc>
      </w:tr>
      <w:tr w:rsidR="00B871D1" w14:paraId="6622A193" w14:textId="77777777" w:rsidTr="00B871D1">
        <w:tc>
          <w:tcPr>
            <w:tcW w:w="5354" w:type="dxa"/>
          </w:tcPr>
          <w:p w14:paraId="05E2BABD" w14:textId="77777777" w:rsidR="00B871D1" w:rsidRPr="00B871D1" w:rsidRDefault="00B871D1" w:rsidP="00BF7EB3">
            <w:pPr>
              <w:pStyle w:val="Heading4"/>
              <w:spacing w:before="120" w:after="120"/>
              <w:ind w:left="33"/>
              <w:outlineLvl w:val="3"/>
              <w:rPr>
                <w:rFonts w:ascii="Times New Roman" w:eastAsia="Times New Roman" w:hAnsi="Times New Roman" w:cs="Times New Roman"/>
                <w:i w:val="0"/>
                <w:iCs w:val="0"/>
                <w:noProof/>
                <w:color w:val="auto"/>
                <w:sz w:val="22"/>
                <w:szCs w:val="22"/>
                <w:lang w:val="mi-NZ"/>
              </w:rPr>
            </w:pPr>
            <w:r w:rsidRPr="00B871D1">
              <w:rPr>
                <w:rFonts w:ascii="Times New Roman" w:eastAsia="Times New Roman" w:hAnsi="Times New Roman" w:cs="Times New Roman"/>
                <w:i w:val="0"/>
                <w:iCs w:val="0"/>
                <w:noProof/>
                <w:color w:val="auto"/>
                <w:sz w:val="22"/>
                <w:szCs w:val="22"/>
                <w:lang w:val="mi-NZ"/>
              </w:rPr>
              <w:t xml:space="preserve">Microarray </w:t>
            </w:r>
            <w:r w:rsidR="00BF7EB3">
              <w:rPr>
                <w:rFonts w:ascii="Times New Roman" w:eastAsia="Times New Roman" w:hAnsi="Times New Roman" w:cs="Times New Roman"/>
                <w:i w:val="0"/>
                <w:iCs w:val="0"/>
                <w:noProof/>
                <w:color w:val="auto"/>
                <w:sz w:val="22"/>
                <w:szCs w:val="22"/>
                <w:lang w:val="mi-NZ"/>
              </w:rPr>
              <w:t>d</w:t>
            </w:r>
            <w:r w:rsidR="00BF7EB3" w:rsidRPr="00B871D1">
              <w:rPr>
                <w:rFonts w:ascii="Times New Roman" w:eastAsia="Times New Roman" w:hAnsi="Times New Roman" w:cs="Times New Roman"/>
                <w:i w:val="0"/>
                <w:iCs w:val="0"/>
                <w:noProof/>
                <w:color w:val="auto"/>
                <w:sz w:val="22"/>
                <w:szCs w:val="22"/>
                <w:lang w:val="mi-NZ"/>
              </w:rPr>
              <w:t xml:space="preserve">ata </w:t>
            </w:r>
            <w:r w:rsidRPr="00B871D1">
              <w:rPr>
                <w:rFonts w:ascii="Times New Roman" w:eastAsia="Times New Roman" w:hAnsi="Times New Roman" w:cs="Times New Roman"/>
                <w:i w:val="0"/>
                <w:iCs w:val="0"/>
                <w:noProof/>
                <w:color w:val="auto"/>
                <w:sz w:val="22"/>
                <w:szCs w:val="22"/>
                <w:lang w:val="mi-NZ"/>
              </w:rPr>
              <w:t xml:space="preserve">and other </w:t>
            </w:r>
            <w:r w:rsidR="00BF7EB3">
              <w:rPr>
                <w:rFonts w:ascii="Times New Roman" w:eastAsia="Times New Roman" w:hAnsi="Times New Roman" w:cs="Times New Roman"/>
                <w:i w:val="0"/>
                <w:iCs w:val="0"/>
                <w:noProof/>
                <w:color w:val="auto"/>
                <w:sz w:val="22"/>
                <w:szCs w:val="22"/>
                <w:lang w:val="mi-NZ"/>
              </w:rPr>
              <w:t>g</w:t>
            </w:r>
            <w:r w:rsidR="00BF7EB3" w:rsidRPr="00B871D1">
              <w:rPr>
                <w:rFonts w:ascii="Times New Roman" w:eastAsia="Times New Roman" w:hAnsi="Times New Roman" w:cs="Times New Roman"/>
                <w:i w:val="0"/>
                <w:iCs w:val="0"/>
                <w:noProof/>
                <w:color w:val="auto"/>
                <w:sz w:val="22"/>
                <w:szCs w:val="22"/>
                <w:lang w:val="mi-NZ"/>
              </w:rPr>
              <w:t xml:space="preserve">ene </w:t>
            </w:r>
            <w:r w:rsidR="00BF7EB3">
              <w:rPr>
                <w:rFonts w:ascii="Times New Roman" w:eastAsia="Times New Roman" w:hAnsi="Times New Roman" w:cs="Times New Roman"/>
                <w:i w:val="0"/>
                <w:iCs w:val="0"/>
                <w:noProof/>
                <w:color w:val="auto"/>
                <w:sz w:val="22"/>
                <w:szCs w:val="22"/>
                <w:lang w:val="mi-NZ"/>
              </w:rPr>
              <w:t>e</w:t>
            </w:r>
            <w:r w:rsidR="00BF7EB3" w:rsidRPr="00B871D1">
              <w:rPr>
                <w:rFonts w:ascii="Times New Roman" w:eastAsia="Times New Roman" w:hAnsi="Times New Roman" w:cs="Times New Roman"/>
                <w:i w:val="0"/>
                <w:iCs w:val="0"/>
                <w:noProof/>
                <w:color w:val="auto"/>
                <w:sz w:val="22"/>
                <w:szCs w:val="22"/>
                <w:lang w:val="mi-NZ"/>
              </w:rPr>
              <w:t xml:space="preserve">xpression </w:t>
            </w:r>
            <w:r w:rsidR="00BF7EB3">
              <w:rPr>
                <w:rFonts w:ascii="Times New Roman" w:eastAsia="Times New Roman" w:hAnsi="Times New Roman" w:cs="Times New Roman"/>
                <w:i w:val="0"/>
                <w:iCs w:val="0"/>
                <w:noProof/>
                <w:color w:val="auto"/>
                <w:sz w:val="22"/>
                <w:szCs w:val="22"/>
                <w:lang w:val="mi-NZ"/>
              </w:rPr>
              <w:t>d</w:t>
            </w:r>
            <w:r w:rsidR="00BF7EB3" w:rsidRPr="00B871D1">
              <w:rPr>
                <w:rFonts w:ascii="Times New Roman" w:eastAsia="Times New Roman" w:hAnsi="Times New Roman" w:cs="Times New Roman"/>
                <w:i w:val="0"/>
                <w:iCs w:val="0"/>
                <w:noProof/>
                <w:color w:val="auto"/>
                <w:sz w:val="22"/>
                <w:szCs w:val="22"/>
                <w:lang w:val="mi-NZ"/>
              </w:rPr>
              <w:t>atabases</w:t>
            </w:r>
          </w:p>
        </w:tc>
      </w:tr>
      <w:tr w:rsidR="00B871D1" w14:paraId="0914F595" w14:textId="77777777" w:rsidTr="00B871D1">
        <w:tc>
          <w:tcPr>
            <w:tcW w:w="5354" w:type="dxa"/>
          </w:tcPr>
          <w:p w14:paraId="599D7817" w14:textId="77777777" w:rsidR="00B871D1" w:rsidRPr="00B871D1" w:rsidRDefault="00B871D1" w:rsidP="00BF7EB3">
            <w:pPr>
              <w:pStyle w:val="Heading4"/>
              <w:spacing w:before="120" w:after="120"/>
              <w:ind w:left="33"/>
              <w:outlineLvl w:val="3"/>
              <w:rPr>
                <w:rFonts w:ascii="Times New Roman" w:eastAsia="Times New Roman" w:hAnsi="Times New Roman" w:cs="Times New Roman"/>
                <w:i w:val="0"/>
                <w:iCs w:val="0"/>
                <w:noProof/>
                <w:color w:val="auto"/>
                <w:sz w:val="22"/>
                <w:szCs w:val="22"/>
                <w:lang w:val="mi-NZ"/>
              </w:rPr>
            </w:pPr>
            <w:r w:rsidRPr="00B871D1">
              <w:rPr>
                <w:rFonts w:ascii="Times New Roman" w:eastAsia="Times New Roman" w:hAnsi="Times New Roman" w:cs="Times New Roman"/>
                <w:i w:val="0"/>
                <w:iCs w:val="0"/>
                <w:noProof/>
                <w:color w:val="auto"/>
                <w:sz w:val="22"/>
                <w:szCs w:val="22"/>
                <w:lang w:val="mi-NZ"/>
              </w:rPr>
              <w:t xml:space="preserve">Proteomics </w:t>
            </w:r>
            <w:r w:rsidR="00BF7EB3">
              <w:rPr>
                <w:rFonts w:ascii="Times New Roman" w:eastAsia="Times New Roman" w:hAnsi="Times New Roman" w:cs="Times New Roman"/>
                <w:i w:val="0"/>
                <w:iCs w:val="0"/>
                <w:noProof/>
                <w:color w:val="auto"/>
                <w:sz w:val="22"/>
                <w:szCs w:val="22"/>
                <w:lang w:val="mi-NZ"/>
              </w:rPr>
              <w:t>r</w:t>
            </w:r>
            <w:r w:rsidR="00BF7EB3" w:rsidRPr="00B871D1">
              <w:rPr>
                <w:rFonts w:ascii="Times New Roman" w:eastAsia="Times New Roman" w:hAnsi="Times New Roman" w:cs="Times New Roman"/>
                <w:i w:val="0"/>
                <w:iCs w:val="0"/>
                <w:noProof/>
                <w:color w:val="auto"/>
                <w:sz w:val="22"/>
                <w:szCs w:val="22"/>
                <w:lang w:val="mi-NZ"/>
              </w:rPr>
              <w:t>esources</w:t>
            </w:r>
          </w:p>
        </w:tc>
      </w:tr>
      <w:tr w:rsidR="00B871D1" w14:paraId="0ED298C5" w14:textId="77777777" w:rsidTr="00B871D1">
        <w:tc>
          <w:tcPr>
            <w:tcW w:w="5354" w:type="dxa"/>
          </w:tcPr>
          <w:p w14:paraId="041E05D6" w14:textId="77777777" w:rsidR="00B871D1" w:rsidRPr="00B871D1" w:rsidRDefault="00B871D1" w:rsidP="00BF7EB3">
            <w:pPr>
              <w:pStyle w:val="Heading4"/>
              <w:spacing w:before="120" w:after="120"/>
              <w:ind w:left="33"/>
              <w:outlineLvl w:val="3"/>
              <w:rPr>
                <w:rFonts w:ascii="Times New Roman" w:eastAsia="Times New Roman" w:hAnsi="Times New Roman" w:cs="Times New Roman"/>
                <w:i w:val="0"/>
                <w:iCs w:val="0"/>
                <w:noProof/>
                <w:color w:val="auto"/>
                <w:sz w:val="22"/>
                <w:szCs w:val="22"/>
                <w:lang w:val="mi-NZ"/>
              </w:rPr>
            </w:pPr>
            <w:r w:rsidRPr="00B871D1">
              <w:rPr>
                <w:rFonts w:ascii="Times New Roman" w:eastAsia="Times New Roman" w:hAnsi="Times New Roman" w:cs="Times New Roman"/>
                <w:i w:val="0"/>
                <w:iCs w:val="0"/>
                <w:noProof/>
                <w:color w:val="auto"/>
                <w:sz w:val="22"/>
                <w:szCs w:val="22"/>
                <w:lang w:val="mi-NZ"/>
              </w:rPr>
              <w:t xml:space="preserve">Other </w:t>
            </w:r>
            <w:r w:rsidR="00BF7EB3">
              <w:rPr>
                <w:rFonts w:ascii="Times New Roman" w:eastAsia="Times New Roman" w:hAnsi="Times New Roman" w:cs="Times New Roman"/>
                <w:i w:val="0"/>
                <w:iCs w:val="0"/>
                <w:noProof/>
                <w:color w:val="auto"/>
                <w:sz w:val="22"/>
                <w:szCs w:val="22"/>
                <w:lang w:val="mi-NZ"/>
              </w:rPr>
              <w:t>m</w:t>
            </w:r>
            <w:r w:rsidR="00BF7EB3" w:rsidRPr="00B871D1">
              <w:rPr>
                <w:rFonts w:ascii="Times New Roman" w:eastAsia="Times New Roman" w:hAnsi="Times New Roman" w:cs="Times New Roman"/>
                <w:i w:val="0"/>
                <w:iCs w:val="0"/>
                <w:noProof/>
                <w:color w:val="auto"/>
                <w:sz w:val="22"/>
                <w:szCs w:val="22"/>
                <w:lang w:val="mi-NZ"/>
              </w:rPr>
              <w:t xml:space="preserve">olecular </w:t>
            </w:r>
            <w:r w:rsidR="00BF7EB3">
              <w:rPr>
                <w:rFonts w:ascii="Times New Roman" w:eastAsia="Times New Roman" w:hAnsi="Times New Roman" w:cs="Times New Roman"/>
                <w:i w:val="0"/>
                <w:iCs w:val="0"/>
                <w:noProof/>
                <w:color w:val="auto"/>
                <w:sz w:val="22"/>
                <w:szCs w:val="22"/>
                <w:lang w:val="mi-NZ"/>
              </w:rPr>
              <w:t>b</w:t>
            </w:r>
            <w:r w:rsidR="00BF7EB3" w:rsidRPr="00B871D1">
              <w:rPr>
                <w:rFonts w:ascii="Times New Roman" w:eastAsia="Times New Roman" w:hAnsi="Times New Roman" w:cs="Times New Roman"/>
                <w:i w:val="0"/>
                <w:iCs w:val="0"/>
                <w:noProof/>
                <w:color w:val="auto"/>
                <w:sz w:val="22"/>
                <w:szCs w:val="22"/>
                <w:lang w:val="mi-NZ"/>
              </w:rPr>
              <w:t xml:space="preserve">iology </w:t>
            </w:r>
            <w:r w:rsidR="00BF7EB3">
              <w:rPr>
                <w:rFonts w:ascii="Times New Roman" w:eastAsia="Times New Roman" w:hAnsi="Times New Roman" w:cs="Times New Roman"/>
                <w:i w:val="0"/>
                <w:iCs w:val="0"/>
                <w:noProof/>
                <w:color w:val="auto"/>
                <w:sz w:val="22"/>
                <w:szCs w:val="22"/>
                <w:lang w:val="mi-NZ"/>
              </w:rPr>
              <w:t>d</w:t>
            </w:r>
            <w:r w:rsidR="00BF7EB3" w:rsidRPr="00B871D1">
              <w:rPr>
                <w:rFonts w:ascii="Times New Roman" w:eastAsia="Times New Roman" w:hAnsi="Times New Roman" w:cs="Times New Roman"/>
                <w:i w:val="0"/>
                <w:iCs w:val="0"/>
                <w:noProof/>
                <w:color w:val="auto"/>
                <w:sz w:val="22"/>
                <w:szCs w:val="22"/>
                <w:lang w:val="mi-NZ"/>
              </w:rPr>
              <w:t>atabases</w:t>
            </w:r>
          </w:p>
        </w:tc>
      </w:tr>
      <w:tr w:rsidR="00B871D1" w14:paraId="4335E720" w14:textId="77777777" w:rsidTr="00B871D1">
        <w:tc>
          <w:tcPr>
            <w:tcW w:w="5354" w:type="dxa"/>
          </w:tcPr>
          <w:p w14:paraId="403B6F9E" w14:textId="77777777" w:rsidR="00B871D1" w:rsidRPr="00B871D1" w:rsidRDefault="00B871D1" w:rsidP="00705DAE">
            <w:pPr>
              <w:pStyle w:val="Heading4"/>
              <w:spacing w:before="120" w:after="120"/>
              <w:ind w:left="33"/>
              <w:outlineLvl w:val="3"/>
              <w:rPr>
                <w:rFonts w:ascii="Times New Roman" w:eastAsia="Times New Roman" w:hAnsi="Times New Roman" w:cs="Times New Roman"/>
                <w:i w:val="0"/>
                <w:iCs w:val="0"/>
                <w:noProof/>
                <w:color w:val="auto"/>
                <w:sz w:val="22"/>
                <w:szCs w:val="22"/>
                <w:lang w:val="mi-NZ"/>
              </w:rPr>
            </w:pPr>
            <w:r w:rsidRPr="00B871D1">
              <w:rPr>
                <w:rFonts w:ascii="Times New Roman" w:eastAsia="Times New Roman" w:hAnsi="Times New Roman" w:cs="Times New Roman"/>
                <w:i w:val="0"/>
                <w:iCs w:val="0"/>
                <w:noProof/>
                <w:color w:val="auto"/>
                <w:sz w:val="22"/>
                <w:szCs w:val="22"/>
                <w:lang w:val="mi-NZ"/>
              </w:rPr>
              <w:t>Organelle databases </w:t>
            </w:r>
          </w:p>
        </w:tc>
      </w:tr>
      <w:tr w:rsidR="00B871D1" w14:paraId="790E14F6" w14:textId="77777777" w:rsidTr="00B871D1">
        <w:tc>
          <w:tcPr>
            <w:tcW w:w="5354" w:type="dxa"/>
          </w:tcPr>
          <w:p w14:paraId="05F09198" w14:textId="77777777" w:rsidR="00B871D1" w:rsidRPr="00B871D1" w:rsidRDefault="00B871D1" w:rsidP="00705DAE">
            <w:pPr>
              <w:pStyle w:val="Heading4"/>
              <w:spacing w:before="120" w:after="120"/>
              <w:ind w:left="33"/>
              <w:outlineLvl w:val="3"/>
              <w:rPr>
                <w:rFonts w:ascii="Times New Roman" w:eastAsia="Times New Roman" w:hAnsi="Times New Roman" w:cs="Times New Roman"/>
                <w:i w:val="0"/>
                <w:iCs w:val="0"/>
                <w:noProof/>
                <w:color w:val="auto"/>
                <w:sz w:val="22"/>
                <w:szCs w:val="22"/>
                <w:lang w:val="mi-NZ"/>
              </w:rPr>
            </w:pPr>
            <w:r w:rsidRPr="00B871D1">
              <w:rPr>
                <w:rFonts w:ascii="Times New Roman" w:eastAsia="Times New Roman" w:hAnsi="Times New Roman" w:cs="Times New Roman"/>
                <w:i w:val="0"/>
                <w:iCs w:val="0"/>
                <w:noProof/>
                <w:color w:val="auto"/>
                <w:sz w:val="22"/>
                <w:szCs w:val="22"/>
                <w:lang w:val="mi-NZ"/>
              </w:rPr>
              <w:t>Plant databases</w:t>
            </w:r>
          </w:p>
        </w:tc>
      </w:tr>
      <w:tr w:rsidR="00B871D1" w14:paraId="3C4AB8F7" w14:textId="77777777" w:rsidTr="00B871D1">
        <w:tc>
          <w:tcPr>
            <w:tcW w:w="5354" w:type="dxa"/>
          </w:tcPr>
          <w:p w14:paraId="2C4709AB" w14:textId="77777777" w:rsidR="00B871D1" w:rsidRPr="00B871D1" w:rsidRDefault="00B871D1" w:rsidP="00705DAE">
            <w:pPr>
              <w:pStyle w:val="Heading4"/>
              <w:spacing w:before="120" w:after="120"/>
              <w:ind w:left="33"/>
              <w:outlineLvl w:val="3"/>
              <w:rPr>
                <w:rFonts w:ascii="Times New Roman" w:eastAsia="Times New Roman" w:hAnsi="Times New Roman" w:cs="Times New Roman"/>
                <w:i w:val="0"/>
                <w:iCs w:val="0"/>
                <w:noProof/>
                <w:color w:val="auto"/>
                <w:sz w:val="22"/>
                <w:szCs w:val="22"/>
                <w:lang w:val="mi-NZ"/>
              </w:rPr>
            </w:pPr>
            <w:r w:rsidRPr="00B871D1">
              <w:rPr>
                <w:rFonts w:ascii="Times New Roman" w:eastAsia="Times New Roman" w:hAnsi="Times New Roman" w:cs="Times New Roman"/>
                <w:i w:val="0"/>
                <w:iCs w:val="0"/>
                <w:noProof/>
                <w:color w:val="auto"/>
                <w:sz w:val="22"/>
                <w:szCs w:val="22"/>
                <w:lang w:val="mi-NZ"/>
              </w:rPr>
              <w:t>Immunological databases </w:t>
            </w:r>
          </w:p>
        </w:tc>
      </w:tr>
      <w:tr w:rsidR="00B871D1" w14:paraId="2D0902C5" w14:textId="77777777" w:rsidTr="00B871D1">
        <w:tc>
          <w:tcPr>
            <w:tcW w:w="5354" w:type="dxa"/>
          </w:tcPr>
          <w:p w14:paraId="19A6BF63" w14:textId="77777777" w:rsidR="00B871D1" w:rsidRPr="00B871D1" w:rsidRDefault="00B871D1" w:rsidP="00705DAE">
            <w:pPr>
              <w:pStyle w:val="Heading4"/>
              <w:spacing w:before="120" w:after="120"/>
              <w:ind w:left="33"/>
              <w:outlineLvl w:val="3"/>
              <w:rPr>
                <w:rFonts w:ascii="Times New Roman" w:eastAsia="Times New Roman" w:hAnsi="Times New Roman" w:cs="Times New Roman"/>
                <w:i w:val="0"/>
                <w:iCs w:val="0"/>
                <w:noProof/>
                <w:color w:val="auto"/>
                <w:sz w:val="22"/>
                <w:szCs w:val="22"/>
                <w:lang w:val="mi-NZ"/>
              </w:rPr>
            </w:pPr>
            <w:r w:rsidRPr="00B871D1">
              <w:rPr>
                <w:rFonts w:ascii="Times New Roman" w:eastAsia="Times New Roman" w:hAnsi="Times New Roman" w:cs="Times New Roman"/>
                <w:i w:val="0"/>
                <w:iCs w:val="0"/>
                <w:noProof/>
                <w:color w:val="auto"/>
                <w:sz w:val="22"/>
                <w:szCs w:val="22"/>
                <w:lang w:val="mi-NZ"/>
              </w:rPr>
              <w:t>Cell biology</w:t>
            </w:r>
          </w:p>
        </w:tc>
      </w:tr>
      <w:bookmarkEnd w:id="7"/>
    </w:tbl>
    <w:p w14:paraId="4DBC162F" w14:textId="77777777" w:rsidR="00BD705C" w:rsidRPr="00BB430C" w:rsidRDefault="00BD705C" w:rsidP="00DB04CA">
      <w:pPr>
        <w:pStyle w:val="ListParagraph"/>
        <w:spacing w:before="120" w:after="120"/>
        <w:ind w:left="0"/>
        <w:contextualSpacing w:val="0"/>
        <w:rPr>
          <w:sz w:val="22"/>
          <w:szCs w:val="22"/>
        </w:rPr>
      </w:pPr>
    </w:p>
    <w:p w14:paraId="43ABE204" w14:textId="77777777" w:rsidR="00BD705C" w:rsidRPr="00BB430C" w:rsidRDefault="007477C6" w:rsidP="00DB04CA">
      <w:pPr>
        <w:pStyle w:val="Heading4"/>
        <w:spacing w:before="120" w:after="120"/>
        <w:rPr>
          <w:rFonts w:ascii="Times New Roman" w:eastAsia="Times New Roman" w:hAnsi="Times New Roman" w:cs="Times New Roman"/>
          <w:iCs w:val="0"/>
          <w:noProof/>
          <w:color w:val="auto"/>
          <w:sz w:val="22"/>
          <w:szCs w:val="22"/>
        </w:rPr>
      </w:pPr>
      <w:bookmarkStart w:id="8" w:name="_Toc374968957"/>
      <w:r w:rsidRPr="00BB430C">
        <w:rPr>
          <w:rFonts w:ascii="Times New Roman" w:eastAsia="Times New Roman" w:hAnsi="Times New Roman" w:cs="Times New Roman"/>
          <w:iCs w:val="0"/>
          <w:noProof/>
          <w:color w:val="auto"/>
          <w:sz w:val="22"/>
          <w:szCs w:val="22"/>
        </w:rPr>
        <w:t>2</w:t>
      </w:r>
      <w:r w:rsidR="00582928" w:rsidRPr="00BB430C">
        <w:rPr>
          <w:rFonts w:ascii="Times New Roman" w:eastAsia="Times New Roman" w:hAnsi="Times New Roman" w:cs="Times New Roman"/>
          <w:iCs w:val="0"/>
          <w:noProof/>
          <w:color w:val="auto"/>
          <w:sz w:val="22"/>
          <w:szCs w:val="22"/>
        </w:rPr>
        <w:t>.</w:t>
      </w:r>
      <w:r w:rsidR="0049559D">
        <w:rPr>
          <w:rFonts w:ascii="Times New Roman" w:eastAsia="Times New Roman" w:hAnsi="Times New Roman" w:cs="Times New Roman"/>
          <w:iCs w:val="0"/>
          <w:noProof/>
          <w:color w:val="auto"/>
          <w:sz w:val="22"/>
          <w:szCs w:val="22"/>
        </w:rPr>
        <w:t>2</w:t>
      </w:r>
      <w:r w:rsidR="00582928" w:rsidRPr="00BB430C">
        <w:rPr>
          <w:rFonts w:ascii="Times New Roman" w:eastAsia="Times New Roman" w:hAnsi="Times New Roman" w:cs="Times New Roman"/>
          <w:iCs w:val="0"/>
          <w:noProof/>
          <w:color w:val="auto"/>
          <w:sz w:val="22"/>
          <w:szCs w:val="22"/>
        </w:rPr>
        <w:t xml:space="preserve">.3 </w:t>
      </w:r>
      <w:r w:rsidR="00BD705C" w:rsidRPr="00BB430C">
        <w:rPr>
          <w:rFonts w:ascii="Times New Roman" w:eastAsia="Times New Roman" w:hAnsi="Times New Roman" w:cs="Times New Roman"/>
          <w:iCs w:val="0"/>
          <w:noProof/>
          <w:color w:val="auto"/>
          <w:sz w:val="22"/>
          <w:szCs w:val="22"/>
        </w:rPr>
        <w:t>Epigenetics</w:t>
      </w:r>
      <w:bookmarkEnd w:id="8"/>
    </w:p>
    <w:p w14:paraId="340A7E3C" w14:textId="77777777" w:rsidR="00B74EBD" w:rsidRPr="00BB430C" w:rsidRDefault="00B1771F" w:rsidP="00B74EBD">
      <w:pPr>
        <w:pStyle w:val="ListParagraph"/>
        <w:spacing w:before="120" w:after="120"/>
        <w:ind w:left="0"/>
        <w:contextualSpacing w:val="0"/>
        <w:rPr>
          <w:b/>
          <w:sz w:val="22"/>
          <w:szCs w:val="22"/>
        </w:rPr>
      </w:pPr>
      <w:bookmarkStart w:id="9" w:name="_Toc374968958"/>
      <w:r w:rsidRPr="00BB430C">
        <w:rPr>
          <w:sz w:val="22"/>
          <w:szCs w:val="22"/>
        </w:rPr>
        <w:t xml:space="preserve">DNA has been used as a synonym of the gene for over a half century. It is proven to be the physical basis of inheritance </w:t>
      </w:r>
      <w:r w:rsidR="001C037C">
        <w:rPr>
          <w:noProof/>
          <w:sz w:val="22"/>
          <w:szCs w:val="22"/>
        </w:rPr>
        <w:t>(Heinemann, 2004)</w:t>
      </w:r>
      <w:r w:rsidRPr="00BB430C">
        <w:rPr>
          <w:sz w:val="22"/>
          <w:szCs w:val="22"/>
        </w:rPr>
        <w:t xml:space="preserve">. However, there are other materials that also transmit some traits either infectiously or during reproduction, as does DNA. These are referred to as epigenes and they also are the physical basis of inheritance of some traits </w:t>
      </w:r>
      <w:r w:rsidR="001C037C">
        <w:rPr>
          <w:noProof/>
          <w:sz w:val="22"/>
          <w:szCs w:val="22"/>
        </w:rPr>
        <w:t>(Springer and Schmitz, 2017)</w:t>
      </w:r>
      <w:r w:rsidR="00B74EBD">
        <w:rPr>
          <w:sz w:val="22"/>
          <w:szCs w:val="22"/>
        </w:rPr>
        <w:t>.</w:t>
      </w:r>
      <w:r w:rsidR="00B74EBD" w:rsidRPr="00B74EBD">
        <w:rPr>
          <w:sz w:val="22"/>
          <w:szCs w:val="22"/>
        </w:rPr>
        <w:t xml:space="preserve"> </w:t>
      </w:r>
      <w:r w:rsidR="00B74EBD">
        <w:rPr>
          <w:sz w:val="22"/>
          <w:szCs w:val="22"/>
        </w:rPr>
        <w:t>If “genetic material” means something that transmits an inheritable trait, then sequence of a linear DNA molecule is an inseparable component of genetic material. However, that does not mean that DNA is the only molecule with that role in genetic material. A significant, but not yet quantified, amount of heredity is not exclusively due to DNA sequence.</w:t>
      </w:r>
    </w:p>
    <w:p w14:paraId="119981EA" w14:textId="77777777" w:rsidR="00B1771F" w:rsidRPr="00BB430C" w:rsidRDefault="00B74EBD" w:rsidP="00B1771F">
      <w:pPr>
        <w:spacing w:before="120" w:after="120"/>
        <w:rPr>
          <w:sz w:val="22"/>
          <w:szCs w:val="22"/>
        </w:rPr>
      </w:pPr>
      <w:r w:rsidRPr="00BB430C">
        <w:rPr>
          <w:sz w:val="22"/>
          <w:szCs w:val="22"/>
        </w:rPr>
        <w:t xml:space="preserve">One kind of epigenetic inheritance is the propagation of differential methylation patterns on DNA. </w:t>
      </w:r>
      <w:r w:rsidR="00B1771F" w:rsidRPr="00BB430C">
        <w:rPr>
          <w:sz w:val="22"/>
          <w:szCs w:val="22"/>
        </w:rPr>
        <w:t>DNA is composed of four chemically distinct nucleotides, A, G, C and T, and the sequence of these nucleotides is part of what is archived by a genetic sequence database such as GenBank. A common modification of nucleotides is to add a methyl group (CH</w:t>
      </w:r>
      <w:r w:rsidR="00B1771F" w:rsidRPr="00F70E00">
        <w:rPr>
          <w:sz w:val="22"/>
          <w:szCs w:val="22"/>
          <w:vertAlign w:val="subscript"/>
        </w:rPr>
        <w:t>3</w:t>
      </w:r>
      <w:r w:rsidR="00B1771F" w:rsidRPr="00BB430C">
        <w:rPr>
          <w:sz w:val="22"/>
          <w:szCs w:val="22"/>
        </w:rPr>
        <w:t>). The addition and removal of methyl groups is associated with functions varying from protecting DNA from the actions of nucleases to effects on gene expression and differentiation of cells in a multicellular organism, all of which might also be the basis of important traits.</w:t>
      </w:r>
    </w:p>
    <w:p w14:paraId="4919B7BD" w14:textId="77777777" w:rsidR="00B1771F" w:rsidRPr="00BB430C" w:rsidRDefault="00B1771F" w:rsidP="00B1771F">
      <w:pPr>
        <w:spacing w:before="120" w:after="120"/>
        <w:rPr>
          <w:sz w:val="22"/>
          <w:szCs w:val="22"/>
        </w:rPr>
      </w:pPr>
      <w:r w:rsidRPr="00BB430C">
        <w:rPr>
          <w:sz w:val="22"/>
          <w:szCs w:val="22"/>
        </w:rPr>
        <w:t xml:space="preserve">Breeding combines and recombines genetic diversity within different genomes represented by changes in the DNA sequence in each gene, but also by changes to the DNA around a gene (sometimes thousands of nucleotides away) and to variations in the chemical modification of nucleotides in a gene, and other ways </w:t>
      </w:r>
      <w:r w:rsidR="001C037C">
        <w:rPr>
          <w:noProof/>
          <w:sz w:val="22"/>
          <w:szCs w:val="22"/>
        </w:rPr>
        <w:t>(Schafer and Nadeau, 2015)</w:t>
      </w:r>
      <w:r w:rsidRPr="00BB430C">
        <w:rPr>
          <w:sz w:val="22"/>
          <w:szCs w:val="22"/>
        </w:rPr>
        <w:t>.</w:t>
      </w:r>
    </w:p>
    <w:p w14:paraId="7AAA9D4E" w14:textId="77777777" w:rsidR="00BD705C" w:rsidRPr="00BB430C" w:rsidRDefault="00B1771F" w:rsidP="00B1771F">
      <w:pPr>
        <w:pStyle w:val="ListParagraph"/>
        <w:spacing w:before="120" w:after="120"/>
        <w:ind w:left="0"/>
        <w:contextualSpacing w:val="0"/>
        <w:rPr>
          <w:b/>
          <w:sz w:val="22"/>
          <w:szCs w:val="22"/>
        </w:rPr>
      </w:pPr>
      <w:r w:rsidRPr="00BB430C">
        <w:rPr>
          <w:sz w:val="22"/>
          <w:szCs w:val="22"/>
        </w:rPr>
        <w:lastRenderedPageBreak/>
        <w:t xml:space="preserve">Modification of nucleotides is a dynamic process that may occur multiple times within the life of an individual cell, but may also be stable and in some cases heritable </w:t>
      </w:r>
      <w:r w:rsidR="001C037C">
        <w:rPr>
          <w:noProof/>
          <w:sz w:val="22"/>
          <w:szCs w:val="22"/>
        </w:rPr>
        <w:t>(Tao</w:t>
      </w:r>
      <w:r w:rsidR="001C037C" w:rsidRPr="001C037C">
        <w:rPr>
          <w:i/>
          <w:noProof/>
          <w:sz w:val="22"/>
          <w:szCs w:val="22"/>
        </w:rPr>
        <w:t xml:space="preserve"> et al.</w:t>
      </w:r>
      <w:r w:rsidR="001C037C">
        <w:rPr>
          <w:noProof/>
          <w:sz w:val="22"/>
          <w:szCs w:val="22"/>
        </w:rPr>
        <w:t>, 2017)</w:t>
      </w:r>
      <w:r w:rsidRPr="00BB430C">
        <w:rPr>
          <w:sz w:val="22"/>
          <w:szCs w:val="22"/>
        </w:rPr>
        <w:t xml:space="preserve">. Whereas sequence variants of a gene are called alleles, modification of the same underlying DNA sequence yields multiple variants of the gene, called epialleles </w:t>
      </w:r>
      <w:r w:rsidR="001C037C">
        <w:rPr>
          <w:noProof/>
          <w:sz w:val="22"/>
          <w:szCs w:val="22"/>
        </w:rPr>
        <w:t>(Gallusci</w:t>
      </w:r>
      <w:r w:rsidR="001C037C" w:rsidRPr="001C037C">
        <w:rPr>
          <w:i/>
          <w:noProof/>
          <w:sz w:val="22"/>
          <w:szCs w:val="22"/>
        </w:rPr>
        <w:t xml:space="preserve"> et al.</w:t>
      </w:r>
      <w:r w:rsidR="001C037C">
        <w:rPr>
          <w:noProof/>
          <w:sz w:val="22"/>
          <w:szCs w:val="22"/>
        </w:rPr>
        <w:t>, 2017)</w:t>
      </w:r>
      <w:r w:rsidRPr="00BB430C">
        <w:rPr>
          <w:sz w:val="22"/>
          <w:szCs w:val="22"/>
        </w:rPr>
        <w:t xml:space="preserve">. Epiallelic variation also can be the basis of desirable traits </w:t>
      </w:r>
      <w:r w:rsidR="00BF7EB3">
        <w:rPr>
          <w:sz w:val="22"/>
          <w:szCs w:val="22"/>
        </w:rPr>
        <w:t>that</w:t>
      </w:r>
      <w:r w:rsidR="00BF7EB3" w:rsidRPr="00BB430C">
        <w:rPr>
          <w:sz w:val="22"/>
          <w:szCs w:val="22"/>
        </w:rPr>
        <w:t xml:space="preserve"> </w:t>
      </w:r>
      <w:r w:rsidRPr="00BB430C">
        <w:rPr>
          <w:sz w:val="22"/>
          <w:szCs w:val="22"/>
        </w:rPr>
        <w:t xml:space="preserve">provide value from </w:t>
      </w:r>
      <w:r w:rsidR="00FD4E8A">
        <w:rPr>
          <w:sz w:val="22"/>
          <w:szCs w:val="22"/>
        </w:rPr>
        <w:t>GRFA</w:t>
      </w:r>
      <w:r w:rsidRPr="00BB430C">
        <w:rPr>
          <w:sz w:val="22"/>
          <w:szCs w:val="22"/>
        </w:rPr>
        <w:t xml:space="preserve"> </w:t>
      </w:r>
      <w:r w:rsidR="001C037C">
        <w:rPr>
          <w:noProof/>
          <w:sz w:val="22"/>
          <w:szCs w:val="22"/>
        </w:rPr>
        <w:t>(Allendorf</w:t>
      </w:r>
      <w:r w:rsidR="001C037C" w:rsidRPr="001C037C">
        <w:rPr>
          <w:i/>
          <w:noProof/>
          <w:sz w:val="22"/>
          <w:szCs w:val="22"/>
        </w:rPr>
        <w:t xml:space="preserve"> et al.</w:t>
      </w:r>
      <w:r w:rsidR="001C037C">
        <w:rPr>
          <w:noProof/>
          <w:sz w:val="22"/>
          <w:szCs w:val="22"/>
        </w:rPr>
        <w:t>, 2010; Gallusci</w:t>
      </w:r>
      <w:r w:rsidR="001C037C" w:rsidRPr="001C037C">
        <w:rPr>
          <w:i/>
          <w:noProof/>
          <w:sz w:val="22"/>
          <w:szCs w:val="22"/>
        </w:rPr>
        <w:t xml:space="preserve"> et al.</w:t>
      </w:r>
      <w:r w:rsidR="001C037C">
        <w:rPr>
          <w:noProof/>
          <w:sz w:val="22"/>
          <w:szCs w:val="22"/>
        </w:rPr>
        <w:t>, 2017; Springer and Schmitz, 2017)</w:t>
      </w:r>
      <w:r w:rsidRPr="00BB430C">
        <w:rPr>
          <w:sz w:val="22"/>
          <w:szCs w:val="22"/>
        </w:rPr>
        <w:t>.</w:t>
      </w:r>
    </w:p>
    <w:p w14:paraId="7E61BCC2" w14:textId="77777777" w:rsidR="00870A3D" w:rsidRDefault="00870A3D" w:rsidP="00DB04CA">
      <w:pPr>
        <w:pStyle w:val="ListParagraph"/>
        <w:spacing w:before="120" w:after="120"/>
        <w:ind w:left="0"/>
        <w:contextualSpacing w:val="0"/>
        <w:rPr>
          <w:i/>
          <w:noProof/>
          <w:sz w:val="22"/>
          <w:szCs w:val="22"/>
        </w:rPr>
      </w:pPr>
    </w:p>
    <w:p w14:paraId="06934F66" w14:textId="77777777" w:rsidR="00BD705C" w:rsidRPr="00BB430C" w:rsidRDefault="007477C6" w:rsidP="00DB04CA">
      <w:pPr>
        <w:pStyle w:val="ListParagraph"/>
        <w:spacing w:before="120" w:after="120"/>
        <w:ind w:left="0"/>
        <w:contextualSpacing w:val="0"/>
        <w:rPr>
          <w:i/>
          <w:noProof/>
          <w:sz w:val="22"/>
          <w:szCs w:val="22"/>
        </w:rPr>
      </w:pPr>
      <w:r w:rsidRPr="00BB430C">
        <w:rPr>
          <w:i/>
          <w:noProof/>
          <w:sz w:val="22"/>
          <w:szCs w:val="22"/>
        </w:rPr>
        <w:t>2</w:t>
      </w:r>
      <w:r w:rsidR="00582928" w:rsidRPr="00BB430C">
        <w:rPr>
          <w:i/>
          <w:noProof/>
          <w:sz w:val="22"/>
          <w:szCs w:val="22"/>
        </w:rPr>
        <w:t>.</w:t>
      </w:r>
      <w:r w:rsidR="0049559D">
        <w:rPr>
          <w:i/>
          <w:noProof/>
          <w:sz w:val="22"/>
          <w:szCs w:val="22"/>
        </w:rPr>
        <w:t>2</w:t>
      </w:r>
      <w:r w:rsidR="00582928" w:rsidRPr="00BB430C">
        <w:rPr>
          <w:i/>
          <w:noProof/>
          <w:sz w:val="22"/>
          <w:szCs w:val="22"/>
        </w:rPr>
        <w:t xml:space="preserve">.4 </w:t>
      </w:r>
      <w:r w:rsidR="00BD705C" w:rsidRPr="00BB430C">
        <w:rPr>
          <w:i/>
          <w:noProof/>
          <w:sz w:val="22"/>
          <w:szCs w:val="22"/>
        </w:rPr>
        <w:t>Phenomics</w:t>
      </w:r>
      <w:bookmarkEnd w:id="9"/>
    </w:p>
    <w:p w14:paraId="5C59A557" w14:textId="77777777" w:rsidR="00B1771F" w:rsidRPr="00BB430C" w:rsidRDefault="00B1771F" w:rsidP="00B1771F">
      <w:pPr>
        <w:spacing w:before="120" w:after="120"/>
        <w:rPr>
          <w:sz w:val="22"/>
          <w:szCs w:val="22"/>
        </w:rPr>
      </w:pPr>
      <w:r w:rsidRPr="00BB430C">
        <w:rPr>
          <w:sz w:val="22"/>
          <w:szCs w:val="22"/>
        </w:rPr>
        <w:t xml:space="preserve">Information from biological systems is also being used to augment, even replace, DNA DSI on GRFA. Genomic DNA studies “will eventually provide an extraordinary improvement in animal and plant production systems, but is predicated on a comprehensive understanding of biological proteomics and metabolomics” </w:t>
      </w:r>
      <w:r w:rsidR="001C037C">
        <w:rPr>
          <w:noProof/>
          <w:sz w:val="22"/>
          <w:szCs w:val="22"/>
        </w:rPr>
        <w:t>(Boggess</w:t>
      </w:r>
      <w:r w:rsidR="001C037C" w:rsidRPr="001C037C">
        <w:rPr>
          <w:i/>
          <w:noProof/>
          <w:sz w:val="22"/>
          <w:szCs w:val="22"/>
        </w:rPr>
        <w:t xml:space="preserve"> et al.</w:t>
      </w:r>
      <w:r w:rsidR="001C037C">
        <w:rPr>
          <w:noProof/>
          <w:sz w:val="22"/>
          <w:szCs w:val="22"/>
        </w:rPr>
        <w:t>, 2013)</w:t>
      </w:r>
      <w:r w:rsidRPr="00BB430C">
        <w:rPr>
          <w:sz w:val="22"/>
          <w:szCs w:val="22"/>
        </w:rPr>
        <w:t>.</w:t>
      </w:r>
    </w:p>
    <w:p w14:paraId="7628D7AA" w14:textId="77777777" w:rsidR="00B1771F" w:rsidRPr="00BB430C" w:rsidRDefault="00B1771F" w:rsidP="00B1771F">
      <w:pPr>
        <w:spacing w:before="120" w:after="120"/>
        <w:rPr>
          <w:sz w:val="22"/>
          <w:szCs w:val="22"/>
        </w:rPr>
      </w:pPr>
      <w:r w:rsidRPr="00BB430C">
        <w:rPr>
          <w:sz w:val="22"/>
          <w:szCs w:val="22"/>
        </w:rPr>
        <w:t xml:space="preserve">Genotype </w:t>
      </w:r>
      <w:r w:rsidR="00FD4E8A">
        <w:rPr>
          <w:sz w:val="22"/>
          <w:szCs w:val="22"/>
        </w:rPr>
        <w:t>from DNA s</w:t>
      </w:r>
      <w:r w:rsidRPr="00BB430C">
        <w:rPr>
          <w:sz w:val="22"/>
          <w:szCs w:val="22"/>
        </w:rPr>
        <w:t xml:space="preserve">equences from many individuals, breeds and species can be directly compared. Similarities provide information on evolutionary relationships and identify variations in genes that are linked to desirable traits. DSI is as valuable as a tool to indicate what different genomes do not have in common as it is to identify what they do </w:t>
      </w:r>
      <w:r w:rsidR="001C037C">
        <w:rPr>
          <w:noProof/>
          <w:sz w:val="22"/>
          <w:szCs w:val="22"/>
        </w:rPr>
        <w:t>(Remington</w:t>
      </w:r>
      <w:r w:rsidR="001C037C" w:rsidRPr="001C037C">
        <w:rPr>
          <w:i/>
          <w:noProof/>
          <w:sz w:val="22"/>
          <w:szCs w:val="22"/>
        </w:rPr>
        <w:t xml:space="preserve"> et al.</w:t>
      </w:r>
      <w:r w:rsidR="001C037C">
        <w:rPr>
          <w:noProof/>
          <w:sz w:val="22"/>
          <w:szCs w:val="22"/>
        </w:rPr>
        <w:t>, 2005)</w:t>
      </w:r>
      <w:r w:rsidRPr="00BB430C">
        <w:rPr>
          <w:sz w:val="22"/>
          <w:szCs w:val="22"/>
        </w:rPr>
        <w:t>. Comparing the flightless nocturnal kiwi bird genome to other birds can identify genes that are associated with</w:t>
      </w:r>
      <w:r w:rsidR="00BF0CF5">
        <w:rPr>
          <w:sz w:val="22"/>
          <w:szCs w:val="22"/>
        </w:rPr>
        <w:t xml:space="preserve"> flight and vision</w:t>
      </w:r>
      <w:r w:rsidRPr="00BB430C">
        <w:rPr>
          <w:sz w:val="22"/>
          <w:szCs w:val="22"/>
        </w:rPr>
        <w:t>.</w:t>
      </w:r>
    </w:p>
    <w:p w14:paraId="17E68587" w14:textId="77777777" w:rsidR="00B1771F" w:rsidRPr="00BB430C" w:rsidRDefault="00B1771F" w:rsidP="00B1771F">
      <w:pPr>
        <w:spacing w:before="120" w:after="120"/>
        <w:rPr>
          <w:sz w:val="22"/>
          <w:szCs w:val="22"/>
        </w:rPr>
      </w:pPr>
      <w:r w:rsidRPr="00BB430C">
        <w:rPr>
          <w:sz w:val="22"/>
          <w:szCs w:val="22"/>
        </w:rPr>
        <w:t xml:space="preserve">Phenotypes are the characteristics, or traits, of an organism. The correspondence of DNA sequence to phenotypes is not the same for all phenotypes. Simple cases in which a single DNA sequence alone completely determines a phenotype are </w:t>
      </w:r>
      <w:r w:rsidR="00FD4E8A">
        <w:rPr>
          <w:sz w:val="22"/>
          <w:szCs w:val="22"/>
        </w:rPr>
        <w:t>comparatively</w:t>
      </w:r>
      <w:r w:rsidR="00FD4E8A" w:rsidRPr="00BB430C">
        <w:rPr>
          <w:sz w:val="22"/>
          <w:szCs w:val="22"/>
        </w:rPr>
        <w:t xml:space="preserve"> </w:t>
      </w:r>
      <w:r w:rsidRPr="00BB430C">
        <w:rPr>
          <w:sz w:val="22"/>
          <w:szCs w:val="22"/>
        </w:rPr>
        <w:t>easy to document. However, many phenotypes are the outcome of many different genes and some genes influence many different phenotypes. Moreover, phenotypes are the product of both genetics as reflected in DNA sequence and also environmental influences including temperature, altitude, diet, water availability and</w:t>
      </w:r>
      <w:r w:rsidR="00BF0CF5">
        <w:rPr>
          <w:sz w:val="22"/>
          <w:szCs w:val="22"/>
        </w:rPr>
        <w:t xml:space="preserve"> the</w:t>
      </w:r>
      <w:r w:rsidRPr="00BB430C">
        <w:rPr>
          <w:sz w:val="22"/>
          <w:szCs w:val="22"/>
        </w:rPr>
        <w:t xml:space="preserve"> microbiome.</w:t>
      </w:r>
    </w:p>
    <w:p w14:paraId="019D4DC2" w14:textId="77777777" w:rsidR="00B1771F" w:rsidRPr="00BB430C" w:rsidRDefault="00B1771F" w:rsidP="00B1771F">
      <w:pPr>
        <w:spacing w:before="120" w:after="120"/>
        <w:rPr>
          <w:sz w:val="22"/>
          <w:szCs w:val="22"/>
        </w:rPr>
      </w:pPr>
      <w:r w:rsidRPr="00BB430C">
        <w:rPr>
          <w:sz w:val="22"/>
          <w:szCs w:val="22"/>
        </w:rPr>
        <w:t xml:space="preserve">Phenomics is “the use of large scale approaches to study how genetic instructions from a single gene or the whole genome translate into the full set of phenotypic traits of an organism” </w:t>
      </w:r>
      <w:r w:rsidR="001C037C">
        <w:rPr>
          <w:noProof/>
          <w:sz w:val="22"/>
          <w:szCs w:val="22"/>
        </w:rPr>
        <w:t>(NIFA-NSF, 2011)</w:t>
      </w:r>
      <w:r w:rsidRPr="00BB430C">
        <w:rPr>
          <w:sz w:val="22"/>
          <w:szCs w:val="22"/>
        </w:rPr>
        <w:t>. It draws upon</w:t>
      </w:r>
      <w:r w:rsidR="00DE0686">
        <w:rPr>
          <w:sz w:val="22"/>
          <w:szCs w:val="22"/>
        </w:rPr>
        <w:t xml:space="preserve"> information about</w:t>
      </w:r>
      <w:r w:rsidRPr="00BB430C">
        <w:rPr>
          <w:sz w:val="22"/>
          <w:szCs w:val="22"/>
        </w:rPr>
        <w:t xml:space="preserve"> gene by environment interactions that are </w:t>
      </w:r>
      <w:r w:rsidR="00DE0686">
        <w:rPr>
          <w:sz w:val="22"/>
          <w:szCs w:val="22"/>
        </w:rPr>
        <w:t>measured using techniques c</w:t>
      </w:r>
      <w:r w:rsidRPr="00BB430C">
        <w:rPr>
          <w:sz w:val="22"/>
          <w:szCs w:val="22"/>
        </w:rPr>
        <w:t>ollectively called “omics” technologies</w:t>
      </w:r>
      <w:r w:rsidR="001B125D">
        <w:rPr>
          <w:sz w:val="22"/>
          <w:szCs w:val="22"/>
        </w:rPr>
        <w:t xml:space="preserve"> </w:t>
      </w:r>
      <w:r w:rsidR="001C037C">
        <w:rPr>
          <w:noProof/>
          <w:sz w:val="22"/>
          <w:szCs w:val="22"/>
        </w:rPr>
        <w:t>(Lidder and Sonnino, 2011)</w:t>
      </w:r>
      <w:r w:rsidRPr="00BB430C">
        <w:rPr>
          <w:sz w:val="22"/>
          <w:szCs w:val="22"/>
        </w:rPr>
        <w:t xml:space="preserve">. </w:t>
      </w:r>
    </w:p>
    <w:p w14:paraId="0ABCCA6B" w14:textId="77777777" w:rsidR="00B1771F" w:rsidRPr="00BB430C" w:rsidRDefault="00B1771F" w:rsidP="00B1771F">
      <w:pPr>
        <w:spacing w:before="120" w:after="120"/>
        <w:rPr>
          <w:sz w:val="22"/>
          <w:szCs w:val="22"/>
        </w:rPr>
      </w:pPr>
      <w:r w:rsidRPr="00BB430C">
        <w:rPr>
          <w:sz w:val="22"/>
          <w:szCs w:val="22"/>
        </w:rPr>
        <w:t xml:space="preserve">Omics technologies can identify the entirety of specific molecules in a tissue, cell or organism </w:t>
      </w:r>
      <w:r w:rsidR="001C037C">
        <w:rPr>
          <w:noProof/>
          <w:sz w:val="22"/>
          <w:szCs w:val="22"/>
        </w:rPr>
        <w:t>(Heinemann</w:t>
      </w:r>
      <w:r w:rsidR="001C037C" w:rsidRPr="001C037C">
        <w:rPr>
          <w:i/>
          <w:noProof/>
          <w:sz w:val="22"/>
          <w:szCs w:val="22"/>
        </w:rPr>
        <w:t xml:space="preserve"> et al.</w:t>
      </w:r>
      <w:r w:rsidR="001C037C">
        <w:rPr>
          <w:noProof/>
          <w:sz w:val="22"/>
          <w:szCs w:val="22"/>
        </w:rPr>
        <w:t>, 2011)</w:t>
      </w:r>
      <w:r w:rsidRPr="00BB430C">
        <w:rPr>
          <w:sz w:val="22"/>
          <w:szCs w:val="22"/>
        </w:rPr>
        <w:t>. Omics includes genomics, transcriptomics, proteomics, metabolomics and even larger groupings. For example, liver and skin cells have very different sets of RNAs (transcriptomics), proteins (proteomics) and metabolites (metabolomics), and these differences can vary across time or due to other variables, such as development or stress.</w:t>
      </w:r>
    </w:p>
    <w:p w14:paraId="07AE3488" w14:textId="77777777" w:rsidR="00B1771F" w:rsidRPr="00BB430C" w:rsidRDefault="00B1771F" w:rsidP="00B1771F">
      <w:pPr>
        <w:spacing w:before="120" w:after="120"/>
        <w:rPr>
          <w:sz w:val="22"/>
          <w:szCs w:val="22"/>
        </w:rPr>
      </w:pPr>
      <w:r w:rsidRPr="00BB430C">
        <w:rPr>
          <w:sz w:val="22"/>
          <w:szCs w:val="22"/>
        </w:rPr>
        <w:t xml:space="preserve">Omics techniques provide useful information but none alone provides a complete picture of an organism. For example, “it is essential to measure protein levels and post-translational protein modifications to reveal information about stress inducible signal perception and transduction, translational activity and induced protein levels” </w:t>
      </w:r>
      <w:r w:rsidR="001C037C">
        <w:rPr>
          <w:noProof/>
          <w:sz w:val="22"/>
          <w:szCs w:val="22"/>
        </w:rPr>
        <w:t>(Ghatak</w:t>
      </w:r>
      <w:r w:rsidR="001C037C" w:rsidRPr="001C037C">
        <w:rPr>
          <w:i/>
          <w:noProof/>
          <w:sz w:val="22"/>
          <w:szCs w:val="22"/>
        </w:rPr>
        <w:t xml:space="preserve"> et al.</w:t>
      </w:r>
      <w:r w:rsidR="001C037C">
        <w:rPr>
          <w:noProof/>
          <w:sz w:val="22"/>
          <w:szCs w:val="22"/>
        </w:rPr>
        <w:t>, 2017)</w:t>
      </w:r>
      <w:r w:rsidRPr="00BB430C">
        <w:rPr>
          <w:sz w:val="22"/>
          <w:szCs w:val="22"/>
        </w:rPr>
        <w:t xml:space="preserve">. In addition to the value of phenotypic data, omics DSI can be used to augment breeding of GRFA. “Eventually, these processes will provide more direct insight into stress perception then [sic] genetic markers and might build a complementary basis for future marker-assisted selection of drought resistance” in crops </w:t>
      </w:r>
      <w:r w:rsidR="001C037C">
        <w:rPr>
          <w:noProof/>
          <w:sz w:val="22"/>
          <w:szCs w:val="22"/>
        </w:rPr>
        <w:t>(Ghatak</w:t>
      </w:r>
      <w:r w:rsidR="001C037C" w:rsidRPr="001C037C">
        <w:rPr>
          <w:i/>
          <w:noProof/>
          <w:sz w:val="22"/>
          <w:szCs w:val="22"/>
        </w:rPr>
        <w:t xml:space="preserve"> et al.</w:t>
      </w:r>
      <w:r w:rsidR="001C037C">
        <w:rPr>
          <w:noProof/>
          <w:sz w:val="22"/>
          <w:szCs w:val="22"/>
        </w:rPr>
        <w:t>, 2017)</w:t>
      </w:r>
      <w:r w:rsidRPr="00BB430C">
        <w:rPr>
          <w:sz w:val="22"/>
          <w:szCs w:val="22"/>
        </w:rPr>
        <w:t>.</w:t>
      </w:r>
    </w:p>
    <w:p w14:paraId="4121F33A" w14:textId="77777777" w:rsidR="00B1771F" w:rsidRPr="00BB430C" w:rsidRDefault="00B1771F" w:rsidP="00B1771F">
      <w:pPr>
        <w:spacing w:before="120" w:after="120"/>
        <w:rPr>
          <w:sz w:val="22"/>
          <w:szCs w:val="22"/>
        </w:rPr>
      </w:pPr>
      <w:r w:rsidRPr="00BB430C">
        <w:rPr>
          <w:sz w:val="22"/>
          <w:szCs w:val="22"/>
        </w:rPr>
        <w:t xml:space="preserve">The metabolome is the set of metabolic products arising from the sequence of reactions in metabolism. Software platforms using databases such as Kyoto Encyclopedia of Genes and Genomes (KEGG), MapMan, KaPPA-view, MetaCyc and MetGenMap facilitate the identification of the associated genes and metabolites by mapping metabolomic data onto metabolic pathways </w:t>
      </w:r>
      <w:r w:rsidR="001C037C">
        <w:rPr>
          <w:noProof/>
          <w:sz w:val="22"/>
          <w:szCs w:val="22"/>
        </w:rPr>
        <w:t>(Abdelrahman</w:t>
      </w:r>
      <w:r w:rsidR="001C037C" w:rsidRPr="001C037C">
        <w:rPr>
          <w:i/>
          <w:noProof/>
          <w:sz w:val="22"/>
          <w:szCs w:val="22"/>
        </w:rPr>
        <w:t xml:space="preserve"> et al.</w:t>
      </w:r>
      <w:r w:rsidR="001C037C">
        <w:rPr>
          <w:noProof/>
          <w:sz w:val="22"/>
          <w:szCs w:val="22"/>
        </w:rPr>
        <w:t>, 2017)</w:t>
      </w:r>
      <w:r w:rsidR="00FD4E8A">
        <w:rPr>
          <w:sz w:val="22"/>
          <w:szCs w:val="22"/>
        </w:rPr>
        <w:t xml:space="preserve">. This provides breeders with </w:t>
      </w:r>
      <w:r w:rsidRPr="00BB430C">
        <w:rPr>
          <w:sz w:val="22"/>
          <w:szCs w:val="22"/>
        </w:rPr>
        <w:t>meta</w:t>
      </w:r>
      <w:r w:rsidR="00FD4E8A">
        <w:rPr>
          <w:sz w:val="22"/>
          <w:szCs w:val="22"/>
        </w:rPr>
        <w:t>bolomic quantitative trait loci</w:t>
      </w:r>
      <w:r w:rsidRPr="00BB430C">
        <w:rPr>
          <w:sz w:val="22"/>
          <w:szCs w:val="22"/>
        </w:rPr>
        <w:t xml:space="preserve"> (mQTL) markers.</w:t>
      </w:r>
    </w:p>
    <w:p w14:paraId="4E7CC189" w14:textId="77777777" w:rsidR="00271BA9" w:rsidRDefault="00B1771F" w:rsidP="00B1771F">
      <w:pPr>
        <w:spacing w:before="120" w:after="120"/>
        <w:rPr>
          <w:sz w:val="22"/>
          <w:szCs w:val="22"/>
        </w:rPr>
      </w:pPr>
      <w:r w:rsidRPr="00BB430C">
        <w:rPr>
          <w:sz w:val="22"/>
          <w:szCs w:val="22"/>
        </w:rPr>
        <w:t xml:space="preserve">In one application, metabolites from the leaves of 289 distinct young maize lines were used to associate metabolomics and agronomic traits to genomic markers </w:t>
      </w:r>
      <w:r w:rsidR="001C037C">
        <w:rPr>
          <w:noProof/>
          <w:sz w:val="22"/>
          <w:szCs w:val="22"/>
        </w:rPr>
        <w:t>(Riedelsheimer</w:t>
      </w:r>
      <w:r w:rsidR="001C037C" w:rsidRPr="001C037C">
        <w:rPr>
          <w:i/>
          <w:noProof/>
          <w:sz w:val="22"/>
          <w:szCs w:val="22"/>
        </w:rPr>
        <w:t xml:space="preserve"> et al.</w:t>
      </w:r>
      <w:r w:rsidR="001C037C">
        <w:rPr>
          <w:noProof/>
          <w:sz w:val="22"/>
          <w:szCs w:val="22"/>
        </w:rPr>
        <w:t>, 2012)</w:t>
      </w:r>
      <w:r w:rsidRPr="00BB430C">
        <w:rPr>
          <w:sz w:val="22"/>
          <w:szCs w:val="22"/>
        </w:rPr>
        <w:t xml:space="preserve">. Genome-wide association mapping linked 26 metabolites with SNPs. The power of the analysis </w:t>
      </w:r>
      <w:r w:rsidRPr="00BB430C">
        <w:rPr>
          <w:sz w:val="22"/>
          <w:szCs w:val="22"/>
        </w:rPr>
        <w:lastRenderedPageBreak/>
        <w:t>was sufficient to identify plausible candidate genes consistent with the function of the metabolite in maize.</w:t>
      </w:r>
    </w:p>
    <w:p w14:paraId="2319959D" w14:textId="77777777" w:rsidR="00B05B0F" w:rsidRPr="00BB430C" w:rsidRDefault="00B05B0F" w:rsidP="00B1771F">
      <w:pPr>
        <w:spacing w:before="120" w:after="120"/>
        <w:rPr>
          <w:sz w:val="22"/>
          <w:szCs w:val="22"/>
        </w:rPr>
      </w:pPr>
    </w:p>
    <w:p w14:paraId="278D70A4" w14:textId="77777777" w:rsidR="00BD705C" w:rsidRPr="00796F66" w:rsidRDefault="007477C6" w:rsidP="00DB04CA">
      <w:pPr>
        <w:pStyle w:val="Heading2"/>
        <w:spacing w:before="120" w:after="120"/>
        <w:rPr>
          <w:rFonts w:ascii="Times New Roman" w:hAnsi="Times New Roman" w:cs="Times New Roman"/>
          <w:bCs w:val="0"/>
          <w:i w:val="0"/>
          <w:iCs w:val="0"/>
          <w:noProof/>
          <w:sz w:val="24"/>
          <w:szCs w:val="24"/>
        </w:rPr>
      </w:pPr>
      <w:bookmarkStart w:id="10" w:name="_Toc374968959"/>
      <w:r w:rsidRPr="00796F66">
        <w:rPr>
          <w:rFonts w:ascii="Times New Roman" w:hAnsi="Times New Roman" w:cs="Times New Roman"/>
          <w:bCs w:val="0"/>
          <w:i w:val="0"/>
          <w:iCs w:val="0"/>
          <w:noProof/>
          <w:sz w:val="24"/>
          <w:szCs w:val="24"/>
        </w:rPr>
        <w:t>2</w:t>
      </w:r>
      <w:r w:rsidR="00582928" w:rsidRPr="00796F66">
        <w:rPr>
          <w:rFonts w:ascii="Times New Roman" w:hAnsi="Times New Roman" w:cs="Times New Roman"/>
          <w:bCs w:val="0"/>
          <w:i w:val="0"/>
          <w:iCs w:val="0"/>
          <w:noProof/>
          <w:sz w:val="24"/>
          <w:szCs w:val="24"/>
        </w:rPr>
        <w:t>.</w:t>
      </w:r>
      <w:r w:rsidR="0049559D" w:rsidRPr="00796F66">
        <w:rPr>
          <w:rFonts w:ascii="Times New Roman" w:hAnsi="Times New Roman" w:cs="Times New Roman"/>
          <w:bCs w:val="0"/>
          <w:i w:val="0"/>
          <w:iCs w:val="0"/>
          <w:noProof/>
          <w:sz w:val="24"/>
          <w:szCs w:val="24"/>
        </w:rPr>
        <w:t>3</w:t>
      </w:r>
      <w:r w:rsidR="00582928" w:rsidRPr="00796F66">
        <w:rPr>
          <w:rFonts w:ascii="Times New Roman" w:hAnsi="Times New Roman" w:cs="Times New Roman"/>
          <w:bCs w:val="0"/>
          <w:i w:val="0"/>
          <w:iCs w:val="0"/>
          <w:noProof/>
          <w:sz w:val="24"/>
          <w:szCs w:val="24"/>
        </w:rPr>
        <w:t xml:space="preserve"> </w:t>
      </w:r>
      <w:r w:rsidR="0075718A" w:rsidRPr="00796F66">
        <w:rPr>
          <w:rFonts w:ascii="Times New Roman" w:hAnsi="Times New Roman" w:cs="Times New Roman"/>
          <w:bCs w:val="0"/>
          <w:i w:val="0"/>
          <w:iCs w:val="0"/>
          <w:noProof/>
          <w:sz w:val="24"/>
          <w:szCs w:val="24"/>
        </w:rPr>
        <w:t>C</w:t>
      </w:r>
      <w:r w:rsidR="00BD705C" w:rsidRPr="00796F66">
        <w:rPr>
          <w:rFonts w:ascii="Times New Roman" w:hAnsi="Times New Roman" w:cs="Times New Roman"/>
          <w:bCs w:val="0"/>
          <w:i w:val="0"/>
          <w:iCs w:val="0"/>
          <w:noProof/>
          <w:sz w:val="24"/>
          <w:szCs w:val="24"/>
        </w:rPr>
        <w:t>onclusion</w:t>
      </w:r>
      <w:bookmarkEnd w:id="10"/>
    </w:p>
    <w:p w14:paraId="78271DCA" w14:textId="77777777" w:rsidR="00FC5F82" w:rsidRPr="00BB430C" w:rsidRDefault="00FC5F82" w:rsidP="00FC5F82">
      <w:pPr>
        <w:spacing w:after="120"/>
        <w:rPr>
          <w:rFonts w:eastAsia="Calibri"/>
          <w:sz w:val="22"/>
          <w:szCs w:val="22"/>
          <w:lang w:eastAsia="en-US"/>
        </w:rPr>
      </w:pPr>
      <w:r w:rsidRPr="00BB430C">
        <w:rPr>
          <w:rFonts w:eastAsia="Calibri"/>
          <w:sz w:val="22"/>
          <w:szCs w:val="22"/>
          <w:lang w:val="en-US" w:eastAsia="en-US"/>
        </w:rPr>
        <w:t>This chapter provided a summary of views on the terms associated with DSI. Consideration of the terms identifies meanings that might be shared, or at least points to some common illustrative examples of what they mean. Whatever terminology is used to describe DSI, it is important that it be inclusive for the</w:t>
      </w:r>
      <w:r w:rsidRPr="00BB430C">
        <w:rPr>
          <w:rFonts w:eastAsia="Calibri"/>
          <w:sz w:val="22"/>
          <w:szCs w:val="22"/>
          <w:lang w:eastAsia="en-US"/>
        </w:rPr>
        <w:t xml:space="preserve"> current and potential future uses in food and agriculture to avoid becoming irrelevant.</w:t>
      </w:r>
    </w:p>
    <w:p w14:paraId="0FAEC2E6" w14:textId="77777777" w:rsidR="001A55A6" w:rsidRDefault="00FC5F82" w:rsidP="0070055A">
      <w:pPr>
        <w:spacing w:after="120"/>
        <w:rPr>
          <w:rFonts w:eastAsia="Calibri"/>
          <w:sz w:val="22"/>
          <w:szCs w:val="22"/>
          <w:lang w:eastAsia="en-US"/>
        </w:rPr>
      </w:pPr>
      <w:r w:rsidRPr="00BB430C">
        <w:rPr>
          <w:rFonts w:eastAsia="Calibri"/>
          <w:sz w:val="22"/>
          <w:szCs w:val="22"/>
          <w:lang w:eastAsia="en-US"/>
        </w:rPr>
        <w:t xml:space="preserve">With inclusivity in mind, this report uses DSI to mean </w:t>
      </w:r>
      <w:r w:rsidRPr="00BB430C">
        <w:rPr>
          <w:rFonts w:eastAsia="Calibri"/>
          <w:i/>
          <w:sz w:val="22"/>
          <w:szCs w:val="22"/>
          <w:lang w:eastAsia="en-US"/>
        </w:rPr>
        <w:t>inter alia</w:t>
      </w:r>
      <w:r w:rsidRPr="00BB430C">
        <w:rPr>
          <w:rFonts w:eastAsia="Calibri"/>
          <w:sz w:val="22"/>
          <w:szCs w:val="22"/>
          <w:lang w:eastAsia="en-US"/>
        </w:rPr>
        <w:t xml:space="preserve"> that which could be held by any existing or future database of the types summarized by </w:t>
      </w:r>
      <w:r w:rsidRPr="00BB430C">
        <w:rPr>
          <w:rFonts w:eastAsia="Calibri"/>
          <w:i/>
          <w:sz w:val="22"/>
          <w:szCs w:val="22"/>
          <w:lang w:eastAsia="en-US"/>
        </w:rPr>
        <w:t>Nucleic Acids Research</w:t>
      </w:r>
      <w:r w:rsidRPr="00BB430C">
        <w:rPr>
          <w:rFonts w:eastAsia="Calibri"/>
          <w:sz w:val="22"/>
          <w:szCs w:val="22"/>
          <w:lang w:eastAsia="en-US"/>
        </w:rPr>
        <w:t xml:space="preserve"> </w:t>
      </w:r>
      <w:r w:rsidR="001C037C">
        <w:rPr>
          <w:rFonts w:eastAsia="Calibri"/>
          <w:noProof/>
          <w:sz w:val="22"/>
          <w:szCs w:val="22"/>
          <w:lang w:eastAsia="en-US"/>
        </w:rPr>
        <w:t>(</w:t>
      </w:r>
      <w:r w:rsidR="0070055A" w:rsidRPr="002F7805">
        <w:rPr>
          <w:rFonts w:eastAsia="Calibri"/>
          <w:iCs/>
          <w:noProof/>
          <w:sz w:val="22"/>
          <w:szCs w:val="22"/>
          <w:lang w:eastAsia="en-US"/>
        </w:rPr>
        <w:t>Nucleic Acids Research</w:t>
      </w:r>
      <w:r w:rsidR="001C037C">
        <w:rPr>
          <w:rFonts w:eastAsia="Calibri"/>
          <w:noProof/>
          <w:sz w:val="22"/>
          <w:szCs w:val="22"/>
          <w:lang w:eastAsia="en-US"/>
        </w:rPr>
        <w:t>, 2017)</w:t>
      </w:r>
      <w:r w:rsidRPr="00BB430C">
        <w:rPr>
          <w:rFonts w:eastAsia="Calibri"/>
          <w:sz w:val="22"/>
          <w:szCs w:val="22"/>
          <w:lang w:eastAsia="en-US"/>
        </w:rPr>
        <w:t xml:space="preserve"> on its </w:t>
      </w:r>
      <w:r w:rsidR="0070055A">
        <w:rPr>
          <w:rFonts w:eastAsia="Calibri"/>
          <w:sz w:val="22"/>
          <w:szCs w:val="22"/>
          <w:lang w:eastAsia="en-US"/>
        </w:rPr>
        <w:t>W</w:t>
      </w:r>
      <w:r w:rsidR="0070055A" w:rsidRPr="00BB430C">
        <w:rPr>
          <w:rFonts w:eastAsia="Calibri"/>
          <w:sz w:val="22"/>
          <w:szCs w:val="22"/>
          <w:lang w:eastAsia="en-US"/>
        </w:rPr>
        <w:t>eb</w:t>
      </w:r>
      <w:r w:rsidR="0070055A">
        <w:rPr>
          <w:rFonts w:eastAsia="Calibri"/>
          <w:sz w:val="22"/>
          <w:szCs w:val="22"/>
          <w:lang w:eastAsia="en-US"/>
        </w:rPr>
        <w:t xml:space="preserve"> </w:t>
      </w:r>
      <w:r w:rsidR="0070055A" w:rsidRPr="00BB430C">
        <w:rPr>
          <w:rFonts w:eastAsia="Calibri"/>
          <w:sz w:val="22"/>
          <w:szCs w:val="22"/>
          <w:lang w:eastAsia="en-US"/>
        </w:rPr>
        <w:t xml:space="preserve">site </w:t>
      </w:r>
      <w:r w:rsidR="001C037C">
        <w:rPr>
          <w:rFonts w:eastAsia="Calibri"/>
          <w:noProof/>
          <w:sz w:val="22"/>
          <w:szCs w:val="22"/>
          <w:lang w:eastAsia="en-US"/>
        </w:rPr>
        <w:t>(NAR)</w:t>
      </w:r>
      <w:r w:rsidRPr="00BB430C">
        <w:rPr>
          <w:rFonts w:eastAsia="Calibri"/>
          <w:sz w:val="22"/>
          <w:szCs w:val="22"/>
          <w:lang w:eastAsia="en-US"/>
        </w:rPr>
        <w:t xml:space="preserve"> and used within the science of bioinformatics</w:t>
      </w:r>
      <w:r w:rsidR="005A3240">
        <w:rPr>
          <w:rFonts w:eastAsia="Calibri"/>
          <w:sz w:val="22"/>
          <w:szCs w:val="22"/>
          <w:lang w:eastAsia="en-US"/>
        </w:rPr>
        <w:t>.</w:t>
      </w:r>
    </w:p>
    <w:p w14:paraId="3E77B66A" w14:textId="77777777" w:rsidR="00E2600C" w:rsidRPr="00BB430C" w:rsidRDefault="00E2600C">
      <w:pPr>
        <w:rPr>
          <w:sz w:val="22"/>
          <w:szCs w:val="22"/>
        </w:rPr>
      </w:pPr>
      <w:r w:rsidRPr="00BB430C">
        <w:rPr>
          <w:sz w:val="22"/>
          <w:szCs w:val="22"/>
        </w:rPr>
        <w:br w:type="page"/>
      </w:r>
    </w:p>
    <w:p w14:paraId="119DD794" w14:textId="77777777" w:rsidR="004B6903" w:rsidRPr="004B6903" w:rsidRDefault="00DB04CA" w:rsidP="008679C7">
      <w:pPr>
        <w:pStyle w:val="TableEntry"/>
        <w:numPr>
          <w:ilvl w:val="0"/>
          <w:numId w:val="5"/>
        </w:numPr>
        <w:spacing w:before="120" w:after="120"/>
        <w:ind w:left="0" w:firstLine="0"/>
        <w:jc w:val="center"/>
        <w:rPr>
          <w:b/>
          <w:caps/>
          <w:sz w:val="24"/>
          <w:szCs w:val="24"/>
          <w:lang w:eastAsia="pl-PL"/>
        </w:rPr>
      </w:pPr>
      <w:r w:rsidRPr="00796F66">
        <w:rPr>
          <w:b/>
          <w:caps/>
          <w:sz w:val="24"/>
          <w:szCs w:val="24"/>
          <w:lang w:eastAsia="pl-PL"/>
        </w:rPr>
        <w:lastRenderedPageBreak/>
        <w:t>Current status of biotechnologies using DSI in the management of GRFA and agroecosystems and the types and extent of current uses of DSI on GRFA in biotechnologies</w:t>
      </w:r>
    </w:p>
    <w:p w14:paraId="6F63FEC9" w14:textId="77777777" w:rsidR="004B6903" w:rsidRPr="00BB430C" w:rsidRDefault="004B6903" w:rsidP="00596DE3">
      <w:pPr>
        <w:pStyle w:val="TableEntry"/>
        <w:spacing w:before="120" w:after="120"/>
        <w:rPr>
          <w:noProof w:val="0"/>
        </w:rPr>
      </w:pPr>
      <w:r w:rsidRPr="00BB430C">
        <w:rPr>
          <w:noProof w:val="0"/>
        </w:rPr>
        <w:t>DSI</w:t>
      </w:r>
      <w:r>
        <w:rPr>
          <w:noProof w:val="0"/>
        </w:rPr>
        <w:t xml:space="preserve"> is an </w:t>
      </w:r>
      <w:r w:rsidR="00DA2546">
        <w:rPr>
          <w:noProof w:val="0"/>
        </w:rPr>
        <w:t>integrated part of</w:t>
      </w:r>
      <w:r>
        <w:rPr>
          <w:noProof w:val="0"/>
        </w:rPr>
        <w:t xml:space="preserve"> </w:t>
      </w:r>
      <w:r w:rsidR="00E16360">
        <w:rPr>
          <w:noProof w:val="0"/>
        </w:rPr>
        <w:t>many</w:t>
      </w:r>
      <w:r>
        <w:rPr>
          <w:noProof w:val="0"/>
        </w:rPr>
        <w:t xml:space="preserve"> biotechnologies used in breeding and management.</w:t>
      </w:r>
      <w:r w:rsidR="00DA2546">
        <w:rPr>
          <w:noProof w:val="0"/>
        </w:rPr>
        <w:t xml:space="preserve"> It is often invisible to the untrained eye because it is woven into the fabric of the technology</w:t>
      </w:r>
      <w:r w:rsidR="00C60ACF">
        <w:rPr>
          <w:noProof w:val="0"/>
        </w:rPr>
        <w:t xml:space="preserve"> (e.g. see </w:t>
      </w:r>
      <w:r w:rsidR="00C60ACF" w:rsidRPr="00021DE7">
        <w:t xml:space="preserve">Box </w:t>
      </w:r>
      <w:r w:rsidR="00C60ACF">
        <w:t>1. How is DSI used in a SNP chip?)</w:t>
      </w:r>
      <w:r w:rsidR="00DA2546">
        <w:rPr>
          <w:noProof w:val="0"/>
        </w:rPr>
        <w:t>.</w:t>
      </w:r>
    </w:p>
    <w:p w14:paraId="6A3263CC" w14:textId="77777777" w:rsidR="00875246" w:rsidRDefault="00596DE3" w:rsidP="00596DE3">
      <w:pPr>
        <w:pStyle w:val="TableEntry"/>
        <w:spacing w:before="120" w:after="120"/>
        <w:rPr>
          <w:noProof w:val="0"/>
        </w:rPr>
      </w:pPr>
      <w:r w:rsidRPr="00BB430C">
        <w:rPr>
          <w:noProof w:val="0"/>
        </w:rPr>
        <w:t>This chapter</w:t>
      </w:r>
      <w:r w:rsidR="00875246">
        <w:rPr>
          <w:noProof w:val="0"/>
        </w:rPr>
        <w:t xml:space="preserve"> is organized</w:t>
      </w:r>
      <w:r w:rsidR="001E68D6">
        <w:rPr>
          <w:noProof w:val="0"/>
        </w:rPr>
        <w:t xml:space="preserve"> according</w:t>
      </w:r>
      <w:r w:rsidR="001E68D6" w:rsidRPr="001E68D6">
        <w:rPr>
          <w:noProof w:val="0"/>
        </w:rPr>
        <w:t xml:space="preserve"> </w:t>
      </w:r>
      <w:r w:rsidR="001E68D6" w:rsidRPr="00BB430C">
        <w:rPr>
          <w:noProof w:val="0"/>
        </w:rPr>
        <w:t>to</w:t>
      </w:r>
      <w:r w:rsidR="001E68D6">
        <w:rPr>
          <w:noProof w:val="0"/>
        </w:rPr>
        <w:t xml:space="preserve"> the</w:t>
      </w:r>
      <w:r w:rsidR="001E68D6" w:rsidRPr="00BB430C">
        <w:rPr>
          <w:noProof w:val="0"/>
        </w:rPr>
        <w:t xml:space="preserve"> </w:t>
      </w:r>
      <w:r w:rsidR="001E68D6">
        <w:rPr>
          <w:noProof w:val="0"/>
        </w:rPr>
        <w:t>characterization,</w:t>
      </w:r>
      <w:r w:rsidR="001E68D6" w:rsidRPr="00BB430C">
        <w:rPr>
          <w:noProof w:val="0"/>
        </w:rPr>
        <w:t xml:space="preserve"> conservation </w:t>
      </w:r>
      <w:r w:rsidR="00215E5F">
        <w:rPr>
          <w:noProof w:val="0"/>
        </w:rPr>
        <w:t>and</w:t>
      </w:r>
      <w:r w:rsidR="00215E5F" w:rsidRPr="00BB430C">
        <w:rPr>
          <w:noProof w:val="0"/>
        </w:rPr>
        <w:t xml:space="preserve"> </w:t>
      </w:r>
      <w:r w:rsidR="001E68D6" w:rsidRPr="00BB430C">
        <w:rPr>
          <w:noProof w:val="0"/>
        </w:rPr>
        <w:t>sustainable use</w:t>
      </w:r>
      <w:r w:rsidR="001E68D6">
        <w:rPr>
          <w:noProof w:val="0"/>
        </w:rPr>
        <w:t xml:space="preserve"> of GRFA</w:t>
      </w:r>
      <w:r w:rsidR="00C60ACF">
        <w:rPr>
          <w:noProof w:val="0"/>
        </w:rPr>
        <w:t xml:space="preserve"> and then further </w:t>
      </w:r>
      <w:r w:rsidR="00586999">
        <w:rPr>
          <w:noProof w:val="0"/>
        </w:rPr>
        <w:t>specialized</w:t>
      </w:r>
      <w:r w:rsidR="00C60ACF">
        <w:rPr>
          <w:noProof w:val="0"/>
        </w:rPr>
        <w:t xml:space="preserve"> to emphasize sector-specific sections</w:t>
      </w:r>
      <w:r w:rsidR="001E68D6">
        <w:rPr>
          <w:noProof w:val="0"/>
        </w:rPr>
        <w:t xml:space="preserve"> a</w:t>
      </w:r>
      <w:r w:rsidR="002623C3">
        <w:rPr>
          <w:noProof w:val="0"/>
        </w:rPr>
        <w:t>nimal</w:t>
      </w:r>
      <w:r w:rsidR="001F2258">
        <w:rPr>
          <w:noProof w:val="0"/>
          <w:vertAlign w:val="superscript"/>
        </w:rPr>
        <w:t>3</w:t>
      </w:r>
      <w:r w:rsidR="001E68D6">
        <w:rPr>
          <w:noProof w:val="0"/>
        </w:rPr>
        <w:t>, a</w:t>
      </w:r>
      <w:r w:rsidR="002623C3">
        <w:rPr>
          <w:noProof w:val="0"/>
        </w:rPr>
        <w:t>quatic</w:t>
      </w:r>
      <w:r w:rsidR="001F2258">
        <w:rPr>
          <w:noProof w:val="0"/>
          <w:vertAlign w:val="superscript"/>
        </w:rPr>
        <w:t>4</w:t>
      </w:r>
      <w:r w:rsidR="001E68D6">
        <w:rPr>
          <w:noProof w:val="0"/>
        </w:rPr>
        <w:t>, forest, microbial and plant</w:t>
      </w:r>
      <w:r w:rsidR="00C60ACF">
        <w:rPr>
          <w:noProof w:val="0"/>
        </w:rPr>
        <w:t xml:space="preserve"> genetic resources</w:t>
      </w:r>
      <w:r w:rsidR="001E68D6" w:rsidRPr="00BB430C">
        <w:rPr>
          <w:noProof w:val="0"/>
        </w:rPr>
        <w:t>.</w:t>
      </w:r>
      <w:r w:rsidR="00875246">
        <w:rPr>
          <w:noProof w:val="0"/>
        </w:rPr>
        <w:t xml:space="preserve"> Rather than recreate </w:t>
      </w:r>
      <w:r w:rsidR="001E68D6">
        <w:rPr>
          <w:noProof w:val="0"/>
        </w:rPr>
        <w:t>Background Study Paper NO. 52 which</w:t>
      </w:r>
      <w:r w:rsidR="00215E5F">
        <w:rPr>
          <w:noProof w:val="0"/>
        </w:rPr>
        <w:t xml:space="preserve"> already</w:t>
      </w:r>
      <w:r w:rsidR="001E68D6">
        <w:rPr>
          <w:noProof w:val="0"/>
        </w:rPr>
        <w:t xml:space="preserve"> describes</w:t>
      </w:r>
      <w:r w:rsidR="00215E5F">
        <w:rPr>
          <w:noProof w:val="0"/>
        </w:rPr>
        <w:t xml:space="preserve"> in detail</w:t>
      </w:r>
      <w:r w:rsidR="001E68D6">
        <w:rPr>
          <w:noProof w:val="0"/>
        </w:rPr>
        <w:t xml:space="preserve"> the biotechnologies applied</w:t>
      </w:r>
      <w:r w:rsidR="00875246">
        <w:rPr>
          <w:noProof w:val="0"/>
        </w:rPr>
        <w:t xml:space="preserve"> to the conservation and sustainable use of genetic resources</w:t>
      </w:r>
      <w:r w:rsidR="001E68D6">
        <w:rPr>
          <w:noProof w:val="0"/>
        </w:rPr>
        <w:t xml:space="preserve"> </w:t>
      </w:r>
      <w:r w:rsidR="001C037C">
        <w:t>(Lidder and Sonnino, 2011)</w:t>
      </w:r>
      <w:r w:rsidR="00215E5F">
        <w:rPr>
          <w:noProof w:val="0"/>
        </w:rPr>
        <w:t>, also by sub-sector</w:t>
      </w:r>
      <w:r w:rsidR="00875246">
        <w:rPr>
          <w:noProof w:val="0"/>
        </w:rPr>
        <w:t>,</w:t>
      </w:r>
      <w:r w:rsidR="001E68D6">
        <w:rPr>
          <w:noProof w:val="0"/>
        </w:rPr>
        <w:t xml:space="preserve"> here</w:t>
      </w:r>
      <w:r w:rsidR="00875246">
        <w:rPr>
          <w:noProof w:val="0"/>
        </w:rPr>
        <w:t xml:space="preserve"> the role of DSI in the biotechnologies listed by</w:t>
      </w:r>
      <w:r w:rsidR="001E68D6">
        <w:rPr>
          <w:noProof w:val="0"/>
        </w:rPr>
        <w:t xml:space="preserve"> Lidder and Sonnino (2011)</w:t>
      </w:r>
      <w:r w:rsidR="00875246">
        <w:rPr>
          <w:noProof w:val="0"/>
        </w:rPr>
        <w:t xml:space="preserve"> will be described.</w:t>
      </w:r>
    </w:p>
    <w:p w14:paraId="2A2B6FD6" w14:textId="77777777" w:rsidR="00CE2B70" w:rsidRDefault="00875246" w:rsidP="00875246">
      <w:pPr>
        <w:pStyle w:val="TableEntry"/>
        <w:spacing w:before="120" w:after="120"/>
        <w:rPr>
          <w:noProof w:val="0"/>
        </w:rPr>
      </w:pPr>
      <w:r>
        <w:rPr>
          <w:noProof w:val="0"/>
        </w:rPr>
        <w:t>Examples highlighted in this section</w:t>
      </w:r>
      <w:r w:rsidR="00596DE3" w:rsidRPr="00BB430C">
        <w:rPr>
          <w:noProof w:val="0"/>
        </w:rPr>
        <w:t xml:space="preserve"> are intended to illustrate scientific and commercial uses, drawing from the credible, peer-reviewed and </w:t>
      </w:r>
      <w:r w:rsidR="00586999">
        <w:rPr>
          <w:noProof w:val="0"/>
        </w:rPr>
        <w:t>recent</w:t>
      </w:r>
      <w:r w:rsidR="00596DE3" w:rsidRPr="00BB430C">
        <w:rPr>
          <w:noProof w:val="0"/>
        </w:rPr>
        <w:t xml:space="preserve"> scientific literature. That necessarily restricts examples to the</w:t>
      </w:r>
      <w:r w:rsidR="00983760">
        <w:rPr>
          <w:noProof w:val="0"/>
        </w:rPr>
        <w:t xml:space="preserve"> past,</w:t>
      </w:r>
      <w:r w:rsidR="00596DE3" w:rsidRPr="00BB430C">
        <w:rPr>
          <w:noProof w:val="0"/>
        </w:rPr>
        <w:t xml:space="preserve"> present or near future. However, it is evident that all the kinds of information described in the previous chapter are being taken from and used on GRFA.</w:t>
      </w:r>
    </w:p>
    <w:p w14:paraId="5F6E3FB4" w14:textId="77777777" w:rsidR="000923DB" w:rsidRDefault="000923DB" w:rsidP="00596DE3">
      <w:pPr>
        <w:pStyle w:val="TableEntry"/>
        <w:spacing w:before="120" w:after="120"/>
        <w:rPr>
          <w:noProof w:val="0"/>
        </w:rPr>
      </w:pPr>
    </w:p>
    <w:p w14:paraId="238EC9DD" w14:textId="77777777" w:rsidR="00063404" w:rsidRPr="00796F66" w:rsidRDefault="00063404" w:rsidP="00B94460">
      <w:pPr>
        <w:pStyle w:val="Heading2"/>
        <w:spacing w:before="120" w:after="120"/>
        <w:rPr>
          <w:sz w:val="24"/>
          <w:szCs w:val="24"/>
        </w:rPr>
      </w:pPr>
      <w:r w:rsidRPr="00796F66">
        <w:rPr>
          <w:rFonts w:ascii="Times New Roman" w:hAnsi="Times New Roman" w:cs="Times New Roman"/>
          <w:bCs w:val="0"/>
          <w:i w:val="0"/>
          <w:iCs w:val="0"/>
          <w:noProof/>
          <w:sz w:val="24"/>
          <w:szCs w:val="24"/>
        </w:rPr>
        <w:t>3.1 Characterization</w:t>
      </w:r>
    </w:p>
    <w:p w14:paraId="37E2E539" w14:textId="77777777" w:rsidR="00E715B6" w:rsidRPr="00B94460" w:rsidRDefault="00E715B6" w:rsidP="00B94460">
      <w:pPr>
        <w:shd w:val="clear" w:color="auto" w:fill="E0E0E0"/>
        <w:spacing w:after="120"/>
        <w:rPr>
          <w:rFonts w:eastAsia="Calibri"/>
          <w:sz w:val="20"/>
          <w:szCs w:val="22"/>
          <w:lang w:val="en-US" w:eastAsia="en-US"/>
        </w:rPr>
      </w:pPr>
      <w:bookmarkStart w:id="11" w:name="_Toc374968961"/>
      <w:r>
        <w:rPr>
          <w:rFonts w:eastAsia="Calibri"/>
          <w:sz w:val="20"/>
          <w:szCs w:val="22"/>
          <w:lang w:val="en-US" w:eastAsia="en-US"/>
        </w:rPr>
        <w:t>“</w:t>
      </w:r>
      <w:r w:rsidRPr="00B94460">
        <w:rPr>
          <w:rFonts w:eastAsia="Calibri"/>
          <w:sz w:val="20"/>
          <w:szCs w:val="22"/>
          <w:lang w:val="en-US" w:eastAsia="en-US"/>
        </w:rPr>
        <w:t>Scientists can now rapidly read the DNA of an organism—even a plant—anywhere.</w:t>
      </w:r>
      <w:r w:rsidR="001F004C">
        <w:rPr>
          <w:rFonts w:eastAsia="Calibri"/>
          <w:sz w:val="20"/>
          <w:szCs w:val="22"/>
          <w:lang w:val="en-US" w:eastAsia="en-US"/>
        </w:rPr>
        <w:t xml:space="preserve"> </w:t>
      </w:r>
      <w:r w:rsidRPr="00B94460">
        <w:rPr>
          <w:rFonts w:eastAsia="Calibri"/>
          <w:sz w:val="20"/>
          <w:szCs w:val="22"/>
          <w:lang w:val="en-US" w:eastAsia="en-US"/>
        </w:rPr>
        <w:t>Researchers at the Royal Botanic Gardens, Kew, have recently reported on their use of a handheld real-time DNA sequencing device that allowed them to identify the various species of an entire field of plants far faster than could be done using previous methods.</w:t>
      </w:r>
      <w:r w:rsidR="001F004C">
        <w:rPr>
          <w:rFonts w:eastAsia="Calibri"/>
          <w:sz w:val="20"/>
          <w:szCs w:val="22"/>
          <w:lang w:val="en-US" w:eastAsia="en-US"/>
        </w:rPr>
        <w:t xml:space="preserve"> </w:t>
      </w:r>
      <w:r w:rsidRPr="00B94460">
        <w:rPr>
          <w:rFonts w:eastAsia="Calibri"/>
          <w:sz w:val="20"/>
          <w:szCs w:val="22"/>
          <w:lang w:val="en-US" w:eastAsia="en-US"/>
        </w:rPr>
        <w:t>This was the first time genomic sequencing of plants has been performed in the field. They highlight the new opportunities that real-time </w:t>
      </w:r>
      <w:r w:rsidRPr="00B94460">
        <w:rPr>
          <w:rFonts w:eastAsia="Calibri"/>
          <w:sz w:val="20"/>
          <w:lang w:val="en-US" w:eastAsia="en-US"/>
        </w:rPr>
        <w:t>nanopore sequencing</w:t>
      </w:r>
      <w:r w:rsidRPr="00B94460">
        <w:rPr>
          <w:rFonts w:eastAsia="Calibri"/>
          <w:sz w:val="20"/>
          <w:szCs w:val="22"/>
          <w:lang w:val="en-US" w:eastAsia="en-US"/>
        </w:rPr>
        <w:t> (RTnS) offers for plant research and conservation</w:t>
      </w:r>
      <w:r>
        <w:rPr>
          <w:rFonts w:eastAsia="Calibri"/>
          <w:sz w:val="20"/>
          <w:szCs w:val="22"/>
          <w:lang w:val="en-US" w:eastAsia="en-US"/>
        </w:rPr>
        <w:t xml:space="preserve">” </w:t>
      </w:r>
      <w:r w:rsidR="001C037C">
        <w:rPr>
          <w:rFonts w:eastAsia="Calibri"/>
          <w:noProof/>
          <w:sz w:val="20"/>
          <w:szCs w:val="22"/>
          <w:lang w:val="en-US" w:eastAsia="en-US"/>
        </w:rPr>
        <w:t>(Palminteri, 2017)</w:t>
      </w:r>
      <w:r w:rsidRPr="00B94460">
        <w:rPr>
          <w:rFonts w:eastAsia="Calibri"/>
          <w:sz w:val="20"/>
          <w:szCs w:val="22"/>
          <w:lang w:val="en-US" w:eastAsia="en-US"/>
        </w:rPr>
        <w:t>.</w:t>
      </w:r>
    </w:p>
    <w:p w14:paraId="16808F8E" w14:textId="77777777" w:rsidR="00D0715A" w:rsidRDefault="00D0715A" w:rsidP="00D15D65">
      <w:pPr>
        <w:spacing w:after="120"/>
        <w:rPr>
          <w:rFonts w:eastAsia="Calibri"/>
          <w:sz w:val="22"/>
          <w:szCs w:val="22"/>
          <w:lang w:val="en-US" w:eastAsia="en-US"/>
        </w:rPr>
      </w:pPr>
      <w:r w:rsidRPr="00842949">
        <w:rPr>
          <w:rFonts w:eastAsia="Calibri"/>
          <w:sz w:val="22"/>
          <w:szCs w:val="22"/>
          <w:lang w:val="en-US" w:eastAsia="en-US"/>
        </w:rPr>
        <w:t xml:space="preserve">DSI on GRFA is </w:t>
      </w:r>
      <w:r w:rsidR="00586999">
        <w:rPr>
          <w:rFonts w:eastAsia="Calibri"/>
          <w:sz w:val="22"/>
          <w:szCs w:val="22"/>
          <w:lang w:val="en-US" w:eastAsia="en-US"/>
        </w:rPr>
        <w:t>used</w:t>
      </w:r>
      <w:r w:rsidRPr="00842949">
        <w:rPr>
          <w:rFonts w:eastAsia="Calibri"/>
          <w:sz w:val="22"/>
          <w:szCs w:val="22"/>
          <w:lang w:val="en-US" w:eastAsia="en-US"/>
        </w:rPr>
        <w:t xml:space="preserve"> to describe and characterize genetic resources.</w:t>
      </w:r>
      <w:r w:rsidR="00B37854">
        <w:rPr>
          <w:rFonts w:eastAsia="Calibri"/>
          <w:sz w:val="22"/>
          <w:szCs w:val="22"/>
          <w:lang w:val="en-US" w:eastAsia="en-US"/>
        </w:rPr>
        <w:t xml:space="preserve"> Characterization is the first step of information gathering for the purposes of discovering and then ranking genetic resources</w:t>
      </w:r>
      <w:r w:rsidR="00AC1C63">
        <w:rPr>
          <w:rFonts w:eastAsia="Calibri"/>
          <w:sz w:val="22"/>
          <w:szCs w:val="22"/>
          <w:lang w:val="en-US" w:eastAsia="en-US"/>
        </w:rPr>
        <w:t xml:space="preserve"> and specific traits</w:t>
      </w:r>
      <w:r w:rsidR="00B37854">
        <w:rPr>
          <w:rFonts w:eastAsia="Calibri"/>
          <w:sz w:val="22"/>
          <w:szCs w:val="22"/>
          <w:lang w:val="en-US" w:eastAsia="en-US"/>
        </w:rPr>
        <w:t xml:space="preserve"> for conservation or use, and to ensure that use is sustainable.</w:t>
      </w:r>
      <w:r w:rsidRPr="00842949">
        <w:rPr>
          <w:rFonts w:eastAsia="Calibri"/>
          <w:sz w:val="22"/>
          <w:szCs w:val="22"/>
          <w:lang w:val="en-US" w:eastAsia="en-US"/>
        </w:rPr>
        <w:t xml:space="preserve"> </w:t>
      </w:r>
      <w:r w:rsidR="00810B0E" w:rsidRPr="00842949">
        <w:rPr>
          <w:rFonts w:eastAsia="Calibri"/>
          <w:sz w:val="22"/>
          <w:szCs w:val="22"/>
          <w:lang w:val="en-US" w:eastAsia="en-US"/>
        </w:rPr>
        <w:t>DSI on GRFA</w:t>
      </w:r>
      <w:r w:rsidR="00810B0E" w:rsidRPr="00842949" w:rsidDel="00810B0E">
        <w:rPr>
          <w:rFonts w:eastAsia="Calibri"/>
          <w:sz w:val="22"/>
          <w:szCs w:val="22"/>
          <w:lang w:val="en-US" w:eastAsia="en-US"/>
        </w:rPr>
        <w:t xml:space="preserve"> </w:t>
      </w:r>
      <w:r w:rsidRPr="00842949">
        <w:rPr>
          <w:rFonts w:eastAsia="Calibri"/>
          <w:sz w:val="22"/>
          <w:szCs w:val="22"/>
          <w:lang w:val="en-US" w:eastAsia="en-US"/>
        </w:rPr>
        <w:t>provides information about organisms and ecosystems that may be used for basic research, identification, monitoring and to draw comparisons with other organisms and ecosystems</w:t>
      </w:r>
      <w:r w:rsidR="00810B0E">
        <w:rPr>
          <w:rFonts w:eastAsia="Calibri"/>
          <w:sz w:val="22"/>
          <w:szCs w:val="22"/>
          <w:lang w:val="en-US" w:eastAsia="en-US"/>
        </w:rPr>
        <w:t xml:space="preserve"> </w:t>
      </w:r>
      <w:r w:rsidR="001C037C">
        <w:rPr>
          <w:noProof/>
          <w:sz w:val="22"/>
          <w:szCs w:val="22"/>
        </w:rPr>
        <w:t>(Lidder and Sonnino, 2011)</w:t>
      </w:r>
      <w:r w:rsidRPr="00842949">
        <w:rPr>
          <w:rFonts w:eastAsia="Calibri"/>
          <w:sz w:val="22"/>
          <w:szCs w:val="22"/>
          <w:lang w:val="en-US" w:eastAsia="en-US"/>
        </w:rPr>
        <w:t>.</w:t>
      </w:r>
      <w:r w:rsidR="00CA4A44">
        <w:rPr>
          <w:rFonts w:eastAsia="Calibri"/>
          <w:sz w:val="22"/>
          <w:szCs w:val="22"/>
          <w:lang w:val="en-US" w:eastAsia="en-US"/>
        </w:rPr>
        <w:t xml:space="preserve"> </w:t>
      </w:r>
      <w:r w:rsidR="00810B0E">
        <w:rPr>
          <w:rFonts w:eastAsia="Calibri"/>
          <w:sz w:val="22"/>
          <w:szCs w:val="22"/>
          <w:lang w:val="en-US" w:eastAsia="en-US"/>
        </w:rPr>
        <w:t xml:space="preserve">It contributes to </w:t>
      </w:r>
      <w:r>
        <w:rPr>
          <w:rFonts w:eastAsia="Calibri"/>
          <w:sz w:val="22"/>
          <w:szCs w:val="22"/>
          <w:lang w:val="en-US" w:eastAsia="en-US"/>
        </w:rPr>
        <w:t>the systematic collection of information about genotypes, traits, phenotypes, genetic diversi</w:t>
      </w:r>
      <w:r w:rsidR="00E76929">
        <w:rPr>
          <w:rFonts w:eastAsia="Calibri"/>
          <w:sz w:val="22"/>
          <w:szCs w:val="22"/>
          <w:lang w:val="en-US" w:eastAsia="en-US"/>
        </w:rPr>
        <w:t>ty and distance, population structure and size and geographical distribution.</w:t>
      </w:r>
    </w:p>
    <w:p w14:paraId="5D0FF7E0" w14:textId="77777777" w:rsidR="00D15D65" w:rsidRDefault="00D15D65" w:rsidP="00371817">
      <w:pPr>
        <w:spacing w:after="120"/>
        <w:rPr>
          <w:rFonts w:eastAsia="Calibri"/>
          <w:sz w:val="22"/>
          <w:szCs w:val="22"/>
          <w:lang w:val="en-US" w:eastAsia="en-US"/>
        </w:rPr>
      </w:pPr>
      <w:r>
        <w:rPr>
          <w:rFonts w:eastAsia="Calibri"/>
          <w:sz w:val="22"/>
          <w:szCs w:val="22"/>
          <w:lang w:val="en-US" w:eastAsia="en-US"/>
        </w:rPr>
        <w:t xml:space="preserve">Biotechnologies based on the use of DSI are supported by bioinformatics. Characterization biotechnologies include molecular </w:t>
      </w:r>
      <w:r w:rsidR="00D0715A">
        <w:rPr>
          <w:rFonts w:eastAsia="Calibri"/>
          <w:sz w:val="22"/>
          <w:szCs w:val="22"/>
          <w:lang w:val="en-US" w:eastAsia="en-US"/>
        </w:rPr>
        <w:t>markers</w:t>
      </w:r>
      <w:r>
        <w:rPr>
          <w:rFonts w:eastAsia="Calibri"/>
          <w:sz w:val="22"/>
          <w:szCs w:val="22"/>
          <w:lang w:val="en-US" w:eastAsia="en-US"/>
        </w:rPr>
        <w:t xml:space="preserve"> and omics. Molecular markers such as DNA sequences corresponding to particular genes or alleles of genes are stored and transmitted as DSI, and then converted from DSI into molecular tools such as SNPchips. Omics technologies generate data in the form of DSI </w:t>
      </w:r>
      <w:r w:rsidR="00371817">
        <w:rPr>
          <w:rFonts w:eastAsia="Calibri"/>
          <w:sz w:val="22"/>
          <w:szCs w:val="22"/>
          <w:lang w:val="en-US" w:eastAsia="en-US"/>
        </w:rPr>
        <w:t xml:space="preserve">that </w:t>
      </w:r>
      <w:r>
        <w:rPr>
          <w:rFonts w:eastAsia="Calibri"/>
          <w:sz w:val="22"/>
          <w:szCs w:val="22"/>
          <w:lang w:val="en-US" w:eastAsia="en-US"/>
        </w:rPr>
        <w:t>are studied using the computational and quantification framework of bioinformatics. The use of bioinformatics does not end there, but is then used to manipulate and generate new hypotheses and understanding of genomes by combining datasets greater than that which is composed of the DNA sequence of a particular population or species of genetic resource.</w:t>
      </w:r>
    </w:p>
    <w:p w14:paraId="48A53C8B" w14:textId="77777777" w:rsidR="00A30AAE" w:rsidRDefault="00A30AAE" w:rsidP="00D0715A">
      <w:pPr>
        <w:spacing w:after="120"/>
        <w:rPr>
          <w:rFonts w:eastAsia="Calibri"/>
          <w:sz w:val="22"/>
          <w:szCs w:val="22"/>
          <w:lang w:val="en-US" w:eastAsia="en-US"/>
        </w:rPr>
      </w:pPr>
      <w:r>
        <w:rPr>
          <w:rFonts w:eastAsia="Calibri"/>
          <w:sz w:val="22"/>
          <w:szCs w:val="22"/>
          <w:lang w:val="en-US" w:eastAsia="en-US"/>
        </w:rPr>
        <w:t>Genetic variability results in individuals with different traits. Breeding technologies identify these traits and attempt to congregate the most desirable in breeding stock. The underlying basis of these traits, as discussed above, can be variations in DNA sequences at particular locations of the genome, or other kinds of changes at the molecular level, such as differences in the pattern of methyl groups on nucleotides of otherwise identical</w:t>
      </w:r>
      <w:r w:rsidR="00563EFE">
        <w:rPr>
          <w:rFonts w:eastAsia="Calibri"/>
          <w:sz w:val="22"/>
          <w:szCs w:val="22"/>
          <w:lang w:val="en-US" w:eastAsia="en-US"/>
        </w:rPr>
        <w:t xml:space="preserve"> alleles of a gene.</w:t>
      </w:r>
      <w:r>
        <w:rPr>
          <w:rFonts w:eastAsia="Calibri"/>
          <w:sz w:val="22"/>
          <w:szCs w:val="22"/>
          <w:lang w:val="en-US" w:eastAsia="en-US"/>
        </w:rPr>
        <w:t xml:space="preserve"> Molecular markers are used to identify individuals that will possess the desired variation. </w:t>
      </w:r>
      <w:r w:rsidR="00563EFE">
        <w:rPr>
          <w:rFonts w:eastAsia="Calibri"/>
          <w:sz w:val="22"/>
          <w:szCs w:val="22"/>
          <w:lang w:val="en-US" w:eastAsia="en-US"/>
        </w:rPr>
        <w:t xml:space="preserve">The most common molecular markers in use are those that identify DNA sequence variation either in the gene of a trait or linked to it. </w:t>
      </w:r>
    </w:p>
    <w:p w14:paraId="0610771E" w14:textId="77777777" w:rsidR="00CA4A44" w:rsidRDefault="00CA4A44" w:rsidP="00D0715A">
      <w:pPr>
        <w:spacing w:after="120"/>
        <w:rPr>
          <w:rFonts w:eastAsia="Calibri"/>
          <w:sz w:val="22"/>
          <w:szCs w:val="22"/>
          <w:lang w:val="en-US" w:eastAsia="en-US"/>
        </w:rPr>
      </w:pPr>
    </w:p>
    <w:p w14:paraId="40B66C7A" w14:textId="77777777" w:rsidR="00563EFE" w:rsidRDefault="00563EFE" w:rsidP="00D0715A">
      <w:pPr>
        <w:spacing w:after="120"/>
        <w:rPr>
          <w:rFonts w:eastAsia="Calibri"/>
          <w:sz w:val="22"/>
          <w:szCs w:val="22"/>
          <w:lang w:val="en-US" w:eastAsia="en-US"/>
        </w:rPr>
      </w:pPr>
      <w:r>
        <w:rPr>
          <w:rFonts w:eastAsia="Calibri"/>
          <w:sz w:val="22"/>
          <w:szCs w:val="22"/>
          <w:lang w:val="en-US" w:eastAsia="en-US"/>
        </w:rPr>
        <w:lastRenderedPageBreak/>
        <w:t xml:space="preserve">Techniques such as restriction fragment length polymorphisms (RFLPs), random amplified polymorphic DNAs (RAPDs), amplified fragment length polymorphisms (AFLPs), and microsatellites and </w:t>
      </w:r>
      <w:r w:rsidR="002F227B">
        <w:rPr>
          <w:rFonts w:eastAsia="Calibri"/>
          <w:sz w:val="22"/>
          <w:szCs w:val="22"/>
          <w:lang w:val="en-US" w:eastAsia="en-US"/>
        </w:rPr>
        <w:t>SNPs</w:t>
      </w:r>
      <w:r>
        <w:rPr>
          <w:rFonts w:eastAsia="Calibri"/>
          <w:sz w:val="22"/>
          <w:szCs w:val="22"/>
          <w:lang w:val="en-US" w:eastAsia="en-US"/>
        </w:rPr>
        <w:t xml:space="preserve"> are either based on tools that generate DSI (e.g. RFLPs) or use DSI and generate new DSI (e.g. SNPs).</w:t>
      </w:r>
    </w:p>
    <w:p w14:paraId="316C4F1A" w14:textId="77777777" w:rsidR="00563EFE" w:rsidRDefault="00BD021E" w:rsidP="00D0715A">
      <w:pPr>
        <w:spacing w:after="120"/>
        <w:rPr>
          <w:rFonts w:eastAsia="Calibri"/>
          <w:sz w:val="22"/>
          <w:szCs w:val="22"/>
          <w:lang w:val="en-US" w:eastAsia="en-US"/>
        </w:rPr>
      </w:pPr>
      <w:r>
        <w:rPr>
          <w:rFonts w:eastAsia="Calibri"/>
          <w:sz w:val="22"/>
          <w:szCs w:val="22"/>
          <w:lang w:val="en-US" w:eastAsia="en-US"/>
        </w:rPr>
        <w:t>RFLP</w:t>
      </w:r>
      <w:r w:rsidR="00563EFE">
        <w:rPr>
          <w:rFonts w:eastAsia="Calibri"/>
          <w:sz w:val="22"/>
          <w:szCs w:val="22"/>
          <w:lang w:val="en-US" w:eastAsia="en-US"/>
        </w:rPr>
        <w:t xml:space="preserve"> uses enzymes called restriction endonucleases that have a high specificity for particular nucleotide sequences within a double-stranded DNA molecule and cleave the molecule at these sequences. Because the substrate sequences are not found at regular intervals in a genome, the</w:t>
      </w:r>
      <w:r w:rsidR="00586999">
        <w:rPr>
          <w:rFonts w:eastAsia="Calibri"/>
          <w:sz w:val="22"/>
          <w:szCs w:val="22"/>
          <w:lang w:val="en-US" w:eastAsia="en-US"/>
        </w:rPr>
        <w:t xml:space="preserve"> restriction enzymes produce</w:t>
      </w:r>
      <w:r w:rsidR="00563EFE">
        <w:rPr>
          <w:rFonts w:eastAsia="Calibri"/>
          <w:sz w:val="22"/>
          <w:szCs w:val="22"/>
          <w:lang w:val="en-US" w:eastAsia="en-US"/>
        </w:rPr>
        <w:t xml:space="preserve"> cleavage products </w:t>
      </w:r>
      <w:r w:rsidR="00586999">
        <w:rPr>
          <w:rFonts w:eastAsia="Calibri"/>
          <w:sz w:val="22"/>
          <w:szCs w:val="22"/>
          <w:lang w:val="en-US" w:eastAsia="en-US"/>
        </w:rPr>
        <w:t>of various sizes</w:t>
      </w:r>
      <w:r w:rsidR="00563EFE">
        <w:rPr>
          <w:rFonts w:eastAsia="Calibri"/>
          <w:sz w:val="22"/>
          <w:szCs w:val="22"/>
          <w:lang w:val="en-US" w:eastAsia="en-US"/>
        </w:rPr>
        <w:t>. Where this variance in the size of the derivative fragments can be associated with trait differences, the pattern can be used to identify individuals that carry the desired trait. The pattern itself is converted into DSI.</w:t>
      </w:r>
    </w:p>
    <w:p w14:paraId="23235690" w14:textId="77777777" w:rsidR="00563EFE" w:rsidRDefault="00BD021E" w:rsidP="00D0715A">
      <w:pPr>
        <w:spacing w:after="120"/>
        <w:rPr>
          <w:rFonts w:eastAsia="Calibri"/>
          <w:sz w:val="22"/>
          <w:szCs w:val="22"/>
          <w:lang w:val="en-US" w:eastAsia="en-US"/>
        </w:rPr>
      </w:pPr>
      <w:r>
        <w:rPr>
          <w:rFonts w:eastAsia="Calibri"/>
          <w:sz w:val="22"/>
          <w:szCs w:val="22"/>
          <w:lang w:val="en-US" w:eastAsia="en-US"/>
        </w:rPr>
        <w:t>SNPchips use</w:t>
      </w:r>
      <w:r w:rsidR="00563EFE">
        <w:rPr>
          <w:rFonts w:eastAsia="Calibri"/>
          <w:sz w:val="22"/>
          <w:szCs w:val="22"/>
          <w:lang w:val="en-US" w:eastAsia="en-US"/>
        </w:rPr>
        <w:t xml:space="preserve"> </w:t>
      </w:r>
      <w:r w:rsidR="00D8190B">
        <w:rPr>
          <w:rFonts w:eastAsia="Calibri"/>
          <w:sz w:val="22"/>
          <w:szCs w:val="22"/>
          <w:lang w:val="en-US" w:eastAsia="en-US"/>
        </w:rPr>
        <w:t xml:space="preserve">DSI derived from </w:t>
      </w:r>
      <w:r w:rsidR="00563EFE">
        <w:rPr>
          <w:rFonts w:eastAsia="Calibri"/>
          <w:sz w:val="22"/>
          <w:szCs w:val="22"/>
          <w:lang w:val="en-US" w:eastAsia="en-US"/>
        </w:rPr>
        <w:t>DNA sequences to generate short single-stranded DNA molecules that are used to hybridize with DNA from the genomes of target organisms.</w:t>
      </w:r>
      <w:r w:rsidR="00D8190B">
        <w:rPr>
          <w:rFonts w:eastAsia="Calibri"/>
          <w:sz w:val="22"/>
          <w:szCs w:val="22"/>
          <w:lang w:val="en-US" w:eastAsia="en-US"/>
        </w:rPr>
        <w:t xml:space="preserve"> In the context of a SNPchip (Box 1), a probe in a Southern blot or primers in </w:t>
      </w:r>
      <w:r w:rsidR="00006BC7">
        <w:rPr>
          <w:rFonts w:eastAsia="Calibri"/>
          <w:sz w:val="22"/>
          <w:szCs w:val="22"/>
          <w:lang w:val="en-US" w:eastAsia="en-US"/>
        </w:rPr>
        <w:t>techniques based on the polymerase chain reaction</w:t>
      </w:r>
      <w:r w:rsidR="00D8190B">
        <w:rPr>
          <w:rFonts w:eastAsia="Calibri"/>
          <w:sz w:val="22"/>
          <w:szCs w:val="22"/>
          <w:lang w:val="en-US" w:eastAsia="en-US"/>
        </w:rPr>
        <w:t>, these “oligonucleotides” are the tools that make it possible to identify individuals with the marker for the trait.</w:t>
      </w:r>
    </w:p>
    <w:p w14:paraId="1DBC9C0B" w14:textId="77777777" w:rsidR="00006BC7" w:rsidRDefault="00006BC7" w:rsidP="00D0715A">
      <w:pPr>
        <w:spacing w:after="120"/>
        <w:rPr>
          <w:rFonts w:eastAsia="Calibri"/>
          <w:sz w:val="22"/>
          <w:szCs w:val="22"/>
          <w:lang w:val="en-US" w:eastAsia="en-US"/>
        </w:rPr>
      </w:pPr>
      <w:r>
        <w:rPr>
          <w:rFonts w:eastAsia="Calibri"/>
          <w:sz w:val="22"/>
          <w:szCs w:val="22"/>
          <w:lang w:val="en-US" w:eastAsia="en-US"/>
        </w:rPr>
        <w:t>The DSI generated from molecular markers is cou</w:t>
      </w:r>
      <w:r w:rsidR="000F3311">
        <w:rPr>
          <w:rFonts w:eastAsia="Calibri"/>
          <w:sz w:val="22"/>
          <w:szCs w:val="22"/>
          <w:lang w:val="en-US" w:eastAsia="en-US"/>
        </w:rPr>
        <w:t xml:space="preserve">pled with other kinds of DSI when making decisions for conservation and use </w:t>
      </w:r>
      <w:r w:rsidR="001C037C">
        <w:rPr>
          <w:noProof/>
          <w:sz w:val="22"/>
          <w:szCs w:val="22"/>
        </w:rPr>
        <w:t>(Lidder and Sonnino, 2011)</w:t>
      </w:r>
      <w:r w:rsidR="000F3311">
        <w:rPr>
          <w:rFonts w:eastAsia="Calibri"/>
          <w:sz w:val="22"/>
          <w:szCs w:val="22"/>
          <w:lang w:val="en-US" w:eastAsia="en-US"/>
        </w:rPr>
        <w:t>. Thus again, DSI is not one kind of thing, such a text file of four letters, but instead multifaceted and contextual. The full power of informatics platforms is realized when these different but complementary forms of DSI are combined as they are already, and will be more in the future</w:t>
      </w:r>
      <w:r w:rsidR="00256D3E">
        <w:rPr>
          <w:rFonts w:eastAsia="Calibri"/>
          <w:sz w:val="22"/>
          <w:szCs w:val="22"/>
          <w:lang w:val="en-US" w:eastAsia="en-US"/>
        </w:rPr>
        <w:t xml:space="preserve"> </w:t>
      </w:r>
      <w:r w:rsidR="006D22B0">
        <w:rPr>
          <w:rFonts w:eastAsia="Calibri"/>
          <w:noProof/>
          <w:sz w:val="22"/>
          <w:szCs w:val="22"/>
          <w:lang w:val="en-US" w:eastAsia="en-US"/>
        </w:rPr>
        <w:t>(Ibanez-Escriche and Simianer, 2016)</w:t>
      </w:r>
      <w:r w:rsidR="000F3311">
        <w:rPr>
          <w:rFonts w:eastAsia="Calibri"/>
          <w:sz w:val="22"/>
          <w:szCs w:val="22"/>
          <w:lang w:val="en-US" w:eastAsia="en-US"/>
        </w:rPr>
        <w:t>.</w:t>
      </w:r>
    </w:p>
    <w:p w14:paraId="67BB21A5" w14:textId="77777777" w:rsidR="00D15D65" w:rsidRDefault="000F3311" w:rsidP="00D0715A">
      <w:pPr>
        <w:spacing w:after="120"/>
        <w:rPr>
          <w:rFonts w:eastAsia="Calibri"/>
          <w:sz w:val="22"/>
          <w:szCs w:val="22"/>
          <w:lang w:val="en-US" w:eastAsia="en-US"/>
        </w:rPr>
      </w:pPr>
      <w:r>
        <w:rPr>
          <w:rFonts w:eastAsia="Calibri"/>
          <w:sz w:val="22"/>
          <w:szCs w:val="22"/>
          <w:lang w:val="en-US" w:eastAsia="en-US"/>
        </w:rPr>
        <w:t>Molecular markers contribute to characterization in a number of ways. They can be used to form an assessment of intraspecific diversity and document domestication events. Especially when species are difficult to distinguish based on morphological evidence, molecular markers provide a reliable means to identify interspecific variation. Indeed, the technique called “barcoding” is now routinely used for this purpose.</w:t>
      </w:r>
    </w:p>
    <w:p w14:paraId="11069401" w14:textId="77777777" w:rsidR="000F3311" w:rsidRDefault="000F3311" w:rsidP="00D0715A">
      <w:pPr>
        <w:spacing w:after="120"/>
        <w:rPr>
          <w:rFonts w:eastAsia="Calibri"/>
          <w:sz w:val="22"/>
          <w:szCs w:val="22"/>
          <w:lang w:val="en-US" w:eastAsia="en-US"/>
        </w:rPr>
      </w:pPr>
      <w:r>
        <w:rPr>
          <w:rFonts w:eastAsia="Calibri"/>
          <w:sz w:val="22"/>
          <w:szCs w:val="22"/>
          <w:lang w:val="en-US" w:eastAsia="en-US"/>
        </w:rPr>
        <w:t xml:space="preserve">Barcoding </w:t>
      </w:r>
      <w:r>
        <w:rPr>
          <w:sz w:val="22"/>
          <w:szCs w:val="22"/>
        </w:rPr>
        <w:t>uses</w:t>
      </w:r>
      <w:r w:rsidR="003F50DC">
        <w:rPr>
          <w:sz w:val="22"/>
          <w:szCs w:val="22"/>
        </w:rPr>
        <w:t xml:space="preserve"> DSI on</w:t>
      </w:r>
      <w:r>
        <w:rPr>
          <w:sz w:val="22"/>
          <w:szCs w:val="22"/>
        </w:rPr>
        <w:t xml:space="preserve"> DNA sequences from a gene or genomic location for species identification and discovery </w:t>
      </w:r>
      <w:r w:rsidR="001C037C">
        <w:rPr>
          <w:noProof/>
          <w:sz w:val="22"/>
          <w:szCs w:val="22"/>
        </w:rPr>
        <w:t>(Lidder and Sonnino, 2011)</w:t>
      </w:r>
      <w:r>
        <w:rPr>
          <w:sz w:val="22"/>
          <w:szCs w:val="22"/>
        </w:rPr>
        <w:t xml:space="preserve">. A variation of barcoding is metabarcoding, where an estimate of biological diversity is derived from direct isolation of DNA from a sample, such as a soil sample </w:t>
      </w:r>
      <w:r w:rsidR="001C037C">
        <w:rPr>
          <w:noProof/>
          <w:sz w:val="22"/>
          <w:szCs w:val="22"/>
        </w:rPr>
        <w:t>(Orwin</w:t>
      </w:r>
      <w:r w:rsidR="001C037C" w:rsidRPr="001C037C">
        <w:rPr>
          <w:i/>
          <w:noProof/>
          <w:sz w:val="22"/>
          <w:szCs w:val="22"/>
        </w:rPr>
        <w:t xml:space="preserve"> et al.</w:t>
      </w:r>
      <w:r w:rsidR="001C037C">
        <w:rPr>
          <w:noProof/>
          <w:sz w:val="22"/>
          <w:szCs w:val="22"/>
        </w:rPr>
        <w:t>, 2018)</w:t>
      </w:r>
      <w:r>
        <w:rPr>
          <w:sz w:val="22"/>
          <w:szCs w:val="22"/>
        </w:rPr>
        <w:t>.</w:t>
      </w:r>
    </w:p>
    <w:p w14:paraId="4468B4C4" w14:textId="77777777" w:rsidR="00940617" w:rsidRDefault="00943057" w:rsidP="00940617">
      <w:pPr>
        <w:spacing w:after="120"/>
        <w:rPr>
          <w:rFonts w:eastAsia="Calibri"/>
          <w:sz w:val="22"/>
          <w:szCs w:val="22"/>
          <w:lang w:val="en-US" w:eastAsia="en-US"/>
        </w:rPr>
      </w:pPr>
      <w:r>
        <w:rPr>
          <w:rFonts w:eastAsia="Calibri"/>
          <w:sz w:val="22"/>
          <w:szCs w:val="22"/>
          <w:lang w:val="en-US" w:eastAsia="en-US"/>
        </w:rPr>
        <w:t>DSI on</w:t>
      </w:r>
      <w:r w:rsidR="008D733D">
        <w:rPr>
          <w:rFonts w:eastAsia="Calibri"/>
          <w:sz w:val="22"/>
          <w:szCs w:val="22"/>
          <w:lang w:val="en-US" w:eastAsia="en-US"/>
        </w:rPr>
        <w:t xml:space="preserve"> DNA sequences, pedigree data</w:t>
      </w:r>
      <w:r w:rsidR="00257080">
        <w:rPr>
          <w:rFonts w:eastAsia="Calibri"/>
          <w:sz w:val="22"/>
          <w:szCs w:val="22"/>
          <w:lang w:val="en-US" w:eastAsia="en-US"/>
        </w:rPr>
        <w:t xml:space="preserve"> and geographical distribution</w:t>
      </w:r>
      <w:r w:rsidR="008D733D">
        <w:rPr>
          <w:rFonts w:eastAsia="Calibri"/>
          <w:sz w:val="22"/>
          <w:szCs w:val="22"/>
          <w:lang w:val="en-US" w:eastAsia="en-US"/>
        </w:rPr>
        <w:t xml:space="preserve"> is used to calculate effective population sizes, N</w:t>
      </w:r>
      <w:r w:rsidR="008D733D" w:rsidRPr="0005168B">
        <w:rPr>
          <w:rFonts w:eastAsia="Calibri"/>
          <w:sz w:val="22"/>
          <w:szCs w:val="22"/>
          <w:vertAlign w:val="subscript"/>
          <w:lang w:val="en-US" w:eastAsia="en-US"/>
        </w:rPr>
        <w:t>e</w:t>
      </w:r>
      <w:r w:rsidR="008D733D">
        <w:rPr>
          <w:rFonts w:eastAsia="Calibri"/>
          <w:sz w:val="22"/>
          <w:szCs w:val="22"/>
          <w:vertAlign w:val="subscript"/>
          <w:lang w:val="en-US" w:eastAsia="en-US"/>
        </w:rPr>
        <w:t xml:space="preserve"> </w:t>
      </w:r>
      <w:r w:rsidR="001C037C">
        <w:rPr>
          <w:noProof/>
          <w:sz w:val="22"/>
          <w:szCs w:val="22"/>
        </w:rPr>
        <w:t>(Lidder and Sonnino, 2011; Morin</w:t>
      </w:r>
      <w:r w:rsidR="001C037C" w:rsidRPr="001C037C">
        <w:rPr>
          <w:i/>
          <w:noProof/>
          <w:sz w:val="22"/>
          <w:szCs w:val="22"/>
        </w:rPr>
        <w:t xml:space="preserve"> et al.</w:t>
      </w:r>
      <w:r w:rsidR="001C037C">
        <w:rPr>
          <w:noProof/>
          <w:sz w:val="22"/>
          <w:szCs w:val="22"/>
        </w:rPr>
        <w:t>, 2015)</w:t>
      </w:r>
      <w:r>
        <w:rPr>
          <w:rFonts w:eastAsia="Calibri"/>
          <w:sz w:val="22"/>
          <w:szCs w:val="22"/>
          <w:lang w:val="en-US" w:eastAsia="en-US"/>
        </w:rPr>
        <w:t xml:space="preserve">. </w:t>
      </w:r>
      <w:r w:rsidR="00940617">
        <w:rPr>
          <w:rFonts w:eastAsia="Calibri"/>
          <w:sz w:val="22"/>
          <w:szCs w:val="22"/>
          <w:lang w:val="en-US" w:eastAsia="en-US"/>
        </w:rPr>
        <w:t>N</w:t>
      </w:r>
      <w:r w:rsidR="00940617" w:rsidRPr="0005168B">
        <w:rPr>
          <w:rFonts w:eastAsia="Calibri"/>
          <w:sz w:val="22"/>
          <w:szCs w:val="22"/>
          <w:vertAlign w:val="subscript"/>
          <w:lang w:val="en-US" w:eastAsia="en-US"/>
        </w:rPr>
        <w:t>e</w:t>
      </w:r>
      <w:r w:rsidR="003F50DC">
        <w:rPr>
          <w:rFonts w:eastAsia="Calibri"/>
          <w:sz w:val="22"/>
          <w:szCs w:val="22"/>
          <w:lang w:val="en-US" w:eastAsia="en-US"/>
        </w:rPr>
        <w:t xml:space="preserve"> </w:t>
      </w:r>
      <w:r>
        <w:rPr>
          <w:rFonts w:eastAsia="Calibri"/>
          <w:sz w:val="22"/>
          <w:szCs w:val="22"/>
          <w:lang w:val="en-US" w:eastAsia="en-US"/>
        </w:rPr>
        <w:t xml:space="preserve">is a parameter in population genetics models that helps to ensure that the size of a population of interbreeding organisms is large enough </w:t>
      </w:r>
      <w:r w:rsidR="008D733D">
        <w:rPr>
          <w:rFonts w:eastAsia="Calibri"/>
          <w:sz w:val="22"/>
          <w:szCs w:val="22"/>
          <w:lang w:val="en-US" w:eastAsia="en-US"/>
        </w:rPr>
        <w:t>to maintain genetic variability and oppose uniformity through drift</w:t>
      </w:r>
      <w:r w:rsidR="00687F70">
        <w:rPr>
          <w:rFonts w:eastAsia="Calibri"/>
          <w:sz w:val="22"/>
          <w:szCs w:val="22"/>
          <w:lang w:val="en-US" w:eastAsia="en-US"/>
        </w:rPr>
        <w:t xml:space="preserve"> or inbreeding </w:t>
      </w:r>
      <w:r w:rsidR="001C037C">
        <w:rPr>
          <w:rFonts w:eastAsia="Calibri"/>
          <w:noProof/>
          <w:sz w:val="22"/>
          <w:szCs w:val="22"/>
          <w:lang w:val="en-US" w:eastAsia="en-US"/>
        </w:rPr>
        <w:t>(Husemann</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2016)</w:t>
      </w:r>
      <w:r w:rsidR="008D733D">
        <w:rPr>
          <w:rFonts w:eastAsia="Calibri"/>
          <w:sz w:val="22"/>
          <w:szCs w:val="22"/>
          <w:lang w:val="en-US" w:eastAsia="en-US"/>
        </w:rPr>
        <w:t>.</w:t>
      </w:r>
    </w:p>
    <w:p w14:paraId="7FEBAB33" w14:textId="77777777" w:rsidR="00CA4A44" w:rsidRDefault="00CA4A44" w:rsidP="00940617">
      <w:pPr>
        <w:spacing w:after="120"/>
        <w:rPr>
          <w:rFonts w:eastAsia="Calibri"/>
          <w:sz w:val="22"/>
          <w:szCs w:val="22"/>
          <w:lang w:val="en-US" w:eastAsia="en-US"/>
        </w:rPr>
      </w:pPr>
      <w:r>
        <w:rPr>
          <w:rFonts w:eastAsia="Calibri"/>
          <w:sz w:val="22"/>
          <w:szCs w:val="22"/>
          <w:lang w:val="en-US" w:eastAsia="en-US"/>
        </w:rPr>
        <w:t xml:space="preserve">DSI is used to measure gene flow, as between for example domesticated and wild populations of a species. Gene flow can result in hybridization leading to outbreeding depression as well as introduce important new traits into GRFA </w:t>
      </w:r>
      <w:r w:rsidR="001C037C">
        <w:rPr>
          <w:rFonts w:eastAsia="Calibri"/>
          <w:noProof/>
          <w:sz w:val="22"/>
          <w:szCs w:val="22"/>
          <w:lang w:val="en-US" w:eastAsia="en-US"/>
        </w:rPr>
        <w:t>(Heinemann, 2007; Lidder and Sonnino, 2011)</w:t>
      </w:r>
      <w:r>
        <w:rPr>
          <w:rFonts w:eastAsia="Calibri"/>
          <w:sz w:val="22"/>
          <w:szCs w:val="22"/>
          <w:lang w:val="en-US" w:eastAsia="en-US"/>
        </w:rPr>
        <w:t xml:space="preserve">. </w:t>
      </w:r>
    </w:p>
    <w:p w14:paraId="0F13C83B" w14:textId="77777777" w:rsidR="008F43E7" w:rsidRDefault="008F43E7" w:rsidP="00D33CE3">
      <w:pPr>
        <w:spacing w:after="120"/>
        <w:rPr>
          <w:rFonts w:eastAsia="Calibri"/>
          <w:sz w:val="22"/>
          <w:szCs w:val="22"/>
          <w:lang w:val="en-US" w:eastAsia="en-US"/>
        </w:rPr>
      </w:pPr>
      <w:r>
        <w:rPr>
          <w:rFonts w:eastAsia="Calibri"/>
          <w:sz w:val="22"/>
          <w:szCs w:val="22"/>
          <w:lang w:val="en-US" w:eastAsia="en-US"/>
        </w:rPr>
        <w:t>DSI contributes in</w:t>
      </w:r>
      <w:r w:rsidR="00EB1DDA">
        <w:rPr>
          <w:rFonts w:eastAsia="Calibri"/>
          <w:sz w:val="22"/>
          <w:szCs w:val="22"/>
          <w:lang w:val="en-US" w:eastAsia="en-US"/>
        </w:rPr>
        <w:t xml:space="preserve"> a number of different ways to QTL</w:t>
      </w:r>
      <w:r>
        <w:rPr>
          <w:rFonts w:eastAsia="Calibri"/>
          <w:sz w:val="22"/>
          <w:szCs w:val="22"/>
          <w:lang w:val="en-US" w:eastAsia="en-US"/>
        </w:rPr>
        <w:t xml:space="preserve"> identification</w:t>
      </w:r>
      <w:r w:rsidR="00EB1DDA">
        <w:rPr>
          <w:rFonts w:eastAsia="Calibri"/>
          <w:sz w:val="22"/>
          <w:szCs w:val="22"/>
          <w:lang w:val="en-US" w:eastAsia="en-US"/>
        </w:rPr>
        <w:t xml:space="preserve"> for use in MAS</w:t>
      </w:r>
      <w:r w:rsidR="006F5A15">
        <w:rPr>
          <w:rFonts w:eastAsia="Calibri"/>
          <w:sz w:val="22"/>
          <w:szCs w:val="22"/>
          <w:lang w:val="en-US" w:eastAsia="en-US"/>
        </w:rPr>
        <w:t xml:space="preserve"> </w:t>
      </w:r>
      <w:r w:rsidR="001C037C">
        <w:rPr>
          <w:rFonts w:eastAsia="Calibri"/>
          <w:noProof/>
          <w:sz w:val="22"/>
          <w:szCs w:val="22"/>
          <w:lang w:val="en-US" w:eastAsia="en-US"/>
        </w:rPr>
        <w:t>(Crossa</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Pr>
          <w:rFonts w:eastAsia="Calibri"/>
          <w:sz w:val="22"/>
          <w:szCs w:val="22"/>
          <w:lang w:val="en-US" w:eastAsia="en-US"/>
        </w:rPr>
        <w:t>.</w:t>
      </w:r>
      <w:r w:rsidR="002C6D0E">
        <w:rPr>
          <w:rFonts w:eastAsia="Calibri"/>
          <w:sz w:val="22"/>
          <w:szCs w:val="22"/>
          <w:lang w:val="en-US" w:eastAsia="en-US"/>
        </w:rPr>
        <w:t xml:space="preserve"> </w:t>
      </w:r>
      <w:r w:rsidR="006F5A15">
        <w:rPr>
          <w:rFonts w:eastAsia="Calibri"/>
          <w:sz w:val="22"/>
          <w:szCs w:val="22"/>
          <w:lang w:val="en-US" w:eastAsia="en-US"/>
        </w:rPr>
        <w:t>MAS uses an association between phen</w:t>
      </w:r>
      <w:r w:rsidR="00EB1DDA">
        <w:rPr>
          <w:rFonts w:eastAsia="Calibri"/>
          <w:sz w:val="22"/>
          <w:szCs w:val="22"/>
          <w:lang w:val="en-US" w:eastAsia="en-US"/>
        </w:rPr>
        <w:t>otype</w:t>
      </w:r>
      <w:r w:rsidR="00E04CF0">
        <w:rPr>
          <w:rFonts w:eastAsia="Calibri"/>
          <w:sz w:val="22"/>
          <w:szCs w:val="22"/>
          <w:lang w:val="en-US" w:eastAsia="en-US"/>
        </w:rPr>
        <w:t>s</w:t>
      </w:r>
      <w:r w:rsidR="00EB1DDA">
        <w:rPr>
          <w:rFonts w:eastAsia="Calibri"/>
          <w:sz w:val="22"/>
          <w:szCs w:val="22"/>
          <w:lang w:val="en-US" w:eastAsia="en-US"/>
        </w:rPr>
        <w:t xml:space="preserve"> and molecular marker</w:t>
      </w:r>
      <w:r w:rsidR="00E04CF0">
        <w:rPr>
          <w:rFonts w:eastAsia="Calibri"/>
          <w:sz w:val="22"/>
          <w:szCs w:val="22"/>
          <w:lang w:val="en-US" w:eastAsia="en-US"/>
        </w:rPr>
        <w:t>s</w:t>
      </w:r>
      <w:r w:rsidR="006F5A15">
        <w:rPr>
          <w:rFonts w:eastAsia="Calibri"/>
          <w:sz w:val="22"/>
          <w:szCs w:val="22"/>
          <w:lang w:val="en-US" w:eastAsia="en-US"/>
        </w:rPr>
        <w:t>. Although a very successful strategy, MAS is limited to strong quantitative effects largely independent of environmental inf</w:t>
      </w:r>
      <w:r w:rsidR="00E928E7">
        <w:rPr>
          <w:rFonts w:eastAsia="Calibri"/>
          <w:sz w:val="22"/>
          <w:szCs w:val="22"/>
          <w:lang w:val="en-US" w:eastAsia="en-US"/>
        </w:rPr>
        <w:t>l</w:t>
      </w:r>
      <w:r w:rsidR="006F5A15">
        <w:rPr>
          <w:rFonts w:eastAsia="Calibri"/>
          <w:sz w:val="22"/>
          <w:szCs w:val="22"/>
          <w:lang w:val="en-US" w:eastAsia="en-US"/>
        </w:rPr>
        <w:t xml:space="preserve">uences </w:t>
      </w:r>
      <w:r w:rsidR="001C037C">
        <w:rPr>
          <w:rFonts w:eastAsia="Calibri"/>
          <w:noProof/>
          <w:sz w:val="22"/>
          <w:szCs w:val="22"/>
          <w:lang w:val="en-US" w:eastAsia="en-US"/>
        </w:rPr>
        <w:t>(Crossa</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sidR="006F5A15">
        <w:rPr>
          <w:rFonts w:eastAsia="Calibri"/>
          <w:sz w:val="22"/>
          <w:szCs w:val="22"/>
          <w:lang w:val="en-US" w:eastAsia="en-US"/>
        </w:rPr>
        <w:t xml:space="preserve">. </w:t>
      </w:r>
      <w:r w:rsidR="009C390E">
        <w:rPr>
          <w:rFonts w:eastAsia="Calibri"/>
          <w:sz w:val="22"/>
          <w:szCs w:val="22"/>
          <w:lang w:val="en-US" w:eastAsia="en-US"/>
        </w:rPr>
        <w:t xml:space="preserve">Genomics intensifies the density of linkage maps </w:t>
      </w:r>
      <w:r w:rsidR="001C037C">
        <w:rPr>
          <w:noProof/>
          <w:sz w:val="22"/>
          <w:szCs w:val="22"/>
        </w:rPr>
        <w:t>(Lidder and Sonnino, 2011)</w:t>
      </w:r>
      <w:r w:rsidR="009C390E">
        <w:rPr>
          <w:rFonts w:eastAsia="Calibri"/>
          <w:sz w:val="22"/>
          <w:szCs w:val="22"/>
          <w:lang w:val="en-US" w:eastAsia="en-US"/>
        </w:rPr>
        <w:t xml:space="preserve">. </w:t>
      </w:r>
      <w:r w:rsidR="006F5A15">
        <w:rPr>
          <w:rFonts w:eastAsia="Calibri"/>
          <w:sz w:val="22"/>
          <w:szCs w:val="22"/>
          <w:lang w:val="en-US" w:eastAsia="en-US"/>
        </w:rPr>
        <w:t xml:space="preserve">Genomic selection (GS) is a technique that makes use of a combination of DSI in the form of DNA sequencing to generate </w:t>
      </w:r>
      <w:r w:rsidR="00D33CE3">
        <w:rPr>
          <w:rFonts w:eastAsia="Calibri"/>
          <w:sz w:val="22"/>
          <w:szCs w:val="22"/>
          <w:lang w:val="en-US" w:eastAsia="en-US"/>
        </w:rPr>
        <w:t xml:space="preserve">information on </w:t>
      </w:r>
      <w:r w:rsidR="006F5A15">
        <w:rPr>
          <w:rFonts w:eastAsia="Calibri"/>
          <w:sz w:val="22"/>
          <w:szCs w:val="22"/>
          <w:lang w:val="en-US" w:eastAsia="en-US"/>
        </w:rPr>
        <w:t>SNPs</w:t>
      </w:r>
      <w:r w:rsidR="00D33CE3">
        <w:rPr>
          <w:rFonts w:eastAsia="Calibri"/>
          <w:sz w:val="22"/>
          <w:szCs w:val="22"/>
          <w:lang w:val="en-US" w:eastAsia="en-US"/>
        </w:rPr>
        <w:t xml:space="preserve"> and combines that with phenotypic data to</w:t>
      </w:r>
      <w:r w:rsidR="006F5A15">
        <w:rPr>
          <w:rFonts w:eastAsia="Calibri"/>
          <w:sz w:val="22"/>
          <w:szCs w:val="22"/>
          <w:lang w:val="en-US" w:eastAsia="en-US"/>
        </w:rPr>
        <w:t xml:space="preserve"> inform genome-enable prediction. </w:t>
      </w:r>
      <w:r w:rsidR="00D33CE3">
        <w:rPr>
          <w:rFonts w:eastAsia="Calibri"/>
          <w:sz w:val="22"/>
          <w:szCs w:val="22"/>
          <w:lang w:val="en-US" w:eastAsia="en-US"/>
        </w:rPr>
        <w:t>The purpose is to</w:t>
      </w:r>
      <w:r w:rsidR="00D33CE3" w:rsidRPr="00D33CE3">
        <w:rPr>
          <w:rFonts w:eastAsia="Calibri"/>
          <w:sz w:val="22"/>
          <w:szCs w:val="22"/>
          <w:lang w:val="en-NZ"/>
        </w:rPr>
        <w:t xml:space="preserve"> </w:t>
      </w:r>
      <w:r>
        <w:rPr>
          <w:rFonts w:eastAsia="Calibri"/>
          <w:sz w:val="22"/>
          <w:szCs w:val="22"/>
          <w:lang w:val="en-US" w:eastAsia="en-US"/>
        </w:rPr>
        <w:t>calculat</w:t>
      </w:r>
      <w:r w:rsidR="00D33CE3">
        <w:rPr>
          <w:rFonts w:eastAsia="Calibri"/>
          <w:sz w:val="22"/>
          <w:szCs w:val="22"/>
          <w:lang w:val="en-US" w:eastAsia="en-US"/>
        </w:rPr>
        <w:t>e</w:t>
      </w:r>
      <w:r>
        <w:rPr>
          <w:rFonts w:eastAsia="Calibri"/>
          <w:sz w:val="22"/>
          <w:szCs w:val="22"/>
          <w:lang w:val="en-US" w:eastAsia="en-US"/>
        </w:rPr>
        <w:t xml:space="preserve"> </w:t>
      </w:r>
      <w:r w:rsidRPr="00E24026">
        <w:rPr>
          <w:rFonts w:eastAsia="Calibri"/>
          <w:sz w:val="22"/>
          <w:szCs w:val="22"/>
          <w:lang w:val="mi-NZ" w:eastAsia="en-US"/>
        </w:rPr>
        <w:t>genomic estimated breeding value</w:t>
      </w:r>
      <w:r>
        <w:rPr>
          <w:rFonts w:eastAsia="Calibri"/>
          <w:sz w:val="22"/>
          <w:szCs w:val="22"/>
          <w:lang w:val="en-US" w:eastAsia="en-US"/>
        </w:rPr>
        <w:t xml:space="preserve"> </w:t>
      </w:r>
      <w:r w:rsidR="001C037C">
        <w:rPr>
          <w:rFonts w:eastAsia="Calibri"/>
          <w:noProof/>
          <w:sz w:val="22"/>
          <w:szCs w:val="22"/>
          <w:lang w:val="en-US" w:eastAsia="en-US"/>
        </w:rPr>
        <w:t>(Varshney</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2014)</w:t>
      </w:r>
      <w:r>
        <w:rPr>
          <w:rFonts w:eastAsia="Calibri"/>
          <w:sz w:val="22"/>
          <w:szCs w:val="22"/>
          <w:lang w:val="en-US" w:eastAsia="en-US"/>
        </w:rPr>
        <w:t>.</w:t>
      </w:r>
    </w:p>
    <w:p w14:paraId="04F526ED" w14:textId="77777777" w:rsidR="00940617" w:rsidRDefault="00940617" w:rsidP="00D0715A">
      <w:pPr>
        <w:spacing w:after="120"/>
        <w:rPr>
          <w:rFonts w:eastAsia="Calibri"/>
          <w:sz w:val="22"/>
          <w:szCs w:val="22"/>
          <w:lang w:val="en-US" w:eastAsia="en-US"/>
        </w:rPr>
      </w:pPr>
    </w:p>
    <w:p w14:paraId="4BE2FB02" w14:textId="77777777" w:rsidR="001E68D6" w:rsidRDefault="001E68D6" w:rsidP="00076763">
      <w:pPr>
        <w:pStyle w:val="TableEntry"/>
        <w:keepNext/>
        <w:numPr>
          <w:ilvl w:val="2"/>
          <w:numId w:val="5"/>
        </w:numPr>
        <w:spacing w:before="120" w:after="120"/>
        <w:rPr>
          <w:i/>
        </w:rPr>
      </w:pPr>
      <w:r>
        <w:rPr>
          <w:i/>
        </w:rPr>
        <w:t>A</w:t>
      </w:r>
      <w:r w:rsidR="002623C3">
        <w:rPr>
          <w:i/>
        </w:rPr>
        <w:t>nimal genetic resources</w:t>
      </w:r>
    </w:p>
    <w:p w14:paraId="5DC45C4F" w14:textId="77777777" w:rsidR="009C390E" w:rsidRDefault="00396F8C" w:rsidP="009C390E">
      <w:pPr>
        <w:pStyle w:val="TableEntry"/>
        <w:keepNext/>
        <w:spacing w:before="120" w:after="120"/>
      </w:pPr>
      <w:r>
        <w:t xml:space="preserve">Characterization </w:t>
      </w:r>
      <w:r w:rsidR="00F95E01">
        <w:t>activities</w:t>
      </w:r>
      <w:r w:rsidR="00993CEF">
        <w:t xml:space="preserve"> in which DSI is a major, indispensable component include molecular genetic evaluation, genetic variance component estimation, molecular genetic diversity studies within and between breeds, genetic diversity studies based on pedigree, gene flow and </w:t>
      </w:r>
      <w:r w:rsidR="00993CEF">
        <w:lastRenderedPageBreak/>
        <w:t xml:space="preserve">phenotypic characterization </w:t>
      </w:r>
      <w:r w:rsidR="001C037C">
        <w:t>(FAO, 2015)</w:t>
      </w:r>
      <w:r w:rsidR="00993CEF">
        <w:t>.</w:t>
      </w:r>
      <w:r w:rsidR="00F95E01">
        <w:t xml:space="preserve"> The North American and Europe and the Caucasus regions use all of these technologies at rates generally higher than all other regions on the big five species of livestock. Among all the activities, phenotypic characterization is the most widely used worldwide. The regions with the lowest use are Africa and the Southwest Pacific </w:t>
      </w:r>
      <w:r w:rsidR="001C037C">
        <w:t>(FAO, 2015)</w:t>
      </w:r>
      <w:r w:rsidR="009E0037">
        <w:t xml:space="preserve">, which are regions with corresponding low levels of </w:t>
      </w:r>
      <w:r w:rsidR="00CD1FD5">
        <w:t>broadband</w:t>
      </w:r>
      <w:r w:rsidR="009E0037">
        <w:t xml:space="preserve"> infrastructure</w:t>
      </w:r>
      <w:r w:rsidR="00CD1FD5">
        <w:t xml:space="preserve"> </w:t>
      </w:r>
      <w:r w:rsidR="001C037C">
        <w:t>(Hilbert, 2016)</w:t>
      </w:r>
      <w:r w:rsidR="00F95E01">
        <w:t>.</w:t>
      </w:r>
    </w:p>
    <w:p w14:paraId="511621B5" w14:textId="77777777" w:rsidR="00E018C6" w:rsidRDefault="00E018C6" w:rsidP="009C390E">
      <w:pPr>
        <w:pStyle w:val="TableEntry"/>
        <w:keepNext/>
        <w:spacing w:before="120" w:after="120"/>
      </w:pPr>
      <w:r>
        <w:t>An example of the use of DSI for characterization of animal genetic resources i</w:t>
      </w:r>
      <w:r w:rsidR="009A6D48">
        <w:t>s genomic selection, using genome-wide markers for predicting breeding value of individual animals</w:t>
      </w:r>
      <w:r>
        <w:t>.</w:t>
      </w:r>
      <w:r w:rsidR="00C6613E">
        <w:t xml:space="preserve"> The most common tool </w:t>
      </w:r>
      <w:r w:rsidR="00301D12">
        <w:t>is</w:t>
      </w:r>
      <w:r w:rsidR="00C6613E">
        <w:t xml:space="preserve"> SNPs. </w:t>
      </w:r>
      <w:r w:rsidR="00301D12">
        <w:t>It has</w:t>
      </w:r>
      <w:r w:rsidR="00C6613E">
        <w:t xml:space="preserve"> been used to dramatically increase the rate </w:t>
      </w:r>
      <w:r w:rsidR="00301D12">
        <w:t>of increase in genetic gain by an estimated 60-120% for the trait of milk production, and to decrease the generation interval from 5 to 2 when identifying preferred bulls for passing on this trait to daughters</w:t>
      </w:r>
      <w:r w:rsidR="002E2A7A">
        <w:t xml:space="preserve"> </w:t>
      </w:r>
      <w:r w:rsidR="001C037C">
        <w:t>(Hayes</w:t>
      </w:r>
      <w:r w:rsidR="001C037C" w:rsidRPr="001C037C">
        <w:rPr>
          <w:i/>
        </w:rPr>
        <w:t xml:space="preserve"> et al.</w:t>
      </w:r>
      <w:r w:rsidR="001C037C">
        <w:t>, 2013)</w:t>
      </w:r>
      <w:r w:rsidR="00301D12">
        <w:t>.</w:t>
      </w:r>
    </w:p>
    <w:p w14:paraId="591802E1" w14:textId="77777777" w:rsidR="000210A8" w:rsidRPr="000210A8" w:rsidRDefault="00E04CF0" w:rsidP="000210A8">
      <w:pPr>
        <w:pStyle w:val="TableEntry"/>
        <w:keepNext/>
        <w:spacing w:before="120" w:after="120"/>
        <w:rPr>
          <w:lang w:val="en-NZ"/>
        </w:rPr>
      </w:pPr>
      <w:r>
        <w:t>With increasing recognition of the contribution that the microbiome of livestock determine important characteristics of livestock, the microbes of livestock are increasi</w:t>
      </w:r>
      <w:r w:rsidR="006D22B0">
        <w:t>ngly being accepted as GRFA too. The microbiome further blurs the distinction between what is a microbial and an animal (or plant) trait.</w:t>
      </w:r>
      <w:r>
        <w:t xml:space="preserve"> Characterizing this resource</w:t>
      </w:r>
      <w:r w:rsidR="000210A8">
        <w:t xml:space="preserve"> is contributing to sustained and improved use of livestock for food security and nutrition. Through the use “</w:t>
      </w:r>
      <w:r w:rsidR="000210A8" w:rsidRPr="000210A8">
        <w:rPr>
          <w:lang w:val="en-NZ"/>
        </w:rPr>
        <w:t>of high-throughput DNA-based sequencing methods, coupled with new bioinformatic developments that allow for the identification and characterization of microbes and their genes (microbiome) in and on the body, there has been an upsurge in newfound knowledge in the field</w:t>
      </w:r>
      <w:r w:rsidR="000210A8">
        <w:rPr>
          <w:lang w:val="en-NZ"/>
        </w:rPr>
        <w:t>” of microbology and animals, just as there are parallel developments in human health</w:t>
      </w:r>
      <w:r w:rsidR="006D22B0">
        <w:rPr>
          <w:lang w:val="en-NZ"/>
        </w:rPr>
        <w:t xml:space="preserve"> (Swanson, 2016)</w:t>
      </w:r>
      <w:r w:rsidR="000210A8" w:rsidRPr="000210A8">
        <w:rPr>
          <w:lang w:val="en-NZ"/>
        </w:rPr>
        <w:t>.</w:t>
      </w:r>
    </w:p>
    <w:p w14:paraId="093361AF" w14:textId="77777777" w:rsidR="00301D12" w:rsidRPr="009C390E" w:rsidRDefault="00301D12" w:rsidP="009C390E">
      <w:pPr>
        <w:pStyle w:val="TableEntry"/>
        <w:keepNext/>
        <w:spacing w:before="120" w:after="120"/>
      </w:pPr>
    </w:p>
    <w:p w14:paraId="1337384A" w14:textId="77777777" w:rsidR="00940617" w:rsidRDefault="009C390E" w:rsidP="00076763">
      <w:pPr>
        <w:pStyle w:val="TableEntry"/>
        <w:keepNext/>
        <w:numPr>
          <w:ilvl w:val="2"/>
          <w:numId w:val="5"/>
        </w:numPr>
        <w:spacing w:before="120" w:after="120"/>
        <w:rPr>
          <w:i/>
        </w:rPr>
      </w:pPr>
      <w:r>
        <w:rPr>
          <w:i/>
        </w:rPr>
        <w:t>A</w:t>
      </w:r>
      <w:r w:rsidR="002623C3">
        <w:rPr>
          <w:i/>
        </w:rPr>
        <w:t>quatic genetic resources</w:t>
      </w:r>
    </w:p>
    <w:p w14:paraId="48772DD3" w14:textId="77777777" w:rsidR="00584961" w:rsidRDefault="00584961" w:rsidP="00584961">
      <w:pPr>
        <w:pStyle w:val="TableEntry"/>
        <w:keepNext/>
        <w:spacing w:before="120" w:after="120"/>
      </w:pPr>
      <w:r>
        <w:t xml:space="preserve">The </w:t>
      </w:r>
      <w:r w:rsidR="0056485A">
        <w:t>high proportion</w:t>
      </w:r>
      <w:r>
        <w:t xml:space="preserve"> of wild populations and range of species</w:t>
      </w:r>
      <w:r w:rsidR="0056485A">
        <w:t xml:space="preserve"> included in AqGR creates special challenges for this sub-sector compared to</w:t>
      </w:r>
      <w:r w:rsidR="004B593F">
        <w:t xml:space="preserve"> some others</w:t>
      </w:r>
      <w:r w:rsidR="0056485A">
        <w:t>. Nevertheless, the c</w:t>
      </w:r>
      <w:r>
        <w:t>haracterization activities that are most relevant to DSI on AqGR include molecular markers</w:t>
      </w:r>
      <w:r w:rsidR="00EE6074">
        <w:t>, for example barcodes,</w:t>
      </w:r>
      <w:r>
        <w:t xml:space="preserve"> omics, and biotechnologies for disease diagnosis </w:t>
      </w:r>
      <w:r w:rsidR="001C037C">
        <w:t>(Lidder and Sonnino, 2011)</w:t>
      </w:r>
      <w:r w:rsidR="0056485A">
        <w:t>, similar to other sub-sectors</w:t>
      </w:r>
      <w:r>
        <w:t xml:space="preserve">. </w:t>
      </w:r>
    </w:p>
    <w:p w14:paraId="1F25C14F" w14:textId="77777777" w:rsidR="002E2A7A" w:rsidRDefault="0056485A" w:rsidP="002E2A7A">
      <w:pPr>
        <w:pStyle w:val="TableEntry"/>
        <w:keepNext/>
        <w:spacing w:before="120" w:after="120"/>
      </w:pPr>
      <w:r>
        <w:t xml:space="preserve">Fisheries that harvest wild populations are an important component of AqGR. The process results in the capture of both target and non-target animals, as well as animals that may be regulated to avoid overexploitation. DSI used to identify species and sub-species is therefore critical for monitoring stocks, trade surveillance and food safety </w:t>
      </w:r>
      <w:r w:rsidR="001C037C">
        <w:t>(Lidder and Sonnino, 2011)</w:t>
      </w:r>
      <w:r>
        <w:t>.</w:t>
      </w:r>
    </w:p>
    <w:p w14:paraId="0675BC62" w14:textId="77777777" w:rsidR="002E2A7A" w:rsidRPr="002E2A7A" w:rsidRDefault="00EE6074" w:rsidP="002E2A7A">
      <w:pPr>
        <w:pStyle w:val="TableEntry"/>
        <w:keepNext/>
        <w:spacing w:before="120" w:after="120"/>
      </w:pPr>
      <w:r>
        <w:t>Wild aquatic plant and animal genetic resources are not generally the subject of breeding programs to optimize traits. However, these organisms are under continual stress due to pollution, climate change, predators and pathogens. DSI in this case is used to better predict which species will be able to adapt, which might migrate</w:t>
      </w:r>
      <w:r w:rsidR="004B593F">
        <w:t xml:space="preserve"> or be moved</w:t>
      </w:r>
      <w:r>
        <w:t xml:space="preserve"> to environments in which they are already better adapted, and which species might fail or be displaced.</w:t>
      </w:r>
    </w:p>
    <w:p w14:paraId="6DC8B66B" w14:textId="77777777" w:rsidR="00D07C3B" w:rsidRDefault="00EE6074" w:rsidP="00D07C3B">
      <w:pPr>
        <w:pStyle w:val="TableEntry"/>
        <w:keepNext/>
        <w:spacing w:before="120" w:after="120"/>
        <w:rPr>
          <w:lang w:val="en-NZ"/>
        </w:rPr>
      </w:pPr>
      <w:r>
        <w:t xml:space="preserve">For example, </w:t>
      </w:r>
      <w:r w:rsidR="00D07C3B">
        <w:t>DSI is used to characterize genes that contribute to phenotypic plasticity in fish. Phenotypic plasticity is the</w:t>
      </w:r>
      <w:r w:rsidR="00D07C3B" w:rsidRPr="00D07C3B">
        <w:rPr>
          <w:lang w:val="en-NZ"/>
        </w:rPr>
        <w:t xml:space="preserve"> </w:t>
      </w:r>
      <w:r w:rsidR="00D07C3B">
        <w:rPr>
          <w:lang w:val="en-NZ"/>
        </w:rPr>
        <w:t>“</w:t>
      </w:r>
      <w:r w:rsidR="00D07C3B" w:rsidRPr="00D07C3B">
        <w:rPr>
          <w:lang w:val="en-NZ"/>
        </w:rPr>
        <w:t>capacity of an individual or a single genotype to produce more than one phenotype under different environmental conditions</w:t>
      </w:r>
      <w:r w:rsidR="00D07C3B">
        <w:rPr>
          <w:lang w:val="en-NZ"/>
        </w:rPr>
        <w:t xml:space="preserve">” </w:t>
      </w:r>
      <w:r w:rsidR="001C037C">
        <w:rPr>
          <w:lang w:val="en-NZ"/>
        </w:rPr>
        <w:t>(Connon</w:t>
      </w:r>
      <w:r w:rsidR="001C037C" w:rsidRPr="001C037C">
        <w:rPr>
          <w:i/>
          <w:lang w:val="en-NZ"/>
        </w:rPr>
        <w:t xml:space="preserve"> et al.</w:t>
      </w:r>
      <w:r w:rsidR="001C037C">
        <w:rPr>
          <w:lang w:val="en-NZ"/>
        </w:rPr>
        <w:t>, 2018)</w:t>
      </w:r>
      <w:r w:rsidR="00D07C3B" w:rsidRPr="00D07C3B">
        <w:rPr>
          <w:lang w:val="en-NZ"/>
        </w:rPr>
        <w:t>.</w:t>
      </w:r>
      <w:r w:rsidR="00AD62D6">
        <w:rPr>
          <w:lang w:val="en-NZ"/>
        </w:rPr>
        <w:t xml:space="preserve"> Genomics </w:t>
      </w:r>
      <w:r w:rsidR="004B593F">
        <w:rPr>
          <w:lang w:val="en-NZ"/>
        </w:rPr>
        <w:t>contributes to the</w:t>
      </w:r>
      <w:r w:rsidR="00AD62D6">
        <w:rPr>
          <w:lang w:val="en-NZ"/>
        </w:rPr>
        <w:t xml:space="preserve"> identification of genes for specific traits such as growth rate. Using transcriptomics allows characterization of the mechanism of adaptation.</w:t>
      </w:r>
    </w:p>
    <w:p w14:paraId="480B1743" w14:textId="77777777" w:rsidR="00C9445D" w:rsidRPr="00C9445D" w:rsidRDefault="00C9445D" w:rsidP="00C9445D">
      <w:pPr>
        <w:pStyle w:val="TableEntry"/>
        <w:keepNext/>
        <w:spacing w:before="120" w:after="120"/>
        <w:rPr>
          <w:lang w:val="en-NZ"/>
        </w:rPr>
      </w:pPr>
      <w:r>
        <w:rPr>
          <w:lang w:val="en-NZ"/>
        </w:rPr>
        <w:t xml:space="preserve">In a comparative transcriptomics study on longfin smelt </w:t>
      </w:r>
      <w:r w:rsidRPr="00C9445D">
        <w:rPr>
          <w:lang w:val="en-NZ"/>
        </w:rPr>
        <w:t>(</w:t>
      </w:r>
      <w:r w:rsidRPr="00C9445D">
        <w:rPr>
          <w:i/>
          <w:iCs/>
          <w:lang w:val="en-NZ"/>
        </w:rPr>
        <w:t>Spirinchus thaleichthys</w:t>
      </w:r>
      <w:r w:rsidRPr="00C9445D">
        <w:rPr>
          <w:lang w:val="en-NZ"/>
        </w:rPr>
        <w:t>)</w:t>
      </w:r>
      <w:r>
        <w:rPr>
          <w:lang w:val="en-NZ"/>
        </w:rPr>
        <w:t xml:space="preserve"> and delta smelt </w:t>
      </w:r>
      <w:r w:rsidRPr="00C9445D">
        <w:rPr>
          <w:lang w:val="en-NZ"/>
        </w:rPr>
        <w:t>(</w:t>
      </w:r>
      <w:r w:rsidRPr="00C9445D">
        <w:rPr>
          <w:i/>
          <w:iCs/>
          <w:lang w:val="en-NZ"/>
        </w:rPr>
        <w:t>Hypomesus transpacificus</w:t>
      </w:r>
      <w:r w:rsidRPr="00C9445D">
        <w:rPr>
          <w:lang w:val="en-NZ"/>
        </w:rPr>
        <w:t>)</w:t>
      </w:r>
      <w:r>
        <w:rPr>
          <w:lang w:val="en-NZ"/>
        </w:rPr>
        <w:t xml:space="preserve"> exposed to increased water temperature, the latter had a greater variety of transcriptomic changes, measured as variety of genes being transcribed and number of transcripts of particular genes, as temperature increased. This indicates that delta smelt have a higher intrinsic plasticty to temperature than do longfin </w:t>
      </w:r>
      <w:r w:rsidR="001C037C">
        <w:rPr>
          <w:lang w:val="en-NZ"/>
        </w:rPr>
        <w:t>(Jeffries</w:t>
      </w:r>
      <w:r w:rsidR="001C037C" w:rsidRPr="001C037C">
        <w:rPr>
          <w:i/>
          <w:lang w:val="en-NZ"/>
        </w:rPr>
        <w:t xml:space="preserve"> et al.</w:t>
      </w:r>
      <w:r w:rsidR="001C037C">
        <w:rPr>
          <w:lang w:val="en-NZ"/>
        </w:rPr>
        <w:t>, 2016)</w:t>
      </w:r>
      <w:r>
        <w:rPr>
          <w:lang w:val="en-NZ"/>
        </w:rPr>
        <w:t>.</w:t>
      </w:r>
    </w:p>
    <w:p w14:paraId="6C8850DC" w14:textId="77777777" w:rsidR="002E2A7A" w:rsidRPr="002E2A7A" w:rsidRDefault="002E2A7A" w:rsidP="002E2A7A">
      <w:pPr>
        <w:pStyle w:val="TableEntry"/>
        <w:keepNext/>
        <w:spacing w:before="120" w:after="120"/>
      </w:pPr>
    </w:p>
    <w:p w14:paraId="4492FADD" w14:textId="77777777" w:rsidR="009C390E" w:rsidRDefault="009C390E" w:rsidP="008679C7">
      <w:pPr>
        <w:pStyle w:val="TableEntry"/>
        <w:keepNext/>
        <w:numPr>
          <w:ilvl w:val="2"/>
          <w:numId w:val="5"/>
        </w:numPr>
        <w:spacing w:before="120" w:after="120"/>
        <w:rPr>
          <w:i/>
        </w:rPr>
      </w:pPr>
      <w:r>
        <w:rPr>
          <w:i/>
        </w:rPr>
        <w:t>Forest genetic resources</w:t>
      </w:r>
    </w:p>
    <w:p w14:paraId="55AEBC56" w14:textId="77777777" w:rsidR="004413A3" w:rsidRPr="004413A3" w:rsidRDefault="004413A3" w:rsidP="008A218E">
      <w:pPr>
        <w:pStyle w:val="TableEntry"/>
        <w:spacing w:before="120" w:after="120"/>
        <w:rPr>
          <w:noProof w:val="0"/>
          <w:lang w:val="en-US"/>
        </w:rPr>
      </w:pPr>
      <w:r w:rsidRPr="004413A3">
        <w:rPr>
          <w:bCs/>
          <w:iCs/>
          <w:lang w:val="en-US"/>
        </w:rPr>
        <w:t>Molecular markers</w:t>
      </w:r>
      <w:r w:rsidR="00EE6074">
        <w:rPr>
          <w:bCs/>
          <w:iCs/>
          <w:lang w:val="en-US"/>
        </w:rPr>
        <w:t>, omics, and to some degree also</w:t>
      </w:r>
      <w:r w:rsidR="00EE6074" w:rsidRPr="008679C7">
        <w:rPr>
          <w:bCs/>
          <w:i/>
          <w:iCs/>
          <w:lang w:val="en-US"/>
        </w:rPr>
        <w:t xml:space="preserve"> in vitro</w:t>
      </w:r>
      <w:r w:rsidR="00EE6074">
        <w:rPr>
          <w:bCs/>
          <w:iCs/>
          <w:lang w:val="en-US"/>
        </w:rPr>
        <w:t xml:space="preserve"> slow growth storage and micropropagation are FGR technologies that use DSI. Special to forests are among other things </w:t>
      </w:r>
      <w:r w:rsidR="00EE6074">
        <w:rPr>
          <w:bCs/>
          <w:iCs/>
          <w:lang w:val="en-US"/>
        </w:rPr>
        <w:lastRenderedPageBreak/>
        <w:t xml:space="preserve">the long generation times of trees, susceptibility to inbreeding depression and narrow regional adaptation. Similar to AqGR, they are dominated by undomesticated species </w:t>
      </w:r>
      <w:r w:rsidR="001C037C">
        <w:rPr>
          <w:bCs/>
          <w:iCs/>
          <w:lang w:val="en-US"/>
        </w:rPr>
        <w:t>(Lidder and Sonnino, 2011)</w:t>
      </w:r>
      <w:r w:rsidR="00EE6074">
        <w:rPr>
          <w:bCs/>
          <w:iCs/>
          <w:lang w:val="en-US"/>
        </w:rPr>
        <w:t>.</w:t>
      </w:r>
    </w:p>
    <w:p w14:paraId="2B7C1718" w14:textId="77777777" w:rsidR="008A218E" w:rsidRPr="008679C7" w:rsidRDefault="003B5D40" w:rsidP="008A218E">
      <w:pPr>
        <w:pStyle w:val="TableEntry"/>
        <w:spacing w:before="120" w:after="120"/>
        <w:rPr>
          <w:noProof w:val="0"/>
          <w:lang w:val="en-US"/>
        </w:rPr>
      </w:pPr>
      <w:r>
        <w:rPr>
          <w:noProof w:val="0"/>
          <w:lang w:val="en-US"/>
        </w:rPr>
        <w:t xml:space="preserve">DSI is used to provide species, sub-species and hybrid identification as well as select genetic material for storage or micropropagation. </w:t>
      </w:r>
      <w:r w:rsidR="008A218E">
        <w:rPr>
          <w:noProof w:val="0"/>
        </w:rPr>
        <w:t>Forest trees are in general long lived and thus can experience significant environmental variability. Their long generation times make it more difficult to breed them for adaptive traits. This creates challenges for breeding and managemen</w:t>
      </w:r>
      <w:r w:rsidR="002E5D4D">
        <w:rPr>
          <w:noProof w:val="0"/>
        </w:rPr>
        <w:t>t of tree biology and forestry.</w:t>
      </w:r>
      <w:r w:rsidR="008A218E">
        <w:rPr>
          <w:noProof w:val="0"/>
        </w:rPr>
        <w:t xml:space="preserve"> Fortunately, trees tend to have a high degree of phenotypic plasticity. Understanding the underlying heritable basis for plasticity is a key goal for breeding. </w:t>
      </w:r>
      <w:r w:rsidR="008A218E">
        <w:rPr>
          <w:lang w:val="mi-NZ"/>
        </w:rPr>
        <w:t>“</w:t>
      </w:r>
      <w:r w:rsidR="008A218E" w:rsidRPr="00A87F76">
        <w:rPr>
          <w:lang w:val="mi-NZ"/>
        </w:rPr>
        <w:t>Diverse environmental stresses and hybridization/polyploidization events can create reversible heritable epigenetic marks that can be transmitted to subsequent gene</w:t>
      </w:r>
      <w:r w:rsidR="008A218E">
        <w:rPr>
          <w:lang w:val="mi-NZ"/>
        </w:rPr>
        <w:t>rations as a form of molecular ‘memory’</w:t>
      </w:r>
      <w:r w:rsidR="008A218E" w:rsidRPr="00A87F76">
        <w:rPr>
          <w:lang w:val="mi-NZ"/>
        </w:rPr>
        <w:t>. Epigenetic changes might also contribute to the ability of plants to colonize or p</w:t>
      </w:r>
      <w:r w:rsidR="008A218E">
        <w:rPr>
          <w:lang w:val="mi-NZ"/>
        </w:rPr>
        <w:t xml:space="preserve">ersist in variable environments” </w:t>
      </w:r>
      <w:r w:rsidR="001C037C">
        <w:rPr>
          <w:lang w:val="mi-NZ"/>
        </w:rPr>
        <w:t>(Bräutigam</w:t>
      </w:r>
      <w:r w:rsidR="001C037C" w:rsidRPr="001C037C">
        <w:rPr>
          <w:i/>
          <w:lang w:val="mi-NZ"/>
        </w:rPr>
        <w:t xml:space="preserve"> et al.</w:t>
      </w:r>
      <w:r w:rsidR="001C037C">
        <w:rPr>
          <w:lang w:val="mi-NZ"/>
        </w:rPr>
        <w:t>, 2013)</w:t>
      </w:r>
      <w:r w:rsidR="008A218E">
        <w:rPr>
          <w:lang w:val="mi-NZ"/>
        </w:rPr>
        <w:t>.</w:t>
      </w:r>
    </w:p>
    <w:p w14:paraId="528EC41E" w14:textId="77777777" w:rsidR="008A218E" w:rsidRDefault="008A218E" w:rsidP="008A218E">
      <w:pPr>
        <w:pStyle w:val="TableEntry"/>
        <w:keepNext/>
        <w:spacing w:before="120" w:after="120"/>
        <w:rPr>
          <w:lang w:val="mi-NZ"/>
        </w:rPr>
      </w:pPr>
      <w:r>
        <w:rPr>
          <w:lang w:val="mi-NZ"/>
        </w:rPr>
        <w:t xml:space="preserve">DSI of epigenetic markers is important for forestry. An example of an epigenetic marker is DNA methylation of DNA sequences. These markers have been used to demonstrate, among other things, a relationship between response to water deficit and the genes associated with phenotypic plasticity in poplar, an important insight for breeding. A heritable epigenetic marker </w:t>
      </w:r>
      <w:r w:rsidRPr="00E7285F">
        <w:rPr>
          <w:lang w:val="mi-NZ"/>
        </w:rPr>
        <w:t>in eucalypt</w:t>
      </w:r>
      <w:r>
        <w:rPr>
          <w:lang w:val="mi-NZ"/>
        </w:rPr>
        <w:t>u</w:t>
      </w:r>
      <w:r w:rsidRPr="00E7285F">
        <w:rPr>
          <w:lang w:val="mi-NZ"/>
        </w:rPr>
        <w:t xml:space="preserve">s </w:t>
      </w:r>
      <w:r>
        <w:rPr>
          <w:lang w:val="mi-NZ"/>
        </w:rPr>
        <w:t xml:space="preserve">has also been linked to  phenotypic variation in cellulose content, an important trait for use </w:t>
      </w:r>
      <w:r w:rsidR="001C037C">
        <w:rPr>
          <w:lang w:val="mi-NZ"/>
        </w:rPr>
        <w:t>(Bräutigam</w:t>
      </w:r>
      <w:r w:rsidR="001C037C" w:rsidRPr="001C037C">
        <w:rPr>
          <w:i/>
          <w:lang w:val="mi-NZ"/>
        </w:rPr>
        <w:t xml:space="preserve"> et al.</w:t>
      </w:r>
      <w:r w:rsidR="001C037C">
        <w:rPr>
          <w:lang w:val="mi-NZ"/>
        </w:rPr>
        <w:t>, 2013)</w:t>
      </w:r>
      <w:r>
        <w:rPr>
          <w:lang w:val="mi-NZ"/>
        </w:rPr>
        <w:t>.</w:t>
      </w:r>
    </w:p>
    <w:p w14:paraId="4A0688EA" w14:textId="77777777" w:rsidR="008A218E" w:rsidRPr="008A218E" w:rsidRDefault="008A218E" w:rsidP="008A218E">
      <w:pPr>
        <w:pStyle w:val="TableEntry"/>
        <w:keepNext/>
        <w:spacing w:before="120" w:after="120"/>
      </w:pPr>
    </w:p>
    <w:p w14:paraId="77BF66ED" w14:textId="77777777" w:rsidR="009C390E" w:rsidRDefault="009C390E" w:rsidP="008679C7">
      <w:pPr>
        <w:pStyle w:val="TableEntry"/>
        <w:keepNext/>
        <w:numPr>
          <w:ilvl w:val="2"/>
          <w:numId w:val="5"/>
        </w:numPr>
        <w:spacing w:before="120" w:after="120"/>
        <w:rPr>
          <w:i/>
        </w:rPr>
      </w:pPr>
      <w:r>
        <w:rPr>
          <w:i/>
        </w:rPr>
        <w:t>Microbial genetic resources</w:t>
      </w:r>
    </w:p>
    <w:p w14:paraId="04DC7DD9" w14:textId="77777777" w:rsidR="003B5D40" w:rsidRDefault="00A605CB" w:rsidP="008A218E">
      <w:pPr>
        <w:spacing w:after="120"/>
        <w:rPr>
          <w:rFonts w:eastAsia="Calibri"/>
          <w:sz w:val="22"/>
          <w:szCs w:val="22"/>
          <w:lang w:val="en-US" w:eastAsia="en-US"/>
        </w:rPr>
      </w:pPr>
      <w:r>
        <w:rPr>
          <w:rFonts w:eastAsia="Calibri"/>
          <w:sz w:val="22"/>
          <w:szCs w:val="22"/>
          <w:lang w:val="en-US" w:eastAsia="en-US"/>
        </w:rPr>
        <w:t>Microbes are the most diverse group of organisms on Earth and composed of the largest number of still to be described species. This makes them both a rich opportunity for biotechnology and a severe test of</w:t>
      </w:r>
      <w:r w:rsidR="00037E7B">
        <w:rPr>
          <w:rFonts w:eastAsia="Calibri"/>
          <w:sz w:val="22"/>
          <w:szCs w:val="22"/>
          <w:lang w:val="en-US" w:eastAsia="en-US"/>
        </w:rPr>
        <w:t xml:space="preserve"> the scale at which</w:t>
      </w:r>
      <w:r>
        <w:rPr>
          <w:rFonts w:eastAsia="Calibri"/>
          <w:sz w:val="22"/>
          <w:szCs w:val="22"/>
          <w:lang w:val="en-US" w:eastAsia="en-US"/>
        </w:rPr>
        <w:t xml:space="preserve"> characterization </w:t>
      </w:r>
      <w:r w:rsidR="00037E7B">
        <w:rPr>
          <w:rFonts w:eastAsia="Calibri"/>
          <w:sz w:val="22"/>
          <w:szCs w:val="22"/>
          <w:lang w:val="en-US" w:eastAsia="en-US"/>
        </w:rPr>
        <w:t>techniques can be applied</w:t>
      </w:r>
      <w:r>
        <w:rPr>
          <w:rFonts w:eastAsia="Calibri"/>
          <w:sz w:val="22"/>
          <w:szCs w:val="22"/>
          <w:lang w:val="en-US" w:eastAsia="en-US"/>
        </w:rPr>
        <w:t>.</w:t>
      </w:r>
    </w:p>
    <w:p w14:paraId="19D4A91A" w14:textId="77777777" w:rsidR="003A1BF3" w:rsidRDefault="003A1BF3" w:rsidP="008A218E">
      <w:pPr>
        <w:spacing w:after="120"/>
        <w:rPr>
          <w:rFonts w:eastAsia="Calibri"/>
          <w:sz w:val="22"/>
          <w:szCs w:val="22"/>
          <w:lang w:val="en-US" w:eastAsia="en-US"/>
        </w:rPr>
      </w:pPr>
      <w:r>
        <w:rPr>
          <w:rFonts w:eastAsia="Calibri"/>
          <w:sz w:val="22"/>
          <w:szCs w:val="22"/>
          <w:lang w:val="en-US" w:eastAsia="en-US"/>
        </w:rPr>
        <w:t>DSI is used to generate molecular markers and</w:t>
      </w:r>
      <w:r w:rsidR="007604FC">
        <w:rPr>
          <w:rFonts w:eastAsia="Calibri"/>
          <w:sz w:val="22"/>
          <w:szCs w:val="22"/>
          <w:lang w:val="en-US" w:eastAsia="en-US"/>
        </w:rPr>
        <w:t xml:space="preserve"> is needed</w:t>
      </w:r>
      <w:r>
        <w:rPr>
          <w:rFonts w:eastAsia="Calibri"/>
          <w:sz w:val="22"/>
          <w:szCs w:val="22"/>
          <w:lang w:val="en-US" w:eastAsia="en-US"/>
        </w:rPr>
        <w:t xml:space="preserve"> for omics analysis in the characterization of M</w:t>
      </w:r>
      <w:r w:rsidR="00AB3257">
        <w:rPr>
          <w:rFonts w:eastAsia="Calibri"/>
          <w:sz w:val="22"/>
          <w:szCs w:val="22"/>
          <w:lang w:val="en-US" w:eastAsia="en-US"/>
        </w:rPr>
        <w:t>o</w:t>
      </w:r>
      <w:r>
        <w:rPr>
          <w:rFonts w:eastAsia="Calibri"/>
          <w:sz w:val="22"/>
          <w:szCs w:val="22"/>
          <w:lang w:val="en-US" w:eastAsia="en-US"/>
        </w:rPr>
        <w:t xml:space="preserve">GR, as well as for detection of pathogens and spoilage agents in food. </w:t>
      </w:r>
      <w:r w:rsidRPr="003A1BF3">
        <w:rPr>
          <w:rFonts w:eastAsia="Calibri"/>
          <w:sz w:val="22"/>
          <w:szCs w:val="22"/>
          <w:lang w:eastAsia="en-US"/>
        </w:rPr>
        <w:t xml:space="preserve">An important use of databases for </w:t>
      </w:r>
      <w:r>
        <w:rPr>
          <w:rFonts w:eastAsia="Calibri"/>
          <w:sz w:val="22"/>
          <w:szCs w:val="22"/>
          <w:lang w:eastAsia="en-US"/>
        </w:rPr>
        <w:t>M</w:t>
      </w:r>
      <w:r w:rsidR="00AB3257">
        <w:rPr>
          <w:rFonts w:eastAsia="Calibri"/>
          <w:sz w:val="22"/>
          <w:szCs w:val="22"/>
          <w:lang w:eastAsia="en-US"/>
        </w:rPr>
        <w:t>o</w:t>
      </w:r>
      <w:r>
        <w:rPr>
          <w:rFonts w:eastAsia="Calibri"/>
          <w:sz w:val="22"/>
          <w:szCs w:val="22"/>
          <w:lang w:eastAsia="en-US"/>
        </w:rPr>
        <w:t>GR</w:t>
      </w:r>
      <w:r w:rsidRPr="003A1BF3">
        <w:rPr>
          <w:rFonts w:eastAsia="Calibri"/>
          <w:sz w:val="22"/>
          <w:szCs w:val="22"/>
          <w:lang w:eastAsia="en-US"/>
        </w:rPr>
        <w:t xml:space="preserve"> is to identify novel organisms and/or </w:t>
      </w:r>
      <w:r>
        <w:rPr>
          <w:rFonts w:eastAsia="Calibri"/>
          <w:sz w:val="22"/>
          <w:szCs w:val="22"/>
          <w:lang w:eastAsia="en-US"/>
        </w:rPr>
        <w:t xml:space="preserve">DNA </w:t>
      </w:r>
      <w:r w:rsidRPr="003A1BF3">
        <w:rPr>
          <w:rFonts w:eastAsia="Calibri"/>
          <w:sz w:val="22"/>
          <w:szCs w:val="22"/>
          <w:lang w:eastAsia="en-US"/>
        </w:rPr>
        <w:t xml:space="preserve">sequences. This is because </w:t>
      </w:r>
      <w:r>
        <w:rPr>
          <w:rFonts w:eastAsia="Calibri"/>
          <w:sz w:val="22"/>
          <w:szCs w:val="22"/>
          <w:lang w:eastAsia="en-US"/>
        </w:rPr>
        <w:t>they</w:t>
      </w:r>
      <w:r w:rsidRPr="003A1BF3">
        <w:rPr>
          <w:rFonts w:eastAsia="Calibri"/>
          <w:sz w:val="22"/>
          <w:szCs w:val="22"/>
          <w:lang w:eastAsia="en-US"/>
        </w:rPr>
        <w:t xml:space="preserve"> are likely to be associated with </w:t>
      </w:r>
      <w:r w:rsidR="007604FC">
        <w:rPr>
          <w:rFonts w:eastAsia="Calibri"/>
          <w:sz w:val="22"/>
          <w:szCs w:val="22"/>
          <w:lang w:eastAsia="en-US"/>
        </w:rPr>
        <w:t>new</w:t>
      </w:r>
      <w:r w:rsidRPr="003A1BF3">
        <w:rPr>
          <w:rFonts w:eastAsia="Calibri"/>
          <w:sz w:val="22"/>
          <w:szCs w:val="22"/>
          <w:lang w:eastAsia="en-US"/>
        </w:rPr>
        <w:t xml:space="preserve"> properties. This approach is </w:t>
      </w:r>
      <w:r w:rsidR="007604FC">
        <w:rPr>
          <w:rFonts w:eastAsia="Calibri"/>
          <w:sz w:val="22"/>
          <w:szCs w:val="22"/>
          <w:lang w:eastAsia="en-US"/>
        </w:rPr>
        <w:t>behind</w:t>
      </w:r>
      <w:r w:rsidRPr="003A1BF3">
        <w:rPr>
          <w:rFonts w:eastAsia="Calibri"/>
          <w:sz w:val="22"/>
          <w:szCs w:val="22"/>
          <w:lang w:eastAsia="en-US"/>
        </w:rPr>
        <w:t xml:space="preserve"> “bioprospecting” for novel small molecules that are bioactive, for example as lead compounds for drug or plant growth modulator development</w:t>
      </w:r>
      <w:r>
        <w:rPr>
          <w:rFonts w:eastAsia="Calibri"/>
          <w:sz w:val="22"/>
          <w:szCs w:val="22"/>
          <w:lang w:eastAsia="en-US"/>
        </w:rPr>
        <w:t xml:space="preserve"> </w:t>
      </w:r>
      <w:r w:rsidR="001C037C">
        <w:rPr>
          <w:rFonts w:eastAsia="Calibri"/>
          <w:noProof/>
          <w:sz w:val="22"/>
          <w:szCs w:val="22"/>
          <w:lang w:eastAsia="en-US"/>
        </w:rPr>
        <w:t xml:space="preserve">(Buenz </w:t>
      </w:r>
      <w:r w:rsidR="001C037C" w:rsidRPr="001C037C">
        <w:rPr>
          <w:rFonts w:eastAsia="Calibri"/>
          <w:i/>
          <w:noProof/>
          <w:sz w:val="22"/>
          <w:szCs w:val="22"/>
          <w:lang w:eastAsia="en-US"/>
        </w:rPr>
        <w:t xml:space="preserve"> et al.</w:t>
      </w:r>
      <w:r w:rsidR="001C037C">
        <w:rPr>
          <w:rFonts w:eastAsia="Calibri"/>
          <w:noProof/>
          <w:sz w:val="22"/>
          <w:szCs w:val="22"/>
          <w:lang w:eastAsia="en-US"/>
        </w:rPr>
        <w:t>, 2018; Guzzetti</w:t>
      </w:r>
      <w:r w:rsidR="001C037C" w:rsidRPr="001C037C">
        <w:rPr>
          <w:rFonts w:eastAsia="Calibri"/>
          <w:i/>
          <w:noProof/>
          <w:sz w:val="22"/>
          <w:szCs w:val="22"/>
          <w:lang w:eastAsia="en-US"/>
        </w:rPr>
        <w:t xml:space="preserve"> et al.</w:t>
      </w:r>
      <w:r w:rsidR="001C037C">
        <w:rPr>
          <w:rFonts w:eastAsia="Calibri"/>
          <w:noProof/>
          <w:sz w:val="22"/>
          <w:szCs w:val="22"/>
          <w:lang w:eastAsia="en-US"/>
        </w:rPr>
        <w:t>, 2018; Tiwari</w:t>
      </w:r>
      <w:r w:rsidR="001C037C" w:rsidRPr="001C037C">
        <w:rPr>
          <w:rFonts w:eastAsia="Calibri"/>
          <w:i/>
          <w:noProof/>
          <w:sz w:val="22"/>
          <w:szCs w:val="22"/>
          <w:lang w:eastAsia="en-US"/>
        </w:rPr>
        <w:t xml:space="preserve"> et al.</w:t>
      </w:r>
      <w:r w:rsidR="001C037C">
        <w:rPr>
          <w:rFonts w:eastAsia="Calibri"/>
          <w:noProof/>
          <w:sz w:val="22"/>
          <w:szCs w:val="22"/>
          <w:lang w:eastAsia="en-US"/>
        </w:rPr>
        <w:t>, 2018; Wahaab and Subramaniam, 2018; Yang and Song, 2018)</w:t>
      </w:r>
      <w:r w:rsidRPr="003A1BF3">
        <w:rPr>
          <w:rFonts w:eastAsia="Calibri"/>
          <w:sz w:val="22"/>
          <w:szCs w:val="22"/>
          <w:lang w:eastAsia="en-US"/>
        </w:rPr>
        <w:t>.</w:t>
      </w:r>
    </w:p>
    <w:p w14:paraId="0E6817ED" w14:textId="77777777" w:rsidR="008A218E" w:rsidRPr="008A218E" w:rsidRDefault="008A218E" w:rsidP="008A218E">
      <w:pPr>
        <w:spacing w:after="120"/>
        <w:rPr>
          <w:rFonts w:eastAsia="Calibri"/>
          <w:sz w:val="22"/>
          <w:szCs w:val="22"/>
          <w:lang w:val="en-US" w:eastAsia="en-US"/>
        </w:rPr>
      </w:pPr>
      <w:r w:rsidRPr="008A218E">
        <w:rPr>
          <w:rFonts w:eastAsia="Calibri"/>
          <w:sz w:val="22"/>
          <w:szCs w:val="22"/>
          <w:lang w:val="en-US" w:eastAsia="en-US"/>
        </w:rPr>
        <w:t>Metabarcoding</w:t>
      </w:r>
      <w:r w:rsidR="002A0F9A">
        <w:rPr>
          <w:rFonts w:eastAsia="Calibri"/>
          <w:sz w:val="22"/>
          <w:szCs w:val="22"/>
          <w:lang w:val="en-US" w:eastAsia="en-US"/>
        </w:rPr>
        <w:t>,</w:t>
      </w:r>
      <w:r w:rsidR="002A0F9A" w:rsidRPr="008A218E">
        <w:rPr>
          <w:rFonts w:eastAsia="Calibri"/>
          <w:sz w:val="22"/>
          <w:szCs w:val="22"/>
          <w:lang w:val="en-US" w:eastAsia="en-US"/>
        </w:rPr>
        <w:t xml:space="preserve"> a high-throughput variation of barcoding using metagenomic or genomic DNA</w:t>
      </w:r>
      <w:r w:rsidR="002A0F9A">
        <w:rPr>
          <w:rFonts w:eastAsia="Calibri"/>
          <w:sz w:val="22"/>
          <w:szCs w:val="22"/>
          <w:lang w:val="en-US" w:eastAsia="en-US"/>
        </w:rPr>
        <w:t>,</w:t>
      </w:r>
      <w:r w:rsidRPr="008A218E">
        <w:rPr>
          <w:rFonts w:eastAsia="Calibri"/>
          <w:sz w:val="22"/>
          <w:szCs w:val="22"/>
          <w:lang w:val="en-US" w:eastAsia="en-US"/>
        </w:rPr>
        <w:t xml:space="preserve"> </w:t>
      </w:r>
      <w:r w:rsidR="00A605CB">
        <w:rPr>
          <w:rFonts w:eastAsia="Calibri"/>
          <w:sz w:val="22"/>
          <w:szCs w:val="22"/>
          <w:lang w:val="en-US" w:eastAsia="en-US"/>
        </w:rPr>
        <w:t>is being</w:t>
      </w:r>
      <w:r w:rsidRPr="008A218E">
        <w:rPr>
          <w:rFonts w:eastAsia="Calibri"/>
          <w:sz w:val="22"/>
          <w:szCs w:val="22"/>
          <w:lang w:val="en-US" w:eastAsia="en-US"/>
        </w:rPr>
        <w:t xml:space="preserve"> used to characterize microbial ecosystems. Food security and nutrition is improved by healthy soils, which in t</w:t>
      </w:r>
      <w:r w:rsidR="007604FC">
        <w:rPr>
          <w:rFonts w:eastAsia="Calibri"/>
          <w:sz w:val="22"/>
          <w:szCs w:val="22"/>
          <w:lang w:val="en-US" w:eastAsia="en-US"/>
        </w:rPr>
        <w:t>urn are dependent on soil micro</w:t>
      </w:r>
      <w:r w:rsidRPr="008A218E">
        <w:rPr>
          <w:rFonts w:eastAsia="Calibri"/>
          <w:sz w:val="22"/>
          <w:szCs w:val="22"/>
          <w:lang w:val="en-US" w:eastAsia="en-US"/>
        </w:rPr>
        <w:t>organisms. Metabarcoding</w:t>
      </w:r>
      <w:r w:rsidR="002A0F9A">
        <w:rPr>
          <w:rFonts w:eastAsia="Calibri"/>
          <w:sz w:val="22"/>
          <w:szCs w:val="22"/>
          <w:lang w:val="en-US" w:eastAsia="en-US"/>
        </w:rPr>
        <w:t xml:space="preserve"> </w:t>
      </w:r>
      <w:r w:rsidRPr="008A218E">
        <w:rPr>
          <w:rFonts w:eastAsia="Calibri"/>
          <w:sz w:val="22"/>
          <w:szCs w:val="22"/>
          <w:lang w:val="en-US" w:eastAsia="en-US"/>
        </w:rPr>
        <w:t xml:space="preserve">can be applied to describe the microbial ecosystem on everything from store-packaged food </w:t>
      </w:r>
      <w:r w:rsidR="001C037C">
        <w:rPr>
          <w:rFonts w:eastAsia="Calibri"/>
          <w:noProof/>
          <w:sz w:val="22"/>
          <w:szCs w:val="22"/>
          <w:lang w:val="en-US" w:eastAsia="en-US"/>
        </w:rPr>
        <w:t>(Higgins</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2018)</w:t>
      </w:r>
      <w:r w:rsidRPr="008A218E">
        <w:rPr>
          <w:rFonts w:eastAsia="Calibri"/>
          <w:sz w:val="22"/>
          <w:szCs w:val="22"/>
          <w:lang w:val="en-US" w:eastAsia="en-US"/>
        </w:rPr>
        <w:t xml:space="preserve"> to large agroecosystems. While barcoding can be used as a tool for the conservation of species, metabarcoding can be used for conservation of ecosystem functions. </w:t>
      </w:r>
    </w:p>
    <w:p w14:paraId="4A6A8B88" w14:textId="77777777" w:rsidR="008A218E" w:rsidRPr="008A218E" w:rsidRDefault="008A218E" w:rsidP="008A218E">
      <w:pPr>
        <w:spacing w:after="120"/>
        <w:rPr>
          <w:rFonts w:eastAsia="Calibri"/>
          <w:sz w:val="22"/>
          <w:szCs w:val="22"/>
          <w:lang w:val="en-US" w:eastAsia="en-US"/>
        </w:rPr>
      </w:pPr>
      <w:r w:rsidRPr="008A218E">
        <w:rPr>
          <w:rFonts w:eastAsia="Calibri"/>
          <w:sz w:val="22"/>
          <w:szCs w:val="22"/>
          <w:lang w:val="en-US" w:eastAsia="en-US"/>
        </w:rPr>
        <w:t xml:space="preserve">Quantitative microbial community structure descriptions were built from DSI of 16S rRNA DNA profiles of ecosystems dominated by five different uses, natural and planted forest, vineyards and improved and unimproved grasslands in New Zealand </w:t>
      </w:r>
      <w:r w:rsidR="001C037C">
        <w:rPr>
          <w:rFonts w:eastAsia="Calibri"/>
          <w:noProof/>
          <w:sz w:val="22"/>
          <w:szCs w:val="22"/>
          <w:lang w:val="en-US" w:eastAsia="en-US"/>
        </w:rPr>
        <w:t>(Orwin</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2018)</w:t>
      </w:r>
      <w:r w:rsidRPr="008A218E">
        <w:rPr>
          <w:rFonts w:eastAsia="Calibri"/>
          <w:sz w:val="22"/>
          <w:szCs w:val="22"/>
          <w:lang w:val="en-US" w:eastAsia="en-US"/>
        </w:rPr>
        <w:t>. Metabarcoding profiles based on nucleotide sequences correlated well with the more traditional tool, phospholipid fatty acid profiles, and as reliable predictors of ecosystem function.</w:t>
      </w:r>
    </w:p>
    <w:p w14:paraId="7477AF3A" w14:textId="77777777" w:rsidR="008A218E" w:rsidRDefault="008A218E" w:rsidP="008A218E">
      <w:pPr>
        <w:pStyle w:val="Heading2"/>
        <w:spacing w:before="120" w:after="120"/>
        <w:rPr>
          <w:rFonts w:ascii="Times New Roman" w:eastAsia="Calibri" w:hAnsi="Times New Roman" w:cs="Times New Roman"/>
          <w:b w:val="0"/>
          <w:i w:val="0"/>
          <w:sz w:val="22"/>
          <w:szCs w:val="22"/>
          <w:lang w:val="en-US" w:eastAsia="en-US"/>
        </w:rPr>
      </w:pPr>
      <w:r w:rsidRPr="008A218E">
        <w:rPr>
          <w:rFonts w:ascii="Times New Roman" w:eastAsia="Calibri" w:hAnsi="Times New Roman" w:cs="Times New Roman"/>
          <w:b w:val="0"/>
          <w:i w:val="0"/>
          <w:sz w:val="22"/>
          <w:szCs w:val="22"/>
          <w:lang w:val="en-US" w:eastAsia="en-US"/>
        </w:rPr>
        <w:t xml:space="preserve">Describing the microbial community helps to identify land uses and diagnose soil functions such as nutrient levels and decomposition rates. For example, soils with higher levels of </w:t>
      </w:r>
      <w:r w:rsidRPr="008A218E">
        <w:rPr>
          <w:rFonts w:ascii="Times New Roman" w:eastAsia="Calibri" w:hAnsi="Times New Roman" w:cs="Times New Roman"/>
          <w:b w:val="0"/>
          <w:sz w:val="22"/>
          <w:szCs w:val="22"/>
          <w:lang w:val="en-US" w:eastAsia="en-US"/>
        </w:rPr>
        <w:t>Acidobacteria</w:t>
      </w:r>
      <w:r w:rsidRPr="008A218E">
        <w:rPr>
          <w:rFonts w:ascii="Times New Roman" w:eastAsia="Calibri" w:hAnsi="Times New Roman" w:cs="Times New Roman"/>
          <w:b w:val="0"/>
          <w:i w:val="0"/>
          <w:sz w:val="22"/>
          <w:szCs w:val="22"/>
          <w:lang w:val="en-US" w:eastAsia="en-US"/>
        </w:rPr>
        <w:t xml:space="preserve"> may have less drought tolerance than soils with </w:t>
      </w:r>
      <w:r w:rsidRPr="00E211EB">
        <w:rPr>
          <w:rFonts w:ascii="Times New Roman" w:eastAsia="Calibri" w:hAnsi="Times New Roman" w:cs="Times New Roman"/>
          <w:b w:val="0"/>
          <w:sz w:val="22"/>
          <w:szCs w:val="22"/>
          <w:lang w:val="en-US" w:eastAsia="en-US"/>
        </w:rPr>
        <w:t>Actinobacteria</w:t>
      </w:r>
      <w:r w:rsidRPr="008A218E">
        <w:rPr>
          <w:rFonts w:ascii="Times New Roman" w:eastAsia="Calibri" w:hAnsi="Times New Roman" w:cs="Times New Roman"/>
          <w:b w:val="0"/>
          <w:i w:val="0"/>
          <w:sz w:val="22"/>
          <w:szCs w:val="22"/>
          <w:lang w:val="en-US" w:eastAsia="en-US"/>
        </w:rPr>
        <w:t>. Ultimately, DSI built from metabarcoding might help to improve food security and nutrition through either direct supplementation with specific kinds of microbes or amendments that alter the soil microbial community.</w:t>
      </w:r>
      <w:r w:rsidRPr="008A218E">
        <w:rPr>
          <w:rStyle w:val="FootnoteReference"/>
          <w:rFonts w:ascii="Times New Roman" w:eastAsia="Calibri" w:hAnsi="Times New Roman" w:cs="Times New Roman"/>
          <w:b w:val="0"/>
          <w:i w:val="0"/>
          <w:lang w:val="en-US" w:eastAsia="en-US"/>
        </w:rPr>
        <w:footnoteReference w:id="23"/>
      </w:r>
    </w:p>
    <w:p w14:paraId="2E8A4792" w14:textId="77777777" w:rsidR="00917222" w:rsidRPr="00917222" w:rsidRDefault="00917222" w:rsidP="00917222"/>
    <w:p w14:paraId="09E87D7D" w14:textId="77777777" w:rsidR="009C390E" w:rsidRPr="00BB430C" w:rsidRDefault="009C390E" w:rsidP="008679C7">
      <w:pPr>
        <w:pStyle w:val="TableEntry"/>
        <w:keepNext/>
        <w:numPr>
          <w:ilvl w:val="2"/>
          <w:numId w:val="5"/>
        </w:numPr>
        <w:spacing w:before="120" w:after="120"/>
        <w:rPr>
          <w:i/>
        </w:rPr>
      </w:pPr>
      <w:r>
        <w:rPr>
          <w:i/>
        </w:rPr>
        <w:lastRenderedPageBreak/>
        <w:t>Plant genetic resources</w:t>
      </w:r>
    </w:p>
    <w:p w14:paraId="3722E8E5" w14:textId="77777777" w:rsidR="0006519D" w:rsidRDefault="0006519D" w:rsidP="009C390E">
      <w:pPr>
        <w:pStyle w:val="Heading2"/>
        <w:spacing w:before="120" w:after="120"/>
        <w:rPr>
          <w:rFonts w:ascii="Times New Roman" w:hAnsi="Times New Roman" w:cs="Times New Roman"/>
          <w:b w:val="0"/>
          <w:bCs w:val="0"/>
          <w:i w:val="0"/>
          <w:iCs w:val="0"/>
          <w:noProof/>
          <w:sz w:val="22"/>
          <w:szCs w:val="22"/>
          <w:lang w:val="en-US"/>
        </w:rPr>
      </w:pPr>
      <w:r>
        <w:rPr>
          <w:rFonts w:ascii="Times New Roman" w:hAnsi="Times New Roman" w:cs="Times New Roman"/>
          <w:b w:val="0"/>
          <w:bCs w:val="0"/>
          <w:i w:val="0"/>
          <w:iCs w:val="0"/>
          <w:noProof/>
          <w:sz w:val="22"/>
          <w:szCs w:val="22"/>
          <w:lang w:val="en-US"/>
        </w:rPr>
        <w:t>Molecular markers are used extensively in crop breeding. They are used to inform genetic diversity studies, construct QTL maps, identify valuable exotic germplasm, crop progenitor and the origins of domestication as well as to study gene flow and introgression. Omics is used to construct whole genome sequences that are further used in comparative genomics</w:t>
      </w:r>
      <w:r w:rsidR="00864408">
        <w:rPr>
          <w:rFonts w:ascii="Times New Roman" w:hAnsi="Times New Roman" w:cs="Times New Roman"/>
          <w:b w:val="0"/>
          <w:bCs w:val="0"/>
          <w:i w:val="0"/>
          <w:iCs w:val="0"/>
          <w:noProof/>
          <w:sz w:val="22"/>
          <w:szCs w:val="22"/>
          <w:lang w:val="en-US"/>
        </w:rPr>
        <w:t xml:space="preserve"> that, among other things, help</w:t>
      </w:r>
      <w:r>
        <w:rPr>
          <w:rFonts w:ascii="Times New Roman" w:hAnsi="Times New Roman" w:cs="Times New Roman"/>
          <w:b w:val="0"/>
          <w:bCs w:val="0"/>
          <w:i w:val="0"/>
          <w:iCs w:val="0"/>
          <w:noProof/>
          <w:sz w:val="22"/>
          <w:szCs w:val="22"/>
          <w:lang w:val="en-US"/>
        </w:rPr>
        <w:t xml:space="preserve"> to accelerate the discovery of new genes. Transcriptomics is being used to better understand gene x environment interactions as well as specific responses to pathogens and symbionts.</w:t>
      </w:r>
    </w:p>
    <w:p w14:paraId="514D73C7" w14:textId="77777777" w:rsidR="0006519D" w:rsidRDefault="0006519D" w:rsidP="009C390E">
      <w:pPr>
        <w:pStyle w:val="Heading2"/>
        <w:spacing w:before="120" w:after="120"/>
        <w:rPr>
          <w:rFonts w:ascii="Times New Roman" w:hAnsi="Times New Roman" w:cs="Times New Roman"/>
          <w:noProof/>
          <w:sz w:val="22"/>
          <w:szCs w:val="22"/>
        </w:rPr>
      </w:pPr>
      <w:r>
        <w:rPr>
          <w:rFonts w:ascii="Times New Roman" w:hAnsi="Times New Roman" w:cs="Times New Roman"/>
          <w:b w:val="0"/>
          <w:bCs w:val="0"/>
          <w:i w:val="0"/>
          <w:iCs w:val="0"/>
          <w:noProof/>
          <w:sz w:val="22"/>
          <w:szCs w:val="22"/>
          <w:lang w:val="en-US"/>
        </w:rPr>
        <w:t xml:space="preserve">The following example is included to show how </w:t>
      </w:r>
      <w:r w:rsidR="008A218E" w:rsidRPr="008A218E">
        <w:rPr>
          <w:rFonts w:ascii="Times New Roman" w:hAnsi="Times New Roman" w:cs="Times New Roman"/>
          <w:b w:val="0"/>
          <w:bCs w:val="0"/>
          <w:i w:val="0"/>
          <w:iCs w:val="0"/>
          <w:noProof/>
          <w:sz w:val="22"/>
          <w:szCs w:val="22"/>
          <w:lang w:val="en-US"/>
        </w:rPr>
        <w:t>DSI from whole genome sequencing</w:t>
      </w:r>
      <w:r>
        <w:rPr>
          <w:rFonts w:ascii="Times New Roman" w:hAnsi="Times New Roman" w:cs="Times New Roman"/>
          <w:b w:val="0"/>
          <w:bCs w:val="0"/>
          <w:i w:val="0"/>
          <w:iCs w:val="0"/>
          <w:noProof/>
          <w:sz w:val="22"/>
          <w:szCs w:val="22"/>
          <w:lang w:val="en-US"/>
        </w:rPr>
        <w:t xml:space="preserve"> is used with crop plants. In this case, for</w:t>
      </w:r>
      <w:r w:rsidR="008A218E" w:rsidRPr="008A218E">
        <w:rPr>
          <w:rFonts w:ascii="Times New Roman" w:hAnsi="Times New Roman" w:cs="Times New Roman"/>
          <w:b w:val="0"/>
          <w:bCs w:val="0"/>
          <w:i w:val="0"/>
          <w:iCs w:val="0"/>
          <w:noProof/>
          <w:sz w:val="22"/>
          <w:szCs w:val="22"/>
          <w:lang w:val="en-US"/>
        </w:rPr>
        <w:t xml:space="preserve"> MAS in yam</w:t>
      </w:r>
      <w:r w:rsidR="008A218E">
        <w:rPr>
          <w:rFonts w:ascii="Times New Roman" w:hAnsi="Times New Roman" w:cs="Times New Roman"/>
          <w:b w:val="0"/>
          <w:bCs w:val="0"/>
          <w:i w:val="0"/>
          <w:iCs w:val="0"/>
          <w:noProof/>
          <w:sz w:val="22"/>
          <w:szCs w:val="22"/>
          <w:lang w:val="en-US"/>
        </w:rPr>
        <w:t>.</w:t>
      </w:r>
    </w:p>
    <w:p w14:paraId="235F8A49" w14:textId="77777777" w:rsidR="009C390E" w:rsidRDefault="009C390E" w:rsidP="009C390E">
      <w:pPr>
        <w:pStyle w:val="Heading2"/>
        <w:spacing w:before="120" w:after="120"/>
        <w:rPr>
          <w:rFonts w:ascii="Times New Roman" w:hAnsi="Times New Roman" w:cs="Times New Roman"/>
          <w:b w:val="0"/>
          <w:bCs w:val="0"/>
          <w:i w:val="0"/>
          <w:iCs w:val="0"/>
          <w:noProof/>
          <w:sz w:val="22"/>
          <w:szCs w:val="22"/>
        </w:rPr>
      </w:pPr>
      <w:r>
        <w:rPr>
          <w:rFonts w:ascii="Times New Roman" w:hAnsi="Times New Roman" w:cs="Times New Roman"/>
          <w:b w:val="0"/>
          <w:bCs w:val="0"/>
          <w:i w:val="0"/>
          <w:iCs w:val="0"/>
          <w:noProof/>
          <w:sz w:val="22"/>
          <w:szCs w:val="22"/>
        </w:rPr>
        <w:t xml:space="preserve">The </w:t>
      </w:r>
      <w:r w:rsidRPr="00744D2E">
        <w:rPr>
          <w:rFonts w:ascii="Times New Roman" w:hAnsi="Times New Roman" w:cs="Times New Roman"/>
          <w:b w:val="0"/>
          <w:bCs w:val="0"/>
          <w:i w:val="0"/>
          <w:iCs w:val="0"/>
          <w:noProof/>
          <w:sz w:val="22"/>
          <w:szCs w:val="22"/>
          <w:lang w:val="en-US"/>
        </w:rPr>
        <w:t>white Guinea yam</w:t>
      </w:r>
      <w:r>
        <w:rPr>
          <w:rFonts w:ascii="Times New Roman" w:hAnsi="Times New Roman" w:cs="Times New Roman"/>
          <w:b w:val="0"/>
          <w:bCs w:val="0"/>
          <w:i w:val="0"/>
          <w:iCs w:val="0"/>
          <w:noProof/>
          <w:sz w:val="22"/>
          <w:szCs w:val="22"/>
          <w:lang w:val="en-US"/>
        </w:rPr>
        <w:t>,</w:t>
      </w:r>
      <w:r>
        <w:rPr>
          <w:rFonts w:ascii="Times New Roman" w:hAnsi="Times New Roman" w:cs="Times New Roman"/>
          <w:b w:val="0"/>
          <w:bCs w:val="0"/>
          <w:i w:val="0"/>
          <w:iCs w:val="0"/>
          <w:noProof/>
          <w:sz w:val="22"/>
          <w:szCs w:val="22"/>
        </w:rPr>
        <w:t xml:space="preserve"> </w:t>
      </w:r>
      <w:r w:rsidRPr="00B94460">
        <w:rPr>
          <w:rFonts w:ascii="Times New Roman" w:hAnsi="Times New Roman" w:cs="Times New Roman"/>
          <w:b w:val="0"/>
          <w:bCs w:val="0"/>
          <w:iCs w:val="0"/>
          <w:noProof/>
          <w:sz w:val="22"/>
          <w:szCs w:val="22"/>
          <w:lang w:val="en-US"/>
        </w:rPr>
        <w:t>Dioscorea</w:t>
      </w:r>
      <w:r>
        <w:rPr>
          <w:rFonts w:ascii="Times New Roman" w:hAnsi="Times New Roman" w:cs="Times New Roman"/>
          <w:b w:val="0"/>
          <w:bCs w:val="0"/>
          <w:iCs w:val="0"/>
          <w:noProof/>
          <w:sz w:val="22"/>
          <w:szCs w:val="22"/>
          <w:lang w:val="en-US"/>
        </w:rPr>
        <w:t xml:space="preserve"> </w:t>
      </w:r>
      <w:r w:rsidRPr="00744D2E">
        <w:rPr>
          <w:rFonts w:ascii="Times New Roman" w:hAnsi="Times New Roman" w:cs="Times New Roman"/>
          <w:b w:val="0"/>
          <w:bCs w:val="0"/>
          <w:iCs w:val="0"/>
          <w:noProof/>
          <w:sz w:val="22"/>
          <w:szCs w:val="22"/>
          <w:lang w:val="en-US"/>
        </w:rPr>
        <w:t>rotundata</w:t>
      </w:r>
      <w:r w:rsidRPr="00B94460">
        <w:rPr>
          <w:rFonts w:ascii="Times New Roman" w:hAnsi="Times New Roman" w:cs="Times New Roman"/>
          <w:b w:val="0"/>
          <w:bCs w:val="0"/>
          <w:i w:val="0"/>
          <w:iCs w:val="0"/>
          <w:noProof/>
          <w:sz w:val="22"/>
          <w:szCs w:val="22"/>
          <w:lang w:val="en-US"/>
        </w:rPr>
        <w:t>,</w:t>
      </w:r>
      <w:r>
        <w:rPr>
          <w:rFonts w:ascii="Times New Roman" w:hAnsi="Times New Roman" w:cs="Times New Roman"/>
          <w:b w:val="0"/>
          <w:bCs w:val="0"/>
          <w:iCs w:val="0"/>
          <w:noProof/>
          <w:sz w:val="22"/>
          <w:szCs w:val="22"/>
          <w:lang w:val="en-US"/>
        </w:rPr>
        <w:t xml:space="preserve"> </w:t>
      </w:r>
      <w:r>
        <w:rPr>
          <w:rFonts w:ascii="Times New Roman" w:hAnsi="Times New Roman" w:cs="Times New Roman"/>
          <w:b w:val="0"/>
          <w:bCs w:val="0"/>
          <w:i w:val="0"/>
          <w:iCs w:val="0"/>
          <w:noProof/>
          <w:sz w:val="22"/>
          <w:szCs w:val="22"/>
          <w:lang w:val="en-US"/>
        </w:rPr>
        <w:t xml:space="preserve">grown in West and Central Africa, is both 96 percent of yam produced globally and an important crop for local food security </w:t>
      </w:r>
      <w:r w:rsidR="001C037C">
        <w:rPr>
          <w:rFonts w:ascii="Times New Roman" w:hAnsi="Times New Roman" w:cs="Times New Roman"/>
          <w:b w:val="0"/>
          <w:bCs w:val="0"/>
          <w:i w:val="0"/>
          <w:iCs w:val="0"/>
          <w:noProof/>
          <w:sz w:val="22"/>
          <w:szCs w:val="22"/>
        </w:rPr>
        <w:t>(Tamiru</w:t>
      </w:r>
      <w:r w:rsidR="001C037C" w:rsidRPr="001C037C">
        <w:rPr>
          <w:rFonts w:ascii="Times New Roman" w:hAnsi="Times New Roman" w:cs="Times New Roman"/>
          <w:b w:val="0"/>
          <w:bCs w:val="0"/>
          <w:iCs w:val="0"/>
          <w:noProof/>
          <w:sz w:val="22"/>
          <w:szCs w:val="22"/>
        </w:rPr>
        <w:t xml:space="preserve"> et al.</w:t>
      </w:r>
      <w:r w:rsidR="001C037C">
        <w:rPr>
          <w:rFonts w:ascii="Times New Roman" w:hAnsi="Times New Roman" w:cs="Times New Roman"/>
          <w:b w:val="0"/>
          <w:bCs w:val="0"/>
          <w:i w:val="0"/>
          <w:iCs w:val="0"/>
          <w:noProof/>
          <w:sz w:val="22"/>
          <w:szCs w:val="22"/>
        </w:rPr>
        <w:t>, 2017)</w:t>
      </w:r>
      <w:r>
        <w:rPr>
          <w:rFonts w:ascii="Times New Roman" w:hAnsi="Times New Roman" w:cs="Times New Roman"/>
          <w:b w:val="0"/>
          <w:bCs w:val="0"/>
          <w:i w:val="0"/>
          <w:iCs w:val="0"/>
          <w:noProof/>
          <w:sz w:val="22"/>
          <w:szCs w:val="22"/>
          <w:lang w:val="en-US"/>
        </w:rPr>
        <w:t xml:space="preserve">. A breeding programme for yam could help to reduce their susceptibility to disease and nematodes. Because the yam are usually propagated clonally, </w:t>
      </w:r>
      <w:r w:rsidRPr="00B94460">
        <w:rPr>
          <w:rFonts w:ascii="Times New Roman" w:hAnsi="Times New Roman" w:cs="Times New Roman"/>
          <w:b w:val="0"/>
          <w:bCs w:val="0"/>
          <w:i w:val="0"/>
          <w:iCs w:val="0"/>
          <w:noProof/>
          <w:sz w:val="22"/>
          <w:szCs w:val="22"/>
        </w:rPr>
        <w:t>as tubers</w:t>
      </w:r>
      <w:r>
        <w:rPr>
          <w:rFonts w:ascii="Times New Roman" w:hAnsi="Times New Roman" w:cs="Times New Roman"/>
          <w:b w:val="0"/>
          <w:bCs w:val="0"/>
          <w:i w:val="0"/>
          <w:iCs w:val="0"/>
          <w:noProof/>
          <w:sz w:val="22"/>
          <w:szCs w:val="22"/>
        </w:rPr>
        <w:t>, breeding for these traits is slow</w:t>
      </w:r>
      <w:r w:rsidRPr="00B94460">
        <w:rPr>
          <w:rFonts w:ascii="Times New Roman" w:hAnsi="Times New Roman" w:cs="Times New Roman"/>
          <w:b w:val="0"/>
          <w:bCs w:val="0"/>
          <w:i w:val="0"/>
          <w:iCs w:val="0"/>
          <w:noProof/>
          <w:sz w:val="22"/>
          <w:szCs w:val="22"/>
        </w:rPr>
        <w:t xml:space="preserve">. Further complicating improvement is the high heterozygosity of yam because </w:t>
      </w:r>
      <w:r>
        <w:rPr>
          <w:rFonts w:ascii="Times New Roman" w:hAnsi="Times New Roman" w:cs="Times New Roman"/>
          <w:b w:val="0"/>
          <w:bCs w:val="0"/>
          <w:i w:val="0"/>
          <w:iCs w:val="0"/>
          <w:noProof/>
          <w:sz w:val="22"/>
          <w:szCs w:val="22"/>
        </w:rPr>
        <w:t>it makes them</w:t>
      </w:r>
      <w:r w:rsidRPr="00B94460">
        <w:rPr>
          <w:rFonts w:ascii="Times New Roman" w:hAnsi="Times New Roman" w:cs="Times New Roman"/>
          <w:b w:val="0"/>
          <w:bCs w:val="0"/>
          <w:i w:val="0"/>
          <w:iCs w:val="0"/>
          <w:noProof/>
          <w:sz w:val="22"/>
          <w:szCs w:val="22"/>
        </w:rPr>
        <w:t xml:space="preserve"> not amenable to linkage analysis using the segregating progeny</w:t>
      </w:r>
      <w:r>
        <w:rPr>
          <w:rFonts w:ascii="Times New Roman" w:hAnsi="Times New Roman" w:cs="Times New Roman"/>
          <w:b w:val="0"/>
          <w:bCs w:val="0"/>
          <w:i w:val="0"/>
          <w:iCs w:val="0"/>
          <w:noProof/>
          <w:sz w:val="22"/>
          <w:szCs w:val="22"/>
        </w:rPr>
        <w:t xml:space="preserve"> </w:t>
      </w:r>
      <w:r w:rsidRPr="00B94460">
        <w:rPr>
          <w:rFonts w:ascii="Times New Roman" w:hAnsi="Times New Roman" w:cs="Times New Roman"/>
          <w:b w:val="0"/>
          <w:bCs w:val="0"/>
          <w:i w:val="0"/>
          <w:iCs w:val="0"/>
          <w:noProof/>
          <w:sz w:val="22"/>
          <w:szCs w:val="22"/>
        </w:rPr>
        <w:t>of an F2 generation and recombinant inbred lines</w:t>
      </w:r>
      <w:r>
        <w:rPr>
          <w:rFonts w:ascii="Times New Roman" w:hAnsi="Times New Roman" w:cs="Times New Roman"/>
          <w:b w:val="0"/>
          <w:bCs w:val="0"/>
          <w:i w:val="0"/>
          <w:iCs w:val="0"/>
          <w:noProof/>
          <w:sz w:val="22"/>
          <w:szCs w:val="22"/>
        </w:rPr>
        <w:t>.</w:t>
      </w:r>
    </w:p>
    <w:p w14:paraId="2348E910" w14:textId="77777777" w:rsidR="009C390E" w:rsidRPr="00E023D1" w:rsidRDefault="009C390E" w:rsidP="009C390E">
      <w:pPr>
        <w:pStyle w:val="Heading2"/>
        <w:spacing w:before="120" w:after="120"/>
        <w:rPr>
          <w:rFonts w:ascii="Times New Roman" w:hAnsi="Times New Roman" w:cs="Times New Roman"/>
          <w:b w:val="0"/>
          <w:bCs w:val="0"/>
          <w:i w:val="0"/>
          <w:iCs w:val="0"/>
          <w:noProof/>
          <w:sz w:val="22"/>
          <w:szCs w:val="22"/>
        </w:rPr>
      </w:pPr>
      <w:r w:rsidRPr="00B94460">
        <w:rPr>
          <w:rFonts w:ascii="Times New Roman" w:hAnsi="Times New Roman" w:cs="Times New Roman"/>
          <w:b w:val="0"/>
          <w:bCs w:val="0"/>
          <w:i w:val="0"/>
          <w:iCs w:val="0"/>
          <w:noProof/>
          <w:sz w:val="22"/>
          <w:szCs w:val="22"/>
        </w:rPr>
        <w:t xml:space="preserve">DSI from whole genome sequencing was used to identify a genetic marker for sex identification that could be used at the seedling stage. </w:t>
      </w:r>
      <w:r>
        <w:rPr>
          <w:rFonts w:ascii="Times New Roman" w:hAnsi="Times New Roman" w:cs="Times New Roman"/>
          <w:b w:val="0"/>
          <w:bCs w:val="0"/>
          <w:i w:val="0"/>
          <w:iCs w:val="0"/>
          <w:noProof/>
          <w:sz w:val="22"/>
          <w:szCs w:val="22"/>
        </w:rPr>
        <w:t>The DSI resources underpin MAS in a genomics-assisted breeding programme. “</w:t>
      </w:r>
      <w:r w:rsidRPr="00E023D1">
        <w:rPr>
          <w:rFonts w:ascii="Times New Roman" w:hAnsi="Times New Roman" w:cs="Times New Roman"/>
          <w:b w:val="0"/>
          <w:bCs w:val="0"/>
          <w:i w:val="0"/>
          <w:iCs w:val="0"/>
          <w:noProof/>
          <w:sz w:val="22"/>
          <w:szCs w:val="22"/>
        </w:rPr>
        <w:t>Molecular markers, such as simple sequence repeats</w:t>
      </w:r>
      <w:r>
        <w:rPr>
          <w:rFonts w:ascii="Times New Roman" w:hAnsi="Times New Roman" w:cs="Times New Roman"/>
          <w:b w:val="0"/>
          <w:bCs w:val="0"/>
          <w:i w:val="0"/>
          <w:iCs w:val="0"/>
          <w:noProof/>
          <w:sz w:val="22"/>
          <w:szCs w:val="22"/>
        </w:rPr>
        <w:t xml:space="preserve"> </w:t>
      </w:r>
      <w:r w:rsidRPr="00E023D1">
        <w:rPr>
          <w:rFonts w:ascii="Times New Roman" w:hAnsi="Times New Roman" w:cs="Times New Roman"/>
          <w:b w:val="0"/>
          <w:bCs w:val="0"/>
          <w:i w:val="0"/>
          <w:iCs w:val="0"/>
          <w:noProof/>
          <w:sz w:val="22"/>
          <w:szCs w:val="22"/>
        </w:rPr>
        <w:t>(SSRs), indels, and SNPs, can, for the first time, be developed</w:t>
      </w:r>
      <w:r>
        <w:rPr>
          <w:rFonts w:ascii="Times New Roman" w:hAnsi="Times New Roman" w:cs="Times New Roman"/>
          <w:b w:val="0"/>
          <w:bCs w:val="0"/>
          <w:i w:val="0"/>
          <w:iCs w:val="0"/>
          <w:noProof/>
          <w:sz w:val="22"/>
          <w:szCs w:val="22"/>
        </w:rPr>
        <w:t xml:space="preserve"> </w:t>
      </w:r>
      <w:r w:rsidRPr="00E023D1">
        <w:rPr>
          <w:rFonts w:ascii="Times New Roman" w:hAnsi="Times New Roman" w:cs="Times New Roman"/>
          <w:b w:val="0"/>
          <w:bCs w:val="0"/>
          <w:i w:val="0"/>
          <w:iCs w:val="0"/>
          <w:noProof/>
          <w:sz w:val="22"/>
          <w:szCs w:val="22"/>
        </w:rPr>
        <w:t>for various applications in Guinea yam, including</w:t>
      </w:r>
      <w:r>
        <w:rPr>
          <w:rFonts w:ascii="Times New Roman" w:hAnsi="Times New Roman" w:cs="Times New Roman"/>
          <w:b w:val="0"/>
          <w:bCs w:val="0"/>
          <w:i w:val="0"/>
          <w:iCs w:val="0"/>
          <w:noProof/>
          <w:sz w:val="22"/>
          <w:szCs w:val="22"/>
        </w:rPr>
        <w:t xml:space="preserve"> </w:t>
      </w:r>
      <w:r w:rsidRPr="00E023D1">
        <w:rPr>
          <w:rFonts w:ascii="Times New Roman" w:hAnsi="Times New Roman" w:cs="Times New Roman"/>
          <w:b w:val="0"/>
          <w:bCs w:val="0"/>
          <w:i w:val="0"/>
          <w:iCs w:val="0"/>
          <w:noProof/>
          <w:sz w:val="22"/>
          <w:szCs w:val="22"/>
        </w:rPr>
        <w:t>linkage mapping, genome-wide association analysis,</w:t>
      </w:r>
      <w:r>
        <w:rPr>
          <w:rFonts w:ascii="Times New Roman" w:hAnsi="Times New Roman" w:cs="Times New Roman"/>
          <w:b w:val="0"/>
          <w:bCs w:val="0"/>
          <w:i w:val="0"/>
          <w:iCs w:val="0"/>
          <w:noProof/>
          <w:sz w:val="22"/>
          <w:szCs w:val="22"/>
        </w:rPr>
        <w:t xml:space="preserve"> </w:t>
      </w:r>
      <w:r w:rsidRPr="00E023D1">
        <w:rPr>
          <w:rFonts w:ascii="Times New Roman" w:hAnsi="Times New Roman" w:cs="Times New Roman"/>
          <w:b w:val="0"/>
          <w:bCs w:val="0"/>
          <w:i w:val="0"/>
          <w:iCs w:val="0"/>
          <w:noProof/>
          <w:sz w:val="22"/>
          <w:szCs w:val="22"/>
        </w:rPr>
        <w:t>genomic selection, and MAS</w:t>
      </w:r>
      <w:r>
        <w:rPr>
          <w:rFonts w:ascii="Times New Roman" w:hAnsi="Times New Roman" w:cs="Times New Roman"/>
          <w:b w:val="0"/>
          <w:bCs w:val="0"/>
          <w:i w:val="0"/>
          <w:iCs w:val="0"/>
          <w:noProof/>
          <w:sz w:val="22"/>
          <w:szCs w:val="22"/>
        </w:rPr>
        <w:t xml:space="preserve">” </w:t>
      </w:r>
      <w:r w:rsidR="001C037C">
        <w:rPr>
          <w:rFonts w:ascii="Times New Roman" w:hAnsi="Times New Roman" w:cs="Times New Roman"/>
          <w:b w:val="0"/>
          <w:bCs w:val="0"/>
          <w:i w:val="0"/>
          <w:iCs w:val="0"/>
          <w:noProof/>
          <w:sz w:val="22"/>
          <w:szCs w:val="22"/>
        </w:rPr>
        <w:t>(Tamiru</w:t>
      </w:r>
      <w:r w:rsidR="001C037C" w:rsidRPr="001C037C">
        <w:rPr>
          <w:rFonts w:ascii="Times New Roman" w:hAnsi="Times New Roman" w:cs="Times New Roman"/>
          <w:b w:val="0"/>
          <w:bCs w:val="0"/>
          <w:iCs w:val="0"/>
          <w:noProof/>
          <w:sz w:val="22"/>
          <w:szCs w:val="22"/>
        </w:rPr>
        <w:t xml:space="preserve"> et al.</w:t>
      </w:r>
      <w:r w:rsidR="001C037C">
        <w:rPr>
          <w:rFonts w:ascii="Times New Roman" w:hAnsi="Times New Roman" w:cs="Times New Roman"/>
          <w:b w:val="0"/>
          <w:bCs w:val="0"/>
          <w:i w:val="0"/>
          <w:iCs w:val="0"/>
          <w:noProof/>
          <w:sz w:val="22"/>
          <w:szCs w:val="22"/>
        </w:rPr>
        <w:t>, 2017)</w:t>
      </w:r>
      <w:r>
        <w:rPr>
          <w:rFonts w:ascii="Times New Roman" w:hAnsi="Times New Roman" w:cs="Times New Roman"/>
          <w:b w:val="0"/>
          <w:bCs w:val="0"/>
          <w:i w:val="0"/>
          <w:iCs w:val="0"/>
          <w:noProof/>
          <w:sz w:val="22"/>
          <w:szCs w:val="22"/>
        </w:rPr>
        <w:t>. By providing improved tools for breeding, DSI on yams contributes to food security and nutrition of local communities and increases the potential for income from the crop.</w:t>
      </w:r>
    </w:p>
    <w:p w14:paraId="3F21DCC9" w14:textId="77777777" w:rsidR="000923DB" w:rsidRPr="00164872" w:rsidRDefault="000923DB" w:rsidP="00164872">
      <w:pPr>
        <w:pStyle w:val="TableEntry"/>
        <w:spacing w:before="120" w:after="120"/>
        <w:rPr>
          <w:bCs/>
          <w:i/>
          <w:iCs/>
          <w:lang w:val="mi-NZ"/>
        </w:rPr>
      </w:pPr>
    </w:p>
    <w:p w14:paraId="111FD9EC" w14:textId="77777777" w:rsidR="00DB04CA" w:rsidRPr="00796F66" w:rsidRDefault="007477C6" w:rsidP="00CE2B70">
      <w:pPr>
        <w:pStyle w:val="Heading2"/>
        <w:spacing w:before="120" w:after="120"/>
        <w:rPr>
          <w:rFonts w:ascii="Times New Roman" w:hAnsi="Times New Roman" w:cs="Times New Roman"/>
          <w:bCs w:val="0"/>
          <w:i w:val="0"/>
          <w:iCs w:val="0"/>
          <w:noProof/>
          <w:sz w:val="24"/>
          <w:szCs w:val="24"/>
        </w:rPr>
      </w:pPr>
      <w:r w:rsidRPr="00796F66">
        <w:rPr>
          <w:rFonts w:ascii="Times New Roman" w:hAnsi="Times New Roman" w:cs="Times New Roman"/>
          <w:bCs w:val="0"/>
          <w:i w:val="0"/>
          <w:iCs w:val="0"/>
          <w:noProof/>
          <w:sz w:val="24"/>
          <w:szCs w:val="24"/>
        </w:rPr>
        <w:t>3</w:t>
      </w:r>
      <w:r w:rsidR="00E2600C" w:rsidRPr="00796F66">
        <w:rPr>
          <w:rFonts w:ascii="Times New Roman" w:hAnsi="Times New Roman" w:cs="Times New Roman"/>
          <w:bCs w:val="0"/>
          <w:i w:val="0"/>
          <w:iCs w:val="0"/>
          <w:noProof/>
          <w:sz w:val="24"/>
          <w:szCs w:val="24"/>
        </w:rPr>
        <w:t>.</w:t>
      </w:r>
      <w:r w:rsidR="00063404" w:rsidRPr="00796F66">
        <w:rPr>
          <w:rFonts w:ascii="Times New Roman" w:hAnsi="Times New Roman" w:cs="Times New Roman"/>
          <w:bCs w:val="0"/>
          <w:i w:val="0"/>
          <w:iCs w:val="0"/>
          <w:noProof/>
          <w:sz w:val="24"/>
          <w:szCs w:val="24"/>
        </w:rPr>
        <w:t xml:space="preserve">2 </w:t>
      </w:r>
      <w:r w:rsidR="00DB04CA" w:rsidRPr="00796F66">
        <w:rPr>
          <w:rFonts w:ascii="Times New Roman" w:hAnsi="Times New Roman" w:cs="Times New Roman"/>
          <w:bCs w:val="0"/>
          <w:i w:val="0"/>
          <w:iCs w:val="0"/>
          <w:noProof/>
          <w:sz w:val="24"/>
          <w:szCs w:val="24"/>
        </w:rPr>
        <w:t>Conservation</w:t>
      </w:r>
      <w:bookmarkEnd w:id="11"/>
    </w:p>
    <w:p w14:paraId="0DF7F07B" w14:textId="77777777" w:rsidR="00596DE3" w:rsidRDefault="00596DE3" w:rsidP="00596DE3">
      <w:pPr>
        <w:spacing w:after="120"/>
        <w:rPr>
          <w:rFonts w:eastAsia="Calibri"/>
          <w:sz w:val="22"/>
          <w:szCs w:val="22"/>
          <w:lang w:eastAsia="en-US"/>
        </w:rPr>
      </w:pPr>
      <w:r w:rsidRPr="00BB430C">
        <w:rPr>
          <w:rFonts w:eastAsia="Calibri"/>
          <w:sz w:val="22"/>
          <w:szCs w:val="22"/>
          <w:lang w:eastAsia="en-US"/>
        </w:rPr>
        <w:t xml:space="preserve">Strategies for conserving genetic diversity include </w:t>
      </w:r>
      <w:r w:rsidRPr="00BB430C">
        <w:rPr>
          <w:rFonts w:eastAsia="Calibri"/>
          <w:i/>
          <w:sz w:val="22"/>
          <w:szCs w:val="22"/>
          <w:lang w:eastAsia="en-US"/>
        </w:rPr>
        <w:t>ex situ, ex situ-in vivo,</w:t>
      </w:r>
      <w:r w:rsidRPr="00BB430C">
        <w:rPr>
          <w:rFonts w:eastAsia="Calibri"/>
          <w:sz w:val="22"/>
          <w:szCs w:val="22"/>
          <w:lang w:eastAsia="en-US"/>
        </w:rPr>
        <w:t xml:space="preserve"> and </w:t>
      </w:r>
      <w:r w:rsidRPr="00BB430C">
        <w:rPr>
          <w:rFonts w:eastAsia="Calibri"/>
          <w:i/>
          <w:sz w:val="22"/>
          <w:szCs w:val="22"/>
          <w:lang w:eastAsia="en-US"/>
        </w:rPr>
        <w:t>in situ</w:t>
      </w:r>
      <w:r w:rsidRPr="00BB430C">
        <w:rPr>
          <w:rFonts w:eastAsia="Calibri"/>
          <w:sz w:val="22"/>
          <w:szCs w:val="22"/>
          <w:lang w:eastAsia="en-US"/>
        </w:rPr>
        <w:t xml:space="preserve"> conservation </w:t>
      </w:r>
      <w:r w:rsidR="001C037C">
        <w:rPr>
          <w:rFonts w:eastAsia="Calibri"/>
          <w:noProof/>
          <w:sz w:val="22"/>
          <w:szCs w:val="22"/>
          <w:lang w:eastAsia="en-US"/>
        </w:rPr>
        <w:t>(CGRFA, 2012, 2014)</w:t>
      </w:r>
      <w:r w:rsidRPr="00BB430C">
        <w:rPr>
          <w:rFonts w:eastAsia="Calibri"/>
          <w:sz w:val="22"/>
          <w:szCs w:val="22"/>
          <w:lang w:eastAsia="en-US"/>
        </w:rPr>
        <w:t xml:space="preserve">. Effective management of diversity requires that the particular mix of conservation strategies is suited to the objectives, which are specific to the genetic resource </w:t>
      </w:r>
      <w:r w:rsidR="001C037C">
        <w:rPr>
          <w:rFonts w:eastAsia="Calibri"/>
          <w:noProof/>
          <w:sz w:val="22"/>
          <w:szCs w:val="22"/>
          <w:lang w:eastAsia="en-US"/>
        </w:rPr>
        <w:t>(e.g. see Table 1 of CGRFA, 2012)</w:t>
      </w:r>
      <w:r w:rsidRPr="00BB430C">
        <w:rPr>
          <w:rFonts w:eastAsia="Calibri"/>
          <w:sz w:val="22"/>
          <w:szCs w:val="22"/>
          <w:lang w:eastAsia="en-US"/>
        </w:rPr>
        <w:t>. In general, all three strategies must to some degree ensure that relevant organisms are identified and that the</w:t>
      </w:r>
      <w:r w:rsidR="00FD7D82">
        <w:rPr>
          <w:rFonts w:eastAsia="Calibri"/>
          <w:sz w:val="22"/>
          <w:szCs w:val="22"/>
          <w:lang w:eastAsia="en-US"/>
        </w:rPr>
        <w:t xml:space="preserve"> population is large enough</w:t>
      </w:r>
      <w:r w:rsidRPr="00BB430C">
        <w:rPr>
          <w:rFonts w:eastAsia="Calibri"/>
          <w:sz w:val="22"/>
          <w:szCs w:val="22"/>
          <w:lang w:eastAsia="en-US"/>
        </w:rPr>
        <w:t xml:space="preserve"> to hold representative genetic diversity in the collection or environment, the organisms or germplasm are viable, the diversity can be accessed when needed, and information is available and easily disseminated, e.g. by electronic means </w:t>
      </w:r>
      <w:r w:rsidR="001C037C">
        <w:rPr>
          <w:rFonts w:eastAsia="Calibri"/>
          <w:noProof/>
          <w:sz w:val="22"/>
          <w:szCs w:val="22"/>
          <w:lang w:eastAsia="en-US"/>
        </w:rPr>
        <w:t>(CGRFA, 2014)</w:t>
      </w:r>
      <w:r w:rsidRPr="00BB430C">
        <w:rPr>
          <w:rFonts w:eastAsia="Calibri"/>
          <w:sz w:val="22"/>
          <w:szCs w:val="22"/>
          <w:lang w:eastAsia="en-US"/>
        </w:rPr>
        <w:t>.</w:t>
      </w:r>
    </w:p>
    <w:p w14:paraId="7BD14591" w14:textId="77777777" w:rsidR="00CD0880" w:rsidRPr="00BB430C" w:rsidRDefault="00CD0880" w:rsidP="00596DE3">
      <w:pPr>
        <w:spacing w:after="120"/>
        <w:rPr>
          <w:rFonts w:eastAsia="Calibri"/>
          <w:sz w:val="22"/>
          <w:szCs w:val="22"/>
          <w:lang w:eastAsia="en-US"/>
        </w:rPr>
      </w:pPr>
      <w:r>
        <w:rPr>
          <w:rFonts w:eastAsia="Calibri"/>
          <w:sz w:val="22"/>
          <w:szCs w:val="22"/>
          <w:lang w:eastAsia="en-US"/>
        </w:rPr>
        <w:t xml:space="preserve">The different strategies are not alternatives to one another, but interact and combine to increase the security of genetic diversity. </w:t>
      </w:r>
      <w:r w:rsidRPr="00CD0880">
        <w:rPr>
          <w:rFonts w:eastAsia="Calibri"/>
          <w:i/>
          <w:sz w:val="22"/>
          <w:szCs w:val="22"/>
          <w:lang w:eastAsia="en-US"/>
        </w:rPr>
        <w:t>Ex situ</w:t>
      </w:r>
      <w:r>
        <w:rPr>
          <w:rFonts w:eastAsia="Calibri"/>
          <w:sz w:val="22"/>
          <w:szCs w:val="22"/>
          <w:lang w:eastAsia="en-US"/>
        </w:rPr>
        <w:t xml:space="preserve"> collections can be used to introduce diversity into </w:t>
      </w:r>
      <w:r w:rsidRPr="00CD0880">
        <w:rPr>
          <w:rFonts w:eastAsia="Calibri"/>
          <w:i/>
          <w:sz w:val="22"/>
          <w:szCs w:val="22"/>
          <w:lang w:eastAsia="en-US"/>
        </w:rPr>
        <w:t>in situ</w:t>
      </w:r>
      <w:r>
        <w:rPr>
          <w:rFonts w:eastAsia="Calibri"/>
          <w:sz w:val="22"/>
          <w:szCs w:val="22"/>
          <w:lang w:eastAsia="en-US"/>
        </w:rPr>
        <w:t xml:space="preserve"> conservation areas if the effective population size falls, and </w:t>
      </w:r>
      <w:r w:rsidRPr="00C64009">
        <w:rPr>
          <w:rFonts w:eastAsia="Calibri"/>
          <w:i/>
          <w:sz w:val="22"/>
          <w:szCs w:val="22"/>
          <w:lang w:eastAsia="en-US"/>
        </w:rPr>
        <w:t>ex situ</w:t>
      </w:r>
      <w:r>
        <w:rPr>
          <w:rFonts w:eastAsia="Calibri"/>
          <w:sz w:val="22"/>
          <w:szCs w:val="22"/>
          <w:lang w:eastAsia="en-US"/>
        </w:rPr>
        <w:t xml:space="preserve"> collections are enriched by accessions over time from</w:t>
      </w:r>
      <w:r w:rsidR="00C64009">
        <w:rPr>
          <w:rFonts w:eastAsia="Calibri"/>
          <w:sz w:val="22"/>
          <w:szCs w:val="22"/>
          <w:lang w:eastAsia="en-US"/>
        </w:rPr>
        <w:t xml:space="preserve"> </w:t>
      </w:r>
      <w:r w:rsidR="00C64009" w:rsidRPr="00C64009">
        <w:rPr>
          <w:rFonts w:eastAsia="Calibri"/>
          <w:i/>
          <w:sz w:val="22"/>
          <w:szCs w:val="22"/>
          <w:lang w:eastAsia="en-US"/>
        </w:rPr>
        <w:t>in situ</w:t>
      </w:r>
      <w:r>
        <w:rPr>
          <w:rFonts w:eastAsia="Calibri"/>
          <w:sz w:val="22"/>
          <w:szCs w:val="22"/>
          <w:lang w:eastAsia="en-US"/>
        </w:rPr>
        <w:t xml:space="preserve"> populations of organisms under constant pressure to adapt </w:t>
      </w:r>
      <w:r w:rsidR="001C037C">
        <w:rPr>
          <w:rFonts w:eastAsia="Calibri"/>
          <w:noProof/>
          <w:sz w:val="22"/>
          <w:szCs w:val="22"/>
          <w:lang w:eastAsia="en-US"/>
        </w:rPr>
        <w:t>(Lidder and Sonnino, 2011)</w:t>
      </w:r>
      <w:r>
        <w:rPr>
          <w:rFonts w:eastAsia="Calibri"/>
          <w:sz w:val="22"/>
          <w:szCs w:val="22"/>
          <w:lang w:eastAsia="en-US"/>
        </w:rPr>
        <w:t>.</w:t>
      </w:r>
    </w:p>
    <w:p w14:paraId="2666D64C" w14:textId="77777777" w:rsidR="00596DE3" w:rsidRDefault="001B125D" w:rsidP="00596DE3">
      <w:pPr>
        <w:spacing w:after="120"/>
        <w:rPr>
          <w:rFonts w:eastAsia="Calibri"/>
          <w:sz w:val="22"/>
          <w:szCs w:val="22"/>
          <w:lang w:eastAsia="en-US"/>
        </w:rPr>
      </w:pPr>
      <w:r>
        <w:rPr>
          <w:rFonts w:eastAsia="Calibri"/>
          <w:sz w:val="22"/>
          <w:szCs w:val="22"/>
          <w:lang w:val="en-US" w:eastAsia="en-US"/>
        </w:rPr>
        <w:t xml:space="preserve">DSI in the form of species surveys contributes to species conservation </w:t>
      </w:r>
      <w:r w:rsidR="001C037C">
        <w:rPr>
          <w:rFonts w:eastAsia="Calibri"/>
          <w:noProof/>
          <w:sz w:val="22"/>
          <w:szCs w:val="22"/>
          <w:lang w:val="en-US" w:eastAsia="en-US"/>
        </w:rPr>
        <w:t>(CBD, 2018)</w:t>
      </w:r>
      <w:r>
        <w:rPr>
          <w:rFonts w:eastAsia="Calibri"/>
          <w:sz w:val="22"/>
          <w:szCs w:val="22"/>
          <w:lang w:val="en-US" w:eastAsia="en-US"/>
        </w:rPr>
        <w:t xml:space="preserve">. </w:t>
      </w:r>
      <w:r w:rsidR="00596DE3" w:rsidRPr="00BB430C">
        <w:rPr>
          <w:rFonts w:eastAsia="Calibri"/>
          <w:sz w:val="22"/>
          <w:szCs w:val="22"/>
          <w:lang w:eastAsia="en-US"/>
        </w:rPr>
        <w:t xml:space="preserve">DSI </w:t>
      </w:r>
      <w:r>
        <w:rPr>
          <w:rFonts w:eastAsia="Calibri"/>
          <w:sz w:val="22"/>
          <w:szCs w:val="22"/>
          <w:lang w:eastAsia="en-US"/>
        </w:rPr>
        <w:t>is frequently</w:t>
      </w:r>
      <w:r w:rsidR="00AD4353">
        <w:rPr>
          <w:rFonts w:eastAsia="Calibri"/>
          <w:sz w:val="22"/>
          <w:szCs w:val="22"/>
          <w:lang w:eastAsia="en-US"/>
        </w:rPr>
        <w:t xml:space="preserve"> use</w:t>
      </w:r>
      <w:r w:rsidR="00BF3B73">
        <w:rPr>
          <w:rFonts w:eastAsia="Calibri"/>
          <w:sz w:val="22"/>
          <w:szCs w:val="22"/>
          <w:lang w:eastAsia="en-US"/>
        </w:rPr>
        <w:t>d</w:t>
      </w:r>
      <w:r w:rsidR="00596DE3" w:rsidRPr="00BB430C">
        <w:rPr>
          <w:rFonts w:eastAsia="Calibri"/>
          <w:sz w:val="22"/>
          <w:szCs w:val="22"/>
          <w:lang w:eastAsia="en-US"/>
        </w:rPr>
        <w:t xml:space="preserve"> for identification of species and for assessing genetic diversity within species</w:t>
      </w:r>
      <w:r w:rsidR="00CD0880">
        <w:rPr>
          <w:rFonts w:eastAsia="Calibri"/>
          <w:sz w:val="22"/>
          <w:szCs w:val="22"/>
          <w:lang w:eastAsia="en-US"/>
        </w:rPr>
        <w:t>, as discussed above</w:t>
      </w:r>
      <w:r w:rsidR="00596DE3" w:rsidRPr="00BB430C">
        <w:rPr>
          <w:rFonts w:eastAsia="Calibri"/>
          <w:sz w:val="22"/>
          <w:szCs w:val="22"/>
          <w:lang w:eastAsia="en-US"/>
        </w:rPr>
        <w:t>. Other tools, such as metabolomics and proteomics, can provide even more detailed assessments of diversity</w:t>
      </w:r>
      <w:r w:rsidR="00EE70A0">
        <w:rPr>
          <w:rFonts w:eastAsia="Calibri"/>
          <w:sz w:val="22"/>
          <w:szCs w:val="22"/>
          <w:lang w:eastAsia="en-US"/>
        </w:rPr>
        <w:t>. Diversity measures based on the</w:t>
      </w:r>
      <w:r w:rsidR="00596DE3" w:rsidRPr="00BB430C">
        <w:rPr>
          <w:rFonts w:eastAsia="Calibri"/>
          <w:sz w:val="22"/>
          <w:szCs w:val="22"/>
          <w:lang w:eastAsia="en-US"/>
        </w:rPr>
        <w:t xml:space="preserve"> genome</w:t>
      </w:r>
      <w:r w:rsidR="00EE70A0">
        <w:rPr>
          <w:rFonts w:eastAsia="Calibri"/>
          <w:sz w:val="22"/>
          <w:szCs w:val="22"/>
          <w:lang w:eastAsia="en-US"/>
        </w:rPr>
        <w:t xml:space="preserve"> only can miss other heritable differences in diversity, for example by selecting populations that tend to produce a certain kind of</w:t>
      </w:r>
      <w:r w:rsidR="00596DE3" w:rsidRPr="00BB430C">
        <w:rPr>
          <w:rFonts w:eastAsia="Calibri"/>
          <w:sz w:val="22"/>
          <w:szCs w:val="22"/>
          <w:lang w:eastAsia="en-US"/>
        </w:rPr>
        <w:t xml:space="preserve"> proteome</w:t>
      </w:r>
      <w:r w:rsidR="00EE70A0">
        <w:rPr>
          <w:rFonts w:eastAsia="Calibri"/>
          <w:sz w:val="22"/>
          <w:szCs w:val="22"/>
          <w:lang w:eastAsia="en-US"/>
        </w:rPr>
        <w:t>. Moreover, those measures exclude</w:t>
      </w:r>
      <w:r w:rsidR="00596DE3" w:rsidRPr="00BB430C">
        <w:rPr>
          <w:rFonts w:eastAsia="Calibri"/>
          <w:sz w:val="22"/>
          <w:szCs w:val="22"/>
          <w:lang w:eastAsia="en-US"/>
        </w:rPr>
        <w:t xml:space="preserve"> epigenetic</w:t>
      </w:r>
      <w:r w:rsidR="00EE70A0">
        <w:rPr>
          <w:rFonts w:eastAsia="Calibri"/>
          <w:sz w:val="22"/>
          <w:szCs w:val="22"/>
          <w:lang w:eastAsia="en-US"/>
        </w:rPr>
        <w:t xml:space="preserve"> characterizations. What appear to be similar populations based on DNA sequences</w:t>
      </w:r>
      <w:r w:rsidR="00596DE3" w:rsidRPr="00BB430C">
        <w:rPr>
          <w:rFonts w:eastAsia="Calibri"/>
          <w:sz w:val="22"/>
          <w:szCs w:val="22"/>
          <w:lang w:eastAsia="en-US"/>
        </w:rPr>
        <w:t xml:space="preserve"> may not be</w:t>
      </w:r>
      <w:r w:rsidR="00EE70A0">
        <w:rPr>
          <w:rFonts w:eastAsia="Calibri"/>
          <w:sz w:val="22"/>
          <w:szCs w:val="22"/>
          <w:lang w:eastAsia="en-US"/>
        </w:rPr>
        <w:t xml:space="preserve"> equivalent based on epigenetically determined traits</w:t>
      </w:r>
      <w:r w:rsidR="00596DE3" w:rsidRPr="00BB430C">
        <w:rPr>
          <w:rFonts w:eastAsia="Calibri"/>
          <w:sz w:val="22"/>
          <w:szCs w:val="22"/>
          <w:lang w:eastAsia="en-US"/>
        </w:rPr>
        <w:t xml:space="preserve"> (see </w:t>
      </w:r>
      <w:r w:rsidR="00596DE3" w:rsidRPr="00EE70A0">
        <w:rPr>
          <w:rFonts w:eastAsia="Calibri"/>
          <w:sz w:val="22"/>
          <w:szCs w:val="22"/>
          <w:lang w:eastAsia="en-US"/>
        </w:rPr>
        <w:t xml:space="preserve">Box </w:t>
      </w:r>
      <w:r w:rsidR="00EE70A0">
        <w:rPr>
          <w:rFonts w:eastAsia="Calibri"/>
          <w:sz w:val="22"/>
          <w:szCs w:val="22"/>
          <w:lang w:eastAsia="en-US"/>
        </w:rPr>
        <w:t>II.</w:t>
      </w:r>
      <w:r w:rsidR="00596DE3" w:rsidRPr="00EE70A0">
        <w:rPr>
          <w:rFonts w:eastAsia="Calibri"/>
          <w:sz w:val="22"/>
          <w:szCs w:val="22"/>
          <w:lang w:eastAsia="en-US"/>
        </w:rPr>
        <w:t>2</w:t>
      </w:r>
      <w:r w:rsidR="00596DE3" w:rsidRPr="00BB430C">
        <w:rPr>
          <w:rFonts w:eastAsia="Calibri"/>
          <w:sz w:val="22"/>
          <w:szCs w:val="22"/>
          <w:lang w:eastAsia="en-US"/>
        </w:rPr>
        <w:t>).</w:t>
      </w:r>
    </w:p>
    <w:p w14:paraId="5237D695" w14:textId="77777777" w:rsidR="00940617" w:rsidRDefault="00A254B0" w:rsidP="00596DE3">
      <w:pPr>
        <w:spacing w:after="120"/>
        <w:rPr>
          <w:rFonts w:eastAsia="Calibri"/>
          <w:sz w:val="22"/>
          <w:szCs w:val="22"/>
          <w:lang w:eastAsia="en-US"/>
        </w:rPr>
      </w:pPr>
      <w:r>
        <w:rPr>
          <w:rFonts w:eastAsia="Calibri"/>
          <w:sz w:val="22"/>
          <w:szCs w:val="22"/>
          <w:lang w:eastAsia="en-US"/>
        </w:rPr>
        <w:t>C</w:t>
      </w:r>
      <w:r w:rsidR="00940617">
        <w:rPr>
          <w:rFonts w:eastAsia="Calibri"/>
          <w:sz w:val="22"/>
          <w:szCs w:val="22"/>
          <w:lang w:eastAsia="en-US"/>
        </w:rPr>
        <w:t>ryopreservation</w:t>
      </w:r>
      <w:r>
        <w:rPr>
          <w:rFonts w:eastAsia="Calibri"/>
          <w:sz w:val="22"/>
          <w:szCs w:val="22"/>
          <w:lang w:eastAsia="en-US"/>
        </w:rPr>
        <w:t xml:space="preserve"> or cryoconservation is a long term storage strategy for genetic material, mainly used for</w:t>
      </w:r>
      <w:r w:rsidR="003E2D6A">
        <w:rPr>
          <w:rFonts w:eastAsia="Calibri"/>
          <w:sz w:val="22"/>
          <w:szCs w:val="22"/>
          <w:lang w:eastAsia="en-US"/>
        </w:rPr>
        <w:t xml:space="preserve"> microb</w:t>
      </w:r>
      <w:r w:rsidR="00EC4CE6">
        <w:rPr>
          <w:rFonts w:eastAsia="Calibri"/>
          <w:sz w:val="22"/>
          <w:szCs w:val="22"/>
          <w:lang w:eastAsia="en-US"/>
        </w:rPr>
        <w:t>ial</w:t>
      </w:r>
      <w:r w:rsidR="003E2D6A">
        <w:rPr>
          <w:rFonts w:eastAsia="Calibri"/>
          <w:sz w:val="22"/>
          <w:szCs w:val="22"/>
          <w:lang w:eastAsia="en-US"/>
        </w:rPr>
        <w:t>,</w:t>
      </w:r>
      <w:r>
        <w:rPr>
          <w:rFonts w:eastAsia="Calibri"/>
          <w:sz w:val="22"/>
          <w:szCs w:val="22"/>
          <w:lang w:eastAsia="en-US"/>
        </w:rPr>
        <w:t xml:space="preserve"> crop and livestock genetic resources </w:t>
      </w:r>
      <w:r w:rsidR="001C037C">
        <w:rPr>
          <w:rFonts w:eastAsia="Calibri"/>
          <w:noProof/>
          <w:sz w:val="22"/>
          <w:szCs w:val="22"/>
          <w:lang w:eastAsia="en-US"/>
        </w:rPr>
        <w:t>(Lidder and Sonnino, 2011)</w:t>
      </w:r>
      <w:r>
        <w:rPr>
          <w:rFonts w:eastAsia="Calibri"/>
          <w:sz w:val="22"/>
          <w:szCs w:val="22"/>
          <w:lang w:eastAsia="en-US"/>
        </w:rPr>
        <w:t>. DSI is used in selecting material for storage.</w:t>
      </w:r>
    </w:p>
    <w:p w14:paraId="432FFC14" w14:textId="77777777" w:rsidR="00940617" w:rsidRDefault="00A254B0" w:rsidP="00596DE3">
      <w:pPr>
        <w:spacing w:after="120"/>
        <w:rPr>
          <w:rFonts w:eastAsia="Calibri"/>
          <w:sz w:val="22"/>
          <w:szCs w:val="22"/>
          <w:lang w:eastAsia="en-US"/>
        </w:rPr>
      </w:pPr>
      <w:r w:rsidRPr="00A254B0">
        <w:rPr>
          <w:rFonts w:eastAsia="Calibri"/>
          <w:i/>
          <w:sz w:val="22"/>
          <w:szCs w:val="22"/>
          <w:lang w:eastAsia="en-US"/>
        </w:rPr>
        <w:lastRenderedPageBreak/>
        <w:t>In vitro</w:t>
      </w:r>
      <w:r>
        <w:rPr>
          <w:rFonts w:eastAsia="Calibri"/>
          <w:sz w:val="22"/>
          <w:szCs w:val="22"/>
          <w:lang w:eastAsia="en-US"/>
        </w:rPr>
        <w:t xml:space="preserve"> </w:t>
      </w:r>
      <w:r w:rsidR="00940617">
        <w:rPr>
          <w:rFonts w:eastAsia="Calibri"/>
          <w:sz w:val="22"/>
          <w:szCs w:val="22"/>
          <w:lang w:eastAsia="en-US"/>
        </w:rPr>
        <w:t>slow growth storage</w:t>
      </w:r>
      <w:r w:rsidR="0026608E">
        <w:rPr>
          <w:rFonts w:eastAsia="Calibri"/>
          <w:sz w:val="22"/>
          <w:szCs w:val="22"/>
          <w:lang w:eastAsia="en-US"/>
        </w:rPr>
        <w:t xml:space="preserve"> is used </w:t>
      </w:r>
      <w:r w:rsidR="00EC4CE6">
        <w:rPr>
          <w:rFonts w:eastAsia="Calibri"/>
          <w:sz w:val="22"/>
          <w:szCs w:val="22"/>
          <w:lang w:eastAsia="en-US"/>
        </w:rPr>
        <w:t>in the</w:t>
      </w:r>
      <w:r w:rsidR="0026608E">
        <w:rPr>
          <w:rFonts w:eastAsia="Calibri"/>
          <w:sz w:val="22"/>
          <w:szCs w:val="22"/>
          <w:lang w:eastAsia="en-US"/>
        </w:rPr>
        <w:t xml:space="preserve"> short to medium-term for mainly vegetatively propagated crops and forest trees. It is useful for species</w:t>
      </w:r>
      <w:r w:rsidR="0026608E" w:rsidRPr="0026608E">
        <w:rPr>
          <w:rFonts w:eastAsia="Calibri"/>
          <w:sz w:val="22"/>
          <w:szCs w:val="22"/>
          <w:lang w:eastAsia="en-US"/>
        </w:rPr>
        <w:t xml:space="preserve"> </w:t>
      </w:r>
      <w:r w:rsidR="0026608E">
        <w:rPr>
          <w:rFonts w:eastAsia="Calibri"/>
          <w:sz w:val="22"/>
          <w:szCs w:val="22"/>
          <w:lang w:eastAsia="en-US"/>
        </w:rPr>
        <w:t>that are propagated as clones to preserve their traits or that do not produce seeds that remain viable in gene banks over long periods of time. DSI is used to select material for storage, and can be used to test for viability (via metabolomics analysis) and ensure purity over time.</w:t>
      </w:r>
    </w:p>
    <w:p w14:paraId="22E65EF6" w14:textId="77777777" w:rsidR="00940617" w:rsidRDefault="003E2D6A" w:rsidP="00596DE3">
      <w:pPr>
        <w:spacing w:after="120"/>
        <w:rPr>
          <w:rFonts w:eastAsia="Calibri"/>
          <w:sz w:val="22"/>
          <w:szCs w:val="22"/>
          <w:lang w:eastAsia="en-US"/>
        </w:rPr>
      </w:pPr>
      <w:r>
        <w:rPr>
          <w:rFonts w:eastAsia="Calibri"/>
          <w:sz w:val="22"/>
          <w:szCs w:val="22"/>
          <w:lang w:eastAsia="en-US"/>
        </w:rPr>
        <w:t>R</w:t>
      </w:r>
      <w:r w:rsidR="00940617">
        <w:rPr>
          <w:rFonts w:eastAsia="Calibri"/>
          <w:sz w:val="22"/>
          <w:szCs w:val="22"/>
          <w:lang w:eastAsia="en-US"/>
        </w:rPr>
        <w:t>eproductive biotech</w:t>
      </w:r>
      <w:r>
        <w:rPr>
          <w:rFonts w:eastAsia="Calibri"/>
          <w:sz w:val="22"/>
          <w:szCs w:val="22"/>
          <w:lang w:eastAsia="en-US"/>
        </w:rPr>
        <w:t xml:space="preserve">nologies used for livestock and fish conservation comprise a number of approaches that can also involve the use of DSI in various ways. These include controlled breeding, artificial insemination, oestrus synchronization, </w:t>
      </w:r>
      <w:r w:rsidRPr="00EC4CE6">
        <w:rPr>
          <w:rFonts w:eastAsia="Calibri"/>
          <w:i/>
          <w:sz w:val="22"/>
          <w:szCs w:val="22"/>
          <w:lang w:eastAsia="en-US"/>
        </w:rPr>
        <w:t>in vitro</w:t>
      </w:r>
      <w:r>
        <w:rPr>
          <w:rFonts w:eastAsia="Calibri"/>
          <w:sz w:val="22"/>
          <w:szCs w:val="22"/>
          <w:lang w:eastAsia="en-US"/>
        </w:rPr>
        <w:t xml:space="preserve"> fertilization, and cloning</w:t>
      </w:r>
      <w:r w:rsidR="000823C6">
        <w:rPr>
          <w:rFonts w:eastAsia="Calibri"/>
          <w:sz w:val="22"/>
          <w:szCs w:val="22"/>
          <w:lang w:eastAsia="en-US"/>
        </w:rPr>
        <w:t xml:space="preserve"> </w:t>
      </w:r>
      <w:r w:rsidR="001C037C">
        <w:rPr>
          <w:rFonts w:eastAsia="Calibri"/>
          <w:noProof/>
          <w:sz w:val="22"/>
          <w:szCs w:val="22"/>
          <w:lang w:eastAsia="en-US"/>
        </w:rPr>
        <w:t>(Lidder and Sonnino, 2011)</w:t>
      </w:r>
      <w:r>
        <w:rPr>
          <w:rFonts w:eastAsia="Calibri"/>
          <w:sz w:val="22"/>
          <w:szCs w:val="22"/>
          <w:lang w:eastAsia="en-US"/>
        </w:rPr>
        <w:t>. DSI is used to select material for each of these activities but may also be used to monitor (e.g. omics technologies for measuring hormone levels) or testing progeny.</w:t>
      </w:r>
    </w:p>
    <w:p w14:paraId="7AD5D915" w14:textId="77777777" w:rsidR="007601C7" w:rsidRDefault="007601C7" w:rsidP="00596DE3">
      <w:pPr>
        <w:spacing w:after="120"/>
        <w:rPr>
          <w:rFonts w:eastAsia="Calibri"/>
          <w:sz w:val="22"/>
          <w:szCs w:val="22"/>
          <w:lang w:eastAsia="en-US"/>
        </w:rPr>
      </w:pPr>
    </w:p>
    <w:p w14:paraId="78F5F309" w14:textId="77777777" w:rsidR="007601C7" w:rsidRDefault="007601C7" w:rsidP="008679C7">
      <w:pPr>
        <w:pStyle w:val="TableEntry"/>
        <w:keepNext/>
        <w:numPr>
          <w:ilvl w:val="2"/>
          <w:numId w:val="14"/>
        </w:numPr>
        <w:spacing w:before="120" w:after="120"/>
        <w:rPr>
          <w:i/>
        </w:rPr>
      </w:pPr>
      <w:r>
        <w:rPr>
          <w:i/>
        </w:rPr>
        <w:t>Animal genetic resources</w:t>
      </w:r>
    </w:p>
    <w:p w14:paraId="0E799C94" w14:textId="77777777" w:rsidR="00515B1F" w:rsidRPr="00515B1F" w:rsidRDefault="00515B1F" w:rsidP="00515B1F">
      <w:pPr>
        <w:shd w:val="clear" w:color="auto" w:fill="E0E0E0"/>
        <w:spacing w:after="120"/>
        <w:rPr>
          <w:rFonts w:eastAsia="Calibri"/>
          <w:sz w:val="20"/>
          <w:szCs w:val="22"/>
          <w:lang w:val="en-US" w:eastAsia="en-US"/>
        </w:rPr>
      </w:pPr>
      <w:r w:rsidRPr="00515B1F">
        <w:rPr>
          <w:rFonts w:eastAsia="Calibri"/>
          <w:sz w:val="20"/>
          <w:szCs w:val="22"/>
          <w:lang w:val="en-US" w:eastAsia="en-US"/>
        </w:rPr>
        <w:t xml:space="preserve">“The increasing availability of genomic tools, accelerated through novel applications and decreasing costs of massively parallel high-throughput sequencing (HTS) technologies and computational resources, will create new avenues for research in the field of conservation genetics...Moreover, genomic tools can be directly used in wildlife management by helping to diagnose the causes of population declines, for testing the health of managed wildlife populations, and by directly improving the fitness of managed populations through ‘omics assisted breeding” </w:t>
      </w:r>
      <w:r w:rsidR="001C037C">
        <w:rPr>
          <w:rFonts w:eastAsia="Calibri"/>
          <w:noProof/>
          <w:sz w:val="20"/>
          <w:szCs w:val="22"/>
          <w:lang w:val="en-US" w:eastAsia="en-US"/>
        </w:rPr>
        <w:t>(Lozier and Zayed, 2017)</w:t>
      </w:r>
      <w:r w:rsidRPr="00515B1F">
        <w:rPr>
          <w:rFonts w:eastAsia="Calibri"/>
          <w:sz w:val="20"/>
          <w:szCs w:val="22"/>
          <w:lang w:val="en-US" w:eastAsia="en-US"/>
        </w:rPr>
        <w:t>.</w:t>
      </w:r>
    </w:p>
    <w:p w14:paraId="6A789A6D" w14:textId="77777777" w:rsidR="00952151" w:rsidRPr="00FA2034" w:rsidRDefault="00952151" w:rsidP="008679C7">
      <w:pPr>
        <w:spacing w:before="120" w:after="120"/>
        <w:rPr>
          <w:sz w:val="22"/>
        </w:rPr>
      </w:pPr>
      <w:r w:rsidRPr="00FA2034">
        <w:rPr>
          <w:sz w:val="22"/>
        </w:rPr>
        <w:t>DSI used in the conservation of AGR supports the use of molecular markers, omics, cryo</w:t>
      </w:r>
      <w:r w:rsidR="008679C7" w:rsidRPr="00FA2034">
        <w:rPr>
          <w:sz w:val="22"/>
        </w:rPr>
        <w:t>conservation and reproductive biotechnologies</w:t>
      </w:r>
      <w:r w:rsidRPr="00FA2034">
        <w:rPr>
          <w:sz w:val="22"/>
        </w:rPr>
        <w:t xml:space="preserve"> </w:t>
      </w:r>
      <w:r w:rsidR="001C037C">
        <w:rPr>
          <w:noProof/>
          <w:sz w:val="22"/>
        </w:rPr>
        <w:t>(Lidder and Sonnino, 2011)</w:t>
      </w:r>
      <w:r w:rsidRPr="00FA2034">
        <w:rPr>
          <w:sz w:val="22"/>
        </w:rPr>
        <w:t>.</w:t>
      </w:r>
      <w:r w:rsidR="008679C7" w:rsidRPr="00FA2034">
        <w:rPr>
          <w:sz w:val="22"/>
        </w:rPr>
        <w:t xml:space="preserve"> </w:t>
      </w:r>
      <w:r w:rsidR="00FA2034">
        <w:rPr>
          <w:sz w:val="22"/>
        </w:rPr>
        <w:t>In addition to DSI on animal genomes, DSI animal microbiomes is increasing in importance.</w:t>
      </w:r>
    </w:p>
    <w:p w14:paraId="2FC93E6F" w14:textId="77777777" w:rsidR="00E72A37" w:rsidRPr="008679C7" w:rsidRDefault="00E72A37" w:rsidP="008679C7">
      <w:pPr>
        <w:spacing w:after="120"/>
        <w:rPr>
          <w:rFonts w:eastAsia="Calibri"/>
          <w:sz w:val="22"/>
          <w:szCs w:val="22"/>
          <w:lang w:val="en-US" w:eastAsia="en-US"/>
        </w:rPr>
      </w:pPr>
      <w:r w:rsidRPr="008679C7">
        <w:rPr>
          <w:sz w:val="22"/>
          <w:szCs w:val="22"/>
        </w:rPr>
        <w:t>DSI contributes to the conservation of threatened species, such as pollinators</w:t>
      </w:r>
      <w:r w:rsidRPr="008679C7">
        <w:rPr>
          <w:rFonts w:eastAsia="Calibri"/>
          <w:sz w:val="22"/>
          <w:szCs w:val="22"/>
          <w:lang w:val="en-US" w:eastAsia="en-US"/>
        </w:rPr>
        <w:t xml:space="preserve">, contributing to improved food security. Bees provide food as honey and they are essential pollinators for &gt;80 percent of flowering plant species including plant GRFA </w:t>
      </w:r>
      <w:r w:rsidR="001C037C">
        <w:rPr>
          <w:rFonts w:eastAsia="Calibri"/>
          <w:noProof/>
          <w:sz w:val="22"/>
          <w:szCs w:val="22"/>
          <w:lang w:val="en-US" w:eastAsia="en-US"/>
        </w:rPr>
        <w:t>(López-Uribe</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sidRPr="008679C7">
        <w:rPr>
          <w:rFonts w:eastAsia="Calibri"/>
          <w:sz w:val="22"/>
          <w:szCs w:val="22"/>
          <w:lang w:val="en-US" w:eastAsia="en-US"/>
        </w:rPr>
        <w:t xml:space="preserve">. Bees pollinate an estimated one-third of the food we consume and boost agricultural productivity of an estimated two-thirds of crops </w:t>
      </w:r>
      <w:r w:rsidR="001C037C">
        <w:rPr>
          <w:rFonts w:eastAsia="Calibri"/>
          <w:noProof/>
          <w:sz w:val="22"/>
          <w:szCs w:val="22"/>
          <w:lang w:val="en-US" w:eastAsia="en-US"/>
        </w:rPr>
        <w:t>(Suni</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sidRPr="008679C7">
        <w:rPr>
          <w:rFonts w:eastAsia="Calibri"/>
          <w:sz w:val="22"/>
          <w:szCs w:val="22"/>
          <w:lang w:val="en-US" w:eastAsia="en-US"/>
        </w:rPr>
        <w:t xml:space="preserve">. In many environments, bee populations are threatened although the causes are not always known and may be multiple, including habitat destruction, disease and agrichemicals </w:t>
      </w:r>
      <w:r w:rsidR="001C037C">
        <w:rPr>
          <w:rFonts w:eastAsia="Calibri"/>
          <w:noProof/>
          <w:sz w:val="22"/>
          <w:szCs w:val="22"/>
          <w:lang w:val="en-US" w:eastAsia="en-US"/>
        </w:rPr>
        <w:t>(Lozier and Zayed, 2017)</w:t>
      </w:r>
      <w:r w:rsidRPr="008679C7">
        <w:rPr>
          <w:rFonts w:eastAsia="Calibri"/>
          <w:sz w:val="22"/>
          <w:szCs w:val="22"/>
          <w:lang w:val="en-US" w:eastAsia="en-US"/>
        </w:rPr>
        <w:t>.</w:t>
      </w:r>
    </w:p>
    <w:p w14:paraId="566D054F" w14:textId="77777777" w:rsidR="00E72A37" w:rsidRPr="008679C7" w:rsidRDefault="00E72A37" w:rsidP="008679C7">
      <w:pPr>
        <w:spacing w:after="120"/>
        <w:rPr>
          <w:rFonts w:eastAsia="Calibri"/>
          <w:sz w:val="22"/>
          <w:szCs w:val="22"/>
          <w:lang w:eastAsia="en-US"/>
        </w:rPr>
      </w:pPr>
      <w:r w:rsidRPr="008679C7">
        <w:rPr>
          <w:rFonts w:eastAsia="Calibri"/>
          <w:sz w:val="22"/>
          <w:szCs w:val="22"/>
          <w:lang w:val="en-US" w:eastAsia="en-US"/>
        </w:rPr>
        <w:t xml:space="preserve">DSI on bee genomes and microbiomes can contribute to preservation and restoration of bee populations. Whole genome sequences of 11 bee species are already available. This important resource is just a start, however, because there are an estimated 16 000 bee species </w:t>
      </w:r>
      <w:r w:rsidR="001C037C">
        <w:rPr>
          <w:rFonts w:eastAsia="Calibri"/>
          <w:noProof/>
          <w:sz w:val="22"/>
          <w:szCs w:val="22"/>
          <w:lang w:val="en-US" w:eastAsia="en-US"/>
        </w:rPr>
        <w:t>(Lozier and Zayed, 2017)</w:t>
      </w:r>
      <w:r w:rsidRPr="008679C7">
        <w:rPr>
          <w:rFonts w:eastAsia="Calibri"/>
          <w:sz w:val="22"/>
          <w:szCs w:val="22"/>
          <w:lang w:val="en-US" w:eastAsia="en-US"/>
        </w:rPr>
        <w:t xml:space="preserve">. One application of these sequences is to test the possibility that DNA or RNA-based pesticides could cause off-target acute, chronic or behavioral effects on bees </w:t>
      </w:r>
      <w:r w:rsidR="001C037C">
        <w:rPr>
          <w:rFonts w:eastAsia="Calibri"/>
          <w:noProof/>
          <w:sz w:val="22"/>
          <w:szCs w:val="22"/>
          <w:lang w:val="en-US" w:eastAsia="en-US"/>
        </w:rPr>
        <w:t>(Lundgren and Duan, 2013)</w:t>
      </w:r>
      <w:r w:rsidRPr="008679C7">
        <w:rPr>
          <w:rFonts w:eastAsia="Calibri"/>
          <w:sz w:val="22"/>
          <w:szCs w:val="22"/>
          <w:lang w:val="en-US" w:eastAsia="en-US"/>
        </w:rPr>
        <w:t xml:space="preserve">. Bioinformatics using DSI helps to inform testing of these pesticides for effects on bees </w:t>
      </w:r>
      <w:r w:rsidR="001C037C">
        <w:rPr>
          <w:rFonts w:eastAsia="Calibri"/>
          <w:noProof/>
          <w:sz w:val="22"/>
          <w:szCs w:val="22"/>
          <w:lang w:val="en-US" w:eastAsia="en-US"/>
        </w:rPr>
        <w:t>(Mogren and Lundgren, 2017)</w:t>
      </w:r>
      <w:r w:rsidRPr="008679C7">
        <w:rPr>
          <w:rFonts w:eastAsia="Calibri"/>
          <w:sz w:val="22"/>
          <w:szCs w:val="22"/>
          <w:lang w:val="en-US" w:eastAsia="en-US"/>
        </w:rPr>
        <w:t xml:space="preserve">. From a literature survey, 101 small double stranded RNAs that were designed as pesticides because they cause gene silencing in a target pest, were found by bioinformatics analysis potentially capable of binding target RNA molecules in honey bees. Such </w:t>
      </w:r>
      <w:r w:rsidRPr="008679C7">
        <w:rPr>
          <w:rFonts w:eastAsia="Calibri"/>
          <w:i/>
          <w:sz w:val="22"/>
          <w:szCs w:val="22"/>
          <w:lang w:val="en-US" w:eastAsia="en-US"/>
        </w:rPr>
        <w:t>in silico</w:t>
      </w:r>
      <w:r w:rsidRPr="008679C7">
        <w:rPr>
          <w:rFonts w:eastAsia="Calibri"/>
          <w:sz w:val="22"/>
          <w:szCs w:val="22"/>
          <w:lang w:val="en-US" w:eastAsia="en-US"/>
        </w:rPr>
        <w:t xml:space="preserve"> analysis is insufficient to either prove or disprove the possibility of off-target effect of any dsRNA, which also requires a plausible exposure pathway, but it helps to identify risk hypotheses that can then be further tested </w:t>
      </w:r>
      <w:r w:rsidR="001C037C">
        <w:rPr>
          <w:rFonts w:eastAsia="Calibri"/>
          <w:noProof/>
          <w:sz w:val="22"/>
          <w:szCs w:val="22"/>
          <w:lang w:val="en-US" w:eastAsia="en-US"/>
        </w:rPr>
        <w:t>(Heinemann</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2013)</w:t>
      </w:r>
      <w:r w:rsidRPr="008679C7">
        <w:rPr>
          <w:rFonts w:eastAsia="Calibri"/>
          <w:sz w:val="22"/>
          <w:szCs w:val="22"/>
          <w:lang w:val="en-US" w:eastAsia="en-US"/>
        </w:rPr>
        <w:t>.</w:t>
      </w:r>
    </w:p>
    <w:p w14:paraId="2F719180" w14:textId="77777777" w:rsidR="00E72A37" w:rsidRDefault="00E72A37" w:rsidP="008679C7">
      <w:pPr>
        <w:pStyle w:val="TableEntry"/>
        <w:keepNext/>
        <w:spacing w:before="120" w:after="120"/>
        <w:rPr>
          <w:i/>
        </w:rPr>
      </w:pPr>
    </w:p>
    <w:p w14:paraId="32E7A142" w14:textId="77777777" w:rsidR="00FA2034" w:rsidRDefault="00E72A37" w:rsidP="00FA2034">
      <w:pPr>
        <w:pStyle w:val="TableEntry"/>
        <w:keepNext/>
        <w:numPr>
          <w:ilvl w:val="2"/>
          <w:numId w:val="14"/>
        </w:numPr>
        <w:spacing w:before="120" w:after="120"/>
        <w:rPr>
          <w:i/>
        </w:rPr>
      </w:pPr>
      <w:r>
        <w:rPr>
          <w:i/>
        </w:rPr>
        <w:t>Aquatic genetic resources</w:t>
      </w:r>
    </w:p>
    <w:p w14:paraId="7B223EEF" w14:textId="77777777" w:rsidR="00FA2034" w:rsidRDefault="00FA2034" w:rsidP="00FA2034">
      <w:pPr>
        <w:pStyle w:val="TableEntry"/>
        <w:keepNext/>
        <w:spacing w:before="120" w:after="120"/>
      </w:pPr>
      <w:r>
        <w:t>In addition to molecular markers and omics, DSI contributes to cryopreservation of sperm and to a lesser degree fish ova and embryos and some inverterbrate larvae, repro</w:t>
      </w:r>
      <w:r w:rsidR="006255EE">
        <w:t>ductive technologies and detection of hybrids, and disease diagnosis and prevention</w:t>
      </w:r>
      <w:r>
        <w:t xml:space="preserve"> </w:t>
      </w:r>
      <w:r w:rsidR="001C037C">
        <w:t>(Lidder and Sonnino, 2011)</w:t>
      </w:r>
      <w:r>
        <w:t>.</w:t>
      </w:r>
    </w:p>
    <w:p w14:paraId="6BD54E7B" w14:textId="77777777" w:rsidR="001D7EEE" w:rsidRDefault="001D7EEE" w:rsidP="001D7EEE">
      <w:pPr>
        <w:pStyle w:val="TableEntry"/>
        <w:keepNext/>
        <w:spacing w:before="120" w:after="120"/>
      </w:pPr>
      <w:r>
        <w:t xml:space="preserve">Conservation of endangered species of macroalgae is hampered by the limited information on wild populations. </w:t>
      </w:r>
      <w:r>
        <w:rPr>
          <w:lang w:val="en-NZ"/>
        </w:rPr>
        <w:t>AFLP</w:t>
      </w:r>
      <w:r w:rsidRPr="001D7EEE">
        <w:rPr>
          <w:lang w:val="en-NZ"/>
        </w:rPr>
        <w:t xml:space="preserve"> and sequences of the intergenic region between the mitochondrial cytochrome oxidase subunit 2 and subunit 3 genes</w:t>
      </w:r>
      <w:r>
        <w:rPr>
          <w:lang w:val="en-NZ"/>
        </w:rPr>
        <w:t xml:space="preserve"> were used to characterize genetic diversity within and between populations of the </w:t>
      </w:r>
      <w:r w:rsidRPr="001D7EEE">
        <w:rPr>
          <w:lang w:val="en-NZ"/>
        </w:rPr>
        <w:t>turf</w:t>
      </w:r>
      <w:r w:rsidRPr="001D7EEE">
        <w:rPr>
          <w:rFonts w:ascii="Adobe Arabic" w:hAnsi="Adobe Arabic" w:cs="Adobe Arabic"/>
          <w:lang w:val="en-NZ"/>
        </w:rPr>
        <w:t>‐</w:t>
      </w:r>
      <w:r w:rsidRPr="001D7EEE">
        <w:rPr>
          <w:lang w:val="en-NZ"/>
        </w:rPr>
        <w:t>forming </w:t>
      </w:r>
      <w:r w:rsidRPr="001D7EEE">
        <w:rPr>
          <w:i/>
          <w:iCs/>
          <w:lang w:val="en-NZ"/>
        </w:rPr>
        <w:t>Ahnfeltiopsis pusilla</w:t>
      </w:r>
      <w:r w:rsidRPr="001D7EEE">
        <w:rPr>
          <w:lang w:val="en-NZ"/>
        </w:rPr>
        <w:t> (Mont.) P. C. Silva et DeCew</w:t>
      </w:r>
      <w:r>
        <w:rPr>
          <w:lang w:val="en-NZ"/>
        </w:rPr>
        <w:t xml:space="preserve"> </w:t>
      </w:r>
      <w:r>
        <w:t xml:space="preserve">around the </w:t>
      </w:r>
      <w:r w:rsidRPr="001D7EEE">
        <w:rPr>
          <w:lang w:val="en-NZ"/>
        </w:rPr>
        <w:t>Iberian Peninsula</w:t>
      </w:r>
      <w:r>
        <w:rPr>
          <w:lang w:val="en-NZ"/>
        </w:rPr>
        <w:t xml:space="preserve"> </w:t>
      </w:r>
      <w:r w:rsidR="001C037C">
        <w:t>(Couceiro</w:t>
      </w:r>
      <w:r w:rsidR="001C037C" w:rsidRPr="001C037C">
        <w:rPr>
          <w:i/>
        </w:rPr>
        <w:t xml:space="preserve"> et al.</w:t>
      </w:r>
      <w:r w:rsidR="001C037C">
        <w:t>, 2011)</w:t>
      </w:r>
      <w:r>
        <w:t>.</w:t>
      </w:r>
      <w:r w:rsidR="009F678A">
        <w:t xml:space="preserve"> While this seaweed may have </w:t>
      </w:r>
      <w:r w:rsidR="009F678A">
        <w:lastRenderedPageBreak/>
        <w:t xml:space="preserve">limited direct relevance to </w:t>
      </w:r>
      <w:r w:rsidR="00EC4CE6">
        <w:t>GRFA</w:t>
      </w:r>
      <w:r w:rsidR="009F678A">
        <w:t>, the techniques applied are of general illustrative value of DSI for conservation of macroalgae.</w:t>
      </w:r>
    </w:p>
    <w:p w14:paraId="7130C808" w14:textId="77777777" w:rsidR="009F678A" w:rsidRPr="009F678A" w:rsidRDefault="009F678A" w:rsidP="001D7EEE">
      <w:pPr>
        <w:pStyle w:val="TableEntry"/>
        <w:keepNext/>
        <w:spacing w:before="120" w:after="120"/>
        <w:rPr>
          <w:iCs/>
          <w:lang w:val="en-NZ"/>
        </w:rPr>
      </w:pPr>
      <w:r>
        <w:t>Similarly, DNA barcoding based on DSI of sharks and rays was used to conserve species that might be illegally traded in</w:t>
      </w:r>
      <w:r w:rsidRPr="009F678A">
        <w:rPr>
          <w:lang w:val="en-NZ"/>
        </w:rPr>
        <w:t xml:space="preserve"> </w:t>
      </w:r>
      <w:r>
        <w:rPr>
          <w:lang w:val="en-NZ"/>
        </w:rPr>
        <w:t>the profitable Australasian shark fin market. The barcode is based on the</w:t>
      </w:r>
      <w:r w:rsidRPr="009F678A">
        <w:rPr>
          <w:lang w:val="en-NZ"/>
        </w:rPr>
        <w:t xml:space="preserve"> sequence variability in a region of</w:t>
      </w:r>
      <w:r>
        <w:rPr>
          <w:lang w:val="en-NZ"/>
        </w:rPr>
        <w:t xml:space="preserve"> the</w:t>
      </w:r>
      <w:r w:rsidRPr="009F678A">
        <w:rPr>
          <w:lang w:val="en-NZ"/>
        </w:rPr>
        <w:t xml:space="preserve"> </w:t>
      </w:r>
      <w:r w:rsidRPr="009F678A">
        <w:rPr>
          <w:i/>
          <w:iCs/>
          <w:lang w:val="en-NZ"/>
        </w:rPr>
        <w:t>cox1</w:t>
      </w:r>
      <w:r w:rsidRPr="009F678A">
        <w:rPr>
          <w:iCs/>
          <w:lang w:val="en-NZ"/>
        </w:rPr>
        <w:t xml:space="preserve"> gene of the mitochondrial genome</w:t>
      </w:r>
      <w:r>
        <w:rPr>
          <w:iCs/>
          <w:lang w:val="en-NZ"/>
        </w:rPr>
        <w:t xml:space="preserve"> and was found effective at distinguishing between most species of </w:t>
      </w:r>
      <w:r w:rsidR="00054ABD">
        <w:rPr>
          <w:bCs/>
          <w:iCs/>
          <w:lang w:val="en-NZ"/>
        </w:rPr>
        <w:t>sharks and rays</w:t>
      </w:r>
      <w:r w:rsidRPr="009F678A">
        <w:rPr>
          <w:lang w:val="en-NZ"/>
        </w:rPr>
        <w:t xml:space="preserve"> </w:t>
      </w:r>
      <w:r w:rsidR="001C037C">
        <w:rPr>
          <w:lang w:val="en-NZ"/>
        </w:rPr>
        <w:t>(Ward</w:t>
      </w:r>
      <w:r w:rsidR="001C037C" w:rsidRPr="001C037C">
        <w:rPr>
          <w:i/>
          <w:lang w:val="en-NZ"/>
        </w:rPr>
        <w:t xml:space="preserve"> et al.</w:t>
      </w:r>
      <w:r w:rsidR="001C037C">
        <w:rPr>
          <w:lang w:val="en-NZ"/>
        </w:rPr>
        <w:t>, 2008)</w:t>
      </w:r>
      <w:r>
        <w:rPr>
          <w:lang w:val="en-NZ"/>
        </w:rPr>
        <w:t>.</w:t>
      </w:r>
    </w:p>
    <w:p w14:paraId="7776C4C7" w14:textId="77777777" w:rsidR="00FA2034" w:rsidRPr="00FA2034" w:rsidRDefault="00FA2034" w:rsidP="00FA2034">
      <w:pPr>
        <w:pStyle w:val="TableEntry"/>
        <w:keepNext/>
        <w:spacing w:before="120" w:after="120"/>
      </w:pPr>
    </w:p>
    <w:p w14:paraId="2267F976" w14:textId="77777777" w:rsidR="00E72A37" w:rsidRDefault="00E72A37" w:rsidP="00A6409A">
      <w:pPr>
        <w:pStyle w:val="TableEntry"/>
        <w:keepNext/>
        <w:numPr>
          <w:ilvl w:val="2"/>
          <w:numId w:val="14"/>
        </w:numPr>
        <w:spacing w:before="120" w:after="120"/>
        <w:rPr>
          <w:i/>
        </w:rPr>
      </w:pPr>
      <w:r>
        <w:rPr>
          <w:i/>
        </w:rPr>
        <w:t>Forest genetic resources</w:t>
      </w:r>
    </w:p>
    <w:p w14:paraId="09D9DE64" w14:textId="77777777" w:rsidR="00995B4C" w:rsidRDefault="00995B4C" w:rsidP="00995B4C">
      <w:pPr>
        <w:pStyle w:val="TableEntry"/>
        <w:keepNext/>
        <w:spacing w:before="120" w:after="120"/>
      </w:pPr>
      <w:r w:rsidRPr="00A6409A">
        <w:t>DSI</w:t>
      </w:r>
      <w:r>
        <w:t xml:space="preserve"> used in the conservation of forest genetic resources supports the use of molecular markers, omics, cryopreservation, </w:t>
      </w:r>
      <w:r w:rsidRPr="00995B4C">
        <w:rPr>
          <w:i/>
        </w:rPr>
        <w:t>in vitro</w:t>
      </w:r>
      <w:r>
        <w:t xml:space="preserve"> slow growth storage, micropropagation</w:t>
      </w:r>
      <w:r w:rsidR="004C1D56">
        <w:t>, MAS and genomic selection,</w:t>
      </w:r>
      <w:r>
        <w:t xml:space="preserve"> and biotechnologies for disease diagnosis</w:t>
      </w:r>
      <w:r w:rsidR="004C1D56">
        <w:t xml:space="preserve"> </w:t>
      </w:r>
      <w:r w:rsidR="001C037C">
        <w:t>(Lidder and Sonnino, 2011; Sinnino, 2016)</w:t>
      </w:r>
      <w:r>
        <w:t>.</w:t>
      </w:r>
      <w:r w:rsidR="00CB338D">
        <w:t xml:space="preserve"> Forest trees are highly genetically diverse and have large genomes, making the adoption of molecular techniques generating DSI slower in this sub-sector, but this is changing </w:t>
      </w:r>
      <w:r w:rsidR="001C037C">
        <w:t>(Neale and Kremer, 2011)</w:t>
      </w:r>
      <w:r w:rsidR="00CB338D">
        <w:t>.</w:t>
      </w:r>
    </w:p>
    <w:p w14:paraId="0635507D" w14:textId="77777777" w:rsidR="009A1184" w:rsidRDefault="009A1184" w:rsidP="00995B4C">
      <w:pPr>
        <w:pStyle w:val="TableEntry"/>
        <w:keepNext/>
        <w:spacing w:before="120" w:after="120"/>
      </w:pPr>
      <w:r>
        <w:t>For long lived species, adaptation to changing environments can be slow. In these circumstances, local varieties may not be the best adapted to current conditions. DSI used in predictive genomics may help in the conservation of trees by identifying the environment suited to the genotype</w:t>
      </w:r>
      <w:r w:rsidR="006423AC">
        <w:t xml:space="preserve"> and assi</w:t>
      </w:r>
      <w:r w:rsidR="00111D2C">
        <w:t>s</w:t>
      </w:r>
      <w:r w:rsidR="006423AC">
        <w:t>ting their migration</w:t>
      </w:r>
      <w:r>
        <w:t xml:space="preserve"> </w:t>
      </w:r>
      <w:r w:rsidR="001C037C">
        <w:t>(Steane</w:t>
      </w:r>
      <w:r w:rsidR="001C037C" w:rsidRPr="001C037C">
        <w:rPr>
          <w:i/>
        </w:rPr>
        <w:t xml:space="preserve"> et al.</w:t>
      </w:r>
      <w:r w:rsidR="001C037C">
        <w:t>, 2014)</w:t>
      </w:r>
      <w:r>
        <w:t>.</w:t>
      </w:r>
    </w:p>
    <w:p w14:paraId="465D7AB1" w14:textId="77777777" w:rsidR="00995B4C" w:rsidRPr="00995B4C" w:rsidRDefault="00995B4C" w:rsidP="00995B4C">
      <w:pPr>
        <w:pStyle w:val="TableEntry"/>
        <w:keepNext/>
        <w:spacing w:before="120" w:after="120"/>
      </w:pPr>
    </w:p>
    <w:p w14:paraId="0B38A362" w14:textId="77777777" w:rsidR="00E72A37" w:rsidRDefault="00E72A37" w:rsidP="00A6409A">
      <w:pPr>
        <w:pStyle w:val="TableEntry"/>
        <w:keepNext/>
        <w:numPr>
          <w:ilvl w:val="2"/>
          <w:numId w:val="14"/>
        </w:numPr>
        <w:spacing w:before="120" w:after="120"/>
        <w:rPr>
          <w:i/>
        </w:rPr>
      </w:pPr>
      <w:r>
        <w:rPr>
          <w:i/>
        </w:rPr>
        <w:t>Micro</w:t>
      </w:r>
      <w:r w:rsidR="00995B4C">
        <w:rPr>
          <w:i/>
        </w:rPr>
        <w:t>bial</w:t>
      </w:r>
      <w:r>
        <w:rPr>
          <w:i/>
        </w:rPr>
        <w:t xml:space="preserve"> genetic resources</w:t>
      </w:r>
    </w:p>
    <w:p w14:paraId="16E09A3B" w14:textId="77777777" w:rsidR="000F6C50" w:rsidRDefault="001C6124" w:rsidP="000F6C50">
      <w:pPr>
        <w:pStyle w:val="TableEntry"/>
        <w:keepNext/>
        <w:spacing w:before="120" w:after="120"/>
      </w:pPr>
      <w:r>
        <w:t>W</w:t>
      </w:r>
      <w:r w:rsidR="000F1B65">
        <w:t>hen it comes to micro</w:t>
      </w:r>
      <w:r w:rsidR="00371817">
        <w:t>-</w:t>
      </w:r>
      <w:r w:rsidR="000F1B65">
        <w:t>organisms</w:t>
      </w:r>
      <w:r>
        <w:t>,</w:t>
      </w:r>
      <w:r w:rsidR="00712E21">
        <w:t xml:space="preserve"> biotechnologies</w:t>
      </w:r>
      <w:r w:rsidR="000F1B65">
        <w:t xml:space="preserve"> </w:t>
      </w:r>
      <w:r>
        <w:t>used for</w:t>
      </w:r>
      <w:r w:rsidR="00712E21">
        <w:t xml:space="preserve"> characterization</w:t>
      </w:r>
      <w:r w:rsidR="000F1B65">
        <w:t xml:space="preserve"> (especially identification)</w:t>
      </w:r>
      <w:r>
        <w:t xml:space="preserve"> and use are often highlighted. However, the natural conservation of microorganisms is rarely discussed</w:t>
      </w:r>
      <w:r w:rsidR="000F1B65">
        <w:t>.</w:t>
      </w:r>
      <w:r w:rsidR="000F6C50" w:rsidRPr="000F6C50">
        <w:t xml:space="preserve"> </w:t>
      </w:r>
      <w:r w:rsidR="000F6C50">
        <w:t>DSI used for molecular marker development, omics, cryopreservation and pathogen detection (e.g. viruses of bacteria) could be relevant to conservation</w:t>
      </w:r>
      <w:r w:rsidR="001054A8">
        <w:t xml:space="preserve"> </w:t>
      </w:r>
      <w:r w:rsidR="001C037C">
        <w:t>(Lidder and Sonnino, 2011)</w:t>
      </w:r>
      <w:r w:rsidR="000F6C50">
        <w:t>.</w:t>
      </w:r>
    </w:p>
    <w:p w14:paraId="418982AE" w14:textId="77777777" w:rsidR="00107064" w:rsidRDefault="00003FFD" w:rsidP="009A1184">
      <w:pPr>
        <w:pStyle w:val="TableEntry"/>
        <w:keepNext/>
        <w:spacing w:before="120" w:after="120"/>
      </w:pPr>
      <w:r>
        <w:t>Microorganisms</w:t>
      </w:r>
      <w:r w:rsidR="00C969D2">
        <w:t xml:space="preserve"> are numerous and ubiquitous and perhaps leave the impression that they require no human intervention</w:t>
      </w:r>
      <w:r w:rsidR="001C6124">
        <w:t xml:space="preserve"> for their persistence</w:t>
      </w:r>
      <w:r w:rsidR="00C969D2">
        <w:t>.</w:t>
      </w:r>
      <w:r w:rsidR="000F6C50">
        <w:t xml:space="preserve"> </w:t>
      </w:r>
      <w:r w:rsidR="00C969D2">
        <w:t>However, this may not be true. More evidence is accumulating that microbial ecosystems on plants and animals, as well as</w:t>
      </w:r>
      <w:r>
        <w:t xml:space="preserve"> in</w:t>
      </w:r>
      <w:r w:rsidR="00C969D2">
        <w:t xml:space="preserve"> the agroecosystem</w:t>
      </w:r>
      <w:r w:rsidR="00E41AB0">
        <w:t xml:space="preserve"> (e.g. soil)</w:t>
      </w:r>
      <w:r w:rsidR="00C969D2">
        <w:t>, are part of how larger organisms adapt to the environment.</w:t>
      </w:r>
      <w:r w:rsidR="001C6124" w:rsidRPr="001C6124">
        <w:t xml:space="preserve"> </w:t>
      </w:r>
      <w:r>
        <w:t>Disruption or alteration</w:t>
      </w:r>
      <w:r w:rsidR="001C6124">
        <w:t xml:space="preserve"> of microbial communities may change the biology of those to whom they attach.</w:t>
      </w:r>
      <w:r w:rsidR="00C969D2">
        <w:t xml:space="preserve"> Specific species and communities influence important traits, such as digestion efficiency in ruminants </w:t>
      </w:r>
      <w:r w:rsidR="001C037C">
        <w:t>(Lidder and Sonnino, 2011)</w:t>
      </w:r>
      <w:r w:rsidR="00C969D2">
        <w:t>.</w:t>
      </w:r>
      <w:r w:rsidR="001C6124">
        <w:t xml:space="preserve"> </w:t>
      </w:r>
    </w:p>
    <w:p w14:paraId="53671E5B" w14:textId="77777777" w:rsidR="009B49C6" w:rsidRDefault="00E41AB0" w:rsidP="009A1184">
      <w:pPr>
        <w:pStyle w:val="TableEntry"/>
        <w:keepNext/>
        <w:spacing w:before="120" w:after="120"/>
      </w:pPr>
      <w:r>
        <w:t xml:space="preserve">The two most recognized causes of extinction are habitat destruction and invasion, to which microorganisms either singly or in communities are susceptible </w:t>
      </w:r>
      <w:r w:rsidR="001C037C">
        <w:t>(Veresoglou</w:t>
      </w:r>
      <w:r w:rsidR="001C037C" w:rsidRPr="001C037C">
        <w:rPr>
          <w:i/>
        </w:rPr>
        <w:t xml:space="preserve"> et al.</w:t>
      </w:r>
      <w:r w:rsidR="001C037C">
        <w:t>, 2015)</w:t>
      </w:r>
      <w:r>
        <w:t>.</w:t>
      </w:r>
      <w:r w:rsidR="005F3895">
        <w:t xml:space="preserve"> DSI </w:t>
      </w:r>
      <w:r w:rsidR="003407D8">
        <w:t>often is used as a</w:t>
      </w:r>
      <w:r w:rsidR="005F3895">
        <w:t xml:space="preserve"> tool for examining these effects on the micro</w:t>
      </w:r>
      <w:r w:rsidR="00371817">
        <w:t>-</w:t>
      </w:r>
      <w:r w:rsidR="005F3895">
        <w:t>organism scale.</w:t>
      </w:r>
      <w:r w:rsidR="00107064">
        <w:t xml:space="preserve"> Pesticide use has been associated with significant shifts in species composition in everything from </w:t>
      </w:r>
      <w:r w:rsidR="00F032EB">
        <w:t xml:space="preserve">root nodules </w:t>
      </w:r>
      <w:r w:rsidR="001C037C">
        <w:t>(Saes Zobiole</w:t>
      </w:r>
      <w:r w:rsidR="001C037C" w:rsidRPr="001C037C">
        <w:rPr>
          <w:i/>
        </w:rPr>
        <w:t xml:space="preserve"> et al.</w:t>
      </w:r>
      <w:r w:rsidR="001C037C">
        <w:t>, 2012)</w:t>
      </w:r>
      <w:r w:rsidR="00107064">
        <w:t xml:space="preserve"> to the gut</w:t>
      </w:r>
      <w:r w:rsidR="00286C23">
        <w:t xml:space="preserve"> of honeybees </w:t>
      </w:r>
      <w:r w:rsidR="001C037C">
        <w:t>(Motta</w:t>
      </w:r>
      <w:r w:rsidR="001C037C" w:rsidRPr="001C037C">
        <w:rPr>
          <w:i/>
        </w:rPr>
        <w:t xml:space="preserve"> et al.</w:t>
      </w:r>
      <w:r w:rsidR="001C037C">
        <w:t>, 2018)</w:t>
      </w:r>
      <w:r w:rsidR="00107064">
        <w:t>.</w:t>
      </w:r>
      <w:r w:rsidR="003A098A">
        <w:t xml:space="preserve"> Antibiotics in animal manure </w:t>
      </w:r>
      <w:r w:rsidR="0044584A">
        <w:t>alters the microbial content of soybean</w:t>
      </w:r>
      <w:r w:rsidR="003A098A">
        <w:t xml:space="preserve"> nodul</w:t>
      </w:r>
      <w:r w:rsidR="0044584A">
        <w:t xml:space="preserve">es </w:t>
      </w:r>
      <w:r w:rsidR="001C037C">
        <w:t>(Revellin</w:t>
      </w:r>
      <w:r w:rsidR="001C037C" w:rsidRPr="001C037C">
        <w:rPr>
          <w:i/>
        </w:rPr>
        <w:t xml:space="preserve"> et al.</w:t>
      </w:r>
      <w:r w:rsidR="001C037C">
        <w:t>, 2018)</w:t>
      </w:r>
      <w:r w:rsidR="003A098A">
        <w:t xml:space="preserve"> just as the antibiotic used </w:t>
      </w:r>
      <w:r w:rsidR="0044584A">
        <w:t>on an animal</w:t>
      </w:r>
      <w:r w:rsidR="003A098A">
        <w:t xml:space="preserve"> alters</w:t>
      </w:r>
      <w:r w:rsidR="0044584A">
        <w:t xml:space="preserve"> its</w:t>
      </w:r>
      <w:r w:rsidR="003A098A">
        <w:t xml:space="preserve"> gut microflora</w:t>
      </w:r>
      <w:r w:rsidR="0044584A">
        <w:t xml:space="preserve"> </w:t>
      </w:r>
      <w:r w:rsidR="001C037C">
        <w:t>(Yin</w:t>
      </w:r>
      <w:r w:rsidR="001C037C" w:rsidRPr="001C037C">
        <w:rPr>
          <w:i/>
        </w:rPr>
        <w:t xml:space="preserve"> et al.</w:t>
      </w:r>
      <w:r w:rsidR="001C037C">
        <w:t>, 2015)</w:t>
      </w:r>
      <w:r w:rsidR="003A098A">
        <w:t>.</w:t>
      </w:r>
    </w:p>
    <w:p w14:paraId="36047E66" w14:textId="77777777" w:rsidR="009B49C6" w:rsidRPr="009A1184" w:rsidRDefault="009B49C6" w:rsidP="009A1184">
      <w:pPr>
        <w:pStyle w:val="TableEntry"/>
        <w:keepNext/>
        <w:spacing w:before="120" w:after="120"/>
      </w:pPr>
    </w:p>
    <w:p w14:paraId="6571D3C3" w14:textId="77777777" w:rsidR="00E72A37" w:rsidRDefault="00E72A37" w:rsidP="00A6409A">
      <w:pPr>
        <w:pStyle w:val="TableEntry"/>
        <w:keepNext/>
        <w:numPr>
          <w:ilvl w:val="2"/>
          <w:numId w:val="14"/>
        </w:numPr>
        <w:spacing w:before="120" w:after="120"/>
        <w:rPr>
          <w:i/>
        </w:rPr>
      </w:pPr>
      <w:r>
        <w:rPr>
          <w:i/>
        </w:rPr>
        <w:t>Plant genetic resources</w:t>
      </w:r>
    </w:p>
    <w:p w14:paraId="5AD5CF55" w14:textId="77777777" w:rsidR="00E72A37" w:rsidRPr="00A6409A" w:rsidRDefault="00A6409A" w:rsidP="00A6409A">
      <w:pPr>
        <w:pStyle w:val="TableEntry"/>
        <w:keepNext/>
        <w:spacing w:before="120" w:after="120"/>
      </w:pPr>
      <w:r w:rsidRPr="00A6409A">
        <w:t>DSI</w:t>
      </w:r>
      <w:r>
        <w:t xml:space="preserve"> used in the conservation of plant genetic resources supports the use of molecular markers, omics, cryopreservation, </w:t>
      </w:r>
      <w:r w:rsidRPr="00995B4C">
        <w:rPr>
          <w:i/>
        </w:rPr>
        <w:t>in vitro slow</w:t>
      </w:r>
      <w:r>
        <w:t xml:space="preserve"> growth storage, wide crossing, somatic hybridization, micropropagation and biotechnologies for disease diagnosis</w:t>
      </w:r>
      <w:r w:rsidR="00995B4C">
        <w:t xml:space="preserve"> </w:t>
      </w:r>
      <w:r w:rsidR="001C037C">
        <w:t>(Lidder and Sonnino, 2011)</w:t>
      </w:r>
      <w:r>
        <w:t>.</w:t>
      </w:r>
    </w:p>
    <w:p w14:paraId="577FD482" w14:textId="77777777" w:rsidR="00596DE3" w:rsidRPr="00BB430C" w:rsidRDefault="00BC5699" w:rsidP="003F6C34">
      <w:pPr>
        <w:spacing w:after="120"/>
        <w:rPr>
          <w:rFonts w:eastAsia="Calibri"/>
          <w:sz w:val="22"/>
          <w:szCs w:val="22"/>
          <w:lang w:val="mi-NZ" w:eastAsia="en-US"/>
        </w:rPr>
      </w:pPr>
      <w:r w:rsidRPr="001F73F3">
        <w:rPr>
          <w:sz w:val="22"/>
          <w:szCs w:val="22"/>
        </w:rPr>
        <w:t>DSI contributes to the p</w:t>
      </w:r>
      <w:r>
        <w:rPr>
          <w:rFonts w:eastAsia="Calibri"/>
          <w:sz w:val="22"/>
          <w:szCs w:val="22"/>
          <w:lang w:val="en-US" w:eastAsia="en-US"/>
        </w:rPr>
        <w:t>reservation of genetic diversity, contributing to improved food security and nutrition.</w:t>
      </w:r>
      <w:r w:rsidR="00307C49">
        <w:rPr>
          <w:rFonts w:eastAsia="Calibri"/>
          <w:sz w:val="22"/>
          <w:szCs w:val="22"/>
          <w:lang w:val="en-US" w:eastAsia="en-US"/>
        </w:rPr>
        <w:t xml:space="preserve"> </w:t>
      </w:r>
      <w:r w:rsidR="00596DE3" w:rsidRPr="00BB430C">
        <w:rPr>
          <w:rFonts w:eastAsia="Calibri"/>
          <w:sz w:val="22"/>
          <w:szCs w:val="22"/>
          <w:lang w:val="en-US" w:eastAsia="en-US"/>
        </w:rPr>
        <w:t xml:space="preserve">Italy’s Cilento region is a UNESCO heritage site protecting the biodiversity at the origin of the Mediterranean </w:t>
      </w:r>
      <w:r w:rsidR="00FD4EF8">
        <w:rPr>
          <w:rFonts w:eastAsia="Calibri"/>
          <w:sz w:val="22"/>
          <w:szCs w:val="22"/>
          <w:lang w:val="en-US" w:eastAsia="en-US"/>
        </w:rPr>
        <w:t>d</w:t>
      </w:r>
      <w:r w:rsidR="00FD4EF8" w:rsidRPr="00BB430C">
        <w:rPr>
          <w:rFonts w:eastAsia="Calibri"/>
          <w:sz w:val="22"/>
          <w:szCs w:val="22"/>
          <w:lang w:val="en-US" w:eastAsia="en-US"/>
        </w:rPr>
        <w:t>iet</w:t>
      </w:r>
      <w:r w:rsidR="00596DE3" w:rsidRPr="00BB430C">
        <w:rPr>
          <w:rFonts w:eastAsia="Calibri"/>
          <w:sz w:val="22"/>
          <w:szCs w:val="22"/>
          <w:lang w:val="en-US" w:eastAsia="en-US"/>
        </w:rPr>
        <w:t>. Italy is home to several common bean landraces. Some landraces are in danger of extinction. Over 60</w:t>
      </w:r>
      <w:r w:rsidR="00FD4EF8">
        <w:rPr>
          <w:rFonts w:eastAsia="Calibri"/>
          <w:sz w:val="22"/>
          <w:szCs w:val="22"/>
          <w:lang w:val="en-US" w:eastAsia="en-US"/>
        </w:rPr>
        <w:t xml:space="preserve"> percent</w:t>
      </w:r>
      <w:r w:rsidR="00FD4EF8" w:rsidRPr="00BB430C">
        <w:rPr>
          <w:rFonts w:eastAsia="Calibri"/>
          <w:sz w:val="22"/>
          <w:szCs w:val="22"/>
          <w:lang w:val="en-US" w:eastAsia="en-US"/>
        </w:rPr>
        <w:t xml:space="preserve"> </w:t>
      </w:r>
      <w:r w:rsidR="00596DE3" w:rsidRPr="00BB430C">
        <w:rPr>
          <w:rFonts w:eastAsia="Calibri"/>
          <w:sz w:val="22"/>
          <w:szCs w:val="22"/>
          <w:lang w:val="en-US" w:eastAsia="en-US"/>
        </w:rPr>
        <w:t xml:space="preserve">of the </w:t>
      </w:r>
      <w:r w:rsidR="00596DE3" w:rsidRPr="00BB430C">
        <w:rPr>
          <w:rFonts w:eastAsia="Calibri"/>
          <w:sz w:val="22"/>
          <w:szCs w:val="22"/>
          <w:lang w:val="mi-NZ" w:eastAsia="en-US"/>
        </w:rPr>
        <w:t xml:space="preserve">common bean ecotypes have been </w:t>
      </w:r>
      <w:r w:rsidR="00596DE3" w:rsidRPr="00BB430C">
        <w:rPr>
          <w:rFonts w:eastAsia="Calibri"/>
          <w:sz w:val="22"/>
          <w:szCs w:val="22"/>
          <w:lang w:val="mi-NZ" w:eastAsia="en-US"/>
        </w:rPr>
        <w:lastRenderedPageBreak/>
        <w:t xml:space="preserve">lost over the last 100 years </w:t>
      </w:r>
      <w:r w:rsidR="001C037C">
        <w:rPr>
          <w:rFonts w:eastAsia="Calibri"/>
          <w:noProof/>
          <w:sz w:val="22"/>
          <w:szCs w:val="22"/>
          <w:lang w:val="mi-NZ" w:eastAsia="en-US"/>
        </w:rPr>
        <w:t>(Hammer</w:t>
      </w:r>
      <w:r w:rsidR="001C037C" w:rsidRPr="001C037C">
        <w:rPr>
          <w:rFonts w:eastAsia="Calibri"/>
          <w:i/>
          <w:noProof/>
          <w:sz w:val="22"/>
          <w:szCs w:val="22"/>
          <w:lang w:val="mi-NZ" w:eastAsia="en-US"/>
        </w:rPr>
        <w:t xml:space="preserve"> et al.</w:t>
      </w:r>
      <w:r w:rsidR="001C037C">
        <w:rPr>
          <w:rFonts w:eastAsia="Calibri"/>
          <w:noProof/>
          <w:sz w:val="22"/>
          <w:szCs w:val="22"/>
          <w:lang w:val="mi-NZ" w:eastAsia="en-US"/>
        </w:rPr>
        <w:t>, 1996)</w:t>
      </w:r>
      <w:r w:rsidR="00596DE3" w:rsidRPr="00BB430C">
        <w:rPr>
          <w:rFonts w:eastAsia="Calibri"/>
          <w:sz w:val="22"/>
          <w:szCs w:val="22"/>
          <w:lang w:val="en-US" w:eastAsia="en-US"/>
        </w:rPr>
        <w:t>. In order to describe the genetic diversity among landraces, as part of a conservation effort, 12 different</w:t>
      </w:r>
      <w:r w:rsidR="000330CE">
        <w:rPr>
          <w:rFonts w:eastAsia="Calibri"/>
          <w:sz w:val="22"/>
          <w:szCs w:val="22"/>
          <w:lang w:val="en-US" w:eastAsia="en-US"/>
        </w:rPr>
        <w:t xml:space="preserve"> Italian</w:t>
      </w:r>
      <w:r w:rsidR="00596DE3" w:rsidRPr="00BB430C">
        <w:rPr>
          <w:rFonts w:eastAsia="Calibri"/>
          <w:sz w:val="22"/>
          <w:szCs w:val="22"/>
          <w:lang w:val="en-US" w:eastAsia="en-US"/>
        </w:rPr>
        <w:t xml:space="preserve"> landraces were barcoded. </w:t>
      </w:r>
    </w:p>
    <w:p w14:paraId="5E0856E4" w14:textId="77777777" w:rsidR="00596DE3" w:rsidRPr="00BB430C" w:rsidRDefault="00596DE3" w:rsidP="00EF4977">
      <w:pPr>
        <w:spacing w:after="120"/>
        <w:rPr>
          <w:rFonts w:eastAsia="Calibri"/>
          <w:sz w:val="22"/>
          <w:szCs w:val="22"/>
          <w:lang w:val="en-US" w:eastAsia="en-US"/>
        </w:rPr>
      </w:pPr>
      <w:r w:rsidRPr="00BB430C">
        <w:rPr>
          <w:rFonts w:eastAsia="Calibri"/>
          <w:sz w:val="22"/>
          <w:szCs w:val="22"/>
          <w:lang w:val="en-US" w:eastAsia="en-US"/>
        </w:rPr>
        <w:t>Barcodes refer to DNA sequences that are diagnostic of the origin of DNA in a sample. In conservation work, the objective is to use species-specific barcodes to identify all species represented in a sample. Both the tools (i.e. primers) for amplifying diagnostic barcodes from a sample, and the barcode itself, are stored and transmitted as</w:t>
      </w:r>
      <w:r w:rsidR="00307C49">
        <w:rPr>
          <w:rFonts w:eastAsia="Calibri"/>
          <w:sz w:val="22"/>
          <w:szCs w:val="22"/>
          <w:lang w:val="en-US" w:eastAsia="en-US"/>
        </w:rPr>
        <w:t xml:space="preserve"> DSI of</w:t>
      </w:r>
      <w:r w:rsidRPr="00BB430C">
        <w:rPr>
          <w:rFonts w:eastAsia="Calibri"/>
          <w:sz w:val="22"/>
          <w:szCs w:val="22"/>
          <w:lang w:val="en-US" w:eastAsia="en-US"/>
        </w:rPr>
        <w:t xml:space="preserve"> DNA sequences in databases.</w:t>
      </w:r>
    </w:p>
    <w:p w14:paraId="00FA569A" w14:textId="77777777" w:rsidR="00EF4977" w:rsidRDefault="00596DE3" w:rsidP="002D4277">
      <w:pPr>
        <w:spacing w:after="120"/>
        <w:rPr>
          <w:rFonts w:eastAsia="Calibri"/>
          <w:sz w:val="22"/>
          <w:szCs w:val="22"/>
          <w:lang w:val="en-US" w:eastAsia="en-US"/>
        </w:rPr>
      </w:pPr>
      <w:r w:rsidRPr="00BB430C">
        <w:rPr>
          <w:rFonts w:eastAsia="Calibri"/>
          <w:sz w:val="22"/>
          <w:szCs w:val="22"/>
          <w:lang w:val="en-US" w:eastAsia="en-US"/>
        </w:rPr>
        <w:t xml:space="preserve">The amplified DNA from the landraces was sequenced and then compared </w:t>
      </w:r>
      <w:r w:rsidR="00FD4EF8">
        <w:rPr>
          <w:rFonts w:eastAsia="Calibri"/>
          <w:sz w:val="22"/>
          <w:szCs w:val="22"/>
          <w:lang w:val="en-US" w:eastAsia="en-US"/>
        </w:rPr>
        <w:t>with</w:t>
      </w:r>
      <w:r w:rsidR="00FD4EF8" w:rsidRPr="00BB430C">
        <w:rPr>
          <w:rFonts w:eastAsia="Calibri"/>
          <w:sz w:val="22"/>
          <w:szCs w:val="22"/>
          <w:lang w:val="en-US" w:eastAsia="en-US"/>
        </w:rPr>
        <w:t xml:space="preserve"> </w:t>
      </w:r>
      <w:r w:rsidRPr="00BB430C">
        <w:rPr>
          <w:rFonts w:eastAsia="Calibri"/>
          <w:sz w:val="22"/>
          <w:szCs w:val="22"/>
          <w:lang w:val="en-US" w:eastAsia="en-US"/>
        </w:rPr>
        <w:t xml:space="preserve">DSI in international databases </w:t>
      </w:r>
      <w:r w:rsidR="001C037C">
        <w:rPr>
          <w:rFonts w:eastAsia="Calibri"/>
          <w:noProof/>
          <w:sz w:val="22"/>
          <w:szCs w:val="22"/>
          <w:lang w:val="en-US" w:eastAsia="en-US"/>
        </w:rPr>
        <w:t>(De Luca</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sidRPr="00BB430C">
        <w:rPr>
          <w:rFonts w:eastAsia="Calibri"/>
          <w:sz w:val="22"/>
          <w:szCs w:val="22"/>
          <w:lang w:val="en-US" w:eastAsia="en-US"/>
        </w:rPr>
        <w:t xml:space="preserve">. The study found that </w:t>
      </w:r>
      <w:r w:rsidRPr="00FD7D82">
        <w:rPr>
          <w:rFonts w:eastAsia="Calibri"/>
          <w:i/>
          <w:sz w:val="22"/>
          <w:szCs w:val="22"/>
          <w:lang w:val="en-US" w:eastAsia="en-US"/>
        </w:rPr>
        <w:t>in situ</w:t>
      </w:r>
      <w:r w:rsidRPr="00BB430C">
        <w:rPr>
          <w:rFonts w:eastAsia="Calibri"/>
          <w:sz w:val="22"/>
          <w:szCs w:val="22"/>
          <w:lang w:val="en-US" w:eastAsia="en-US"/>
        </w:rPr>
        <w:t xml:space="preserve"> conservation by farmers,</w:t>
      </w:r>
      <w:r w:rsidRPr="00596DE3">
        <w:rPr>
          <w:rFonts w:eastAsia="Calibri"/>
          <w:sz w:val="22"/>
          <w:szCs w:val="22"/>
          <w:lang w:val="en-US" w:eastAsia="en-US"/>
        </w:rPr>
        <w:t xml:space="preserve"> </w:t>
      </w:r>
      <w:r w:rsidRPr="00BB430C">
        <w:rPr>
          <w:rFonts w:eastAsia="Calibri"/>
          <w:sz w:val="22"/>
          <w:szCs w:val="22"/>
          <w:lang w:val="en-US" w:eastAsia="en-US"/>
        </w:rPr>
        <w:t>geographical isolation, and the biology of the bean all contributed to genetic distinctiveness of the landraces. The tools and methods developed in the study are an ongoing resource to help preserve the genetic diversity of the landraces</w:t>
      </w:r>
      <w:r w:rsidR="00FD4EF8">
        <w:rPr>
          <w:rFonts w:eastAsia="Calibri"/>
          <w:sz w:val="22"/>
          <w:szCs w:val="22"/>
          <w:lang w:val="en-US" w:eastAsia="en-US"/>
        </w:rPr>
        <w:t>,</w:t>
      </w:r>
      <w:r w:rsidRPr="00BB430C">
        <w:rPr>
          <w:rFonts w:eastAsia="Calibri"/>
          <w:sz w:val="22"/>
          <w:szCs w:val="22"/>
          <w:lang w:val="en-US" w:eastAsia="en-US"/>
        </w:rPr>
        <w:t xml:space="preserve"> which are “</w:t>
      </w:r>
      <w:r w:rsidRPr="000E04B6">
        <w:rPr>
          <w:rFonts w:eastAsia="Calibri"/>
          <w:sz w:val="22"/>
          <w:szCs w:val="22"/>
          <w:lang w:val="en-US" w:eastAsia="en-US"/>
        </w:rPr>
        <w:t>part of the social history and cultural identity of the communities living in the area</w:t>
      </w:r>
      <w:r w:rsidR="00AA5AE5">
        <w:rPr>
          <w:rFonts w:eastAsia="Calibri"/>
          <w:sz w:val="22"/>
          <w:szCs w:val="22"/>
          <w:lang w:val="en-US" w:eastAsia="en-US"/>
        </w:rPr>
        <w:t>.</w:t>
      </w:r>
      <w:r w:rsidRPr="000E04B6">
        <w:rPr>
          <w:rFonts w:eastAsia="Calibri"/>
          <w:sz w:val="22"/>
          <w:szCs w:val="22"/>
          <w:lang w:val="en-US" w:eastAsia="en-US"/>
        </w:rPr>
        <w:t>”</w:t>
      </w:r>
      <w:r w:rsidR="00307C49" w:rsidRPr="000E04B6">
        <w:rPr>
          <w:rFonts w:eastAsia="Calibri"/>
          <w:sz w:val="22"/>
          <w:szCs w:val="22"/>
          <w:lang w:val="en-US" w:eastAsia="en-US"/>
        </w:rPr>
        <w:t xml:space="preserve"> The study authors concluded that the work “</w:t>
      </w:r>
      <w:r w:rsidR="00307C49" w:rsidRPr="00307C49">
        <w:rPr>
          <w:rFonts w:eastAsia="Calibri"/>
          <w:sz w:val="22"/>
          <w:szCs w:val="22"/>
          <w:lang w:val="en-US" w:eastAsia="en-US"/>
        </w:rPr>
        <w:t>highlighted that conservation of landraces is important not</w:t>
      </w:r>
      <w:r w:rsidR="00307C49">
        <w:rPr>
          <w:rFonts w:eastAsia="Calibri"/>
          <w:sz w:val="22"/>
          <w:szCs w:val="22"/>
          <w:lang w:val="en-US" w:eastAsia="en-US"/>
        </w:rPr>
        <w:t xml:space="preserve"> </w:t>
      </w:r>
      <w:r w:rsidR="00307C49" w:rsidRPr="00307C49">
        <w:rPr>
          <w:rFonts w:eastAsia="Calibri"/>
          <w:sz w:val="22"/>
          <w:szCs w:val="22"/>
          <w:lang w:val="en-US" w:eastAsia="en-US"/>
        </w:rPr>
        <w:t>only for the cultural and socio-economic value that they</w:t>
      </w:r>
      <w:r w:rsidR="00307C49">
        <w:rPr>
          <w:rFonts w:eastAsia="Calibri"/>
          <w:sz w:val="22"/>
          <w:szCs w:val="22"/>
          <w:lang w:val="en-US" w:eastAsia="en-US"/>
        </w:rPr>
        <w:t xml:space="preserve"> </w:t>
      </w:r>
      <w:r w:rsidR="00307C49" w:rsidRPr="00307C49">
        <w:rPr>
          <w:rFonts w:eastAsia="Calibri"/>
          <w:sz w:val="22"/>
          <w:szCs w:val="22"/>
          <w:lang w:val="en-US" w:eastAsia="en-US"/>
        </w:rPr>
        <w:t>have for local communities, but also because the time and</w:t>
      </w:r>
      <w:r w:rsidR="00307C49">
        <w:rPr>
          <w:rFonts w:eastAsia="Calibri"/>
          <w:sz w:val="22"/>
          <w:szCs w:val="22"/>
          <w:lang w:val="en-US" w:eastAsia="en-US"/>
        </w:rPr>
        <w:t xml:space="preserve"> </w:t>
      </w:r>
      <w:r w:rsidR="00307C49" w:rsidRPr="00307C49">
        <w:rPr>
          <w:rFonts w:eastAsia="Calibri"/>
          <w:sz w:val="22"/>
          <w:szCs w:val="22"/>
          <w:lang w:val="en-US" w:eastAsia="en-US"/>
        </w:rPr>
        <w:t>conditions in which they have been selected have led to that</w:t>
      </w:r>
      <w:r w:rsidR="00307C49">
        <w:rPr>
          <w:rFonts w:eastAsia="Calibri"/>
          <w:sz w:val="22"/>
          <w:szCs w:val="22"/>
          <w:lang w:val="en-US" w:eastAsia="en-US"/>
        </w:rPr>
        <w:t xml:space="preserve"> </w:t>
      </w:r>
      <w:r w:rsidR="00307C49" w:rsidRPr="00307C49">
        <w:rPr>
          <w:rFonts w:eastAsia="Calibri"/>
          <w:sz w:val="22"/>
          <w:szCs w:val="22"/>
          <w:lang w:val="en-US" w:eastAsia="en-US"/>
        </w:rPr>
        <w:t>genetic distinctiveness that is at the basis of many potential</w:t>
      </w:r>
      <w:r w:rsidR="003F6C34">
        <w:rPr>
          <w:rFonts w:eastAsia="Calibri"/>
          <w:sz w:val="22"/>
          <w:szCs w:val="22"/>
          <w:lang w:val="en-US" w:eastAsia="en-US"/>
        </w:rPr>
        <w:t xml:space="preserve"> </w:t>
      </w:r>
      <w:r w:rsidR="00307C49" w:rsidRPr="00307C49">
        <w:rPr>
          <w:rFonts w:eastAsia="Calibri"/>
          <w:sz w:val="22"/>
          <w:szCs w:val="22"/>
          <w:lang w:val="en-US" w:eastAsia="en-US"/>
        </w:rPr>
        <w:t>agronomical applications and dietary benefits</w:t>
      </w:r>
      <w:r w:rsidR="00307C49" w:rsidRPr="000E04B6">
        <w:rPr>
          <w:rFonts w:eastAsia="Calibri"/>
          <w:sz w:val="22"/>
          <w:szCs w:val="22"/>
          <w:lang w:val="en-US" w:eastAsia="en-US"/>
        </w:rPr>
        <w:t>”</w:t>
      </w:r>
      <w:r w:rsidRPr="000E04B6">
        <w:rPr>
          <w:rFonts w:eastAsia="Calibri"/>
          <w:sz w:val="22"/>
          <w:szCs w:val="22"/>
          <w:lang w:val="en-US" w:eastAsia="en-US"/>
        </w:rPr>
        <w:t xml:space="preserve"> </w:t>
      </w:r>
      <w:r w:rsidR="001C037C">
        <w:rPr>
          <w:rFonts w:eastAsia="Calibri"/>
          <w:noProof/>
          <w:sz w:val="22"/>
          <w:szCs w:val="22"/>
          <w:lang w:val="en-US" w:eastAsia="en-US"/>
        </w:rPr>
        <w:t>(De Luca</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sidRPr="000E04B6">
        <w:rPr>
          <w:rFonts w:eastAsia="Calibri"/>
          <w:sz w:val="22"/>
          <w:szCs w:val="22"/>
          <w:lang w:val="en-US" w:eastAsia="en-US"/>
        </w:rPr>
        <w:t>.</w:t>
      </w:r>
      <w:bookmarkStart w:id="12" w:name="_Toc375588461"/>
    </w:p>
    <w:p w14:paraId="1ED90965" w14:textId="77777777" w:rsidR="000923DB" w:rsidRDefault="000923DB" w:rsidP="00EE70A0">
      <w:pPr>
        <w:spacing w:after="120"/>
        <w:rPr>
          <w:rFonts w:eastAsia="Calibri"/>
          <w:sz w:val="22"/>
          <w:szCs w:val="22"/>
          <w:lang w:val="en-US" w:eastAsia="en-US"/>
        </w:rPr>
      </w:pPr>
    </w:p>
    <w:p w14:paraId="074A2B0F" w14:textId="77777777" w:rsidR="00DB04CA" w:rsidRPr="00796F66" w:rsidRDefault="007477C6" w:rsidP="00DB04CA">
      <w:pPr>
        <w:pStyle w:val="Heading2"/>
        <w:rPr>
          <w:rFonts w:ascii="Times New Roman" w:hAnsi="Times New Roman" w:cs="Times New Roman"/>
          <w:bCs w:val="0"/>
          <w:i w:val="0"/>
          <w:iCs w:val="0"/>
          <w:noProof/>
          <w:sz w:val="24"/>
          <w:szCs w:val="24"/>
        </w:rPr>
      </w:pPr>
      <w:bookmarkStart w:id="13" w:name="_Toc374968963"/>
      <w:bookmarkEnd w:id="12"/>
      <w:r w:rsidRPr="00796F66">
        <w:rPr>
          <w:rFonts w:ascii="Times New Roman" w:hAnsi="Times New Roman" w:cs="Times New Roman"/>
          <w:bCs w:val="0"/>
          <w:i w:val="0"/>
          <w:iCs w:val="0"/>
          <w:noProof/>
          <w:sz w:val="24"/>
          <w:szCs w:val="24"/>
        </w:rPr>
        <w:t>3</w:t>
      </w:r>
      <w:r w:rsidR="008D547A" w:rsidRPr="00796F66">
        <w:rPr>
          <w:rFonts w:ascii="Times New Roman" w:hAnsi="Times New Roman" w:cs="Times New Roman"/>
          <w:bCs w:val="0"/>
          <w:i w:val="0"/>
          <w:iCs w:val="0"/>
          <w:noProof/>
          <w:sz w:val="24"/>
          <w:szCs w:val="24"/>
        </w:rPr>
        <w:t>.</w:t>
      </w:r>
      <w:r w:rsidR="00063404" w:rsidRPr="00796F66">
        <w:rPr>
          <w:rFonts w:ascii="Times New Roman" w:hAnsi="Times New Roman" w:cs="Times New Roman"/>
          <w:bCs w:val="0"/>
          <w:i w:val="0"/>
          <w:iCs w:val="0"/>
          <w:noProof/>
          <w:sz w:val="24"/>
          <w:szCs w:val="24"/>
        </w:rPr>
        <w:t xml:space="preserve">3 </w:t>
      </w:r>
      <w:r w:rsidR="00870A3D" w:rsidRPr="00796F66">
        <w:rPr>
          <w:rFonts w:ascii="Times New Roman" w:hAnsi="Times New Roman" w:cs="Times New Roman"/>
          <w:bCs w:val="0"/>
          <w:i w:val="0"/>
          <w:iCs w:val="0"/>
          <w:noProof/>
          <w:sz w:val="24"/>
          <w:szCs w:val="24"/>
        </w:rPr>
        <w:t>Sustainable u</w:t>
      </w:r>
      <w:r w:rsidR="00DB04CA" w:rsidRPr="00796F66">
        <w:rPr>
          <w:rFonts w:ascii="Times New Roman" w:hAnsi="Times New Roman" w:cs="Times New Roman"/>
          <w:bCs w:val="0"/>
          <w:i w:val="0"/>
          <w:iCs w:val="0"/>
          <w:noProof/>
          <w:sz w:val="24"/>
          <w:szCs w:val="24"/>
        </w:rPr>
        <w:t>se of GRFA</w:t>
      </w:r>
      <w:bookmarkEnd w:id="13"/>
    </w:p>
    <w:p w14:paraId="43628261" w14:textId="77777777" w:rsidR="007E6618" w:rsidRPr="007E6618" w:rsidRDefault="00E01C81" w:rsidP="007E6618">
      <w:pPr>
        <w:shd w:val="clear" w:color="auto" w:fill="E0E0E0"/>
        <w:spacing w:after="120"/>
        <w:rPr>
          <w:rFonts w:eastAsia="Calibri"/>
          <w:sz w:val="20"/>
          <w:szCs w:val="22"/>
          <w:lang w:val="en-US" w:eastAsia="en-US"/>
        </w:rPr>
      </w:pPr>
      <w:r>
        <w:rPr>
          <w:rFonts w:eastAsia="Calibri"/>
          <w:sz w:val="20"/>
          <w:szCs w:val="22"/>
          <w:lang w:val="en-US" w:eastAsia="en-US"/>
        </w:rPr>
        <w:t>“</w:t>
      </w:r>
      <w:r w:rsidR="007E6618" w:rsidRPr="007E6618">
        <w:rPr>
          <w:rFonts w:eastAsia="Calibri"/>
          <w:sz w:val="20"/>
          <w:szCs w:val="22"/>
          <w:lang w:val="en-US" w:eastAsia="en-US"/>
        </w:rPr>
        <w:t>Developments in genotyping and sequencing are accompanied by rapid evolvement of technological innovations in related fields: whole-genome expression studies, transcriptomics, and metabolomics provide insight into the complex biological processes linking genotype and phenotype; epigenetics focus on the interaction of the genome with the environment; and metagenomics study the genetic dynamics of the microbiome of an organism, most relevantly in the rumen of cattle and small ruminants. We are only at the beginning of generating large-scale data in those fields, but integrating those results with genomic data will strongly improve our biological understanding of genetic causes and mechanisms underlying relevant phenotypes, allowing more knowledge-based bree</w:t>
      </w:r>
      <w:r>
        <w:rPr>
          <w:rFonts w:eastAsia="Calibri"/>
          <w:sz w:val="20"/>
          <w:szCs w:val="22"/>
          <w:lang w:val="en-US" w:eastAsia="en-US"/>
        </w:rPr>
        <w:t>ding strategies to be developed”</w:t>
      </w:r>
      <w:r w:rsidR="007E6618">
        <w:rPr>
          <w:rFonts w:eastAsia="Calibri"/>
          <w:sz w:val="20"/>
          <w:szCs w:val="22"/>
          <w:lang w:val="en-US" w:eastAsia="en-US"/>
        </w:rPr>
        <w:t xml:space="preserve"> </w:t>
      </w:r>
      <w:r w:rsidR="000722FF">
        <w:rPr>
          <w:rFonts w:eastAsia="Calibri"/>
          <w:noProof/>
          <w:sz w:val="20"/>
          <w:szCs w:val="22"/>
          <w:lang w:val="en-US" w:eastAsia="en-US"/>
        </w:rPr>
        <w:t>(Ibanez-Escriche and Simianer, 2016)</w:t>
      </w:r>
      <w:r>
        <w:rPr>
          <w:rFonts w:eastAsia="Calibri"/>
          <w:sz w:val="20"/>
          <w:szCs w:val="22"/>
          <w:lang w:val="en-US" w:eastAsia="en-US"/>
        </w:rPr>
        <w:t>.</w:t>
      </w:r>
    </w:p>
    <w:p w14:paraId="35308D9B" w14:textId="77777777" w:rsidR="00596DE3" w:rsidRPr="00BB430C" w:rsidRDefault="00596DE3" w:rsidP="00596DE3">
      <w:pPr>
        <w:spacing w:after="120"/>
        <w:rPr>
          <w:rFonts w:eastAsia="Calibri"/>
          <w:sz w:val="22"/>
          <w:szCs w:val="22"/>
          <w:lang w:val="en-US" w:eastAsia="en-US"/>
        </w:rPr>
      </w:pPr>
      <w:r w:rsidRPr="00BB430C">
        <w:rPr>
          <w:rFonts w:eastAsia="Calibri"/>
          <w:sz w:val="22"/>
          <w:szCs w:val="22"/>
          <w:lang w:val="en-US" w:eastAsia="en-US"/>
        </w:rPr>
        <w:t>Global food security depends on the ability to produce a nutritious food supply without depleting the ecological resources upon which it relies. Genetic resources in food and agriculture are under increasing demands to feed more people on less land, or in warming oceans. The means of production are challenged by natural disasters and the increasing intensity of weather events due to climate change.</w:t>
      </w:r>
    </w:p>
    <w:p w14:paraId="22B544AF" w14:textId="77777777" w:rsidR="00195522" w:rsidRPr="00E170DC" w:rsidRDefault="00596DE3" w:rsidP="001144DA">
      <w:pPr>
        <w:spacing w:after="120"/>
        <w:rPr>
          <w:rFonts w:eastAsia="Calibri"/>
          <w:sz w:val="22"/>
          <w:szCs w:val="22"/>
          <w:lang w:val="en-US" w:eastAsia="en-US"/>
        </w:rPr>
      </w:pPr>
      <w:r w:rsidRPr="00BB430C">
        <w:rPr>
          <w:rFonts w:eastAsia="Calibri"/>
          <w:sz w:val="22"/>
          <w:szCs w:val="22"/>
          <w:lang w:val="en-US" w:eastAsia="en-US"/>
        </w:rPr>
        <w:t xml:space="preserve">Sustainable agriculture is dependent on sustainable development and biodiversity. </w:t>
      </w:r>
      <w:r w:rsidRPr="00BB430C">
        <w:rPr>
          <w:rFonts w:eastAsia="Calibri"/>
          <w:sz w:val="22"/>
          <w:szCs w:val="22"/>
          <w:lang w:eastAsia="en-US"/>
        </w:rPr>
        <w:t xml:space="preserve">This is recognized in the </w:t>
      </w:r>
      <w:r w:rsidR="00A211B4">
        <w:rPr>
          <w:rFonts w:eastAsia="Calibri"/>
          <w:sz w:val="22"/>
          <w:szCs w:val="22"/>
          <w:lang w:eastAsia="en-US"/>
        </w:rPr>
        <w:t>S</w:t>
      </w:r>
      <w:r w:rsidR="00A211B4" w:rsidRPr="00BB430C">
        <w:rPr>
          <w:rFonts w:eastAsia="Calibri"/>
          <w:sz w:val="22"/>
          <w:szCs w:val="22"/>
          <w:lang w:eastAsia="en-US"/>
        </w:rPr>
        <w:t xml:space="preserve">ustainable </w:t>
      </w:r>
      <w:r w:rsidR="00A211B4">
        <w:rPr>
          <w:rFonts w:eastAsia="Calibri"/>
          <w:sz w:val="22"/>
          <w:szCs w:val="22"/>
          <w:lang w:eastAsia="en-US"/>
        </w:rPr>
        <w:t>D</w:t>
      </w:r>
      <w:r w:rsidR="00A211B4" w:rsidRPr="00BB430C">
        <w:rPr>
          <w:rFonts w:eastAsia="Calibri"/>
          <w:sz w:val="22"/>
          <w:szCs w:val="22"/>
          <w:lang w:eastAsia="en-US"/>
        </w:rPr>
        <w:t xml:space="preserve">evelopment </w:t>
      </w:r>
      <w:r w:rsidR="00A211B4">
        <w:rPr>
          <w:rFonts w:eastAsia="Calibri"/>
          <w:sz w:val="22"/>
          <w:szCs w:val="22"/>
          <w:lang w:eastAsia="en-US"/>
        </w:rPr>
        <w:t>G</w:t>
      </w:r>
      <w:r w:rsidR="00A211B4" w:rsidRPr="00BB430C">
        <w:rPr>
          <w:rFonts w:eastAsia="Calibri"/>
          <w:sz w:val="22"/>
          <w:szCs w:val="22"/>
          <w:lang w:eastAsia="en-US"/>
        </w:rPr>
        <w:t xml:space="preserve">oals </w:t>
      </w:r>
      <w:r w:rsidRPr="00BB430C">
        <w:rPr>
          <w:rFonts w:eastAsia="Calibri"/>
          <w:sz w:val="22"/>
          <w:szCs w:val="22"/>
          <w:lang w:eastAsia="en-US"/>
        </w:rPr>
        <w:t>such as 2 on food security and sustainable agriculture, 14 on life below water, 15 on life on land, as well as 12 on sustainable consumption and production</w:t>
      </w:r>
      <w:r w:rsidRPr="00BB430C">
        <w:rPr>
          <w:rFonts w:eastAsia="Calibri"/>
          <w:sz w:val="22"/>
          <w:szCs w:val="22"/>
          <w:lang w:val="en-US" w:eastAsia="en-US"/>
        </w:rPr>
        <w:t xml:space="preserve"> </w:t>
      </w:r>
      <w:r w:rsidR="001C037C">
        <w:rPr>
          <w:rFonts w:eastAsia="Calibri"/>
          <w:noProof/>
          <w:sz w:val="22"/>
          <w:szCs w:val="22"/>
          <w:lang w:val="en-US" w:eastAsia="en-US"/>
        </w:rPr>
        <w:t>(FAO, 2017)</w:t>
      </w:r>
      <w:r w:rsidRPr="00BB430C">
        <w:rPr>
          <w:rFonts w:eastAsia="Calibri"/>
          <w:sz w:val="22"/>
          <w:szCs w:val="22"/>
          <w:lang w:val="en-US" w:eastAsia="en-US"/>
        </w:rPr>
        <w:t xml:space="preserve">. </w:t>
      </w:r>
      <w:r w:rsidRPr="00BB430C">
        <w:rPr>
          <w:rFonts w:eastAsia="Calibri"/>
          <w:sz w:val="22"/>
          <w:szCs w:val="22"/>
          <w:lang w:eastAsia="en-US"/>
        </w:rPr>
        <w:t xml:space="preserve">Agriculture is not just a way to produce food, but also a way to practice </w:t>
      </w:r>
      <w:r w:rsidRPr="00BB430C">
        <w:rPr>
          <w:rFonts w:eastAsia="Calibri"/>
          <w:i/>
          <w:sz w:val="22"/>
          <w:szCs w:val="22"/>
          <w:lang w:eastAsia="en-US"/>
        </w:rPr>
        <w:t>in situ</w:t>
      </w:r>
      <w:r w:rsidRPr="00BB430C">
        <w:rPr>
          <w:rFonts w:eastAsia="Calibri"/>
          <w:sz w:val="22"/>
          <w:szCs w:val="22"/>
          <w:lang w:eastAsia="en-US"/>
        </w:rPr>
        <w:t xml:space="preserve"> conservation, improve child health and</w:t>
      </w:r>
      <w:r w:rsidR="00AA5AE5">
        <w:rPr>
          <w:rFonts w:eastAsia="Calibri"/>
          <w:sz w:val="22"/>
          <w:szCs w:val="22"/>
          <w:lang w:eastAsia="en-US"/>
        </w:rPr>
        <w:t xml:space="preserve"> creater greater</w:t>
      </w:r>
      <w:r w:rsidRPr="00BB430C">
        <w:rPr>
          <w:rFonts w:eastAsia="Calibri"/>
          <w:sz w:val="22"/>
          <w:szCs w:val="22"/>
          <w:lang w:eastAsia="en-US"/>
        </w:rPr>
        <w:t xml:space="preserve"> gender equality </w:t>
      </w:r>
      <w:r w:rsidR="001C037C">
        <w:rPr>
          <w:rFonts w:eastAsia="Calibri"/>
          <w:noProof/>
          <w:sz w:val="22"/>
          <w:szCs w:val="22"/>
          <w:lang w:eastAsia="en-US"/>
        </w:rPr>
        <w:t>(Taberlet</w:t>
      </w:r>
      <w:r w:rsidR="001C037C" w:rsidRPr="001C037C">
        <w:rPr>
          <w:rFonts w:eastAsia="Calibri"/>
          <w:i/>
          <w:noProof/>
          <w:sz w:val="22"/>
          <w:szCs w:val="22"/>
          <w:lang w:eastAsia="en-US"/>
        </w:rPr>
        <w:t xml:space="preserve"> et al.</w:t>
      </w:r>
      <w:r w:rsidR="001C037C">
        <w:rPr>
          <w:rFonts w:eastAsia="Calibri"/>
          <w:noProof/>
          <w:sz w:val="22"/>
          <w:szCs w:val="22"/>
          <w:lang w:eastAsia="en-US"/>
        </w:rPr>
        <w:t>, 2008; UNEP/UNCTAD, 2008)</w:t>
      </w:r>
      <w:r w:rsidRPr="00BB430C">
        <w:rPr>
          <w:rFonts w:eastAsia="Calibri"/>
          <w:sz w:val="22"/>
          <w:szCs w:val="22"/>
          <w:lang w:eastAsia="en-US"/>
        </w:rPr>
        <w:t>.</w:t>
      </w:r>
      <w:r w:rsidRPr="00BB430C">
        <w:rPr>
          <w:rFonts w:eastAsia="Calibri"/>
          <w:sz w:val="22"/>
          <w:szCs w:val="22"/>
          <w:lang w:val="en-US" w:eastAsia="en-US"/>
        </w:rPr>
        <w:t xml:space="preserve"> </w:t>
      </w:r>
      <w:r w:rsidR="00A211B4">
        <w:rPr>
          <w:rFonts w:eastAsia="Calibri"/>
          <w:sz w:val="22"/>
          <w:szCs w:val="22"/>
          <w:lang w:val="en-US" w:eastAsia="en-US"/>
        </w:rPr>
        <w:t xml:space="preserve">Some </w:t>
      </w:r>
      <w:r w:rsidRPr="00BB430C">
        <w:rPr>
          <w:rFonts w:eastAsia="Calibri"/>
          <w:sz w:val="22"/>
          <w:szCs w:val="22"/>
          <w:lang w:val="en-US" w:eastAsia="en-US"/>
        </w:rPr>
        <w:t>2.6 billion people worldwide are directly engaged in agriculture, and in developing countries 30</w:t>
      </w:r>
      <w:r w:rsidR="00A211B4">
        <w:rPr>
          <w:rFonts w:eastAsia="Calibri"/>
          <w:sz w:val="22"/>
          <w:szCs w:val="22"/>
          <w:lang w:val="en-US" w:eastAsia="en-US"/>
        </w:rPr>
        <w:t>–</w:t>
      </w:r>
      <w:r w:rsidRPr="00BB430C">
        <w:rPr>
          <w:rFonts w:eastAsia="Calibri"/>
          <w:sz w:val="22"/>
          <w:szCs w:val="22"/>
          <w:lang w:val="en-US" w:eastAsia="en-US"/>
        </w:rPr>
        <w:t>60</w:t>
      </w:r>
      <w:r w:rsidR="00A211B4">
        <w:rPr>
          <w:rFonts w:eastAsia="Calibri"/>
          <w:sz w:val="22"/>
          <w:szCs w:val="22"/>
          <w:lang w:val="en-US" w:eastAsia="en-US"/>
        </w:rPr>
        <w:t xml:space="preserve"> percent</w:t>
      </w:r>
      <w:r w:rsidR="00A211B4" w:rsidRPr="00BB430C">
        <w:rPr>
          <w:rFonts w:eastAsia="Calibri"/>
          <w:sz w:val="22"/>
          <w:szCs w:val="22"/>
          <w:lang w:val="en-US" w:eastAsia="en-US"/>
        </w:rPr>
        <w:t xml:space="preserve"> </w:t>
      </w:r>
      <w:r w:rsidRPr="00BB430C">
        <w:rPr>
          <w:rFonts w:eastAsia="Calibri"/>
          <w:sz w:val="22"/>
          <w:szCs w:val="22"/>
          <w:lang w:val="en-US" w:eastAsia="en-US"/>
        </w:rPr>
        <w:t xml:space="preserve">of all livelihoods come from agricultural and allied activities </w:t>
      </w:r>
      <w:r w:rsidR="001C037C">
        <w:rPr>
          <w:rFonts w:eastAsia="Calibri"/>
          <w:noProof/>
          <w:sz w:val="22"/>
          <w:szCs w:val="22"/>
          <w:lang w:val="en-US" w:eastAsia="en-US"/>
        </w:rPr>
        <w:t>(IAASTD, 2009)</w:t>
      </w:r>
      <w:r w:rsidRPr="00BB430C">
        <w:rPr>
          <w:rFonts w:eastAsia="Calibri"/>
          <w:sz w:val="22"/>
          <w:szCs w:val="22"/>
          <w:lang w:val="en-US" w:eastAsia="en-US"/>
        </w:rPr>
        <w:t xml:space="preserve">. </w:t>
      </w:r>
    </w:p>
    <w:p w14:paraId="1F18AB18" w14:textId="77777777" w:rsidR="001144DA" w:rsidRDefault="001054A8" w:rsidP="001144DA">
      <w:pPr>
        <w:spacing w:after="120"/>
        <w:rPr>
          <w:rFonts w:eastAsia="Calibri"/>
          <w:sz w:val="22"/>
          <w:szCs w:val="22"/>
          <w:lang w:val="en-US" w:eastAsia="en-US"/>
        </w:rPr>
      </w:pPr>
      <w:r w:rsidRPr="00842949">
        <w:rPr>
          <w:rFonts w:eastAsia="Calibri"/>
          <w:sz w:val="22"/>
          <w:szCs w:val="22"/>
          <w:lang w:val="en-US" w:eastAsia="en-US"/>
        </w:rPr>
        <w:t xml:space="preserve">DSI </w:t>
      </w:r>
      <w:r>
        <w:rPr>
          <w:rFonts w:eastAsia="Calibri"/>
          <w:sz w:val="22"/>
          <w:szCs w:val="22"/>
          <w:lang w:val="en-US" w:eastAsia="en-US"/>
        </w:rPr>
        <w:t>contributes to sustainable use on many levels, from direct application to GRFA to genetic resource management through</w:t>
      </w:r>
      <w:r w:rsidR="00AA5AE5">
        <w:rPr>
          <w:rFonts w:eastAsia="Calibri"/>
          <w:sz w:val="22"/>
          <w:szCs w:val="22"/>
          <w:lang w:val="en-US" w:eastAsia="en-US"/>
        </w:rPr>
        <w:t xml:space="preserve"> to</w:t>
      </w:r>
      <w:r>
        <w:rPr>
          <w:rFonts w:eastAsia="Calibri"/>
          <w:sz w:val="22"/>
          <w:szCs w:val="22"/>
          <w:lang w:val="en-US" w:eastAsia="en-US"/>
        </w:rPr>
        <w:t xml:space="preserve"> the</w:t>
      </w:r>
      <w:r w:rsidRPr="00842949">
        <w:rPr>
          <w:rFonts w:eastAsia="Calibri"/>
          <w:sz w:val="22"/>
          <w:szCs w:val="22"/>
          <w:lang w:val="en-US" w:eastAsia="en-US"/>
        </w:rPr>
        <w:t xml:space="preserve"> discover</w:t>
      </w:r>
      <w:r>
        <w:rPr>
          <w:rFonts w:eastAsia="Calibri"/>
          <w:sz w:val="22"/>
          <w:szCs w:val="22"/>
          <w:lang w:val="en-US" w:eastAsia="en-US"/>
        </w:rPr>
        <w:t>y</w:t>
      </w:r>
      <w:r w:rsidRPr="00842949">
        <w:rPr>
          <w:rFonts w:eastAsia="Calibri"/>
          <w:sz w:val="22"/>
          <w:szCs w:val="22"/>
          <w:lang w:val="en-US" w:eastAsia="en-US"/>
        </w:rPr>
        <w:t xml:space="preserve"> and design</w:t>
      </w:r>
      <w:r w:rsidR="00AA5AE5">
        <w:rPr>
          <w:rFonts w:eastAsia="Calibri"/>
          <w:sz w:val="22"/>
          <w:szCs w:val="22"/>
          <w:lang w:val="en-US" w:eastAsia="en-US"/>
        </w:rPr>
        <w:t xml:space="preserve"> of</w:t>
      </w:r>
      <w:r w:rsidRPr="00842949">
        <w:rPr>
          <w:rFonts w:eastAsia="Calibri"/>
          <w:sz w:val="22"/>
          <w:szCs w:val="22"/>
          <w:lang w:val="en-US" w:eastAsia="en-US"/>
        </w:rPr>
        <w:t xml:space="preserve"> new pesticides</w:t>
      </w:r>
      <w:r>
        <w:rPr>
          <w:rFonts w:eastAsia="Calibri"/>
          <w:sz w:val="22"/>
          <w:szCs w:val="22"/>
          <w:lang w:val="en-US" w:eastAsia="en-US"/>
        </w:rPr>
        <w:t xml:space="preserve">, biofertilizers and probiotics </w:t>
      </w:r>
      <w:r w:rsidR="001C037C">
        <w:rPr>
          <w:rFonts w:eastAsia="Calibri"/>
          <w:noProof/>
          <w:sz w:val="22"/>
          <w:szCs w:val="22"/>
          <w:lang w:val="en-US" w:eastAsia="en-US"/>
        </w:rPr>
        <w:t>(Lidder and Sonnino, 2011)</w:t>
      </w:r>
      <w:r w:rsidRPr="00842949">
        <w:rPr>
          <w:rFonts w:eastAsia="Calibri"/>
          <w:sz w:val="22"/>
          <w:szCs w:val="22"/>
          <w:lang w:val="en-US" w:eastAsia="en-US"/>
        </w:rPr>
        <w:t>.</w:t>
      </w:r>
      <w:r w:rsidR="000722FF">
        <w:rPr>
          <w:rFonts w:eastAsia="Calibri"/>
          <w:sz w:val="22"/>
          <w:szCs w:val="22"/>
          <w:lang w:val="en-US" w:eastAsia="en-US"/>
        </w:rPr>
        <w:t xml:space="preserve"> </w:t>
      </w:r>
      <w:r>
        <w:rPr>
          <w:rFonts w:eastAsia="Calibri"/>
          <w:sz w:val="22"/>
          <w:szCs w:val="22"/>
          <w:lang w:val="en-US" w:eastAsia="en-US"/>
        </w:rPr>
        <w:t>It also contributes to economic sustainability of use</w:t>
      </w:r>
      <w:r w:rsidR="001144DA" w:rsidRPr="00842949">
        <w:rPr>
          <w:rFonts w:eastAsia="Calibri"/>
          <w:sz w:val="22"/>
          <w:szCs w:val="22"/>
          <w:lang w:val="en-US" w:eastAsia="en-US"/>
        </w:rPr>
        <w:t>. Farmers need adequate returns from their products. Certification and traceability add value to agriculture by meeting consumer demands. DSI is used to meet certification and traceability standards, as well as to ensure compliance with food safety standards</w:t>
      </w:r>
      <w:r w:rsidR="00B21239">
        <w:rPr>
          <w:rFonts w:eastAsia="Calibri"/>
          <w:sz w:val="22"/>
          <w:szCs w:val="22"/>
          <w:lang w:val="en-US" w:eastAsia="en-US"/>
        </w:rPr>
        <w:t xml:space="preserve"> </w:t>
      </w:r>
      <w:r w:rsidR="002D47EA">
        <w:rPr>
          <w:rFonts w:eastAsia="Calibri"/>
          <w:noProof/>
          <w:sz w:val="22"/>
          <w:szCs w:val="22"/>
          <w:lang w:val="en-US" w:eastAsia="en-US"/>
        </w:rPr>
        <w:t>(FAO, 2016)</w:t>
      </w:r>
      <w:r w:rsidR="001144DA" w:rsidRPr="00842949">
        <w:rPr>
          <w:rFonts w:eastAsia="Calibri"/>
          <w:sz w:val="22"/>
          <w:szCs w:val="22"/>
          <w:lang w:val="en-US" w:eastAsia="en-US"/>
        </w:rPr>
        <w:t>.</w:t>
      </w:r>
    </w:p>
    <w:p w14:paraId="10687011" w14:textId="77777777" w:rsidR="0085281E" w:rsidRDefault="0085281E" w:rsidP="001144DA">
      <w:pPr>
        <w:spacing w:after="120"/>
        <w:rPr>
          <w:rFonts w:eastAsia="Calibri"/>
          <w:sz w:val="22"/>
          <w:szCs w:val="22"/>
          <w:lang w:val="en-US" w:eastAsia="en-US"/>
        </w:rPr>
      </w:pPr>
    </w:p>
    <w:p w14:paraId="11A0066F" w14:textId="77777777" w:rsidR="001054A8" w:rsidRDefault="001054A8" w:rsidP="00076763">
      <w:pPr>
        <w:pStyle w:val="TableEntry"/>
        <w:keepNext/>
        <w:numPr>
          <w:ilvl w:val="2"/>
          <w:numId w:val="18"/>
        </w:numPr>
        <w:spacing w:before="120" w:after="120"/>
        <w:rPr>
          <w:i/>
        </w:rPr>
      </w:pPr>
      <w:r>
        <w:rPr>
          <w:i/>
        </w:rPr>
        <w:t>Animal and plant genetic resources</w:t>
      </w:r>
    </w:p>
    <w:p w14:paraId="43238406" w14:textId="77777777" w:rsidR="001E39A5" w:rsidRDefault="00E41597" w:rsidP="001144DA">
      <w:pPr>
        <w:spacing w:after="120"/>
        <w:rPr>
          <w:rFonts w:eastAsia="Calibri"/>
          <w:sz w:val="22"/>
          <w:szCs w:val="22"/>
          <w:lang w:val="en-US" w:eastAsia="en-US"/>
        </w:rPr>
      </w:pPr>
      <w:r>
        <w:rPr>
          <w:rFonts w:eastAsia="Calibri"/>
          <w:sz w:val="22"/>
          <w:szCs w:val="22"/>
          <w:lang w:val="en-US" w:eastAsia="en-US"/>
        </w:rPr>
        <w:t>DSI</w:t>
      </w:r>
      <w:r w:rsidR="001054A8">
        <w:rPr>
          <w:rFonts w:eastAsia="Calibri"/>
          <w:sz w:val="22"/>
          <w:szCs w:val="22"/>
          <w:lang w:val="en-US" w:eastAsia="en-US"/>
        </w:rPr>
        <w:t xml:space="preserve"> is used in sperm and embryo sexing,</w:t>
      </w:r>
      <w:r>
        <w:rPr>
          <w:rFonts w:eastAsia="Calibri"/>
          <w:sz w:val="22"/>
          <w:szCs w:val="22"/>
          <w:lang w:val="en-US" w:eastAsia="en-US"/>
        </w:rPr>
        <w:t xml:space="preserve"> artificial insemination,</w:t>
      </w:r>
      <w:r w:rsidR="00511DAD">
        <w:rPr>
          <w:rFonts w:eastAsia="Calibri"/>
          <w:sz w:val="22"/>
          <w:szCs w:val="22"/>
          <w:lang w:val="en-US" w:eastAsia="en-US"/>
        </w:rPr>
        <w:t xml:space="preserve"> chromosome set manipulation,</w:t>
      </w:r>
      <w:r>
        <w:rPr>
          <w:rFonts w:eastAsia="Calibri"/>
          <w:sz w:val="22"/>
          <w:szCs w:val="22"/>
          <w:lang w:val="en-US" w:eastAsia="en-US"/>
        </w:rPr>
        <w:t xml:space="preserve"> </w:t>
      </w:r>
      <w:r w:rsidRPr="001E39A5">
        <w:rPr>
          <w:rFonts w:eastAsia="Calibri"/>
          <w:i/>
          <w:sz w:val="22"/>
          <w:szCs w:val="22"/>
          <w:lang w:val="en-US" w:eastAsia="en-US"/>
        </w:rPr>
        <w:t>in vitro</w:t>
      </w:r>
      <w:r>
        <w:rPr>
          <w:rFonts w:eastAsia="Calibri"/>
          <w:sz w:val="22"/>
          <w:szCs w:val="22"/>
          <w:lang w:val="en-US" w:eastAsia="en-US"/>
        </w:rPr>
        <w:t xml:space="preserve"> fertilization, embryo transfer, cloning,</w:t>
      </w:r>
      <w:r w:rsidR="001054A8">
        <w:rPr>
          <w:rFonts w:eastAsia="Calibri"/>
          <w:sz w:val="22"/>
          <w:szCs w:val="22"/>
          <w:lang w:val="en-US" w:eastAsia="en-US"/>
        </w:rPr>
        <w:t xml:space="preserve"> disease diagnostics and control (e.g. vaccine development), MAS,</w:t>
      </w:r>
      <w:r>
        <w:rPr>
          <w:rFonts w:eastAsia="Calibri"/>
          <w:sz w:val="22"/>
          <w:szCs w:val="22"/>
          <w:lang w:val="en-US" w:eastAsia="en-US"/>
        </w:rPr>
        <w:t xml:space="preserve"> </w:t>
      </w:r>
      <w:r w:rsidR="001054A8">
        <w:rPr>
          <w:rFonts w:eastAsia="Calibri"/>
          <w:sz w:val="22"/>
          <w:szCs w:val="22"/>
          <w:lang w:val="en-US" w:eastAsia="en-US"/>
        </w:rPr>
        <w:t>and genetic engineering, among other</w:t>
      </w:r>
      <w:r w:rsidR="001E39A5">
        <w:rPr>
          <w:rFonts w:eastAsia="Calibri"/>
          <w:sz w:val="22"/>
          <w:szCs w:val="22"/>
          <w:lang w:val="en-US" w:eastAsia="en-US"/>
        </w:rPr>
        <w:t xml:space="preserve"> things in animals</w:t>
      </w:r>
      <w:r w:rsidR="001054A8">
        <w:rPr>
          <w:rFonts w:eastAsia="Calibri"/>
          <w:sz w:val="22"/>
          <w:szCs w:val="22"/>
          <w:lang w:val="en-US" w:eastAsia="en-US"/>
        </w:rPr>
        <w:t xml:space="preserve"> </w:t>
      </w:r>
      <w:r w:rsidR="001C037C">
        <w:rPr>
          <w:rFonts w:eastAsia="Calibri"/>
          <w:noProof/>
          <w:sz w:val="22"/>
          <w:szCs w:val="22"/>
          <w:lang w:val="en-US" w:eastAsia="en-US"/>
        </w:rPr>
        <w:t xml:space="preserve">(Lidder and </w:t>
      </w:r>
      <w:r w:rsidR="001C037C">
        <w:rPr>
          <w:rFonts w:eastAsia="Calibri"/>
          <w:noProof/>
          <w:sz w:val="22"/>
          <w:szCs w:val="22"/>
          <w:lang w:val="en-US" w:eastAsia="en-US"/>
        </w:rPr>
        <w:lastRenderedPageBreak/>
        <w:t>Sonnino, 2011)</w:t>
      </w:r>
      <w:r w:rsidR="001054A8">
        <w:rPr>
          <w:rFonts w:eastAsia="Calibri"/>
          <w:sz w:val="22"/>
          <w:szCs w:val="22"/>
          <w:lang w:val="en-US" w:eastAsia="en-US"/>
        </w:rPr>
        <w:t>.</w:t>
      </w:r>
      <w:r w:rsidR="001E39A5">
        <w:rPr>
          <w:rFonts w:eastAsia="Calibri"/>
          <w:sz w:val="22"/>
          <w:szCs w:val="22"/>
          <w:lang w:val="en-US" w:eastAsia="en-US"/>
        </w:rPr>
        <w:t xml:space="preserve"> In plants, DSI is used in many of the same technologies but also wide crossing, tissue culture and micropropagation </w:t>
      </w:r>
      <w:r w:rsidR="001C037C">
        <w:rPr>
          <w:rFonts w:eastAsia="Calibri"/>
          <w:noProof/>
          <w:sz w:val="22"/>
          <w:szCs w:val="22"/>
          <w:lang w:val="en-US" w:eastAsia="en-US"/>
        </w:rPr>
        <w:t>(Lidder and Sonnino, 2011)</w:t>
      </w:r>
      <w:r w:rsidR="001E39A5">
        <w:rPr>
          <w:rFonts w:eastAsia="Calibri"/>
          <w:sz w:val="22"/>
          <w:szCs w:val="22"/>
          <w:lang w:val="en-US" w:eastAsia="en-US"/>
        </w:rPr>
        <w:t>.</w:t>
      </w:r>
    </w:p>
    <w:p w14:paraId="448CC0C2" w14:textId="77777777" w:rsidR="001054A8" w:rsidRPr="00842949" w:rsidRDefault="001054A8" w:rsidP="001144DA">
      <w:pPr>
        <w:spacing w:after="120"/>
        <w:rPr>
          <w:rFonts w:eastAsia="Calibri"/>
          <w:sz w:val="22"/>
          <w:szCs w:val="22"/>
          <w:lang w:val="en-US" w:eastAsia="en-US"/>
        </w:rPr>
      </w:pPr>
      <w:r>
        <w:rPr>
          <w:rFonts w:eastAsia="Calibri"/>
          <w:sz w:val="22"/>
          <w:szCs w:val="22"/>
          <w:lang w:val="en-US" w:eastAsia="en-US"/>
        </w:rPr>
        <w:t xml:space="preserve">DSI is developed to track the movement of genes between domesticated and wild populations of </w:t>
      </w:r>
      <w:r w:rsidR="00E41597">
        <w:rPr>
          <w:rFonts w:eastAsia="Calibri"/>
          <w:sz w:val="22"/>
          <w:szCs w:val="22"/>
          <w:lang w:val="en-US" w:eastAsia="en-US"/>
        </w:rPr>
        <w:t>AGR and PGR</w:t>
      </w:r>
      <w:r>
        <w:rPr>
          <w:rFonts w:eastAsia="Calibri"/>
          <w:sz w:val="22"/>
          <w:szCs w:val="22"/>
          <w:lang w:val="en-US" w:eastAsia="en-US"/>
        </w:rPr>
        <w:t xml:space="preserve">. For example, movement from domesticated to wild species might endanger small wild populations if it caused outbreeding depression </w:t>
      </w:r>
      <w:r w:rsidR="001C037C">
        <w:rPr>
          <w:rFonts w:eastAsia="Calibri"/>
          <w:noProof/>
          <w:sz w:val="22"/>
          <w:szCs w:val="22"/>
          <w:lang w:val="en-US" w:eastAsia="en-US"/>
        </w:rPr>
        <w:t>(Lidder and Sonnino, 2011)</w:t>
      </w:r>
      <w:r>
        <w:rPr>
          <w:rFonts w:eastAsia="Calibri"/>
          <w:sz w:val="22"/>
          <w:szCs w:val="22"/>
          <w:lang w:val="en-US" w:eastAsia="en-US"/>
        </w:rPr>
        <w:t>.</w:t>
      </w:r>
    </w:p>
    <w:p w14:paraId="66CB9F80" w14:textId="77777777" w:rsidR="006A0F0C" w:rsidRDefault="006A0F0C" w:rsidP="006A0F0C">
      <w:pPr>
        <w:spacing w:after="120"/>
        <w:rPr>
          <w:rFonts w:eastAsia="Calibri"/>
          <w:sz w:val="22"/>
          <w:szCs w:val="22"/>
          <w:lang w:eastAsia="en-US"/>
        </w:rPr>
      </w:pPr>
      <w:bookmarkStart w:id="14" w:name="_Toc375559463"/>
      <w:bookmarkStart w:id="15" w:name="_Toc375588462"/>
      <w:r>
        <w:rPr>
          <w:rFonts w:eastAsia="Calibri"/>
          <w:sz w:val="22"/>
          <w:szCs w:val="22"/>
          <w:lang w:eastAsia="en-US"/>
        </w:rPr>
        <w:t xml:space="preserve">Food security and use of GRFA is dependent upon the health and vigor of GRFA. </w:t>
      </w:r>
      <w:r w:rsidRPr="00BB430C">
        <w:rPr>
          <w:rFonts w:eastAsia="Calibri"/>
          <w:sz w:val="22"/>
          <w:szCs w:val="22"/>
          <w:lang w:eastAsia="en-US"/>
        </w:rPr>
        <w:t xml:space="preserve">Infectious diseases that are important in horticulture and animal husbandry can have multiple effects on GRFA. They can threaten entire industries; such was the worry when </w:t>
      </w:r>
      <w:r w:rsidRPr="00BB430C">
        <w:rPr>
          <w:rFonts w:eastAsia="Calibri"/>
          <w:i/>
          <w:sz w:val="22"/>
          <w:szCs w:val="22"/>
          <w:lang w:val="en-US" w:eastAsia="en-US"/>
        </w:rPr>
        <w:t>Pseudomonas syringae</w:t>
      </w:r>
      <w:r w:rsidRPr="00BB430C">
        <w:rPr>
          <w:rFonts w:eastAsia="Calibri"/>
          <w:sz w:val="22"/>
          <w:szCs w:val="22"/>
          <w:lang w:val="en-US" w:eastAsia="en-US"/>
        </w:rPr>
        <w:t xml:space="preserve"> pv. actinidiae</w:t>
      </w:r>
      <w:r w:rsidRPr="00BB430C">
        <w:rPr>
          <w:rFonts w:eastAsia="Calibri"/>
          <w:sz w:val="22"/>
          <w:szCs w:val="22"/>
          <w:lang w:eastAsia="en-US"/>
        </w:rPr>
        <w:t xml:space="preserve"> was found on New Zealand’s kiwifruit vines in 2010 </w:t>
      </w:r>
      <w:r w:rsidR="001C037C">
        <w:rPr>
          <w:rFonts w:eastAsia="Calibri"/>
          <w:noProof/>
          <w:sz w:val="22"/>
          <w:szCs w:val="22"/>
          <w:lang w:eastAsia="en-US"/>
        </w:rPr>
        <w:t>(McCann</w:t>
      </w:r>
      <w:r w:rsidR="001C037C" w:rsidRPr="001C037C">
        <w:rPr>
          <w:rFonts w:eastAsia="Calibri"/>
          <w:i/>
          <w:noProof/>
          <w:sz w:val="22"/>
          <w:szCs w:val="22"/>
          <w:lang w:eastAsia="en-US"/>
        </w:rPr>
        <w:t xml:space="preserve"> et al.</w:t>
      </w:r>
      <w:r w:rsidR="001C037C">
        <w:rPr>
          <w:rFonts w:eastAsia="Calibri"/>
          <w:noProof/>
          <w:sz w:val="22"/>
          <w:szCs w:val="22"/>
          <w:lang w:eastAsia="en-US"/>
        </w:rPr>
        <w:t>, 2013)</w:t>
      </w:r>
      <w:r w:rsidRPr="00BB430C">
        <w:rPr>
          <w:rFonts w:eastAsia="Calibri"/>
          <w:sz w:val="22"/>
          <w:szCs w:val="22"/>
          <w:lang w:eastAsia="en-US"/>
        </w:rPr>
        <w:t>. They can threaten trade such as the foot and mouth outbreak in the U</w:t>
      </w:r>
      <w:r>
        <w:rPr>
          <w:rFonts w:eastAsia="Calibri"/>
          <w:sz w:val="22"/>
          <w:szCs w:val="22"/>
          <w:lang w:eastAsia="en-US"/>
        </w:rPr>
        <w:t xml:space="preserve">nited </w:t>
      </w:r>
      <w:r w:rsidRPr="00BB430C">
        <w:rPr>
          <w:rFonts w:eastAsia="Calibri"/>
          <w:sz w:val="22"/>
          <w:szCs w:val="22"/>
          <w:lang w:eastAsia="en-US"/>
        </w:rPr>
        <w:t>K</w:t>
      </w:r>
      <w:r>
        <w:rPr>
          <w:rFonts w:eastAsia="Calibri"/>
          <w:sz w:val="22"/>
          <w:szCs w:val="22"/>
          <w:lang w:eastAsia="en-US"/>
        </w:rPr>
        <w:t>ingdom</w:t>
      </w:r>
      <w:r w:rsidRPr="00BB430C">
        <w:rPr>
          <w:rFonts w:eastAsia="Calibri"/>
          <w:sz w:val="22"/>
          <w:szCs w:val="22"/>
          <w:lang w:eastAsia="en-US"/>
        </w:rPr>
        <w:t xml:space="preserve"> in 2001 </w:t>
      </w:r>
      <w:r w:rsidR="001C037C">
        <w:rPr>
          <w:rFonts w:eastAsia="Calibri"/>
          <w:noProof/>
          <w:sz w:val="22"/>
          <w:szCs w:val="22"/>
          <w:lang w:eastAsia="en-US"/>
        </w:rPr>
        <w:t>(Knight-Jones and Rushton, 2013)</w:t>
      </w:r>
      <w:r w:rsidRPr="00BB430C">
        <w:rPr>
          <w:rFonts w:eastAsia="Calibri"/>
          <w:sz w:val="22"/>
          <w:szCs w:val="22"/>
          <w:lang w:eastAsia="en-US"/>
        </w:rPr>
        <w:t>.</w:t>
      </w:r>
    </w:p>
    <w:p w14:paraId="2CB2E737" w14:textId="77777777" w:rsidR="006A0F0C" w:rsidRPr="005F2F74" w:rsidRDefault="006A0F0C" w:rsidP="006A0F0C">
      <w:pPr>
        <w:spacing w:after="120"/>
        <w:rPr>
          <w:rFonts w:eastAsia="Calibri"/>
          <w:sz w:val="22"/>
          <w:szCs w:val="22"/>
          <w:lang w:val="mi-NZ" w:eastAsia="en-US"/>
        </w:rPr>
      </w:pPr>
      <w:r w:rsidRPr="00BB430C">
        <w:rPr>
          <w:rFonts w:eastAsia="Calibri"/>
          <w:sz w:val="22"/>
          <w:szCs w:val="22"/>
          <w:lang w:eastAsia="en-US"/>
        </w:rPr>
        <w:t xml:space="preserve">Finally, they can be the source of pathogens that transfer to people, such as influenza from birds and swine </w:t>
      </w:r>
      <w:r w:rsidR="001C037C">
        <w:rPr>
          <w:rFonts w:eastAsia="Calibri"/>
          <w:noProof/>
          <w:sz w:val="22"/>
          <w:szCs w:val="22"/>
          <w:lang w:eastAsia="en-US"/>
        </w:rPr>
        <w:t>(WHO, 2016)</w:t>
      </w:r>
      <w:r w:rsidRPr="00BB430C">
        <w:rPr>
          <w:rFonts w:eastAsia="Calibri"/>
          <w:sz w:val="22"/>
          <w:szCs w:val="22"/>
          <w:lang w:eastAsia="en-US"/>
        </w:rPr>
        <w:t>.</w:t>
      </w:r>
      <w:r>
        <w:rPr>
          <w:rFonts w:eastAsia="Calibri"/>
          <w:sz w:val="22"/>
          <w:szCs w:val="22"/>
          <w:lang w:eastAsia="en-US"/>
        </w:rPr>
        <w:t xml:space="preserve"> This is not only an important consideration for human health, but carries the risk of reputational damage as illustrated by the concerns surrounding bovine </w:t>
      </w:r>
      <w:r w:rsidRPr="005F2F74">
        <w:rPr>
          <w:rFonts w:eastAsia="Calibri"/>
          <w:sz w:val="22"/>
          <w:szCs w:val="22"/>
          <w:lang w:val="mi-NZ" w:eastAsia="en-US"/>
        </w:rPr>
        <w:t>spo</w:t>
      </w:r>
      <w:r>
        <w:rPr>
          <w:rFonts w:eastAsia="Calibri"/>
          <w:sz w:val="22"/>
          <w:szCs w:val="22"/>
          <w:lang w:val="mi-NZ" w:eastAsia="en-US"/>
        </w:rPr>
        <w:t xml:space="preserve">ngiform </w:t>
      </w:r>
      <w:r w:rsidRPr="005F2F74">
        <w:rPr>
          <w:rFonts w:eastAsia="Calibri"/>
          <w:bCs/>
          <w:sz w:val="22"/>
          <w:szCs w:val="22"/>
          <w:lang w:val="mi-NZ" w:eastAsia="en-US"/>
        </w:rPr>
        <w:t>encephalopathy</w:t>
      </w:r>
      <w:r>
        <w:rPr>
          <w:rFonts w:eastAsia="Calibri"/>
          <w:sz w:val="22"/>
          <w:szCs w:val="22"/>
          <w:lang w:val="mi-NZ" w:eastAsia="en-US"/>
        </w:rPr>
        <w:t xml:space="preserve"> </w:t>
      </w:r>
      <w:r>
        <w:rPr>
          <w:rFonts w:eastAsia="Calibri"/>
          <w:sz w:val="22"/>
          <w:szCs w:val="22"/>
          <w:lang w:eastAsia="en-US"/>
        </w:rPr>
        <w:t xml:space="preserve">in cattle from the </w:t>
      </w:r>
      <w:r w:rsidRPr="00BB430C">
        <w:rPr>
          <w:rFonts w:eastAsia="Calibri"/>
          <w:sz w:val="22"/>
          <w:szCs w:val="22"/>
          <w:lang w:eastAsia="en-US"/>
        </w:rPr>
        <w:t>U</w:t>
      </w:r>
      <w:r>
        <w:rPr>
          <w:rFonts w:eastAsia="Calibri"/>
          <w:sz w:val="22"/>
          <w:szCs w:val="22"/>
          <w:lang w:eastAsia="en-US"/>
        </w:rPr>
        <w:t xml:space="preserve">nited </w:t>
      </w:r>
      <w:r w:rsidRPr="00BB430C">
        <w:rPr>
          <w:rFonts w:eastAsia="Calibri"/>
          <w:sz w:val="22"/>
          <w:szCs w:val="22"/>
          <w:lang w:eastAsia="en-US"/>
        </w:rPr>
        <w:t>K</w:t>
      </w:r>
      <w:r>
        <w:rPr>
          <w:rFonts w:eastAsia="Calibri"/>
          <w:sz w:val="22"/>
          <w:szCs w:val="22"/>
          <w:lang w:eastAsia="en-US"/>
        </w:rPr>
        <w:t xml:space="preserve">ingdom in the 1990s </w:t>
      </w:r>
      <w:r w:rsidR="001C037C">
        <w:rPr>
          <w:rFonts w:eastAsia="Calibri"/>
          <w:noProof/>
          <w:sz w:val="22"/>
          <w:szCs w:val="22"/>
          <w:lang w:eastAsia="en-US"/>
        </w:rPr>
        <w:t>(Hope, 1995)</w:t>
      </w:r>
      <w:r>
        <w:rPr>
          <w:rFonts w:eastAsia="Calibri"/>
          <w:sz w:val="22"/>
          <w:szCs w:val="22"/>
          <w:lang w:eastAsia="en-US"/>
        </w:rPr>
        <w:t xml:space="preserve">. </w:t>
      </w:r>
    </w:p>
    <w:p w14:paraId="665CEA2B" w14:textId="77777777" w:rsidR="006A0F0C" w:rsidRPr="00BB430C" w:rsidRDefault="006A0F0C" w:rsidP="006A0F0C">
      <w:pPr>
        <w:spacing w:after="120"/>
        <w:rPr>
          <w:rFonts w:eastAsia="Calibri"/>
          <w:sz w:val="22"/>
          <w:szCs w:val="22"/>
          <w:lang w:eastAsia="en-US"/>
        </w:rPr>
      </w:pPr>
      <w:r w:rsidRPr="00BB430C">
        <w:rPr>
          <w:rFonts w:eastAsia="Calibri"/>
          <w:sz w:val="22"/>
          <w:szCs w:val="22"/>
          <w:lang w:eastAsia="en-US"/>
        </w:rPr>
        <w:t xml:space="preserve">Importantly, pathogens are an important resource for the design and manufacture of medicines such as vaccines. For example, instead of sending </w:t>
      </w:r>
      <w:r w:rsidRPr="00BB430C">
        <w:rPr>
          <w:rFonts w:eastAsia="Calibri"/>
          <w:sz w:val="22"/>
          <w:szCs w:val="22"/>
          <w:lang w:val="en-US" w:eastAsia="en-US"/>
        </w:rPr>
        <w:t>seed influenza viruses to different countries for large-scale vaccine manufacture, they can now be synthesized on location using transmitted DSI and amplified for vaccine manufacture</w:t>
      </w:r>
      <w:r w:rsidRPr="00BB430C">
        <w:rPr>
          <w:rFonts w:eastAsia="Calibri"/>
          <w:sz w:val="22"/>
          <w:szCs w:val="22"/>
          <w:lang w:eastAsia="en-US"/>
        </w:rPr>
        <w:t xml:space="preserve"> </w:t>
      </w:r>
      <w:r w:rsidR="001C037C">
        <w:rPr>
          <w:rFonts w:eastAsia="Calibri"/>
          <w:noProof/>
          <w:sz w:val="22"/>
          <w:szCs w:val="22"/>
          <w:lang w:eastAsia="en-US"/>
        </w:rPr>
        <w:t>(Donner, 2013)</w:t>
      </w:r>
      <w:r w:rsidRPr="00BB430C">
        <w:rPr>
          <w:rFonts w:eastAsia="Calibri"/>
          <w:sz w:val="22"/>
          <w:szCs w:val="22"/>
          <w:lang w:eastAsia="en-US"/>
        </w:rPr>
        <w:t xml:space="preserve">. Vaccines could be made available weeks or months </w:t>
      </w:r>
      <w:r>
        <w:rPr>
          <w:rFonts w:eastAsia="Calibri"/>
          <w:sz w:val="22"/>
          <w:szCs w:val="22"/>
          <w:lang w:eastAsia="en-US"/>
        </w:rPr>
        <w:t>earlier</w:t>
      </w:r>
      <w:r w:rsidRPr="00BB430C">
        <w:rPr>
          <w:rFonts w:eastAsia="Calibri"/>
          <w:sz w:val="22"/>
          <w:szCs w:val="22"/>
          <w:lang w:eastAsia="en-US"/>
        </w:rPr>
        <w:t>.</w:t>
      </w:r>
    </w:p>
    <w:p w14:paraId="15904E83" w14:textId="77777777" w:rsidR="006A0F0C" w:rsidRPr="00BB430C" w:rsidRDefault="006A0F0C" w:rsidP="006A0F0C">
      <w:pPr>
        <w:spacing w:after="120"/>
        <w:rPr>
          <w:rFonts w:eastAsia="Calibri"/>
          <w:sz w:val="22"/>
          <w:szCs w:val="22"/>
          <w:lang w:eastAsia="en-US"/>
        </w:rPr>
      </w:pPr>
      <w:r>
        <w:rPr>
          <w:rFonts w:eastAsia="Calibri"/>
          <w:sz w:val="22"/>
          <w:szCs w:val="22"/>
          <w:lang w:eastAsia="en-US"/>
        </w:rPr>
        <w:t xml:space="preserve">Other important veterinary and medical responses also can be expedited using DSI. </w:t>
      </w:r>
      <w:r w:rsidRPr="00BB430C">
        <w:rPr>
          <w:rFonts w:eastAsia="Calibri"/>
          <w:sz w:val="22"/>
          <w:szCs w:val="22"/>
          <w:lang w:eastAsia="en-US"/>
        </w:rPr>
        <w:t>Epidemiology</w:t>
      </w:r>
      <w:r>
        <w:rPr>
          <w:rFonts w:eastAsia="Calibri"/>
          <w:sz w:val="22"/>
          <w:szCs w:val="22"/>
          <w:lang w:eastAsia="en-US"/>
        </w:rPr>
        <w:t xml:space="preserve"> of antibiotic resistant bacteria</w:t>
      </w:r>
      <w:r w:rsidRPr="00BB430C">
        <w:rPr>
          <w:rFonts w:eastAsia="Calibri"/>
          <w:sz w:val="22"/>
          <w:szCs w:val="22"/>
          <w:lang w:eastAsia="en-US"/>
        </w:rPr>
        <w:t xml:space="preserve"> through genotyping of strains can provide good predictions of which drugs the pathogen will still respond to and, even if they have some resistance, how much drug should be used </w:t>
      </w:r>
      <w:r w:rsidR="001C037C">
        <w:rPr>
          <w:rFonts w:eastAsia="Calibri"/>
          <w:noProof/>
          <w:sz w:val="22"/>
          <w:szCs w:val="22"/>
          <w:lang w:eastAsia="en-US"/>
        </w:rPr>
        <w:t>(Carrico</w:t>
      </w:r>
      <w:r w:rsidR="001C037C" w:rsidRPr="001C037C">
        <w:rPr>
          <w:rFonts w:eastAsia="Calibri"/>
          <w:i/>
          <w:noProof/>
          <w:sz w:val="22"/>
          <w:szCs w:val="22"/>
          <w:lang w:eastAsia="en-US"/>
        </w:rPr>
        <w:t xml:space="preserve"> et al.</w:t>
      </w:r>
      <w:r w:rsidR="001C037C">
        <w:rPr>
          <w:rFonts w:eastAsia="Calibri"/>
          <w:noProof/>
          <w:sz w:val="22"/>
          <w:szCs w:val="22"/>
          <w:lang w:eastAsia="en-US"/>
        </w:rPr>
        <w:t>, 2013; Burnham</w:t>
      </w:r>
      <w:r w:rsidR="001C037C" w:rsidRPr="001C037C">
        <w:rPr>
          <w:rFonts w:eastAsia="Calibri"/>
          <w:i/>
          <w:noProof/>
          <w:sz w:val="22"/>
          <w:szCs w:val="22"/>
          <w:lang w:eastAsia="en-US"/>
        </w:rPr>
        <w:t xml:space="preserve"> et al.</w:t>
      </w:r>
      <w:r w:rsidR="001C037C">
        <w:rPr>
          <w:rFonts w:eastAsia="Calibri"/>
          <w:noProof/>
          <w:sz w:val="22"/>
          <w:szCs w:val="22"/>
          <w:lang w:eastAsia="en-US"/>
        </w:rPr>
        <w:t>, 2017)</w:t>
      </w:r>
      <w:r w:rsidRPr="00BB430C">
        <w:rPr>
          <w:rFonts w:eastAsia="Calibri"/>
          <w:sz w:val="22"/>
          <w:szCs w:val="22"/>
          <w:lang w:eastAsia="en-US"/>
        </w:rPr>
        <w:t xml:space="preserve">. The database Resfinder is dedicated to identifying genes or gene variants that occur in resistant bacteria </w:t>
      </w:r>
      <w:r w:rsidR="001C037C">
        <w:rPr>
          <w:rFonts w:eastAsia="Calibri"/>
          <w:noProof/>
          <w:sz w:val="22"/>
          <w:szCs w:val="22"/>
          <w:lang w:eastAsia="en-US"/>
        </w:rPr>
        <w:t>(ResFinder)</w:t>
      </w:r>
      <w:r w:rsidRPr="00BB430C">
        <w:rPr>
          <w:rFonts w:eastAsia="Calibri"/>
          <w:sz w:val="22"/>
          <w:szCs w:val="22"/>
          <w:lang w:eastAsia="en-US"/>
        </w:rPr>
        <w:t xml:space="preserve">. Bacteria can travel quickly through both wild and domesticated animals or infected plant material, and they do not respect political borders. The collection and sharing of DNA sequences from such pathogens for the primary purpose of informing diagnosis and therapy, thus containing outbreaks as early as possible using the minimum amount of antibiotic, is an example of DSI providing </w:t>
      </w:r>
      <w:r w:rsidR="00950EFB">
        <w:rPr>
          <w:rFonts w:eastAsia="Calibri"/>
          <w:sz w:val="22"/>
          <w:szCs w:val="22"/>
          <w:lang w:eastAsia="en-US"/>
        </w:rPr>
        <w:t>communal</w:t>
      </w:r>
      <w:r w:rsidRPr="00BB430C">
        <w:rPr>
          <w:rFonts w:eastAsia="Calibri"/>
          <w:sz w:val="22"/>
          <w:szCs w:val="22"/>
          <w:lang w:eastAsia="en-US"/>
        </w:rPr>
        <w:t xml:space="preserve"> benefits.</w:t>
      </w:r>
    </w:p>
    <w:bookmarkEnd w:id="14"/>
    <w:bookmarkEnd w:id="15"/>
    <w:p w14:paraId="5C20B7BA" w14:textId="77777777" w:rsidR="00596DE3" w:rsidRDefault="00BD5FB5" w:rsidP="00596DE3">
      <w:pPr>
        <w:spacing w:after="120"/>
        <w:rPr>
          <w:rFonts w:eastAsia="Calibri"/>
          <w:sz w:val="22"/>
          <w:szCs w:val="22"/>
          <w:lang w:val="en-US" w:eastAsia="en-US"/>
        </w:rPr>
      </w:pPr>
      <w:r w:rsidRPr="00BD5FB5">
        <w:rPr>
          <w:rFonts w:eastAsia="Calibri"/>
          <w:sz w:val="22"/>
          <w:szCs w:val="22"/>
          <w:lang w:val="en-US" w:eastAsia="en-US"/>
        </w:rPr>
        <w:t>Improvements</w:t>
      </w:r>
      <w:r w:rsidR="00E170DC">
        <w:rPr>
          <w:rFonts w:eastAsia="Calibri"/>
          <w:sz w:val="22"/>
          <w:szCs w:val="22"/>
          <w:lang w:val="en-US" w:eastAsia="en-US"/>
        </w:rPr>
        <w:t xml:space="preserve"> to GRFA</w:t>
      </w:r>
      <w:r w:rsidRPr="00BD5FB5">
        <w:rPr>
          <w:rFonts w:eastAsia="Calibri"/>
          <w:sz w:val="22"/>
          <w:szCs w:val="22"/>
          <w:lang w:val="en-US" w:eastAsia="en-US"/>
        </w:rPr>
        <w:t xml:space="preserve"> through breeding contribute to food security and nutrition.</w:t>
      </w:r>
      <w:r>
        <w:rPr>
          <w:rFonts w:eastAsia="Calibri"/>
          <w:b/>
          <w:sz w:val="22"/>
          <w:szCs w:val="22"/>
          <w:u w:val="single"/>
          <w:lang w:val="en-US" w:eastAsia="en-US"/>
        </w:rPr>
        <w:t xml:space="preserve"> </w:t>
      </w:r>
      <w:r w:rsidR="00596DE3" w:rsidRPr="00BB430C">
        <w:rPr>
          <w:rFonts w:eastAsia="Calibri"/>
          <w:sz w:val="22"/>
          <w:szCs w:val="22"/>
          <w:lang w:val="en-US" w:eastAsia="en-US"/>
        </w:rPr>
        <w:t>The use of defined markers can help to accelerate breeding programs by enabling the identification of desired traits even before they are evident by observation (</w:t>
      </w:r>
      <w:r w:rsidR="006239F0">
        <w:rPr>
          <w:rFonts w:eastAsia="Calibri"/>
          <w:sz w:val="22"/>
          <w:szCs w:val="22"/>
          <w:lang w:val="en-US" w:eastAsia="en-US"/>
        </w:rPr>
        <w:t xml:space="preserve">Figure </w:t>
      </w:r>
      <w:r w:rsidR="00117E56">
        <w:rPr>
          <w:rFonts w:eastAsia="Calibri"/>
          <w:sz w:val="22"/>
          <w:szCs w:val="22"/>
          <w:lang w:val="en-US" w:eastAsia="en-US"/>
        </w:rPr>
        <w:t>I.4</w:t>
      </w:r>
      <w:r w:rsidR="00596DE3" w:rsidRPr="00BB430C">
        <w:rPr>
          <w:rFonts w:eastAsia="Calibri"/>
          <w:sz w:val="22"/>
          <w:szCs w:val="22"/>
          <w:lang w:val="en-US" w:eastAsia="en-US"/>
        </w:rPr>
        <w:t>). For example, sequences from the chromosomes linked to improved performance of cereal crops under drought conditions (e.g. seedling establishment, root vigor, or transp</w:t>
      </w:r>
      <w:r w:rsidR="00F81960">
        <w:rPr>
          <w:rFonts w:eastAsia="Calibri"/>
          <w:sz w:val="22"/>
          <w:szCs w:val="22"/>
          <w:lang w:val="en-US" w:eastAsia="en-US"/>
        </w:rPr>
        <w:t>i</w:t>
      </w:r>
      <w:r w:rsidR="00596DE3" w:rsidRPr="00BB430C">
        <w:rPr>
          <w:rFonts w:eastAsia="Calibri"/>
          <w:sz w:val="22"/>
          <w:szCs w:val="22"/>
          <w:lang w:val="en-US" w:eastAsia="en-US"/>
        </w:rPr>
        <w:t xml:space="preserve">ration efficiency) have been identified </w:t>
      </w:r>
      <w:r w:rsidR="001C037C">
        <w:rPr>
          <w:rFonts w:eastAsia="Calibri"/>
          <w:noProof/>
          <w:sz w:val="22"/>
          <w:szCs w:val="22"/>
          <w:lang w:val="en-US" w:eastAsia="en-US"/>
        </w:rPr>
        <w:t>(Richards</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2010)</w:t>
      </w:r>
      <w:r w:rsidR="00596DE3" w:rsidRPr="00BB430C">
        <w:rPr>
          <w:rFonts w:eastAsia="Calibri"/>
          <w:sz w:val="22"/>
          <w:szCs w:val="22"/>
          <w:lang w:val="en-US" w:eastAsia="en-US"/>
        </w:rPr>
        <w:t xml:space="preserve"> as has a marker for resistance determinants to stem rust in wheat </w:t>
      </w:r>
      <w:r w:rsidR="001C037C">
        <w:rPr>
          <w:rFonts w:eastAsia="Calibri"/>
          <w:noProof/>
          <w:sz w:val="22"/>
          <w:szCs w:val="22"/>
          <w:lang w:val="en-US" w:eastAsia="en-US"/>
        </w:rPr>
        <w:t>(Periyannan</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2014)</w:t>
      </w:r>
      <w:r w:rsidR="00596DE3" w:rsidRPr="00BB430C">
        <w:rPr>
          <w:rFonts w:eastAsia="Calibri"/>
          <w:sz w:val="22"/>
          <w:szCs w:val="22"/>
          <w:lang w:val="en-US" w:eastAsia="en-US"/>
        </w:rPr>
        <w:t xml:space="preserve">. Using DSI, variants in alleles of genes can be used to select individuals with desired combinations. </w:t>
      </w:r>
    </w:p>
    <w:p w14:paraId="6E3546FD" w14:textId="77777777" w:rsidR="00117E56" w:rsidRPr="00BB430C" w:rsidRDefault="00117E56" w:rsidP="00596DE3">
      <w:pPr>
        <w:spacing w:after="120"/>
        <w:rPr>
          <w:rFonts w:eastAsia="Calibri"/>
          <w:sz w:val="22"/>
          <w:szCs w:val="22"/>
          <w:lang w:val="en-US" w:eastAsia="en-US"/>
        </w:rPr>
      </w:pPr>
      <w:r w:rsidRPr="00673F18">
        <w:rPr>
          <w:rFonts w:eastAsia="Calibri"/>
          <w:bCs/>
          <w:noProof/>
          <w:sz w:val="22"/>
          <w:szCs w:val="22"/>
          <w:lang w:val="en-CA" w:eastAsia="en-CA"/>
        </w:rPr>
        <w:lastRenderedPageBreak/>
        <mc:AlternateContent>
          <mc:Choice Requires="wps">
            <w:drawing>
              <wp:anchor distT="114935" distB="114935" distL="114300" distR="114300" simplePos="0" relativeHeight="251708416" behindDoc="0" locked="0" layoutInCell="1" allowOverlap="1" wp14:anchorId="0E731A4F" wp14:editId="70C50E61">
                <wp:simplePos x="0" y="0"/>
                <wp:positionH relativeFrom="margin">
                  <wp:align>left</wp:align>
                </wp:positionH>
                <wp:positionV relativeFrom="paragraph">
                  <wp:posOffset>251</wp:posOffset>
                </wp:positionV>
                <wp:extent cx="5143500" cy="2628900"/>
                <wp:effectExtent l="0" t="0" r="19050" b="19050"/>
                <wp:wrapTopAndBottom/>
                <wp:docPr id="19" name="Text Box 19"/>
                <wp:cNvGraphicFramePr/>
                <a:graphic xmlns:a="http://schemas.openxmlformats.org/drawingml/2006/main">
                  <a:graphicData uri="http://schemas.microsoft.com/office/word/2010/wordprocessingShape">
                    <wps:wsp>
                      <wps:cNvSpPr txBox="1"/>
                      <wps:spPr>
                        <a:xfrm>
                          <a:off x="0" y="0"/>
                          <a:ext cx="5143500" cy="2628900"/>
                        </a:xfrm>
                        <a:prstGeom prst="rect">
                          <a:avLst/>
                        </a:prstGeom>
                        <a:no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FC3C518" w14:textId="77777777" w:rsidR="00F63D94" w:rsidRDefault="00F63D94" w:rsidP="00117E56">
                            <w:r>
                              <w:rPr>
                                <w:noProof/>
                                <w:lang w:val="en-CA" w:eastAsia="en-CA"/>
                              </w:rPr>
                              <w:drawing>
                                <wp:inline distT="0" distB="0" distL="0" distR="0" wp14:anchorId="0604CEDF" wp14:editId="0180F04C">
                                  <wp:extent cx="4960620" cy="219837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i to grfa.eps"/>
                                          <pic:cNvPicPr/>
                                        </pic:nvPicPr>
                                        <pic:blipFill>
                                          <a:blip r:embed="rId20">
                                            <a:extLst>
                                              <a:ext uri="{28A0092B-C50C-407E-A947-70E740481C1C}">
                                                <a14:useLocalDpi xmlns:a14="http://schemas.microsoft.com/office/drawing/2010/main" val="0"/>
                                              </a:ext>
                                            </a:extLst>
                                          </a:blip>
                                          <a:stretch>
                                            <a:fillRect/>
                                          </a:stretch>
                                        </pic:blipFill>
                                        <pic:spPr>
                                          <a:xfrm>
                                            <a:off x="0" y="0"/>
                                            <a:ext cx="4960620" cy="2198370"/>
                                          </a:xfrm>
                                          <a:prstGeom prst="rect">
                                            <a:avLst/>
                                          </a:prstGeom>
                                        </pic:spPr>
                                      </pic:pic>
                                    </a:graphicData>
                                  </a:graphic>
                                </wp:inline>
                              </w:drawing>
                            </w:r>
                          </w:p>
                          <w:p w14:paraId="246D0D13" w14:textId="77777777" w:rsidR="00F63D94" w:rsidRDefault="00F63D94" w:rsidP="00117E56">
                            <w:r w:rsidRPr="00B732A9">
                              <w:rPr>
                                <w:rFonts w:eastAsia="Calibri"/>
                                <w:b/>
                                <w:bCs/>
                                <w:sz w:val="22"/>
                                <w:szCs w:val="22"/>
                                <w:lang w:val="en-US" w:eastAsia="en-US"/>
                              </w:rPr>
                              <w:t xml:space="preserve">Figure </w:t>
                            </w:r>
                            <w:r>
                              <w:rPr>
                                <w:rFonts w:eastAsia="Calibri"/>
                                <w:b/>
                                <w:bCs/>
                                <w:sz w:val="22"/>
                                <w:szCs w:val="22"/>
                                <w:lang w:val="en-US" w:eastAsia="en-US"/>
                              </w:rPr>
                              <w:t>I.4</w:t>
                            </w:r>
                            <w:r>
                              <w:rPr>
                                <w:rFonts w:eastAsia="Calibri"/>
                                <w:bCs/>
                                <w:sz w:val="22"/>
                                <w:szCs w:val="22"/>
                                <w:lang w:val="en-US" w:eastAsia="en-US"/>
                              </w:rPr>
                              <w:t>.</w:t>
                            </w:r>
                            <w:r w:rsidRPr="00842949">
                              <w:rPr>
                                <w:rFonts w:eastAsia="Calibri"/>
                                <w:bCs/>
                                <w:sz w:val="22"/>
                                <w:szCs w:val="22"/>
                                <w:lang w:val="en-US" w:eastAsia="en-US"/>
                              </w:rPr>
                              <w:t xml:space="preserve"> </w:t>
                            </w:r>
                            <w:r>
                              <w:rPr>
                                <w:rFonts w:eastAsia="Calibri"/>
                                <w:bCs/>
                                <w:sz w:val="22"/>
                                <w:szCs w:val="22"/>
                                <w:lang w:val="en-US" w:eastAsia="en-US"/>
                              </w:rPr>
                              <w:t>Stylized depiction of plant and animal breeding assisted by DSI</w:t>
                            </w:r>
                            <w:r>
                              <w:rPr>
                                <w:rFonts w:eastAsia="Calibri"/>
                                <w:bCs/>
                                <w:sz w:val="22"/>
                                <w:szCs w:val="22"/>
                                <w:lang w:val="en-US" w:eastAsia="en-US"/>
                              </w:rPr>
                              <w:br/>
                            </w:r>
                            <w:r w:rsidRPr="00630048">
                              <w:rPr>
                                <w:rFonts w:eastAsia="Calibri"/>
                                <w:bCs/>
                                <w:i/>
                                <w:sz w:val="22"/>
                                <w:szCs w:val="22"/>
                                <w:lang w:val="en-US" w:eastAsia="en-US"/>
                              </w:rPr>
                              <w:t>Source:</w:t>
                            </w:r>
                            <w:r>
                              <w:rPr>
                                <w:rFonts w:eastAsia="Calibri"/>
                                <w:bCs/>
                                <w:sz w:val="22"/>
                                <w:szCs w:val="22"/>
                                <w:lang w:val="en-US" w:eastAsia="en-US"/>
                              </w:rPr>
                              <w:t xml:space="preserve"> </w:t>
                            </w:r>
                            <w:r>
                              <w:rPr>
                                <w:rFonts w:eastAsia="Calibri"/>
                                <w:bCs/>
                                <w:sz w:val="22"/>
                                <w:szCs w:val="22"/>
                                <w:lang w:val="en-US" w:eastAsia="en-US"/>
                              </w:rPr>
                              <w:fldChar w:fldCharType="begin"/>
                            </w:r>
                            <w:r>
                              <w:rPr>
                                <w:rFonts w:eastAsia="Calibri"/>
                                <w:bCs/>
                                <w:sz w:val="22"/>
                                <w:szCs w:val="22"/>
                                <w:lang w:val="en-US" w:eastAsia="en-US"/>
                              </w:rPr>
                              <w:instrText xml:space="preserve"> ADDIN EN.CITE &lt;EndNote&gt;&lt;Cite&gt;&lt;Author&gt;Varshney&lt;/Author&gt;&lt;Year&gt;2014&lt;/Year&gt;&lt;RecNum&gt;310&lt;/RecNum&gt;&lt;DisplayText&gt;(Varshney&lt;style face="italic"&gt; et al.&lt;/style&gt;, 2014)&lt;/DisplayText&gt;&lt;record&gt;&lt;rec-number&gt;310&lt;/rec-number&gt;&lt;foreign-keys&gt;&lt;key app="EN" db-id="vav00vdrjedrwre5xsc5vxpsx0fp9arstrrf" timestamp="1517123943"&gt;310&lt;/key&gt;&lt;/foreign-keys&gt;&lt;ref-type name="Journal Article"&gt;17&lt;/ref-type&gt;&lt;contributors&gt;&lt;authors&gt;&lt;author&gt;Varshney, Rajeev K.&lt;/author&gt;&lt;author&gt;Terauchi, Ryohei&lt;/author&gt;&lt;author&gt;McCouch, Susan R.&lt;/author&gt;&lt;/authors&gt;&lt;/contributors&gt;&lt;titles&gt;&lt;title&gt;Harvesting the promising fruits of genomics: applying genome sequencing technologies to crop breeding&lt;/title&gt;&lt;secondary-title&gt;PLOS Biology&lt;/secondary-title&gt;&lt;alt-title&gt;PLOS Biol&lt;/alt-title&gt;&lt;/titles&gt;&lt;periodical&gt;&lt;full-title&gt;PLOS Biology&lt;/full-title&gt;&lt;/periodical&gt;&lt;alt-periodical&gt;&lt;full-title&gt;PLoS Biol&lt;/full-title&gt;&lt;abbr-1&gt;PLoS Biol&lt;/abbr-1&gt;&lt;/alt-periodical&gt;&lt;pages&gt;e1001883&lt;/pages&gt;&lt;volume&gt;12&lt;/volume&gt;&lt;number&gt;6&lt;/number&gt;&lt;dates&gt;&lt;year&gt;2014&lt;/year&gt;&lt;/dates&gt;&lt;publisher&gt;Public Library of Science&lt;/publisher&gt;&lt;urls&gt;&lt;related-urls&gt;&lt;url&gt;https://doi.org/10.1371/journal.pbio.1001883&lt;/url&gt;&lt;/related-urls&gt;&lt;/urls&gt;&lt;electronic-resource-num&gt;10.1371/journal.pbio.1001883&lt;/electronic-resource-num&gt;&lt;/record&gt;&lt;/Cite&gt;&lt;/EndNote&gt;</w:instrText>
                            </w:r>
                            <w:r>
                              <w:rPr>
                                <w:rFonts w:eastAsia="Calibri"/>
                                <w:bCs/>
                                <w:sz w:val="22"/>
                                <w:szCs w:val="22"/>
                                <w:lang w:val="en-US" w:eastAsia="en-US"/>
                              </w:rPr>
                              <w:fldChar w:fldCharType="separate"/>
                            </w:r>
                            <w:r>
                              <w:rPr>
                                <w:rFonts w:eastAsia="Calibri"/>
                                <w:bCs/>
                                <w:noProof/>
                                <w:sz w:val="22"/>
                                <w:szCs w:val="22"/>
                                <w:lang w:val="en-US" w:eastAsia="en-US"/>
                              </w:rPr>
                              <w:t>Varshney</w:t>
                            </w:r>
                            <w:r w:rsidRPr="001C037C">
                              <w:rPr>
                                <w:rFonts w:eastAsia="Calibri"/>
                                <w:bCs/>
                                <w:i/>
                                <w:noProof/>
                                <w:sz w:val="22"/>
                                <w:szCs w:val="22"/>
                                <w:lang w:val="en-US" w:eastAsia="en-US"/>
                              </w:rPr>
                              <w:t xml:space="preserve"> et al.</w:t>
                            </w:r>
                            <w:r>
                              <w:rPr>
                                <w:rFonts w:eastAsia="Calibri"/>
                                <w:bCs/>
                                <w:noProof/>
                                <w:sz w:val="22"/>
                                <w:szCs w:val="22"/>
                                <w:lang w:val="en-US" w:eastAsia="en-US"/>
                              </w:rPr>
                              <w:t xml:space="preserve"> (2014)</w:t>
                            </w:r>
                            <w:r>
                              <w:rPr>
                                <w:rFonts w:eastAsia="Calibri"/>
                                <w:bCs/>
                                <w:sz w:val="22"/>
                                <w:szCs w:val="22"/>
                                <w:lang w:val="en-US" w:eastAsia="en-US"/>
                              </w:rPr>
                              <w:fldChar w:fldCharType="end"/>
                            </w:r>
                            <w:r>
                              <w:rPr>
                                <w:rFonts w:eastAsia="Calibri"/>
                                <w:bCs/>
                                <w:sz w:val="22"/>
                                <w:szCs w:val="22"/>
                                <w:lang w:val="en-US" w:eastAsia="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731A4F" id="Text Box 19" o:spid="_x0000_s1038" type="#_x0000_t202" style="position:absolute;margin-left:0;margin-top:0;width:405pt;height:207pt;z-index:251708416;visibility:visible;mso-wrap-style:square;mso-width-percent:0;mso-height-percent:0;mso-wrap-distance-left:9pt;mso-wrap-distance-top:9.05pt;mso-wrap-distance-right:9pt;mso-wrap-distance-bottom:9.05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FzHuwIAANYFAAAOAAAAZHJzL2Uyb0RvYy54bWysVN1P2zAQf5+0/8Hye0napUAjUhSKOk1C&#10;gAYTz65j02iOz7PdNt20/31nJykV44VpL8l9/O583xeXbaPIVlhXgy7o+CSlRGgOVa2fC/rtcTk6&#10;p8R5piumQIuC7oWjl/OPHy52JhcTWIOqhCXoRLt8Zwq69t7kSeL4WjTMnYARGpUSbMM8svY5qSzb&#10;ofdGJZM0PU12YCtjgQvnUHrdKek8+pdScH8npROeqIJibD5+bfyuwjeZX7D82TKzrnkfBvuHKBpW&#10;a3z04OqaeUY2tv7LVVNzCw6kP+HQJCBlzUXMAbMZp6+yeVgzI2IuWBxnDmVy/88tv93eW1JX2LsZ&#10;JZo12KNH0XpyBS1BEdZnZ1yOsAeDQN+iHLGD3KEwpN1K24Q/JkRQj5XeH6obvHEUTsfZp2mKKo66&#10;yenkfIYM+k9ezI11/rOAhgSioBbbF6vKtjfOd9ABEl7TsKyVii1UOggcqLoKssiEGRILZcmWYfd9&#10;G6PG145QyHWWIs5K9wrLMWQkg5MQfOzjr8X0bFKeTWej03I6HmXj9HxUlulkdL0s0zLNlotZdvW7&#10;z2ewT0LtuhpFyu+VCF6V/iokVj2W6o1YGedC+yHeiA4oiZm9x7DHxzxifu8x7iqCFvFl0P5g3NQa&#10;bOxLXNOXElffh5Blh8fmHuUdSN+u2m7cJsMMraDa42hZ6JbTGb6ssf03zPl7ZnEbcWTwwvg7/EgF&#10;u4JCT1GyBvvzLXnA45KglpIdbndB3Y8Ns4IS9UXj+szGWRbOQWQy7Cwy9lizOtboTbMAHKEx3jLD&#10;IxnwXg2ktNA84SEqw6uoYprj2zhzA7nw3c3BQ8ZFWUYQHgDD/I1+MDy4DmUOw/3YPjFr+g3wOEm3&#10;MNwBlr9ahA4bLDWUGw+yjlsSCt1VtW8AHo+4Z/2hC9fpmI+ol3M8/wMAAP//AwBQSwMEFAAGAAgA&#10;AAAhAL0WDbndAAAABQEAAA8AAABkcnMvZG93bnJldi54bWxMj0FrwkAQhe+C/2GZQm+6myJW0myk&#10;KkIRe1CL9Lhmp0lodjZkV43/vtNe7OXB4w3vfZPNe9eIC3ah9qQhGSsQSIW3NZUaPg7r0QxEiIas&#10;aTyhhhsGmOfDQWZS66+0w8s+loJLKKRGQxVjm0oZigqdCWPfInH25TtnItuulLYzVy53jXxSaiqd&#10;qYkXKtPissLie392Gt4Ot83uefk+dZvF6nN7lOG4Xm21fnzoX19AROzj/Rh+8RkdcmY6+TPZIBoN&#10;/Ej8U85miWJ70jBJJgpknsn/9PkPAAAA//8DAFBLAQItABQABgAIAAAAIQC2gziS/gAAAOEBAAAT&#10;AAAAAAAAAAAAAAAAAAAAAABbQ29udGVudF9UeXBlc10ueG1sUEsBAi0AFAAGAAgAAAAhADj9If/W&#10;AAAAlAEAAAsAAAAAAAAAAAAAAAAALwEAAF9yZWxzLy5yZWxzUEsBAi0AFAAGAAgAAAAhAA4UXMe7&#10;AgAA1gUAAA4AAAAAAAAAAAAAAAAALgIAAGRycy9lMm9Eb2MueG1sUEsBAi0AFAAGAAgAAAAhAL0W&#10;DbndAAAABQEAAA8AAAAAAAAAAAAAAAAAFQUAAGRycy9kb3ducmV2LnhtbFBLBQYAAAAABAAEAPMA&#10;AAAfBgAAAAA=&#10;" filled="f" strokecolor="black [3213]">
                <v:textbox>
                  <w:txbxContent>
                    <w:p w14:paraId="4FC3C518" w14:textId="77777777" w:rsidR="00F63D94" w:rsidRDefault="00F63D94" w:rsidP="00117E56">
                      <w:r>
                        <w:rPr>
                          <w:noProof/>
                          <w:lang w:val="en-CA" w:eastAsia="en-CA"/>
                        </w:rPr>
                        <w:drawing>
                          <wp:inline distT="0" distB="0" distL="0" distR="0" wp14:anchorId="0604CEDF" wp14:editId="0180F04C">
                            <wp:extent cx="4960620" cy="219837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i to grfa.eps"/>
                                    <pic:cNvPicPr/>
                                  </pic:nvPicPr>
                                  <pic:blipFill>
                                    <a:blip r:embed="rId20">
                                      <a:extLst>
                                        <a:ext uri="{28A0092B-C50C-407E-A947-70E740481C1C}">
                                          <a14:useLocalDpi xmlns:a14="http://schemas.microsoft.com/office/drawing/2010/main" val="0"/>
                                        </a:ext>
                                      </a:extLst>
                                    </a:blip>
                                    <a:stretch>
                                      <a:fillRect/>
                                    </a:stretch>
                                  </pic:blipFill>
                                  <pic:spPr>
                                    <a:xfrm>
                                      <a:off x="0" y="0"/>
                                      <a:ext cx="4960620" cy="2198370"/>
                                    </a:xfrm>
                                    <a:prstGeom prst="rect">
                                      <a:avLst/>
                                    </a:prstGeom>
                                  </pic:spPr>
                                </pic:pic>
                              </a:graphicData>
                            </a:graphic>
                          </wp:inline>
                        </w:drawing>
                      </w:r>
                    </w:p>
                    <w:p w14:paraId="246D0D13" w14:textId="77777777" w:rsidR="00F63D94" w:rsidRDefault="00F63D94" w:rsidP="00117E56">
                      <w:r w:rsidRPr="00B732A9">
                        <w:rPr>
                          <w:rFonts w:eastAsia="Calibri"/>
                          <w:b/>
                          <w:bCs/>
                          <w:sz w:val="22"/>
                          <w:szCs w:val="22"/>
                          <w:lang w:val="en-US" w:eastAsia="en-US"/>
                        </w:rPr>
                        <w:t xml:space="preserve">Figure </w:t>
                      </w:r>
                      <w:r>
                        <w:rPr>
                          <w:rFonts w:eastAsia="Calibri"/>
                          <w:b/>
                          <w:bCs/>
                          <w:sz w:val="22"/>
                          <w:szCs w:val="22"/>
                          <w:lang w:val="en-US" w:eastAsia="en-US"/>
                        </w:rPr>
                        <w:t>I.4</w:t>
                      </w:r>
                      <w:r>
                        <w:rPr>
                          <w:rFonts w:eastAsia="Calibri"/>
                          <w:bCs/>
                          <w:sz w:val="22"/>
                          <w:szCs w:val="22"/>
                          <w:lang w:val="en-US" w:eastAsia="en-US"/>
                        </w:rPr>
                        <w:t>.</w:t>
                      </w:r>
                      <w:r w:rsidRPr="00842949">
                        <w:rPr>
                          <w:rFonts w:eastAsia="Calibri"/>
                          <w:bCs/>
                          <w:sz w:val="22"/>
                          <w:szCs w:val="22"/>
                          <w:lang w:val="en-US" w:eastAsia="en-US"/>
                        </w:rPr>
                        <w:t xml:space="preserve"> </w:t>
                      </w:r>
                      <w:r>
                        <w:rPr>
                          <w:rFonts w:eastAsia="Calibri"/>
                          <w:bCs/>
                          <w:sz w:val="22"/>
                          <w:szCs w:val="22"/>
                          <w:lang w:val="en-US" w:eastAsia="en-US"/>
                        </w:rPr>
                        <w:t>Stylized depiction of plant and animal breeding assisted by DSI</w:t>
                      </w:r>
                      <w:r>
                        <w:rPr>
                          <w:rFonts w:eastAsia="Calibri"/>
                          <w:bCs/>
                          <w:sz w:val="22"/>
                          <w:szCs w:val="22"/>
                          <w:lang w:val="en-US" w:eastAsia="en-US"/>
                        </w:rPr>
                        <w:br/>
                      </w:r>
                      <w:r w:rsidRPr="00630048">
                        <w:rPr>
                          <w:rFonts w:eastAsia="Calibri"/>
                          <w:bCs/>
                          <w:i/>
                          <w:sz w:val="22"/>
                          <w:szCs w:val="22"/>
                          <w:lang w:val="en-US" w:eastAsia="en-US"/>
                        </w:rPr>
                        <w:t>Source:</w:t>
                      </w:r>
                      <w:r>
                        <w:rPr>
                          <w:rFonts w:eastAsia="Calibri"/>
                          <w:bCs/>
                          <w:sz w:val="22"/>
                          <w:szCs w:val="22"/>
                          <w:lang w:val="en-US" w:eastAsia="en-US"/>
                        </w:rPr>
                        <w:t xml:space="preserve"> </w:t>
                      </w:r>
                      <w:r>
                        <w:rPr>
                          <w:rFonts w:eastAsia="Calibri"/>
                          <w:bCs/>
                          <w:sz w:val="22"/>
                          <w:szCs w:val="22"/>
                          <w:lang w:val="en-US" w:eastAsia="en-US"/>
                        </w:rPr>
                        <w:fldChar w:fldCharType="begin"/>
                      </w:r>
                      <w:r>
                        <w:rPr>
                          <w:rFonts w:eastAsia="Calibri"/>
                          <w:bCs/>
                          <w:sz w:val="22"/>
                          <w:szCs w:val="22"/>
                          <w:lang w:val="en-US" w:eastAsia="en-US"/>
                        </w:rPr>
                        <w:instrText xml:space="preserve"> ADDIN EN.CITE &lt;EndNote&gt;&lt;Cite&gt;&lt;Author&gt;Varshney&lt;/Author&gt;&lt;Year&gt;2014&lt;/Year&gt;&lt;RecNum&gt;310&lt;/RecNum&gt;&lt;DisplayText&gt;(Varshney&lt;style face="italic"&gt; et al.&lt;/style&gt;, 2014)&lt;/DisplayText&gt;&lt;record&gt;&lt;rec-number&gt;310&lt;/rec-number&gt;&lt;foreign-keys&gt;&lt;key app="EN" db-id="vav00vdrjedrwre5xsc5vxpsx0fp9arstrrf" timestamp="1517123943"&gt;310&lt;/key&gt;&lt;/foreign-keys&gt;&lt;ref-type name="Journal Article"&gt;17&lt;/ref-type&gt;&lt;contributors&gt;&lt;authors&gt;&lt;author&gt;Varshney, Rajeev K.&lt;/author&gt;&lt;author&gt;Terauchi, Ryohei&lt;/author&gt;&lt;author&gt;McCouch, Susan R.&lt;/author&gt;&lt;/authors&gt;&lt;/contributors&gt;&lt;titles&gt;&lt;title&gt;Harvesting the promising fruits of genomics: applying genome sequencing technologies to crop breeding&lt;/title&gt;&lt;secondary-title&gt;PLOS Biology&lt;/secondary-title&gt;&lt;alt-title&gt;PLOS Biol&lt;/alt-title&gt;&lt;/titles&gt;&lt;periodical&gt;&lt;full-title&gt;PLOS Biology&lt;/full-title&gt;&lt;/periodical&gt;&lt;alt-periodical&gt;&lt;full-title&gt;PLoS Biol&lt;/full-title&gt;&lt;abbr-1&gt;PLoS Biol&lt;/abbr-1&gt;&lt;/alt-periodical&gt;&lt;pages&gt;e1001883&lt;/pages&gt;&lt;volume&gt;12&lt;/volume&gt;&lt;number&gt;6&lt;/number&gt;&lt;dates&gt;&lt;year&gt;2014&lt;/year&gt;&lt;/dates&gt;&lt;publisher&gt;Public Library of Science&lt;/publisher&gt;&lt;urls&gt;&lt;related-urls&gt;&lt;url&gt;https://doi.org/10.1371/journal.pbio.1001883&lt;/url&gt;&lt;/related-urls&gt;&lt;/urls&gt;&lt;electronic-resource-num&gt;10.1371/journal.pbio.1001883&lt;/electronic-resource-num&gt;&lt;/record&gt;&lt;/Cite&gt;&lt;/EndNote&gt;</w:instrText>
                      </w:r>
                      <w:r>
                        <w:rPr>
                          <w:rFonts w:eastAsia="Calibri"/>
                          <w:bCs/>
                          <w:sz w:val="22"/>
                          <w:szCs w:val="22"/>
                          <w:lang w:val="en-US" w:eastAsia="en-US"/>
                        </w:rPr>
                        <w:fldChar w:fldCharType="separate"/>
                      </w:r>
                      <w:r>
                        <w:rPr>
                          <w:rFonts w:eastAsia="Calibri"/>
                          <w:bCs/>
                          <w:noProof/>
                          <w:sz w:val="22"/>
                          <w:szCs w:val="22"/>
                          <w:lang w:val="en-US" w:eastAsia="en-US"/>
                        </w:rPr>
                        <w:t>Varshney</w:t>
                      </w:r>
                      <w:r w:rsidRPr="001C037C">
                        <w:rPr>
                          <w:rFonts w:eastAsia="Calibri"/>
                          <w:bCs/>
                          <w:i/>
                          <w:noProof/>
                          <w:sz w:val="22"/>
                          <w:szCs w:val="22"/>
                          <w:lang w:val="en-US" w:eastAsia="en-US"/>
                        </w:rPr>
                        <w:t xml:space="preserve"> et al.</w:t>
                      </w:r>
                      <w:r>
                        <w:rPr>
                          <w:rFonts w:eastAsia="Calibri"/>
                          <w:bCs/>
                          <w:noProof/>
                          <w:sz w:val="22"/>
                          <w:szCs w:val="22"/>
                          <w:lang w:val="en-US" w:eastAsia="en-US"/>
                        </w:rPr>
                        <w:t xml:space="preserve"> (2014)</w:t>
                      </w:r>
                      <w:r>
                        <w:rPr>
                          <w:rFonts w:eastAsia="Calibri"/>
                          <w:bCs/>
                          <w:sz w:val="22"/>
                          <w:szCs w:val="22"/>
                          <w:lang w:val="en-US" w:eastAsia="en-US"/>
                        </w:rPr>
                        <w:fldChar w:fldCharType="end"/>
                      </w:r>
                      <w:r>
                        <w:rPr>
                          <w:rFonts w:eastAsia="Calibri"/>
                          <w:bCs/>
                          <w:sz w:val="22"/>
                          <w:szCs w:val="22"/>
                          <w:lang w:val="en-US" w:eastAsia="en-US"/>
                        </w:rPr>
                        <w:t>.</w:t>
                      </w:r>
                    </w:p>
                  </w:txbxContent>
                </v:textbox>
                <w10:wrap type="topAndBottom" anchorx="margin"/>
              </v:shape>
            </w:pict>
          </mc:Fallback>
        </mc:AlternateContent>
      </w:r>
    </w:p>
    <w:p w14:paraId="0CF151BF" w14:textId="77777777" w:rsidR="00596DE3" w:rsidRPr="00BB430C" w:rsidRDefault="00596DE3" w:rsidP="00371817">
      <w:pPr>
        <w:spacing w:after="120"/>
        <w:rPr>
          <w:rFonts w:eastAsia="Calibri"/>
          <w:sz w:val="22"/>
          <w:szCs w:val="22"/>
          <w:lang w:eastAsia="en-US"/>
        </w:rPr>
      </w:pPr>
      <w:r w:rsidRPr="00BB430C">
        <w:rPr>
          <w:rFonts w:eastAsia="Calibri"/>
          <w:sz w:val="22"/>
          <w:szCs w:val="22"/>
          <w:lang w:eastAsia="en-US"/>
        </w:rPr>
        <w:t>SNP analysis</w:t>
      </w:r>
      <w:r w:rsidR="003C268C">
        <w:rPr>
          <w:rFonts w:eastAsia="Calibri"/>
          <w:sz w:val="22"/>
          <w:szCs w:val="22"/>
          <w:lang w:eastAsia="en-US"/>
        </w:rPr>
        <w:t xml:space="preserve"> is a tool that uses DSI</w:t>
      </w:r>
      <w:r w:rsidR="00BD5FB5">
        <w:rPr>
          <w:rFonts w:eastAsia="Calibri"/>
          <w:sz w:val="22"/>
          <w:szCs w:val="22"/>
          <w:lang w:eastAsia="en-US"/>
        </w:rPr>
        <w:t xml:space="preserve"> (Box 2)</w:t>
      </w:r>
      <w:r w:rsidRPr="00BB430C">
        <w:rPr>
          <w:rFonts w:eastAsia="Calibri"/>
          <w:sz w:val="22"/>
          <w:szCs w:val="22"/>
          <w:lang w:eastAsia="en-US"/>
        </w:rPr>
        <w:t xml:space="preserve">. </w:t>
      </w:r>
      <w:r w:rsidR="00FA0FCC">
        <w:rPr>
          <w:rFonts w:eastAsia="Calibri"/>
          <w:sz w:val="22"/>
          <w:szCs w:val="22"/>
          <w:lang w:eastAsia="en-US"/>
        </w:rPr>
        <w:t xml:space="preserve">A </w:t>
      </w:r>
      <w:r w:rsidRPr="00BB430C">
        <w:rPr>
          <w:rFonts w:eastAsia="Calibri"/>
          <w:sz w:val="22"/>
          <w:szCs w:val="22"/>
          <w:lang w:eastAsia="en-US"/>
        </w:rPr>
        <w:t>SNP</w:t>
      </w:r>
      <w:r w:rsidR="00FA0FCC">
        <w:rPr>
          <w:rFonts w:eastAsia="Calibri"/>
          <w:sz w:val="22"/>
          <w:szCs w:val="22"/>
          <w:lang w:eastAsia="en-US"/>
        </w:rPr>
        <w:t xml:space="preserve"> is the position in a genome where a single nucleotide (A, G, C or T) differs between two genomes, with one usually being a reference genome</w:t>
      </w:r>
      <w:r w:rsidR="00B6310A">
        <w:rPr>
          <w:rFonts w:eastAsia="Calibri"/>
          <w:sz w:val="22"/>
          <w:szCs w:val="22"/>
          <w:lang w:eastAsia="en-US"/>
        </w:rPr>
        <w:t xml:space="preserve"> </w:t>
      </w:r>
      <w:r w:rsidR="001C037C">
        <w:rPr>
          <w:rFonts w:eastAsia="Calibri"/>
          <w:noProof/>
          <w:sz w:val="22"/>
          <w:szCs w:val="22"/>
          <w:lang w:eastAsia="en-US"/>
        </w:rPr>
        <w:t>(Yang</w:t>
      </w:r>
      <w:r w:rsidR="001C037C" w:rsidRPr="001C037C">
        <w:rPr>
          <w:rFonts w:eastAsia="Calibri"/>
          <w:i/>
          <w:noProof/>
          <w:sz w:val="22"/>
          <w:szCs w:val="22"/>
          <w:lang w:eastAsia="en-US"/>
        </w:rPr>
        <w:t xml:space="preserve"> et al.</w:t>
      </w:r>
      <w:r w:rsidR="001C037C">
        <w:rPr>
          <w:rFonts w:eastAsia="Calibri"/>
          <w:noProof/>
          <w:sz w:val="22"/>
          <w:szCs w:val="22"/>
          <w:lang w:eastAsia="en-US"/>
        </w:rPr>
        <w:t>, 2013)</w:t>
      </w:r>
      <w:r w:rsidRPr="00BB430C">
        <w:rPr>
          <w:rFonts w:eastAsia="Calibri"/>
          <w:sz w:val="22"/>
          <w:szCs w:val="22"/>
          <w:lang w:eastAsia="en-US"/>
        </w:rPr>
        <w:t>.</w:t>
      </w:r>
      <w:r w:rsidR="00FA0FCC">
        <w:rPr>
          <w:rFonts w:eastAsia="Calibri"/>
          <w:sz w:val="22"/>
          <w:szCs w:val="22"/>
          <w:lang w:eastAsia="en-US"/>
        </w:rPr>
        <w:t xml:space="preserve"> Up to 90</w:t>
      </w:r>
      <w:r w:rsidR="00B96F4A">
        <w:rPr>
          <w:rFonts w:eastAsia="Calibri"/>
          <w:sz w:val="22"/>
          <w:szCs w:val="22"/>
          <w:lang w:eastAsia="en-US"/>
        </w:rPr>
        <w:t xml:space="preserve"> percent </w:t>
      </w:r>
      <w:r w:rsidR="00FA0FCC">
        <w:rPr>
          <w:rFonts w:eastAsia="Calibri"/>
          <w:sz w:val="22"/>
          <w:szCs w:val="22"/>
          <w:lang w:eastAsia="en-US"/>
        </w:rPr>
        <w:t xml:space="preserve">of the differences between genomes within the same species are SNPs </w:t>
      </w:r>
      <w:r w:rsidR="001C037C">
        <w:rPr>
          <w:rFonts w:eastAsia="Calibri"/>
          <w:noProof/>
          <w:sz w:val="22"/>
          <w:szCs w:val="22"/>
          <w:lang w:eastAsia="en-US"/>
        </w:rPr>
        <w:t>(Koopaee and Koshkoiyeh, 2014)</w:t>
      </w:r>
      <w:r w:rsidR="00FA0FCC">
        <w:rPr>
          <w:rFonts w:eastAsia="Calibri"/>
          <w:sz w:val="22"/>
          <w:szCs w:val="22"/>
          <w:lang w:eastAsia="en-US"/>
        </w:rPr>
        <w:t>.</w:t>
      </w:r>
      <w:r w:rsidRPr="00BB430C">
        <w:rPr>
          <w:rFonts w:eastAsia="Calibri"/>
          <w:sz w:val="22"/>
          <w:szCs w:val="22"/>
          <w:lang w:eastAsia="en-US"/>
        </w:rPr>
        <w:t xml:space="preserve"> The different versions of the DNA sequence are called alleles. Each genome can contain thousands of SNPs that can be used as physical markers for breeding and conservation of species. SNPs can be identified using DSI in specialist databases, such as </w:t>
      </w:r>
      <w:r w:rsidRPr="00BB430C">
        <w:rPr>
          <w:rFonts w:eastAsia="Calibri"/>
          <w:sz w:val="22"/>
          <w:szCs w:val="22"/>
          <w:lang w:val="en-US" w:eastAsia="en-US"/>
        </w:rPr>
        <w:t xml:space="preserve">LincSNP </w:t>
      </w:r>
      <w:r w:rsidR="001C037C">
        <w:rPr>
          <w:rFonts w:eastAsia="Calibri"/>
          <w:noProof/>
          <w:sz w:val="22"/>
          <w:szCs w:val="22"/>
          <w:lang w:val="en-US" w:eastAsia="en-US"/>
        </w:rPr>
        <w:t>(</w:t>
      </w:r>
      <w:r w:rsidR="00371817" w:rsidRPr="002F7805">
        <w:rPr>
          <w:rFonts w:eastAsia="Calibri"/>
          <w:iCs/>
          <w:noProof/>
          <w:sz w:val="22"/>
          <w:szCs w:val="22"/>
          <w:lang w:eastAsia="en-US"/>
        </w:rPr>
        <w:t>Nucleic Acids Research</w:t>
      </w:r>
      <w:r w:rsidR="001C037C">
        <w:rPr>
          <w:rFonts w:eastAsia="Calibri"/>
          <w:noProof/>
          <w:sz w:val="22"/>
          <w:szCs w:val="22"/>
          <w:lang w:val="en-US" w:eastAsia="en-US"/>
        </w:rPr>
        <w:t>, 2017)</w:t>
      </w:r>
      <w:r w:rsidRPr="00BB430C">
        <w:rPr>
          <w:rFonts w:eastAsia="Calibri"/>
          <w:sz w:val="22"/>
          <w:szCs w:val="22"/>
          <w:lang w:eastAsia="en-US"/>
        </w:rPr>
        <w:t xml:space="preserve">. </w:t>
      </w:r>
    </w:p>
    <w:p w14:paraId="20D9CD5A" w14:textId="77777777" w:rsidR="00596DE3" w:rsidRPr="00BB430C" w:rsidRDefault="00596DE3" w:rsidP="00596DE3">
      <w:pPr>
        <w:spacing w:after="120"/>
        <w:rPr>
          <w:rFonts w:eastAsia="Calibri"/>
          <w:sz w:val="22"/>
          <w:szCs w:val="22"/>
          <w:lang w:eastAsia="en-US"/>
        </w:rPr>
      </w:pPr>
      <w:r w:rsidRPr="00BB430C">
        <w:rPr>
          <w:rFonts w:eastAsia="Calibri"/>
          <w:sz w:val="22"/>
          <w:szCs w:val="22"/>
          <w:lang w:eastAsia="en-US"/>
        </w:rPr>
        <w:t xml:space="preserve">SNPs are used in, for example, dairy cattle to predict performance (yield, milk protein content, fertility) in different environments (e.g. high altitude, heat, humidity) to choose individuals that will perform best (predict how offspring will perform in a different environment based on SNPs, e.g. bull from Europe, offspring in Australia) </w:t>
      </w:r>
      <w:r w:rsidR="001C037C">
        <w:rPr>
          <w:rFonts w:eastAsia="Calibri"/>
          <w:noProof/>
          <w:sz w:val="22"/>
          <w:szCs w:val="22"/>
          <w:lang w:eastAsia="en-US"/>
        </w:rPr>
        <w:t>(Haile-Mariam</w:t>
      </w:r>
      <w:r w:rsidR="001C037C" w:rsidRPr="001C037C">
        <w:rPr>
          <w:rFonts w:eastAsia="Calibri"/>
          <w:i/>
          <w:noProof/>
          <w:sz w:val="22"/>
          <w:szCs w:val="22"/>
          <w:lang w:eastAsia="en-US"/>
        </w:rPr>
        <w:t xml:space="preserve"> et al.</w:t>
      </w:r>
      <w:r w:rsidR="00371817">
        <w:rPr>
          <w:rFonts w:eastAsia="Calibri"/>
          <w:i/>
          <w:noProof/>
          <w:sz w:val="22"/>
          <w:szCs w:val="22"/>
          <w:lang w:eastAsia="en-US"/>
        </w:rPr>
        <w:t xml:space="preserve"> </w:t>
      </w:r>
      <w:r w:rsidR="00371817" w:rsidRPr="002F7805">
        <w:rPr>
          <w:rFonts w:eastAsia="Calibri"/>
          <w:iCs/>
          <w:noProof/>
          <w:sz w:val="22"/>
          <w:szCs w:val="22"/>
          <w:lang w:eastAsia="en-US"/>
        </w:rPr>
        <w:t>2015</w:t>
      </w:r>
      <w:r w:rsidR="001C037C">
        <w:rPr>
          <w:rFonts w:eastAsia="Calibri"/>
          <w:noProof/>
          <w:sz w:val="22"/>
          <w:szCs w:val="22"/>
          <w:lang w:eastAsia="en-US"/>
        </w:rPr>
        <w:t>)</w:t>
      </w:r>
      <w:r w:rsidRPr="00BB430C">
        <w:rPr>
          <w:rFonts w:eastAsia="Calibri"/>
          <w:sz w:val="22"/>
          <w:szCs w:val="22"/>
          <w:lang w:eastAsia="en-US"/>
        </w:rPr>
        <w:t xml:space="preserve">. </w:t>
      </w:r>
      <w:r w:rsidR="00FA0FCC">
        <w:rPr>
          <w:rFonts w:eastAsia="Calibri"/>
          <w:sz w:val="22"/>
          <w:szCs w:val="22"/>
          <w:lang w:eastAsia="en-US"/>
        </w:rPr>
        <w:t>A library of at least 10</w:t>
      </w:r>
      <w:r w:rsidR="00B96F4A">
        <w:rPr>
          <w:rFonts w:eastAsia="Calibri"/>
          <w:sz w:val="22"/>
          <w:szCs w:val="22"/>
          <w:lang w:eastAsia="en-US"/>
        </w:rPr>
        <w:t> </w:t>
      </w:r>
      <w:r w:rsidR="00FA0FCC">
        <w:rPr>
          <w:rFonts w:eastAsia="Calibri"/>
          <w:sz w:val="22"/>
          <w:szCs w:val="22"/>
          <w:lang w:eastAsia="en-US"/>
        </w:rPr>
        <w:t>000 SNPs</w:t>
      </w:r>
      <w:r w:rsidR="00A20603">
        <w:rPr>
          <w:rFonts w:eastAsia="Calibri"/>
          <w:sz w:val="22"/>
          <w:szCs w:val="22"/>
          <w:lang w:eastAsia="en-US"/>
        </w:rPr>
        <w:t xml:space="preserve"> is generally required for genomics analysis of livestock </w:t>
      </w:r>
      <w:r w:rsidR="001C037C">
        <w:rPr>
          <w:rFonts w:eastAsia="Calibri"/>
          <w:noProof/>
          <w:sz w:val="22"/>
          <w:szCs w:val="22"/>
          <w:lang w:eastAsia="en-US"/>
        </w:rPr>
        <w:t>(Woolliams and Oldenbroek, 2017)</w:t>
      </w:r>
      <w:r w:rsidR="00A20603">
        <w:rPr>
          <w:rFonts w:eastAsia="Calibri"/>
          <w:sz w:val="22"/>
          <w:szCs w:val="22"/>
          <w:lang w:eastAsia="en-US"/>
        </w:rPr>
        <w:t>.</w:t>
      </w:r>
    </w:p>
    <w:p w14:paraId="5EA7BBAD" w14:textId="77777777" w:rsidR="00596DE3" w:rsidRPr="00BB430C" w:rsidRDefault="00596DE3" w:rsidP="00596DE3">
      <w:pPr>
        <w:spacing w:after="120"/>
        <w:rPr>
          <w:rFonts w:eastAsia="Calibri"/>
          <w:sz w:val="22"/>
          <w:szCs w:val="22"/>
          <w:lang w:eastAsia="en-US"/>
        </w:rPr>
      </w:pPr>
      <w:r w:rsidRPr="00BB430C">
        <w:rPr>
          <w:rFonts w:eastAsia="Calibri"/>
          <w:sz w:val="22"/>
          <w:szCs w:val="22"/>
          <w:lang w:eastAsia="en-US"/>
        </w:rPr>
        <w:t xml:space="preserve">The distribution of SNPs in genomes </w:t>
      </w:r>
      <w:r w:rsidR="006B391F">
        <w:rPr>
          <w:rFonts w:eastAsia="Calibri"/>
          <w:sz w:val="22"/>
          <w:szCs w:val="22"/>
          <w:lang w:eastAsia="en-US"/>
        </w:rPr>
        <w:t>is</w:t>
      </w:r>
      <w:r w:rsidRPr="00BB430C">
        <w:rPr>
          <w:rFonts w:eastAsia="Calibri"/>
          <w:sz w:val="22"/>
          <w:szCs w:val="22"/>
          <w:lang w:eastAsia="en-US"/>
        </w:rPr>
        <w:t xml:space="preserve"> used to infer relatedness between individuals. In conservation of endangered species, whether natural populations or livestock breeds, SNP data can be used to choose the most appropriate (usually least related) individuals for breeding program</w:t>
      </w:r>
      <w:r w:rsidR="00B96F4A">
        <w:rPr>
          <w:rFonts w:eastAsia="Calibri"/>
          <w:sz w:val="22"/>
          <w:szCs w:val="22"/>
          <w:lang w:eastAsia="en-US"/>
        </w:rPr>
        <w:t>me</w:t>
      </w:r>
      <w:r w:rsidRPr="00BB430C">
        <w:rPr>
          <w:rFonts w:eastAsia="Calibri"/>
          <w:sz w:val="22"/>
          <w:szCs w:val="22"/>
          <w:lang w:eastAsia="en-US"/>
        </w:rPr>
        <w:t xml:space="preserve">s to ensure the highest possible genetic diversity in the population. </w:t>
      </w:r>
    </w:p>
    <w:p w14:paraId="63D7CEB6" w14:textId="77777777" w:rsidR="00596DE3" w:rsidRPr="00BB430C" w:rsidRDefault="00596DE3" w:rsidP="00596DE3">
      <w:pPr>
        <w:spacing w:after="120"/>
        <w:rPr>
          <w:rFonts w:eastAsia="Calibri"/>
          <w:sz w:val="22"/>
          <w:szCs w:val="22"/>
          <w:lang w:eastAsia="en-US"/>
        </w:rPr>
      </w:pPr>
      <w:r w:rsidRPr="00BB430C">
        <w:rPr>
          <w:rFonts w:eastAsia="Calibri"/>
          <w:sz w:val="22"/>
          <w:szCs w:val="22"/>
          <w:lang w:eastAsia="en-US"/>
        </w:rPr>
        <w:t>SNP</w:t>
      </w:r>
      <w:r w:rsidR="0098462E">
        <w:rPr>
          <w:rFonts w:eastAsia="Calibri"/>
          <w:sz w:val="22"/>
          <w:szCs w:val="22"/>
          <w:lang w:eastAsia="en-US"/>
        </w:rPr>
        <w:t>s contribute to</w:t>
      </w:r>
      <w:r w:rsidRPr="00BB430C">
        <w:rPr>
          <w:rFonts w:eastAsia="Calibri"/>
          <w:sz w:val="22"/>
          <w:szCs w:val="22"/>
          <w:lang w:eastAsia="en-US"/>
        </w:rPr>
        <w:t xml:space="preserve"> landscape genomics</w:t>
      </w:r>
      <w:r w:rsidR="006A6C37">
        <w:rPr>
          <w:rFonts w:eastAsia="Calibri"/>
          <w:sz w:val="22"/>
          <w:szCs w:val="22"/>
          <w:lang w:eastAsia="en-US"/>
        </w:rPr>
        <w:t xml:space="preserve"> which</w:t>
      </w:r>
      <w:r w:rsidRPr="00BB430C">
        <w:rPr>
          <w:rFonts w:eastAsia="Calibri"/>
          <w:sz w:val="22"/>
          <w:szCs w:val="22"/>
          <w:lang w:val="en-US" w:eastAsia="en-US"/>
        </w:rPr>
        <w:t xml:space="preserve"> examines the order of genes in genomes, which genes belong to the same neighbo</w:t>
      </w:r>
      <w:r w:rsidR="00371817">
        <w:rPr>
          <w:rFonts w:eastAsia="Calibri"/>
          <w:sz w:val="22"/>
          <w:szCs w:val="22"/>
          <w:lang w:val="en-US" w:eastAsia="en-US"/>
        </w:rPr>
        <w:t>u</w:t>
      </w:r>
      <w:r w:rsidRPr="00BB430C">
        <w:rPr>
          <w:rFonts w:eastAsia="Calibri"/>
          <w:sz w:val="22"/>
          <w:szCs w:val="22"/>
          <w:lang w:val="en-US" w:eastAsia="en-US"/>
        </w:rPr>
        <w:t xml:space="preserve">rhoods, how often this is true in a species and between species and finally links such data to phenotypes </w:t>
      </w:r>
      <w:r w:rsidR="001C037C">
        <w:rPr>
          <w:rFonts w:eastAsia="Calibri"/>
          <w:noProof/>
          <w:sz w:val="22"/>
          <w:szCs w:val="22"/>
          <w:lang w:val="en-US" w:eastAsia="en-US"/>
        </w:rPr>
        <w:t>(Brbić</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2016)</w:t>
      </w:r>
      <w:r w:rsidRPr="00BB430C">
        <w:rPr>
          <w:rFonts w:eastAsia="Calibri"/>
          <w:sz w:val="22"/>
          <w:szCs w:val="22"/>
          <w:lang w:val="en-US" w:eastAsia="en-US"/>
        </w:rPr>
        <w:t xml:space="preserve">. </w:t>
      </w:r>
      <w:r w:rsidRPr="00BB430C">
        <w:rPr>
          <w:rFonts w:eastAsia="Calibri"/>
          <w:sz w:val="22"/>
          <w:szCs w:val="22"/>
          <w:lang w:eastAsia="en-US"/>
        </w:rPr>
        <w:t>Landscape genomics can also be used to detect selection signatures.</w:t>
      </w:r>
      <w:r w:rsidR="006A6C37">
        <w:rPr>
          <w:rFonts w:eastAsia="Calibri"/>
          <w:sz w:val="22"/>
          <w:szCs w:val="22"/>
          <w:lang w:eastAsia="en-US"/>
        </w:rPr>
        <w:t xml:space="preserve"> Landscape genomics is a promising approach</w:t>
      </w:r>
      <w:r w:rsidR="006A6C37" w:rsidRPr="00596DE3">
        <w:rPr>
          <w:rFonts w:eastAsia="Calibri"/>
          <w:sz w:val="22"/>
          <w:szCs w:val="22"/>
          <w:lang w:eastAsia="en-US"/>
        </w:rPr>
        <w:t xml:space="preserve"> for optimizing genetic potential by adapting breeding stock to locations. The alternative approach, to optimize traits under a defined set of conditions, fails when those conditions cannot be recreated where the livestock are raised.</w:t>
      </w:r>
    </w:p>
    <w:p w14:paraId="6922076A" w14:textId="77777777" w:rsidR="00596DE3" w:rsidRPr="00BB430C" w:rsidRDefault="00596DE3" w:rsidP="00596DE3">
      <w:pPr>
        <w:spacing w:after="120"/>
        <w:rPr>
          <w:rFonts w:eastAsia="Calibri"/>
          <w:sz w:val="22"/>
          <w:szCs w:val="22"/>
          <w:lang w:eastAsia="en-US"/>
        </w:rPr>
      </w:pPr>
      <w:r w:rsidRPr="00BB430C">
        <w:rPr>
          <w:rFonts w:eastAsia="Calibri"/>
          <w:sz w:val="22"/>
          <w:szCs w:val="22"/>
          <w:lang w:eastAsia="en-US"/>
        </w:rPr>
        <w:t xml:space="preserve">Researchers have used SNPs, geographical data and information about production systems to describe indigenous goat populations in South Africa </w:t>
      </w:r>
      <w:r w:rsidR="001C037C">
        <w:rPr>
          <w:rFonts w:eastAsia="Calibri"/>
          <w:noProof/>
          <w:sz w:val="22"/>
          <w:szCs w:val="22"/>
          <w:lang w:eastAsia="en-US"/>
        </w:rPr>
        <w:t>(Mdladla</w:t>
      </w:r>
      <w:r w:rsidR="001C037C" w:rsidRPr="001C037C">
        <w:rPr>
          <w:rFonts w:eastAsia="Calibri"/>
          <w:i/>
          <w:noProof/>
          <w:sz w:val="22"/>
          <w:szCs w:val="22"/>
          <w:lang w:eastAsia="en-US"/>
        </w:rPr>
        <w:t xml:space="preserve"> et al.</w:t>
      </w:r>
      <w:r w:rsidR="001C037C">
        <w:rPr>
          <w:rFonts w:eastAsia="Calibri"/>
          <w:noProof/>
          <w:sz w:val="22"/>
          <w:szCs w:val="22"/>
          <w:lang w:eastAsia="en-US"/>
        </w:rPr>
        <w:t>, 2017)</w:t>
      </w:r>
      <w:r w:rsidRPr="00BB430C">
        <w:rPr>
          <w:rFonts w:eastAsia="Calibri"/>
          <w:sz w:val="22"/>
          <w:szCs w:val="22"/>
          <w:lang w:eastAsia="en-US"/>
        </w:rPr>
        <w:t xml:space="preserve">. </w:t>
      </w:r>
      <w:r w:rsidRPr="00BB430C">
        <w:rPr>
          <w:rFonts w:eastAsia="Calibri"/>
          <w:iCs/>
          <w:sz w:val="22"/>
          <w:szCs w:val="22"/>
          <w:lang w:eastAsia="en-US"/>
        </w:rPr>
        <w:t xml:space="preserve">“Adaptation of animal genotypes to the environment is central to the coping of local livestock populations to changing climatic and production objectives and is a key parameter to use in conservation and improvement programs” </w:t>
      </w:r>
      <w:r w:rsidR="001C037C">
        <w:rPr>
          <w:rFonts w:eastAsia="Calibri"/>
          <w:iCs/>
          <w:noProof/>
          <w:sz w:val="22"/>
          <w:szCs w:val="22"/>
          <w:lang w:eastAsia="en-US"/>
        </w:rPr>
        <w:t>(Mdladla</w:t>
      </w:r>
      <w:r w:rsidR="001C037C" w:rsidRPr="001C037C">
        <w:rPr>
          <w:rFonts w:eastAsia="Calibri"/>
          <w:i/>
          <w:iCs/>
          <w:noProof/>
          <w:sz w:val="22"/>
          <w:szCs w:val="22"/>
          <w:lang w:eastAsia="en-US"/>
        </w:rPr>
        <w:t xml:space="preserve"> et al.</w:t>
      </w:r>
      <w:r w:rsidR="001C037C">
        <w:rPr>
          <w:rFonts w:eastAsia="Calibri"/>
          <w:iCs/>
          <w:noProof/>
          <w:sz w:val="22"/>
          <w:szCs w:val="22"/>
          <w:lang w:eastAsia="en-US"/>
        </w:rPr>
        <w:t>, 2017)</w:t>
      </w:r>
      <w:r w:rsidR="006A6C37">
        <w:rPr>
          <w:rFonts w:eastAsia="Calibri"/>
          <w:iCs/>
          <w:sz w:val="22"/>
          <w:szCs w:val="22"/>
          <w:lang w:eastAsia="en-US"/>
        </w:rPr>
        <w:t xml:space="preserve"> and therefore to food security and nutrition</w:t>
      </w:r>
      <w:r w:rsidRPr="00BB430C">
        <w:rPr>
          <w:rFonts w:eastAsia="Calibri"/>
          <w:iCs/>
          <w:sz w:val="22"/>
          <w:szCs w:val="22"/>
          <w:lang w:eastAsia="en-US"/>
        </w:rPr>
        <w:t>.</w:t>
      </w:r>
    </w:p>
    <w:p w14:paraId="59834B8B" w14:textId="77777777" w:rsidR="00596DE3" w:rsidRPr="00BB430C" w:rsidRDefault="006A0F0C" w:rsidP="00596DE3">
      <w:pPr>
        <w:spacing w:after="120"/>
        <w:rPr>
          <w:rFonts w:eastAsia="Calibri"/>
          <w:sz w:val="22"/>
          <w:szCs w:val="22"/>
          <w:lang w:eastAsia="en-US"/>
        </w:rPr>
      </w:pPr>
      <w:r>
        <w:rPr>
          <w:rFonts w:eastAsia="Calibri"/>
          <w:sz w:val="22"/>
          <w:szCs w:val="22"/>
          <w:lang w:eastAsia="en-US"/>
        </w:rPr>
        <w:t>DSI in l</w:t>
      </w:r>
      <w:r w:rsidRPr="00BB430C">
        <w:rPr>
          <w:rFonts w:eastAsia="Calibri"/>
          <w:sz w:val="22"/>
          <w:szCs w:val="22"/>
          <w:lang w:eastAsia="en-US"/>
        </w:rPr>
        <w:t xml:space="preserve">andscape </w:t>
      </w:r>
      <w:r w:rsidR="00596DE3" w:rsidRPr="00BB430C">
        <w:rPr>
          <w:rFonts w:eastAsia="Calibri"/>
          <w:sz w:val="22"/>
          <w:szCs w:val="22"/>
          <w:lang w:eastAsia="en-US"/>
        </w:rPr>
        <w:t>genomics studies on goat p</w:t>
      </w:r>
      <w:r w:rsidR="006B391F">
        <w:rPr>
          <w:rFonts w:eastAsia="Calibri"/>
          <w:sz w:val="22"/>
          <w:szCs w:val="22"/>
          <w:lang w:eastAsia="en-US"/>
        </w:rPr>
        <w:t>opulations validate</w:t>
      </w:r>
      <w:r w:rsidR="00596DE3" w:rsidRPr="00BB430C">
        <w:rPr>
          <w:rFonts w:eastAsia="Calibri"/>
          <w:sz w:val="22"/>
          <w:szCs w:val="22"/>
          <w:lang w:eastAsia="en-US"/>
        </w:rPr>
        <w:t xml:space="preserve"> other approaches to identifying breeds of unique genetic character and potential value. The combination of lower costs to generating relevant DSI for such studies and the diversity of traits represented by locally adapted animal populations could produce important gains for marginalized farmers in less developed countries </w:t>
      </w:r>
      <w:r w:rsidR="001C037C">
        <w:rPr>
          <w:rFonts w:eastAsia="Calibri"/>
          <w:noProof/>
          <w:sz w:val="22"/>
          <w:szCs w:val="22"/>
          <w:lang w:eastAsia="en-US"/>
        </w:rPr>
        <w:t>(Mdladla</w:t>
      </w:r>
      <w:r w:rsidR="001C037C" w:rsidRPr="001C037C">
        <w:rPr>
          <w:rFonts w:eastAsia="Calibri"/>
          <w:i/>
          <w:noProof/>
          <w:sz w:val="22"/>
          <w:szCs w:val="22"/>
          <w:lang w:eastAsia="en-US"/>
        </w:rPr>
        <w:t xml:space="preserve"> et al.</w:t>
      </w:r>
      <w:r w:rsidR="001C037C">
        <w:rPr>
          <w:rFonts w:eastAsia="Calibri"/>
          <w:noProof/>
          <w:sz w:val="22"/>
          <w:szCs w:val="22"/>
          <w:lang w:eastAsia="en-US"/>
        </w:rPr>
        <w:t>, 2017)</w:t>
      </w:r>
      <w:r w:rsidR="00596DE3" w:rsidRPr="00BB430C">
        <w:rPr>
          <w:rFonts w:eastAsia="Calibri"/>
          <w:sz w:val="22"/>
          <w:szCs w:val="22"/>
          <w:lang w:eastAsia="en-US"/>
        </w:rPr>
        <w:t>.</w:t>
      </w:r>
    </w:p>
    <w:p w14:paraId="1CF5EBC4" w14:textId="77777777" w:rsidR="00596DE3" w:rsidRPr="00596DE3" w:rsidRDefault="00596DE3" w:rsidP="006A6C37">
      <w:pPr>
        <w:spacing w:after="120"/>
        <w:rPr>
          <w:rFonts w:eastAsia="Calibri"/>
          <w:sz w:val="22"/>
          <w:szCs w:val="22"/>
          <w:lang w:eastAsia="en-US"/>
        </w:rPr>
      </w:pPr>
      <w:r w:rsidRPr="00596DE3">
        <w:rPr>
          <w:rFonts w:eastAsia="Calibri"/>
          <w:sz w:val="22"/>
          <w:szCs w:val="22"/>
          <w:lang w:eastAsia="en-US"/>
        </w:rPr>
        <w:lastRenderedPageBreak/>
        <w:t>The field of landscape genomics illustrates well how local climate and topography data must be combined with DNA sequence data to extract greater value from a genetic resource.</w:t>
      </w:r>
      <w:r w:rsidR="006A6C37">
        <w:rPr>
          <w:rFonts w:eastAsia="Calibri"/>
          <w:sz w:val="22"/>
          <w:szCs w:val="22"/>
          <w:lang w:eastAsia="en-US"/>
        </w:rPr>
        <w:t xml:space="preserve"> </w:t>
      </w:r>
      <w:r w:rsidR="006A6C37" w:rsidRPr="00596DE3">
        <w:rPr>
          <w:rFonts w:eastAsia="Calibri"/>
          <w:sz w:val="22"/>
          <w:szCs w:val="22"/>
          <w:lang w:eastAsia="en-US"/>
        </w:rPr>
        <w:t xml:space="preserve">The actual or potential value of some forms of DSI cannot be realized if </w:t>
      </w:r>
      <w:r w:rsidR="006A6C37">
        <w:rPr>
          <w:rFonts w:eastAsia="Calibri"/>
          <w:sz w:val="22"/>
          <w:szCs w:val="22"/>
          <w:lang w:eastAsia="en-US"/>
        </w:rPr>
        <w:t>disconnected</w:t>
      </w:r>
      <w:r w:rsidR="006A6C37" w:rsidRPr="00596DE3">
        <w:rPr>
          <w:rFonts w:eastAsia="Calibri"/>
          <w:sz w:val="22"/>
          <w:szCs w:val="22"/>
          <w:lang w:eastAsia="en-US"/>
        </w:rPr>
        <w:t xml:space="preserve"> from other forms</w:t>
      </w:r>
      <w:r w:rsidR="006A6C37">
        <w:rPr>
          <w:rFonts w:eastAsia="Calibri"/>
          <w:sz w:val="22"/>
          <w:szCs w:val="22"/>
          <w:lang w:eastAsia="en-US"/>
        </w:rPr>
        <w:t xml:space="preserve"> of DSI</w:t>
      </w:r>
      <w:r w:rsidR="006A6C37" w:rsidRPr="00596DE3">
        <w:rPr>
          <w:rFonts w:eastAsia="Calibri"/>
          <w:sz w:val="22"/>
          <w:szCs w:val="22"/>
          <w:lang w:eastAsia="en-US"/>
        </w:rPr>
        <w:t>.</w:t>
      </w:r>
    </w:p>
    <w:p w14:paraId="216270A2" w14:textId="77777777" w:rsidR="00596DE3" w:rsidRPr="00BB430C" w:rsidRDefault="006A6C37" w:rsidP="006A6C37">
      <w:pPr>
        <w:spacing w:after="120"/>
        <w:rPr>
          <w:rFonts w:eastAsia="Calibri"/>
          <w:sz w:val="22"/>
          <w:szCs w:val="22"/>
          <w:lang w:eastAsia="en-US"/>
        </w:rPr>
      </w:pPr>
      <w:r>
        <w:rPr>
          <w:rFonts w:eastAsia="Calibri"/>
          <w:sz w:val="22"/>
          <w:szCs w:val="22"/>
          <w:lang w:eastAsia="en-US"/>
        </w:rPr>
        <w:t xml:space="preserve">In another application of landscape genomics, the genomes of </w:t>
      </w:r>
      <w:r w:rsidR="008408D9">
        <w:rPr>
          <w:rFonts w:eastAsia="Calibri"/>
          <w:sz w:val="22"/>
          <w:szCs w:val="22"/>
          <w:lang w:eastAsia="en-US"/>
        </w:rPr>
        <w:t>five</w:t>
      </w:r>
      <w:r w:rsidR="008408D9" w:rsidRPr="00BB430C">
        <w:rPr>
          <w:rFonts w:eastAsia="Calibri"/>
          <w:sz w:val="22"/>
          <w:szCs w:val="22"/>
          <w:lang w:eastAsia="en-US"/>
        </w:rPr>
        <w:t xml:space="preserve"> </w:t>
      </w:r>
      <w:r w:rsidR="00596DE3" w:rsidRPr="00BB430C">
        <w:rPr>
          <w:rFonts w:eastAsia="Calibri"/>
          <w:sz w:val="22"/>
          <w:szCs w:val="22"/>
          <w:lang w:eastAsia="en-US"/>
        </w:rPr>
        <w:t>indigenous African cattle</w:t>
      </w:r>
      <w:r>
        <w:rPr>
          <w:rFonts w:eastAsia="Calibri"/>
          <w:sz w:val="22"/>
          <w:szCs w:val="22"/>
          <w:lang w:eastAsia="en-US"/>
        </w:rPr>
        <w:t xml:space="preserve"> were sequenced</w:t>
      </w:r>
      <w:r w:rsidR="00596DE3" w:rsidRPr="00BB430C">
        <w:rPr>
          <w:rFonts w:eastAsia="Calibri"/>
          <w:sz w:val="22"/>
          <w:szCs w:val="22"/>
          <w:lang w:eastAsia="en-US"/>
        </w:rPr>
        <w:t xml:space="preserve"> </w:t>
      </w:r>
      <w:r w:rsidR="001C037C">
        <w:rPr>
          <w:rFonts w:eastAsia="Calibri"/>
          <w:noProof/>
          <w:sz w:val="22"/>
          <w:szCs w:val="22"/>
          <w:lang w:eastAsia="en-US"/>
        </w:rPr>
        <w:t>(Kim</w:t>
      </w:r>
      <w:r w:rsidR="001C037C" w:rsidRPr="001C037C">
        <w:rPr>
          <w:rFonts w:eastAsia="Calibri"/>
          <w:i/>
          <w:noProof/>
          <w:sz w:val="22"/>
          <w:szCs w:val="22"/>
          <w:lang w:eastAsia="en-US"/>
        </w:rPr>
        <w:t xml:space="preserve"> et al.</w:t>
      </w:r>
      <w:r w:rsidR="001C037C">
        <w:rPr>
          <w:rFonts w:eastAsia="Calibri"/>
          <w:noProof/>
          <w:sz w:val="22"/>
          <w:szCs w:val="22"/>
          <w:lang w:eastAsia="en-US"/>
        </w:rPr>
        <w:t>, 2017)</w:t>
      </w:r>
      <w:r w:rsidR="00596DE3" w:rsidRPr="00BB430C">
        <w:rPr>
          <w:rFonts w:eastAsia="Calibri"/>
          <w:sz w:val="22"/>
          <w:szCs w:val="22"/>
          <w:lang w:eastAsia="en-US"/>
        </w:rPr>
        <w:t>. These cattle breeds are spread across highly different agroecological zones. Because of this, the place in which the cattle live can have a significant effect on their genes over time. If a quantitative trait such as greater heat tolerance or tick resistance is desired, those traits are more likely to be revealed through comparisons of genomes of cattle adapted to environments that significantly differ in temperature and types of pests.</w:t>
      </w:r>
    </w:p>
    <w:p w14:paraId="5887B3B1" w14:textId="77777777" w:rsidR="00596DE3" w:rsidRPr="00BB430C" w:rsidRDefault="00596DE3" w:rsidP="00596DE3">
      <w:pPr>
        <w:spacing w:after="120"/>
        <w:rPr>
          <w:rFonts w:eastAsia="Calibri"/>
          <w:sz w:val="22"/>
          <w:szCs w:val="22"/>
          <w:lang w:eastAsia="en-US"/>
        </w:rPr>
      </w:pPr>
      <w:r w:rsidRPr="00BB430C">
        <w:rPr>
          <w:rFonts w:eastAsia="Calibri"/>
          <w:sz w:val="22"/>
          <w:szCs w:val="22"/>
          <w:lang w:eastAsia="en-US"/>
        </w:rPr>
        <w:t xml:space="preserve">“African cattle populations represent a unique genetic resource for the understanding of the role of natural and artificial selection in the shaping of the functional diversity of a ruminant species. Moreover, unravelling their genome diversity may provide new insights into the genetic mechanisms underlying their adaptation to various agro-ecosystems” </w:t>
      </w:r>
      <w:r w:rsidR="001C037C">
        <w:rPr>
          <w:rFonts w:eastAsia="Calibri"/>
          <w:noProof/>
          <w:sz w:val="22"/>
          <w:szCs w:val="22"/>
          <w:lang w:eastAsia="en-US"/>
        </w:rPr>
        <w:t>(Kim</w:t>
      </w:r>
      <w:r w:rsidR="001C037C" w:rsidRPr="001C037C">
        <w:rPr>
          <w:rFonts w:eastAsia="Calibri"/>
          <w:i/>
          <w:noProof/>
          <w:sz w:val="22"/>
          <w:szCs w:val="22"/>
          <w:lang w:eastAsia="en-US"/>
        </w:rPr>
        <w:t xml:space="preserve"> et al.</w:t>
      </w:r>
      <w:r w:rsidR="001C037C">
        <w:rPr>
          <w:rFonts w:eastAsia="Calibri"/>
          <w:noProof/>
          <w:sz w:val="22"/>
          <w:szCs w:val="22"/>
          <w:lang w:eastAsia="en-US"/>
        </w:rPr>
        <w:t>, 2017)</w:t>
      </w:r>
      <w:r w:rsidRPr="00BB430C">
        <w:rPr>
          <w:rFonts w:eastAsia="Calibri"/>
          <w:iCs/>
          <w:sz w:val="22"/>
          <w:szCs w:val="22"/>
          <w:lang w:eastAsia="en-US"/>
        </w:rPr>
        <w:t>.</w:t>
      </w:r>
    </w:p>
    <w:p w14:paraId="69057A05" w14:textId="77777777" w:rsidR="00596DE3" w:rsidRDefault="00596DE3" w:rsidP="00596DE3">
      <w:pPr>
        <w:spacing w:after="120"/>
        <w:rPr>
          <w:rFonts w:eastAsia="Calibri"/>
          <w:sz w:val="22"/>
          <w:szCs w:val="22"/>
          <w:lang w:eastAsia="en-US"/>
        </w:rPr>
      </w:pPr>
      <w:r w:rsidRPr="00BB430C">
        <w:rPr>
          <w:rFonts w:eastAsia="Calibri"/>
          <w:sz w:val="22"/>
          <w:szCs w:val="22"/>
          <w:lang w:eastAsia="en-US"/>
        </w:rPr>
        <w:t>The sample size was far from exhaustive as an examination of cattle genetic resources in Africa</w:t>
      </w:r>
      <w:r w:rsidR="008408D9">
        <w:rPr>
          <w:rFonts w:eastAsia="Calibri"/>
          <w:sz w:val="22"/>
          <w:szCs w:val="22"/>
          <w:lang w:eastAsia="en-US"/>
        </w:rPr>
        <w:t xml:space="preserve"> – </w:t>
      </w:r>
      <w:r w:rsidR="006A6C37">
        <w:rPr>
          <w:rFonts w:eastAsia="Calibri"/>
          <w:sz w:val="22"/>
          <w:szCs w:val="22"/>
          <w:lang w:eastAsia="en-US"/>
        </w:rPr>
        <w:t>with</w:t>
      </w:r>
      <w:r w:rsidR="006A6C37" w:rsidRPr="00BB430C">
        <w:rPr>
          <w:rFonts w:eastAsia="Calibri"/>
          <w:sz w:val="22"/>
          <w:szCs w:val="22"/>
          <w:lang w:eastAsia="en-US"/>
        </w:rPr>
        <w:t xml:space="preserve"> an estimated 150 breeds on the continent</w:t>
      </w:r>
      <w:r w:rsidR="008408D9">
        <w:rPr>
          <w:rFonts w:eastAsia="Calibri"/>
          <w:sz w:val="22"/>
          <w:szCs w:val="22"/>
          <w:lang w:eastAsia="en-US"/>
        </w:rPr>
        <w:t xml:space="preserve"> – </w:t>
      </w:r>
      <w:r w:rsidRPr="00BB430C">
        <w:rPr>
          <w:rFonts w:eastAsia="Calibri"/>
          <w:sz w:val="22"/>
          <w:szCs w:val="22"/>
          <w:lang w:eastAsia="en-US"/>
        </w:rPr>
        <w:t>but sufficient to demonstrate Africa-specific adaptations. Geography-genome patterns were i</w:t>
      </w:r>
      <w:r w:rsidR="006B391F">
        <w:rPr>
          <w:rFonts w:eastAsia="Calibri"/>
          <w:sz w:val="22"/>
          <w:szCs w:val="22"/>
          <w:lang w:eastAsia="en-US"/>
        </w:rPr>
        <w:t>dentified that likely associate</w:t>
      </w:r>
      <w:r w:rsidRPr="00BB430C">
        <w:rPr>
          <w:rFonts w:eastAsia="Calibri"/>
          <w:sz w:val="22"/>
          <w:szCs w:val="22"/>
          <w:lang w:eastAsia="en-US"/>
        </w:rPr>
        <w:t xml:space="preserve"> quantitative trait loci (QTL) of populations of cattle more tolerant of heat and other aspects of the climate and local diseases, among other things.</w:t>
      </w:r>
    </w:p>
    <w:p w14:paraId="1227012A" w14:textId="77777777" w:rsidR="006A0F0C" w:rsidRPr="00BB430C" w:rsidRDefault="006A0F0C" w:rsidP="006A0F0C">
      <w:pPr>
        <w:spacing w:after="120"/>
        <w:rPr>
          <w:rFonts w:eastAsia="Calibri"/>
          <w:sz w:val="22"/>
          <w:szCs w:val="22"/>
          <w:lang w:val="en-US" w:eastAsia="en-US"/>
        </w:rPr>
      </w:pPr>
      <w:r>
        <w:rPr>
          <w:rFonts w:eastAsia="Calibri"/>
          <w:sz w:val="22"/>
          <w:szCs w:val="22"/>
          <w:lang w:val="en-US" w:eastAsia="en-US"/>
        </w:rPr>
        <w:t xml:space="preserve">DSI of the epigenome is used in PGR and AGR breeding. </w:t>
      </w:r>
      <w:r w:rsidRPr="00BB430C">
        <w:rPr>
          <w:rFonts w:eastAsia="Calibri"/>
          <w:sz w:val="22"/>
          <w:szCs w:val="22"/>
          <w:lang w:val="en-US" w:eastAsia="en-US"/>
        </w:rPr>
        <w:t xml:space="preserve">A study of three pig breeds, the western Landrace and Tibetan and Rongchang Chinese breeds, investigated differences in the pattern of adipose tissue deposition </w:t>
      </w:r>
      <w:r w:rsidR="001C037C">
        <w:rPr>
          <w:rFonts w:eastAsia="Calibri"/>
          <w:noProof/>
          <w:sz w:val="22"/>
          <w:szCs w:val="22"/>
          <w:lang w:val="en-US" w:eastAsia="en-US"/>
        </w:rPr>
        <w:t>(Li, 2012)</w:t>
      </w:r>
      <w:r w:rsidRPr="00BB430C">
        <w:rPr>
          <w:rFonts w:eastAsia="Calibri"/>
          <w:sz w:val="22"/>
          <w:szCs w:val="22"/>
          <w:lang w:val="en-US" w:eastAsia="en-US"/>
        </w:rPr>
        <w:t>. These traits are important for breeding livestock that produce the most desirable meat at the lowest resource input. The study revealed that the fat distribution pattern was a</w:t>
      </w:r>
      <w:r>
        <w:rPr>
          <w:rFonts w:eastAsia="Calibri"/>
          <w:sz w:val="22"/>
          <w:szCs w:val="22"/>
          <w:lang w:val="en-US" w:eastAsia="en-US"/>
        </w:rPr>
        <w:t>n epigenetic</w:t>
      </w:r>
      <w:r w:rsidRPr="00BB430C">
        <w:rPr>
          <w:rFonts w:eastAsia="Calibri"/>
          <w:sz w:val="22"/>
          <w:szCs w:val="22"/>
          <w:lang w:val="en-US" w:eastAsia="en-US"/>
        </w:rPr>
        <w:t xml:space="preserve"> trait arising from the pattern of methylated nucleotides in around 100 genes in each of 44 groups from eight adipose tissues.</w:t>
      </w:r>
    </w:p>
    <w:p w14:paraId="7D645895" w14:textId="77777777" w:rsidR="006A0F0C" w:rsidRPr="00A538DB" w:rsidRDefault="006A0F0C" w:rsidP="006A0F0C">
      <w:pPr>
        <w:spacing w:after="120"/>
        <w:rPr>
          <w:rFonts w:eastAsia="Calibri"/>
          <w:i/>
          <w:iCs/>
          <w:sz w:val="22"/>
          <w:szCs w:val="22"/>
          <w:lang w:val="mi-NZ" w:eastAsia="en-US"/>
        </w:rPr>
      </w:pPr>
      <w:r w:rsidRPr="00BB430C">
        <w:rPr>
          <w:rFonts w:eastAsia="Calibri"/>
          <w:sz w:val="22"/>
          <w:szCs w:val="22"/>
          <w:lang w:val="en-US" w:eastAsia="en-US"/>
        </w:rPr>
        <w:t xml:space="preserve">Variations in the epigenome may be environmentally induced or part of the developmental pattern of the organism </w:t>
      </w:r>
      <w:r w:rsidR="001C037C">
        <w:rPr>
          <w:rFonts w:eastAsia="Calibri"/>
          <w:noProof/>
          <w:sz w:val="22"/>
          <w:szCs w:val="22"/>
          <w:lang w:val="en-US" w:eastAsia="en-US"/>
        </w:rPr>
        <w:t>(Springer and Schmitz, 2017)</w:t>
      </w:r>
      <w:r w:rsidRPr="00BB430C">
        <w:rPr>
          <w:rFonts w:eastAsia="Calibri"/>
          <w:sz w:val="22"/>
          <w:szCs w:val="22"/>
          <w:lang w:val="en-US" w:eastAsia="en-US"/>
        </w:rPr>
        <w:t xml:space="preserve">. For example, the frequency of methylation on cytosine (C) nucleotides varied more between leaves of the same inflorescence on the shrub of </w:t>
      </w:r>
      <w:r w:rsidRPr="00BB430C">
        <w:rPr>
          <w:rFonts w:eastAsia="Calibri"/>
          <w:i/>
          <w:iCs/>
          <w:sz w:val="22"/>
          <w:szCs w:val="22"/>
          <w:lang w:val="mi-NZ" w:eastAsia="en-US"/>
        </w:rPr>
        <w:t>Lavandula latifolia</w:t>
      </w:r>
      <w:r w:rsidRPr="00A538DB">
        <w:rPr>
          <w:rFonts w:eastAsia="Calibri"/>
          <w:iCs/>
          <w:sz w:val="22"/>
          <w:szCs w:val="22"/>
          <w:lang w:val="mi-NZ" w:eastAsia="en-US"/>
        </w:rPr>
        <w:t>, grown commercially for production of essential oil</w:t>
      </w:r>
      <w:r>
        <w:rPr>
          <w:rFonts w:eastAsia="Calibri"/>
          <w:iCs/>
          <w:sz w:val="22"/>
          <w:szCs w:val="22"/>
          <w:lang w:val="mi-NZ" w:eastAsia="en-US"/>
        </w:rPr>
        <w:t xml:space="preserve"> for aromatherapy and fragrance</w:t>
      </w:r>
      <w:r w:rsidRPr="00A538DB">
        <w:rPr>
          <w:rFonts w:eastAsia="Calibri"/>
          <w:iCs/>
          <w:sz w:val="22"/>
          <w:szCs w:val="22"/>
          <w:lang w:val="mi-NZ" w:eastAsia="en-US"/>
        </w:rPr>
        <w:t xml:space="preserve"> and </w:t>
      </w:r>
      <w:r>
        <w:rPr>
          <w:rFonts w:eastAsia="Calibri"/>
          <w:iCs/>
          <w:sz w:val="22"/>
          <w:szCs w:val="22"/>
          <w:lang w:val="mi-NZ" w:eastAsia="en-US"/>
        </w:rPr>
        <w:t>also</w:t>
      </w:r>
      <w:r w:rsidRPr="00A538DB">
        <w:rPr>
          <w:rFonts w:eastAsia="Calibri"/>
          <w:iCs/>
          <w:sz w:val="22"/>
          <w:szCs w:val="22"/>
          <w:lang w:val="mi-NZ" w:eastAsia="en-US"/>
        </w:rPr>
        <w:t xml:space="preserve"> for</w:t>
      </w:r>
      <w:r>
        <w:rPr>
          <w:rFonts w:eastAsia="Calibri"/>
          <w:iCs/>
          <w:sz w:val="22"/>
          <w:szCs w:val="22"/>
          <w:lang w:val="mi-NZ" w:eastAsia="en-US"/>
        </w:rPr>
        <w:t xml:space="preserve"> honey production and</w:t>
      </w:r>
      <w:r w:rsidRPr="00A538DB">
        <w:rPr>
          <w:rFonts w:eastAsia="Calibri"/>
          <w:iCs/>
          <w:sz w:val="22"/>
          <w:szCs w:val="22"/>
          <w:lang w:val="mi-NZ" w:eastAsia="en-US"/>
        </w:rPr>
        <w:t xml:space="preserve"> horticultural value</w:t>
      </w:r>
      <w:r>
        <w:rPr>
          <w:rFonts w:eastAsia="Calibri"/>
          <w:iCs/>
          <w:sz w:val="22"/>
          <w:szCs w:val="22"/>
          <w:lang w:val="mi-NZ" w:eastAsia="en-US"/>
        </w:rPr>
        <w:t>,</w:t>
      </w:r>
      <w:r w:rsidRPr="00BB430C">
        <w:rPr>
          <w:rFonts w:eastAsia="Calibri"/>
          <w:sz w:val="22"/>
          <w:szCs w:val="22"/>
          <w:lang w:val="en-US" w:eastAsia="en-US"/>
        </w:rPr>
        <w:t xml:space="preserve"> than they did on average between individual shrubs </w:t>
      </w:r>
      <w:r w:rsidR="001C037C">
        <w:rPr>
          <w:rFonts w:eastAsia="Calibri"/>
          <w:noProof/>
          <w:sz w:val="22"/>
          <w:szCs w:val="22"/>
          <w:lang w:val="en-US" w:eastAsia="en-US"/>
        </w:rPr>
        <w:t>(Alonso</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sidRPr="00BB430C">
        <w:rPr>
          <w:rFonts w:eastAsia="Calibri"/>
          <w:sz w:val="22"/>
          <w:szCs w:val="22"/>
          <w:lang w:val="en-US" w:eastAsia="en-US"/>
        </w:rPr>
        <w:t>. The size and number of seeds produced by the leaves in an inflorescence was correlated with environmentally influenced sectorial methylation levels.</w:t>
      </w:r>
      <w:r w:rsidRPr="00BB430C">
        <w:rPr>
          <w:rFonts w:eastAsia="Calibri"/>
          <w:sz w:val="22"/>
          <w:szCs w:val="22"/>
          <w:lang w:val="mi-NZ" w:eastAsia="en-US"/>
        </w:rPr>
        <w:t xml:space="preserve"> </w:t>
      </w:r>
    </w:p>
    <w:p w14:paraId="0DA75267" w14:textId="77777777" w:rsidR="006A0F0C" w:rsidRPr="00BB430C" w:rsidRDefault="006A0F0C" w:rsidP="006A0F0C">
      <w:pPr>
        <w:spacing w:after="120"/>
        <w:rPr>
          <w:rFonts w:eastAsia="Calibri"/>
          <w:sz w:val="22"/>
          <w:szCs w:val="22"/>
          <w:lang w:val="mi-NZ" w:eastAsia="en-US"/>
        </w:rPr>
      </w:pPr>
      <w:r w:rsidRPr="00BB430C">
        <w:rPr>
          <w:rFonts w:eastAsia="Calibri"/>
          <w:sz w:val="22"/>
          <w:szCs w:val="22"/>
          <w:lang w:val="en-US" w:eastAsia="en-US"/>
        </w:rPr>
        <w:t xml:space="preserve">A methylation pattern may be propagated in two different ways. </w:t>
      </w:r>
      <w:r>
        <w:rPr>
          <w:rFonts w:eastAsia="Calibri"/>
          <w:sz w:val="22"/>
          <w:szCs w:val="22"/>
          <w:lang w:val="en-US" w:eastAsia="en-US"/>
        </w:rPr>
        <w:t>One is w</w:t>
      </w:r>
      <w:r w:rsidRPr="00BB430C">
        <w:rPr>
          <w:rFonts w:eastAsia="Calibri"/>
          <w:sz w:val="22"/>
          <w:szCs w:val="22"/>
          <w:lang w:val="en-US" w:eastAsia="en-US"/>
        </w:rPr>
        <w:t xml:space="preserve">here the pattern persists through gametogenesis, as in imprinting </w:t>
      </w:r>
      <w:r w:rsidR="001C037C">
        <w:rPr>
          <w:rFonts w:eastAsia="Calibri"/>
          <w:noProof/>
          <w:sz w:val="22"/>
          <w:szCs w:val="22"/>
          <w:lang w:val="en-US" w:eastAsia="en-US"/>
        </w:rPr>
        <w:t>(Li</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1993)</w:t>
      </w:r>
      <w:r w:rsidRPr="00BB430C">
        <w:rPr>
          <w:rFonts w:eastAsia="Calibri"/>
          <w:sz w:val="22"/>
          <w:szCs w:val="22"/>
          <w:lang w:val="en-US" w:eastAsia="en-US"/>
        </w:rPr>
        <w:t>, and</w:t>
      </w:r>
      <w:r>
        <w:rPr>
          <w:rFonts w:eastAsia="Calibri"/>
          <w:sz w:val="22"/>
          <w:szCs w:val="22"/>
          <w:lang w:val="en-US" w:eastAsia="en-US"/>
        </w:rPr>
        <w:t>,</w:t>
      </w:r>
      <w:r w:rsidRPr="00BB430C">
        <w:rPr>
          <w:rFonts w:eastAsia="Calibri"/>
          <w:sz w:val="22"/>
          <w:szCs w:val="22"/>
          <w:lang w:val="en-US" w:eastAsia="en-US"/>
        </w:rPr>
        <w:t xml:space="preserve"> at least in plants</w:t>
      </w:r>
      <w:r>
        <w:rPr>
          <w:rFonts w:eastAsia="Calibri"/>
          <w:sz w:val="22"/>
          <w:szCs w:val="22"/>
          <w:lang w:val="en-US" w:eastAsia="en-US"/>
        </w:rPr>
        <w:t>, the other is</w:t>
      </w:r>
      <w:r w:rsidRPr="00BB430C">
        <w:rPr>
          <w:rFonts w:eastAsia="Calibri"/>
          <w:sz w:val="22"/>
          <w:szCs w:val="22"/>
          <w:lang w:val="en-US" w:eastAsia="en-US"/>
        </w:rPr>
        <w:t xml:space="preserve"> where the organism may be propagated clonally, as through cuttings </w:t>
      </w:r>
      <w:r w:rsidR="001C037C">
        <w:rPr>
          <w:rFonts w:eastAsia="Calibri"/>
          <w:noProof/>
          <w:sz w:val="22"/>
          <w:szCs w:val="22"/>
          <w:lang w:val="en-US" w:eastAsia="en-US"/>
        </w:rPr>
        <w:t>(Springer and Schmitz, 2017)</w:t>
      </w:r>
      <w:r w:rsidRPr="00BB430C">
        <w:rPr>
          <w:rFonts w:eastAsia="Calibri"/>
          <w:sz w:val="22"/>
          <w:szCs w:val="22"/>
          <w:lang w:val="en-US" w:eastAsia="en-US"/>
        </w:rPr>
        <w:t>.</w:t>
      </w:r>
    </w:p>
    <w:p w14:paraId="67110013" w14:textId="77777777" w:rsidR="006A0F0C" w:rsidRPr="00BB430C" w:rsidRDefault="006A0F0C" w:rsidP="006A0F0C">
      <w:pPr>
        <w:spacing w:after="120"/>
        <w:rPr>
          <w:rFonts w:eastAsia="Calibri"/>
          <w:sz w:val="22"/>
          <w:szCs w:val="22"/>
          <w:lang w:val="en-US" w:eastAsia="en-US"/>
        </w:rPr>
      </w:pPr>
      <w:r w:rsidRPr="00BB430C">
        <w:rPr>
          <w:rFonts w:eastAsia="Calibri"/>
          <w:bCs/>
          <w:sz w:val="22"/>
          <w:szCs w:val="22"/>
          <w:lang w:val="en-US" w:eastAsia="en-US"/>
        </w:rPr>
        <w:t xml:space="preserve">In addition to modification of DNA, the proteins that bind to chromosomes and control their structure, called histones, are also chemically modified. This variation in modification of the histones influences how tightly packed a chromosome is in different regions, further modulating the expression of genes in that region </w:t>
      </w:r>
      <w:r w:rsidR="001C037C">
        <w:rPr>
          <w:rFonts w:eastAsia="Calibri"/>
          <w:bCs/>
          <w:noProof/>
          <w:sz w:val="22"/>
          <w:szCs w:val="22"/>
          <w:lang w:val="en-US" w:eastAsia="en-US"/>
        </w:rPr>
        <w:t>(Strzyz, 2017)</w:t>
      </w:r>
      <w:r w:rsidRPr="00BB430C">
        <w:rPr>
          <w:rFonts w:eastAsia="Calibri"/>
          <w:bCs/>
          <w:sz w:val="22"/>
          <w:szCs w:val="22"/>
          <w:lang w:val="en-US" w:eastAsia="en-US"/>
        </w:rPr>
        <w:t xml:space="preserve">. Histone modifications vary over time and by type of cell, but can also be heritable and are thus part </w:t>
      </w:r>
      <w:r w:rsidRPr="00BB430C">
        <w:rPr>
          <w:rFonts w:eastAsia="Calibri"/>
          <w:sz w:val="22"/>
          <w:szCs w:val="22"/>
          <w:lang w:val="en-US" w:eastAsia="en-US"/>
        </w:rPr>
        <w:t xml:space="preserve">of how different cells in a multicellular organism differentiate to create different tissues and organs. Histone modifications have been called the histone code </w:t>
      </w:r>
      <w:r w:rsidR="001C037C">
        <w:rPr>
          <w:rFonts w:eastAsia="Calibri"/>
          <w:noProof/>
          <w:sz w:val="22"/>
          <w:szCs w:val="22"/>
          <w:lang w:val="en-US" w:eastAsia="en-US"/>
        </w:rPr>
        <w:t>(Jenuwein and Allis, 2001; Rando, 2012; Prakash and Fournier, 2018)</w:t>
      </w:r>
      <w:r w:rsidRPr="00BB430C">
        <w:rPr>
          <w:rFonts w:eastAsia="Calibri"/>
          <w:sz w:val="22"/>
          <w:szCs w:val="22"/>
          <w:lang w:val="en-US" w:eastAsia="en-US"/>
        </w:rPr>
        <w:t>.</w:t>
      </w:r>
    </w:p>
    <w:p w14:paraId="123CBDC2" w14:textId="77777777" w:rsidR="006A0F0C" w:rsidRPr="00BB430C" w:rsidRDefault="006A0F0C" w:rsidP="006A0F0C">
      <w:pPr>
        <w:spacing w:after="120"/>
        <w:rPr>
          <w:rFonts w:eastAsia="Calibri"/>
          <w:sz w:val="22"/>
          <w:szCs w:val="22"/>
          <w:lang w:val="en-US" w:eastAsia="en-US"/>
        </w:rPr>
      </w:pPr>
      <w:r w:rsidRPr="00BB430C">
        <w:rPr>
          <w:rFonts w:eastAsia="Calibri"/>
          <w:sz w:val="22"/>
          <w:szCs w:val="22"/>
          <w:lang w:val="en-US" w:eastAsia="en-US"/>
        </w:rPr>
        <w:t>A recent patent emphasizes the commercial importance of epialleles of epigenetic traits</w:t>
      </w:r>
      <w:r>
        <w:rPr>
          <w:rFonts w:eastAsia="Calibri"/>
          <w:sz w:val="22"/>
          <w:szCs w:val="22"/>
          <w:lang w:val="en-US" w:eastAsia="en-US"/>
        </w:rPr>
        <w:t xml:space="preserve"> in GRFA</w:t>
      </w:r>
      <w:r w:rsidRPr="00BB430C">
        <w:rPr>
          <w:rFonts w:eastAsia="Calibri"/>
          <w:sz w:val="22"/>
          <w:szCs w:val="22"/>
          <w:lang w:val="en-US" w:eastAsia="en-US"/>
        </w:rPr>
        <w:t>. The primary claim of the patent is to provide a method to maintain in</w:t>
      </w:r>
      <w:r>
        <w:rPr>
          <w:rFonts w:eastAsia="Calibri"/>
          <w:sz w:val="22"/>
          <w:szCs w:val="22"/>
          <w:lang w:val="en-US" w:eastAsia="en-US"/>
        </w:rPr>
        <w:t xml:space="preserve"> crop</w:t>
      </w:r>
      <w:r w:rsidRPr="00BB430C">
        <w:rPr>
          <w:rFonts w:eastAsia="Calibri"/>
          <w:sz w:val="22"/>
          <w:szCs w:val="22"/>
          <w:lang w:val="en-US" w:eastAsia="en-US"/>
        </w:rPr>
        <w:t xml:space="preserve"> plants commercially important epigenetic traits through breeding. The patent distinguishes not between plants with different DNA sequences in their genomes, but different epialleles of DNA identical genes. The agronomic performance is dependent on the stable inheritance of the epigenetic marker </w:t>
      </w:r>
      <w:r w:rsidR="001C037C">
        <w:rPr>
          <w:rFonts w:eastAsia="Calibri"/>
          <w:noProof/>
          <w:sz w:val="22"/>
          <w:szCs w:val="22"/>
          <w:lang w:val="en-US" w:eastAsia="en-US"/>
        </w:rPr>
        <w:t>(Fromm, 2017)</w:t>
      </w:r>
      <w:r w:rsidRPr="00BB430C">
        <w:rPr>
          <w:rFonts w:eastAsia="Calibri"/>
          <w:sz w:val="22"/>
          <w:szCs w:val="22"/>
          <w:lang w:val="en-US" w:eastAsia="en-US"/>
        </w:rPr>
        <w:t>.</w:t>
      </w:r>
    </w:p>
    <w:p w14:paraId="3F4881AF" w14:textId="77777777" w:rsidR="006A0F0C" w:rsidRPr="00BB430C" w:rsidRDefault="006A0F0C" w:rsidP="00371817">
      <w:pPr>
        <w:spacing w:after="120"/>
        <w:rPr>
          <w:rFonts w:eastAsia="Calibri"/>
          <w:sz w:val="22"/>
          <w:szCs w:val="22"/>
          <w:lang w:eastAsia="en-US"/>
        </w:rPr>
      </w:pPr>
      <w:r w:rsidRPr="00BB430C">
        <w:rPr>
          <w:rFonts w:eastAsia="Calibri"/>
          <w:sz w:val="22"/>
          <w:szCs w:val="22"/>
          <w:lang w:eastAsia="en-US"/>
        </w:rPr>
        <w:t>As has been highlighted elsewhere in this report, DSI is stored with a suite of contextual information (i.e. metadata</w:t>
      </w:r>
      <w:r>
        <w:rPr>
          <w:rFonts w:eastAsia="Calibri"/>
          <w:sz w:val="22"/>
          <w:szCs w:val="22"/>
          <w:lang w:eastAsia="en-US"/>
        </w:rPr>
        <w:t xml:space="preserve"> and schemata</w:t>
      </w:r>
      <w:r w:rsidRPr="00BB430C">
        <w:rPr>
          <w:rFonts w:eastAsia="Calibri"/>
          <w:sz w:val="22"/>
          <w:szCs w:val="22"/>
          <w:lang w:eastAsia="en-US"/>
        </w:rPr>
        <w:t xml:space="preserve">) that makes the representations useful. Increasingly, contextual information includes epigenetic markers such as DNA and histone modifications </w:t>
      </w:r>
      <w:r w:rsidRPr="00BB430C">
        <w:rPr>
          <w:rFonts w:eastAsia="Calibri"/>
          <w:sz w:val="22"/>
          <w:szCs w:val="22"/>
          <w:lang w:eastAsia="en-US"/>
        </w:rPr>
        <w:lastRenderedPageBreak/>
        <w:t xml:space="preserve">because they are the basis of traits with actual or potential value. Databases specializing in methylated nucleotide patterns include </w:t>
      </w:r>
      <w:r w:rsidRPr="00BB430C">
        <w:rPr>
          <w:rFonts w:eastAsia="Calibri"/>
          <w:bCs/>
          <w:sz w:val="22"/>
          <w:szCs w:val="22"/>
          <w:lang w:val="en-US" w:eastAsia="en-US"/>
        </w:rPr>
        <w:t>MethDB for DNA and</w:t>
      </w:r>
      <w:r w:rsidRPr="00BB430C">
        <w:rPr>
          <w:rFonts w:eastAsia="Calibri"/>
          <w:sz w:val="22"/>
          <w:szCs w:val="22"/>
          <w:lang w:eastAsia="en-US"/>
        </w:rPr>
        <w:t xml:space="preserve"> </w:t>
      </w:r>
      <w:r w:rsidRPr="00BB430C">
        <w:rPr>
          <w:rFonts w:eastAsia="Calibri"/>
          <w:bCs/>
          <w:sz w:val="22"/>
          <w:szCs w:val="22"/>
          <w:lang w:val="en-US" w:eastAsia="en-US"/>
        </w:rPr>
        <w:t xml:space="preserve">MeT-DB for RNA methylation </w:t>
      </w:r>
      <w:r w:rsidR="001C037C">
        <w:rPr>
          <w:rFonts w:eastAsia="Calibri"/>
          <w:bCs/>
          <w:noProof/>
          <w:sz w:val="22"/>
          <w:szCs w:val="22"/>
          <w:lang w:val="en-US" w:eastAsia="en-US"/>
        </w:rPr>
        <w:t>(NAR)</w:t>
      </w:r>
      <w:r w:rsidRPr="00BB430C">
        <w:rPr>
          <w:rFonts w:eastAsia="Calibri"/>
          <w:bCs/>
          <w:sz w:val="22"/>
          <w:szCs w:val="22"/>
          <w:lang w:val="en-US" w:eastAsia="en-US"/>
        </w:rPr>
        <w:t xml:space="preserve">. Databases providing </w:t>
      </w:r>
      <w:r w:rsidRPr="00BB430C">
        <w:rPr>
          <w:rFonts w:eastAsia="Calibri"/>
          <w:sz w:val="22"/>
          <w:szCs w:val="22"/>
          <w:lang w:eastAsia="en-US"/>
        </w:rPr>
        <w:t xml:space="preserve">DSI on histones and modifications include CR Cistrome, HHMD, Histome, Histone Database and WERAM </w:t>
      </w:r>
      <w:r w:rsidR="001C037C">
        <w:rPr>
          <w:rFonts w:eastAsia="Calibri"/>
          <w:bCs/>
          <w:noProof/>
          <w:sz w:val="22"/>
          <w:szCs w:val="22"/>
          <w:lang w:val="en-US" w:eastAsia="en-US"/>
        </w:rPr>
        <w:t>(NAR)</w:t>
      </w:r>
      <w:r w:rsidRPr="00BB430C">
        <w:rPr>
          <w:rFonts w:eastAsia="Calibri"/>
          <w:bCs/>
          <w:sz w:val="22"/>
          <w:szCs w:val="22"/>
          <w:lang w:val="en-US" w:eastAsia="en-US"/>
        </w:rPr>
        <w:t>.</w:t>
      </w:r>
    </w:p>
    <w:p w14:paraId="5BA3F7FB" w14:textId="77777777" w:rsidR="006A0F0C" w:rsidRDefault="006A0F0C" w:rsidP="00596DE3">
      <w:pPr>
        <w:spacing w:after="120"/>
        <w:rPr>
          <w:rFonts w:eastAsia="Calibri"/>
          <w:sz w:val="22"/>
          <w:szCs w:val="22"/>
          <w:lang w:eastAsia="en-US"/>
        </w:rPr>
      </w:pPr>
    </w:p>
    <w:p w14:paraId="3C6D371E" w14:textId="77777777" w:rsidR="004D504F" w:rsidRDefault="004D504F" w:rsidP="004D504F">
      <w:pPr>
        <w:pStyle w:val="TableEntry"/>
        <w:keepNext/>
        <w:numPr>
          <w:ilvl w:val="2"/>
          <w:numId w:val="18"/>
        </w:numPr>
        <w:spacing w:before="120" w:after="120"/>
        <w:rPr>
          <w:i/>
        </w:rPr>
      </w:pPr>
      <w:r>
        <w:rPr>
          <w:i/>
        </w:rPr>
        <w:t>Aquatic genetic resources</w:t>
      </w:r>
    </w:p>
    <w:p w14:paraId="44E8590F" w14:textId="77777777" w:rsidR="00CC5C0E" w:rsidRPr="00076763" w:rsidRDefault="00511DAD" w:rsidP="00CC5C0E">
      <w:pPr>
        <w:spacing w:after="120"/>
        <w:rPr>
          <w:rFonts w:eastAsia="Yu Gothic Light"/>
          <w:color w:val="000000"/>
          <w:sz w:val="22"/>
          <w:szCs w:val="22"/>
          <w:lang w:val="en-US" w:eastAsia="en-US"/>
        </w:rPr>
      </w:pPr>
      <w:r w:rsidRPr="00511DAD">
        <w:rPr>
          <w:rFonts w:eastAsia="Yu Gothic Light"/>
          <w:color w:val="000000"/>
          <w:sz w:val="22"/>
          <w:szCs w:val="22"/>
          <w:lang w:val="en-US" w:eastAsia="en-US"/>
        </w:rPr>
        <w:t>The r</w:t>
      </w:r>
      <w:r>
        <w:rPr>
          <w:rFonts w:eastAsia="Yu Gothic Light"/>
          <w:color w:val="000000"/>
          <w:sz w:val="22"/>
          <w:szCs w:val="22"/>
          <w:lang w:val="en-US" w:eastAsia="en-US"/>
        </w:rPr>
        <w:t>ange of technologies to which DSI contributes for sustainable use is similar to that which may be applied for conservation and include reproductive biotechnologies, chromosome set manipulation</w:t>
      </w:r>
      <w:r w:rsidR="00F22194">
        <w:rPr>
          <w:rFonts w:eastAsia="Yu Gothic Light"/>
          <w:color w:val="000000"/>
          <w:sz w:val="22"/>
          <w:szCs w:val="22"/>
          <w:lang w:val="en-US" w:eastAsia="en-US"/>
        </w:rPr>
        <w:t xml:space="preserve"> and biotechnologies for disease diagnosis and prevention </w:t>
      </w:r>
      <w:r w:rsidR="001C037C">
        <w:rPr>
          <w:rFonts w:eastAsia="Yu Gothic Light"/>
          <w:noProof/>
          <w:color w:val="000000"/>
          <w:sz w:val="22"/>
          <w:szCs w:val="22"/>
          <w:lang w:val="en-US" w:eastAsia="en-US"/>
        </w:rPr>
        <w:t>(Lidder and Sonnino, 2011)</w:t>
      </w:r>
      <w:r w:rsidR="00F22194">
        <w:rPr>
          <w:rFonts w:eastAsia="Yu Gothic Light"/>
          <w:color w:val="000000"/>
          <w:sz w:val="22"/>
          <w:szCs w:val="22"/>
          <w:lang w:val="en-US" w:eastAsia="en-US"/>
        </w:rPr>
        <w:t>.</w:t>
      </w:r>
    </w:p>
    <w:p w14:paraId="20AD6227" w14:textId="77777777" w:rsidR="0004262D" w:rsidRPr="00BB430C" w:rsidRDefault="00CC5C0E" w:rsidP="00CC5C0E">
      <w:pPr>
        <w:spacing w:after="120"/>
        <w:rPr>
          <w:rFonts w:eastAsia="Calibri"/>
          <w:sz w:val="22"/>
          <w:szCs w:val="22"/>
          <w:lang w:val="en-US" w:eastAsia="en-US"/>
        </w:rPr>
      </w:pPr>
      <w:r w:rsidRPr="00CC5C0E">
        <w:rPr>
          <w:rFonts w:eastAsia="Yu Gothic Light"/>
          <w:color w:val="000000"/>
          <w:sz w:val="22"/>
          <w:szCs w:val="22"/>
          <w:lang w:val="en-US" w:eastAsia="en-US"/>
        </w:rPr>
        <w:t>DSI contributes to the s</w:t>
      </w:r>
      <w:r w:rsidR="0004262D">
        <w:rPr>
          <w:rFonts w:eastAsia="Calibri"/>
          <w:sz w:val="22"/>
          <w:szCs w:val="22"/>
          <w:lang w:val="en-US" w:eastAsia="en-US"/>
        </w:rPr>
        <w:t xml:space="preserve">ustainable use of </w:t>
      </w:r>
      <w:r w:rsidR="00F22194">
        <w:rPr>
          <w:rFonts w:eastAsia="Calibri"/>
          <w:sz w:val="22"/>
          <w:szCs w:val="22"/>
          <w:lang w:val="en-US" w:eastAsia="en-US"/>
        </w:rPr>
        <w:t>Aq</w:t>
      </w:r>
      <w:r w:rsidR="005A7778">
        <w:rPr>
          <w:rFonts w:eastAsia="Calibri"/>
          <w:sz w:val="22"/>
          <w:szCs w:val="22"/>
          <w:lang w:val="en-US" w:eastAsia="en-US"/>
        </w:rPr>
        <w:t>GR</w:t>
      </w:r>
      <w:r w:rsidR="0004262D">
        <w:rPr>
          <w:rFonts w:eastAsia="Calibri"/>
          <w:sz w:val="22"/>
          <w:szCs w:val="22"/>
          <w:lang w:val="en-US" w:eastAsia="en-US"/>
        </w:rPr>
        <w:t xml:space="preserve"> </w:t>
      </w:r>
      <w:r>
        <w:rPr>
          <w:rFonts w:eastAsia="Calibri"/>
          <w:sz w:val="22"/>
          <w:szCs w:val="22"/>
          <w:lang w:val="en-US" w:eastAsia="en-US"/>
        </w:rPr>
        <w:t>by</w:t>
      </w:r>
      <w:r w:rsidR="00F22194">
        <w:rPr>
          <w:rFonts w:eastAsia="Calibri"/>
          <w:sz w:val="22"/>
          <w:szCs w:val="22"/>
          <w:lang w:val="en-US" w:eastAsia="en-US"/>
        </w:rPr>
        <w:t>, for example,</w:t>
      </w:r>
      <w:r>
        <w:rPr>
          <w:rFonts w:eastAsia="Calibri"/>
          <w:sz w:val="22"/>
          <w:szCs w:val="22"/>
          <w:lang w:val="en-US" w:eastAsia="en-US"/>
        </w:rPr>
        <w:t xml:space="preserve"> improving</w:t>
      </w:r>
      <w:r w:rsidR="0004262D">
        <w:rPr>
          <w:rFonts w:eastAsia="Calibri"/>
          <w:sz w:val="22"/>
          <w:szCs w:val="22"/>
          <w:lang w:val="en-US" w:eastAsia="en-US"/>
        </w:rPr>
        <w:t xml:space="preserve"> access to markets and consumer confidence in supply. </w:t>
      </w:r>
      <w:r w:rsidR="0004262D" w:rsidRPr="00BB430C">
        <w:rPr>
          <w:rFonts w:eastAsia="Calibri"/>
          <w:sz w:val="22"/>
          <w:szCs w:val="22"/>
          <w:lang w:val="en-US" w:eastAsia="en-US"/>
        </w:rPr>
        <w:t xml:space="preserve">Many consumers participate in food systems through product labeling and certification schemes </w:t>
      </w:r>
      <w:r w:rsidR="001C037C">
        <w:rPr>
          <w:rFonts w:eastAsia="Calibri"/>
          <w:noProof/>
          <w:sz w:val="22"/>
          <w:szCs w:val="22"/>
          <w:lang w:val="en-US" w:eastAsia="en-US"/>
        </w:rPr>
        <w:t>(Clarke, 2010)</w:t>
      </w:r>
      <w:r w:rsidR="0004262D" w:rsidRPr="00BB430C">
        <w:rPr>
          <w:rFonts w:eastAsia="Calibri"/>
          <w:sz w:val="22"/>
          <w:szCs w:val="22"/>
          <w:lang w:val="en-US" w:eastAsia="en-US"/>
        </w:rPr>
        <w:t>. Their choices help shape industry and government priorities.</w:t>
      </w:r>
    </w:p>
    <w:p w14:paraId="369B3382" w14:textId="77777777" w:rsidR="0004262D" w:rsidRPr="00BB430C" w:rsidRDefault="0004262D" w:rsidP="0004262D">
      <w:pPr>
        <w:spacing w:after="120"/>
        <w:rPr>
          <w:rFonts w:eastAsia="Calibri"/>
          <w:sz w:val="22"/>
          <w:szCs w:val="22"/>
          <w:lang w:val="en-US" w:eastAsia="en-US"/>
        </w:rPr>
      </w:pPr>
      <w:r w:rsidRPr="00BB430C">
        <w:rPr>
          <w:rFonts w:eastAsia="Calibri"/>
          <w:sz w:val="22"/>
          <w:szCs w:val="22"/>
          <w:lang w:val="en-US" w:eastAsia="en-US"/>
        </w:rPr>
        <w:t xml:space="preserve">Product labeling verification using DSI can both be used for traceability </w:t>
      </w:r>
      <w:r w:rsidR="001C037C">
        <w:rPr>
          <w:rFonts w:eastAsia="Calibri"/>
          <w:noProof/>
          <w:sz w:val="22"/>
          <w:szCs w:val="22"/>
          <w:lang w:val="en-US" w:eastAsia="en-US"/>
        </w:rPr>
        <w:t>(Sultana</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2018)</w:t>
      </w:r>
      <w:r w:rsidRPr="00BB430C">
        <w:rPr>
          <w:rFonts w:eastAsia="Calibri"/>
          <w:sz w:val="22"/>
          <w:szCs w:val="22"/>
          <w:lang w:val="en-US" w:eastAsia="en-US"/>
        </w:rPr>
        <w:t xml:space="preserve"> and compliance with laws that promote the conservation and sustainable use of genetic resources. Fish fillets traded in one Italian market were found to be mislabeled 32</w:t>
      </w:r>
      <w:r>
        <w:rPr>
          <w:rFonts w:eastAsia="Calibri"/>
          <w:sz w:val="22"/>
          <w:szCs w:val="22"/>
          <w:lang w:val="en-US" w:eastAsia="en-US"/>
        </w:rPr>
        <w:t xml:space="preserve"> percent</w:t>
      </w:r>
      <w:r w:rsidRPr="00BB430C">
        <w:rPr>
          <w:rFonts w:eastAsia="Calibri"/>
          <w:sz w:val="22"/>
          <w:szCs w:val="22"/>
          <w:lang w:val="en-US" w:eastAsia="en-US"/>
        </w:rPr>
        <w:t xml:space="preserve"> of the time, and sometimes species of high conservation value were substituted for those listed on the label </w:t>
      </w:r>
      <w:r w:rsidR="001C037C">
        <w:rPr>
          <w:rFonts w:eastAsia="Calibri"/>
          <w:noProof/>
          <w:sz w:val="22"/>
          <w:szCs w:val="22"/>
          <w:lang w:val="en-US" w:eastAsia="en-US"/>
        </w:rPr>
        <w:t>(Filonzi</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2010)</w:t>
      </w:r>
      <w:r w:rsidRPr="00BB430C">
        <w:rPr>
          <w:rFonts w:eastAsia="Calibri"/>
          <w:sz w:val="22"/>
          <w:szCs w:val="22"/>
          <w:lang w:val="en-US" w:eastAsia="en-US"/>
        </w:rPr>
        <w:t>. In another market, products were mislabeled 82</w:t>
      </w:r>
      <w:r>
        <w:rPr>
          <w:rFonts w:eastAsia="Calibri"/>
          <w:sz w:val="22"/>
          <w:szCs w:val="22"/>
          <w:lang w:val="en-US" w:eastAsia="en-US"/>
        </w:rPr>
        <w:t xml:space="preserve"> percent</w:t>
      </w:r>
      <w:r w:rsidRPr="00BB430C">
        <w:rPr>
          <w:rFonts w:eastAsia="Calibri"/>
          <w:sz w:val="22"/>
          <w:szCs w:val="22"/>
          <w:lang w:val="en-US" w:eastAsia="en-US"/>
        </w:rPr>
        <w:t xml:space="preserve"> of the time and substitutions included threatened species </w:t>
      </w:r>
      <w:r w:rsidR="001C037C">
        <w:rPr>
          <w:rFonts w:eastAsia="Calibri"/>
          <w:noProof/>
          <w:sz w:val="22"/>
          <w:szCs w:val="22"/>
          <w:lang w:val="en-US" w:eastAsia="en-US"/>
        </w:rPr>
        <w:t>(Di Pinto</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2015)</w:t>
      </w:r>
      <w:r w:rsidRPr="00BB430C">
        <w:rPr>
          <w:rFonts w:eastAsia="Calibri"/>
          <w:sz w:val="22"/>
          <w:szCs w:val="22"/>
          <w:lang w:val="en-US" w:eastAsia="en-US"/>
        </w:rPr>
        <w:t>.</w:t>
      </w:r>
    </w:p>
    <w:p w14:paraId="7B13C4AF" w14:textId="77777777" w:rsidR="0004262D" w:rsidRDefault="0004262D" w:rsidP="0004262D">
      <w:pPr>
        <w:spacing w:after="120"/>
        <w:rPr>
          <w:rFonts w:eastAsia="Calibri"/>
          <w:iCs/>
          <w:sz w:val="22"/>
          <w:szCs w:val="22"/>
          <w:lang w:val="en-US" w:eastAsia="en-US"/>
        </w:rPr>
      </w:pPr>
      <w:r w:rsidRPr="00BB430C">
        <w:rPr>
          <w:rFonts w:eastAsia="Calibri"/>
          <w:iCs/>
          <w:sz w:val="22"/>
          <w:szCs w:val="22"/>
          <w:lang w:val="en-US" w:eastAsia="en-US"/>
        </w:rPr>
        <w:t xml:space="preserve">“The study also highlighted that threatened, Vulnerable (VU), Endangered (EN) and Critically Endangered (CR) species considered to be facing a high risk of extinction has been used in the place of commercial species…Additionally, traceability may improve the management of hazards related to fish safety, as well as guaranteeing product authenticity, providing reliable information to customers, enhancing supply-side management and improving product quality and sustainability” </w:t>
      </w:r>
      <w:r w:rsidR="001C037C">
        <w:rPr>
          <w:rFonts w:eastAsia="Calibri"/>
          <w:iCs/>
          <w:noProof/>
          <w:sz w:val="22"/>
          <w:szCs w:val="22"/>
          <w:lang w:val="en-US" w:eastAsia="en-US"/>
        </w:rPr>
        <w:t>(Di Pinto</w:t>
      </w:r>
      <w:r w:rsidR="001C037C" w:rsidRPr="001C037C">
        <w:rPr>
          <w:rFonts w:eastAsia="Calibri"/>
          <w:i/>
          <w:iCs/>
          <w:noProof/>
          <w:sz w:val="22"/>
          <w:szCs w:val="22"/>
          <w:lang w:val="en-US" w:eastAsia="en-US"/>
        </w:rPr>
        <w:t xml:space="preserve"> et al.</w:t>
      </w:r>
      <w:r w:rsidR="001C037C">
        <w:rPr>
          <w:rFonts w:eastAsia="Calibri"/>
          <w:iCs/>
          <w:noProof/>
          <w:sz w:val="22"/>
          <w:szCs w:val="22"/>
          <w:lang w:val="en-US" w:eastAsia="en-US"/>
        </w:rPr>
        <w:t>, 2015)</w:t>
      </w:r>
      <w:r w:rsidRPr="00BB430C">
        <w:rPr>
          <w:rFonts w:eastAsia="Calibri"/>
          <w:iCs/>
          <w:sz w:val="22"/>
          <w:szCs w:val="22"/>
          <w:lang w:val="en-US" w:eastAsia="en-US"/>
        </w:rPr>
        <w:t>.</w:t>
      </w:r>
    </w:p>
    <w:p w14:paraId="406D7233" w14:textId="77777777" w:rsidR="0004262D" w:rsidRDefault="0004262D" w:rsidP="00596DE3">
      <w:pPr>
        <w:spacing w:after="120"/>
        <w:rPr>
          <w:rFonts w:eastAsia="Calibri"/>
          <w:sz w:val="22"/>
          <w:szCs w:val="22"/>
          <w:lang w:eastAsia="en-US"/>
        </w:rPr>
      </w:pPr>
    </w:p>
    <w:p w14:paraId="41C2D57C" w14:textId="77777777" w:rsidR="0085281E" w:rsidRPr="00C44B19" w:rsidRDefault="00C44B19" w:rsidP="00C44B19">
      <w:pPr>
        <w:pStyle w:val="TableEntry"/>
        <w:keepNext/>
        <w:numPr>
          <w:ilvl w:val="2"/>
          <w:numId w:val="18"/>
        </w:numPr>
        <w:spacing w:before="120" w:after="120"/>
        <w:rPr>
          <w:i/>
        </w:rPr>
      </w:pPr>
      <w:r>
        <w:rPr>
          <w:i/>
        </w:rPr>
        <w:t>Forest</w:t>
      </w:r>
      <w:r w:rsidR="0085281E" w:rsidRPr="00C44B19">
        <w:rPr>
          <w:i/>
        </w:rPr>
        <w:t xml:space="preserve"> genetic resources</w:t>
      </w:r>
    </w:p>
    <w:p w14:paraId="6A84D068" w14:textId="77777777" w:rsidR="00185E42" w:rsidRDefault="0055079F" w:rsidP="002C1C38">
      <w:pPr>
        <w:keepNext/>
        <w:keepLines/>
        <w:spacing w:before="200" w:after="120"/>
        <w:outlineLvl w:val="4"/>
        <w:rPr>
          <w:rFonts w:eastAsia="Yu Gothic Light"/>
          <w:color w:val="000000"/>
          <w:sz w:val="22"/>
          <w:szCs w:val="22"/>
          <w:lang w:val="en-US" w:eastAsia="en-US"/>
        </w:rPr>
      </w:pPr>
      <w:bookmarkStart w:id="16" w:name="_Toc375588463"/>
      <w:r>
        <w:rPr>
          <w:rFonts w:eastAsia="Yu Gothic Light"/>
          <w:color w:val="000000"/>
          <w:sz w:val="22"/>
          <w:szCs w:val="22"/>
          <w:lang w:val="en-US" w:eastAsia="en-US"/>
        </w:rPr>
        <w:t>As with PGR, c</w:t>
      </w:r>
      <w:r w:rsidR="002C1C38">
        <w:rPr>
          <w:rFonts w:eastAsia="Yu Gothic Light"/>
          <w:color w:val="000000"/>
          <w:sz w:val="22"/>
          <w:szCs w:val="22"/>
          <w:lang w:val="en-US" w:eastAsia="en-US"/>
        </w:rPr>
        <w:t xml:space="preserve">ryopreservation, </w:t>
      </w:r>
      <w:r w:rsidR="002C1C38" w:rsidRPr="001C3335">
        <w:rPr>
          <w:rFonts w:eastAsia="Yu Gothic Light"/>
          <w:i/>
          <w:color w:val="000000"/>
          <w:sz w:val="22"/>
          <w:szCs w:val="22"/>
          <w:lang w:val="en-US" w:eastAsia="en-US"/>
        </w:rPr>
        <w:t>in vitro</w:t>
      </w:r>
      <w:r w:rsidR="002C1C38">
        <w:rPr>
          <w:rFonts w:eastAsia="Yu Gothic Light"/>
          <w:color w:val="000000"/>
          <w:sz w:val="22"/>
          <w:szCs w:val="22"/>
          <w:lang w:val="en-US" w:eastAsia="en-US"/>
        </w:rPr>
        <w:t xml:space="preserve"> slow growth storage, micropropagation, chromosome set manipulation, MAS</w:t>
      </w:r>
      <w:r w:rsidR="004C1D56">
        <w:rPr>
          <w:rFonts w:eastAsia="Yu Gothic Light"/>
          <w:color w:val="000000"/>
          <w:sz w:val="22"/>
          <w:szCs w:val="22"/>
          <w:lang w:val="en-US" w:eastAsia="en-US"/>
        </w:rPr>
        <w:t xml:space="preserve"> and genomic selection</w:t>
      </w:r>
      <w:r w:rsidR="002C1C38">
        <w:rPr>
          <w:rFonts w:eastAsia="Yu Gothic Light"/>
          <w:color w:val="000000"/>
          <w:sz w:val="22"/>
          <w:szCs w:val="22"/>
          <w:lang w:val="en-US" w:eastAsia="en-US"/>
        </w:rPr>
        <w:t>, mutagenesis and genetic engineering are DSI-incorporated biotechnologies for the use of FGR</w:t>
      </w:r>
      <w:r w:rsidR="00185E42">
        <w:rPr>
          <w:rFonts w:eastAsia="Yu Gothic Light"/>
          <w:color w:val="000000"/>
          <w:sz w:val="22"/>
          <w:szCs w:val="22"/>
          <w:lang w:val="en-US" w:eastAsia="en-US"/>
        </w:rPr>
        <w:t xml:space="preserve"> </w:t>
      </w:r>
      <w:r w:rsidR="001C037C" w:rsidRPr="00EA4DDD">
        <w:rPr>
          <w:noProof/>
          <w:sz w:val="22"/>
          <w:szCs w:val="22"/>
        </w:rPr>
        <w:t>(Lidder and Sonnino, 2011; Sinnino, 2016)</w:t>
      </w:r>
      <w:r w:rsidR="002C1C38" w:rsidRPr="00EA4DDD">
        <w:rPr>
          <w:rFonts w:eastAsia="Yu Gothic Light"/>
          <w:color w:val="000000"/>
          <w:sz w:val="22"/>
          <w:szCs w:val="22"/>
          <w:lang w:val="en-US" w:eastAsia="en-US"/>
        </w:rPr>
        <w:t>.</w:t>
      </w:r>
      <w:r w:rsidR="00185E42">
        <w:rPr>
          <w:rFonts w:eastAsia="Yu Gothic Light"/>
          <w:color w:val="000000"/>
          <w:sz w:val="22"/>
          <w:szCs w:val="22"/>
          <w:lang w:val="en-US" w:eastAsia="en-US"/>
        </w:rPr>
        <w:t xml:space="preserve"> DSI has powerful potential for breeding of forest trees, helping to reduce the challenges resulting from their high levels of heterozygosity, large number of undomesticated species and long generation times </w:t>
      </w:r>
      <w:r w:rsidR="001C037C">
        <w:rPr>
          <w:rFonts w:eastAsia="Yu Gothic Light"/>
          <w:noProof/>
          <w:color w:val="000000"/>
          <w:sz w:val="22"/>
          <w:szCs w:val="22"/>
          <w:lang w:val="en-US" w:eastAsia="en-US"/>
        </w:rPr>
        <w:t>(Sinnino, 2016)</w:t>
      </w:r>
      <w:r w:rsidR="00185E42">
        <w:rPr>
          <w:rFonts w:eastAsia="Yu Gothic Light"/>
          <w:color w:val="000000"/>
          <w:sz w:val="22"/>
          <w:szCs w:val="22"/>
          <w:lang w:val="en-US" w:eastAsia="en-US"/>
        </w:rPr>
        <w:t>.</w:t>
      </w:r>
    </w:p>
    <w:p w14:paraId="043C283C" w14:textId="77777777" w:rsidR="001C3335" w:rsidRDefault="00185E42" w:rsidP="001C3335">
      <w:pPr>
        <w:keepNext/>
        <w:keepLines/>
        <w:spacing w:before="200" w:after="120"/>
        <w:outlineLvl w:val="4"/>
        <w:rPr>
          <w:rFonts w:eastAsia="Yu Gothic Light"/>
          <w:color w:val="000000"/>
          <w:sz w:val="22"/>
          <w:szCs w:val="22"/>
          <w:lang w:val="en-NZ" w:eastAsia="en-US"/>
        </w:rPr>
      </w:pPr>
      <w:r>
        <w:rPr>
          <w:rFonts w:eastAsia="Yu Gothic Light"/>
          <w:color w:val="000000"/>
          <w:sz w:val="22"/>
          <w:szCs w:val="22"/>
          <w:lang w:val="en-US" w:eastAsia="en-US"/>
        </w:rPr>
        <w:t>A new approach to breeding, called breeding without b</w:t>
      </w:r>
      <w:r w:rsidR="001C3335">
        <w:rPr>
          <w:rFonts w:eastAsia="Yu Gothic Light"/>
          <w:color w:val="000000"/>
          <w:sz w:val="22"/>
          <w:szCs w:val="22"/>
          <w:lang w:val="en-US" w:eastAsia="en-US"/>
        </w:rPr>
        <w:t>reeding (Bw</w:t>
      </w:r>
      <w:r>
        <w:rPr>
          <w:rFonts w:eastAsia="Yu Gothic Light"/>
          <w:color w:val="000000"/>
          <w:sz w:val="22"/>
          <w:szCs w:val="22"/>
          <w:lang w:val="en-US" w:eastAsia="en-US"/>
        </w:rPr>
        <w:t xml:space="preserve">B), is showing promising results for compensating for uncertainty in offspring selection when faced with incomplete pedigree data on parental stocks </w:t>
      </w:r>
      <w:r w:rsidR="001C037C">
        <w:rPr>
          <w:rFonts w:eastAsia="Yu Gothic Light"/>
          <w:noProof/>
          <w:color w:val="000000"/>
          <w:sz w:val="22"/>
          <w:szCs w:val="22"/>
          <w:lang w:val="en-US" w:eastAsia="en-US"/>
        </w:rPr>
        <w:t>(El-Kassaby</w:t>
      </w:r>
      <w:r w:rsidR="001C037C" w:rsidRPr="001C037C">
        <w:rPr>
          <w:rFonts w:eastAsia="Yu Gothic Light"/>
          <w:i/>
          <w:noProof/>
          <w:color w:val="000000"/>
          <w:sz w:val="22"/>
          <w:szCs w:val="22"/>
          <w:lang w:val="en-US" w:eastAsia="en-US"/>
        </w:rPr>
        <w:t xml:space="preserve"> et al.</w:t>
      </w:r>
      <w:r w:rsidR="001C037C">
        <w:rPr>
          <w:rFonts w:eastAsia="Yu Gothic Light"/>
          <w:noProof/>
          <w:color w:val="000000"/>
          <w:sz w:val="22"/>
          <w:szCs w:val="22"/>
          <w:lang w:val="en-US" w:eastAsia="en-US"/>
        </w:rPr>
        <w:t>, 2011)</w:t>
      </w:r>
      <w:r>
        <w:rPr>
          <w:rFonts w:eastAsia="Yu Gothic Light"/>
          <w:color w:val="000000"/>
          <w:sz w:val="22"/>
          <w:szCs w:val="22"/>
          <w:lang w:val="en-US" w:eastAsia="en-US"/>
        </w:rPr>
        <w:t>.</w:t>
      </w:r>
      <w:r w:rsidR="00017F3B">
        <w:rPr>
          <w:rFonts w:eastAsia="Yu Gothic Light"/>
          <w:color w:val="000000"/>
          <w:sz w:val="22"/>
          <w:szCs w:val="22"/>
          <w:lang w:val="en-US" w:eastAsia="en-US"/>
        </w:rPr>
        <w:t xml:space="preserve"> Bw</w:t>
      </w:r>
      <w:r w:rsidR="001C3335">
        <w:rPr>
          <w:rFonts w:eastAsia="Yu Gothic Light"/>
          <w:color w:val="000000"/>
          <w:sz w:val="22"/>
          <w:szCs w:val="22"/>
          <w:lang w:val="en-US" w:eastAsia="en-US"/>
        </w:rPr>
        <w:t>B relies on DSI in the form of complete pedigree information from a subset of offspring with known maternal parents and molecular markers.</w:t>
      </w:r>
      <w:r w:rsidR="001C3335">
        <w:rPr>
          <w:rFonts w:eastAsia="Yu Gothic Light"/>
          <w:color w:val="000000"/>
          <w:sz w:val="22"/>
          <w:szCs w:val="22"/>
          <w:lang w:val="en-NZ" w:eastAsia="en-US"/>
        </w:rPr>
        <w:t xml:space="preserve"> This approach captures up to “</w:t>
      </w:r>
      <w:r w:rsidR="001C3335" w:rsidRPr="001C3335">
        <w:rPr>
          <w:rFonts w:eastAsia="Yu Gothic Light"/>
          <w:color w:val="000000"/>
          <w:sz w:val="22"/>
          <w:szCs w:val="22"/>
          <w:lang w:val="en-US" w:eastAsia="en-US"/>
        </w:rPr>
        <w:t>85 percent of the genetic response to selection achieved through conventional breeding programmes, but without performing any controlled crosses or experimental field testing, which are costly and time-consuming</w:t>
      </w:r>
      <w:r w:rsidR="001C3335">
        <w:rPr>
          <w:rFonts w:eastAsia="Yu Gothic Light"/>
          <w:color w:val="000000"/>
          <w:sz w:val="22"/>
          <w:szCs w:val="22"/>
          <w:lang w:val="en-US" w:eastAsia="en-US"/>
        </w:rPr>
        <w:t xml:space="preserve">” </w:t>
      </w:r>
      <w:r w:rsidR="001C037C">
        <w:rPr>
          <w:rFonts w:eastAsia="Yu Gothic Light"/>
          <w:noProof/>
          <w:color w:val="000000"/>
          <w:sz w:val="22"/>
          <w:szCs w:val="22"/>
          <w:lang w:val="en-US" w:eastAsia="en-US"/>
        </w:rPr>
        <w:t>(Lidder and Sonnino, 2011)</w:t>
      </w:r>
      <w:r w:rsidR="00106412">
        <w:rPr>
          <w:rFonts w:eastAsia="Yu Gothic Light"/>
          <w:color w:val="000000"/>
          <w:sz w:val="22"/>
          <w:szCs w:val="22"/>
          <w:lang w:val="en-US" w:eastAsia="en-US"/>
        </w:rPr>
        <w:t>.</w:t>
      </w:r>
      <w:r w:rsidR="001C3335" w:rsidRPr="001C3335">
        <w:rPr>
          <w:rFonts w:eastAsia="Yu Gothic Light"/>
          <w:color w:val="000000"/>
          <w:sz w:val="22"/>
          <w:szCs w:val="22"/>
          <w:lang w:val="en-US" w:eastAsia="en-US"/>
        </w:rPr>
        <w:t xml:space="preserve"> </w:t>
      </w:r>
      <w:r w:rsidR="001C3335">
        <w:rPr>
          <w:rFonts w:eastAsia="Yu Gothic Light"/>
          <w:color w:val="000000"/>
          <w:sz w:val="22"/>
          <w:szCs w:val="22"/>
          <w:lang w:val="en-NZ" w:eastAsia="en-US"/>
        </w:rPr>
        <w:t xml:space="preserve"> </w:t>
      </w:r>
    </w:p>
    <w:p w14:paraId="12E04258" w14:textId="77777777" w:rsidR="0055079F" w:rsidRPr="001C3335" w:rsidRDefault="0055079F" w:rsidP="001C3335">
      <w:pPr>
        <w:keepNext/>
        <w:keepLines/>
        <w:spacing w:before="200" w:after="120"/>
        <w:outlineLvl w:val="4"/>
        <w:rPr>
          <w:rFonts w:eastAsia="Yu Gothic Light"/>
          <w:color w:val="000000"/>
          <w:sz w:val="22"/>
          <w:szCs w:val="22"/>
          <w:lang w:val="en-NZ" w:eastAsia="en-US"/>
        </w:rPr>
      </w:pPr>
    </w:p>
    <w:p w14:paraId="405DD474" w14:textId="77777777" w:rsidR="00C44B19" w:rsidRPr="00C44B19" w:rsidRDefault="00C44B19" w:rsidP="00C44B19">
      <w:pPr>
        <w:pStyle w:val="TableEntry"/>
        <w:keepNext/>
        <w:numPr>
          <w:ilvl w:val="2"/>
          <w:numId w:val="18"/>
        </w:numPr>
        <w:spacing w:before="120" w:after="120"/>
        <w:rPr>
          <w:i/>
        </w:rPr>
      </w:pPr>
      <w:r>
        <w:rPr>
          <w:i/>
        </w:rPr>
        <w:t>Microbial</w:t>
      </w:r>
      <w:r w:rsidRPr="00C44B19">
        <w:rPr>
          <w:i/>
        </w:rPr>
        <w:t xml:space="preserve"> genetic resources</w:t>
      </w:r>
    </w:p>
    <w:p w14:paraId="6AAC3F9A" w14:textId="77777777" w:rsidR="00851C34" w:rsidRPr="00851C34" w:rsidRDefault="00851C34" w:rsidP="00851C34">
      <w:pPr>
        <w:shd w:val="clear" w:color="auto" w:fill="E0E0E0"/>
        <w:spacing w:after="120"/>
        <w:rPr>
          <w:rFonts w:eastAsia="Calibri"/>
          <w:sz w:val="20"/>
          <w:szCs w:val="22"/>
          <w:lang w:val="en-US" w:eastAsia="en-US"/>
        </w:rPr>
      </w:pPr>
      <w:r w:rsidRPr="00851C34">
        <w:rPr>
          <w:rFonts w:eastAsia="Calibri"/>
          <w:sz w:val="20"/>
          <w:szCs w:val="22"/>
          <w:lang w:val="en-US" w:eastAsia="en-US"/>
        </w:rPr>
        <w:t xml:space="preserve">“In several industrialized countries, public health agencies and regulatory bodies [e.g. Food and Drug Administration (FDA), Centers for Disease Control and Prevention (CDC), Public Health England, European Center for Disease Prevention and Control (ECDC)] are now using WGS [whole genome sequencing] </w:t>
      </w:r>
      <w:r w:rsidRPr="00851C34">
        <w:rPr>
          <w:rFonts w:eastAsia="Calibri"/>
          <w:i/>
          <w:sz w:val="20"/>
          <w:szCs w:val="22"/>
          <w:lang w:val="en-US" w:eastAsia="en-US"/>
        </w:rPr>
        <w:t>routinely to characterize</w:t>
      </w:r>
      <w:r w:rsidRPr="00851C34">
        <w:rPr>
          <w:rFonts w:eastAsia="Calibri"/>
          <w:sz w:val="20"/>
          <w:szCs w:val="22"/>
          <w:lang w:val="en-US" w:eastAsia="en-US"/>
        </w:rPr>
        <w:t xml:space="preserve"> clinical isolates of selected foodborne pathogens and to support epidemiological investigations” </w:t>
      </w:r>
      <w:r w:rsidR="001C037C">
        <w:rPr>
          <w:rFonts w:eastAsia="Calibri"/>
          <w:noProof/>
          <w:sz w:val="20"/>
          <w:szCs w:val="22"/>
          <w:lang w:val="en-US" w:eastAsia="en-US"/>
        </w:rPr>
        <w:t>(emphasis added to Rantsiou</w:t>
      </w:r>
      <w:r w:rsidR="001C037C" w:rsidRPr="001C037C">
        <w:rPr>
          <w:rFonts w:eastAsia="Calibri"/>
          <w:i/>
          <w:noProof/>
          <w:sz w:val="20"/>
          <w:szCs w:val="22"/>
          <w:lang w:val="en-US" w:eastAsia="en-US"/>
        </w:rPr>
        <w:t xml:space="preserve"> et al.</w:t>
      </w:r>
      <w:r w:rsidR="001C037C">
        <w:rPr>
          <w:rFonts w:eastAsia="Calibri"/>
          <w:noProof/>
          <w:sz w:val="20"/>
          <w:szCs w:val="22"/>
          <w:lang w:val="en-US" w:eastAsia="en-US"/>
        </w:rPr>
        <w:t>, 2017)</w:t>
      </w:r>
      <w:r w:rsidRPr="00851C34">
        <w:rPr>
          <w:rFonts w:eastAsia="Calibri"/>
          <w:sz w:val="20"/>
          <w:szCs w:val="22"/>
          <w:lang w:val="en-US" w:eastAsia="en-US"/>
        </w:rPr>
        <w:t>.</w:t>
      </w:r>
    </w:p>
    <w:p w14:paraId="6D10F280" w14:textId="77777777" w:rsidR="0055079F" w:rsidRDefault="0055079F" w:rsidP="0055079F">
      <w:pPr>
        <w:keepNext/>
        <w:keepLines/>
        <w:spacing w:before="200" w:after="120"/>
        <w:outlineLvl w:val="4"/>
        <w:rPr>
          <w:rFonts w:eastAsia="Yu Gothic Light"/>
          <w:color w:val="000000"/>
          <w:sz w:val="22"/>
          <w:szCs w:val="22"/>
          <w:lang w:val="en-US" w:eastAsia="en-US"/>
        </w:rPr>
      </w:pPr>
      <w:r>
        <w:rPr>
          <w:rFonts w:eastAsia="Yu Gothic Light"/>
          <w:color w:val="000000"/>
          <w:sz w:val="22"/>
          <w:szCs w:val="22"/>
          <w:lang w:val="en-US" w:eastAsia="en-US"/>
        </w:rPr>
        <w:lastRenderedPageBreak/>
        <w:t xml:space="preserve">DSI contributes to omics, pathogen detection, food preservation and production of food and feed ingredients, probiotics, production of biofertilizers and biopesticides and bioremediation technologies, as well as to mutagenesis and genetic engineering </w:t>
      </w:r>
      <w:r w:rsidR="001C037C">
        <w:rPr>
          <w:rFonts w:eastAsia="Yu Gothic Light"/>
          <w:noProof/>
          <w:color w:val="000000"/>
          <w:sz w:val="22"/>
          <w:szCs w:val="22"/>
          <w:lang w:val="en-US" w:eastAsia="en-US"/>
        </w:rPr>
        <w:t>(Lidder and Sonnino, 2011)</w:t>
      </w:r>
      <w:r>
        <w:rPr>
          <w:rFonts w:eastAsia="Yu Gothic Light"/>
          <w:color w:val="000000"/>
          <w:sz w:val="22"/>
          <w:szCs w:val="22"/>
          <w:lang w:val="en-US" w:eastAsia="en-US"/>
        </w:rPr>
        <w:t>.</w:t>
      </w:r>
    </w:p>
    <w:p w14:paraId="3E34067F" w14:textId="77777777" w:rsidR="0085281E" w:rsidRPr="00BB430C" w:rsidRDefault="0055079F" w:rsidP="0085281E">
      <w:pPr>
        <w:spacing w:after="120"/>
        <w:rPr>
          <w:rFonts w:eastAsia="Calibri"/>
          <w:sz w:val="22"/>
          <w:szCs w:val="22"/>
          <w:lang w:eastAsia="en-US"/>
        </w:rPr>
      </w:pPr>
      <w:r>
        <w:rPr>
          <w:rFonts w:eastAsia="Yu Gothic Light"/>
          <w:color w:val="000000"/>
          <w:sz w:val="22"/>
          <w:szCs w:val="22"/>
          <w:lang w:val="en-US" w:eastAsia="en-US"/>
        </w:rPr>
        <w:t>Only a small fraction of micro</w:t>
      </w:r>
      <w:r w:rsidR="00371817">
        <w:rPr>
          <w:rFonts w:eastAsia="Yu Gothic Light"/>
          <w:color w:val="000000"/>
          <w:sz w:val="22"/>
          <w:szCs w:val="22"/>
          <w:lang w:val="en-US" w:eastAsia="en-US"/>
        </w:rPr>
        <w:t>-</w:t>
      </w:r>
      <w:r>
        <w:rPr>
          <w:rFonts w:eastAsia="Yu Gothic Light"/>
          <w:color w:val="000000"/>
          <w:sz w:val="22"/>
          <w:szCs w:val="22"/>
          <w:lang w:val="en-US" w:eastAsia="en-US"/>
        </w:rPr>
        <w:t>organisms can be isolated and amplified in pure culture, limiting access to this tremendously biodiverse resource. DSI contribution to omics, such as metagenomics, is therefore particularly important in the use of M</w:t>
      </w:r>
      <w:r w:rsidR="00AB3257">
        <w:rPr>
          <w:rFonts w:eastAsia="Yu Gothic Light"/>
          <w:color w:val="000000"/>
          <w:sz w:val="22"/>
          <w:szCs w:val="22"/>
          <w:lang w:val="en-US" w:eastAsia="en-US"/>
        </w:rPr>
        <w:t>o</w:t>
      </w:r>
      <w:r>
        <w:rPr>
          <w:rFonts w:eastAsia="Yu Gothic Light"/>
          <w:color w:val="000000"/>
          <w:sz w:val="22"/>
          <w:szCs w:val="22"/>
          <w:lang w:val="en-US" w:eastAsia="en-US"/>
        </w:rPr>
        <w:t>GR.</w:t>
      </w:r>
      <w:r w:rsidR="00851C34">
        <w:rPr>
          <w:rFonts w:eastAsia="Yu Gothic Light"/>
          <w:color w:val="000000"/>
          <w:sz w:val="22"/>
          <w:szCs w:val="22"/>
          <w:lang w:val="en-US" w:eastAsia="en-US"/>
        </w:rPr>
        <w:t xml:space="preserve"> </w:t>
      </w:r>
      <w:r w:rsidR="0085281E">
        <w:rPr>
          <w:rFonts w:eastAsia="Calibri"/>
          <w:sz w:val="22"/>
          <w:szCs w:val="22"/>
          <w:lang w:eastAsia="en-US"/>
        </w:rPr>
        <w:t>For example, m</w:t>
      </w:r>
      <w:r w:rsidR="0085281E" w:rsidRPr="00BB430C">
        <w:rPr>
          <w:rFonts w:eastAsia="Calibri"/>
          <w:sz w:val="22"/>
          <w:szCs w:val="22"/>
          <w:lang w:eastAsia="en-US"/>
        </w:rPr>
        <w:t>etagenomic and metabolomic DSI</w:t>
      </w:r>
      <w:r w:rsidR="0085281E">
        <w:rPr>
          <w:rFonts w:eastAsia="Calibri"/>
          <w:sz w:val="22"/>
          <w:szCs w:val="22"/>
          <w:lang w:eastAsia="en-US"/>
        </w:rPr>
        <w:t xml:space="preserve"> contributes to technologies and approaches limiting</w:t>
      </w:r>
      <w:r w:rsidR="0085281E" w:rsidRPr="00BB430C">
        <w:rPr>
          <w:rFonts w:eastAsia="Calibri"/>
          <w:sz w:val="22"/>
          <w:szCs w:val="22"/>
          <w:lang w:eastAsia="en-US"/>
        </w:rPr>
        <w:t xml:space="preserve"> spoilage</w:t>
      </w:r>
      <w:r w:rsidR="00851C34">
        <w:rPr>
          <w:rFonts w:eastAsia="Calibri"/>
          <w:sz w:val="22"/>
          <w:szCs w:val="22"/>
          <w:lang w:eastAsia="en-US"/>
        </w:rPr>
        <w:t xml:space="preserve"> and increasing</w:t>
      </w:r>
      <w:r w:rsidR="0085281E" w:rsidRPr="00BB430C">
        <w:rPr>
          <w:rFonts w:eastAsia="Calibri"/>
          <w:sz w:val="22"/>
          <w:szCs w:val="22"/>
          <w:lang w:eastAsia="en-US"/>
        </w:rPr>
        <w:t xml:space="preserve"> </w:t>
      </w:r>
      <w:r w:rsidR="00851C34">
        <w:rPr>
          <w:rFonts w:eastAsia="Calibri"/>
          <w:sz w:val="22"/>
          <w:szCs w:val="22"/>
          <w:lang w:eastAsia="en-US"/>
        </w:rPr>
        <w:t>food security through increased access to food that is safe to eat</w:t>
      </w:r>
      <w:r w:rsidR="00B21239">
        <w:rPr>
          <w:rFonts w:eastAsia="Calibri"/>
          <w:sz w:val="22"/>
          <w:szCs w:val="22"/>
          <w:lang w:eastAsia="en-US"/>
        </w:rPr>
        <w:t xml:space="preserve"> </w:t>
      </w:r>
      <w:r w:rsidR="002D47EA">
        <w:rPr>
          <w:rFonts w:eastAsia="Calibri"/>
          <w:noProof/>
          <w:sz w:val="22"/>
          <w:szCs w:val="22"/>
          <w:lang w:eastAsia="en-US"/>
        </w:rPr>
        <w:t>(FAO, 2016)</w:t>
      </w:r>
      <w:r w:rsidR="00851C34">
        <w:rPr>
          <w:rFonts w:eastAsia="Calibri"/>
          <w:sz w:val="22"/>
          <w:szCs w:val="22"/>
          <w:lang w:eastAsia="en-US"/>
        </w:rPr>
        <w:t xml:space="preserve">. </w:t>
      </w:r>
    </w:p>
    <w:p w14:paraId="6CEA027C" w14:textId="77777777" w:rsidR="0085281E" w:rsidRDefault="0085281E" w:rsidP="0085281E">
      <w:pPr>
        <w:spacing w:after="120"/>
        <w:rPr>
          <w:rFonts w:eastAsia="Calibri"/>
          <w:sz w:val="22"/>
          <w:szCs w:val="22"/>
          <w:lang w:val="en-US" w:eastAsia="en-US"/>
        </w:rPr>
      </w:pPr>
      <w:r>
        <w:rPr>
          <w:rFonts w:eastAsia="Calibri"/>
          <w:sz w:val="22"/>
          <w:szCs w:val="22"/>
          <w:lang w:val="en-US" w:eastAsia="en-US"/>
        </w:rPr>
        <w:t>The DNA in a sample of</w:t>
      </w:r>
      <w:r w:rsidRPr="005F2F74">
        <w:rPr>
          <w:rFonts w:eastAsia="Calibri"/>
          <w:sz w:val="22"/>
          <w:szCs w:val="22"/>
          <w:lang w:val="en-US" w:eastAsia="en-US"/>
        </w:rPr>
        <w:t xml:space="preserve"> </w:t>
      </w:r>
      <w:r w:rsidRPr="00BB430C">
        <w:rPr>
          <w:rFonts w:eastAsia="Calibri"/>
          <w:sz w:val="22"/>
          <w:szCs w:val="22"/>
          <w:lang w:val="en-US" w:eastAsia="en-US"/>
        </w:rPr>
        <w:t>microbial communities found on various retail foods</w:t>
      </w:r>
      <w:r>
        <w:rPr>
          <w:rFonts w:eastAsia="Calibri"/>
          <w:sz w:val="22"/>
          <w:szCs w:val="22"/>
          <w:lang w:val="en-US" w:eastAsia="en-US"/>
        </w:rPr>
        <w:t xml:space="preserve"> </w:t>
      </w:r>
      <w:r w:rsidR="00851C34">
        <w:rPr>
          <w:rFonts w:eastAsia="Calibri"/>
          <w:sz w:val="22"/>
          <w:szCs w:val="22"/>
          <w:lang w:val="en-US" w:eastAsia="en-US"/>
        </w:rPr>
        <w:t>wa</w:t>
      </w:r>
      <w:r>
        <w:rPr>
          <w:rFonts w:eastAsia="Calibri"/>
          <w:sz w:val="22"/>
          <w:szCs w:val="22"/>
          <w:lang w:val="en-US" w:eastAsia="en-US"/>
        </w:rPr>
        <w:t>s converted into DNA sequence to develop a m</w:t>
      </w:r>
      <w:r w:rsidRPr="00BB430C">
        <w:rPr>
          <w:rFonts w:eastAsia="Calibri"/>
          <w:sz w:val="22"/>
          <w:szCs w:val="22"/>
          <w:lang w:val="en-US" w:eastAsia="en-US"/>
        </w:rPr>
        <w:t xml:space="preserve">etagenomic </w:t>
      </w:r>
      <w:r>
        <w:rPr>
          <w:rFonts w:eastAsia="Calibri"/>
          <w:sz w:val="22"/>
          <w:szCs w:val="22"/>
          <w:lang w:val="en-US" w:eastAsia="en-US"/>
        </w:rPr>
        <w:t>profile</w:t>
      </w:r>
      <w:r w:rsidRPr="00BB430C">
        <w:rPr>
          <w:rFonts w:eastAsia="Calibri"/>
          <w:sz w:val="22"/>
          <w:szCs w:val="22"/>
          <w:lang w:val="en-US" w:eastAsia="en-US"/>
        </w:rPr>
        <w:t xml:space="preserve"> </w:t>
      </w:r>
      <w:r w:rsidR="001C037C">
        <w:rPr>
          <w:rFonts w:eastAsia="Calibri"/>
          <w:noProof/>
          <w:sz w:val="22"/>
          <w:szCs w:val="22"/>
          <w:lang w:val="en-US" w:eastAsia="en-US"/>
        </w:rPr>
        <w:t>(Higgins</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2018)</w:t>
      </w:r>
      <w:r w:rsidRPr="00BB430C">
        <w:rPr>
          <w:rFonts w:eastAsia="Calibri"/>
          <w:sz w:val="22"/>
          <w:szCs w:val="22"/>
          <w:lang w:val="en-US" w:eastAsia="en-US"/>
        </w:rPr>
        <w:t>. DSI generated</w:t>
      </w:r>
      <w:r>
        <w:rPr>
          <w:rFonts w:eastAsia="Calibri"/>
          <w:sz w:val="22"/>
          <w:szCs w:val="22"/>
          <w:lang w:val="en-US" w:eastAsia="en-US"/>
        </w:rPr>
        <w:t xml:space="preserve"> from the DNA sequences</w:t>
      </w:r>
      <w:r w:rsidRPr="00BB430C">
        <w:rPr>
          <w:rFonts w:eastAsia="Calibri"/>
          <w:sz w:val="22"/>
          <w:szCs w:val="22"/>
          <w:lang w:val="en-US" w:eastAsia="en-US"/>
        </w:rPr>
        <w:t xml:space="preserve"> can be used to identify specific potential metabolic activities or link species identification with known species-specific traits, or to identify pathogens </w:t>
      </w:r>
      <w:r w:rsidR="001C037C">
        <w:rPr>
          <w:rFonts w:eastAsia="Calibri"/>
          <w:noProof/>
          <w:sz w:val="22"/>
          <w:szCs w:val="22"/>
          <w:lang w:val="en-US" w:eastAsia="en-US"/>
        </w:rPr>
        <w:t>(King</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sidRPr="00BB430C">
        <w:rPr>
          <w:rFonts w:eastAsia="Calibri"/>
          <w:sz w:val="22"/>
          <w:szCs w:val="22"/>
          <w:lang w:val="en-US" w:eastAsia="en-US"/>
        </w:rPr>
        <w:t>. The type of communities on food varied depending not just on product, but the socio-economic status of the neighbo</w:t>
      </w:r>
      <w:r w:rsidR="008800F9">
        <w:rPr>
          <w:rFonts w:eastAsia="Calibri"/>
          <w:sz w:val="22"/>
          <w:szCs w:val="22"/>
          <w:lang w:val="en-US" w:eastAsia="en-US"/>
        </w:rPr>
        <w:t>u</w:t>
      </w:r>
      <w:r w:rsidRPr="00BB430C">
        <w:rPr>
          <w:rFonts w:eastAsia="Calibri"/>
          <w:sz w:val="22"/>
          <w:szCs w:val="22"/>
          <w:lang w:val="en-US" w:eastAsia="en-US"/>
        </w:rPr>
        <w:t>rhood.</w:t>
      </w:r>
      <w:r>
        <w:rPr>
          <w:rFonts w:eastAsia="Calibri"/>
          <w:sz w:val="22"/>
          <w:szCs w:val="22"/>
          <w:lang w:val="en-US" w:eastAsia="en-US"/>
        </w:rPr>
        <w:t xml:space="preserve"> The information has the potential to improve food safety by identifying and controlling risks at the local level.</w:t>
      </w:r>
      <w:r w:rsidRPr="00BB430C">
        <w:rPr>
          <w:rFonts w:eastAsia="Calibri"/>
          <w:sz w:val="22"/>
          <w:szCs w:val="22"/>
          <w:lang w:val="en-US" w:eastAsia="en-US"/>
        </w:rPr>
        <w:t xml:space="preserve"> The data was used to predict the range of microbial metabolic activities, finding a predicted 761 on lettuce and 710 on deli meat </w:t>
      </w:r>
      <w:r w:rsidR="001C037C">
        <w:rPr>
          <w:rFonts w:eastAsia="Calibri"/>
          <w:noProof/>
          <w:sz w:val="22"/>
          <w:szCs w:val="22"/>
          <w:lang w:val="en-US" w:eastAsia="en-US"/>
        </w:rPr>
        <w:t>(Higgins</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2018)</w:t>
      </w:r>
      <w:r w:rsidRPr="00BB430C">
        <w:rPr>
          <w:rFonts w:eastAsia="Calibri"/>
          <w:sz w:val="22"/>
          <w:szCs w:val="22"/>
          <w:lang w:val="en-US" w:eastAsia="en-US"/>
        </w:rPr>
        <w:t xml:space="preserve">. This information reflected what </w:t>
      </w:r>
      <w:r>
        <w:rPr>
          <w:rFonts w:eastAsia="Calibri"/>
          <w:sz w:val="22"/>
          <w:szCs w:val="22"/>
          <w:lang w:val="en-US" w:eastAsia="en-US"/>
        </w:rPr>
        <w:t>nutrients were</w:t>
      </w:r>
      <w:r w:rsidRPr="00BB430C">
        <w:rPr>
          <w:rFonts w:eastAsia="Calibri"/>
          <w:sz w:val="22"/>
          <w:szCs w:val="22"/>
          <w:lang w:val="en-US" w:eastAsia="en-US"/>
        </w:rPr>
        <w:t xml:space="preserve"> available to the microbes and what they would produce, helping to predict the likelihood of spoilage.</w:t>
      </w:r>
    </w:p>
    <w:p w14:paraId="686E52C5" w14:textId="77777777" w:rsidR="00B21239" w:rsidRDefault="00B21239" w:rsidP="0085281E">
      <w:pPr>
        <w:spacing w:after="120"/>
        <w:rPr>
          <w:rFonts w:eastAsia="Calibri"/>
          <w:sz w:val="22"/>
          <w:szCs w:val="22"/>
          <w:lang w:val="en-US" w:eastAsia="en-US"/>
        </w:rPr>
      </w:pPr>
      <w:r>
        <w:rPr>
          <w:rFonts w:eastAsia="Calibri"/>
          <w:sz w:val="22"/>
          <w:szCs w:val="22"/>
          <w:lang w:val="en-US" w:eastAsia="en-US"/>
        </w:rPr>
        <w:t>DSI from whole genome sequencing and pulsed-fi</w:t>
      </w:r>
      <w:r w:rsidR="002D47EA">
        <w:rPr>
          <w:rFonts w:eastAsia="Calibri"/>
          <w:sz w:val="22"/>
          <w:szCs w:val="22"/>
          <w:lang w:val="en-US" w:eastAsia="en-US"/>
        </w:rPr>
        <w:t>el</w:t>
      </w:r>
      <w:r>
        <w:rPr>
          <w:rFonts w:eastAsia="Calibri"/>
          <w:sz w:val="22"/>
          <w:szCs w:val="22"/>
          <w:lang w:val="en-US" w:eastAsia="en-US"/>
        </w:rPr>
        <w:t>d gel electrophoresis were combined</w:t>
      </w:r>
      <w:r w:rsidR="002D4001">
        <w:rPr>
          <w:rFonts w:eastAsia="Calibri"/>
          <w:sz w:val="22"/>
          <w:szCs w:val="22"/>
          <w:lang w:val="en-US" w:eastAsia="en-US"/>
        </w:rPr>
        <w:t xml:space="preserve"> to identify</w:t>
      </w:r>
      <w:r>
        <w:rPr>
          <w:rFonts w:eastAsia="Calibri"/>
          <w:sz w:val="22"/>
          <w:szCs w:val="22"/>
          <w:lang w:val="en-US" w:eastAsia="en-US"/>
        </w:rPr>
        <w:t xml:space="preserve"> the source of </w:t>
      </w:r>
      <w:r w:rsidRPr="00B21239">
        <w:rPr>
          <w:rFonts w:eastAsia="Calibri"/>
          <w:i/>
          <w:sz w:val="22"/>
          <w:szCs w:val="22"/>
          <w:lang w:val="en-US" w:eastAsia="en-US"/>
        </w:rPr>
        <w:t>Listeria monocytogenes</w:t>
      </w:r>
      <w:r>
        <w:rPr>
          <w:rFonts w:eastAsia="Calibri"/>
          <w:sz w:val="22"/>
          <w:szCs w:val="22"/>
          <w:lang w:val="en-US" w:eastAsia="en-US"/>
        </w:rPr>
        <w:t xml:space="preserve"> </w:t>
      </w:r>
      <w:r w:rsidR="002D4001">
        <w:rPr>
          <w:rFonts w:eastAsia="Calibri"/>
          <w:sz w:val="22"/>
          <w:szCs w:val="22"/>
          <w:lang w:val="en-US" w:eastAsia="en-US"/>
        </w:rPr>
        <w:t xml:space="preserve">in </w:t>
      </w:r>
      <w:r>
        <w:rPr>
          <w:rFonts w:eastAsia="Calibri"/>
          <w:sz w:val="22"/>
          <w:szCs w:val="22"/>
          <w:lang w:val="en-US" w:eastAsia="en-US"/>
        </w:rPr>
        <w:t>outbreaks in the United States. The genome sequencing data was used to eliminate patients that were not infected by strains associated with the outbreaks, and to link a new strain to one of the contaminated products. This is credited with accelerating the response to the outbreaks and limiting the damage caused</w:t>
      </w:r>
      <w:r w:rsidR="00E239B2">
        <w:rPr>
          <w:rFonts w:eastAsia="Calibri"/>
          <w:sz w:val="22"/>
          <w:szCs w:val="22"/>
          <w:lang w:val="en-US" w:eastAsia="en-US"/>
        </w:rPr>
        <w:t xml:space="preserve"> by them</w:t>
      </w:r>
      <w:r>
        <w:rPr>
          <w:rFonts w:eastAsia="Calibri"/>
          <w:sz w:val="22"/>
          <w:szCs w:val="22"/>
          <w:lang w:val="en-US" w:eastAsia="en-US"/>
        </w:rPr>
        <w:t xml:space="preserve"> </w:t>
      </w:r>
      <w:r w:rsidR="002D47EA">
        <w:rPr>
          <w:rFonts w:eastAsia="Calibri"/>
          <w:noProof/>
          <w:sz w:val="22"/>
          <w:szCs w:val="22"/>
          <w:lang w:val="en-US" w:eastAsia="en-US"/>
        </w:rPr>
        <w:t>(FAO, 2016)</w:t>
      </w:r>
      <w:r>
        <w:rPr>
          <w:rFonts w:eastAsia="Calibri"/>
          <w:sz w:val="22"/>
          <w:szCs w:val="22"/>
          <w:lang w:val="en-US" w:eastAsia="en-US"/>
        </w:rPr>
        <w:t>.</w:t>
      </w:r>
    </w:p>
    <w:p w14:paraId="6B6A35FE" w14:textId="77777777" w:rsidR="00B21239" w:rsidRPr="00BB430C" w:rsidRDefault="00E3306E" w:rsidP="0085281E">
      <w:pPr>
        <w:spacing w:after="120"/>
        <w:rPr>
          <w:rFonts w:eastAsia="Calibri"/>
          <w:sz w:val="22"/>
          <w:szCs w:val="22"/>
          <w:lang w:val="en-US" w:eastAsia="en-US"/>
        </w:rPr>
      </w:pPr>
      <w:r>
        <w:rPr>
          <w:rFonts w:eastAsia="Calibri"/>
          <w:sz w:val="22"/>
          <w:szCs w:val="22"/>
          <w:lang w:val="en-US" w:eastAsia="en-US"/>
        </w:rPr>
        <w:t xml:space="preserve">Eggs carrying </w:t>
      </w:r>
      <w:r w:rsidRPr="00E3306E">
        <w:rPr>
          <w:rFonts w:eastAsia="Calibri"/>
          <w:i/>
          <w:sz w:val="22"/>
          <w:szCs w:val="22"/>
          <w:lang w:val="en-US" w:eastAsia="en-US"/>
        </w:rPr>
        <w:t>Salmonella enterica</w:t>
      </w:r>
      <w:r>
        <w:rPr>
          <w:rFonts w:eastAsia="Calibri"/>
          <w:sz w:val="22"/>
          <w:szCs w:val="22"/>
          <w:lang w:val="en-US" w:eastAsia="en-US"/>
        </w:rPr>
        <w:t xml:space="preserve"> were linked to a single producer in England using DSI from whole genome sequencing. The eggs were the source of an estimated 350 reported illnesses in Europe. Despite the lack of geographic continuity in the outbreaks, the strains causing disease were found by bioinformatics analysis to be clonal. Combined with digital information of product distribution, their origins were uncovered </w:t>
      </w:r>
      <w:r w:rsidR="002D47EA">
        <w:rPr>
          <w:rFonts w:eastAsia="Calibri"/>
          <w:noProof/>
          <w:sz w:val="22"/>
          <w:szCs w:val="22"/>
          <w:lang w:val="en-US" w:eastAsia="en-US"/>
        </w:rPr>
        <w:t>(FAO, 2016)</w:t>
      </w:r>
      <w:r>
        <w:rPr>
          <w:rFonts w:eastAsia="Calibri"/>
          <w:sz w:val="22"/>
          <w:szCs w:val="22"/>
          <w:lang w:val="en-US" w:eastAsia="en-US"/>
        </w:rPr>
        <w:t xml:space="preserve">. This case also highlights the value of DSI sharing </w:t>
      </w:r>
      <w:r w:rsidR="002D47EA">
        <w:rPr>
          <w:rFonts w:eastAsia="Calibri"/>
          <w:noProof/>
          <w:sz w:val="22"/>
          <w:szCs w:val="22"/>
          <w:lang w:val="en-US" w:eastAsia="en-US"/>
        </w:rPr>
        <w:t>(FAO, 2016)</w:t>
      </w:r>
      <w:r>
        <w:rPr>
          <w:rFonts w:eastAsia="Calibri"/>
          <w:sz w:val="22"/>
          <w:szCs w:val="22"/>
          <w:lang w:val="en-US" w:eastAsia="en-US"/>
        </w:rPr>
        <w:t>.</w:t>
      </w:r>
    </w:p>
    <w:p w14:paraId="64A636B9" w14:textId="77777777" w:rsidR="0085281E" w:rsidRPr="00BB430C" w:rsidRDefault="0085281E" w:rsidP="0085281E">
      <w:pPr>
        <w:spacing w:after="120"/>
        <w:rPr>
          <w:rFonts w:eastAsia="Calibri"/>
          <w:sz w:val="22"/>
          <w:szCs w:val="22"/>
          <w:lang w:val="en-US" w:eastAsia="en-US"/>
        </w:rPr>
      </w:pPr>
      <w:r w:rsidRPr="00BB430C">
        <w:rPr>
          <w:rFonts w:eastAsia="Calibri"/>
          <w:sz w:val="22"/>
          <w:szCs w:val="22"/>
          <w:lang w:val="en-US" w:eastAsia="en-US"/>
        </w:rPr>
        <w:t>Metagenomics</w:t>
      </w:r>
      <w:r>
        <w:rPr>
          <w:rFonts w:eastAsia="Calibri"/>
          <w:sz w:val="22"/>
          <w:szCs w:val="22"/>
          <w:lang w:val="en-US" w:eastAsia="en-US"/>
        </w:rPr>
        <w:t>-</w:t>
      </w:r>
      <w:r w:rsidRPr="00BB430C">
        <w:rPr>
          <w:rFonts w:eastAsia="Calibri"/>
          <w:sz w:val="22"/>
          <w:szCs w:val="22"/>
          <w:lang w:val="en-US" w:eastAsia="en-US"/>
        </w:rPr>
        <w:t xml:space="preserve">generated genome DNA sequences can </w:t>
      </w:r>
      <w:r w:rsidR="00017F3B">
        <w:rPr>
          <w:rFonts w:eastAsia="Calibri"/>
          <w:sz w:val="22"/>
          <w:szCs w:val="22"/>
          <w:lang w:val="en-US" w:eastAsia="en-US"/>
        </w:rPr>
        <w:t>be coupled with transcriptomics or proteomics</w:t>
      </w:r>
      <w:r w:rsidRPr="00BB430C">
        <w:rPr>
          <w:rFonts w:eastAsia="Calibri"/>
          <w:sz w:val="22"/>
          <w:szCs w:val="22"/>
          <w:lang w:val="en-US" w:eastAsia="en-US"/>
        </w:rPr>
        <w:t xml:space="preserve"> on food samples to describe the physiological state of the community, further increasing confidence in the association between a species’ identified genome and its predicted metabolism </w:t>
      </w:r>
      <w:r w:rsidR="001C037C">
        <w:rPr>
          <w:rFonts w:eastAsia="Calibri"/>
          <w:noProof/>
          <w:sz w:val="22"/>
          <w:szCs w:val="22"/>
          <w:lang w:val="en-US" w:eastAsia="en-US"/>
        </w:rPr>
        <w:t>(King</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sidRPr="00BB430C">
        <w:rPr>
          <w:rFonts w:eastAsia="Calibri"/>
          <w:sz w:val="22"/>
          <w:szCs w:val="22"/>
          <w:lang w:val="en-US" w:eastAsia="en-US"/>
        </w:rPr>
        <w:t>.</w:t>
      </w:r>
    </w:p>
    <w:p w14:paraId="578E554F" w14:textId="77777777" w:rsidR="0085281E" w:rsidRDefault="0085281E" w:rsidP="0085281E">
      <w:pPr>
        <w:spacing w:after="120"/>
        <w:rPr>
          <w:rFonts w:eastAsia="Calibri"/>
          <w:sz w:val="22"/>
          <w:szCs w:val="22"/>
          <w:lang w:val="en-US" w:eastAsia="en-US"/>
        </w:rPr>
      </w:pPr>
      <w:r w:rsidRPr="00BB430C">
        <w:rPr>
          <w:rFonts w:eastAsia="Calibri"/>
          <w:sz w:val="22"/>
          <w:szCs w:val="22"/>
          <w:lang w:val="en-US" w:eastAsia="en-US"/>
        </w:rPr>
        <w:t xml:space="preserve">When combined over time or geography, or by industry, these types of local analyses contribute to </w:t>
      </w:r>
      <w:r>
        <w:rPr>
          <w:rFonts w:eastAsia="Calibri"/>
          <w:sz w:val="22"/>
          <w:szCs w:val="22"/>
          <w:lang w:val="en-US" w:eastAsia="en-US"/>
        </w:rPr>
        <w:t>“</w:t>
      </w:r>
      <w:r w:rsidRPr="00BB430C">
        <w:rPr>
          <w:rFonts w:eastAsia="Calibri"/>
          <w:sz w:val="22"/>
          <w:szCs w:val="22"/>
          <w:lang w:val="en-US" w:eastAsia="en-US"/>
        </w:rPr>
        <w:t>big data</w:t>
      </w:r>
      <w:r>
        <w:rPr>
          <w:rFonts w:eastAsia="Calibri"/>
          <w:sz w:val="22"/>
          <w:szCs w:val="22"/>
          <w:lang w:val="en-US" w:eastAsia="en-US"/>
        </w:rPr>
        <w:t>”</w:t>
      </w:r>
      <w:r w:rsidRPr="00BB430C">
        <w:rPr>
          <w:rFonts w:eastAsia="Calibri"/>
          <w:sz w:val="22"/>
          <w:szCs w:val="22"/>
          <w:lang w:val="en-US" w:eastAsia="en-US"/>
        </w:rPr>
        <w:t xml:space="preserve"> sets. Trends or other diagnostic indicators of causes to either threats to food safety or opportunities for improvements may be identified. </w:t>
      </w:r>
    </w:p>
    <w:p w14:paraId="0A6BAC71" w14:textId="77777777" w:rsidR="0085281E" w:rsidRDefault="0085281E" w:rsidP="0085281E">
      <w:pPr>
        <w:spacing w:after="120"/>
        <w:rPr>
          <w:rFonts w:eastAsia="Calibri"/>
          <w:sz w:val="22"/>
          <w:szCs w:val="22"/>
          <w:lang w:val="en-US" w:eastAsia="en-US"/>
        </w:rPr>
      </w:pPr>
      <w:r>
        <w:rPr>
          <w:rFonts w:eastAsia="Calibri"/>
          <w:sz w:val="22"/>
          <w:szCs w:val="22"/>
          <w:lang w:val="en-US" w:eastAsia="en-US"/>
        </w:rPr>
        <w:t>Food security and sustainable income for farmers are dependent on confidence of access to safe food. A significant challenge comes from post-harvest loss due to contamination by microbes that can be human pathogens. DSI generated from whole genome sequencing of food</w:t>
      </w:r>
      <w:r w:rsidR="008800F9">
        <w:rPr>
          <w:rFonts w:eastAsia="Calibri"/>
          <w:sz w:val="22"/>
          <w:szCs w:val="22"/>
          <w:lang w:val="en-US" w:eastAsia="en-US"/>
        </w:rPr>
        <w:t>-</w:t>
      </w:r>
      <w:r>
        <w:rPr>
          <w:rFonts w:eastAsia="Calibri"/>
          <w:sz w:val="22"/>
          <w:szCs w:val="22"/>
          <w:lang w:val="en-US" w:eastAsia="en-US"/>
        </w:rPr>
        <w:t>borne pathogens i</w:t>
      </w:r>
      <w:r w:rsidR="00017F3B">
        <w:rPr>
          <w:rFonts w:eastAsia="Calibri"/>
          <w:sz w:val="22"/>
          <w:szCs w:val="22"/>
          <w:lang w:val="en-US" w:eastAsia="en-US"/>
        </w:rPr>
        <w:t>s used in surveillance program</w:t>
      </w:r>
      <w:r>
        <w:rPr>
          <w:rFonts w:eastAsia="Calibri"/>
          <w:sz w:val="22"/>
          <w:szCs w:val="22"/>
          <w:lang w:val="en-US" w:eastAsia="en-US"/>
        </w:rPr>
        <w:t>s. WGS is replacing older technologies and approaches to monitoring food</w:t>
      </w:r>
      <w:r w:rsidR="008800F9">
        <w:rPr>
          <w:rFonts w:eastAsia="Calibri"/>
          <w:sz w:val="22"/>
          <w:szCs w:val="22"/>
          <w:lang w:val="en-US" w:eastAsia="en-US"/>
        </w:rPr>
        <w:t>-</w:t>
      </w:r>
      <w:r>
        <w:rPr>
          <w:rFonts w:eastAsia="Calibri"/>
          <w:sz w:val="22"/>
          <w:szCs w:val="22"/>
          <w:lang w:val="en-US" w:eastAsia="en-US"/>
        </w:rPr>
        <w:t xml:space="preserve">borne pathogens </w:t>
      </w:r>
      <w:r w:rsidR="001C037C">
        <w:rPr>
          <w:rFonts w:eastAsia="Calibri"/>
          <w:noProof/>
          <w:sz w:val="22"/>
          <w:szCs w:val="22"/>
          <w:lang w:val="en-US" w:eastAsia="en-US"/>
        </w:rPr>
        <w:t>(Rantsiou</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Pr>
          <w:rFonts w:eastAsia="Calibri"/>
          <w:sz w:val="22"/>
          <w:szCs w:val="22"/>
          <w:lang w:val="en-US" w:eastAsia="en-US"/>
        </w:rPr>
        <w:t>.</w:t>
      </w:r>
    </w:p>
    <w:p w14:paraId="5FC31E60" w14:textId="77777777" w:rsidR="0085281E" w:rsidRDefault="0085281E" w:rsidP="0085281E">
      <w:pPr>
        <w:spacing w:after="120"/>
        <w:rPr>
          <w:rFonts w:eastAsia="Calibri"/>
          <w:sz w:val="22"/>
          <w:szCs w:val="22"/>
          <w:lang w:val="en-US" w:eastAsia="en-US"/>
        </w:rPr>
      </w:pPr>
      <w:r>
        <w:rPr>
          <w:rFonts w:eastAsia="Calibri"/>
          <w:sz w:val="22"/>
          <w:szCs w:val="22"/>
          <w:lang w:val="en-US" w:eastAsia="en-US"/>
        </w:rPr>
        <w:t xml:space="preserve">Dedicated databases such as </w:t>
      </w:r>
      <w:r w:rsidRPr="000E31C3">
        <w:rPr>
          <w:rFonts w:eastAsia="Calibri"/>
          <w:sz w:val="22"/>
          <w:szCs w:val="22"/>
          <w:lang w:val="en-US" w:eastAsia="en-US"/>
        </w:rPr>
        <w:t xml:space="preserve">GenomeTrakr </w:t>
      </w:r>
      <w:r>
        <w:rPr>
          <w:rFonts w:eastAsia="Calibri"/>
          <w:sz w:val="22"/>
          <w:szCs w:val="22"/>
          <w:lang w:val="en-US" w:eastAsia="en-US"/>
        </w:rPr>
        <w:t>in the United States of America and</w:t>
      </w:r>
      <w:r w:rsidRPr="000E31C3">
        <w:rPr>
          <w:rFonts w:eastAsia="Calibri"/>
          <w:sz w:val="22"/>
          <w:szCs w:val="22"/>
          <w:lang w:val="en-US" w:eastAsia="en-US"/>
        </w:rPr>
        <w:t xml:space="preserve"> the ECDC</w:t>
      </w:r>
      <w:r>
        <w:rPr>
          <w:rFonts w:eastAsia="Calibri"/>
          <w:sz w:val="22"/>
          <w:szCs w:val="22"/>
          <w:lang w:val="en-US" w:eastAsia="en-US"/>
        </w:rPr>
        <w:t xml:space="preserve"> in the European Union help to link outbreaks with the food or environmental source of the pathogens </w:t>
      </w:r>
      <w:r w:rsidR="001C037C">
        <w:rPr>
          <w:rFonts w:eastAsia="Calibri"/>
          <w:noProof/>
          <w:sz w:val="22"/>
          <w:szCs w:val="22"/>
          <w:lang w:val="en-US" w:eastAsia="en-US"/>
        </w:rPr>
        <w:t>(Rantsiou</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Pr>
          <w:rFonts w:eastAsia="Calibri"/>
          <w:sz w:val="22"/>
          <w:szCs w:val="22"/>
          <w:lang w:val="en-US" w:eastAsia="en-US"/>
        </w:rPr>
        <w:t>. The databases will also be able to identify genes that contribute to antibiotic resistance or virulence, and thus help to inform medical responses.</w:t>
      </w:r>
    </w:p>
    <w:p w14:paraId="5B7132F9" w14:textId="77777777" w:rsidR="00E701E9" w:rsidRPr="001C3335" w:rsidRDefault="00E701E9" w:rsidP="00E701E9">
      <w:pPr>
        <w:keepNext/>
        <w:keepLines/>
        <w:spacing w:before="200" w:after="120"/>
        <w:outlineLvl w:val="4"/>
        <w:rPr>
          <w:rFonts w:eastAsia="Yu Gothic Light"/>
          <w:color w:val="000000"/>
          <w:sz w:val="22"/>
          <w:szCs w:val="22"/>
          <w:lang w:val="en-NZ" w:eastAsia="en-US"/>
        </w:rPr>
      </w:pPr>
    </w:p>
    <w:p w14:paraId="20BD5C17" w14:textId="77777777" w:rsidR="00E701E9" w:rsidRPr="00E701E9" w:rsidRDefault="00E701E9" w:rsidP="00E701E9">
      <w:pPr>
        <w:pStyle w:val="TableEntry"/>
        <w:keepNext/>
        <w:numPr>
          <w:ilvl w:val="2"/>
          <w:numId w:val="18"/>
        </w:numPr>
        <w:spacing w:before="120" w:after="120"/>
        <w:rPr>
          <w:i/>
        </w:rPr>
      </w:pPr>
      <w:r w:rsidRPr="00E701E9">
        <w:rPr>
          <w:i/>
          <w:lang w:val="en-US"/>
        </w:rPr>
        <w:t>DSI for generating new products from GRFA</w:t>
      </w:r>
    </w:p>
    <w:bookmarkEnd w:id="16"/>
    <w:p w14:paraId="1B82ABD5" w14:textId="77777777" w:rsidR="00EB60FA" w:rsidRDefault="001270BF" w:rsidP="00596DE3">
      <w:pPr>
        <w:spacing w:after="120"/>
        <w:rPr>
          <w:rFonts w:eastAsia="Calibri"/>
          <w:sz w:val="22"/>
          <w:szCs w:val="22"/>
          <w:lang w:eastAsia="en-US"/>
        </w:rPr>
      </w:pPr>
      <w:r>
        <w:rPr>
          <w:rFonts w:eastAsia="Calibri"/>
          <w:sz w:val="22"/>
          <w:szCs w:val="22"/>
          <w:lang w:eastAsia="en-US"/>
        </w:rPr>
        <w:t>DSI is a critical element in new product development</w:t>
      </w:r>
      <w:r w:rsidR="00EB60FA">
        <w:rPr>
          <w:rFonts w:eastAsia="Calibri"/>
          <w:sz w:val="22"/>
          <w:szCs w:val="22"/>
          <w:lang w:eastAsia="en-US"/>
        </w:rPr>
        <w:t xml:space="preserve"> and</w:t>
      </w:r>
      <w:r w:rsidR="00EB60FA" w:rsidRPr="00EB60FA">
        <w:rPr>
          <w:rFonts w:eastAsia="Calibri"/>
          <w:sz w:val="22"/>
          <w:szCs w:val="22"/>
          <w:lang w:eastAsia="en-US"/>
        </w:rPr>
        <w:t xml:space="preserve"> </w:t>
      </w:r>
      <w:r w:rsidR="00EB60FA">
        <w:rPr>
          <w:rFonts w:eastAsia="Calibri"/>
          <w:sz w:val="22"/>
          <w:szCs w:val="22"/>
          <w:lang w:eastAsia="en-US"/>
        </w:rPr>
        <w:t>part of the pathway through which economic value of GRFA is dematerialized.</w:t>
      </w:r>
      <w:r w:rsidR="00655632">
        <w:rPr>
          <w:rFonts w:eastAsia="Calibri"/>
          <w:bCs/>
          <w:sz w:val="22"/>
          <w:szCs w:val="22"/>
          <w:vertAlign w:val="superscript"/>
          <w:lang w:eastAsia="en-US"/>
        </w:rPr>
        <w:t>6</w:t>
      </w:r>
      <w:r w:rsidR="00EB60FA" w:rsidRPr="00EB60FA">
        <w:rPr>
          <w:rFonts w:eastAsia="Calibri"/>
          <w:sz w:val="22"/>
          <w:szCs w:val="22"/>
          <w:lang w:eastAsia="en-US"/>
        </w:rPr>
        <w:t xml:space="preserve"> </w:t>
      </w:r>
      <w:r w:rsidR="00EB60FA">
        <w:rPr>
          <w:rFonts w:eastAsia="Calibri"/>
          <w:sz w:val="22"/>
          <w:szCs w:val="22"/>
          <w:lang w:eastAsia="en-US"/>
        </w:rPr>
        <w:t xml:space="preserve">New products from GRFA increase both income </w:t>
      </w:r>
      <w:r w:rsidR="00EB60FA">
        <w:rPr>
          <w:rFonts w:eastAsia="Calibri"/>
          <w:sz w:val="22"/>
          <w:szCs w:val="22"/>
          <w:lang w:eastAsia="en-US"/>
        </w:rPr>
        <w:lastRenderedPageBreak/>
        <w:t>security and the financial sustainability of farmers. Products can include material from animals, microorganisms and plants or that contains information derived from them.</w:t>
      </w:r>
    </w:p>
    <w:p w14:paraId="7F06DD2C" w14:textId="77777777" w:rsidR="00596DE3" w:rsidRPr="00BB430C" w:rsidRDefault="00596DE3" w:rsidP="00596DE3">
      <w:pPr>
        <w:spacing w:after="120"/>
        <w:rPr>
          <w:rFonts w:eastAsia="Calibri"/>
          <w:sz w:val="22"/>
          <w:szCs w:val="22"/>
          <w:lang w:eastAsia="en-US"/>
        </w:rPr>
      </w:pPr>
      <w:r w:rsidRPr="00BB430C">
        <w:rPr>
          <w:rFonts w:eastAsia="Calibri"/>
          <w:sz w:val="22"/>
          <w:szCs w:val="22"/>
          <w:lang w:eastAsia="en-US"/>
        </w:rPr>
        <w:t>The world food system is estimated to be worth US</w:t>
      </w:r>
      <w:r w:rsidR="00B17964">
        <w:rPr>
          <w:rFonts w:eastAsia="Calibri"/>
          <w:sz w:val="22"/>
          <w:szCs w:val="22"/>
          <w:lang w:eastAsia="en-US"/>
        </w:rPr>
        <w:t>D</w:t>
      </w:r>
      <w:r w:rsidRPr="00BB430C">
        <w:rPr>
          <w:rFonts w:eastAsia="Calibri"/>
          <w:sz w:val="22"/>
          <w:szCs w:val="22"/>
          <w:lang w:eastAsia="en-US"/>
        </w:rPr>
        <w:t xml:space="preserve">4 trillion </w:t>
      </w:r>
      <w:r w:rsidR="001C037C">
        <w:rPr>
          <w:rFonts w:eastAsia="Calibri"/>
          <w:noProof/>
          <w:sz w:val="22"/>
          <w:szCs w:val="22"/>
          <w:lang w:eastAsia="en-US"/>
        </w:rPr>
        <w:t>(Chaudhry and Castle, 2011)</w:t>
      </w:r>
      <w:r w:rsidRPr="00BB430C">
        <w:rPr>
          <w:rFonts w:eastAsia="Calibri"/>
          <w:sz w:val="22"/>
          <w:szCs w:val="22"/>
          <w:lang w:eastAsia="en-US"/>
        </w:rPr>
        <w:t>. Income</w:t>
      </w:r>
      <w:r w:rsidR="00B17964">
        <w:rPr>
          <w:rFonts w:eastAsia="Calibri"/>
          <w:sz w:val="22"/>
          <w:szCs w:val="22"/>
          <w:lang w:eastAsia="en-US"/>
        </w:rPr>
        <w:t>-</w:t>
      </w:r>
      <w:r w:rsidRPr="00BB430C">
        <w:rPr>
          <w:rFonts w:eastAsia="Calibri"/>
          <w:sz w:val="22"/>
          <w:szCs w:val="22"/>
          <w:lang w:eastAsia="en-US"/>
        </w:rPr>
        <w:t xml:space="preserve">generating activities in this market include reducing food production and post-production waste. Along these lines, nanotechnologies are expected to contribute new products to the food system relevant to production (e.g. agrichemicals and feed additives), processing, safety (e.g. detoxification), preservation (e.g. antimicrobials in packaging), taste, absorption of nutrients, and labels for traceability and authenticity </w:t>
      </w:r>
      <w:r w:rsidR="001C037C">
        <w:rPr>
          <w:rFonts w:eastAsia="Calibri"/>
          <w:noProof/>
          <w:sz w:val="22"/>
          <w:szCs w:val="22"/>
          <w:lang w:eastAsia="en-US"/>
        </w:rPr>
        <w:t>(Chaudhry and Castle, 2011; Chen and Yada, 2011)</w:t>
      </w:r>
      <w:r w:rsidRPr="00BB430C">
        <w:rPr>
          <w:rFonts w:eastAsia="Calibri"/>
          <w:sz w:val="22"/>
          <w:szCs w:val="22"/>
          <w:lang w:eastAsia="en-US"/>
        </w:rPr>
        <w:t xml:space="preserve">. The value contribution of nanotechnology to food packaging alone is estimated to exceed </w:t>
      </w:r>
      <w:r w:rsidR="00B17964">
        <w:rPr>
          <w:rFonts w:eastAsia="Calibri"/>
          <w:sz w:val="22"/>
          <w:szCs w:val="22"/>
          <w:lang w:eastAsia="en-US"/>
        </w:rPr>
        <w:t>USD</w:t>
      </w:r>
      <w:r w:rsidRPr="00BB430C">
        <w:rPr>
          <w:rFonts w:eastAsia="Calibri"/>
          <w:sz w:val="22"/>
          <w:szCs w:val="22"/>
          <w:lang w:eastAsia="en-US"/>
        </w:rPr>
        <w:t xml:space="preserve">20 billion, up from the 2006 value of only </w:t>
      </w:r>
      <w:r w:rsidR="00B17964">
        <w:rPr>
          <w:rFonts w:eastAsia="Calibri"/>
          <w:sz w:val="22"/>
          <w:szCs w:val="22"/>
          <w:lang w:eastAsia="en-US"/>
        </w:rPr>
        <w:t>USD</w:t>
      </w:r>
      <w:r w:rsidRPr="00BB430C">
        <w:rPr>
          <w:rFonts w:eastAsia="Calibri"/>
          <w:sz w:val="22"/>
          <w:szCs w:val="22"/>
          <w:lang w:eastAsia="en-US"/>
        </w:rPr>
        <w:t xml:space="preserve">4 million </w:t>
      </w:r>
      <w:r w:rsidR="001C037C">
        <w:rPr>
          <w:rFonts w:eastAsia="Calibri"/>
          <w:noProof/>
          <w:sz w:val="22"/>
          <w:szCs w:val="22"/>
          <w:lang w:eastAsia="en-US"/>
        </w:rPr>
        <w:t>(Chaudhry and Castle, 2011)</w:t>
      </w:r>
      <w:r w:rsidRPr="00BB430C">
        <w:rPr>
          <w:rFonts w:eastAsia="Calibri"/>
          <w:sz w:val="22"/>
          <w:szCs w:val="22"/>
          <w:lang w:eastAsia="en-US"/>
        </w:rPr>
        <w:t>.</w:t>
      </w:r>
    </w:p>
    <w:p w14:paraId="455FD62C" w14:textId="77777777" w:rsidR="00EB60FA" w:rsidRPr="0063509A" w:rsidRDefault="00EB60FA" w:rsidP="00EB60FA">
      <w:pPr>
        <w:spacing w:after="120"/>
        <w:rPr>
          <w:rFonts w:eastAsia="Calibri"/>
          <w:sz w:val="22"/>
          <w:szCs w:val="22"/>
          <w:lang w:val="en-NZ" w:eastAsia="en-US"/>
        </w:rPr>
      </w:pPr>
      <w:r>
        <w:rPr>
          <w:rFonts w:eastAsia="Calibri"/>
          <w:sz w:val="22"/>
          <w:szCs w:val="22"/>
          <w:lang w:eastAsia="en-US"/>
        </w:rPr>
        <w:t xml:space="preserve">Mining of DSI from the microbiomes of GRFA can lead to entirely new sources of enzymes and proteins. For example, the microbiome of ruminant livestock is an important determinant of feed use efficiency particularly for the consumption of fibrous materials. It is the microorganisms that provide the enzymes that digest this material. Metagenomic profiling of these communities contributes to the discovery of new enzymes that also could contribute </w:t>
      </w:r>
      <w:r w:rsidR="00B454C2">
        <w:rPr>
          <w:rFonts w:eastAsia="Calibri"/>
          <w:i/>
          <w:sz w:val="22"/>
          <w:szCs w:val="22"/>
          <w:lang w:eastAsia="en-US"/>
        </w:rPr>
        <w:t xml:space="preserve">ex </w:t>
      </w:r>
      <w:r w:rsidR="00D55EA9" w:rsidRPr="0063509A">
        <w:rPr>
          <w:rFonts w:eastAsia="Calibri"/>
          <w:i/>
          <w:sz w:val="22"/>
          <w:szCs w:val="22"/>
          <w:lang w:eastAsia="en-US"/>
        </w:rPr>
        <w:t>situ</w:t>
      </w:r>
      <w:r w:rsidR="00D55EA9">
        <w:rPr>
          <w:rFonts w:eastAsia="Calibri"/>
          <w:sz w:val="22"/>
          <w:szCs w:val="22"/>
          <w:lang w:eastAsia="en-US"/>
        </w:rPr>
        <w:t xml:space="preserve"> to improving the quality of currently poor feed sources</w:t>
      </w:r>
      <w:r w:rsidR="0063509A">
        <w:rPr>
          <w:rFonts w:eastAsia="Calibri"/>
          <w:sz w:val="22"/>
          <w:szCs w:val="22"/>
          <w:lang w:eastAsia="en-US"/>
        </w:rPr>
        <w:t xml:space="preserve">. They may also be useful in the production of </w:t>
      </w:r>
      <w:r w:rsidR="0063509A" w:rsidRPr="0063509A">
        <w:rPr>
          <w:rFonts w:eastAsia="Calibri"/>
          <w:sz w:val="22"/>
          <w:szCs w:val="22"/>
          <w:lang w:val="en-NZ" w:eastAsia="en-US"/>
        </w:rPr>
        <w:t xml:space="preserve">biofuel and </w:t>
      </w:r>
      <w:r w:rsidR="0063509A">
        <w:rPr>
          <w:rFonts w:eastAsia="Calibri"/>
          <w:sz w:val="22"/>
          <w:szCs w:val="22"/>
          <w:lang w:val="en-NZ" w:eastAsia="en-US"/>
        </w:rPr>
        <w:t xml:space="preserve">for use in </w:t>
      </w:r>
      <w:r w:rsidR="0063509A" w:rsidRPr="0063509A">
        <w:rPr>
          <w:rFonts w:eastAsia="Calibri"/>
          <w:sz w:val="22"/>
          <w:szCs w:val="22"/>
          <w:lang w:val="en-NZ" w:eastAsia="en-US"/>
        </w:rPr>
        <w:t>other industrial processes</w:t>
      </w:r>
      <w:r w:rsidR="0063509A">
        <w:rPr>
          <w:rFonts w:eastAsia="Calibri"/>
          <w:sz w:val="22"/>
          <w:szCs w:val="22"/>
          <w:lang w:val="en-NZ" w:eastAsia="en-US"/>
        </w:rPr>
        <w:t xml:space="preserve"> </w:t>
      </w:r>
      <w:r w:rsidR="0063509A">
        <w:rPr>
          <w:rFonts w:eastAsia="Calibri"/>
          <w:noProof/>
          <w:sz w:val="22"/>
          <w:szCs w:val="22"/>
          <w:lang w:eastAsia="en-US"/>
        </w:rPr>
        <w:t>(Ribeiro</w:t>
      </w:r>
      <w:r w:rsidR="0063509A" w:rsidRPr="0063509A">
        <w:rPr>
          <w:rFonts w:eastAsia="Calibri"/>
          <w:i/>
          <w:noProof/>
          <w:sz w:val="22"/>
          <w:szCs w:val="22"/>
          <w:lang w:eastAsia="en-US"/>
        </w:rPr>
        <w:t xml:space="preserve"> et al.</w:t>
      </w:r>
      <w:r w:rsidR="0063509A">
        <w:rPr>
          <w:rFonts w:eastAsia="Calibri"/>
          <w:noProof/>
          <w:sz w:val="22"/>
          <w:szCs w:val="22"/>
          <w:lang w:eastAsia="en-US"/>
        </w:rPr>
        <w:t>, 2016)</w:t>
      </w:r>
      <w:r w:rsidR="0063509A">
        <w:rPr>
          <w:rFonts w:eastAsia="Calibri"/>
          <w:sz w:val="22"/>
          <w:szCs w:val="22"/>
          <w:lang w:eastAsia="en-US"/>
        </w:rPr>
        <w:t>.</w:t>
      </w:r>
      <w:r w:rsidR="0063509A">
        <w:rPr>
          <w:rFonts w:eastAsia="Calibri"/>
          <w:sz w:val="22"/>
          <w:szCs w:val="22"/>
          <w:lang w:val="en-NZ" w:eastAsia="en-US"/>
        </w:rPr>
        <w:t xml:space="preserve"> Moreover, the</w:t>
      </w:r>
      <w:r w:rsidR="00017F3B">
        <w:rPr>
          <w:rFonts w:eastAsia="Calibri"/>
          <w:sz w:val="22"/>
          <w:szCs w:val="22"/>
          <w:lang w:val="en-NZ" w:eastAsia="en-US"/>
        </w:rPr>
        <w:t xml:space="preserve"> new enzymes</w:t>
      </w:r>
      <w:r w:rsidR="0063509A">
        <w:rPr>
          <w:rFonts w:eastAsia="Calibri"/>
          <w:sz w:val="22"/>
          <w:szCs w:val="22"/>
          <w:lang w:eastAsia="en-US"/>
        </w:rPr>
        <w:t xml:space="preserve"> could help to</w:t>
      </w:r>
      <w:r w:rsidR="00D55EA9">
        <w:rPr>
          <w:rFonts w:eastAsia="Calibri"/>
          <w:sz w:val="22"/>
          <w:szCs w:val="22"/>
          <w:lang w:eastAsia="en-US"/>
        </w:rPr>
        <w:t xml:space="preserve"> reduce competition for higher quality materials to be used as feed or </w:t>
      </w:r>
      <w:r w:rsidR="0063509A">
        <w:rPr>
          <w:rFonts w:eastAsia="Calibri"/>
          <w:sz w:val="22"/>
          <w:szCs w:val="22"/>
          <w:lang w:eastAsia="en-US"/>
        </w:rPr>
        <w:t>food</w:t>
      </w:r>
      <w:r w:rsidRPr="00EB60FA">
        <w:rPr>
          <w:rFonts w:eastAsia="Calibri"/>
          <w:sz w:val="22"/>
          <w:szCs w:val="22"/>
          <w:lang w:eastAsia="en-US"/>
        </w:rPr>
        <w:t xml:space="preserve"> </w:t>
      </w:r>
      <w:r w:rsidR="0063509A">
        <w:rPr>
          <w:rFonts w:eastAsia="Calibri"/>
          <w:noProof/>
          <w:sz w:val="22"/>
          <w:szCs w:val="22"/>
          <w:lang w:eastAsia="en-US"/>
        </w:rPr>
        <w:t>(Ribeiro</w:t>
      </w:r>
      <w:r w:rsidR="0063509A" w:rsidRPr="0063509A">
        <w:rPr>
          <w:rFonts w:eastAsia="Calibri"/>
          <w:i/>
          <w:noProof/>
          <w:sz w:val="22"/>
          <w:szCs w:val="22"/>
          <w:lang w:eastAsia="en-US"/>
        </w:rPr>
        <w:t xml:space="preserve"> et al.</w:t>
      </w:r>
      <w:r w:rsidR="0063509A">
        <w:rPr>
          <w:rFonts w:eastAsia="Calibri"/>
          <w:noProof/>
          <w:sz w:val="22"/>
          <w:szCs w:val="22"/>
          <w:lang w:eastAsia="en-US"/>
        </w:rPr>
        <w:t>, 2016)</w:t>
      </w:r>
      <w:r w:rsidRPr="00EB60FA">
        <w:rPr>
          <w:rFonts w:eastAsia="Calibri"/>
          <w:sz w:val="22"/>
          <w:szCs w:val="22"/>
          <w:lang w:eastAsia="en-US"/>
        </w:rPr>
        <w:t>.</w:t>
      </w:r>
    </w:p>
    <w:p w14:paraId="08A83320" w14:textId="77777777" w:rsidR="00596DE3" w:rsidRPr="00BB430C" w:rsidRDefault="00596DE3" w:rsidP="00596DE3">
      <w:pPr>
        <w:spacing w:after="120"/>
        <w:rPr>
          <w:rFonts w:eastAsia="Calibri"/>
          <w:sz w:val="22"/>
          <w:szCs w:val="22"/>
          <w:lang w:val="mi-NZ" w:eastAsia="en-US"/>
        </w:rPr>
      </w:pPr>
      <w:r w:rsidRPr="00BB430C">
        <w:rPr>
          <w:rFonts w:eastAsia="Calibri"/>
          <w:sz w:val="22"/>
          <w:szCs w:val="22"/>
          <w:lang w:eastAsia="en-US"/>
        </w:rPr>
        <w:t xml:space="preserve">Bionanotechnologies may also provide new income from waste products. One source of new products is animal blood as a source of proteins and new bioactive compounds </w:t>
      </w:r>
      <w:r w:rsidR="001C037C">
        <w:rPr>
          <w:rFonts w:eastAsia="Calibri"/>
          <w:noProof/>
          <w:sz w:val="22"/>
          <w:szCs w:val="22"/>
          <w:lang w:eastAsia="en-US"/>
        </w:rPr>
        <w:t>(Bah</w:t>
      </w:r>
      <w:r w:rsidR="001C037C" w:rsidRPr="001C037C">
        <w:rPr>
          <w:rFonts w:eastAsia="Calibri"/>
          <w:i/>
          <w:noProof/>
          <w:sz w:val="22"/>
          <w:szCs w:val="22"/>
          <w:lang w:eastAsia="en-US"/>
        </w:rPr>
        <w:t xml:space="preserve"> et al.</w:t>
      </w:r>
      <w:r w:rsidR="001C037C">
        <w:rPr>
          <w:rFonts w:eastAsia="Calibri"/>
          <w:noProof/>
          <w:sz w:val="22"/>
          <w:szCs w:val="22"/>
          <w:lang w:eastAsia="en-US"/>
        </w:rPr>
        <w:t>, 2013)</w:t>
      </w:r>
      <w:r w:rsidRPr="00BB430C">
        <w:rPr>
          <w:rFonts w:eastAsia="Calibri"/>
          <w:sz w:val="22"/>
          <w:szCs w:val="22"/>
          <w:lang w:eastAsia="en-US"/>
        </w:rPr>
        <w:t xml:space="preserve">. Presently, blood is collected at </w:t>
      </w:r>
      <w:r w:rsidRPr="00BB430C">
        <w:rPr>
          <w:rFonts w:eastAsia="Calibri"/>
          <w:sz w:val="22"/>
          <w:szCs w:val="22"/>
          <w:lang w:val="mi-NZ" w:eastAsia="en-US"/>
        </w:rPr>
        <w:t>abattoirs at a rate of 4</w:t>
      </w:r>
      <w:r w:rsidR="009301B6">
        <w:rPr>
          <w:rFonts w:eastAsia="Calibri"/>
          <w:sz w:val="22"/>
          <w:szCs w:val="22"/>
          <w:lang w:val="mi-NZ" w:eastAsia="en-US"/>
        </w:rPr>
        <w:t>–</w:t>
      </w:r>
      <w:r w:rsidRPr="00BB430C">
        <w:rPr>
          <w:rFonts w:eastAsia="Calibri"/>
          <w:sz w:val="22"/>
          <w:szCs w:val="22"/>
          <w:lang w:val="mi-NZ" w:eastAsia="en-US"/>
        </w:rPr>
        <w:t>7</w:t>
      </w:r>
      <w:r w:rsidR="00B17964">
        <w:rPr>
          <w:rFonts w:eastAsia="Calibri"/>
          <w:sz w:val="22"/>
          <w:szCs w:val="22"/>
          <w:lang w:val="mi-NZ" w:eastAsia="en-US"/>
        </w:rPr>
        <w:t xml:space="preserve"> percent</w:t>
      </w:r>
      <w:r w:rsidR="00B17964" w:rsidRPr="00BB430C">
        <w:rPr>
          <w:rFonts w:eastAsia="Calibri"/>
          <w:sz w:val="22"/>
          <w:szCs w:val="22"/>
          <w:lang w:val="mi-NZ" w:eastAsia="en-US"/>
        </w:rPr>
        <w:t xml:space="preserve"> </w:t>
      </w:r>
      <w:r w:rsidRPr="00BB430C">
        <w:rPr>
          <w:rFonts w:eastAsia="Calibri"/>
          <w:sz w:val="22"/>
          <w:szCs w:val="22"/>
          <w:lang w:val="mi-NZ" w:eastAsia="en-US"/>
        </w:rPr>
        <w:t>of carcass lean meat. It is a high volume material but is</w:t>
      </w:r>
      <w:r w:rsidR="005F2F74">
        <w:rPr>
          <w:rFonts w:eastAsia="Calibri"/>
          <w:sz w:val="22"/>
          <w:szCs w:val="22"/>
          <w:lang w:val="mi-NZ" w:eastAsia="en-US"/>
        </w:rPr>
        <w:t xml:space="preserve"> mainly</w:t>
      </w:r>
      <w:r w:rsidRPr="00BB430C">
        <w:rPr>
          <w:rFonts w:eastAsia="Calibri"/>
          <w:sz w:val="22"/>
          <w:szCs w:val="22"/>
          <w:lang w:val="mi-NZ" w:eastAsia="en-US"/>
        </w:rPr>
        <w:t xml:space="preserve"> sold as low-value animal food or fertilizer, or incurs a cost for disposal.</w:t>
      </w:r>
    </w:p>
    <w:p w14:paraId="37BDFDA2" w14:textId="77777777" w:rsidR="00596DE3" w:rsidRPr="00BB430C" w:rsidRDefault="005F2F74" w:rsidP="00596DE3">
      <w:pPr>
        <w:spacing w:after="120"/>
        <w:rPr>
          <w:rFonts w:eastAsia="Calibri"/>
          <w:sz w:val="22"/>
          <w:szCs w:val="22"/>
          <w:lang w:eastAsia="en-US"/>
        </w:rPr>
      </w:pPr>
      <w:r>
        <w:rPr>
          <w:rFonts w:eastAsia="Calibri"/>
          <w:sz w:val="22"/>
          <w:szCs w:val="22"/>
          <w:lang w:val="en-US" w:eastAsia="en-US"/>
        </w:rPr>
        <w:t xml:space="preserve">New uses of blood would be an income for farmers. </w:t>
      </w:r>
      <w:r w:rsidR="00596DE3" w:rsidRPr="00BB430C">
        <w:rPr>
          <w:rFonts w:eastAsia="Calibri"/>
          <w:sz w:val="22"/>
          <w:szCs w:val="22"/>
          <w:lang w:val="en-US" w:eastAsia="en-US"/>
        </w:rPr>
        <w:t>Blood carries high concentrations of the protein h</w:t>
      </w:r>
      <w:r w:rsidR="008800F9">
        <w:rPr>
          <w:rFonts w:eastAsia="Calibri"/>
          <w:sz w:val="22"/>
          <w:szCs w:val="22"/>
          <w:lang w:val="en-US" w:eastAsia="en-US"/>
        </w:rPr>
        <w:t>a</w:t>
      </w:r>
      <w:r w:rsidR="00596DE3" w:rsidRPr="00BB430C">
        <w:rPr>
          <w:rFonts w:eastAsia="Calibri"/>
          <w:sz w:val="22"/>
          <w:szCs w:val="22"/>
          <w:lang w:val="en-US" w:eastAsia="en-US"/>
        </w:rPr>
        <w:t>emoglobin. Thus, new applications for this protein could create a new value chain for a by-product. Amyloid fibrils with useful bionanotechnology qualities can be made from h</w:t>
      </w:r>
      <w:r w:rsidR="008800F9">
        <w:rPr>
          <w:rFonts w:eastAsia="Calibri"/>
          <w:sz w:val="22"/>
          <w:szCs w:val="22"/>
          <w:lang w:val="en-US" w:eastAsia="en-US"/>
        </w:rPr>
        <w:t>a</w:t>
      </w:r>
      <w:r w:rsidR="00596DE3" w:rsidRPr="00BB430C">
        <w:rPr>
          <w:rFonts w:eastAsia="Calibri"/>
          <w:sz w:val="22"/>
          <w:szCs w:val="22"/>
          <w:lang w:val="en-US" w:eastAsia="en-US"/>
        </w:rPr>
        <w:t xml:space="preserve">emoglobin </w:t>
      </w:r>
      <w:r w:rsidR="001C037C">
        <w:rPr>
          <w:rFonts w:eastAsia="Calibri"/>
          <w:noProof/>
          <w:sz w:val="22"/>
          <w:szCs w:val="22"/>
          <w:lang w:val="en-US" w:eastAsia="en-US"/>
        </w:rPr>
        <w:t>(Jayawardena</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sidR="00596DE3" w:rsidRPr="00BB430C">
        <w:rPr>
          <w:rFonts w:eastAsia="Calibri"/>
          <w:sz w:val="22"/>
          <w:szCs w:val="22"/>
          <w:lang w:val="en-US" w:eastAsia="en-US"/>
        </w:rPr>
        <w:t>.</w:t>
      </w:r>
      <w:r w:rsidR="00596DE3" w:rsidRPr="00BB430C">
        <w:rPr>
          <w:rFonts w:eastAsia="Calibri"/>
          <w:sz w:val="22"/>
          <w:szCs w:val="22"/>
          <w:lang w:eastAsia="en-US"/>
        </w:rPr>
        <w:t xml:space="preserve"> </w:t>
      </w:r>
    </w:p>
    <w:p w14:paraId="0EB813BC" w14:textId="77777777" w:rsidR="00596DE3" w:rsidRPr="00BB430C" w:rsidRDefault="00596DE3" w:rsidP="00596DE3">
      <w:pPr>
        <w:spacing w:after="120"/>
        <w:rPr>
          <w:rFonts w:eastAsia="Calibri"/>
          <w:sz w:val="22"/>
          <w:szCs w:val="22"/>
          <w:lang w:eastAsia="en-US"/>
        </w:rPr>
      </w:pPr>
      <w:r w:rsidRPr="00BB430C">
        <w:rPr>
          <w:rFonts w:eastAsia="Calibri"/>
          <w:sz w:val="22"/>
          <w:szCs w:val="22"/>
          <w:lang w:eastAsia="en-US"/>
        </w:rPr>
        <w:t xml:space="preserve">DSI can be used to predict whether a protein will form an amyloid fibril. Under the right conditions, all proteins denature and may refold as aggregates </w:t>
      </w:r>
      <w:r w:rsidR="001C037C">
        <w:rPr>
          <w:rFonts w:eastAsia="Calibri"/>
          <w:noProof/>
          <w:sz w:val="22"/>
          <w:szCs w:val="22"/>
          <w:lang w:eastAsia="en-US"/>
        </w:rPr>
        <w:t>(Knowles and Buehler, 2011)</w:t>
      </w:r>
      <w:r w:rsidRPr="00BB430C">
        <w:rPr>
          <w:rFonts w:eastAsia="Calibri"/>
          <w:sz w:val="22"/>
          <w:szCs w:val="22"/>
          <w:lang w:eastAsia="en-US"/>
        </w:rPr>
        <w:t xml:space="preserve">. One form of aggregate is an amyloid fibril. Fibrils may be used to form nanowires. </w:t>
      </w:r>
    </w:p>
    <w:p w14:paraId="46D9CBA5" w14:textId="77777777" w:rsidR="00596DE3" w:rsidRPr="00BB430C" w:rsidRDefault="00596DE3" w:rsidP="00596DE3">
      <w:pPr>
        <w:spacing w:after="120"/>
        <w:rPr>
          <w:rFonts w:eastAsia="Calibri"/>
          <w:sz w:val="22"/>
          <w:szCs w:val="22"/>
          <w:lang w:val="en-US" w:eastAsia="en-US"/>
        </w:rPr>
      </w:pPr>
      <w:r w:rsidRPr="00BB430C">
        <w:rPr>
          <w:rFonts w:eastAsia="Calibri"/>
          <w:sz w:val="22"/>
          <w:szCs w:val="22"/>
          <w:lang w:eastAsia="en-US"/>
        </w:rPr>
        <w:t>Linking a small domain of one protein that can form amyloid fibrils to another protein is often sufficient to cause the second protein to also form amyloid fibrils</w:t>
      </w:r>
      <w:r w:rsidRPr="00BB430C">
        <w:rPr>
          <w:rFonts w:eastAsia="Calibri"/>
          <w:sz w:val="22"/>
          <w:szCs w:val="22"/>
          <w:lang w:val="en-US" w:eastAsia="en-US"/>
        </w:rPr>
        <w:t>. Knowledge of the amino acid sequence of that fibril-forming domain was used to make a variant of the metalloprotein rubredoxin</w:t>
      </w:r>
      <w:r w:rsidR="008800F9">
        <w:rPr>
          <w:rFonts w:eastAsia="Calibri"/>
          <w:sz w:val="22"/>
          <w:szCs w:val="22"/>
          <w:lang w:val="en-US" w:eastAsia="en-US"/>
        </w:rPr>
        <w:t>,</w:t>
      </w:r>
      <w:r w:rsidRPr="00BB430C">
        <w:rPr>
          <w:rFonts w:eastAsia="Calibri"/>
          <w:sz w:val="22"/>
          <w:szCs w:val="22"/>
          <w:lang w:val="en-US" w:eastAsia="en-US"/>
        </w:rPr>
        <w:t xml:space="preserve"> which then spontaneously assembled into an electricity conducting nanowire </w:t>
      </w:r>
      <w:r w:rsidR="001C037C">
        <w:rPr>
          <w:rFonts w:eastAsia="Calibri"/>
          <w:noProof/>
          <w:sz w:val="22"/>
          <w:szCs w:val="22"/>
          <w:lang w:val="en-US" w:eastAsia="en-US"/>
        </w:rPr>
        <w:t>(Altamura</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sidRPr="00BB430C">
        <w:rPr>
          <w:rFonts w:eastAsia="Calibri"/>
          <w:sz w:val="22"/>
          <w:szCs w:val="22"/>
          <w:lang w:val="en-US" w:eastAsia="en-US"/>
        </w:rPr>
        <w:t>.</w:t>
      </w:r>
    </w:p>
    <w:p w14:paraId="2C664332" w14:textId="77777777" w:rsidR="00596DE3" w:rsidRPr="00BB430C" w:rsidRDefault="00596DE3" w:rsidP="00596DE3">
      <w:pPr>
        <w:spacing w:after="120"/>
        <w:rPr>
          <w:rFonts w:eastAsia="Calibri"/>
          <w:sz w:val="22"/>
          <w:szCs w:val="22"/>
          <w:lang w:eastAsia="en-US"/>
        </w:rPr>
      </w:pPr>
      <w:r w:rsidRPr="00BB430C">
        <w:rPr>
          <w:rFonts w:eastAsia="Calibri"/>
          <w:sz w:val="22"/>
          <w:szCs w:val="22"/>
          <w:lang w:eastAsia="en-US"/>
        </w:rPr>
        <w:t xml:space="preserve">Some proteins that form amyloid fibrils also are prions, proteins that behave like </w:t>
      </w:r>
      <w:r w:rsidRPr="00BB430C">
        <w:rPr>
          <w:rFonts w:eastAsia="Calibri"/>
          <w:sz w:val="22"/>
          <w:szCs w:val="22"/>
          <w:lang w:val="en-US" w:eastAsia="en-US"/>
        </w:rPr>
        <w:t xml:space="preserve">genetic material performing information storage and transfer functions </w:t>
      </w:r>
      <w:r w:rsidR="001C037C">
        <w:rPr>
          <w:rFonts w:eastAsia="Calibri"/>
          <w:noProof/>
          <w:sz w:val="22"/>
          <w:szCs w:val="22"/>
          <w:lang w:eastAsia="en-US"/>
        </w:rPr>
        <w:t>(Chernoff, 2004; King and Diaz-Avalos, 2004; Wickner</w:t>
      </w:r>
      <w:r w:rsidR="001C037C" w:rsidRPr="001C037C">
        <w:rPr>
          <w:rFonts w:eastAsia="Calibri"/>
          <w:i/>
          <w:noProof/>
          <w:sz w:val="22"/>
          <w:szCs w:val="22"/>
          <w:lang w:eastAsia="en-US"/>
        </w:rPr>
        <w:t xml:space="preserve"> et al.</w:t>
      </w:r>
      <w:r w:rsidR="001C037C">
        <w:rPr>
          <w:rFonts w:eastAsia="Calibri"/>
          <w:noProof/>
          <w:sz w:val="22"/>
          <w:szCs w:val="22"/>
          <w:lang w:eastAsia="en-US"/>
        </w:rPr>
        <w:t>, 2004; Knowles and Buehler, 2011)</w:t>
      </w:r>
      <w:r w:rsidRPr="00BB430C">
        <w:rPr>
          <w:rFonts w:eastAsia="Calibri"/>
          <w:sz w:val="22"/>
          <w:szCs w:val="22"/>
          <w:lang w:eastAsia="en-US"/>
        </w:rPr>
        <w:t xml:space="preserve">. The domains of the proteins that confer this ability are predicted using sophisticated models trained on DSI </w:t>
      </w:r>
      <w:r w:rsidR="001C037C">
        <w:rPr>
          <w:rFonts w:eastAsia="Calibri"/>
          <w:noProof/>
          <w:sz w:val="22"/>
          <w:szCs w:val="22"/>
          <w:lang w:eastAsia="en-US"/>
        </w:rPr>
        <w:t>(Toombs</w:t>
      </w:r>
      <w:r w:rsidR="001C037C" w:rsidRPr="001C037C">
        <w:rPr>
          <w:rFonts w:eastAsia="Calibri"/>
          <w:i/>
          <w:noProof/>
          <w:sz w:val="22"/>
          <w:szCs w:val="22"/>
          <w:lang w:eastAsia="en-US"/>
        </w:rPr>
        <w:t xml:space="preserve"> et al.</w:t>
      </w:r>
      <w:r w:rsidR="001C037C">
        <w:rPr>
          <w:rFonts w:eastAsia="Calibri"/>
          <w:noProof/>
          <w:sz w:val="22"/>
          <w:szCs w:val="22"/>
          <w:lang w:eastAsia="en-US"/>
        </w:rPr>
        <w:t>, 2012)</w:t>
      </w:r>
      <w:r w:rsidRPr="00BB430C">
        <w:rPr>
          <w:rFonts w:eastAsia="Calibri"/>
          <w:sz w:val="22"/>
          <w:szCs w:val="22"/>
          <w:lang w:eastAsia="en-US"/>
        </w:rPr>
        <w:t xml:space="preserve">, and thus may be identified in DSI or modified from the DSI of existing genetic resources </w:t>
      </w:r>
      <w:r w:rsidR="001C037C">
        <w:rPr>
          <w:rFonts w:eastAsia="Calibri"/>
          <w:noProof/>
          <w:sz w:val="22"/>
          <w:szCs w:val="22"/>
          <w:lang w:eastAsia="en-US"/>
        </w:rPr>
        <w:t>(Antonets and Nizhnikov, 2017)</w:t>
      </w:r>
      <w:r w:rsidRPr="00BB430C">
        <w:rPr>
          <w:rFonts w:eastAsia="Calibri"/>
          <w:sz w:val="22"/>
          <w:szCs w:val="22"/>
          <w:lang w:eastAsia="en-US"/>
        </w:rPr>
        <w:t>. This is useful both because some prions are associated with neurodegenerative diseases in people and animals, including livestock (e.g. ‘Mad Cow Disease’) and because proteins forming these nanostructures may be grown as potentially valuable nanofib</w:t>
      </w:r>
      <w:r w:rsidR="008732F6">
        <w:rPr>
          <w:rFonts w:eastAsia="Calibri"/>
          <w:sz w:val="22"/>
          <w:szCs w:val="22"/>
          <w:lang w:eastAsia="en-US"/>
        </w:rPr>
        <w:t>r</w:t>
      </w:r>
      <w:r w:rsidR="008800F9">
        <w:rPr>
          <w:rFonts w:eastAsia="Calibri"/>
          <w:sz w:val="22"/>
          <w:szCs w:val="22"/>
          <w:lang w:eastAsia="en-US"/>
        </w:rPr>
        <w:t>e</w:t>
      </w:r>
      <w:r w:rsidRPr="00BB430C">
        <w:rPr>
          <w:rFonts w:eastAsia="Calibri"/>
          <w:sz w:val="22"/>
          <w:szCs w:val="22"/>
          <w:lang w:eastAsia="en-US"/>
        </w:rPr>
        <w:t>s.</w:t>
      </w:r>
    </w:p>
    <w:p w14:paraId="6A2CAF3A" w14:textId="77777777" w:rsidR="000E04B6" w:rsidRDefault="00596DE3" w:rsidP="00596DE3">
      <w:pPr>
        <w:spacing w:after="120"/>
        <w:rPr>
          <w:rFonts w:eastAsia="Calibri"/>
          <w:sz w:val="22"/>
          <w:szCs w:val="22"/>
          <w:lang w:eastAsia="en-US"/>
        </w:rPr>
      </w:pPr>
      <w:r w:rsidRPr="00BB430C">
        <w:rPr>
          <w:rFonts w:eastAsia="Calibri"/>
          <w:sz w:val="22"/>
          <w:szCs w:val="22"/>
          <w:lang w:val="en-US" w:eastAsia="en-US"/>
        </w:rPr>
        <w:t xml:space="preserve">Amyloids have a number of exploitable properties, ranging from a biological matrix for surface adhesion to catalytic scaffolds as well as adhesives and structures for the storage of peptide hormones, and as a genetic material </w:t>
      </w:r>
      <w:r w:rsidR="001C037C">
        <w:rPr>
          <w:rFonts w:eastAsia="Calibri"/>
          <w:noProof/>
          <w:sz w:val="22"/>
          <w:szCs w:val="22"/>
          <w:lang w:eastAsia="en-US"/>
        </w:rPr>
        <w:t>(Knowles and Buehler, 2011)</w:t>
      </w:r>
      <w:r w:rsidRPr="00BB430C">
        <w:rPr>
          <w:rFonts w:eastAsia="Calibri"/>
          <w:sz w:val="22"/>
          <w:szCs w:val="22"/>
          <w:lang w:eastAsia="en-US"/>
        </w:rPr>
        <w:t xml:space="preserve">. These properties can be used </w:t>
      </w:r>
      <w:r w:rsidR="00B17964">
        <w:rPr>
          <w:rFonts w:eastAsia="Calibri"/>
          <w:sz w:val="22"/>
          <w:szCs w:val="22"/>
          <w:lang w:eastAsia="en-US"/>
        </w:rPr>
        <w:t xml:space="preserve">to </w:t>
      </w:r>
      <w:r w:rsidRPr="00BB430C">
        <w:rPr>
          <w:rFonts w:eastAsia="Calibri"/>
          <w:sz w:val="22"/>
          <w:szCs w:val="22"/>
          <w:lang w:eastAsia="en-US"/>
        </w:rPr>
        <w:t xml:space="preserve">construct nanotubes through which a nanowire can form, or to construct biosensors and drug delivery media </w:t>
      </w:r>
      <w:r w:rsidR="001C037C">
        <w:rPr>
          <w:rFonts w:eastAsia="Calibri"/>
          <w:noProof/>
          <w:sz w:val="22"/>
          <w:szCs w:val="22"/>
          <w:lang w:eastAsia="en-US"/>
        </w:rPr>
        <w:t>(Hamada</w:t>
      </w:r>
      <w:r w:rsidR="001C037C" w:rsidRPr="001C037C">
        <w:rPr>
          <w:rFonts w:eastAsia="Calibri"/>
          <w:i/>
          <w:noProof/>
          <w:sz w:val="22"/>
          <w:szCs w:val="22"/>
          <w:lang w:eastAsia="en-US"/>
        </w:rPr>
        <w:t xml:space="preserve"> et al.</w:t>
      </w:r>
      <w:r w:rsidR="001C037C">
        <w:rPr>
          <w:rFonts w:eastAsia="Calibri"/>
          <w:noProof/>
          <w:sz w:val="22"/>
          <w:szCs w:val="22"/>
          <w:lang w:eastAsia="en-US"/>
        </w:rPr>
        <w:t>, 2004; Hauser</w:t>
      </w:r>
      <w:r w:rsidR="001C037C" w:rsidRPr="001C037C">
        <w:rPr>
          <w:rFonts w:eastAsia="Calibri"/>
          <w:i/>
          <w:noProof/>
          <w:sz w:val="22"/>
          <w:szCs w:val="22"/>
          <w:lang w:eastAsia="en-US"/>
        </w:rPr>
        <w:t xml:space="preserve"> et al.</w:t>
      </w:r>
      <w:r w:rsidR="001C037C">
        <w:rPr>
          <w:rFonts w:eastAsia="Calibri"/>
          <w:noProof/>
          <w:sz w:val="22"/>
          <w:szCs w:val="22"/>
          <w:lang w:eastAsia="en-US"/>
        </w:rPr>
        <w:t>, 2014)</w:t>
      </w:r>
      <w:r w:rsidRPr="00BB430C">
        <w:rPr>
          <w:rFonts w:eastAsia="Calibri"/>
          <w:sz w:val="22"/>
          <w:szCs w:val="22"/>
          <w:lang w:eastAsia="en-US"/>
        </w:rPr>
        <w:t>.</w:t>
      </w:r>
    </w:p>
    <w:p w14:paraId="4F4B2AA6" w14:textId="77777777" w:rsidR="00DB04CA" w:rsidRPr="00BB430C" w:rsidRDefault="00DB04CA" w:rsidP="008D0183">
      <w:pPr>
        <w:spacing w:after="120"/>
        <w:rPr>
          <w:sz w:val="22"/>
          <w:szCs w:val="22"/>
        </w:rPr>
      </w:pPr>
    </w:p>
    <w:p w14:paraId="11AFEF56" w14:textId="77777777" w:rsidR="001C71E8" w:rsidRPr="00796F66" w:rsidRDefault="007477C6" w:rsidP="001C71E8">
      <w:pPr>
        <w:pStyle w:val="Heading2"/>
        <w:spacing w:before="120" w:after="120"/>
        <w:rPr>
          <w:rFonts w:ascii="Times New Roman" w:hAnsi="Times New Roman" w:cs="Times New Roman"/>
          <w:bCs w:val="0"/>
          <w:i w:val="0"/>
          <w:iCs w:val="0"/>
          <w:noProof/>
          <w:sz w:val="24"/>
          <w:szCs w:val="24"/>
        </w:rPr>
      </w:pPr>
      <w:bookmarkStart w:id="17" w:name="_Toc374968968"/>
      <w:r w:rsidRPr="00796F66">
        <w:rPr>
          <w:rFonts w:ascii="Times New Roman" w:hAnsi="Times New Roman" w:cs="Times New Roman"/>
          <w:bCs w:val="0"/>
          <w:i w:val="0"/>
          <w:iCs w:val="0"/>
          <w:noProof/>
          <w:sz w:val="24"/>
          <w:szCs w:val="24"/>
        </w:rPr>
        <w:lastRenderedPageBreak/>
        <w:t>3</w:t>
      </w:r>
      <w:r w:rsidR="00D54A19" w:rsidRPr="00796F66">
        <w:rPr>
          <w:rFonts w:ascii="Times New Roman" w:hAnsi="Times New Roman" w:cs="Times New Roman"/>
          <w:bCs w:val="0"/>
          <w:i w:val="0"/>
          <w:iCs w:val="0"/>
          <w:noProof/>
          <w:sz w:val="24"/>
          <w:szCs w:val="24"/>
        </w:rPr>
        <w:t>.</w:t>
      </w:r>
      <w:r w:rsidR="00063404" w:rsidRPr="00796F66">
        <w:rPr>
          <w:rFonts w:ascii="Times New Roman" w:hAnsi="Times New Roman" w:cs="Times New Roman"/>
          <w:bCs w:val="0"/>
          <w:i w:val="0"/>
          <w:iCs w:val="0"/>
          <w:noProof/>
          <w:sz w:val="24"/>
          <w:szCs w:val="24"/>
        </w:rPr>
        <w:t xml:space="preserve">4 </w:t>
      </w:r>
      <w:r w:rsidR="001C71E8" w:rsidRPr="00796F66">
        <w:rPr>
          <w:rFonts w:ascii="Times New Roman" w:hAnsi="Times New Roman" w:cs="Times New Roman"/>
          <w:bCs w:val="0"/>
          <w:i w:val="0"/>
          <w:iCs w:val="0"/>
          <w:noProof/>
          <w:sz w:val="24"/>
          <w:szCs w:val="24"/>
        </w:rPr>
        <w:t>Conclusion</w:t>
      </w:r>
      <w:bookmarkEnd w:id="17"/>
    </w:p>
    <w:p w14:paraId="257D5F3B" w14:textId="77777777" w:rsidR="00596DE3" w:rsidRPr="00BB430C" w:rsidRDefault="00596DE3" w:rsidP="00596DE3">
      <w:pPr>
        <w:spacing w:after="120"/>
        <w:rPr>
          <w:rFonts w:eastAsia="Calibri"/>
          <w:noProof/>
          <w:sz w:val="22"/>
          <w:szCs w:val="22"/>
          <w:lang w:val="en-US" w:eastAsia="en-US"/>
        </w:rPr>
      </w:pPr>
      <w:r w:rsidRPr="00BB430C">
        <w:rPr>
          <w:rFonts w:eastAsia="Calibri"/>
          <w:sz w:val="22"/>
          <w:szCs w:val="22"/>
          <w:lang w:val="en-US" w:eastAsia="en-US"/>
        </w:rPr>
        <w:t>DSI may be used in various ways to support</w:t>
      </w:r>
      <w:r w:rsidR="00E211EB">
        <w:rPr>
          <w:rFonts w:eastAsia="Calibri"/>
          <w:sz w:val="22"/>
          <w:szCs w:val="22"/>
          <w:lang w:val="en-US" w:eastAsia="en-US"/>
        </w:rPr>
        <w:t xml:space="preserve"> characterization,</w:t>
      </w:r>
      <w:r w:rsidRPr="00BB430C">
        <w:rPr>
          <w:rFonts w:eastAsia="Calibri"/>
          <w:sz w:val="22"/>
          <w:szCs w:val="22"/>
          <w:lang w:val="en-US" w:eastAsia="en-US"/>
        </w:rPr>
        <w:t xml:space="preserve"> conservation and sustainable use of GRFA</w:t>
      </w:r>
      <w:r w:rsidR="001270BF">
        <w:rPr>
          <w:rFonts w:eastAsia="Calibri"/>
          <w:sz w:val="22"/>
          <w:szCs w:val="22"/>
          <w:lang w:val="en-US" w:eastAsia="en-US"/>
        </w:rPr>
        <w:t>, promoting food security and nutrition</w:t>
      </w:r>
      <w:r w:rsidRPr="00BB430C">
        <w:rPr>
          <w:rFonts w:eastAsia="Calibri"/>
          <w:sz w:val="22"/>
          <w:szCs w:val="22"/>
          <w:lang w:val="en-US" w:eastAsia="en-US"/>
        </w:rPr>
        <w:t>.</w:t>
      </w:r>
      <w:r w:rsidR="001270BF">
        <w:rPr>
          <w:rFonts w:eastAsia="Calibri"/>
          <w:sz w:val="22"/>
          <w:szCs w:val="22"/>
          <w:lang w:val="en-US" w:eastAsia="en-US"/>
        </w:rPr>
        <w:t xml:space="preserve"> </w:t>
      </w:r>
      <w:r w:rsidRPr="00BB430C">
        <w:rPr>
          <w:rFonts w:eastAsia="Calibri"/>
          <w:sz w:val="22"/>
          <w:szCs w:val="22"/>
          <w:lang w:val="en-US" w:eastAsia="en-US"/>
        </w:rPr>
        <w:t>In priority areas of breeding, DSI is being used to associate desired phenotypes with genotypes that then might be amplified or improved through breeding. It is also being used to identify and then select genotypes that are likely to display desired phenotypes. These uses are complementary and may be combined.</w:t>
      </w:r>
    </w:p>
    <w:p w14:paraId="55BB1B9F" w14:textId="77777777" w:rsidR="00596DE3" w:rsidRPr="00BB430C" w:rsidRDefault="00596DE3" w:rsidP="00596DE3">
      <w:pPr>
        <w:spacing w:after="120"/>
        <w:rPr>
          <w:rFonts w:eastAsia="Calibri"/>
          <w:sz w:val="22"/>
          <w:szCs w:val="22"/>
          <w:lang w:val="en-US" w:eastAsia="en-US"/>
        </w:rPr>
      </w:pPr>
      <w:r w:rsidRPr="00BB430C">
        <w:rPr>
          <w:rFonts w:eastAsia="Calibri"/>
          <w:sz w:val="22"/>
          <w:szCs w:val="22"/>
          <w:lang w:val="en-US" w:eastAsia="en-US"/>
        </w:rPr>
        <w:t>DNA information is becoming as important for the discovery of new traits and biological functions and genes as are observable phenotypes. The CRISPR/</w:t>
      </w:r>
      <w:r w:rsidRPr="00BB430C">
        <w:rPr>
          <w:rFonts w:eastAsia="Calibri"/>
          <w:i/>
          <w:sz w:val="22"/>
          <w:szCs w:val="22"/>
          <w:lang w:val="en-US" w:eastAsia="en-US"/>
        </w:rPr>
        <w:t>cas</w:t>
      </w:r>
      <w:r w:rsidRPr="00BB430C">
        <w:rPr>
          <w:rFonts w:eastAsia="Calibri"/>
          <w:sz w:val="22"/>
          <w:szCs w:val="22"/>
          <w:lang w:val="en-US" w:eastAsia="en-US"/>
        </w:rPr>
        <w:t xml:space="preserve">9 system of bacteria, which now is the basis of a powerful tool for gene editing, was discovered first as an unexplained feature in genomic DNA sequences </w:t>
      </w:r>
      <w:r w:rsidR="001C037C">
        <w:rPr>
          <w:rFonts w:eastAsia="Calibri"/>
          <w:noProof/>
          <w:sz w:val="22"/>
          <w:szCs w:val="22"/>
          <w:lang w:val="en-US" w:eastAsia="en-US"/>
        </w:rPr>
        <w:t>(Marraffini and Sontheimer, 2010)</w:t>
      </w:r>
      <w:r w:rsidRPr="00BB430C">
        <w:rPr>
          <w:rFonts w:eastAsia="Calibri"/>
          <w:sz w:val="22"/>
          <w:szCs w:val="22"/>
          <w:lang w:val="en-US" w:eastAsia="en-US"/>
        </w:rPr>
        <w:t>. Only later were these sequence features linked to traits.</w:t>
      </w:r>
    </w:p>
    <w:p w14:paraId="061F7DA7" w14:textId="77777777" w:rsidR="00596DE3" w:rsidRPr="00BB430C" w:rsidRDefault="00596DE3" w:rsidP="00596DE3">
      <w:pPr>
        <w:spacing w:after="120"/>
        <w:rPr>
          <w:rFonts w:eastAsia="Calibri"/>
          <w:sz w:val="22"/>
          <w:szCs w:val="22"/>
          <w:lang w:val="en-US" w:eastAsia="en-US"/>
        </w:rPr>
      </w:pPr>
      <w:r w:rsidRPr="00BB430C">
        <w:rPr>
          <w:rFonts w:eastAsia="Calibri"/>
          <w:sz w:val="22"/>
          <w:szCs w:val="22"/>
          <w:lang w:val="en-US" w:eastAsia="en-US"/>
        </w:rPr>
        <w:t xml:space="preserve">The examples show that DSI other than strictly DNA </w:t>
      </w:r>
      <w:r w:rsidR="00356429" w:rsidRPr="00BB430C">
        <w:rPr>
          <w:rFonts w:eastAsia="Calibri"/>
          <w:sz w:val="22"/>
          <w:szCs w:val="22"/>
          <w:lang w:val="en-US" w:eastAsia="en-US"/>
        </w:rPr>
        <w:t>sequence</w:t>
      </w:r>
      <w:r w:rsidR="00356429">
        <w:rPr>
          <w:rFonts w:eastAsia="Calibri"/>
          <w:sz w:val="22"/>
          <w:szCs w:val="22"/>
          <w:lang w:val="en-US" w:eastAsia="en-US"/>
        </w:rPr>
        <w:t xml:space="preserve"> information</w:t>
      </w:r>
      <w:r w:rsidR="00356429" w:rsidRPr="00BB430C">
        <w:rPr>
          <w:rFonts w:eastAsia="Calibri"/>
          <w:sz w:val="22"/>
          <w:szCs w:val="22"/>
          <w:lang w:val="en-US" w:eastAsia="en-US"/>
        </w:rPr>
        <w:t xml:space="preserve"> </w:t>
      </w:r>
      <w:r w:rsidRPr="00BB430C">
        <w:rPr>
          <w:rFonts w:eastAsia="Calibri"/>
          <w:sz w:val="22"/>
          <w:szCs w:val="22"/>
          <w:lang w:val="en-US" w:eastAsia="en-US"/>
        </w:rPr>
        <w:t>(and associated</w:t>
      </w:r>
      <w:r w:rsidR="00E211EB">
        <w:rPr>
          <w:rFonts w:eastAsia="Calibri"/>
          <w:sz w:val="22"/>
          <w:szCs w:val="22"/>
          <w:lang w:val="en-US" w:eastAsia="en-US"/>
        </w:rPr>
        <w:t xml:space="preserve"> schema and</w:t>
      </w:r>
      <w:r w:rsidRPr="00BB430C">
        <w:rPr>
          <w:rFonts w:eastAsia="Calibri"/>
          <w:sz w:val="22"/>
          <w:szCs w:val="22"/>
          <w:lang w:val="en-US" w:eastAsia="en-US"/>
        </w:rPr>
        <w:t xml:space="preserve"> metadata) </w:t>
      </w:r>
      <w:r w:rsidR="00356429">
        <w:rPr>
          <w:rFonts w:eastAsia="Calibri"/>
          <w:sz w:val="22"/>
          <w:szCs w:val="22"/>
          <w:lang w:val="en-US" w:eastAsia="en-US"/>
        </w:rPr>
        <w:t>are also used for</w:t>
      </w:r>
      <w:r w:rsidRPr="00BB430C">
        <w:rPr>
          <w:rFonts w:eastAsia="Calibri"/>
          <w:sz w:val="22"/>
          <w:szCs w:val="22"/>
          <w:lang w:val="en-US" w:eastAsia="en-US"/>
        </w:rPr>
        <w:t xml:space="preserve"> the conservation and sustainable use of GRFA. In some cases, DNA</w:t>
      </w:r>
      <w:r w:rsidR="00356429">
        <w:rPr>
          <w:rFonts w:eastAsia="Calibri"/>
          <w:sz w:val="22"/>
          <w:szCs w:val="22"/>
          <w:lang w:val="en-US" w:eastAsia="en-US"/>
        </w:rPr>
        <w:t xml:space="preserve"> sequence information alone</w:t>
      </w:r>
      <w:r w:rsidRPr="00BB430C">
        <w:rPr>
          <w:rFonts w:eastAsia="Calibri"/>
          <w:sz w:val="22"/>
          <w:szCs w:val="22"/>
          <w:lang w:val="en-US" w:eastAsia="en-US"/>
        </w:rPr>
        <w:t xml:space="preserve"> would not be enough to achieve the same outcome. For example, having whole genome sequences from indigenous African cattle would not identify putative </w:t>
      </w:r>
      <w:r w:rsidR="00771093">
        <w:rPr>
          <w:rFonts w:eastAsia="Calibri"/>
          <w:sz w:val="22"/>
          <w:szCs w:val="22"/>
          <w:lang w:val="en-US" w:eastAsia="en-US"/>
        </w:rPr>
        <w:t>QTL</w:t>
      </w:r>
      <w:r w:rsidRPr="00BB430C">
        <w:rPr>
          <w:rFonts w:eastAsia="Calibri"/>
          <w:sz w:val="22"/>
          <w:szCs w:val="22"/>
          <w:lang w:val="en-US" w:eastAsia="en-US"/>
        </w:rPr>
        <w:t xml:space="preserve"> associated with heat tolerance. Only when combined with meteorological and other kinds of data is it possible to identify relevant genes and desirable alleles. Likewise, it might be possible one day to use metabolomic data to characterize ecosystem function, or to reconstruct that function.</w:t>
      </w:r>
    </w:p>
    <w:p w14:paraId="01242FD0" w14:textId="77777777" w:rsidR="001818AC" w:rsidRDefault="001818AC">
      <w:pPr>
        <w:rPr>
          <w:sz w:val="22"/>
          <w:szCs w:val="22"/>
          <w:lang w:val="en-US"/>
        </w:rPr>
      </w:pPr>
      <w:r>
        <w:rPr>
          <w:lang w:val="en-US"/>
        </w:rPr>
        <w:br w:type="page"/>
      </w:r>
    </w:p>
    <w:p w14:paraId="644ADE41" w14:textId="77777777" w:rsidR="006B55F6" w:rsidRPr="00796F66" w:rsidRDefault="00A67743" w:rsidP="00BD3F2B">
      <w:pPr>
        <w:pStyle w:val="TableEntry"/>
        <w:numPr>
          <w:ilvl w:val="0"/>
          <w:numId w:val="5"/>
        </w:numPr>
        <w:spacing w:before="120" w:after="120"/>
        <w:ind w:left="0" w:firstLine="0"/>
        <w:jc w:val="center"/>
        <w:rPr>
          <w:b/>
          <w:caps/>
          <w:sz w:val="24"/>
          <w:szCs w:val="24"/>
          <w:lang w:eastAsia="pl-PL"/>
        </w:rPr>
      </w:pPr>
      <w:r w:rsidRPr="00796F66">
        <w:rPr>
          <w:b/>
          <w:caps/>
          <w:sz w:val="24"/>
          <w:szCs w:val="24"/>
          <w:lang w:eastAsia="pl-PL"/>
        </w:rPr>
        <w:lastRenderedPageBreak/>
        <w:t>What role does DSI have in research and product development and GRFA management?</w:t>
      </w:r>
    </w:p>
    <w:p w14:paraId="273D5D73" w14:textId="77777777" w:rsidR="00AC7A35" w:rsidRPr="009301B6" w:rsidRDefault="00596DE3" w:rsidP="00AC7A35">
      <w:pPr>
        <w:spacing w:after="120"/>
        <w:rPr>
          <w:rFonts w:eastAsia="Calibri"/>
          <w:sz w:val="22"/>
          <w:szCs w:val="22"/>
          <w:lang w:eastAsia="en-US"/>
        </w:rPr>
      </w:pPr>
      <w:r w:rsidRPr="00C96AE1">
        <w:rPr>
          <w:sz w:val="22"/>
          <w:szCs w:val="22"/>
        </w:rPr>
        <w:t>DSI has predominantly but not exclusively been a descriptive tool</w:t>
      </w:r>
      <w:r w:rsidR="00E01F19" w:rsidRPr="00C96AE1">
        <w:rPr>
          <w:sz w:val="22"/>
          <w:szCs w:val="22"/>
        </w:rPr>
        <w:t xml:space="preserve"> used in the biotechnologies of characterization, conservation and sustainable use of GRFA</w:t>
      </w:r>
      <w:r w:rsidRPr="00C96AE1">
        <w:rPr>
          <w:sz w:val="22"/>
          <w:szCs w:val="22"/>
        </w:rPr>
        <w:t>. For example, genomic DNA is sequenced and</w:t>
      </w:r>
      <w:r w:rsidR="00AC7A35" w:rsidRPr="00C96AE1">
        <w:rPr>
          <w:sz w:val="22"/>
          <w:szCs w:val="22"/>
        </w:rPr>
        <w:t xml:space="preserve"> the sequences are</w:t>
      </w:r>
      <w:r w:rsidRPr="00C96AE1">
        <w:rPr>
          <w:sz w:val="22"/>
          <w:szCs w:val="22"/>
        </w:rPr>
        <w:t xml:space="preserve"> used to help select genomes with alleles of genes that are associated with desired phenotypes (</w:t>
      </w:r>
      <w:r w:rsidRPr="009301B6">
        <w:rPr>
          <w:noProof/>
          <w:sz w:val="22"/>
          <w:szCs w:val="22"/>
        </w:rPr>
        <w:t xml:space="preserve">Figure </w:t>
      </w:r>
      <w:r w:rsidR="00117E56">
        <w:rPr>
          <w:sz w:val="22"/>
          <w:szCs w:val="22"/>
        </w:rPr>
        <w:t>I.4</w:t>
      </w:r>
      <w:r w:rsidRPr="00C96AE1">
        <w:rPr>
          <w:sz w:val="22"/>
          <w:szCs w:val="22"/>
        </w:rPr>
        <w:t xml:space="preserve">). </w:t>
      </w:r>
      <w:r w:rsidR="00E01F19" w:rsidRPr="00C96AE1">
        <w:rPr>
          <w:sz w:val="22"/>
          <w:szCs w:val="22"/>
        </w:rPr>
        <w:t>DSI is taking an ever increasingly</w:t>
      </w:r>
      <w:r w:rsidRPr="00C96AE1">
        <w:rPr>
          <w:sz w:val="22"/>
          <w:szCs w:val="22"/>
        </w:rPr>
        <w:t xml:space="preserve"> active role in management and manufacture of GRFA</w:t>
      </w:r>
      <w:r w:rsidR="00AC1C63">
        <w:rPr>
          <w:sz w:val="22"/>
          <w:szCs w:val="22"/>
        </w:rPr>
        <w:t xml:space="preserve">, and in claims of ownership of genetic resources because it is an underlying means to describe intellectual property </w:t>
      </w:r>
      <w:r w:rsidR="001C037C">
        <w:rPr>
          <w:noProof/>
          <w:sz w:val="22"/>
          <w:szCs w:val="22"/>
        </w:rPr>
        <w:t>(Lidder and Sonnino, 2011)</w:t>
      </w:r>
      <w:r w:rsidRPr="00C96AE1">
        <w:rPr>
          <w:sz w:val="22"/>
          <w:szCs w:val="22"/>
        </w:rPr>
        <w:t>.</w:t>
      </w:r>
      <w:r w:rsidR="00AC1C63">
        <w:rPr>
          <w:sz w:val="22"/>
          <w:szCs w:val="22"/>
        </w:rPr>
        <w:t xml:space="preserve"> As the uses of</w:t>
      </w:r>
      <w:r w:rsidRPr="00C96AE1">
        <w:rPr>
          <w:sz w:val="22"/>
          <w:szCs w:val="22"/>
        </w:rPr>
        <w:t xml:space="preserve"> DSI</w:t>
      </w:r>
      <w:r w:rsidR="00AC1C63">
        <w:rPr>
          <w:sz w:val="22"/>
          <w:szCs w:val="22"/>
        </w:rPr>
        <w:t xml:space="preserve"> evolve, they</w:t>
      </w:r>
      <w:r w:rsidRPr="00C96AE1">
        <w:rPr>
          <w:sz w:val="22"/>
          <w:szCs w:val="22"/>
        </w:rPr>
        <w:t xml:space="preserve"> </w:t>
      </w:r>
      <w:r w:rsidR="00722EA9" w:rsidRPr="00C96AE1">
        <w:rPr>
          <w:sz w:val="22"/>
          <w:szCs w:val="22"/>
        </w:rPr>
        <w:t xml:space="preserve">will </w:t>
      </w:r>
      <w:r w:rsidRPr="00C96AE1">
        <w:rPr>
          <w:sz w:val="22"/>
          <w:szCs w:val="22"/>
        </w:rPr>
        <w:t>augment capacity in GRFA management but also significantly increase potential for uses that could cause harm.</w:t>
      </w:r>
    </w:p>
    <w:p w14:paraId="7836D10D" w14:textId="77777777" w:rsidR="00363D2D" w:rsidRDefault="00363D2D" w:rsidP="008D0183">
      <w:pPr>
        <w:spacing w:after="120"/>
        <w:rPr>
          <w:rFonts w:eastAsia="Calibri"/>
          <w:lang w:eastAsia="en-US"/>
        </w:rPr>
      </w:pPr>
      <w:r>
        <w:rPr>
          <w:rFonts w:eastAsia="Calibri"/>
          <w:sz w:val="22"/>
          <w:szCs w:val="22"/>
          <w:lang w:eastAsia="en-US"/>
        </w:rPr>
        <w:t>The</w:t>
      </w:r>
      <w:r w:rsidR="00AC7A35" w:rsidRPr="00BB430C">
        <w:rPr>
          <w:rFonts w:eastAsia="Calibri"/>
          <w:sz w:val="22"/>
          <w:szCs w:val="22"/>
          <w:lang w:eastAsia="en-US"/>
        </w:rPr>
        <w:t xml:space="preserve"> shift in the value of DSI is </w:t>
      </w:r>
      <w:r w:rsidR="009A7FA4">
        <w:rPr>
          <w:rFonts w:eastAsia="Calibri"/>
          <w:sz w:val="22"/>
          <w:szCs w:val="22"/>
          <w:lang w:eastAsia="en-US"/>
        </w:rPr>
        <w:t>more and more</w:t>
      </w:r>
      <w:r w:rsidR="00AC7A35" w:rsidRPr="00BB430C">
        <w:rPr>
          <w:rFonts w:eastAsia="Calibri"/>
          <w:sz w:val="22"/>
          <w:szCs w:val="22"/>
          <w:lang w:eastAsia="en-US"/>
        </w:rPr>
        <w:t xml:space="preserve"> uncoupled from a source biological material. </w:t>
      </w:r>
      <w:r>
        <w:rPr>
          <w:rFonts w:eastAsia="Calibri"/>
          <w:sz w:val="22"/>
          <w:szCs w:val="22"/>
          <w:lang w:eastAsia="en-US"/>
        </w:rPr>
        <w:t>This is in part due to the degree of specialization among those who use DSI or supply analyses based on DSI, and to the way technologies use DSI.</w:t>
      </w:r>
    </w:p>
    <w:p w14:paraId="69FEDC7A" w14:textId="77777777" w:rsidR="00363D2D" w:rsidRDefault="00363D2D" w:rsidP="008D0183">
      <w:pPr>
        <w:spacing w:after="120"/>
        <w:rPr>
          <w:rFonts w:eastAsia="Calibri"/>
          <w:lang w:eastAsia="en-US"/>
        </w:rPr>
      </w:pPr>
    </w:p>
    <w:p w14:paraId="715D1ECA" w14:textId="77777777" w:rsidR="00870A3D" w:rsidRPr="00796F66" w:rsidRDefault="00363D2D" w:rsidP="008D0183">
      <w:pPr>
        <w:pStyle w:val="Heading2"/>
        <w:spacing w:before="120" w:after="120"/>
        <w:rPr>
          <w:sz w:val="24"/>
          <w:szCs w:val="24"/>
        </w:rPr>
      </w:pPr>
      <w:r w:rsidRPr="00796F66">
        <w:rPr>
          <w:rFonts w:ascii="Times New Roman" w:hAnsi="Times New Roman" w:cs="Times New Roman"/>
          <w:bCs w:val="0"/>
          <w:i w:val="0"/>
          <w:iCs w:val="0"/>
          <w:noProof/>
          <w:sz w:val="24"/>
          <w:szCs w:val="24"/>
        </w:rPr>
        <w:t>4.1</w:t>
      </w:r>
      <w:r w:rsidR="000B773A" w:rsidRPr="00796F66">
        <w:rPr>
          <w:rFonts w:ascii="Times New Roman" w:hAnsi="Times New Roman" w:cs="Times New Roman"/>
          <w:bCs w:val="0"/>
          <w:i w:val="0"/>
          <w:iCs w:val="0"/>
          <w:noProof/>
          <w:sz w:val="24"/>
          <w:szCs w:val="24"/>
        </w:rPr>
        <w:t xml:space="preserve"> DSI in the management of GRFA</w:t>
      </w:r>
      <w:bookmarkStart w:id="18" w:name="_Toc374968970"/>
    </w:p>
    <w:p w14:paraId="1C732FDC" w14:textId="77777777" w:rsidR="00BD3F2B" w:rsidRPr="00396BDD" w:rsidRDefault="00BD3F2B" w:rsidP="00BD3F2B">
      <w:pPr>
        <w:shd w:val="clear" w:color="auto" w:fill="E0E0E0"/>
        <w:spacing w:after="120"/>
        <w:rPr>
          <w:rFonts w:eastAsia="Calibri"/>
          <w:sz w:val="20"/>
          <w:szCs w:val="22"/>
          <w:lang w:val="en-US" w:eastAsia="en-US"/>
        </w:rPr>
      </w:pPr>
      <w:bookmarkStart w:id="19" w:name="_Toc374968972"/>
      <w:bookmarkEnd w:id="18"/>
      <w:r>
        <w:rPr>
          <w:rFonts w:eastAsia="Calibri"/>
          <w:sz w:val="20"/>
          <w:szCs w:val="22"/>
          <w:lang w:val="en-US" w:eastAsia="en-US"/>
        </w:rPr>
        <w:t>“‘</w:t>
      </w:r>
      <w:r w:rsidRPr="00396BDD">
        <w:rPr>
          <w:rFonts w:eastAsia="Calibri"/>
          <w:sz w:val="20"/>
          <w:szCs w:val="22"/>
          <w:lang w:val="en-US" w:eastAsia="en-US"/>
        </w:rPr>
        <w:t>We’re all of a sudden having tools to study entire communiti</w:t>
      </w:r>
      <w:r w:rsidRPr="00A76FE5">
        <w:rPr>
          <w:rFonts w:eastAsia="Calibri"/>
          <w:sz w:val="20"/>
          <w:szCs w:val="22"/>
          <w:lang w:val="en-US" w:eastAsia="en-US"/>
        </w:rPr>
        <w:t>es rather than single microbes,</w:t>
      </w:r>
      <w:r>
        <w:rPr>
          <w:rFonts w:eastAsia="Calibri"/>
          <w:sz w:val="20"/>
          <w:szCs w:val="22"/>
          <w:lang w:val="en-US" w:eastAsia="en-US"/>
        </w:rPr>
        <w:t>’</w:t>
      </w:r>
      <w:r w:rsidRPr="00396BDD">
        <w:rPr>
          <w:rFonts w:eastAsia="Calibri"/>
          <w:sz w:val="20"/>
          <w:szCs w:val="22"/>
          <w:lang w:val="en-US" w:eastAsia="en-US"/>
        </w:rPr>
        <w:t xml:space="preserve"> says Maggie Wagner, a plant biologist at North Carolina State University. Cheap sequencing means it’s much easier to go out prospecting and cataloguing microbes.</w:t>
      </w:r>
      <w:r>
        <w:rPr>
          <w:rFonts w:eastAsia="Calibri"/>
          <w:sz w:val="20"/>
          <w:szCs w:val="22"/>
          <w:lang w:val="en-US" w:eastAsia="en-US"/>
        </w:rPr>
        <w:t xml:space="preserve"> </w:t>
      </w:r>
      <w:r w:rsidRPr="00396BDD">
        <w:rPr>
          <w:rFonts w:eastAsia="Calibri"/>
          <w:sz w:val="20"/>
          <w:szCs w:val="22"/>
          <w:lang w:val="en-US" w:eastAsia="en-US"/>
        </w:rPr>
        <w:t>That’s exactly what Indigo has spent the past several years doing. With its network of collaborators, the company has collected microbes from plants all around the world</w:t>
      </w:r>
      <w:r>
        <w:rPr>
          <w:rFonts w:eastAsia="Calibri"/>
          <w:sz w:val="20"/>
          <w:szCs w:val="22"/>
          <w:lang w:val="en-US" w:eastAsia="en-US"/>
        </w:rPr>
        <w:t xml:space="preserve">” </w:t>
      </w:r>
      <w:r w:rsidR="001C037C">
        <w:rPr>
          <w:rFonts w:eastAsia="Calibri"/>
          <w:noProof/>
          <w:sz w:val="20"/>
          <w:szCs w:val="22"/>
          <w:lang w:val="en-US" w:eastAsia="en-US"/>
        </w:rPr>
        <w:t>(Zhang, 2016)</w:t>
      </w:r>
      <w:r w:rsidRPr="00396BDD">
        <w:rPr>
          <w:rFonts w:eastAsia="Calibri"/>
          <w:sz w:val="20"/>
          <w:szCs w:val="22"/>
          <w:lang w:val="en-US" w:eastAsia="en-US"/>
        </w:rPr>
        <w:t>. </w:t>
      </w:r>
    </w:p>
    <w:p w14:paraId="09FFC3CC" w14:textId="77777777" w:rsidR="000B773A" w:rsidRPr="000B773A" w:rsidRDefault="000B773A" w:rsidP="000B773A">
      <w:pPr>
        <w:spacing w:after="120"/>
        <w:rPr>
          <w:rFonts w:eastAsia="Calibri"/>
          <w:sz w:val="22"/>
          <w:szCs w:val="22"/>
          <w:lang w:eastAsia="en-US"/>
        </w:rPr>
      </w:pPr>
      <w:r>
        <w:rPr>
          <w:rFonts w:eastAsia="Calibri"/>
          <w:sz w:val="22"/>
          <w:szCs w:val="22"/>
          <w:lang w:eastAsia="en-US"/>
        </w:rPr>
        <w:t>DSI from both GRFA and organisms that are not GFRA can be used to improve food security and nutrition. As discussed previously, DSI is used in comparative genomics drawing from non-GRFA organisms to associate traits with genes, and alleles with QTL. Organisms that are not GRFA are also important to optimize food production, limit waste and maximize farmer income.</w:t>
      </w:r>
    </w:p>
    <w:p w14:paraId="3407176B" w14:textId="77777777" w:rsidR="00A73AD8" w:rsidRDefault="00596DE3" w:rsidP="00596DE3">
      <w:pPr>
        <w:spacing w:after="120"/>
        <w:rPr>
          <w:rFonts w:eastAsia="Calibri"/>
          <w:sz w:val="22"/>
          <w:szCs w:val="22"/>
          <w:lang w:val="en-US" w:eastAsia="en-US"/>
        </w:rPr>
      </w:pPr>
      <w:bookmarkStart w:id="20" w:name="_Toc375588470"/>
      <w:bookmarkEnd w:id="19"/>
      <w:r w:rsidRPr="00BD3F2B">
        <w:rPr>
          <w:rFonts w:eastAsia="Yu Gothic Light"/>
          <w:color w:val="000000"/>
          <w:sz w:val="22"/>
          <w:szCs w:val="22"/>
          <w:lang w:val="en-US" w:eastAsia="en-US"/>
        </w:rPr>
        <w:t>Microbiome DSI</w:t>
      </w:r>
      <w:r w:rsidR="00BD3F2B">
        <w:rPr>
          <w:rFonts w:eastAsia="Yu Gothic Light"/>
          <w:color w:val="000000"/>
          <w:sz w:val="22"/>
          <w:szCs w:val="22"/>
          <w:lang w:val="en-US" w:eastAsia="en-US"/>
        </w:rPr>
        <w:t xml:space="preserve"> is</w:t>
      </w:r>
      <w:r w:rsidRPr="00BD3F2B">
        <w:rPr>
          <w:rFonts w:eastAsia="Yu Gothic Light"/>
          <w:color w:val="000000"/>
          <w:sz w:val="22"/>
          <w:szCs w:val="22"/>
          <w:lang w:val="en-US" w:eastAsia="en-US"/>
        </w:rPr>
        <w:t xml:space="preserve"> applied to quantitative traits of plant and </w:t>
      </w:r>
      <w:bookmarkEnd w:id="20"/>
      <w:r w:rsidR="00BB37F0" w:rsidRPr="00BD3F2B">
        <w:rPr>
          <w:rFonts w:eastAsia="Yu Gothic Light"/>
          <w:color w:val="000000"/>
          <w:sz w:val="22"/>
          <w:szCs w:val="22"/>
          <w:lang w:val="en-US" w:eastAsia="en-US"/>
        </w:rPr>
        <w:t>animal GRFA</w:t>
      </w:r>
      <w:r w:rsidR="00BD3F2B">
        <w:rPr>
          <w:rFonts w:eastAsia="Yu Gothic Light"/>
          <w:color w:val="000000"/>
          <w:sz w:val="22"/>
          <w:szCs w:val="22"/>
          <w:lang w:val="en-US" w:eastAsia="en-US"/>
        </w:rPr>
        <w:t xml:space="preserve">. </w:t>
      </w:r>
      <w:r w:rsidR="00A73AD8" w:rsidRPr="00BB430C">
        <w:rPr>
          <w:rFonts w:eastAsia="Calibri"/>
          <w:sz w:val="22"/>
          <w:szCs w:val="22"/>
          <w:lang w:val="en-US" w:eastAsia="en-US"/>
        </w:rPr>
        <w:t>Micro</w:t>
      </w:r>
      <w:r w:rsidR="008800F9">
        <w:rPr>
          <w:rFonts w:eastAsia="Calibri"/>
          <w:sz w:val="22"/>
          <w:szCs w:val="22"/>
          <w:lang w:val="en-US" w:eastAsia="en-US"/>
        </w:rPr>
        <w:t>-</w:t>
      </w:r>
      <w:r w:rsidR="00A73AD8" w:rsidRPr="00BB430C">
        <w:rPr>
          <w:rFonts w:eastAsia="Calibri"/>
          <w:sz w:val="22"/>
          <w:szCs w:val="22"/>
          <w:lang w:val="en-US" w:eastAsia="en-US"/>
        </w:rPr>
        <w:t xml:space="preserve">organisms comprise the greatest biological and genetic diversity as well as numbers on the planet, and have done so far longer than any other kind of organism </w:t>
      </w:r>
      <w:r w:rsidR="001C037C">
        <w:rPr>
          <w:rFonts w:eastAsia="Calibri"/>
          <w:noProof/>
          <w:sz w:val="22"/>
          <w:szCs w:val="22"/>
          <w:lang w:val="en-US" w:eastAsia="en-US"/>
        </w:rPr>
        <w:t>(Lau</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sidR="00A73AD8" w:rsidRPr="00BB430C">
        <w:rPr>
          <w:rFonts w:eastAsia="Calibri"/>
          <w:sz w:val="22"/>
          <w:szCs w:val="22"/>
          <w:lang w:val="en-US" w:eastAsia="en-US"/>
        </w:rPr>
        <w:t>.</w:t>
      </w:r>
      <w:r w:rsidR="00A73AD8">
        <w:rPr>
          <w:rFonts w:eastAsia="Calibri"/>
          <w:sz w:val="22"/>
          <w:szCs w:val="22"/>
          <w:lang w:val="en-US" w:eastAsia="en-US"/>
        </w:rPr>
        <w:t xml:space="preserve"> These organisms are not only a source of nutrients such as from fermented foods, but underpin all agricultural productivity</w:t>
      </w:r>
      <w:r w:rsidR="00865E23">
        <w:rPr>
          <w:rFonts w:eastAsia="Calibri"/>
          <w:sz w:val="22"/>
          <w:szCs w:val="22"/>
          <w:lang w:val="en-US" w:eastAsia="en-US"/>
        </w:rPr>
        <w:t>, e.g</w:t>
      </w:r>
      <w:r w:rsidR="00A73AD8">
        <w:rPr>
          <w:rFonts w:eastAsia="Calibri"/>
          <w:sz w:val="22"/>
          <w:szCs w:val="22"/>
          <w:lang w:val="en-US" w:eastAsia="en-US"/>
        </w:rPr>
        <w:t>.</w:t>
      </w:r>
      <w:r w:rsidR="00780380">
        <w:rPr>
          <w:rFonts w:eastAsia="Calibri"/>
          <w:sz w:val="22"/>
          <w:szCs w:val="22"/>
          <w:lang w:val="en-US" w:eastAsia="en-US"/>
        </w:rPr>
        <w:t xml:space="preserve"> in</w:t>
      </w:r>
      <w:r w:rsidR="00865E23">
        <w:rPr>
          <w:rFonts w:eastAsia="Calibri"/>
          <w:sz w:val="22"/>
          <w:szCs w:val="22"/>
          <w:lang w:val="en-US" w:eastAsia="en-US"/>
        </w:rPr>
        <w:t xml:space="preserve"> forestry </w:t>
      </w:r>
      <w:r w:rsidR="001C037C">
        <w:rPr>
          <w:rFonts w:eastAsia="Calibri"/>
          <w:noProof/>
          <w:sz w:val="22"/>
          <w:szCs w:val="22"/>
          <w:lang w:val="en-US" w:eastAsia="en-US"/>
        </w:rPr>
        <w:t>(Sinnino, 2016)</w:t>
      </w:r>
      <w:r w:rsidR="00865E23">
        <w:rPr>
          <w:rFonts w:eastAsia="Calibri"/>
          <w:sz w:val="22"/>
          <w:szCs w:val="22"/>
          <w:lang w:val="en-US" w:eastAsia="en-US"/>
        </w:rPr>
        <w:t>.</w:t>
      </w:r>
      <w:r w:rsidR="00A73AD8" w:rsidRPr="00BB430C">
        <w:rPr>
          <w:rFonts w:eastAsia="Calibri"/>
          <w:sz w:val="22"/>
          <w:szCs w:val="22"/>
          <w:lang w:val="en-US" w:eastAsia="en-US"/>
        </w:rPr>
        <w:t xml:space="preserve"> Soil can harbo</w:t>
      </w:r>
      <w:r w:rsidR="008800F9">
        <w:rPr>
          <w:rFonts w:eastAsia="Calibri"/>
          <w:sz w:val="22"/>
          <w:szCs w:val="22"/>
          <w:lang w:val="en-US" w:eastAsia="en-US"/>
        </w:rPr>
        <w:t>u</w:t>
      </w:r>
      <w:r w:rsidR="00A73AD8" w:rsidRPr="00BB430C">
        <w:rPr>
          <w:rFonts w:eastAsia="Calibri"/>
          <w:sz w:val="22"/>
          <w:szCs w:val="22"/>
          <w:lang w:val="en-US" w:eastAsia="en-US"/>
        </w:rPr>
        <w:t xml:space="preserve">r thousands of different species of microbes in every gram and soil environments are among the most complex </w:t>
      </w:r>
      <w:r w:rsidR="001C037C">
        <w:rPr>
          <w:rFonts w:eastAsia="Calibri"/>
          <w:noProof/>
          <w:sz w:val="22"/>
          <w:szCs w:val="22"/>
          <w:lang w:val="en-US" w:eastAsia="en-US"/>
        </w:rPr>
        <w:t>(Fierer, 2017; Lau</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sidR="00A73AD8" w:rsidRPr="00BB430C">
        <w:rPr>
          <w:rFonts w:eastAsia="Calibri"/>
          <w:sz w:val="22"/>
          <w:szCs w:val="22"/>
          <w:lang w:val="en-US" w:eastAsia="en-US"/>
        </w:rPr>
        <w:t>. Many of the micro</w:t>
      </w:r>
      <w:r w:rsidR="008800F9">
        <w:rPr>
          <w:rFonts w:eastAsia="Calibri"/>
          <w:sz w:val="22"/>
          <w:szCs w:val="22"/>
          <w:lang w:val="en-US" w:eastAsia="en-US"/>
        </w:rPr>
        <w:t>-</w:t>
      </w:r>
      <w:r w:rsidR="00A73AD8" w:rsidRPr="00BB430C">
        <w:rPr>
          <w:rFonts w:eastAsia="Calibri"/>
          <w:sz w:val="22"/>
          <w:szCs w:val="22"/>
          <w:lang w:val="en-US" w:eastAsia="en-US"/>
        </w:rPr>
        <w:t>organisms are only known through DSI, because they cannot be grown in the laboratory.</w:t>
      </w:r>
    </w:p>
    <w:p w14:paraId="0F1A2117" w14:textId="77777777" w:rsidR="00A73AD8" w:rsidRDefault="00A73AD8" w:rsidP="00596DE3">
      <w:pPr>
        <w:spacing w:after="120"/>
        <w:rPr>
          <w:rFonts w:eastAsia="Calibri"/>
          <w:sz w:val="22"/>
          <w:szCs w:val="22"/>
          <w:lang w:val="en-US" w:eastAsia="en-US"/>
        </w:rPr>
      </w:pPr>
      <w:r>
        <w:rPr>
          <w:rFonts w:eastAsia="Calibri"/>
          <w:sz w:val="22"/>
          <w:szCs w:val="22"/>
          <w:lang w:val="en-US" w:eastAsia="en-US"/>
        </w:rPr>
        <w:t>DSI from both m</w:t>
      </w:r>
      <w:r w:rsidRPr="00BB430C">
        <w:rPr>
          <w:rFonts w:eastAsia="Calibri"/>
          <w:sz w:val="22"/>
          <w:szCs w:val="22"/>
          <w:lang w:val="en-US" w:eastAsia="en-US"/>
        </w:rPr>
        <w:t>etagenomic</w:t>
      </w:r>
      <w:r>
        <w:rPr>
          <w:rFonts w:eastAsia="Calibri"/>
          <w:sz w:val="22"/>
          <w:szCs w:val="22"/>
          <w:lang w:val="en-US" w:eastAsia="en-US"/>
        </w:rPr>
        <w:t>s</w:t>
      </w:r>
      <w:r w:rsidRPr="00BB430C">
        <w:rPr>
          <w:rFonts w:eastAsia="Calibri"/>
          <w:sz w:val="22"/>
          <w:szCs w:val="22"/>
          <w:lang w:val="en-US" w:eastAsia="en-US"/>
        </w:rPr>
        <w:t xml:space="preserve"> and </w:t>
      </w:r>
      <w:r>
        <w:rPr>
          <w:rFonts w:eastAsia="Calibri"/>
          <w:sz w:val="22"/>
          <w:szCs w:val="22"/>
          <w:lang w:val="en-US" w:eastAsia="en-US"/>
        </w:rPr>
        <w:t>molecules that are not nucleic acids</w:t>
      </w:r>
      <w:r w:rsidRPr="00BB430C">
        <w:rPr>
          <w:rFonts w:eastAsia="Calibri"/>
          <w:sz w:val="22"/>
          <w:szCs w:val="22"/>
          <w:lang w:val="en-US" w:eastAsia="en-US"/>
        </w:rPr>
        <w:t xml:space="preserve"> </w:t>
      </w:r>
      <w:r w:rsidR="001C037C">
        <w:rPr>
          <w:rFonts w:eastAsia="Calibri"/>
          <w:noProof/>
          <w:sz w:val="22"/>
          <w:szCs w:val="22"/>
          <w:lang w:val="en-US" w:eastAsia="en-US"/>
        </w:rPr>
        <w:t>(Orwin</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2018)</w:t>
      </w:r>
      <w:r w:rsidRPr="00BB430C">
        <w:rPr>
          <w:rFonts w:eastAsia="Calibri"/>
          <w:sz w:val="22"/>
          <w:szCs w:val="22"/>
          <w:lang w:val="en-US" w:eastAsia="en-US"/>
        </w:rPr>
        <w:t xml:space="preserve"> </w:t>
      </w:r>
      <w:r>
        <w:rPr>
          <w:rFonts w:eastAsia="Calibri"/>
          <w:sz w:val="22"/>
          <w:szCs w:val="22"/>
          <w:lang w:val="en-US" w:eastAsia="en-US"/>
        </w:rPr>
        <w:t>sourced from</w:t>
      </w:r>
      <w:r w:rsidRPr="00BB430C">
        <w:rPr>
          <w:rFonts w:eastAsia="Calibri"/>
          <w:sz w:val="22"/>
          <w:szCs w:val="22"/>
          <w:lang w:val="en-US" w:eastAsia="en-US"/>
        </w:rPr>
        <w:t xml:space="preserve"> soil can inform farmers about soil functionality and its limits, possibly leading to customized management advice or products including supplements and probiotics. Alternatively, micro</w:t>
      </w:r>
      <w:r w:rsidR="008800F9">
        <w:rPr>
          <w:rFonts w:eastAsia="Calibri"/>
          <w:sz w:val="22"/>
          <w:szCs w:val="22"/>
          <w:lang w:val="en-US" w:eastAsia="en-US"/>
        </w:rPr>
        <w:t>-</w:t>
      </w:r>
      <w:r w:rsidRPr="00BB430C">
        <w:rPr>
          <w:rFonts w:eastAsia="Calibri"/>
          <w:sz w:val="22"/>
          <w:szCs w:val="22"/>
          <w:lang w:val="en-US" w:eastAsia="en-US"/>
        </w:rPr>
        <w:t xml:space="preserve">organisms might be harnessed as bio-reporters to monitor soil conditions or processes that would otherwise be difficult or expensive to monitor </w:t>
      </w:r>
      <w:r w:rsidR="001C037C">
        <w:rPr>
          <w:rFonts w:eastAsia="Calibri"/>
          <w:noProof/>
          <w:sz w:val="22"/>
          <w:szCs w:val="22"/>
          <w:lang w:val="en-US" w:eastAsia="en-US"/>
        </w:rPr>
        <w:t>(Fierer, 2017)</w:t>
      </w:r>
      <w:r w:rsidRPr="00BB430C">
        <w:rPr>
          <w:rFonts w:eastAsia="Calibri"/>
          <w:sz w:val="22"/>
          <w:szCs w:val="22"/>
          <w:lang w:val="en-US" w:eastAsia="en-US"/>
        </w:rPr>
        <w:t>.</w:t>
      </w:r>
      <w:r>
        <w:rPr>
          <w:rFonts w:eastAsia="Calibri"/>
          <w:sz w:val="22"/>
          <w:szCs w:val="22"/>
          <w:lang w:val="en-US" w:eastAsia="en-US"/>
        </w:rPr>
        <w:t xml:space="preserve"> </w:t>
      </w:r>
      <w:r w:rsidRPr="00BB430C">
        <w:rPr>
          <w:rFonts w:eastAsia="Calibri"/>
          <w:sz w:val="22"/>
          <w:szCs w:val="22"/>
          <w:lang w:val="en-US" w:eastAsia="en-US"/>
        </w:rPr>
        <w:t xml:space="preserve">Soil microbes interact with plants and animals, and have demonstrated the potential through this interactions to mitigate effects of climate change </w:t>
      </w:r>
      <w:r w:rsidR="001C037C">
        <w:rPr>
          <w:rFonts w:eastAsia="Calibri"/>
          <w:noProof/>
          <w:sz w:val="22"/>
          <w:szCs w:val="22"/>
          <w:lang w:val="en-US" w:eastAsia="en-US"/>
        </w:rPr>
        <w:t>(Lau</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sidRPr="00BB430C">
        <w:rPr>
          <w:rFonts w:eastAsia="Calibri"/>
          <w:sz w:val="22"/>
          <w:szCs w:val="22"/>
          <w:lang w:val="en-US" w:eastAsia="en-US"/>
        </w:rPr>
        <w:t>.</w:t>
      </w:r>
    </w:p>
    <w:p w14:paraId="78743230" w14:textId="77777777" w:rsidR="00596DE3" w:rsidRPr="00BB430C" w:rsidRDefault="00521B6A" w:rsidP="00596DE3">
      <w:pPr>
        <w:spacing w:after="120"/>
        <w:rPr>
          <w:rFonts w:eastAsia="Calibri"/>
          <w:sz w:val="22"/>
          <w:szCs w:val="22"/>
          <w:lang w:val="en-US" w:eastAsia="en-US"/>
        </w:rPr>
      </w:pPr>
      <w:r w:rsidRPr="00BB430C">
        <w:rPr>
          <w:rFonts w:eastAsia="Calibri"/>
          <w:sz w:val="22"/>
          <w:szCs w:val="22"/>
          <w:lang w:val="en-US" w:eastAsia="en-US"/>
        </w:rPr>
        <w:t>A microbiome may be unique</w:t>
      </w:r>
      <w:r>
        <w:rPr>
          <w:rFonts w:eastAsia="Calibri"/>
          <w:sz w:val="22"/>
          <w:szCs w:val="22"/>
          <w:lang w:val="en-US" w:eastAsia="en-US"/>
        </w:rPr>
        <w:t xml:space="preserve"> to each organism or species</w:t>
      </w:r>
      <w:r w:rsidRPr="00BB430C">
        <w:rPr>
          <w:rFonts w:eastAsia="Calibri"/>
          <w:sz w:val="22"/>
          <w:szCs w:val="22"/>
          <w:lang w:val="en-US" w:eastAsia="en-US"/>
        </w:rPr>
        <w:t xml:space="preserve"> and so then, within limits,</w:t>
      </w:r>
      <w:r w:rsidR="006A7EDD">
        <w:rPr>
          <w:rFonts w:eastAsia="Calibri"/>
          <w:sz w:val="22"/>
          <w:szCs w:val="22"/>
          <w:lang w:val="en-US" w:eastAsia="en-US"/>
        </w:rPr>
        <w:t xml:space="preserve"> microbiomes</w:t>
      </w:r>
      <w:r w:rsidRPr="00BB430C">
        <w:rPr>
          <w:rFonts w:eastAsia="Calibri"/>
          <w:sz w:val="22"/>
          <w:szCs w:val="22"/>
          <w:lang w:val="en-US" w:eastAsia="en-US"/>
        </w:rPr>
        <w:t xml:space="preserve"> might be</w:t>
      </w:r>
      <w:r w:rsidR="006A7EDD">
        <w:rPr>
          <w:rFonts w:eastAsia="Calibri"/>
          <w:sz w:val="22"/>
          <w:szCs w:val="22"/>
          <w:lang w:val="en-US" w:eastAsia="en-US"/>
        </w:rPr>
        <w:t xml:space="preserve"> important for influencing</w:t>
      </w:r>
      <w:r w:rsidRPr="00BB430C">
        <w:rPr>
          <w:rFonts w:eastAsia="Calibri"/>
          <w:sz w:val="22"/>
          <w:szCs w:val="22"/>
          <w:lang w:val="en-US" w:eastAsia="en-US"/>
        </w:rPr>
        <w:t xml:space="preserve"> how each responds to diet</w:t>
      </w:r>
      <w:r>
        <w:rPr>
          <w:rFonts w:eastAsia="Calibri"/>
          <w:sz w:val="22"/>
          <w:szCs w:val="22"/>
          <w:lang w:val="en-US" w:eastAsia="en-US"/>
        </w:rPr>
        <w:t xml:space="preserve"> or even affects reproduction</w:t>
      </w:r>
      <w:r w:rsidRPr="00BB430C">
        <w:rPr>
          <w:rFonts w:eastAsia="Calibri"/>
          <w:sz w:val="22"/>
          <w:szCs w:val="22"/>
          <w:lang w:val="en-US" w:eastAsia="en-US"/>
        </w:rPr>
        <w:t>.</w:t>
      </w:r>
      <w:r>
        <w:rPr>
          <w:rFonts w:eastAsia="Calibri"/>
          <w:sz w:val="22"/>
          <w:szCs w:val="22"/>
          <w:lang w:val="en-US" w:eastAsia="en-US"/>
        </w:rPr>
        <w:t xml:space="preserve"> Thus, DSI generated from </w:t>
      </w:r>
      <w:r w:rsidR="008732F6">
        <w:rPr>
          <w:rFonts w:eastAsia="Calibri"/>
          <w:sz w:val="22"/>
          <w:szCs w:val="22"/>
          <w:lang w:val="en-US" w:eastAsia="en-US"/>
        </w:rPr>
        <w:t>characterization</w:t>
      </w:r>
      <w:r>
        <w:rPr>
          <w:rFonts w:eastAsia="Calibri"/>
          <w:sz w:val="22"/>
          <w:szCs w:val="22"/>
          <w:lang w:val="en-US" w:eastAsia="en-US"/>
        </w:rPr>
        <w:t xml:space="preserve"> of the microbiome is the basis for optimizing food production and increasing food security and nutrition. </w:t>
      </w:r>
      <w:r w:rsidR="00596DE3" w:rsidRPr="00BB430C">
        <w:rPr>
          <w:rFonts w:eastAsia="Calibri"/>
          <w:sz w:val="22"/>
          <w:szCs w:val="22"/>
          <w:lang w:val="en-US" w:eastAsia="en-US"/>
        </w:rPr>
        <w:t xml:space="preserve">Microbiomes may form specifically around different genetic variants </w:t>
      </w:r>
      <w:r w:rsidR="001C037C">
        <w:rPr>
          <w:rFonts w:eastAsia="Calibri"/>
          <w:noProof/>
          <w:sz w:val="22"/>
          <w:szCs w:val="22"/>
          <w:lang w:val="en-US" w:eastAsia="en-US"/>
        </w:rPr>
        <w:t>(Chu, 2017; Luca</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2018)</w:t>
      </w:r>
      <w:r w:rsidR="00596DE3" w:rsidRPr="00BB430C">
        <w:rPr>
          <w:rFonts w:eastAsia="Calibri"/>
          <w:sz w:val="22"/>
          <w:szCs w:val="22"/>
          <w:lang w:val="en-US" w:eastAsia="en-US"/>
        </w:rPr>
        <w:t xml:space="preserve">. In the fruit fly </w:t>
      </w:r>
      <w:r w:rsidR="00596DE3" w:rsidRPr="00BB430C">
        <w:rPr>
          <w:rFonts w:eastAsia="Calibri"/>
          <w:i/>
          <w:sz w:val="22"/>
          <w:szCs w:val="22"/>
          <w:lang w:val="en-US" w:eastAsia="en-US"/>
        </w:rPr>
        <w:t>Drosophila melanogaster</w:t>
      </w:r>
      <w:r w:rsidR="00596DE3" w:rsidRPr="00BB430C">
        <w:rPr>
          <w:rFonts w:eastAsia="Calibri"/>
          <w:sz w:val="22"/>
          <w:szCs w:val="22"/>
          <w:lang w:val="en-US" w:eastAsia="en-US"/>
        </w:rPr>
        <w:t xml:space="preserve">, a male’s microbiome influences fecundity, and has other trans-generational effects, and thus provides a mechanism for how the microbiome and genome could co-evolve </w:t>
      </w:r>
      <w:r w:rsidR="001C037C">
        <w:rPr>
          <w:rFonts w:eastAsia="Calibri"/>
          <w:noProof/>
          <w:sz w:val="22"/>
          <w:szCs w:val="22"/>
          <w:lang w:val="en-US" w:eastAsia="en-US"/>
        </w:rPr>
        <w:t>(Morimoto</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sidR="00596DE3" w:rsidRPr="00BB430C">
        <w:rPr>
          <w:rFonts w:eastAsia="Calibri"/>
          <w:sz w:val="22"/>
          <w:szCs w:val="22"/>
          <w:lang w:val="en-US" w:eastAsia="en-US"/>
        </w:rPr>
        <w:t>.</w:t>
      </w:r>
    </w:p>
    <w:p w14:paraId="1CB65C8B" w14:textId="77777777" w:rsidR="00596DE3" w:rsidRPr="00BB430C" w:rsidRDefault="006A7EDD" w:rsidP="00A73AD8">
      <w:pPr>
        <w:spacing w:after="120"/>
        <w:rPr>
          <w:rFonts w:eastAsia="Calibri"/>
          <w:sz w:val="22"/>
          <w:szCs w:val="22"/>
          <w:lang w:val="en-US" w:eastAsia="en-US"/>
        </w:rPr>
      </w:pPr>
      <w:r>
        <w:rPr>
          <w:rFonts w:eastAsia="Calibri"/>
          <w:sz w:val="22"/>
          <w:szCs w:val="22"/>
          <w:lang w:val="en-US" w:eastAsia="en-US"/>
        </w:rPr>
        <w:t>G</w:t>
      </w:r>
      <w:r w:rsidRPr="00BB430C">
        <w:rPr>
          <w:rFonts w:eastAsia="Calibri"/>
          <w:sz w:val="22"/>
          <w:szCs w:val="22"/>
          <w:lang w:val="en-US" w:eastAsia="en-US"/>
        </w:rPr>
        <w:t>ene</w:t>
      </w:r>
      <w:r>
        <w:rPr>
          <w:rFonts w:eastAsia="Calibri"/>
          <w:sz w:val="22"/>
          <w:szCs w:val="22"/>
          <w:lang w:val="en-US" w:eastAsia="en-US"/>
        </w:rPr>
        <w:t>-</w:t>
      </w:r>
      <w:r w:rsidRPr="00BB430C">
        <w:rPr>
          <w:rFonts w:eastAsia="Calibri"/>
          <w:sz w:val="22"/>
          <w:szCs w:val="22"/>
          <w:lang w:val="en-US" w:eastAsia="en-US"/>
        </w:rPr>
        <w:t>by</w:t>
      </w:r>
      <w:r>
        <w:rPr>
          <w:rFonts w:eastAsia="Calibri"/>
          <w:sz w:val="22"/>
          <w:szCs w:val="22"/>
          <w:lang w:val="en-US" w:eastAsia="en-US"/>
        </w:rPr>
        <w:t>-</w:t>
      </w:r>
      <w:r w:rsidRPr="00BB430C">
        <w:rPr>
          <w:rFonts w:eastAsia="Calibri"/>
          <w:sz w:val="22"/>
          <w:szCs w:val="22"/>
          <w:lang w:val="en-US" w:eastAsia="en-US"/>
        </w:rPr>
        <w:t>microbiome interactions</w:t>
      </w:r>
      <w:r>
        <w:rPr>
          <w:rFonts w:eastAsia="Calibri"/>
          <w:sz w:val="22"/>
          <w:szCs w:val="22"/>
          <w:lang w:val="en-US" w:eastAsia="en-US"/>
        </w:rPr>
        <w:t xml:space="preserve"> could be improved through</w:t>
      </w:r>
      <w:r w:rsidR="00596DE3" w:rsidRPr="00BB430C">
        <w:rPr>
          <w:rFonts w:eastAsia="Calibri"/>
          <w:sz w:val="22"/>
          <w:szCs w:val="22"/>
          <w:lang w:val="en-US" w:eastAsia="en-US"/>
        </w:rPr>
        <w:t xml:space="preserve"> breeding</w:t>
      </w:r>
      <w:r>
        <w:rPr>
          <w:rFonts w:eastAsia="Calibri"/>
          <w:sz w:val="22"/>
          <w:szCs w:val="22"/>
          <w:lang w:val="en-US" w:eastAsia="en-US"/>
        </w:rPr>
        <w:t xml:space="preserve"> just as are</w:t>
      </w:r>
      <w:r w:rsidR="00596DE3" w:rsidRPr="00BB430C">
        <w:rPr>
          <w:rFonts w:eastAsia="Calibri"/>
          <w:sz w:val="22"/>
          <w:szCs w:val="22"/>
          <w:lang w:val="en-US" w:eastAsia="en-US"/>
        </w:rPr>
        <w:t xml:space="preserve"> </w:t>
      </w:r>
      <w:r w:rsidR="00780380">
        <w:rPr>
          <w:rFonts w:eastAsia="Calibri"/>
          <w:sz w:val="22"/>
          <w:szCs w:val="22"/>
          <w:lang w:val="en-US" w:eastAsia="en-US"/>
        </w:rPr>
        <w:t>QTL</w:t>
      </w:r>
      <w:r w:rsidR="00596DE3" w:rsidRPr="00BB430C">
        <w:rPr>
          <w:rFonts w:eastAsia="Calibri"/>
          <w:sz w:val="22"/>
          <w:szCs w:val="22"/>
          <w:lang w:val="en-US" w:eastAsia="en-US"/>
        </w:rPr>
        <w:t xml:space="preserve">. Metagenomic surveys of plant root biomes are intended to identify </w:t>
      </w:r>
      <w:r>
        <w:rPr>
          <w:rFonts w:eastAsia="Calibri"/>
          <w:sz w:val="22"/>
          <w:szCs w:val="22"/>
          <w:lang w:val="en-US" w:eastAsia="en-US"/>
        </w:rPr>
        <w:t xml:space="preserve">gene-by-microbiome interactions to determine </w:t>
      </w:r>
      <w:r w:rsidR="00596DE3" w:rsidRPr="00BB430C">
        <w:rPr>
          <w:rFonts w:eastAsia="Calibri"/>
          <w:sz w:val="22"/>
          <w:szCs w:val="22"/>
          <w:lang w:val="en-US" w:eastAsia="en-US"/>
        </w:rPr>
        <w:t xml:space="preserve">how microbial consortia interact with individual plants to increase yields, and reduce the impacts of abiotic stress and disease </w:t>
      </w:r>
      <w:r w:rsidR="001C037C">
        <w:rPr>
          <w:rFonts w:eastAsia="Calibri"/>
          <w:noProof/>
          <w:sz w:val="22"/>
          <w:szCs w:val="22"/>
          <w:lang w:val="en-US" w:eastAsia="en-US"/>
        </w:rPr>
        <w:t>(Busby</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xml:space="preserve">, 2017; Mauchline and </w:t>
      </w:r>
      <w:r w:rsidR="001C037C">
        <w:rPr>
          <w:rFonts w:eastAsia="Calibri"/>
          <w:noProof/>
          <w:sz w:val="22"/>
          <w:szCs w:val="22"/>
          <w:lang w:val="en-US" w:eastAsia="en-US"/>
        </w:rPr>
        <w:lastRenderedPageBreak/>
        <w:t>Malone, 2017)</w:t>
      </w:r>
      <w:r w:rsidR="00596DE3" w:rsidRPr="00BB430C">
        <w:rPr>
          <w:rFonts w:eastAsia="Calibri"/>
          <w:sz w:val="22"/>
          <w:szCs w:val="22"/>
          <w:lang w:val="en-US" w:eastAsia="en-US"/>
        </w:rPr>
        <w:t xml:space="preserve">. Likewise, the microbiome of the rumen in </w:t>
      </w:r>
      <w:r w:rsidR="00596DE3" w:rsidRPr="00BB430C">
        <w:rPr>
          <w:rFonts w:eastAsia="Calibri"/>
          <w:sz w:val="22"/>
          <w:szCs w:val="22"/>
          <w:lang w:val="mi-NZ" w:eastAsia="en-US"/>
        </w:rPr>
        <w:t xml:space="preserve">ruminant livestock is a target of manipulation to lower methane gas emissions and assist in efforts to combat climate change </w:t>
      </w:r>
      <w:r w:rsidR="001C037C">
        <w:rPr>
          <w:rFonts w:eastAsia="Calibri"/>
          <w:noProof/>
          <w:sz w:val="22"/>
          <w:szCs w:val="22"/>
          <w:lang w:val="mi-NZ" w:eastAsia="en-US"/>
        </w:rPr>
        <w:t>(Tapio</w:t>
      </w:r>
      <w:r w:rsidR="001C037C" w:rsidRPr="001C037C">
        <w:rPr>
          <w:rFonts w:eastAsia="Calibri"/>
          <w:i/>
          <w:noProof/>
          <w:sz w:val="22"/>
          <w:szCs w:val="22"/>
          <w:lang w:val="mi-NZ" w:eastAsia="en-US"/>
        </w:rPr>
        <w:t xml:space="preserve"> et al.</w:t>
      </w:r>
      <w:r w:rsidR="001C037C">
        <w:rPr>
          <w:rFonts w:eastAsia="Calibri"/>
          <w:noProof/>
          <w:sz w:val="22"/>
          <w:szCs w:val="22"/>
          <w:lang w:val="mi-NZ" w:eastAsia="en-US"/>
        </w:rPr>
        <w:t>, 2017)</w:t>
      </w:r>
      <w:r w:rsidR="00596DE3" w:rsidRPr="00BB430C">
        <w:rPr>
          <w:rFonts w:eastAsia="Calibri"/>
          <w:sz w:val="22"/>
          <w:szCs w:val="22"/>
          <w:lang w:val="mi-NZ" w:eastAsia="en-US"/>
        </w:rPr>
        <w:t>. Metagenomes of ruminants can be combined with animal genetics to help to reduce methane emissions</w:t>
      </w:r>
      <w:r>
        <w:rPr>
          <w:rFonts w:eastAsia="Calibri"/>
          <w:sz w:val="22"/>
          <w:szCs w:val="22"/>
          <w:lang w:val="mi-NZ" w:eastAsia="en-US"/>
        </w:rPr>
        <w:t xml:space="preserve"> and contribute to climate change mitigation</w:t>
      </w:r>
      <w:r w:rsidR="00596DE3" w:rsidRPr="00BB430C">
        <w:rPr>
          <w:rFonts w:eastAsia="Calibri"/>
          <w:sz w:val="22"/>
          <w:szCs w:val="22"/>
          <w:lang w:val="mi-NZ" w:eastAsia="en-US"/>
        </w:rPr>
        <w:t>.</w:t>
      </w:r>
      <w:r w:rsidR="00A73AD8">
        <w:rPr>
          <w:rFonts w:eastAsia="Yu Gothic Light"/>
          <w:b/>
          <w:i/>
          <w:color w:val="000000"/>
          <w:sz w:val="22"/>
          <w:szCs w:val="22"/>
          <w:lang w:val="en-US" w:eastAsia="en-US"/>
        </w:rPr>
        <w:t xml:space="preserve"> </w:t>
      </w:r>
    </w:p>
    <w:p w14:paraId="1B08F2C7" w14:textId="77777777" w:rsidR="00596DE3" w:rsidRPr="00A15F0B" w:rsidRDefault="00596DE3" w:rsidP="008800F9">
      <w:pPr>
        <w:spacing w:after="120"/>
        <w:rPr>
          <w:rFonts w:eastAsia="Calibri"/>
          <w:sz w:val="22"/>
          <w:szCs w:val="22"/>
          <w:lang w:eastAsia="en-US"/>
        </w:rPr>
      </w:pPr>
      <w:bookmarkStart w:id="21" w:name="_Toc375559473"/>
      <w:bookmarkStart w:id="22" w:name="_Toc375588472"/>
      <w:r w:rsidRPr="00A15F0B">
        <w:rPr>
          <w:rFonts w:eastAsia="Calibri"/>
          <w:sz w:val="22"/>
          <w:szCs w:val="22"/>
          <w:lang w:eastAsia="en-US"/>
        </w:rPr>
        <w:t>DSI</w:t>
      </w:r>
      <w:r w:rsidR="00A15F0B">
        <w:rPr>
          <w:rFonts w:eastAsia="Calibri"/>
          <w:sz w:val="22"/>
          <w:szCs w:val="22"/>
          <w:lang w:eastAsia="en-US"/>
        </w:rPr>
        <w:t xml:space="preserve"> is used</w:t>
      </w:r>
      <w:r w:rsidRPr="00A15F0B">
        <w:rPr>
          <w:rFonts w:eastAsia="Calibri"/>
          <w:sz w:val="22"/>
          <w:szCs w:val="22"/>
          <w:lang w:eastAsia="en-US"/>
        </w:rPr>
        <w:t xml:space="preserve"> for pest management</w:t>
      </w:r>
      <w:bookmarkEnd w:id="21"/>
      <w:bookmarkEnd w:id="22"/>
      <w:r w:rsidR="00A15F0B">
        <w:rPr>
          <w:rFonts w:eastAsia="Calibri"/>
          <w:sz w:val="22"/>
          <w:szCs w:val="22"/>
          <w:lang w:eastAsia="en-US"/>
        </w:rPr>
        <w:t xml:space="preserve">. </w:t>
      </w:r>
      <w:r w:rsidR="00670880">
        <w:rPr>
          <w:rFonts w:eastAsia="Calibri"/>
          <w:sz w:val="22"/>
          <w:szCs w:val="22"/>
          <w:lang w:val="en-US" w:eastAsia="en-US"/>
        </w:rPr>
        <w:t>Weeds</w:t>
      </w:r>
      <w:r w:rsidR="005B7DA2">
        <w:rPr>
          <w:rFonts w:eastAsia="Calibri"/>
          <w:sz w:val="22"/>
          <w:szCs w:val="22"/>
          <w:lang w:val="en-US" w:eastAsia="en-US"/>
        </w:rPr>
        <w:t>, insects and disease</w:t>
      </w:r>
      <w:r w:rsidR="00670880">
        <w:rPr>
          <w:rFonts w:eastAsia="Calibri"/>
          <w:sz w:val="22"/>
          <w:szCs w:val="22"/>
          <w:lang w:val="en-US" w:eastAsia="en-US"/>
        </w:rPr>
        <w:t xml:space="preserve"> have </w:t>
      </w:r>
      <w:r w:rsidR="005B7DA2">
        <w:rPr>
          <w:rFonts w:eastAsia="Calibri"/>
          <w:sz w:val="22"/>
          <w:szCs w:val="22"/>
          <w:lang w:val="en-US" w:eastAsia="en-US"/>
        </w:rPr>
        <w:t>significant</w:t>
      </w:r>
      <w:r w:rsidR="00670880">
        <w:rPr>
          <w:rFonts w:eastAsia="Calibri"/>
          <w:sz w:val="22"/>
          <w:szCs w:val="22"/>
          <w:lang w:val="en-US" w:eastAsia="en-US"/>
        </w:rPr>
        <w:t xml:space="preserve"> impact</w:t>
      </w:r>
      <w:r w:rsidR="005B7DA2">
        <w:rPr>
          <w:rFonts w:eastAsia="Calibri"/>
          <w:sz w:val="22"/>
          <w:szCs w:val="22"/>
          <w:lang w:val="en-US" w:eastAsia="en-US"/>
        </w:rPr>
        <w:t>s</w:t>
      </w:r>
      <w:r w:rsidR="00670880">
        <w:rPr>
          <w:rFonts w:eastAsia="Calibri"/>
          <w:sz w:val="22"/>
          <w:szCs w:val="22"/>
          <w:lang w:val="en-US" w:eastAsia="en-US"/>
        </w:rPr>
        <w:t xml:space="preserve"> on pre-harvest crop losses</w:t>
      </w:r>
      <w:r w:rsidR="005B7DA2">
        <w:rPr>
          <w:rFonts w:eastAsia="Calibri"/>
          <w:sz w:val="22"/>
          <w:szCs w:val="22"/>
          <w:lang w:val="en-US" w:eastAsia="en-US"/>
        </w:rPr>
        <w:t xml:space="preserve"> </w:t>
      </w:r>
      <w:r w:rsidR="001C037C">
        <w:rPr>
          <w:rFonts w:eastAsia="Calibri"/>
          <w:noProof/>
          <w:sz w:val="22"/>
          <w:szCs w:val="22"/>
          <w:lang w:val="en-US" w:eastAsia="en-US"/>
        </w:rPr>
        <w:t>(Popp</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2013)</w:t>
      </w:r>
      <w:r w:rsidR="00670880">
        <w:rPr>
          <w:rFonts w:eastAsia="Calibri"/>
          <w:sz w:val="22"/>
          <w:szCs w:val="22"/>
          <w:lang w:val="en-US" w:eastAsia="en-US"/>
        </w:rPr>
        <w:t>.</w:t>
      </w:r>
      <w:r w:rsidR="005B7DA2">
        <w:rPr>
          <w:rFonts w:eastAsia="Calibri"/>
          <w:sz w:val="22"/>
          <w:szCs w:val="22"/>
          <w:lang w:val="en-US" w:eastAsia="en-US"/>
        </w:rPr>
        <w:t xml:space="preserve"> </w:t>
      </w:r>
      <w:r w:rsidR="005B7DA2" w:rsidRPr="005B7DA2">
        <w:rPr>
          <w:rFonts w:eastAsia="Calibri"/>
          <w:sz w:val="22"/>
          <w:szCs w:val="22"/>
          <w:lang w:val="en-US" w:eastAsia="en-US"/>
        </w:rPr>
        <w:t>Weeds can lower the nutritional value of the crop or introduce undesirable toxins or allergens</w:t>
      </w:r>
      <w:r w:rsidR="005B7DA2">
        <w:rPr>
          <w:rFonts w:eastAsia="Calibri"/>
          <w:sz w:val="22"/>
          <w:szCs w:val="22"/>
          <w:lang w:val="en-US" w:eastAsia="en-US"/>
        </w:rPr>
        <w:t xml:space="preserve"> and insects can also help spread infections from bacteria and fungi </w:t>
      </w:r>
      <w:r w:rsidR="001C037C">
        <w:rPr>
          <w:rFonts w:eastAsia="Calibri"/>
          <w:noProof/>
          <w:sz w:val="22"/>
          <w:szCs w:val="22"/>
          <w:lang w:val="en-US" w:eastAsia="en-US"/>
        </w:rPr>
        <w:t>(Heinemann, 2007)</w:t>
      </w:r>
      <w:r w:rsidR="005B7DA2" w:rsidRPr="005B7DA2">
        <w:rPr>
          <w:rFonts w:eastAsia="Calibri"/>
          <w:sz w:val="22"/>
          <w:szCs w:val="22"/>
          <w:lang w:val="en-US" w:eastAsia="en-US"/>
        </w:rPr>
        <w:t>.</w:t>
      </w:r>
      <w:r w:rsidR="00670880">
        <w:rPr>
          <w:rFonts w:eastAsia="Calibri"/>
          <w:sz w:val="22"/>
          <w:szCs w:val="22"/>
          <w:lang w:val="en-US" w:eastAsia="en-US"/>
        </w:rPr>
        <w:t xml:space="preserve"> </w:t>
      </w:r>
      <w:r w:rsidR="005B7DA2">
        <w:rPr>
          <w:rFonts w:eastAsia="Calibri"/>
          <w:sz w:val="22"/>
          <w:szCs w:val="22"/>
          <w:lang w:val="en-US" w:eastAsia="en-US"/>
        </w:rPr>
        <w:t>DSI from g</w:t>
      </w:r>
      <w:r w:rsidR="005B7DA2" w:rsidRPr="00BB430C">
        <w:rPr>
          <w:rFonts w:eastAsia="Calibri"/>
          <w:sz w:val="22"/>
          <w:szCs w:val="22"/>
          <w:lang w:val="en-US" w:eastAsia="en-US"/>
        </w:rPr>
        <w:t xml:space="preserve">enomic </w:t>
      </w:r>
      <w:r w:rsidRPr="00BB430C">
        <w:rPr>
          <w:rFonts w:eastAsia="Calibri"/>
          <w:sz w:val="22"/>
          <w:szCs w:val="22"/>
          <w:lang w:val="en-US" w:eastAsia="en-US"/>
        </w:rPr>
        <w:t>and metagenomic profiles</w:t>
      </w:r>
      <w:r w:rsidR="008A17D0">
        <w:rPr>
          <w:rFonts w:eastAsia="Calibri"/>
          <w:sz w:val="22"/>
          <w:szCs w:val="22"/>
          <w:lang w:val="en-US" w:eastAsia="en-US"/>
        </w:rPr>
        <w:t xml:space="preserve"> is being</w:t>
      </w:r>
      <w:r w:rsidRPr="00BB430C">
        <w:rPr>
          <w:rFonts w:eastAsia="Calibri"/>
          <w:sz w:val="22"/>
          <w:szCs w:val="22"/>
          <w:lang w:val="en-US" w:eastAsia="en-US"/>
        </w:rPr>
        <w:t xml:space="preserve"> used to design DNA or RNA pesticides </w:t>
      </w:r>
      <w:r w:rsidR="0063509A">
        <w:rPr>
          <w:rFonts w:eastAsia="Calibri"/>
          <w:noProof/>
          <w:sz w:val="22"/>
          <w:szCs w:val="22"/>
          <w:lang w:val="en-US" w:eastAsia="en-US"/>
        </w:rPr>
        <w:t>(Tuttle and Woodfin, 2014; Sammons</w:t>
      </w:r>
      <w:r w:rsidR="0063509A" w:rsidRPr="0063509A">
        <w:rPr>
          <w:rFonts w:eastAsia="Calibri"/>
          <w:i/>
          <w:noProof/>
          <w:sz w:val="22"/>
          <w:szCs w:val="22"/>
          <w:lang w:val="en-US" w:eastAsia="en-US"/>
        </w:rPr>
        <w:t xml:space="preserve"> et al.</w:t>
      </w:r>
      <w:r w:rsidR="0063509A">
        <w:rPr>
          <w:rFonts w:eastAsia="Calibri"/>
          <w:noProof/>
          <w:sz w:val="22"/>
          <w:szCs w:val="22"/>
          <w:lang w:val="en-US" w:eastAsia="en-US"/>
        </w:rPr>
        <w:t>, 2015a)</w:t>
      </w:r>
      <w:r w:rsidRPr="00BB430C">
        <w:rPr>
          <w:rFonts w:eastAsia="Calibri"/>
          <w:sz w:val="22"/>
          <w:szCs w:val="22"/>
          <w:lang w:val="en-US" w:eastAsia="en-US"/>
        </w:rPr>
        <w:t>. These pesticides are often referred to as types of “</w:t>
      </w:r>
      <w:r w:rsidR="008800F9">
        <w:rPr>
          <w:rFonts w:eastAsia="Calibri"/>
          <w:sz w:val="22"/>
          <w:szCs w:val="22"/>
          <w:lang w:val="en-US" w:eastAsia="en-US"/>
        </w:rPr>
        <w:t>b</w:t>
      </w:r>
      <w:r w:rsidRPr="00BB430C">
        <w:rPr>
          <w:rFonts w:eastAsia="Calibri"/>
          <w:sz w:val="22"/>
          <w:szCs w:val="22"/>
          <w:lang w:val="en-US" w:eastAsia="en-US"/>
        </w:rPr>
        <w:t>iologicals” or “</w:t>
      </w:r>
      <w:r w:rsidR="008800F9">
        <w:rPr>
          <w:rFonts w:eastAsia="Calibri"/>
          <w:sz w:val="22"/>
          <w:szCs w:val="22"/>
          <w:lang w:val="en-US" w:eastAsia="en-US"/>
        </w:rPr>
        <w:t>a</w:t>
      </w:r>
      <w:r w:rsidRPr="00BB430C">
        <w:rPr>
          <w:rFonts w:eastAsia="Calibri"/>
          <w:sz w:val="22"/>
          <w:szCs w:val="22"/>
          <w:lang w:val="en-US" w:eastAsia="en-US"/>
        </w:rPr>
        <w:t xml:space="preserve">gricultural </w:t>
      </w:r>
      <w:r w:rsidR="008800F9">
        <w:rPr>
          <w:rFonts w:eastAsia="Calibri"/>
          <w:sz w:val="22"/>
          <w:szCs w:val="22"/>
          <w:lang w:val="en-US" w:eastAsia="en-US"/>
        </w:rPr>
        <w:t>b</w:t>
      </w:r>
      <w:r w:rsidRPr="00BB430C">
        <w:rPr>
          <w:rFonts w:eastAsia="Calibri"/>
          <w:sz w:val="22"/>
          <w:szCs w:val="22"/>
          <w:lang w:val="en-US" w:eastAsia="en-US"/>
        </w:rPr>
        <w:t>iologicals”</w:t>
      </w:r>
      <w:r w:rsidR="00233B4C">
        <w:rPr>
          <w:rFonts w:eastAsia="Calibri"/>
          <w:sz w:val="22"/>
          <w:szCs w:val="22"/>
          <w:lang w:val="en-US" w:eastAsia="en-US"/>
        </w:rPr>
        <w:t xml:space="preserve"> to distinguish them from synthetic chemical pesticidal active ingredients</w:t>
      </w:r>
      <w:r w:rsidRPr="00BB430C">
        <w:rPr>
          <w:rFonts w:eastAsia="Calibri"/>
          <w:sz w:val="22"/>
          <w:szCs w:val="22"/>
          <w:lang w:val="en-US" w:eastAsia="en-US"/>
        </w:rPr>
        <w:t xml:space="preserve">. The </w:t>
      </w:r>
      <w:r w:rsidRPr="00BB430C">
        <w:rPr>
          <w:rFonts w:eastAsia="Calibri"/>
          <w:i/>
          <w:sz w:val="22"/>
          <w:szCs w:val="22"/>
          <w:lang w:val="en-US" w:eastAsia="en-US"/>
        </w:rPr>
        <w:t>in vitro</w:t>
      </w:r>
      <w:r w:rsidRPr="00BB430C">
        <w:rPr>
          <w:rFonts w:eastAsia="Calibri"/>
          <w:sz w:val="22"/>
          <w:szCs w:val="22"/>
          <w:lang w:val="en-US" w:eastAsia="en-US"/>
        </w:rPr>
        <w:t xml:space="preserve"> produced nucleic acids are introduced into cells of pests using chemicals that lower the barriers to uptake of nucleic acids </w:t>
      </w:r>
      <w:r w:rsidR="001C037C">
        <w:rPr>
          <w:rFonts w:eastAsia="Calibri"/>
          <w:noProof/>
          <w:sz w:val="22"/>
          <w:szCs w:val="22"/>
          <w:lang w:val="en-US" w:eastAsia="en-US"/>
        </w:rPr>
        <w:t>(Shaner and Beckie, 2013; Tuttle and Woodfin, 2014)</w:t>
      </w:r>
      <w:r w:rsidRPr="00BB430C">
        <w:rPr>
          <w:rFonts w:eastAsia="Calibri"/>
          <w:sz w:val="22"/>
          <w:szCs w:val="22"/>
          <w:lang w:val="en-US" w:eastAsia="en-US"/>
        </w:rPr>
        <w:t>.</w:t>
      </w:r>
    </w:p>
    <w:p w14:paraId="41566B33" w14:textId="77777777" w:rsidR="00596DE3" w:rsidRPr="00BB430C" w:rsidRDefault="00596DE3" w:rsidP="00596DE3">
      <w:pPr>
        <w:spacing w:after="120"/>
        <w:rPr>
          <w:rFonts w:eastAsia="Calibri"/>
          <w:sz w:val="22"/>
          <w:szCs w:val="22"/>
          <w:lang w:val="en-US" w:eastAsia="en-US"/>
        </w:rPr>
      </w:pPr>
      <w:r w:rsidRPr="00BB430C">
        <w:rPr>
          <w:rFonts w:eastAsia="Calibri"/>
          <w:sz w:val="22"/>
          <w:szCs w:val="22"/>
          <w:lang w:val="en-US" w:eastAsia="en-US"/>
        </w:rPr>
        <w:t>The new pesticides could be much less toxic to humans and damaging to the environment because the active ingredient specifically targets a complementary RNA or DNA sequence in the cells of the intended target, and may not cause such an interaction in organisms of other species.</w:t>
      </w:r>
      <w:r w:rsidRPr="00BB430C">
        <w:rPr>
          <w:rFonts w:eastAsia="Calibri"/>
          <w:sz w:val="22"/>
          <w:szCs w:val="22"/>
          <w:vertAlign w:val="superscript"/>
          <w:lang w:val="en-US" w:eastAsia="en-US"/>
        </w:rPr>
        <w:footnoteReference w:id="24"/>
      </w:r>
      <w:r w:rsidRPr="00BB430C">
        <w:rPr>
          <w:rFonts w:eastAsia="Calibri"/>
          <w:sz w:val="22"/>
          <w:szCs w:val="22"/>
          <w:lang w:val="en-US" w:eastAsia="en-US"/>
        </w:rPr>
        <w:t xml:space="preserve"> In the case of RNA-pesticides, the small RNA molecule may be used to cause silencing of a critical gene, as in RNA interference </w:t>
      </w:r>
      <w:r w:rsidR="001C037C">
        <w:rPr>
          <w:rFonts w:eastAsia="Calibri"/>
          <w:noProof/>
          <w:sz w:val="22"/>
          <w:szCs w:val="22"/>
          <w:lang w:val="en-US" w:eastAsia="en-US"/>
        </w:rPr>
        <w:t>(Heinemann</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2013)</w:t>
      </w:r>
      <w:r w:rsidRPr="00BB430C">
        <w:rPr>
          <w:rFonts w:eastAsia="Calibri"/>
          <w:sz w:val="22"/>
          <w:szCs w:val="22"/>
          <w:lang w:val="en-US" w:eastAsia="en-US"/>
        </w:rPr>
        <w:t xml:space="preserve">, or similarly to a gene drive system as a guide to attack the DNA of the target pest </w:t>
      </w:r>
      <w:r w:rsidR="001C037C">
        <w:rPr>
          <w:rFonts w:eastAsia="Calibri"/>
          <w:noProof/>
          <w:sz w:val="22"/>
          <w:szCs w:val="22"/>
          <w:lang w:val="en-US" w:eastAsia="en-US"/>
        </w:rPr>
        <w:t>(NCB, 2016)</w:t>
      </w:r>
      <w:r w:rsidRPr="00BB430C">
        <w:rPr>
          <w:rFonts w:eastAsia="Calibri"/>
          <w:sz w:val="22"/>
          <w:szCs w:val="22"/>
          <w:lang w:val="en-US" w:eastAsia="en-US"/>
        </w:rPr>
        <w:t>.</w:t>
      </w:r>
    </w:p>
    <w:p w14:paraId="2B5B5221" w14:textId="77777777" w:rsidR="00596DE3" w:rsidRPr="00BB430C" w:rsidRDefault="00596DE3" w:rsidP="00596DE3">
      <w:pPr>
        <w:spacing w:after="120"/>
        <w:rPr>
          <w:rFonts w:eastAsia="Calibri"/>
          <w:sz w:val="22"/>
          <w:szCs w:val="22"/>
          <w:lang w:val="en-US" w:eastAsia="en-US"/>
        </w:rPr>
      </w:pPr>
      <w:r w:rsidRPr="00BB430C">
        <w:rPr>
          <w:rFonts w:eastAsia="Calibri"/>
          <w:sz w:val="22"/>
          <w:szCs w:val="22"/>
          <w:lang w:val="en-US" w:eastAsia="en-US"/>
        </w:rPr>
        <w:t>To achieve this specificity, the base order of nucleic acid active ingredient is synthesized according to the expected DNA or RNA sequence derived from the genomes of the pest species. In other words, the active ingredient molecule(s) is made using DSI.</w:t>
      </w:r>
    </w:p>
    <w:p w14:paraId="696A8438" w14:textId="77777777" w:rsidR="00596DE3" w:rsidRPr="00BB430C" w:rsidRDefault="00596DE3" w:rsidP="00596DE3">
      <w:pPr>
        <w:spacing w:after="120"/>
        <w:rPr>
          <w:rFonts w:eastAsia="Calibri"/>
          <w:sz w:val="22"/>
          <w:szCs w:val="22"/>
          <w:lang w:val="en-US" w:eastAsia="en-US"/>
        </w:rPr>
      </w:pPr>
      <w:r w:rsidRPr="00BB430C">
        <w:rPr>
          <w:rFonts w:eastAsia="Calibri"/>
          <w:sz w:val="22"/>
          <w:szCs w:val="22"/>
          <w:lang w:val="en-US" w:eastAsia="en-US"/>
        </w:rPr>
        <w:t xml:space="preserve">Biologicals show promise as herbicides and insecticides </w:t>
      </w:r>
      <w:r w:rsidR="0063509A">
        <w:rPr>
          <w:rFonts w:eastAsia="Calibri"/>
          <w:noProof/>
          <w:sz w:val="22"/>
          <w:szCs w:val="22"/>
          <w:lang w:val="en-US" w:eastAsia="en-US"/>
        </w:rPr>
        <w:t>(Van</w:t>
      </w:r>
      <w:r w:rsidR="0063509A" w:rsidRPr="0063509A">
        <w:rPr>
          <w:rFonts w:eastAsia="Calibri"/>
          <w:i/>
          <w:noProof/>
          <w:sz w:val="22"/>
          <w:szCs w:val="22"/>
          <w:lang w:val="en-US" w:eastAsia="en-US"/>
        </w:rPr>
        <w:t xml:space="preserve"> et al.</w:t>
      </w:r>
      <w:r w:rsidR="0063509A">
        <w:rPr>
          <w:rFonts w:eastAsia="Calibri"/>
          <w:noProof/>
          <w:sz w:val="22"/>
          <w:szCs w:val="22"/>
          <w:lang w:val="en-US" w:eastAsia="en-US"/>
        </w:rPr>
        <w:t>, 2011; Zhu</w:t>
      </w:r>
      <w:r w:rsidR="0063509A" w:rsidRPr="0063509A">
        <w:rPr>
          <w:rFonts w:eastAsia="Calibri"/>
          <w:i/>
          <w:noProof/>
          <w:sz w:val="22"/>
          <w:szCs w:val="22"/>
          <w:lang w:val="en-US" w:eastAsia="en-US"/>
        </w:rPr>
        <w:t xml:space="preserve"> et al.</w:t>
      </w:r>
      <w:r w:rsidR="0063509A">
        <w:rPr>
          <w:rFonts w:eastAsia="Calibri"/>
          <w:noProof/>
          <w:sz w:val="22"/>
          <w:szCs w:val="22"/>
          <w:lang w:val="en-US" w:eastAsia="en-US"/>
        </w:rPr>
        <w:t>, 2014; Sammons</w:t>
      </w:r>
      <w:r w:rsidR="0063509A" w:rsidRPr="0063509A">
        <w:rPr>
          <w:rFonts w:eastAsia="Calibri"/>
          <w:i/>
          <w:noProof/>
          <w:sz w:val="22"/>
          <w:szCs w:val="22"/>
          <w:lang w:val="en-US" w:eastAsia="en-US"/>
        </w:rPr>
        <w:t xml:space="preserve"> et al.</w:t>
      </w:r>
      <w:r w:rsidR="0063509A">
        <w:rPr>
          <w:rFonts w:eastAsia="Calibri"/>
          <w:noProof/>
          <w:sz w:val="22"/>
          <w:szCs w:val="22"/>
          <w:lang w:val="en-US" w:eastAsia="en-US"/>
        </w:rPr>
        <w:t>, 2015a; San Miguel and Scott, 2016)</w:t>
      </w:r>
      <w:r w:rsidRPr="00BB430C">
        <w:rPr>
          <w:rFonts w:eastAsia="Calibri"/>
          <w:sz w:val="22"/>
          <w:szCs w:val="22"/>
          <w:lang w:val="en-US" w:eastAsia="en-US"/>
        </w:rPr>
        <w:t xml:space="preserve">. With real time monitoring, these pesticides could be further refined to work more effectively with local variants of pests, and to counter the evolution of resistance. Future advances may also see them developed to target mammalian pests or as livestock therapeutics, including prophylactically changing susceptibility to pathogens </w:t>
      </w:r>
      <w:r w:rsidR="001C037C">
        <w:rPr>
          <w:rFonts w:eastAsia="Calibri"/>
          <w:noProof/>
          <w:sz w:val="22"/>
          <w:szCs w:val="22"/>
          <w:lang w:val="en-US" w:eastAsia="en-US"/>
        </w:rPr>
        <w:t>(NCB, 2016)</w:t>
      </w:r>
      <w:r w:rsidRPr="00BB430C">
        <w:rPr>
          <w:rFonts w:eastAsia="Calibri"/>
          <w:sz w:val="22"/>
          <w:szCs w:val="22"/>
          <w:lang w:val="en-US" w:eastAsia="en-US"/>
        </w:rPr>
        <w:t>.</w:t>
      </w:r>
    </w:p>
    <w:p w14:paraId="365F3614" w14:textId="77777777" w:rsidR="00596DE3" w:rsidRPr="00BB430C" w:rsidRDefault="008A17D0" w:rsidP="00596DE3">
      <w:pPr>
        <w:spacing w:after="120"/>
        <w:rPr>
          <w:rFonts w:eastAsia="Calibri"/>
          <w:sz w:val="22"/>
          <w:szCs w:val="22"/>
          <w:lang w:val="en-US" w:eastAsia="en-US"/>
        </w:rPr>
      </w:pPr>
      <w:r w:rsidRPr="00BB430C">
        <w:rPr>
          <w:rFonts w:eastAsia="Calibri"/>
          <w:sz w:val="22"/>
          <w:szCs w:val="22"/>
          <w:lang w:val="en-US" w:eastAsia="en-US"/>
        </w:rPr>
        <w:t>Th</w:t>
      </w:r>
      <w:r>
        <w:rPr>
          <w:rFonts w:eastAsia="Calibri"/>
          <w:sz w:val="22"/>
          <w:szCs w:val="22"/>
          <w:lang w:val="en-US" w:eastAsia="en-US"/>
        </w:rPr>
        <w:t>e use of RNA or DNA-based pesticides</w:t>
      </w:r>
      <w:r w:rsidR="00596DE3" w:rsidRPr="00BB430C">
        <w:rPr>
          <w:rFonts w:eastAsia="Calibri"/>
          <w:sz w:val="22"/>
          <w:szCs w:val="22"/>
          <w:lang w:val="en-US" w:eastAsia="en-US"/>
        </w:rPr>
        <w:t xml:space="preserve"> could also be link</w:t>
      </w:r>
      <w:r>
        <w:rPr>
          <w:rFonts w:eastAsia="Calibri"/>
          <w:sz w:val="22"/>
          <w:szCs w:val="22"/>
          <w:lang w:val="en-US" w:eastAsia="en-US"/>
        </w:rPr>
        <w:t>ed to</w:t>
      </w:r>
      <w:r w:rsidR="00596DE3" w:rsidRPr="00BB430C">
        <w:rPr>
          <w:rFonts w:eastAsia="Calibri"/>
          <w:sz w:val="22"/>
          <w:szCs w:val="22"/>
          <w:lang w:val="en-US" w:eastAsia="en-US"/>
        </w:rPr>
        <w:t xml:space="preserve"> different technologies. Presently, herbicides based on RNA active ingredients are being developed to silence the genes that make weeds resistant to a chemical-based herbicide </w:t>
      </w:r>
      <w:r w:rsidR="0063509A">
        <w:rPr>
          <w:rFonts w:eastAsia="Calibri"/>
          <w:noProof/>
          <w:sz w:val="22"/>
          <w:szCs w:val="22"/>
          <w:lang w:val="en-US" w:eastAsia="en-US"/>
        </w:rPr>
        <w:t>(Sammons</w:t>
      </w:r>
      <w:r w:rsidR="0063509A" w:rsidRPr="0063509A">
        <w:rPr>
          <w:rFonts w:eastAsia="Calibri"/>
          <w:i/>
          <w:noProof/>
          <w:sz w:val="22"/>
          <w:szCs w:val="22"/>
          <w:lang w:val="en-US" w:eastAsia="en-US"/>
        </w:rPr>
        <w:t xml:space="preserve"> et al.</w:t>
      </w:r>
      <w:r w:rsidR="0063509A">
        <w:rPr>
          <w:rFonts w:eastAsia="Calibri"/>
          <w:noProof/>
          <w:sz w:val="22"/>
          <w:szCs w:val="22"/>
          <w:lang w:val="en-US" w:eastAsia="en-US"/>
        </w:rPr>
        <w:t>, 2015a)</w:t>
      </w:r>
      <w:r w:rsidR="00596DE3" w:rsidRPr="00BB430C">
        <w:rPr>
          <w:rFonts w:eastAsia="Calibri"/>
          <w:sz w:val="22"/>
          <w:szCs w:val="22"/>
          <w:lang w:val="en-US" w:eastAsia="en-US"/>
        </w:rPr>
        <w:t>. The RNA molecule makes the weed susceptible again, and the chemical-based herbicide kills the weed. Together, the two active ingredients restore the effectiveness of the chemical-based ingredient.</w:t>
      </w:r>
    </w:p>
    <w:p w14:paraId="7DAA8005" w14:textId="77777777" w:rsidR="00596DE3" w:rsidRDefault="00596DE3" w:rsidP="00596DE3">
      <w:pPr>
        <w:spacing w:after="120"/>
        <w:rPr>
          <w:rFonts w:eastAsia="Calibri"/>
          <w:sz w:val="22"/>
          <w:szCs w:val="22"/>
          <w:lang w:val="en-US" w:eastAsia="en-US"/>
        </w:rPr>
      </w:pPr>
      <w:r w:rsidRPr="00BB430C">
        <w:rPr>
          <w:rFonts w:eastAsia="Calibri"/>
          <w:sz w:val="22"/>
          <w:szCs w:val="22"/>
          <w:lang w:val="en-US" w:eastAsia="en-US"/>
        </w:rPr>
        <w:t>It might be possible to also genetically engineer crops with particular alleles of resistance genes</w:t>
      </w:r>
      <w:r w:rsidR="00BB669D">
        <w:rPr>
          <w:rFonts w:eastAsia="Calibri"/>
          <w:sz w:val="22"/>
          <w:szCs w:val="22"/>
          <w:lang w:val="en-US" w:eastAsia="en-US"/>
        </w:rPr>
        <w:t xml:space="preserve"> (e.g. transgenes)</w:t>
      </w:r>
      <w:r w:rsidRPr="00BB430C">
        <w:rPr>
          <w:rFonts w:eastAsia="Calibri"/>
          <w:sz w:val="22"/>
          <w:szCs w:val="22"/>
          <w:lang w:val="en-US" w:eastAsia="en-US"/>
        </w:rPr>
        <w:t xml:space="preserve"> sold together with the herbicidal combinations of RNA active ingredients and chemical herbicide to which they are immune, but would be toxic to both weeds </w:t>
      </w:r>
      <w:r w:rsidR="000A4A6F">
        <w:rPr>
          <w:rFonts w:eastAsia="Calibri"/>
          <w:sz w:val="22"/>
          <w:szCs w:val="22"/>
          <w:lang w:val="en-US" w:eastAsia="en-US"/>
        </w:rPr>
        <w:t>or to</w:t>
      </w:r>
      <w:r w:rsidR="000A4A6F" w:rsidRPr="00BB430C">
        <w:rPr>
          <w:rFonts w:eastAsia="Calibri"/>
          <w:sz w:val="22"/>
          <w:szCs w:val="22"/>
          <w:lang w:val="en-US" w:eastAsia="en-US"/>
        </w:rPr>
        <w:t xml:space="preserve"> </w:t>
      </w:r>
      <w:r w:rsidRPr="00BB430C">
        <w:rPr>
          <w:rFonts w:eastAsia="Calibri"/>
          <w:sz w:val="22"/>
          <w:szCs w:val="22"/>
          <w:lang w:val="en-US" w:eastAsia="en-US"/>
        </w:rPr>
        <w:t xml:space="preserve">crop plants raised from </w:t>
      </w:r>
      <w:r w:rsidR="00BB669D">
        <w:rPr>
          <w:rFonts w:eastAsia="Calibri"/>
          <w:sz w:val="22"/>
          <w:szCs w:val="22"/>
          <w:lang w:val="en-US" w:eastAsia="en-US"/>
        </w:rPr>
        <w:t>other genetically modified</w:t>
      </w:r>
      <w:r w:rsidR="000A4A6F">
        <w:rPr>
          <w:rFonts w:eastAsia="Calibri"/>
          <w:sz w:val="22"/>
          <w:szCs w:val="22"/>
          <w:lang w:val="en-US" w:eastAsia="en-US"/>
        </w:rPr>
        <w:t xml:space="preserve"> herbicide-</w:t>
      </w:r>
      <w:r w:rsidR="00BB669D">
        <w:rPr>
          <w:rFonts w:eastAsia="Calibri"/>
          <w:sz w:val="22"/>
          <w:szCs w:val="22"/>
          <w:lang w:val="en-US" w:eastAsia="en-US"/>
        </w:rPr>
        <w:t>resistant germplasm</w:t>
      </w:r>
      <w:r w:rsidR="00DC3DEE">
        <w:rPr>
          <w:rStyle w:val="FootnoteReference"/>
          <w:rFonts w:eastAsia="Calibri"/>
          <w:lang w:val="en-US" w:eastAsia="en-US"/>
        </w:rPr>
        <w:footnoteReference w:id="25"/>
      </w:r>
      <w:r w:rsidR="00BB669D">
        <w:rPr>
          <w:rFonts w:eastAsia="Calibri"/>
          <w:sz w:val="22"/>
          <w:szCs w:val="22"/>
          <w:lang w:val="en-US" w:eastAsia="en-US"/>
        </w:rPr>
        <w:t xml:space="preserve"> </w:t>
      </w:r>
      <w:r w:rsidR="0063509A">
        <w:rPr>
          <w:rFonts w:eastAsia="Calibri"/>
          <w:noProof/>
          <w:sz w:val="22"/>
          <w:szCs w:val="22"/>
          <w:lang w:val="en-US" w:eastAsia="en-US"/>
        </w:rPr>
        <w:t>(Ader</w:t>
      </w:r>
      <w:r w:rsidR="0063509A" w:rsidRPr="0063509A">
        <w:rPr>
          <w:rFonts w:eastAsia="Calibri"/>
          <w:i/>
          <w:noProof/>
          <w:sz w:val="22"/>
          <w:szCs w:val="22"/>
          <w:lang w:val="en-US" w:eastAsia="en-US"/>
        </w:rPr>
        <w:t xml:space="preserve"> et al.</w:t>
      </w:r>
      <w:r w:rsidR="0063509A">
        <w:rPr>
          <w:rFonts w:eastAsia="Calibri"/>
          <w:noProof/>
          <w:sz w:val="22"/>
          <w:szCs w:val="22"/>
          <w:lang w:val="en-US" w:eastAsia="en-US"/>
        </w:rPr>
        <w:t>, 2011; Navarro, 2014; Sammons</w:t>
      </w:r>
      <w:r w:rsidR="0063509A" w:rsidRPr="0063509A">
        <w:rPr>
          <w:rFonts w:eastAsia="Calibri"/>
          <w:i/>
          <w:noProof/>
          <w:sz w:val="22"/>
          <w:szCs w:val="22"/>
          <w:lang w:val="en-US" w:eastAsia="en-US"/>
        </w:rPr>
        <w:t xml:space="preserve"> et al.</w:t>
      </w:r>
      <w:r w:rsidR="0063509A">
        <w:rPr>
          <w:rFonts w:eastAsia="Calibri"/>
          <w:noProof/>
          <w:sz w:val="22"/>
          <w:szCs w:val="22"/>
          <w:lang w:val="en-US" w:eastAsia="en-US"/>
        </w:rPr>
        <w:t>, 2015b)</w:t>
      </w:r>
      <w:r w:rsidRPr="00BB430C">
        <w:rPr>
          <w:rFonts w:eastAsia="Calibri"/>
          <w:sz w:val="22"/>
          <w:szCs w:val="22"/>
          <w:lang w:val="en-US" w:eastAsia="en-US"/>
        </w:rPr>
        <w:t>.</w:t>
      </w:r>
      <w:r w:rsidR="00BB669D">
        <w:rPr>
          <w:rFonts w:eastAsia="Calibri"/>
          <w:sz w:val="22"/>
          <w:szCs w:val="22"/>
          <w:lang w:val="en-US" w:eastAsia="en-US"/>
        </w:rPr>
        <w:t xml:space="preserve"> </w:t>
      </w:r>
    </w:p>
    <w:p w14:paraId="10FE2918" w14:textId="77777777" w:rsidR="002C16AF" w:rsidRDefault="002C16AF" w:rsidP="00596DE3">
      <w:pPr>
        <w:spacing w:after="120"/>
        <w:rPr>
          <w:rFonts w:eastAsia="Calibri"/>
          <w:sz w:val="22"/>
          <w:szCs w:val="22"/>
          <w:lang w:val="en-US" w:eastAsia="en-US"/>
        </w:rPr>
      </w:pPr>
    </w:p>
    <w:p w14:paraId="017B3924" w14:textId="77777777" w:rsidR="00363D2D" w:rsidRPr="00796F66" w:rsidRDefault="00363D2D" w:rsidP="00363D2D">
      <w:pPr>
        <w:pStyle w:val="Heading2"/>
        <w:spacing w:before="120" w:after="120"/>
        <w:rPr>
          <w:rFonts w:ascii="Times New Roman" w:hAnsi="Times New Roman" w:cs="Times New Roman"/>
          <w:bCs w:val="0"/>
          <w:i w:val="0"/>
          <w:iCs w:val="0"/>
          <w:noProof/>
          <w:sz w:val="24"/>
          <w:szCs w:val="24"/>
        </w:rPr>
      </w:pPr>
      <w:r w:rsidRPr="00796F66">
        <w:rPr>
          <w:rFonts w:ascii="Times New Roman" w:hAnsi="Times New Roman" w:cs="Times New Roman"/>
          <w:bCs w:val="0"/>
          <w:i w:val="0"/>
          <w:iCs w:val="0"/>
          <w:noProof/>
          <w:sz w:val="24"/>
          <w:szCs w:val="24"/>
        </w:rPr>
        <w:t xml:space="preserve">4.2 DSI </w:t>
      </w:r>
      <w:r w:rsidRPr="00796F66">
        <w:rPr>
          <w:rFonts w:ascii="Times New Roman" w:hAnsi="Times New Roman" w:cs="Times New Roman"/>
          <w:bCs w:val="0"/>
          <w:i w:val="0"/>
          <w:iCs w:val="0"/>
          <w:noProof/>
          <w:sz w:val="24"/>
          <w:szCs w:val="24"/>
          <w:lang w:val="en-US"/>
        </w:rPr>
        <w:t>in synthetic biology applied to GRFA</w:t>
      </w:r>
    </w:p>
    <w:p w14:paraId="6F4BCF20" w14:textId="77777777" w:rsidR="00363D2D" w:rsidRPr="00BB430C" w:rsidRDefault="00363D2D" w:rsidP="00363D2D">
      <w:pPr>
        <w:spacing w:after="120"/>
        <w:rPr>
          <w:rFonts w:eastAsia="Calibri"/>
          <w:sz w:val="22"/>
          <w:szCs w:val="22"/>
          <w:lang w:val="en-US" w:eastAsia="en-US"/>
        </w:rPr>
      </w:pPr>
      <w:r w:rsidRPr="00BB430C">
        <w:rPr>
          <w:rFonts w:eastAsia="Calibri"/>
          <w:sz w:val="22"/>
          <w:szCs w:val="22"/>
          <w:lang w:val="en-US" w:eastAsia="en-US"/>
        </w:rPr>
        <w:t xml:space="preserve">In general terms, synthetic biology is the field of science where biological function is fabricated and may be applied at a manufacturing or environmental scale </w:t>
      </w:r>
      <w:r w:rsidR="001C037C">
        <w:rPr>
          <w:rFonts w:eastAsia="Calibri"/>
          <w:noProof/>
          <w:sz w:val="22"/>
          <w:szCs w:val="22"/>
          <w:lang w:val="en-US" w:eastAsia="en-US"/>
        </w:rPr>
        <w:t>(Piaggio</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sidRPr="00BB430C">
        <w:rPr>
          <w:rFonts w:eastAsia="Calibri"/>
          <w:sz w:val="22"/>
          <w:szCs w:val="22"/>
          <w:lang w:val="en-US" w:eastAsia="en-US"/>
        </w:rPr>
        <w:t>.</w:t>
      </w:r>
      <w:r>
        <w:rPr>
          <w:rFonts w:eastAsia="Calibri"/>
          <w:sz w:val="22"/>
          <w:szCs w:val="22"/>
          <w:lang w:val="en-US" w:eastAsia="en-US"/>
        </w:rPr>
        <w:t xml:space="preserve"> DSI is used to both discover molecules with the desired biological functions or to design and manufacture them.</w:t>
      </w:r>
      <w:r w:rsidRPr="00BB430C">
        <w:rPr>
          <w:rFonts w:eastAsia="Calibri"/>
          <w:sz w:val="22"/>
          <w:szCs w:val="22"/>
          <w:lang w:val="en-US" w:eastAsia="en-US"/>
        </w:rPr>
        <w:t xml:space="preserve"> The complete </w:t>
      </w:r>
      <w:r w:rsidRPr="00BB430C">
        <w:rPr>
          <w:rFonts w:eastAsia="Calibri"/>
          <w:i/>
          <w:sz w:val="22"/>
          <w:szCs w:val="22"/>
          <w:lang w:val="en-US" w:eastAsia="en-US"/>
        </w:rPr>
        <w:t>in vitro</w:t>
      </w:r>
      <w:r w:rsidRPr="00BB430C">
        <w:rPr>
          <w:rFonts w:eastAsia="Calibri"/>
          <w:sz w:val="22"/>
          <w:szCs w:val="22"/>
          <w:lang w:val="en-US" w:eastAsia="en-US"/>
        </w:rPr>
        <w:t xml:space="preserve"> synthesis of a genome that was designed to be the minimum </w:t>
      </w:r>
      <w:r w:rsidRPr="00BB430C">
        <w:rPr>
          <w:rFonts w:eastAsia="Calibri"/>
          <w:sz w:val="22"/>
          <w:szCs w:val="22"/>
          <w:lang w:val="en-US" w:eastAsia="en-US"/>
        </w:rPr>
        <w:lastRenderedPageBreak/>
        <w:t xml:space="preserve">necessary to support viability of a cellular organism and its reproduction demonstrated how synthetic biology can be used </w:t>
      </w:r>
      <w:r w:rsidR="001C037C">
        <w:rPr>
          <w:rFonts w:eastAsia="Calibri"/>
          <w:noProof/>
          <w:sz w:val="22"/>
          <w:szCs w:val="22"/>
          <w:lang w:val="en-US" w:eastAsia="en-US"/>
        </w:rPr>
        <w:t>(Gibson, 2014)</w:t>
      </w:r>
      <w:r w:rsidRPr="00BB430C">
        <w:rPr>
          <w:rFonts w:eastAsia="Calibri"/>
          <w:sz w:val="22"/>
          <w:szCs w:val="22"/>
          <w:lang w:val="en-US" w:eastAsia="en-US"/>
        </w:rPr>
        <w:t xml:space="preserve">. Future applications range from manufacturing biofuels and food </w:t>
      </w:r>
      <w:r w:rsidR="001C037C">
        <w:rPr>
          <w:rFonts w:eastAsia="Calibri"/>
          <w:noProof/>
          <w:sz w:val="22"/>
          <w:szCs w:val="22"/>
          <w:lang w:val="en-US" w:eastAsia="en-US"/>
        </w:rPr>
        <w:t>(Hayden, 2014)</w:t>
      </w:r>
      <w:r w:rsidRPr="00BB430C">
        <w:rPr>
          <w:rFonts w:eastAsia="Calibri"/>
          <w:sz w:val="22"/>
          <w:szCs w:val="22"/>
          <w:lang w:val="en-US" w:eastAsia="en-US"/>
        </w:rPr>
        <w:t xml:space="preserve"> to ecosystem management through</w:t>
      </w:r>
      <w:r>
        <w:rPr>
          <w:rFonts w:eastAsia="Calibri"/>
          <w:sz w:val="22"/>
          <w:szCs w:val="22"/>
          <w:lang w:val="en-US" w:eastAsia="en-US"/>
        </w:rPr>
        <w:t xml:space="preserve"> to</w:t>
      </w:r>
      <w:r w:rsidRPr="00BB430C">
        <w:rPr>
          <w:rFonts w:eastAsia="Calibri"/>
          <w:sz w:val="22"/>
          <w:szCs w:val="22"/>
          <w:lang w:val="en-US" w:eastAsia="en-US"/>
        </w:rPr>
        <w:t xml:space="preserve"> gene drive systems </w:t>
      </w:r>
      <w:r w:rsidR="001C037C">
        <w:rPr>
          <w:rFonts w:eastAsia="Calibri"/>
          <w:noProof/>
          <w:sz w:val="22"/>
          <w:szCs w:val="22"/>
          <w:lang w:val="en-US" w:eastAsia="en-US"/>
        </w:rPr>
        <w:t>(Piaggio</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sidRPr="00BB430C">
        <w:rPr>
          <w:rFonts w:eastAsia="Calibri"/>
          <w:sz w:val="22"/>
          <w:szCs w:val="22"/>
          <w:lang w:val="en-US" w:eastAsia="en-US"/>
        </w:rPr>
        <w:t>.</w:t>
      </w:r>
      <w:r>
        <w:rPr>
          <w:rStyle w:val="FootnoteReference"/>
          <w:rFonts w:eastAsia="Calibri"/>
          <w:lang w:val="en-US" w:eastAsia="en-US"/>
        </w:rPr>
        <w:footnoteReference w:id="26"/>
      </w:r>
    </w:p>
    <w:p w14:paraId="4A55EF8B" w14:textId="77777777" w:rsidR="00363D2D" w:rsidRPr="00BB430C" w:rsidRDefault="00363D2D" w:rsidP="00363D2D">
      <w:pPr>
        <w:spacing w:after="120"/>
        <w:rPr>
          <w:rFonts w:eastAsia="Calibri"/>
          <w:sz w:val="22"/>
          <w:szCs w:val="22"/>
          <w:lang w:val="en-US" w:eastAsia="en-US"/>
        </w:rPr>
      </w:pPr>
      <w:r w:rsidRPr="00BB430C">
        <w:rPr>
          <w:rFonts w:eastAsia="Calibri"/>
          <w:sz w:val="22"/>
          <w:szCs w:val="22"/>
          <w:lang w:val="en-US" w:eastAsia="en-US"/>
        </w:rPr>
        <w:t xml:space="preserve">Synthetic biology goes beyond creating just a new substrate-enzyme pair and encompasses “building, modeling, designing and fabricating novel biological systems using customized gene components that result in artificially created genetic circuitry” </w:t>
      </w:r>
      <w:r w:rsidR="001C037C">
        <w:rPr>
          <w:rFonts w:eastAsia="Calibri"/>
          <w:noProof/>
          <w:sz w:val="22"/>
          <w:szCs w:val="22"/>
          <w:lang w:val="en-US" w:eastAsia="en-US"/>
        </w:rPr>
        <w:t>(Tyagi</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2016)</w:t>
      </w:r>
      <w:r w:rsidRPr="00BB430C">
        <w:rPr>
          <w:rFonts w:eastAsia="Calibri"/>
          <w:sz w:val="22"/>
          <w:szCs w:val="22"/>
          <w:lang w:val="en-US" w:eastAsia="en-US"/>
        </w:rPr>
        <w:t xml:space="preserve">. The fabricated genetic components therefore do not have to be copies of existing biological materials, such as existing alleles of genes, or even produce existing proteins. Indeed, synthetic genomes are being built using an altered genetic code allowing incorporation of novel amino acids into synthetic proteins </w:t>
      </w:r>
      <w:r w:rsidR="001C037C">
        <w:rPr>
          <w:rFonts w:eastAsia="Calibri"/>
          <w:noProof/>
          <w:sz w:val="22"/>
          <w:szCs w:val="22"/>
          <w:lang w:val="en-US" w:eastAsia="en-US"/>
        </w:rPr>
        <w:t>(Chin, 2017)</w:t>
      </w:r>
      <w:r w:rsidRPr="00BB430C">
        <w:rPr>
          <w:rFonts w:eastAsia="Calibri"/>
          <w:sz w:val="22"/>
          <w:szCs w:val="22"/>
          <w:lang w:val="en-US" w:eastAsia="en-US"/>
        </w:rPr>
        <w:t xml:space="preserve">. The fabricated genes, however, are designed based on observation of the natural world including its genetic diversity </w:t>
      </w:r>
      <w:r w:rsidR="00CB58E7">
        <w:rPr>
          <w:rFonts w:eastAsia="Calibri"/>
          <w:sz w:val="22"/>
          <w:szCs w:val="22"/>
          <w:lang w:val="en-US" w:eastAsia="en-US"/>
        </w:rPr>
        <w:t>inspiring</w:t>
      </w:r>
      <w:r w:rsidRPr="00BB430C">
        <w:rPr>
          <w:rFonts w:eastAsia="Calibri"/>
          <w:sz w:val="22"/>
          <w:szCs w:val="22"/>
          <w:lang w:val="en-US" w:eastAsia="en-US"/>
        </w:rPr>
        <w:t xml:space="preserve"> human-engineered combinations. </w:t>
      </w:r>
    </w:p>
    <w:p w14:paraId="5DD382AF" w14:textId="77777777" w:rsidR="00363D2D" w:rsidRPr="00BB430C" w:rsidRDefault="00363D2D" w:rsidP="00363D2D">
      <w:pPr>
        <w:spacing w:after="120"/>
        <w:rPr>
          <w:rFonts w:eastAsia="Calibri"/>
          <w:sz w:val="22"/>
          <w:szCs w:val="22"/>
          <w:lang w:val="en-US" w:eastAsia="en-US"/>
        </w:rPr>
      </w:pPr>
      <w:r w:rsidRPr="00BB430C">
        <w:rPr>
          <w:rFonts w:eastAsia="Calibri"/>
          <w:sz w:val="22"/>
          <w:szCs w:val="22"/>
          <w:lang w:val="en-US" w:eastAsia="en-US"/>
        </w:rPr>
        <w:t>The goal of some synthetic biology work is to be able to predict multi-component interactions that are stable through reproduction.</w:t>
      </w:r>
      <w:r w:rsidR="00CB58E7">
        <w:rPr>
          <w:rFonts w:eastAsia="Calibri"/>
          <w:sz w:val="22"/>
          <w:szCs w:val="22"/>
          <w:lang w:val="en-US" w:eastAsia="en-US"/>
        </w:rPr>
        <w:t xml:space="preserve"> Synthetic b</w:t>
      </w:r>
      <w:r w:rsidR="00CB58E7" w:rsidRPr="00BB430C">
        <w:rPr>
          <w:rFonts w:eastAsia="Calibri"/>
          <w:sz w:val="22"/>
          <w:szCs w:val="22"/>
          <w:lang w:val="en-US" w:eastAsia="en-US"/>
        </w:rPr>
        <w:t>iology</w:t>
      </w:r>
      <w:r w:rsidR="00CB58E7">
        <w:rPr>
          <w:rFonts w:eastAsia="Calibri"/>
          <w:sz w:val="22"/>
          <w:szCs w:val="22"/>
          <w:lang w:val="en-US" w:eastAsia="en-US"/>
        </w:rPr>
        <w:t xml:space="preserve"> can use multi-component, heritable interactions to build biological computers</w:t>
      </w:r>
      <w:r w:rsidR="00CB58E7" w:rsidRPr="00BB430C">
        <w:rPr>
          <w:rFonts w:eastAsia="Calibri"/>
          <w:sz w:val="22"/>
          <w:szCs w:val="22"/>
          <w:lang w:val="en-US" w:eastAsia="en-US"/>
        </w:rPr>
        <w:t xml:space="preserve"> </w:t>
      </w:r>
      <w:r w:rsidR="001C037C">
        <w:rPr>
          <w:rFonts w:eastAsia="Calibri"/>
          <w:noProof/>
          <w:sz w:val="22"/>
          <w:szCs w:val="22"/>
          <w:lang w:val="en-US" w:eastAsia="en-US"/>
        </w:rPr>
        <w:t>(Abels and Khisamutdinov, 2015)</w:t>
      </w:r>
      <w:r w:rsidR="00CB58E7" w:rsidRPr="00BB430C">
        <w:rPr>
          <w:rFonts w:eastAsia="Calibri"/>
          <w:sz w:val="22"/>
          <w:szCs w:val="22"/>
          <w:lang w:val="en-US" w:eastAsia="en-US"/>
        </w:rPr>
        <w:t xml:space="preserve">. DNA, for example, can be the means of computation and environmental sensor </w:t>
      </w:r>
      <w:r w:rsidR="001C037C">
        <w:rPr>
          <w:rFonts w:eastAsia="Calibri"/>
          <w:noProof/>
          <w:sz w:val="22"/>
          <w:szCs w:val="22"/>
          <w:lang w:val="en-US" w:eastAsia="en-US"/>
        </w:rPr>
        <w:t>(Sainz de Murieta and Rodríguez-Patón, 2012)</w:t>
      </w:r>
      <w:r w:rsidR="00CB58E7" w:rsidRPr="00BB430C">
        <w:rPr>
          <w:rFonts w:eastAsia="Calibri"/>
          <w:sz w:val="22"/>
          <w:szCs w:val="22"/>
          <w:lang w:val="en-US" w:eastAsia="en-US"/>
        </w:rPr>
        <w:t xml:space="preserve"> where the computer could be placed inside genetic resources </w:t>
      </w:r>
      <w:r w:rsidR="001C037C">
        <w:rPr>
          <w:rFonts w:eastAsia="Calibri"/>
          <w:noProof/>
          <w:sz w:val="22"/>
          <w:szCs w:val="22"/>
          <w:lang w:val="en-US" w:eastAsia="en-US"/>
        </w:rPr>
        <w:t>(The Economist, 2012)</w:t>
      </w:r>
      <w:r w:rsidR="00CB58E7">
        <w:rPr>
          <w:rFonts w:eastAsia="Calibri"/>
          <w:sz w:val="22"/>
          <w:szCs w:val="22"/>
          <w:lang w:val="en-US" w:eastAsia="en-US"/>
        </w:rPr>
        <w:t>.</w:t>
      </w:r>
    </w:p>
    <w:p w14:paraId="16494F97" w14:textId="77777777" w:rsidR="00363D2D" w:rsidRPr="00BB430C" w:rsidRDefault="00363D2D" w:rsidP="00363D2D">
      <w:pPr>
        <w:spacing w:after="120"/>
        <w:rPr>
          <w:rFonts w:eastAsia="Calibri"/>
          <w:sz w:val="22"/>
          <w:szCs w:val="22"/>
          <w:lang w:val="en-US" w:eastAsia="en-US"/>
        </w:rPr>
      </w:pPr>
      <w:r w:rsidRPr="00BB430C">
        <w:rPr>
          <w:rFonts w:eastAsia="Calibri"/>
          <w:sz w:val="22"/>
          <w:szCs w:val="22"/>
          <w:lang w:val="en-US" w:eastAsia="en-US"/>
        </w:rPr>
        <w:t>Switches, especially those with switch state memory, are important for the developing field of biological computing. Describing those swi</w:t>
      </w:r>
      <w:r w:rsidR="004059E9">
        <w:rPr>
          <w:rFonts w:eastAsia="Calibri"/>
          <w:sz w:val="22"/>
          <w:szCs w:val="22"/>
          <w:lang w:val="en-US" w:eastAsia="en-US"/>
        </w:rPr>
        <w:t>tches can yield new information</w:t>
      </w:r>
      <w:r w:rsidRPr="00BB430C">
        <w:rPr>
          <w:rFonts w:eastAsia="Calibri"/>
          <w:sz w:val="22"/>
          <w:szCs w:val="22"/>
          <w:lang w:val="en-US" w:eastAsia="en-US"/>
        </w:rPr>
        <w:t xml:space="preserve"> about component function</w:t>
      </w:r>
      <w:r w:rsidR="004059E9">
        <w:rPr>
          <w:rFonts w:eastAsia="Calibri"/>
          <w:sz w:val="22"/>
          <w:szCs w:val="22"/>
          <w:lang w:val="en-US" w:eastAsia="en-US"/>
        </w:rPr>
        <w:t xml:space="preserve"> </w:t>
      </w:r>
      <w:r w:rsidR="001C037C">
        <w:rPr>
          <w:rFonts w:eastAsia="Calibri"/>
          <w:noProof/>
          <w:sz w:val="22"/>
          <w:szCs w:val="22"/>
          <w:lang w:val="en-US" w:eastAsia="en-US"/>
        </w:rPr>
        <w:t>(Haynes</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2008)</w:t>
      </w:r>
      <w:r w:rsidR="004059E9">
        <w:rPr>
          <w:rFonts w:eastAsia="Calibri"/>
          <w:sz w:val="22"/>
          <w:szCs w:val="22"/>
          <w:lang w:val="en-US" w:eastAsia="en-US"/>
        </w:rPr>
        <w:t>. Switch state memory can be used</w:t>
      </w:r>
      <w:r w:rsidRPr="00BB430C">
        <w:rPr>
          <w:rFonts w:eastAsia="Calibri"/>
          <w:sz w:val="22"/>
          <w:szCs w:val="22"/>
          <w:lang w:val="en-US" w:eastAsia="en-US"/>
        </w:rPr>
        <w:t xml:space="preserve"> as a tool for monitoring an environment to improve productivity and quality of crops, livestock, forestry and fisheries, and to maintain healthy populations of wild species.</w:t>
      </w:r>
    </w:p>
    <w:p w14:paraId="157F096F" w14:textId="77777777" w:rsidR="00363D2D" w:rsidRPr="00BB430C" w:rsidRDefault="00363D2D" w:rsidP="00363D2D">
      <w:pPr>
        <w:spacing w:after="120"/>
        <w:rPr>
          <w:rFonts w:eastAsia="Calibri"/>
          <w:sz w:val="22"/>
          <w:szCs w:val="22"/>
          <w:lang w:val="en-US" w:eastAsia="en-US"/>
        </w:rPr>
      </w:pPr>
      <w:r w:rsidRPr="00BB430C">
        <w:rPr>
          <w:rFonts w:eastAsia="Calibri"/>
          <w:sz w:val="22"/>
          <w:szCs w:val="22"/>
          <w:lang w:val="en-US" w:eastAsia="en-US"/>
        </w:rPr>
        <w:t xml:space="preserve">Switches can take different forms. A simple switch with memory is achieved with an invertible DNA sequence </w:t>
      </w:r>
      <w:r w:rsidR="001C037C">
        <w:rPr>
          <w:rFonts w:eastAsia="Calibri"/>
          <w:noProof/>
          <w:sz w:val="22"/>
          <w:szCs w:val="22"/>
          <w:lang w:val="en-US" w:eastAsia="en-US"/>
        </w:rPr>
        <w:t>(Haynes</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2008)</w:t>
      </w:r>
      <w:r w:rsidRPr="00BB430C">
        <w:rPr>
          <w:rFonts w:eastAsia="Calibri"/>
          <w:sz w:val="22"/>
          <w:szCs w:val="22"/>
          <w:lang w:val="en-US" w:eastAsia="en-US"/>
        </w:rPr>
        <w:t xml:space="preserve">. More complicated switches arise from alternative heritable physiological states </w:t>
      </w:r>
      <w:r w:rsidR="001C037C">
        <w:rPr>
          <w:rFonts w:eastAsia="Calibri"/>
          <w:noProof/>
          <w:sz w:val="22"/>
          <w:szCs w:val="22"/>
          <w:lang w:val="en-US" w:eastAsia="en-US"/>
        </w:rPr>
        <w:t>(Kotula</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2014)</w:t>
      </w:r>
      <w:r w:rsidRPr="00BB430C">
        <w:rPr>
          <w:rFonts w:eastAsia="Calibri"/>
          <w:sz w:val="22"/>
          <w:szCs w:val="22"/>
          <w:lang w:val="en-US" w:eastAsia="en-US"/>
        </w:rPr>
        <w:t xml:space="preserve">. Paradigm examples of bi-stable transcription state switches are the lac operon switch state inheritance </w:t>
      </w:r>
      <w:r w:rsidR="001C037C">
        <w:rPr>
          <w:rFonts w:eastAsia="Calibri"/>
          <w:noProof/>
          <w:sz w:val="22"/>
          <w:szCs w:val="22"/>
          <w:lang w:val="en-US" w:eastAsia="en-US"/>
        </w:rPr>
        <w:t>(Novick and Weiner, 1957)</w:t>
      </w:r>
      <w:r w:rsidRPr="00BB430C">
        <w:rPr>
          <w:rFonts w:eastAsia="Calibri"/>
          <w:sz w:val="22"/>
          <w:szCs w:val="22"/>
          <w:lang w:val="en-US" w:eastAsia="en-US"/>
        </w:rPr>
        <w:t xml:space="preserve"> and the bacterial virus </w:t>
      </w:r>
      <w:r w:rsidRPr="001F73F3">
        <w:rPr>
          <w:rFonts w:ascii="Symbol" w:eastAsia="Calibri" w:hAnsi="Symbol"/>
          <w:sz w:val="22"/>
          <w:szCs w:val="22"/>
          <w:lang w:val="en-US" w:eastAsia="en-US"/>
        </w:rPr>
        <w:t></w:t>
      </w:r>
      <w:r w:rsidRPr="00BB430C">
        <w:rPr>
          <w:rFonts w:eastAsia="Calibri"/>
          <w:sz w:val="22"/>
          <w:szCs w:val="22"/>
          <w:lang w:val="en-US" w:eastAsia="en-US"/>
        </w:rPr>
        <w:t xml:space="preserve"> lifecycle decision switch </w:t>
      </w:r>
      <w:r w:rsidR="001C037C">
        <w:rPr>
          <w:rFonts w:eastAsia="Calibri"/>
          <w:noProof/>
          <w:sz w:val="22"/>
          <w:szCs w:val="22"/>
          <w:lang w:val="en-US" w:eastAsia="en-US"/>
        </w:rPr>
        <w:t>(Ptashne</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1982)</w:t>
      </w:r>
      <w:r w:rsidRPr="00BB430C">
        <w:rPr>
          <w:rFonts w:eastAsia="Calibri"/>
          <w:sz w:val="22"/>
          <w:szCs w:val="22"/>
          <w:lang w:val="en-US" w:eastAsia="en-US"/>
        </w:rPr>
        <w:t>.</w:t>
      </w:r>
    </w:p>
    <w:p w14:paraId="459995EE" w14:textId="77777777" w:rsidR="00363D2D" w:rsidRDefault="00363D2D" w:rsidP="00363D2D">
      <w:pPr>
        <w:spacing w:after="120"/>
        <w:rPr>
          <w:rFonts w:eastAsia="Calibri"/>
          <w:sz w:val="22"/>
          <w:szCs w:val="22"/>
          <w:lang w:val="en-US" w:eastAsia="en-US"/>
        </w:rPr>
      </w:pPr>
      <w:r w:rsidRPr="00BB430C">
        <w:rPr>
          <w:rFonts w:eastAsia="Calibri"/>
          <w:sz w:val="22"/>
          <w:szCs w:val="22"/>
          <w:lang w:val="en-US" w:eastAsia="en-US"/>
        </w:rPr>
        <w:t xml:space="preserve">Some examples exist of engineered switches </w:t>
      </w:r>
      <w:r w:rsidR="001C037C">
        <w:rPr>
          <w:rFonts w:eastAsia="Calibri"/>
          <w:noProof/>
          <w:sz w:val="22"/>
          <w:szCs w:val="22"/>
          <w:lang w:val="en-US" w:eastAsia="en-US"/>
        </w:rPr>
        <w:t>(Khalil and Collins, 2010)</w:t>
      </w:r>
      <w:r w:rsidRPr="00BB430C">
        <w:rPr>
          <w:rFonts w:eastAsia="Calibri"/>
          <w:sz w:val="22"/>
          <w:szCs w:val="22"/>
          <w:lang w:val="en-US" w:eastAsia="en-US"/>
        </w:rPr>
        <w:t xml:space="preserve">. The virus </w:t>
      </w:r>
      <w:r w:rsidRPr="001F73F3">
        <w:rPr>
          <w:rFonts w:ascii="Symbol" w:eastAsia="Calibri" w:hAnsi="Symbol"/>
          <w:sz w:val="22"/>
          <w:szCs w:val="22"/>
          <w:lang w:val="en-US" w:eastAsia="en-US"/>
        </w:rPr>
        <w:t></w:t>
      </w:r>
      <w:r w:rsidRPr="00BB430C">
        <w:rPr>
          <w:rFonts w:eastAsia="Calibri"/>
          <w:sz w:val="22"/>
          <w:szCs w:val="22"/>
          <w:lang w:val="en-US" w:eastAsia="en-US"/>
        </w:rPr>
        <w:t xml:space="preserve"> epigenetic switch has been used in context to amplify a biological signal </w:t>
      </w:r>
      <w:r w:rsidR="001C037C">
        <w:rPr>
          <w:rFonts w:eastAsia="Calibri"/>
          <w:noProof/>
          <w:sz w:val="22"/>
          <w:szCs w:val="22"/>
          <w:lang w:val="en-US" w:eastAsia="en-US"/>
        </w:rPr>
        <w:t>(Heinemann, 1999)</w:t>
      </w:r>
      <w:r w:rsidRPr="00BB430C">
        <w:rPr>
          <w:rFonts w:eastAsia="Calibri"/>
          <w:sz w:val="22"/>
          <w:szCs w:val="22"/>
          <w:lang w:val="en-US" w:eastAsia="en-US"/>
        </w:rPr>
        <w:t xml:space="preserve">. More recently, it was engineered to develop bacteria that served as environmental sensors with relevance to management of GRFA. In </w:t>
      </w:r>
      <w:r w:rsidRPr="00BB430C">
        <w:rPr>
          <w:rFonts w:eastAsia="Calibri"/>
          <w:i/>
          <w:sz w:val="22"/>
          <w:szCs w:val="22"/>
          <w:lang w:val="en-US" w:eastAsia="en-US"/>
        </w:rPr>
        <w:t>E</w:t>
      </w:r>
      <w:r>
        <w:rPr>
          <w:rFonts w:eastAsia="Calibri"/>
          <w:i/>
          <w:sz w:val="22"/>
          <w:szCs w:val="22"/>
          <w:lang w:val="en-US" w:eastAsia="en-US"/>
        </w:rPr>
        <w:t>.</w:t>
      </w:r>
      <w:r w:rsidRPr="00BB430C">
        <w:rPr>
          <w:rFonts w:eastAsia="Calibri"/>
          <w:i/>
          <w:sz w:val="22"/>
          <w:szCs w:val="22"/>
          <w:lang w:val="en-US" w:eastAsia="en-US"/>
        </w:rPr>
        <w:t xml:space="preserve"> coli</w:t>
      </w:r>
      <w:r w:rsidRPr="00BB430C">
        <w:rPr>
          <w:rFonts w:eastAsia="Calibri"/>
          <w:sz w:val="22"/>
          <w:szCs w:val="22"/>
          <w:lang w:val="en-US" w:eastAsia="en-US"/>
        </w:rPr>
        <w:t xml:space="preserve"> the engineered switch was set to detect low levels of antibiotic when passing through a mouse gastrointestinal system, but which could easily be applied to livestock. Bacteria that had sensed the antibiotic remained in a stable epigenetic state distinguishable from the pre-exposure state for up to five days </w:t>
      </w:r>
      <w:r w:rsidR="001C037C">
        <w:rPr>
          <w:rFonts w:eastAsia="Calibri"/>
          <w:noProof/>
          <w:sz w:val="22"/>
          <w:szCs w:val="22"/>
          <w:lang w:val="en-US" w:eastAsia="en-US"/>
        </w:rPr>
        <w:t>(Kotula</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2014)</w:t>
      </w:r>
      <w:r w:rsidRPr="00BB430C">
        <w:rPr>
          <w:rFonts w:eastAsia="Calibri"/>
          <w:sz w:val="22"/>
          <w:szCs w:val="22"/>
          <w:lang w:val="en-US" w:eastAsia="en-US"/>
        </w:rPr>
        <w:t>.</w:t>
      </w:r>
    </w:p>
    <w:p w14:paraId="3019A48D" w14:textId="77777777" w:rsidR="00363D2D" w:rsidRPr="00BB430C" w:rsidRDefault="00363D2D" w:rsidP="00363D2D">
      <w:pPr>
        <w:spacing w:after="120"/>
        <w:rPr>
          <w:rFonts w:eastAsia="Calibri"/>
          <w:sz w:val="22"/>
          <w:szCs w:val="22"/>
          <w:lang w:val="en-US" w:eastAsia="en-US"/>
        </w:rPr>
      </w:pPr>
    </w:p>
    <w:p w14:paraId="62CA8DF0" w14:textId="77777777" w:rsidR="00363D2D" w:rsidRPr="00796F66" w:rsidRDefault="00363D2D" w:rsidP="00363D2D">
      <w:pPr>
        <w:pStyle w:val="Heading2"/>
        <w:spacing w:before="120" w:after="120"/>
        <w:rPr>
          <w:rFonts w:ascii="Times New Roman" w:hAnsi="Times New Roman" w:cs="Times New Roman"/>
          <w:bCs w:val="0"/>
          <w:i w:val="0"/>
          <w:iCs w:val="0"/>
          <w:noProof/>
          <w:sz w:val="24"/>
          <w:szCs w:val="24"/>
        </w:rPr>
      </w:pPr>
      <w:r w:rsidRPr="00796F66">
        <w:rPr>
          <w:rFonts w:ascii="Times New Roman" w:hAnsi="Times New Roman" w:cs="Times New Roman"/>
          <w:bCs w:val="0"/>
          <w:i w:val="0"/>
          <w:iCs w:val="0"/>
          <w:noProof/>
          <w:sz w:val="24"/>
          <w:szCs w:val="24"/>
        </w:rPr>
        <w:t>4.3 DSI can have value separate from biological genetic material</w:t>
      </w:r>
    </w:p>
    <w:p w14:paraId="0FB40C6D" w14:textId="77777777" w:rsidR="003C3B41" w:rsidRPr="003C3B41" w:rsidRDefault="00363D2D" w:rsidP="008D0183">
      <w:pPr>
        <w:shd w:val="clear" w:color="auto" w:fill="E0E0E0"/>
        <w:spacing w:after="120"/>
        <w:rPr>
          <w:rFonts w:eastAsia="Calibri"/>
          <w:sz w:val="22"/>
          <w:szCs w:val="22"/>
          <w:lang w:val="mi-NZ" w:eastAsia="en-US"/>
        </w:rPr>
      </w:pPr>
      <w:r w:rsidDel="002C16AF">
        <w:rPr>
          <w:rFonts w:eastAsia="Calibri"/>
          <w:sz w:val="22"/>
          <w:szCs w:val="22"/>
          <w:lang w:val="en-US" w:eastAsia="en-US"/>
        </w:rPr>
        <w:t xml:space="preserve"> </w:t>
      </w:r>
      <w:r w:rsidR="003C3B41">
        <w:rPr>
          <w:rFonts w:eastAsia="Calibri"/>
          <w:sz w:val="22"/>
          <w:szCs w:val="22"/>
          <w:lang w:val="mi-NZ" w:eastAsia="en-US"/>
        </w:rPr>
        <w:t>“</w:t>
      </w:r>
      <w:r w:rsidR="003C3B41" w:rsidRPr="003C3B41">
        <w:rPr>
          <w:rFonts w:eastAsia="Calibri"/>
          <w:sz w:val="22"/>
          <w:szCs w:val="22"/>
          <w:lang w:val="mi-NZ" w:eastAsia="en-US"/>
        </w:rPr>
        <w:t xml:space="preserve">23andMe has managed to amass a collection of DNA information about 1.2 million people, which last year began to prove its value when the company revealed it had sold access to the data to more than 13 drug companies. One, Genentech, anted up </w:t>
      </w:r>
      <w:r w:rsidR="00F76F31">
        <w:rPr>
          <w:rFonts w:eastAsia="Calibri"/>
          <w:sz w:val="22"/>
          <w:szCs w:val="22"/>
          <w:lang w:val="mi-NZ" w:eastAsia="en-US"/>
        </w:rPr>
        <w:t>USD</w:t>
      </w:r>
      <w:r w:rsidR="003C3B41" w:rsidRPr="003C3B41">
        <w:rPr>
          <w:rFonts w:eastAsia="Calibri"/>
          <w:sz w:val="22"/>
          <w:szCs w:val="22"/>
          <w:lang w:val="mi-NZ" w:eastAsia="en-US"/>
        </w:rPr>
        <w:t>10 million for a look at the genes of people with Parkinson’s disease.</w:t>
      </w:r>
      <w:r w:rsidR="003C3B41">
        <w:rPr>
          <w:rFonts w:eastAsia="Calibri"/>
          <w:sz w:val="22"/>
          <w:szCs w:val="22"/>
          <w:lang w:val="mi-NZ" w:eastAsia="en-US"/>
        </w:rPr>
        <w:t xml:space="preserve"> </w:t>
      </w:r>
      <w:r w:rsidR="003C3B41" w:rsidRPr="003C3B41">
        <w:rPr>
          <w:rFonts w:eastAsia="Calibri"/>
          <w:sz w:val="22"/>
          <w:szCs w:val="22"/>
          <w:lang w:val="mi-NZ" w:eastAsia="en-US"/>
        </w:rPr>
        <w:t>That means 23andMe is monetizing DNA rather the way Facebo</w:t>
      </w:r>
      <w:r w:rsidR="003C3B41">
        <w:rPr>
          <w:rFonts w:eastAsia="Calibri"/>
          <w:sz w:val="22"/>
          <w:szCs w:val="22"/>
          <w:lang w:val="mi-NZ" w:eastAsia="en-US"/>
        </w:rPr>
        <w:t xml:space="preserve">ok makes money from our ‘likes’” </w:t>
      </w:r>
      <w:r w:rsidR="001C037C">
        <w:rPr>
          <w:rFonts w:eastAsia="Calibri"/>
          <w:noProof/>
          <w:sz w:val="22"/>
          <w:szCs w:val="22"/>
          <w:lang w:val="mi-NZ" w:eastAsia="en-US"/>
        </w:rPr>
        <w:t>(Regalado, 2016)</w:t>
      </w:r>
      <w:r w:rsidR="003C3B41">
        <w:rPr>
          <w:rFonts w:eastAsia="Calibri"/>
          <w:sz w:val="22"/>
          <w:szCs w:val="22"/>
          <w:lang w:val="mi-NZ" w:eastAsia="en-US"/>
        </w:rPr>
        <w:t>.</w:t>
      </w:r>
    </w:p>
    <w:p w14:paraId="094D7C14" w14:textId="77777777" w:rsidR="00596DE3" w:rsidRPr="00BB430C" w:rsidRDefault="00596DE3" w:rsidP="00596DE3">
      <w:pPr>
        <w:spacing w:after="120"/>
        <w:rPr>
          <w:rFonts w:eastAsia="Calibri"/>
          <w:sz w:val="22"/>
          <w:szCs w:val="22"/>
          <w:lang w:val="en-US" w:eastAsia="en-US"/>
        </w:rPr>
      </w:pPr>
      <w:r w:rsidRPr="00BB430C">
        <w:rPr>
          <w:rFonts w:eastAsia="Calibri"/>
          <w:sz w:val="22"/>
          <w:szCs w:val="22"/>
          <w:lang w:val="en-US" w:eastAsia="en-US"/>
        </w:rPr>
        <w:t xml:space="preserve">Big data is a term about the scale of data, but also the scale of data that is difficult to use. Structured data </w:t>
      </w:r>
      <w:r w:rsidR="00CB42BF">
        <w:rPr>
          <w:rFonts w:eastAsia="Calibri"/>
          <w:sz w:val="22"/>
          <w:szCs w:val="22"/>
          <w:lang w:val="en-US" w:eastAsia="en-US"/>
        </w:rPr>
        <w:t>are</w:t>
      </w:r>
      <w:r w:rsidR="00CB42BF" w:rsidRPr="00BB430C">
        <w:rPr>
          <w:rFonts w:eastAsia="Calibri"/>
          <w:sz w:val="22"/>
          <w:szCs w:val="22"/>
          <w:lang w:val="en-US" w:eastAsia="en-US"/>
        </w:rPr>
        <w:t xml:space="preserve"> </w:t>
      </w:r>
      <w:r w:rsidRPr="00BB430C">
        <w:rPr>
          <w:rFonts w:eastAsia="Calibri"/>
          <w:sz w:val="22"/>
          <w:szCs w:val="22"/>
          <w:lang w:val="en-US" w:eastAsia="en-US"/>
        </w:rPr>
        <w:t xml:space="preserve">the easiest form of data to analyze. Unstructured data, </w:t>
      </w:r>
      <w:r w:rsidR="00CB42BF">
        <w:rPr>
          <w:rFonts w:eastAsia="Calibri"/>
          <w:sz w:val="22"/>
          <w:szCs w:val="22"/>
          <w:lang w:val="en-US" w:eastAsia="en-US"/>
        </w:rPr>
        <w:t xml:space="preserve">for example, </w:t>
      </w:r>
      <w:r w:rsidRPr="00BB430C">
        <w:rPr>
          <w:rFonts w:eastAsia="Calibri"/>
          <w:sz w:val="22"/>
          <w:szCs w:val="22"/>
          <w:lang w:val="en-US" w:eastAsia="en-US"/>
        </w:rPr>
        <w:t xml:space="preserve">text heavy, pictures or inconsistent formats, and omics, </w:t>
      </w:r>
      <w:r w:rsidR="00371627">
        <w:rPr>
          <w:rFonts w:eastAsia="Calibri"/>
          <w:sz w:val="22"/>
          <w:szCs w:val="22"/>
          <w:lang w:val="en-US" w:eastAsia="en-US"/>
        </w:rPr>
        <w:t>is common</w:t>
      </w:r>
      <w:r w:rsidR="00371627" w:rsidRPr="00BB430C">
        <w:rPr>
          <w:rFonts w:eastAsia="Calibri"/>
          <w:sz w:val="22"/>
          <w:szCs w:val="22"/>
          <w:lang w:val="en-US" w:eastAsia="en-US"/>
        </w:rPr>
        <w:t xml:space="preserve"> </w:t>
      </w:r>
      <w:r w:rsidRPr="00BB430C">
        <w:rPr>
          <w:rFonts w:eastAsia="Calibri"/>
          <w:sz w:val="22"/>
          <w:szCs w:val="22"/>
          <w:lang w:val="en-US" w:eastAsia="en-US"/>
        </w:rPr>
        <w:t>in many complex agricultural systems.</w:t>
      </w:r>
    </w:p>
    <w:p w14:paraId="7C9DD3DE" w14:textId="77777777" w:rsidR="00596DE3" w:rsidRPr="00BB430C" w:rsidRDefault="00596DE3" w:rsidP="00596DE3">
      <w:pPr>
        <w:spacing w:after="120"/>
        <w:rPr>
          <w:rFonts w:eastAsia="Calibri"/>
          <w:sz w:val="22"/>
          <w:szCs w:val="22"/>
          <w:lang w:val="en-US" w:eastAsia="en-US"/>
        </w:rPr>
      </w:pPr>
      <w:r w:rsidRPr="00BB430C">
        <w:rPr>
          <w:rFonts w:eastAsia="Calibri"/>
          <w:sz w:val="22"/>
          <w:szCs w:val="22"/>
          <w:lang w:val="en-US" w:eastAsia="en-US"/>
        </w:rPr>
        <w:lastRenderedPageBreak/>
        <w:t>Big data platforms shift the use of data from analytics to prediction, where patterns in the data inform new questions rather than questions that are answered by finding patterns in the data.</w:t>
      </w:r>
      <w:r w:rsidR="0010556C">
        <w:rPr>
          <w:rFonts w:eastAsia="Calibri"/>
          <w:sz w:val="22"/>
          <w:szCs w:val="22"/>
          <w:lang w:val="en-US" w:eastAsia="en-US"/>
        </w:rPr>
        <w:t xml:space="preserve"> There are many potential uses of the information separate from the source (or destination) GRFA and therefore potential new value chains. </w:t>
      </w:r>
      <w:r w:rsidRPr="00BB430C">
        <w:rPr>
          <w:rFonts w:eastAsia="Calibri"/>
          <w:sz w:val="22"/>
          <w:szCs w:val="22"/>
          <w:lang w:val="en-US" w:eastAsia="en-US"/>
        </w:rPr>
        <w:t xml:space="preserve">Already, these approaches are being used to find lead drug candidates based on </w:t>
      </w:r>
      <w:r w:rsidRPr="00BB430C">
        <w:rPr>
          <w:rFonts w:eastAsia="Calibri"/>
          <w:i/>
          <w:sz w:val="22"/>
          <w:szCs w:val="22"/>
          <w:lang w:val="en-US" w:eastAsia="en-US"/>
        </w:rPr>
        <w:t>in silico</w:t>
      </w:r>
      <w:r w:rsidRPr="00BB430C">
        <w:rPr>
          <w:rFonts w:eastAsia="Calibri"/>
          <w:sz w:val="22"/>
          <w:szCs w:val="22"/>
          <w:lang w:val="en-US" w:eastAsia="en-US"/>
        </w:rPr>
        <w:t xml:space="preserve"> screens, that is, uncoupled from screening using enzymes or tissue cultures. A candidate cystic fibrosis therapeutic specific to patients with a SNP in their cystic fibrosis transmembrane conductance regulator (CFTR) protein was identified from over 500</w:t>
      </w:r>
      <w:r w:rsidR="009252DE">
        <w:rPr>
          <w:rFonts w:eastAsia="Calibri"/>
          <w:sz w:val="22"/>
          <w:szCs w:val="22"/>
          <w:lang w:val="en-US" w:eastAsia="en-US"/>
        </w:rPr>
        <w:t> </w:t>
      </w:r>
      <w:r w:rsidRPr="00BB430C">
        <w:rPr>
          <w:rFonts w:eastAsia="Calibri"/>
          <w:sz w:val="22"/>
          <w:szCs w:val="22"/>
          <w:lang w:val="en-US" w:eastAsia="en-US"/>
        </w:rPr>
        <w:t xml:space="preserve">000 compounds using only computers </w:t>
      </w:r>
      <w:r w:rsidR="001C037C">
        <w:rPr>
          <w:rFonts w:eastAsia="Calibri"/>
          <w:noProof/>
          <w:sz w:val="22"/>
          <w:szCs w:val="22"/>
          <w:lang w:val="en-US" w:eastAsia="en-US"/>
        </w:rPr>
        <w:t>(Costa, 2014)</w:t>
      </w:r>
      <w:r w:rsidRPr="00BB430C">
        <w:rPr>
          <w:rFonts w:eastAsia="Calibri"/>
          <w:sz w:val="22"/>
          <w:szCs w:val="22"/>
          <w:lang w:val="en-US" w:eastAsia="en-US"/>
        </w:rPr>
        <w:t>.</w:t>
      </w:r>
    </w:p>
    <w:p w14:paraId="4DD5EC3A" w14:textId="77777777" w:rsidR="00596DE3" w:rsidRPr="00BB430C" w:rsidRDefault="00596DE3" w:rsidP="00596DE3">
      <w:pPr>
        <w:spacing w:after="120"/>
        <w:rPr>
          <w:rFonts w:eastAsia="Calibri"/>
          <w:sz w:val="22"/>
          <w:szCs w:val="22"/>
          <w:lang w:val="en-US" w:eastAsia="en-US"/>
        </w:rPr>
      </w:pPr>
      <w:r w:rsidRPr="00BB430C">
        <w:rPr>
          <w:rFonts w:eastAsia="Calibri"/>
          <w:sz w:val="22"/>
          <w:szCs w:val="22"/>
          <w:lang w:val="en-US" w:eastAsia="en-US"/>
        </w:rPr>
        <w:t>The utility and availability of DSI might decrease the need to exchange GRFA for some uses. For example, biochemists looking for a particular substrate-enzyme pair will have reduced need to access biological material from which to extract enzymes. However, they may increase their demand for biological material that is currently under</w:t>
      </w:r>
      <w:r w:rsidR="00CB42BF">
        <w:rPr>
          <w:rFonts w:eastAsia="Calibri"/>
          <w:sz w:val="22"/>
          <w:szCs w:val="22"/>
          <w:lang w:val="en-US" w:eastAsia="en-US"/>
        </w:rPr>
        <w:t xml:space="preserve"> </w:t>
      </w:r>
      <w:r w:rsidRPr="00BB430C">
        <w:rPr>
          <w:rFonts w:eastAsia="Calibri"/>
          <w:sz w:val="22"/>
          <w:szCs w:val="22"/>
          <w:lang w:val="en-US" w:eastAsia="en-US"/>
        </w:rPr>
        <w:t>represented in databases, such as biomes of deep sea sul</w:t>
      </w:r>
      <w:r w:rsidR="008D66E1">
        <w:rPr>
          <w:rFonts w:eastAsia="Calibri"/>
          <w:sz w:val="22"/>
          <w:szCs w:val="22"/>
          <w:lang w:val="en-US" w:eastAsia="en-US"/>
        </w:rPr>
        <w:t>ph</w:t>
      </w:r>
      <w:r w:rsidRPr="00BB430C">
        <w:rPr>
          <w:rFonts w:eastAsia="Calibri"/>
          <w:sz w:val="22"/>
          <w:szCs w:val="22"/>
          <w:lang w:val="en-US" w:eastAsia="en-US"/>
        </w:rPr>
        <w:t>ur vents. It would be premature to conclude that as DSI grows in relevance, biological materials will decrease in relevance or be used less.</w:t>
      </w:r>
    </w:p>
    <w:p w14:paraId="22D43B39" w14:textId="77777777" w:rsidR="00596DE3" w:rsidRPr="00BB430C" w:rsidRDefault="00596DE3" w:rsidP="00596DE3">
      <w:pPr>
        <w:spacing w:after="120"/>
        <w:rPr>
          <w:rFonts w:eastAsia="Calibri"/>
          <w:sz w:val="22"/>
          <w:szCs w:val="22"/>
          <w:lang w:val="en-US" w:eastAsia="en-US"/>
        </w:rPr>
      </w:pPr>
      <w:r w:rsidRPr="00BB430C">
        <w:rPr>
          <w:rFonts w:eastAsia="Calibri"/>
          <w:sz w:val="22"/>
          <w:szCs w:val="22"/>
          <w:lang w:val="en-US" w:eastAsia="en-US"/>
        </w:rPr>
        <w:t xml:space="preserve">What the actual future balance is between using DSI or biological material will also be influenced by cost and convenience where the uses are substitutable. Interest in a research project or product development might be influenced </w:t>
      </w:r>
      <w:r w:rsidRPr="00BB430C">
        <w:rPr>
          <w:rFonts w:eastAsia="Calibri"/>
          <w:i/>
          <w:sz w:val="22"/>
          <w:szCs w:val="22"/>
          <w:lang w:val="en-US" w:eastAsia="en-US"/>
        </w:rPr>
        <w:t>a priori</w:t>
      </w:r>
      <w:r w:rsidRPr="00BB430C">
        <w:rPr>
          <w:rFonts w:eastAsia="Calibri"/>
          <w:sz w:val="22"/>
          <w:szCs w:val="22"/>
          <w:lang w:val="en-US" w:eastAsia="en-US"/>
        </w:rPr>
        <w:t xml:space="preserve"> depending on perceptions of cost and convenience. Thus, the balance between DSI and biological material could in part be determined by how many scientists choose questions that are specialist to one or other resource.</w:t>
      </w:r>
    </w:p>
    <w:p w14:paraId="42F0BE7E" w14:textId="77777777" w:rsidR="00596DE3" w:rsidRPr="00BB430C" w:rsidRDefault="00596DE3" w:rsidP="008D66E1">
      <w:pPr>
        <w:spacing w:after="120"/>
        <w:rPr>
          <w:rFonts w:eastAsia="Calibri"/>
          <w:sz w:val="22"/>
          <w:szCs w:val="22"/>
          <w:lang w:val="en-US" w:eastAsia="en-US"/>
        </w:rPr>
      </w:pPr>
      <w:r w:rsidRPr="00BB430C">
        <w:rPr>
          <w:rFonts w:eastAsia="Calibri"/>
          <w:sz w:val="22"/>
          <w:szCs w:val="22"/>
          <w:lang w:val="en-US" w:eastAsia="en-US"/>
        </w:rPr>
        <w:t>Different entrepreneurial opportunities emerge when data collection is distributed, because of the scale of data that can be collected and the value that may be extracted from such collections.</w:t>
      </w:r>
      <w:r w:rsidR="00371627">
        <w:rPr>
          <w:rFonts w:eastAsia="Calibri"/>
          <w:sz w:val="22"/>
          <w:szCs w:val="22"/>
          <w:lang w:val="en-US" w:eastAsia="en-US"/>
        </w:rPr>
        <w:t xml:space="preserve"> </w:t>
      </w:r>
      <w:r w:rsidR="00371627" w:rsidRPr="00BB430C">
        <w:rPr>
          <w:rFonts w:eastAsia="Calibri"/>
          <w:sz w:val="22"/>
          <w:szCs w:val="22"/>
          <w:lang w:val="en-US" w:eastAsia="en-US"/>
        </w:rPr>
        <w:t xml:space="preserve">As the technologies of miniaturization improve and costs decline, collecting DSI likely will become more distributed, as has happened with access to mobile phones and the </w:t>
      </w:r>
      <w:r w:rsidR="00CB42BF">
        <w:rPr>
          <w:rFonts w:eastAsia="Calibri"/>
          <w:sz w:val="22"/>
          <w:szCs w:val="22"/>
          <w:lang w:val="en-US" w:eastAsia="en-US"/>
        </w:rPr>
        <w:t>I</w:t>
      </w:r>
      <w:r w:rsidR="00CB42BF" w:rsidRPr="00BB430C">
        <w:rPr>
          <w:rFonts w:eastAsia="Calibri"/>
          <w:sz w:val="22"/>
          <w:szCs w:val="22"/>
          <w:lang w:val="en-US" w:eastAsia="en-US"/>
        </w:rPr>
        <w:t>nternet</w:t>
      </w:r>
      <w:r w:rsidR="00CB42BF">
        <w:rPr>
          <w:rFonts w:eastAsia="Calibri"/>
          <w:sz w:val="22"/>
          <w:szCs w:val="22"/>
          <w:lang w:val="en-US" w:eastAsia="en-US"/>
        </w:rPr>
        <w:t xml:space="preserve"> </w:t>
      </w:r>
      <w:r w:rsidR="00776821">
        <w:rPr>
          <w:rFonts w:eastAsia="Calibri"/>
          <w:sz w:val="22"/>
          <w:szCs w:val="22"/>
          <w:lang w:val="en-US" w:eastAsia="en-US"/>
        </w:rPr>
        <w:t xml:space="preserve">and is happening with human genome sequencing </w:t>
      </w:r>
      <w:r w:rsidR="001C037C">
        <w:rPr>
          <w:rFonts w:eastAsia="Calibri"/>
          <w:noProof/>
          <w:sz w:val="22"/>
          <w:szCs w:val="22"/>
          <w:lang w:val="en-US" w:eastAsia="en-US"/>
        </w:rPr>
        <w:t>(Contreras and Deshmukh, 2017)</w:t>
      </w:r>
      <w:r w:rsidR="00371627" w:rsidRPr="00BB430C">
        <w:rPr>
          <w:rFonts w:eastAsia="Calibri"/>
          <w:sz w:val="22"/>
          <w:szCs w:val="22"/>
          <w:lang w:val="en-US" w:eastAsia="en-US"/>
        </w:rPr>
        <w:t>.</w:t>
      </w:r>
      <w:r w:rsidRPr="00BB430C">
        <w:rPr>
          <w:rFonts w:eastAsia="Calibri"/>
          <w:sz w:val="22"/>
          <w:szCs w:val="22"/>
          <w:lang w:val="en-US" w:eastAsia="en-US"/>
        </w:rPr>
        <w:t xml:space="preserve"> Retail consumer goods, phone </w:t>
      </w:r>
      <w:r w:rsidR="00CB42BF">
        <w:rPr>
          <w:rFonts w:eastAsia="Calibri"/>
          <w:sz w:val="22"/>
          <w:szCs w:val="22"/>
          <w:lang w:val="en-US" w:eastAsia="en-US"/>
        </w:rPr>
        <w:t>“</w:t>
      </w:r>
      <w:r w:rsidRPr="00BB430C">
        <w:rPr>
          <w:rFonts w:eastAsia="Calibri"/>
          <w:sz w:val="22"/>
          <w:szCs w:val="22"/>
          <w:lang w:val="en-US" w:eastAsia="en-US"/>
        </w:rPr>
        <w:t>apps</w:t>
      </w:r>
      <w:r w:rsidR="00CB42BF">
        <w:rPr>
          <w:rFonts w:eastAsia="Calibri"/>
          <w:sz w:val="22"/>
          <w:szCs w:val="22"/>
          <w:lang w:val="en-US" w:eastAsia="en-US"/>
        </w:rPr>
        <w:t>”</w:t>
      </w:r>
      <w:r w:rsidRPr="00BB430C">
        <w:rPr>
          <w:rFonts w:eastAsia="Calibri"/>
          <w:sz w:val="22"/>
          <w:szCs w:val="22"/>
          <w:lang w:val="en-US" w:eastAsia="en-US"/>
        </w:rPr>
        <w:t xml:space="preserve"> and </w:t>
      </w:r>
      <w:r w:rsidR="00CB42BF">
        <w:rPr>
          <w:rFonts w:eastAsia="Calibri"/>
          <w:sz w:val="22"/>
          <w:szCs w:val="22"/>
          <w:lang w:val="en-US" w:eastAsia="en-US"/>
        </w:rPr>
        <w:t>I</w:t>
      </w:r>
      <w:r w:rsidR="00CB42BF" w:rsidRPr="00BB430C">
        <w:rPr>
          <w:rFonts w:eastAsia="Calibri"/>
          <w:sz w:val="22"/>
          <w:szCs w:val="22"/>
          <w:lang w:val="en-US" w:eastAsia="en-US"/>
        </w:rPr>
        <w:t xml:space="preserve">nternet </w:t>
      </w:r>
      <w:r w:rsidRPr="00BB430C">
        <w:rPr>
          <w:rFonts w:eastAsia="Calibri"/>
          <w:sz w:val="22"/>
          <w:szCs w:val="22"/>
          <w:lang w:val="en-US" w:eastAsia="en-US"/>
        </w:rPr>
        <w:t>e</w:t>
      </w:r>
      <w:r w:rsidR="00CB42BF">
        <w:rPr>
          <w:rFonts w:eastAsia="Calibri"/>
          <w:sz w:val="22"/>
          <w:szCs w:val="22"/>
          <w:lang w:val="en-US" w:eastAsia="en-US"/>
        </w:rPr>
        <w:t>-</w:t>
      </w:r>
      <w:r w:rsidRPr="00BB430C">
        <w:rPr>
          <w:rFonts w:eastAsia="Calibri"/>
          <w:sz w:val="22"/>
          <w:szCs w:val="22"/>
          <w:lang w:val="en-US" w:eastAsia="en-US"/>
        </w:rPr>
        <w:t>mail providers either provide discounts or free services in exchange for monitoring consumer behavio</w:t>
      </w:r>
      <w:r w:rsidR="008D66E1">
        <w:rPr>
          <w:rFonts w:eastAsia="Calibri"/>
          <w:sz w:val="22"/>
          <w:szCs w:val="22"/>
          <w:lang w:val="en-US" w:eastAsia="en-US"/>
        </w:rPr>
        <w:t>u</w:t>
      </w:r>
      <w:r w:rsidRPr="00BB430C">
        <w:rPr>
          <w:rFonts w:eastAsia="Calibri"/>
          <w:sz w:val="22"/>
          <w:szCs w:val="22"/>
          <w:lang w:val="en-US" w:eastAsia="en-US"/>
        </w:rPr>
        <w:t>r. Analy</w:t>
      </w:r>
      <w:r w:rsidR="008D66E1">
        <w:rPr>
          <w:rFonts w:eastAsia="Calibri"/>
          <w:sz w:val="22"/>
          <w:szCs w:val="22"/>
          <w:lang w:val="en-US" w:eastAsia="en-US"/>
        </w:rPr>
        <w:t>s</w:t>
      </w:r>
      <w:r w:rsidRPr="00BB430C">
        <w:rPr>
          <w:rFonts w:eastAsia="Calibri"/>
          <w:sz w:val="22"/>
          <w:szCs w:val="22"/>
          <w:lang w:val="en-US" w:eastAsia="en-US"/>
        </w:rPr>
        <w:t>ing the behavio</w:t>
      </w:r>
      <w:r w:rsidR="008D66E1">
        <w:rPr>
          <w:rFonts w:eastAsia="Calibri"/>
          <w:sz w:val="22"/>
          <w:szCs w:val="22"/>
          <w:lang w:val="en-US" w:eastAsia="en-US"/>
        </w:rPr>
        <w:t>u</w:t>
      </w:r>
      <w:r w:rsidRPr="00BB430C">
        <w:rPr>
          <w:rFonts w:eastAsia="Calibri"/>
          <w:sz w:val="22"/>
          <w:szCs w:val="22"/>
          <w:lang w:val="en-US" w:eastAsia="en-US"/>
        </w:rPr>
        <w:t>r of individuals produces custom advertising, maximizing consumer willingness to spend; analy</w:t>
      </w:r>
      <w:r w:rsidR="008D66E1">
        <w:rPr>
          <w:rFonts w:eastAsia="Calibri"/>
          <w:sz w:val="22"/>
          <w:szCs w:val="22"/>
          <w:lang w:val="en-US" w:eastAsia="en-US"/>
        </w:rPr>
        <w:t>s</w:t>
      </w:r>
      <w:r w:rsidRPr="00BB430C">
        <w:rPr>
          <w:rFonts w:eastAsia="Calibri"/>
          <w:sz w:val="22"/>
          <w:szCs w:val="22"/>
          <w:lang w:val="en-US" w:eastAsia="en-US"/>
        </w:rPr>
        <w:t>ing the behavio</w:t>
      </w:r>
      <w:r w:rsidR="008D66E1">
        <w:rPr>
          <w:rFonts w:eastAsia="Calibri"/>
          <w:sz w:val="22"/>
          <w:szCs w:val="22"/>
          <w:lang w:val="en-US" w:eastAsia="en-US"/>
        </w:rPr>
        <w:t>u</w:t>
      </w:r>
      <w:r w:rsidRPr="00BB430C">
        <w:rPr>
          <w:rFonts w:eastAsia="Calibri"/>
          <w:sz w:val="22"/>
          <w:szCs w:val="22"/>
          <w:lang w:val="en-US" w:eastAsia="en-US"/>
        </w:rPr>
        <w:t>r of groups of people has even more diverse benefits.</w:t>
      </w:r>
    </w:p>
    <w:p w14:paraId="28C8B7E0" w14:textId="77777777" w:rsidR="00596DE3" w:rsidRPr="00BB430C" w:rsidRDefault="00596DE3" w:rsidP="00596DE3">
      <w:pPr>
        <w:spacing w:after="120"/>
        <w:rPr>
          <w:rFonts w:eastAsia="Calibri"/>
          <w:sz w:val="22"/>
          <w:szCs w:val="22"/>
          <w:lang w:val="en-US" w:eastAsia="en-US"/>
        </w:rPr>
      </w:pPr>
      <w:r w:rsidRPr="00BB430C">
        <w:rPr>
          <w:rFonts w:eastAsia="Calibri"/>
          <w:sz w:val="22"/>
          <w:szCs w:val="22"/>
          <w:lang w:val="en-US" w:eastAsia="en-US"/>
        </w:rPr>
        <w:t xml:space="preserve">Collection and collation of microbiomes of livestock to soil ecosystems and waterways could soon be possible as machines capable of real time metagenome profiling are developed. Sequencers the size of a mobile phone and powered by a USB slot in a computer have been available for several years, prompting predictions that “sequencers will become like telescopes: a formerly boutique scientific instrument that you can now buy from a toy store” </w:t>
      </w:r>
      <w:r w:rsidR="001C037C">
        <w:rPr>
          <w:rFonts w:eastAsia="Calibri"/>
          <w:noProof/>
          <w:sz w:val="22"/>
          <w:szCs w:val="22"/>
          <w:lang w:val="en-US" w:eastAsia="en-US"/>
        </w:rPr>
        <w:t>(Yong, 2016)</w:t>
      </w:r>
      <w:r w:rsidRPr="00BB430C">
        <w:rPr>
          <w:rFonts w:eastAsia="Calibri"/>
          <w:sz w:val="22"/>
          <w:szCs w:val="22"/>
          <w:lang w:val="en-US" w:eastAsia="en-US"/>
        </w:rPr>
        <w:t>.</w:t>
      </w:r>
    </w:p>
    <w:p w14:paraId="3742C685" w14:textId="77777777" w:rsidR="00596DE3" w:rsidRDefault="00596DE3" w:rsidP="00596DE3">
      <w:pPr>
        <w:spacing w:after="120"/>
        <w:rPr>
          <w:rFonts w:eastAsia="Calibri"/>
          <w:sz w:val="22"/>
          <w:szCs w:val="22"/>
          <w:lang w:val="en-US" w:eastAsia="en-US"/>
        </w:rPr>
      </w:pPr>
      <w:r w:rsidRPr="00BB430C">
        <w:rPr>
          <w:rFonts w:eastAsia="Calibri"/>
          <w:sz w:val="22"/>
          <w:szCs w:val="22"/>
          <w:lang w:val="en-US" w:eastAsia="en-US"/>
        </w:rPr>
        <w:t>In-field real time pathogen diagnosis for livestock and plant diseases could improve treatment outcomes and provide epidemiological data for countrywide surveillance</w:t>
      </w:r>
      <w:r w:rsidR="0010556C">
        <w:rPr>
          <w:rFonts w:eastAsia="Calibri"/>
          <w:sz w:val="22"/>
          <w:szCs w:val="22"/>
          <w:lang w:val="en-US" w:eastAsia="en-US"/>
        </w:rPr>
        <w:t xml:space="preserve"> of GRFA</w:t>
      </w:r>
      <w:r w:rsidRPr="00BB430C">
        <w:rPr>
          <w:rFonts w:eastAsia="Calibri"/>
          <w:sz w:val="22"/>
          <w:szCs w:val="22"/>
          <w:lang w:val="en-US" w:eastAsia="en-US"/>
        </w:rPr>
        <w:t>. A credit card</w:t>
      </w:r>
      <w:r w:rsidR="00CB42BF">
        <w:rPr>
          <w:rFonts w:eastAsia="Calibri"/>
          <w:sz w:val="22"/>
          <w:szCs w:val="22"/>
          <w:lang w:val="en-US" w:eastAsia="en-US"/>
        </w:rPr>
        <w:t>-</w:t>
      </w:r>
      <w:r w:rsidRPr="00BB430C">
        <w:rPr>
          <w:rFonts w:eastAsia="Calibri"/>
          <w:sz w:val="22"/>
          <w:szCs w:val="22"/>
          <w:lang w:val="en-US" w:eastAsia="en-US"/>
        </w:rPr>
        <w:t xml:space="preserve">size cartridge holding a microfluidic chip that couples with a mobile phone for imaging has been developed to detect target DNA sequences in samples taken from animals </w:t>
      </w:r>
      <w:r w:rsidR="001C037C">
        <w:rPr>
          <w:rFonts w:eastAsia="Calibri"/>
          <w:noProof/>
          <w:sz w:val="22"/>
          <w:szCs w:val="22"/>
          <w:lang w:val="en-US" w:eastAsia="en-US"/>
        </w:rPr>
        <w:t>(Chen</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sidRPr="00BB430C">
        <w:rPr>
          <w:rFonts w:eastAsia="Calibri"/>
          <w:sz w:val="22"/>
          <w:szCs w:val="22"/>
          <w:lang w:val="en-US" w:eastAsia="en-US"/>
        </w:rPr>
        <w:t xml:space="preserve">. The prototype was used to detect pathogens that cause equine respiratory infections to demonstrate its general use by veterinarians monitoring livestock. The prototype could monitor for </w:t>
      </w:r>
      <w:r w:rsidR="006D662B">
        <w:rPr>
          <w:rFonts w:eastAsia="Calibri"/>
          <w:sz w:val="22"/>
          <w:szCs w:val="22"/>
          <w:lang w:val="en-US" w:eastAsia="en-US"/>
        </w:rPr>
        <w:t>eight</w:t>
      </w:r>
      <w:r w:rsidRPr="00BB430C">
        <w:rPr>
          <w:rFonts w:eastAsia="Calibri"/>
          <w:sz w:val="22"/>
          <w:szCs w:val="22"/>
          <w:lang w:val="en-US" w:eastAsia="en-US"/>
        </w:rPr>
        <w:t xml:space="preserve"> different pathogen-specific DNA sequences simultaneously, and thus will detect multiple causative agents if present in a sick animal. Its detection limits were reportedly as good as commercially available laboratory-based equipment </w:t>
      </w:r>
      <w:r w:rsidR="001C037C">
        <w:rPr>
          <w:rFonts w:eastAsia="Calibri"/>
          <w:noProof/>
          <w:sz w:val="22"/>
          <w:szCs w:val="22"/>
          <w:lang w:val="en-US" w:eastAsia="en-US"/>
        </w:rPr>
        <w:t>(Chen</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sidRPr="00BB430C">
        <w:rPr>
          <w:rFonts w:eastAsia="Calibri"/>
          <w:sz w:val="22"/>
          <w:szCs w:val="22"/>
          <w:lang w:val="en-US" w:eastAsia="en-US"/>
        </w:rPr>
        <w:t>.</w:t>
      </w:r>
    </w:p>
    <w:p w14:paraId="17C6B45C" w14:textId="77777777" w:rsidR="00064636" w:rsidRDefault="00596DE3" w:rsidP="0010556C">
      <w:pPr>
        <w:spacing w:after="120"/>
        <w:rPr>
          <w:rFonts w:eastAsia="Calibri"/>
          <w:sz w:val="22"/>
          <w:szCs w:val="22"/>
          <w:lang w:val="en-US" w:eastAsia="en-US"/>
        </w:rPr>
      </w:pPr>
      <w:r w:rsidRPr="00BB430C">
        <w:rPr>
          <w:rFonts w:eastAsia="Calibri"/>
          <w:sz w:val="22"/>
          <w:szCs w:val="22"/>
          <w:lang w:val="en-US" w:eastAsia="en-US"/>
        </w:rPr>
        <w:t>These technologies could also have various law enforcement uses. They could be used to monitor infringement of intellectual property rights on crops and livestock, find raided livestock or verify product label information.</w:t>
      </w:r>
      <w:bookmarkStart w:id="23" w:name="_Toc374968976"/>
    </w:p>
    <w:p w14:paraId="3D01F14F" w14:textId="77777777" w:rsidR="00776821" w:rsidRPr="0010556C" w:rsidRDefault="00776821" w:rsidP="0010556C">
      <w:pPr>
        <w:spacing w:after="120"/>
        <w:rPr>
          <w:rFonts w:eastAsia="Calibri"/>
          <w:sz w:val="22"/>
          <w:szCs w:val="22"/>
          <w:lang w:val="en-US" w:eastAsia="en-US"/>
        </w:rPr>
      </w:pPr>
    </w:p>
    <w:p w14:paraId="0E932CE8" w14:textId="77777777" w:rsidR="00A67743" w:rsidRPr="00796F66" w:rsidRDefault="007477C6" w:rsidP="00064636">
      <w:pPr>
        <w:pStyle w:val="Heading2"/>
        <w:spacing w:before="120" w:after="120"/>
        <w:rPr>
          <w:rFonts w:ascii="Times New Roman" w:hAnsi="Times New Roman" w:cs="Times New Roman"/>
          <w:bCs w:val="0"/>
          <w:i w:val="0"/>
          <w:iCs w:val="0"/>
          <w:noProof/>
          <w:sz w:val="24"/>
          <w:szCs w:val="24"/>
        </w:rPr>
      </w:pPr>
      <w:r w:rsidRPr="00796F66">
        <w:rPr>
          <w:rFonts w:ascii="Times New Roman" w:hAnsi="Times New Roman" w:cs="Times New Roman"/>
          <w:bCs w:val="0"/>
          <w:i w:val="0"/>
          <w:iCs w:val="0"/>
          <w:noProof/>
          <w:sz w:val="24"/>
          <w:szCs w:val="24"/>
        </w:rPr>
        <w:t>4</w:t>
      </w:r>
      <w:r w:rsidR="002E4DDB" w:rsidRPr="00796F66">
        <w:rPr>
          <w:rFonts w:ascii="Times New Roman" w:hAnsi="Times New Roman" w:cs="Times New Roman"/>
          <w:bCs w:val="0"/>
          <w:i w:val="0"/>
          <w:iCs w:val="0"/>
          <w:noProof/>
          <w:sz w:val="24"/>
          <w:szCs w:val="24"/>
        </w:rPr>
        <w:t>.</w:t>
      </w:r>
      <w:r w:rsidR="00410021" w:rsidRPr="00796F66">
        <w:rPr>
          <w:rFonts w:ascii="Times New Roman" w:hAnsi="Times New Roman" w:cs="Times New Roman"/>
          <w:bCs w:val="0"/>
          <w:i w:val="0"/>
          <w:iCs w:val="0"/>
          <w:noProof/>
          <w:sz w:val="24"/>
          <w:szCs w:val="24"/>
        </w:rPr>
        <w:t>4</w:t>
      </w:r>
      <w:r w:rsidR="002E4DDB" w:rsidRPr="00796F66">
        <w:rPr>
          <w:rFonts w:ascii="Times New Roman" w:hAnsi="Times New Roman" w:cs="Times New Roman"/>
          <w:bCs w:val="0"/>
          <w:i w:val="0"/>
          <w:iCs w:val="0"/>
          <w:noProof/>
          <w:sz w:val="24"/>
          <w:szCs w:val="24"/>
        </w:rPr>
        <w:t xml:space="preserve"> </w:t>
      </w:r>
      <w:r w:rsidR="00A67743" w:rsidRPr="00796F66">
        <w:rPr>
          <w:rFonts w:ascii="Times New Roman" w:hAnsi="Times New Roman" w:cs="Times New Roman"/>
          <w:bCs w:val="0"/>
          <w:i w:val="0"/>
          <w:iCs w:val="0"/>
          <w:noProof/>
          <w:sz w:val="24"/>
          <w:szCs w:val="24"/>
        </w:rPr>
        <w:t>Conclusion</w:t>
      </w:r>
      <w:bookmarkEnd w:id="23"/>
    </w:p>
    <w:p w14:paraId="3F2E8584" w14:textId="77777777" w:rsidR="00596DE3" w:rsidRPr="00BB430C" w:rsidRDefault="00596DE3" w:rsidP="00596DE3">
      <w:pPr>
        <w:spacing w:after="120"/>
        <w:rPr>
          <w:rFonts w:eastAsia="Calibri"/>
          <w:sz w:val="22"/>
          <w:szCs w:val="22"/>
          <w:lang w:val="en-US" w:eastAsia="en-US"/>
        </w:rPr>
      </w:pPr>
      <w:r w:rsidRPr="00BB430C">
        <w:rPr>
          <w:rFonts w:eastAsia="Calibri"/>
          <w:sz w:val="22"/>
          <w:szCs w:val="22"/>
          <w:lang w:val="en-US" w:eastAsia="en-US"/>
        </w:rPr>
        <w:t>DSI can and is being used</w:t>
      </w:r>
      <w:r w:rsidR="00B265ED">
        <w:rPr>
          <w:rFonts w:eastAsia="Calibri"/>
          <w:sz w:val="22"/>
          <w:szCs w:val="22"/>
          <w:lang w:val="en-US" w:eastAsia="en-US"/>
        </w:rPr>
        <w:t xml:space="preserve"> and providing value</w:t>
      </w:r>
      <w:r w:rsidRPr="00BB430C">
        <w:rPr>
          <w:rFonts w:eastAsia="Calibri"/>
          <w:sz w:val="22"/>
          <w:szCs w:val="22"/>
          <w:lang w:val="en-US" w:eastAsia="en-US"/>
        </w:rPr>
        <w:t xml:space="preserve"> disconnected from biological material to support</w:t>
      </w:r>
      <w:r w:rsidR="00B265ED">
        <w:rPr>
          <w:rFonts w:eastAsia="Calibri"/>
          <w:sz w:val="22"/>
          <w:szCs w:val="22"/>
          <w:lang w:val="en-US" w:eastAsia="en-US"/>
        </w:rPr>
        <w:t xml:space="preserve"> characterization,</w:t>
      </w:r>
      <w:r w:rsidRPr="00BB430C">
        <w:rPr>
          <w:rFonts w:eastAsia="Calibri"/>
          <w:sz w:val="22"/>
          <w:szCs w:val="22"/>
          <w:lang w:val="en-US" w:eastAsia="en-US"/>
        </w:rPr>
        <w:t xml:space="preserve"> conservation and sustainable use of GRFA. In some cases, the value comes from re-coupling the DSI with biological material, such as in the use of metagenomics to identify probiotic bacteria to add as soil amendments. The inability to detect a species of bacteria in soil </w:t>
      </w:r>
      <w:r w:rsidRPr="00BB430C">
        <w:rPr>
          <w:rFonts w:eastAsia="Calibri"/>
          <w:sz w:val="22"/>
          <w:szCs w:val="22"/>
          <w:lang w:val="en-US" w:eastAsia="en-US"/>
        </w:rPr>
        <w:lastRenderedPageBreak/>
        <w:t>might be the trigger for seeking a probiotic amendment, or to add a nutrient that could amplify the species from undetectable to biologically relevant levels.</w:t>
      </w:r>
    </w:p>
    <w:p w14:paraId="76C4EC7F" w14:textId="77777777" w:rsidR="00596DE3" w:rsidRPr="00BB430C" w:rsidRDefault="00596DE3" w:rsidP="00596DE3">
      <w:pPr>
        <w:spacing w:after="120"/>
        <w:rPr>
          <w:rFonts w:eastAsia="Calibri"/>
          <w:sz w:val="22"/>
          <w:szCs w:val="22"/>
          <w:lang w:val="en-US" w:eastAsia="en-US"/>
        </w:rPr>
      </w:pPr>
      <w:r w:rsidRPr="00BB430C">
        <w:rPr>
          <w:rFonts w:eastAsia="Calibri"/>
          <w:sz w:val="22"/>
          <w:szCs w:val="22"/>
          <w:lang w:val="en-US" w:eastAsia="en-US"/>
        </w:rPr>
        <w:t xml:space="preserve">In other cases, value is created from DSI without using biological material </w:t>
      </w:r>
      <w:r w:rsidR="001C037C">
        <w:rPr>
          <w:rFonts w:eastAsia="Calibri"/>
          <w:noProof/>
          <w:sz w:val="22"/>
          <w:szCs w:val="22"/>
          <w:lang w:val="en-US" w:eastAsia="en-US"/>
        </w:rPr>
        <w:t>(Sonka, 2014)</w:t>
      </w:r>
      <w:r w:rsidRPr="00BB430C">
        <w:rPr>
          <w:rFonts w:eastAsia="Calibri"/>
          <w:sz w:val="22"/>
          <w:szCs w:val="22"/>
          <w:lang w:val="en-US" w:eastAsia="en-US"/>
        </w:rPr>
        <w:t>. An example of this was the invention of</w:t>
      </w:r>
      <w:r w:rsidR="00D81782">
        <w:rPr>
          <w:rFonts w:eastAsia="Calibri"/>
          <w:sz w:val="22"/>
          <w:szCs w:val="22"/>
          <w:lang w:val="en-US" w:eastAsia="en-US"/>
        </w:rPr>
        <w:t xml:space="preserve"> a</w:t>
      </w:r>
      <w:r w:rsidRPr="00BB430C">
        <w:rPr>
          <w:rFonts w:eastAsia="Calibri"/>
          <w:sz w:val="22"/>
          <w:szCs w:val="22"/>
          <w:lang w:val="en-US" w:eastAsia="en-US"/>
        </w:rPr>
        <w:t xml:space="preserve"> device that used DSI to detect horse pathogens. Another example, from Chapter III, was using DSI to discover the gene editing tool CRI</w:t>
      </w:r>
      <w:r w:rsidR="008732F6">
        <w:rPr>
          <w:rFonts w:eastAsia="Calibri"/>
          <w:sz w:val="22"/>
          <w:szCs w:val="22"/>
          <w:lang w:val="en-US" w:eastAsia="en-US"/>
        </w:rPr>
        <w:t>SPR/Cas9. This discovery has le</w:t>
      </w:r>
      <w:r w:rsidRPr="00BB430C">
        <w:rPr>
          <w:rFonts w:eastAsia="Calibri"/>
          <w:sz w:val="22"/>
          <w:szCs w:val="22"/>
          <w:lang w:val="en-US" w:eastAsia="en-US"/>
        </w:rPr>
        <w:t xml:space="preserve">d to over 600 patent claims since 2004 </w:t>
      </w:r>
      <w:r w:rsidR="001C037C">
        <w:rPr>
          <w:rFonts w:eastAsia="Calibri"/>
          <w:noProof/>
          <w:sz w:val="22"/>
          <w:szCs w:val="22"/>
          <w:lang w:val="en-US" w:eastAsia="en-US"/>
        </w:rPr>
        <w:t>(Egelie</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2016)</w:t>
      </w:r>
      <w:r w:rsidRPr="00BB430C">
        <w:rPr>
          <w:rFonts w:eastAsia="Calibri"/>
          <w:sz w:val="22"/>
          <w:szCs w:val="22"/>
          <w:lang w:val="en-US" w:eastAsia="en-US"/>
        </w:rPr>
        <w:t>.</w:t>
      </w:r>
    </w:p>
    <w:p w14:paraId="7BB1B247" w14:textId="77777777" w:rsidR="006054EE" w:rsidRPr="00BB430C" w:rsidRDefault="006054EE">
      <w:pPr>
        <w:rPr>
          <w:sz w:val="22"/>
          <w:szCs w:val="22"/>
        </w:rPr>
      </w:pPr>
      <w:r w:rsidRPr="00BB430C">
        <w:rPr>
          <w:sz w:val="22"/>
          <w:szCs w:val="22"/>
        </w:rPr>
        <w:br w:type="page"/>
      </w:r>
    </w:p>
    <w:p w14:paraId="6B114E98" w14:textId="77777777" w:rsidR="003642A4" w:rsidRPr="00796F66" w:rsidRDefault="00EC70F2" w:rsidP="00B265ED">
      <w:pPr>
        <w:pStyle w:val="TableEntry"/>
        <w:numPr>
          <w:ilvl w:val="0"/>
          <w:numId w:val="5"/>
        </w:numPr>
        <w:spacing w:before="120" w:after="120"/>
        <w:ind w:left="0" w:firstLine="0"/>
        <w:jc w:val="center"/>
        <w:rPr>
          <w:b/>
          <w:caps/>
          <w:sz w:val="24"/>
          <w:szCs w:val="24"/>
          <w:lang w:eastAsia="pl-PL"/>
        </w:rPr>
      </w:pPr>
      <w:r w:rsidRPr="00796F66">
        <w:rPr>
          <w:b/>
          <w:caps/>
          <w:sz w:val="24"/>
          <w:szCs w:val="24"/>
          <w:lang w:eastAsia="pl-PL"/>
        </w:rPr>
        <w:lastRenderedPageBreak/>
        <w:t>Actors</w:t>
      </w:r>
      <w:r w:rsidR="002F6AFD" w:rsidRPr="00796F66">
        <w:rPr>
          <w:b/>
          <w:caps/>
          <w:sz w:val="24"/>
          <w:szCs w:val="24"/>
          <w:lang w:eastAsia="pl-PL"/>
        </w:rPr>
        <w:t xml:space="preserve"> AND ACCESS</w:t>
      </w:r>
      <w:r w:rsidR="002F6AFD" w:rsidRPr="00796F66" w:rsidDel="002F6AFD">
        <w:rPr>
          <w:b/>
          <w:caps/>
          <w:sz w:val="24"/>
          <w:szCs w:val="24"/>
          <w:lang w:eastAsia="pl-PL"/>
        </w:rPr>
        <w:t xml:space="preserve"> </w:t>
      </w:r>
    </w:p>
    <w:p w14:paraId="1201005A" w14:textId="77777777" w:rsidR="00EC70F2" w:rsidRPr="00796F66" w:rsidRDefault="007477C6" w:rsidP="00EC70F2">
      <w:pPr>
        <w:pStyle w:val="Heading2"/>
        <w:rPr>
          <w:rFonts w:ascii="Times New Roman" w:hAnsi="Times New Roman" w:cs="Times New Roman"/>
          <w:bCs w:val="0"/>
          <w:i w:val="0"/>
          <w:iCs w:val="0"/>
          <w:noProof/>
          <w:sz w:val="24"/>
          <w:szCs w:val="24"/>
        </w:rPr>
      </w:pPr>
      <w:bookmarkStart w:id="24" w:name="_Toc374968978"/>
      <w:r w:rsidRPr="00796F66">
        <w:rPr>
          <w:rFonts w:ascii="Times New Roman" w:hAnsi="Times New Roman" w:cs="Times New Roman"/>
          <w:bCs w:val="0"/>
          <w:i w:val="0"/>
          <w:iCs w:val="0"/>
          <w:noProof/>
          <w:sz w:val="24"/>
          <w:szCs w:val="24"/>
        </w:rPr>
        <w:t>5</w:t>
      </w:r>
      <w:r w:rsidR="002E4DDB" w:rsidRPr="00796F66">
        <w:rPr>
          <w:rFonts w:ascii="Times New Roman" w:hAnsi="Times New Roman" w:cs="Times New Roman"/>
          <w:bCs w:val="0"/>
          <w:i w:val="0"/>
          <w:iCs w:val="0"/>
          <w:noProof/>
          <w:sz w:val="24"/>
          <w:szCs w:val="24"/>
        </w:rPr>
        <w:t xml:space="preserve">.1 </w:t>
      </w:r>
      <w:r w:rsidR="00064636" w:rsidRPr="00796F66">
        <w:rPr>
          <w:rFonts w:ascii="Times New Roman" w:hAnsi="Times New Roman" w:cs="Times New Roman"/>
          <w:bCs w:val="0"/>
          <w:i w:val="0"/>
          <w:iCs w:val="0"/>
          <w:noProof/>
          <w:sz w:val="24"/>
          <w:szCs w:val="24"/>
        </w:rPr>
        <w:t xml:space="preserve">Actors </w:t>
      </w:r>
      <w:bookmarkEnd w:id="24"/>
    </w:p>
    <w:p w14:paraId="4B773C29" w14:textId="77777777" w:rsidR="00064636" w:rsidRDefault="00064636" w:rsidP="00B7125E">
      <w:pPr>
        <w:pStyle w:val="TableEntry"/>
        <w:spacing w:before="120" w:after="120"/>
      </w:pPr>
      <w:r>
        <w:t>Diverse a</w:t>
      </w:r>
      <w:r w:rsidRPr="000770CD">
        <w:t>ctors</w:t>
      </w:r>
      <w:r>
        <w:t xml:space="preserve"> are</w:t>
      </w:r>
      <w:r w:rsidRPr="000770CD">
        <w:t xml:space="preserve"> involved with DSI on GRFA</w:t>
      </w:r>
      <w:r>
        <w:t>.</w:t>
      </w:r>
      <w:r w:rsidRPr="000770CD">
        <w:t xml:space="preserve"> </w:t>
      </w:r>
      <w:r>
        <w:t xml:space="preserve">For the purposes of this study, they </w:t>
      </w:r>
      <w:r w:rsidRPr="000770CD">
        <w:t>were identified from a variety of sources including scientific literature, the 2017 online forum on synthetic biology for the Convention on Biodiversity</w:t>
      </w:r>
      <w:r w:rsidR="003E5ACC">
        <w:t>,</w:t>
      </w:r>
      <w:r w:rsidRPr="000770CD">
        <w:t xml:space="preserve"> and patent database searches. These actors were </w:t>
      </w:r>
      <w:r>
        <w:t>clustered</w:t>
      </w:r>
      <w:r w:rsidRPr="000770CD">
        <w:t xml:space="preserve"> into groups to inform an assessment of the relevance of DSI for food security and nutrition.</w:t>
      </w:r>
    </w:p>
    <w:p w14:paraId="384BC4F7" w14:textId="77777777" w:rsidR="000923DB" w:rsidRPr="00DE20B6" w:rsidRDefault="000923DB" w:rsidP="00B7125E">
      <w:pPr>
        <w:pStyle w:val="TableEntry"/>
        <w:spacing w:before="120" w:after="120"/>
      </w:pPr>
    </w:p>
    <w:p w14:paraId="4DD009ED" w14:textId="77777777" w:rsidR="00B7125E" w:rsidRPr="00BB430C" w:rsidRDefault="00B7125E" w:rsidP="00B7125E">
      <w:pPr>
        <w:pStyle w:val="ListParagraph"/>
        <w:spacing w:before="120" w:after="120"/>
        <w:ind w:left="0"/>
        <w:contextualSpacing w:val="0"/>
        <w:rPr>
          <w:i/>
          <w:noProof/>
          <w:sz w:val="22"/>
          <w:szCs w:val="22"/>
        </w:rPr>
      </w:pPr>
      <w:r w:rsidRPr="00BB430C">
        <w:rPr>
          <w:i/>
          <w:noProof/>
          <w:sz w:val="22"/>
          <w:szCs w:val="22"/>
        </w:rPr>
        <w:t>5.1.1 Governments and public sector institutions</w:t>
      </w:r>
    </w:p>
    <w:p w14:paraId="4119ACE7" w14:textId="77777777" w:rsidR="00B7125E" w:rsidRPr="00BB430C" w:rsidRDefault="00B7125E" w:rsidP="00B7125E">
      <w:pPr>
        <w:spacing w:after="120"/>
        <w:rPr>
          <w:rFonts w:eastAsia="Calibri"/>
          <w:sz w:val="22"/>
          <w:szCs w:val="22"/>
          <w:lang w:val="en-US" w:eastAsia="en-US"/>
        </w:rPr>
      </w:pPr>
      <w:r w:rsidRPr="00BB430C">
        <w:rPr>
          <w:rFonts w:eastAsia="Calibri"/>
          <w:sz w:val="22"/>
          <w:szCs w:val="22"/>
          <w:lang w:val="en-US" w:eastAsia="en-US"/>
        </w:rPr>
        <w:t>The names of various databases holding DSI have been mentioned throughout this report. In the main, these databases are maintained by public and dedicated stewardship of public institutions. There are about 1</w:t>
      </w:r>
      <w:r w:rsidR="0093581C">
        <w:rPr>
          <w:rFonts w:eastAsia="Calibri"/>
          <w:sz w:val="22"/>
          <w:szCs w:val="22"/>
          <w:lang w:val="en-US" w:eastAsia="en-US"/>
        </w:rPr>
        <w:t> </w:t>
      </w:r>
      <w:r w:rsidRPr="00BB430C">
        <w:rPr>
          <w:rFonts w:eastAsia="Calibri"/>
          <w:sz w:val="22"/>
          <w:szCs w:val="22"/>
          <w:lang w:val="en-US" w:eastAsia="en-US"/>
        </w:rPr>
        <w:t xml:space="preserve">700 databases </w:t>
      </w:r>
      <w:r w:rsidR="001C037C">
        <w:rPr>
          <w:rFonts w:eastAsia="Calibri"/>
          <w:noProof/>
          <w:sz w:val="22"/>
          <w:szCs w:val="22"/>
          <w:lang w:val="en-US" w:eastAsia="en-US"/>
        </w:rPr>
        <w:t>(NAR)</w:t>
      </w:r>
      <w:r w:rsidRPr="00BB430C">
        <w:rPr>
          <w:rFonts w:eastAsia="Calibri"/>
          <w:sz w:val="22"/>
          <w:szCs w:val="22"/>
          <w:lang w:val="en-US" w:eastAsia="en-US"/>
        </w:rPr>
        <w:t xml:space="preserve"> estimated to cost US</w:t>
      </w:r>
      <w:r w:rsidR="0093581C">
        <w:rPr>
          <w:rFonts w:eastAsia="Calibri"/>
          <w:sz w:val="22"/>
          <w:szCs w:val="22"/>
          <w:lang w:val="en-US" w:eastAsia="en-US"/>
        </w:rPr>
        <w:t>D</w:t>
      </w:r>
      <w:r w:rsidRPr="00BB430C">
        <w:rPr>
          <w:rFonts w:eastAsia="Calibri"/>
          <w:sz w:val="22"/>
          <w:szCs w:val="22"/>
          <w:lang w:val="en-US" w:eastAsia="en-US"/>
        </w:rPr>
        <w:t xml:space="preserve">300 million per annum to maintain </w:t>
      </w:r>
      <w:r w:rsidR="001C037C">
        <w:rPr>
          <w:rFonts w:eastAsia="Calibri"/>
          <w:noProof/>
          <w:sz w:val="22"/>
          <w:szCs w:val="22"/>
          <w:lang w:val="en-US" w:eastAsia="en-US"/>
        </w:rPr>
        <w:t>(Editor, 2016)</w:t>
      </w:r>
      <w:r w:rsidRPr="00BB430C">
        <w:rPr>
          <w:rFonts w:eastAsia="Calibri"/>
          <w:sz w:val="22"/>
          <w:szCs w:val="22"/>
          <w:lang w:val="en-US" w:eastAsia="en-US"/>
        </w:rPr>
        <w:t xml:space="preserve">. They sit alongside mainly public investment in among other things </w:t>
      </w:r>
      <w:r w:rsidRPr="00BB430C">
        <w:rPr>
          <w:rFonts w:eastAsia="Calibri"/>
          <w:i/>
          <w:sz w:val="22"/>
          <w:szCs w:val="22"/>
          <w:lang w:val="en-US" w:eastAsia="en-US"/>
        </w:rPr>
        <w:t>ex situ</w:t>
      </w:r>
      <w:r w:rsidRPr="00BB430C">
        <w:rPr>
          <w:rFonts w:eastAsia="Calibri"/>
          <w:sz w:val="22"/>
          <w:szCs w:val="22"/>
          <w:lang w:val="en-US" w:eastAsia="en-US"/>
        </w:rPr>
        <w:t xml:space="preserve"> storage of biological</w:t>
      </w:r>
      <w:r w:rsidR="000B404D">
        <w:rPr>
          <w:rFonts w:eastAsia="Calibri"/>
          <w:sz w:val="22"/>
          <w:szCs w:val="22"/>
          <w:lang w:val="en-US" w:eastAsia="en-US"/>
        </w:rPr>
        <w:t xml:space="preserve"> and germplasm</w:t>
      </w:r>
      <w:r w:rsidRPr="00BB430C">
        <w:rPr>
          <w:rFonts w:eastAsia="Calibri"/>
          <w:sz w:val="22"/>
          <w:szCs w:val="22"/>
          <w:lang w:val="en-US" w:eastAsia="en-US"/>
        </w:rPr>
        <w:t xml:space="preserve"> materials in the form of </w:t>
      </w:r>
      <w:r w:rsidR="000B404D" w:rsidRPr="00BB430C">
        <w:rPr>
          <w:rFonts w:eastAsia="Calibri"/>
          <w:sz w:val="22"/>
          <w:szCs w:val="22"/>
          <w:lang w:val="en-US" w:eastAsia="en-US"/>
        </w:rPr>
        <w:t>ge</w:t>
      </w:r>
      <w:r w:rsidR="000B404D">
        <w:rPr>
          <w:rFonts w:eastAsia="Calibri"/>
          <w:sz w:val="22"/>
          <w:szCs w:val="22"/>
          <w:lang w:val="en-US" w:eastAsia="en-US"/>
        </w:rPr>
        <w:t>ne</w:t>
      </w:r>
      <w:r w:rsidR="000B404D" w:rsidRPr="00BB430C">
        <w:rPr>
          <w:rFonts w:eastAsia="Calibri"/>
          <w:sz w:val="22"/>
          <w:szCs w:val="22"/>
          <w:lang w:val="en-US" w:eastAsia="en-US"/>
        </w:rPr>
        <w:t xml:space="preserve"> </w:t>
      </w:r>
      <w:r w:rsidRPr="00BB430C">
        <w:rPr>
          <w:rFonts w:eastAsia="Calibri"/>
          <w:sz w:val="22"/>
          <w:szCs w:val="22"/>
          <w:lang w:val="en-US" w:eastAsia="en-US"/>
        </w:rPr>
        <w:t xml:space="preserve">banks, medical specimen and museum collections </w:t>
      </w:r>
      <w:r w:rsidR="001C037C">
        <w:rPr>
          <w:rFonts w:eastAsia="Calibri"/>
          <w:noProof/>
          <w:sz w:val="22"/>
          <w:szCs w:val="22"/>
          <w:lang w:val="en-US" w:eastAsia="en-US"/>
        </w:rPr>
        <w:t>(CGRFA; DiEuliis</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2016; Fowler, 2016)</w:t>
      </w:r>
      <w:r w:rsidRPr="00BB430C">
        <w:rPr>
          <w:rFonts w:eastAsia="Calibri"/>
          <w:sz w:val="22"/>
          <w:szCs w:val="22"/>
          <w:lang w:val="en-US" w:eastAsia="en-US"/>
        </w:rPr>
        <w:t xml:space="preserve">. DSI does not replace either </w:t>
      </w:r>
      <w:r w:rsidRPr="00BB430C">
        <w:rPr>
          <w:rFonts w:eastAsia="Calibri"/>
          <w:i/>
          <w:sz w:val="22"/>
          <w:szCs w:val="22"/>
          <w:lang w:val="en-US" w:eastAsia="en-US"/>
        </w:rPr>
        <w:t>in situ</w:t>
      </w:r>
      <w:r w:rsidRPr="00BB430C">
        <w:rPr>
          <w:rFonts w:eastAsia="Calibri"/>
          <w:sz w:val="22"/>
          <w:szCs w:val="22"/>
          <w:lang w:val="en-US" w:eastAsia="en-US"/>
        </w:rPr>
        <w:t xml:space="preserve"> or </w:t>
      </w:r>
      <w:r w:rsidRPr="00BB430C">
        <w:rPr>
          <w:rFonts w:eastAsia="Calibri"/>
          <w:i/>
          <w:sz w:val="22"/>
          <w:szCs w:val="22"/>
          <w:lang w:val="en-US" w:eastAsia="en-US"/>
        </w:rPr>
        <w:t>ex situ</w:t>
      </w:r>
      <w:r w:rsidRPr="00BB430C">
        <w:rPr>
          <w:rFonts w:eastAsia="Calibri"/>
          <w:sz w:val="22"/>
          <w:szCs w:val="22"/>
          <w:lang w:val="en-US" w:eastAsia="en-US"/>
        </w:rPr>
        <w:t xml:space="preserve"> genetic resource conservation strategies but provides an important complementary role and adds resilience as a form of redundancy in storage of</w:t>
      </w:r>
      <w:r w:rsidR="005A35CE">
        <w:rPr>
          <w:rFonts w:eastAsia="Calibri"/>
          <w:sz w:val="22"/>
          <w:szCs w:val="22"/>
          <w:lang w:val="en-US" w:eastAsia="en-US"/>
        </w:rPr>
        <w:t xml:space="preserve"> certain kinds of</w:t>
      </w:r>
      <w:r w:rsidRPr="00BB430C">
        <w:rPr>
          <w:rFonts w:eastAsia="Calibri"/>
          <w:sz w:val="22"/>
          <w:szCs w:val="22"/>
          <w:lang w:val="en-US" w:eastAsia="en-US"/>
        </w:rPr>
        <w:t xml:space="preserve"> biological</w:t>
      </w:r>
      <w:r w:rsidR="005A35CE">
        <w:rPr>
          <w:rFonts w:eastAsia="Calibri"/>
          <w:sz w:val="22"/>
          <w:szCs w:val="22"/>
          <w:lang w:val="en-US" w:eastAsia="en-US"/>
        </w:rPr>
        <w:t xml:space="preserve"> genetic</w:t>
      </w:r>
      <w:r w:rsidRPr="00BB430C">
        <w:rPr>
          <w:rFonts w:eastAsia="Calibri"/>
          <w:sz w:val="22"/>
          <w:szCs w:val="22"/>
          <w:lang w:val="en-US" w:eastAsia="en-US"/>
        </w:rPr>
        <w:t xml:space="preserve"> material</w:t>
      </w:r>
      <w:r w:rsidR="005A35CE">
        <w:rPr>
          <w:rFonts w:eastAsia="Calibri"/>
          <w:sz w:val="22"/>
          <w:szCs w:val="22"/>
          <w:lang w:val="en-US" w:eastAsia="en-US"/>
        </w:rPr>
        <w:t xml:space="preserve">, </w:t>
      </w:r>
      <w:r w:rsidR="0093581C">
        <w:rPr>
          <w:rFonts w:eastAsia="Calibri"/>
          <w:sz w:val="22"/>
          <w:szCs w:val="22"/>
          <w:lang w:val="en-US" w:eastAsia="en-US"/>
        </w:rPr>
        <w:t>for example</w:t>
      </w:r>
      <w:r w:rsidR="005A35CE">
        <w:rPr>
          <w:rFonts w:eastAsia="Calibri"/>
          <w:sz w:val="22"/>
          <w:szCs w:val="22"/>
          <w:lang w:val="en-US" w:eastAsia="en-US"/>
        </w:rPr>
        <w:t xml:space="preserve"> DNA</w:t>
      </w:r>
      <w:r w:rsidR="00E64111">
        <w:rPr>
          <w:rFonts w:eastAsia="Calibri"/>
          <w:sz w:val="22"/>
          <w:szCs w:val="22"/>
          <w:lang w:val="en-US" w:eastAsia="en-US"/>
        </w:rPr>
        <w:t>.</w:t>
      </w:r>
      <w:r w:rsidR="005A35CE">
        <w:rPr>
          <w:rStyle w:val="FootnoteReference"/>
          <w:rFonts w:eastAsia="Calibri"/>
          <w:lang w:val="en-US" w:eastAsia="en-US"/>
        </w:rPr>
        <w:footnoteReference w:id="27"/>
      </w:r>
    </w:p>
    <w:p w14:paraId="110AF1AA" w14:textId="77777777" w:rsidR="00B7125E" w:rsidRPr="00BB430C" w:rsidRDefault="00B7125E" w:rsidP="00B7125E">
      <w:pPr>
        <w:spacing w:after="120"/>
        <w:rPr>
          <w:rFonts w:eastAsia="Calibri"/>
          <w:sz w:val="22"/>
          <w:szCs w:val="22"/>
          <w:lang w:val="en-US" w:eastAsia="en-US"/>
        </w:rPr>
      </w:pPr>
      <w:r w:rsidRPr="00BB430C">
        <w:rPr>
          <w:rFonts w:eastAsia="Calibri"/>
          <w:sz w:val="22"/>
          <w:szCs w:val="22"/>
          <w:lang w:val="en-US" w:eastAsia="en-US"/>
        </w:rPr>
        <w:t xml:space="preserve">Publicly funded databases have generally been either open access or open license </w:t>
      </w:r>
      <w:r w:rsidR="001C037C">
        <w:rPr>
          <w:rFonts w:eastAsia="Calibri"/>
          <w:noProof/>
          <w:sz w:val="22"/>
          <w:szCs w:val="22"/>
          <w:lang w:val="en-US" w:eastAsia="en-US"/>
        </w:rPr>
        <w:t>(Mueller, 2003)</w:t>
      </w:r>
      <w:r w:rsidRPr="00BB430C">
        <w:rPr>
          <w:rFonts w:eastAsia="Calibri"/>
          <w:sz w:val="22"/>
          <w:szCs w:val="22"/>
          <w:lang w:val="en-US" w:eastAsia="en-US"/>
        </w:rPr>
        <w:t xml:space="preserve">, making them easily accessible to anyone with the correct kind of computing device and </w:t>
      </w:r>
      <w:r w:rsidR="009B3B9A">
        <w:rPr>
          <w:rFonts w:eastAsia="Calibri"/>
          <w:sz w:val="22"/>
          <w:szCs w:val="22"/>
          <w:lang w:val="en-US" w:eastAsia="en-US"/>
        </w:rPr>
        <w:t>I</w:t>
      </w:r>
      <w:r w:rsidRPr="00BB430C">
        <w:rPr>
          <w:rFonts w:eastAsia="Calibri"/>
          <w:sz w:val="22"/>
          <w:szCs w:val="22"/>
          <w:lang w:val="en-US" w:eastAsia="en-US"/>
        </w:rPr>
        <w:t>nternet access. For example, the International Nucleotide Sequence Database Collaboration (INSCD) consisting of NCBI/GenBank (US), EMBL-EBI (EU) and DDBJ (Japan) has a policy of permanent free and unrestricted access.</w:t>
      </w:r>
      <w:r w:rsidRPr="00BB430C">
        <w:rPr>
          <w:rFonts w:eastAsia="Calibri"/>
          <w:sz w:val="22"/>
          <w:szCs w:val="22"/>
          <w:vertAlign w:val="superscript"/>
          <w:lang w:val="en-US" w:eastAsia="en-US"/>
        </w:rPr>
        <w:footnoteReference w:id="28"/>
      </w:r>
      <w:r w:rsidRPr="00BB430C">
        <w:rPr>
          <w:rFonts w:eastAsia="Calibri"/>
          <w:sz w:val="22"/>
          <w:szCs w:val="22"/>
          <w:lang w:val="en-US" w:eastAsia="en-US"/>
        </w:rPr>
        <w:t xml:space="preserve"> GISAID EpiFluTM database requires users to register and agree to terms, but anyone may sign up to it. </w:t>
      </w:r>
      <w:r w:rsidR="00136B24">
        <w:rPr>
          <w:rFonts w:eastAsia="Calibri"/>
          <w:sz w:val="22"/>
          <w:szCs w:val="22"/>
          <w:lang w:val="en-US" w:eastAsia="en-US"/>
        </w:rPr>
        <w:t xml:space="preserve">However, pressure on public databases has resulted in some charging subscriptions for access </w:t>
      </w:r>
      <w:r w:rsidR="001C037C">
        <w:rPr>
          <w:rFonts w:eastAsia="Calibri"/>
          <w:noProof/>
          <w:sz w:val="22"/>
          <w:szCs w:val="22"/>
          <w:lang w:val="en-US" w:eastAsia="en-US"/>
        </w:rPr>
        <w:t>(Hayden, 2016)</w:t>
      </w:r>
      <w:r w:rsidR="00136B24">
        <w:rPr>
          <w:rFonts w:eastAsia="Calibri"/>
          <w:sz w:val="22"/>
          <w:szCs w:val="22"/>
          <w:lang w:val="en-US" w:eastAsia="en-US"/>
        </w:rPr>
        <w:t>.</w:t>
      </w:r>
    </w:p>
    <w:p w14:paraId="6BE5AEC4" w14:textId="77777777" w:rsidR="005F3592" w:rsidRPr="00BB430C" w:rsidRDefault="00136B24">
      <w:pPr>
        <w:spacing w:after="120"/>
        <w:rPr>
          <w:rFonts w:eastAsia="Calibri"/>
          <w:sz w:val="22"/>
          <w:szCs w:val="22"/>
          <w:lang w:val="en-US" w:eastAsia="en-US"/>
        </w:rPr>
      </w:pPr>
      <w:r>
        <w:rPr>
          <w:rFonts w:eastAsia="Calibri"/>
          <w:sz w:val="22"/>
          <w:szCs w:val="22"/>
          <w:lang w:val="en-US" w:eastAsia="en-US"/>
        </w:rPr>
        <w:t>P</w:t>
      </w:r>
      <w:r w:rsidR="00B7125E" w:rsidRPr="00BB430C">
        <w:rPr>
          <w:rFonts w:eastAsia="Calibri"/>
          <w:sz w:val="22"/>
          <w:szCs w:val="22"/>
          <w:lang w:val="en-US" w:eastAsia="en-US"/>
        </w:rPr>
        <w:t xml:space="preserve">ublic availability is not the equivalent of public control. The location of servers holding DSI and </w:t>
      </w:r>
      <w:r w:rsidR="003971B7">
        <w:rPr>
          <w:rFonts w:eastAsia="Calibri"/>
          <w:sz w:val="22"/>
          <w:szCs w:val="22"/>
          <w:lang w:val="en-US" w:eastAsia="en-US"/>
        </w:rPr>
        <w:t>I</w:t>
      </w:r>
      <w:r w:rsidR="00B7125E" w:rsidRPr="00BB430C">
        <w:rPr>
          <w:rFonts w:eastAsia="Calibri"/>
          <w:sz w:val="22"/>
          <w:szCs w:val="22"/>
          <w:lang w:val="en-US" w:eastAsia="en-US"/>
        </w:rPr>
        <w:t>nternet traffic potentially can be controlled, even blocked, by state actors</w:t>
      </w:r>
      <w:r w:rsidR="005A35CE">
        <w:rPr>
          <w:rFonts w:eastAsia="Calibri"/>
          <w:sz w:val="22"/>
          <w:szCs w:val="22"/>
          <w:lang w:val="en-US" w:eastAsia="en-US"/>
        </w:rPr>
        <w:t xml:space="preserve"> </w:t>
      </w:r>
      <w:r w:rsidR="001C037C">
        <w:rPr>
          <w:rFonts w:eastAsia="Calibri"/>
          <w:noProof/>
          <w:sz w:val="22"/>
          <w:szCs w:val="22"/>
          <w:lang w:val="en-US" w:eastAsia="en-US"/>
        </w:rPr>
        <w:t>(Kamen, 2017)</w:t>
      </w:r>
      <w:r w:rsidR="00B7125E" w:rsidRPr="00BB430C">
        <w:rPr>
          <w:rFonts w:eastAsia="Calibri"/>
          <w:sz w:val="22"/>
          <w:szCs w:val="22"/>
          <w:lang w:val="en-US" w:eastAsia="en-US"/>
        </w:rPr>
        <w:t xml:space="preserve">. It is not possible to say whether all infrastructure and mirror sites are held by the country administering the database, but it is clear that those in the </w:t>
      </w:r>
      <w:r w:rsidR="003971B7">
        <w:rPr>
          <w:rFonts w:eastAsia="Calibri"/>
          <w:sz w:val="22"/>
          <w:szCs w:val="22"/>
          <w:lang w:val="en-US" w:eastAsia="en-US"/>
        </w:rPr>
        <w:t>“</w:t>
      </w:r>
      <w:r w:rsidR="00B7125E" w:rsidRPr="00BB430C">
        <w:rPr>
          <w:rFonts w:eastAsia="Calibri"/>
          <w:sz w:val="22"/>
          <w:szCs w:val="22"/>
          <w:lang w:val="en-US" w:eastAsia="en-US"/>
        </w:rPr>
        <w:t>Golden Set</w:t>
      </w:r>
      <w:r w:rsidR="003971B7">
        <w:rPr>
          <w:rFonts w:eastAsia="Calibri"/>
          <w:sz w:val="22"/>
          <w:szCs w:val="22"/>
          <w:lang w:val="en-US" w:eastAsia="en-US"/>
        </w:rPr>
        <w:t>”</w:t>
      </w:r>
      <w:r w:rsidR="00B7125E" w:rsidRPr="00BB430C">
        <w:rPr>
          <w:rFonts w:eastAsia="Calibri"/>
          <w:sz w:val="22"/>
          <w:szCs w:val="22"/>
          <w:lang w:val="en-US" w:eastAsia="en-US"/>
        </w:rPr>
        <w:t xml:space="preserve">, for example, are concentrated in the economic North (Table </w:t>
      </w:r>
      <w:r w:rsidR="00D224C0">
        <w:rPr>
          <w:rFonts w:eastAsia="Calibri"/>
          <w:sz w:val="22"/>
          <w:szCs w:val="22"/>
          <w:lang w:val="en-US" w:eastAsia="en-US"/>
        </w:rPr>
        <w:t>I</w:t>
      </w:r>
      <w:r w:rsidR="00254351">
        <w:rPr>
          <w:rFonts w:eastAsia="Calibri"/>
          <w:sz w:val="22"/>
          <w:szCs w:val="22"/>
          <w:lang w:val="en-US" w:eastAsia="en-US"/>
        </w:rPr>
        <w:t>.</w:t>
      </w:r>
      <w:r w:rsidR="00D224C0">
        <w:rPr>
          <w:rFonts w:eastAsia="Calibri"/>
          <w:sz w:val="22"/>
          <w:szCs w:val="22"/>
          <w:lang w:val="en-US" w:eastAsia="en-US"/>
        </w:rPr>
        <w:t>2</w:t>
      </w:r>
      <w:r w:rsidR="00B7125E" w:rsidRPr="00BB430C">
        <w:rPr>
          <w:rFonts w:eastAsia="Calibri"/>
          <w:sz w:val="22"/>
          <w:szCs w:val="22"/>
          <w:lang w:val="en-US" w:eastAsia="en-US"/>
        </w:rPr>
        <w:t>).</w:t>
      </w:r>
      <w:r w:rsidR="002F3E37">
        <w:rPr>
          <w:rFonts w:eastAsia="Calibri"/>
          <w:sz w:val="22"/>
          <w:szCs w:val="22"/>
          <w:lang w:val="en-US" w:eastAsia="en-US"/>
        </w:rPr>
        <w:t xml:space="preserve"> </w:t>
      </w:r>
      <w:r w:rsidR="005F3592" w:rsidRPr="00BB430C">
        <w:rPr>
          <w:rFonts w:eastAsia="Calibri"/>
          <w:sz w:val="22"/>
          <w:szCs w:val="22"/>
          <w:lang w:val="en-US" w:eastAsia="en-US"/>
        </w:rPr>
        <w:t>The transfer of information on GRFA as DSI could depend on the will of the country in which the DSI physically resides or that controls the infrastructure or transmission, rather than the country from which th</w:t>
      </w:r>
      <w:r w:rsidR="00254351">
        <w:rPr>
          <w:rFonts w:eastAsia="Calibri"/>
          <w:sz w:val="22"/>
          <w:szCs w:val="22"/>
          <w:lang w:val="en-US" w:eastAsia="en-US"/>
        </w:rPr>
        <w:t>e sequence</w:t>
      </w:r>
      <w:r w:rsidR="005F3592" w:rsidRPr="00BB430C">
        <w:rPr>
          <w:rFonts w:eastAsia="Calibri"/>
          <w:sz w:val="22"/>
          <w:szCs w:val="22"/>
          <w:lang w:val="en-US" w:eastAsia="en-US"/>
        </w:rPr>
        <w:t xml:space="preserve"> information originated.</w:t>
      </w:r>
    </w:p>
    <w:p w14:paraId="656E9541" w14:textId="77777777" w:rsidR="005F3592" w:rsidRPr="00BB430C" w:rsidRDefault="00BD3D1A" w:rsidP="005F3592">
      <w:pPr>
        <w:spacing w:after="120"/>
        <w:rPr>
          <w:rFonts w:eastAsia="Calibri"/>
          <w:sz w:val="22"/>
          <w:szCs w:val="22"/>
          <w:lang w:val="en-US" w:eastAsia="en-US"/>
        </w:rPr>
      </w:pPr>
      <w:r w:rsidRPr="007F04A8">
        <w:rPr>
          <w:sz w:val="22"/>
          <w:szCs w:val="22"/>
        </w:rPr>
        <w:t>Developing countries also may lack the necessary infrastructure for ready access to DSI on GRFA and thus potentially fail to benefit from it.</w:t>
      </w:r>
      <w:r w:rsidR="005F3592" w:rsidRPr="00BB430C">
        <w:rPr>
          <w:rFonts w:eastAsia="Calibri"/>
          <w:sz w:val="22"/>
          <w:szCs w:val="22"/>
          <w:lang w:val="en-US" w:eastAsia="en-US"/>
        </w:rPr>
        <w:t xml:space="preserve"> To work with the often unstructured form of biological DSI requires more local storage of information downloaded from international databases. The amount of storage is significant </w:t>
      </w:r>
      <w:r w:rsidR="001C037C">
        <w:rPr>
          <w:rFonts w:eastAsia="Calibri"/>
          <w:noProof/>
          <w:sz w:val="22"/>
          <w:szCs w:val="22"/>
          <w:lang w:val="en-US" w:eastAsia="en-US"/>
        </w:rPr>
        <w:t>(Marx, 2013)</w:t>
      </w:r>
      <w:r w:rsidR="005F3592" w:rsidRPr="00BB430C">
        <w:rPr>
          <w:rFonts w:eastAsia="Calibri"/>
          <w:sz w:val="22"/>
          <w:szCs w:val="22"/>
          <w:lang w:val="en-US" w:eastAsia="en-US"/>
        </w:rPr>
        <w:t>. Terabytes (10</w:t>
      </w:r>
      <w:r w:rsidR="005F3592" w:rsidRPr="00BB430C">
        <w:rPr>
          <w:rFonts w:eastAsia="Calibri"/>
          <w:sz w:val="22"/>
          <w:szCs w:val="22"/>
          <w:vertAlign w:val="superscript"/>
          <w:lang w:val="en-US" w:eastAsia="en-US"/>
        </w:rPr>
        <w:t>12</w:t>
      </w:r>
      <w:r w:rsidR="005F3592" w:rsidRPr="00BB430C">
        <w:rPr>
          <w:rFonts w:eastAsia="Calibri"/>
          <w:sz w:val="22"/>
          <w:szCs w:val="22"/>
          <w:lang w:val="en-US" w:eastAsia="en-US"/>
        </w:rPr>
        <w:t>) of storage are routinely used for genomic comparisons.</w:t>
      </w:r>
    </w:p>
    <w:p w14:paraId="5E60C8C9" w14:textId="77777777" w:rsidR="005F3592" w:rsidRPr="00BB430C" w:rsidRDefault="005F3592" w:rsidP="005F3592">
      <w:pPr>
        <w:spacing w:after="120"/>
        <w:rPr>
          <w:rFonts w:eastAsia="Calibri"/>
          <w:sz w:val="22"/>
          <w:szCs w:val="22"/>
          <w:lang w:val="en-US" w:eastAsia="en-US"/>
        </w:rPr>
      </w:pPr>
      <w:r w:rsidRPr="00BB430C">
        <w:rPr>
          <w:rFonts w:eastAsia="Calibri"/>
          <w:sz w:val="22"/>
          <w:szCs w:val="22"/>
          <w:lang w:val="en-US" w:eastAsia="en-US"/>
        </w:rPr>
        <w:t xml:space="preserve">An even larger barrier is transmission time. It can take so long to up or download data that even in developed countries it is not unusual to manually transfer it on portable hard drives rather than through an </w:t>
      </w:r>
      <w:r w:rsidR="003971B7">
        <w:rPr>
          <w:rFonts w:eastAsia="Calibri"/>
          <w:sz w:val="22"/>
          <w:szCs w:val="22"/>
          <w:lang w:val="en-US" w:eastAsia="en-US"/>
        </w:rPr>
        <w:t>I</w:t>
      </w:r>
      <w:r w:rsidR="003971B7" w:rsidRPr="00BB430C">
        <w:rPr>
          <w:rFonts w:eastAsia="Calibri"/>
          <w:sz w:val="22"/>
          <w:szCs w:val="22"/>
          <w:lang w:val="en-US" w:eastAsia="en-US"/>
        </w:rPr>
        <w:t xml:space="preserve">nternet </w:t>
      </w:r>
      <w:r w:rsidRPr="00BB430C">
        <w:rPr>
          <w:rFonts w:eastAsia="Calibri"/>
          <w:sz w:val="22"/>
          <w:szCs w:val="22"/>
          <w:lang w:val="en-US" w:eastAsia="en-US"/>
        </w:rPr>
        <w:t xml:space="preserve">network. BGI in China has the capacity to sequence </w:t>
      </w:r>
      <w:r w:rsidR="003971B7">
        <w:rPr>
          <w:rFonts w:eastAsia="Calibri"/>
          <w:sz w:val="22"/>
          <w:szCs w:val="22"/>
          <w:lang w:val="en-US" w:eastAsia="en-US"/>
        </w:rPr>
        <w:t>six</w:t>
      </w:r>
      <w:r w:rsidR="003971B7" w:rsidRPr="00BB430C">
        <w:rPr>
          <w:rFonts w:eastAsia="Calibri"/>
          <w:sz w:val="22"/>
          <w:szCs w:val="22"/>
          <w:lang w:val="en-US" w:eastAsia="en-US"/>
        </w:rPr>
        <w:t xml:space="preserve"> </w:t>
      </w:r>
      <w:r w:rsidRPr="00BB430C">
        <w:rPr>
          <w:rFonts w:eastAsia="Calibri"/>
          <w:sz w:val="22"/>
          <w:szCs w:val="22"/>
          <w:lang w:val="en-US" w:eastAsia="en-US"/>
        </w:rPr>
        <w:t xml:space="preserve">terabytes a day on its </w:t>
      </w:r>
      <w:r w:rsidRPr="00BB430C">
        <w:rPr>
          <w:rFonts w:eastAsia="Calibri"/>
          <w:sz w:val="22"/>
          <w:szCs w:val="22"/>
          <w:lang w:val="en-US" w:eastAsia="en-US"/>
        </w:rPr>
        <w:lastRenderedPageBreak/>
        <w:t xml:space="preserve">157 sequencers, but can transmit only </w:t>
      </w:r>
      <w:r w:rsidR="003971B7">
        <w:rPr>
          <w:rFonts w:eastAsia="Calibri"/>
          <w:sz w:val="22"/>
          <w:szCs w:val="22"/>
          <w:lang w:val="en-US" w:eastAsia="en-US"/>
        </w:rPr>
        <w:t>one</w:t>
      </w:r>
      <w:r w:rsidR="003971B7" w:rsidRPr="00BB430C">
        <w:rPr>
          <w:rFonts w:eastAsia="Calibri"/>
          <w:sz w:val="22"/>
          <w:szCs w:val="22"/>
          <w:lang w:val="en-US" w:eastAsia="en-US"/>
        </w:rPr>
        <w:t xml:space="preserve"> </w:t>
      </w:r>
      <w:r w:rsidRPr="00BB430C">
        <w:rPr>
          <w:rFonts w:eastAsia="Calibri"/>
          <w:sz w:val="22"/>
          <w:szCs w:val="22"/>
          <w:lang w:val="en-US" w:eastAsia="en-US"/>
        </w:rPr>
        <w:t xml:space="preserve">terabyte of data a day. It takes 20 days to send the raw data of just 50 human genomes </w:t>
      </w:r>
      <w:r w:rsidR="001C037C">
        <w:rPr>
          <w:rFonts w:eastAsia="Calibri"/>
          <w:noProof/>
          <w:sz w:val="22"/>
          <w:szCs w:val="22"/>
          <w:lang w:val="en-US" w:eastAsia="en-US"/>
        </w:rPr>
        <w:t>(Marx, 2013)</w:t>
      </w:r>
      <w:r w:rsidRPr="00BB430C">
        <w:rPr>
          <w:rFonts w:eastAsia="Calibri"/>
          <w:sz w:val="22"/>
          <w:szCs w:val="22"/>
          <w:lang w:val="en-US" w:eastAsia="en-US"/>
        </w:rPr>
        <w:t xml:space="preserve">. </w:t>
      </w:r>
    </w:p>
    <w:p w14:paraId="4203AF9F" w14:textId="77777777" w:rsidR="005F3592" w:rsidRPr="00BB430C" w:rsidRDefault="005F3592" w:rsidP="005F3592">
      <w:pPr>
        <w:spacing w:after="120"/>
        <w:rPr>
          <w:rFonts w:eastAsia="Calibri"/>
          <w:sz w:val="22"/>
          <w:szCs w:val="22"/>
          <w:lang w:val="en-US" w:eastAsia="en-US"/>
        </w:rPr>
      </w:pPr>
      <w:r w:rsidRPr="00BB430C">
        <w:rPr>
          <w:rFonts w:eastAsia="Calibri"/>
          <w:sz w:val="22"/>
          <w:szCs w:val="22"/>
          <w:lang w:val="en-US" w:eastAsia="en-US"/>
        </w:rPr>
        <w:t xml:space="preserve">Despite the high speed links between Europe and North America, researchers based in the United States </w:t>
      </w:r>
      <w:r w:rsidR="003971B7">
        <w:rPr>
          <w:rFonts w:eastAsia="Calibri"/>
          <w:sz w:val="22"/>
          <w:szCs w:val="22"/>
          <w:lang w:val="en-US" w:eastAsia="en-US"/>
        </w:rPr>
        <w:t xml:space="preserve">of America </w:t>
      </w:r>
      <w:r w:rsidRPr="00BB430C">
        <w:rPr>
          <w:rFonts w:eastAsia="Calibri"/>
          <w:sz w:val="22"/>
          <w:szCs w:val="22"/>
          <w:lang w:val="en-US" w:eastAsia="en-US"/>
        </w:rPr>
        <w:t xml:space="preserve">were frustrated by download times from Europe’s EBI. This was partially resolved by creating mirror sites closer to the US researchers. More mirror sites can and are being made, but mainly in developed countries </w:t>
      </w:r>
      <w:r w:rsidR="001C037C">
        <w:rPr>
          <w:rFonts w:eastAsia="Calibri"/>
          <w:noProof/>
          <w:sz w:val="22"/>
          <w:szCs w:val="22"/>
          <w:lang w:val="en-US" w:eastAsia="en-US"/>
        </w:rPr>
        <w:t>(Marx, 2013)</w:t>
      </w:r>
      <w:r w:rsidRPr="00BB430C">
        <w:rPr>
          <w:rFonts w:eastAsia="Calibri"/>
          <w:sz w:val="22"/>
          <w:szCs w:val="22"/>
          <w:lang w:val="en-US" w:eastAsia="en-US"/>
        </w:rPr>
        <w:t>.</w:t>
      </w:r>
    </w:p>
    <w:p w14:paraId="2275301E" w14:textId="77777777" w:rsidR="00064636" w:rsidRDefault="005F3592" w:rsidP="00DE20B6">
      <w:pPr>
        <w:spacing w:after="120"/>
        <w:rPr>
          <w:rFonts w:eastAsia="Calibri"/>
          <w:sz w:val="22"/>
          <w:szCs w:val="22"/>
          <w:lang w:val="en-US" w:eastAsia="en-US"/>
        </w:rPr>
      </w:pPr>
      <w:r w:rsidRPr="00BB430C">
        <w:rPr>
          <w:rFonts w:eastAsia="Calibri"/>
          <w:sz w:val="22"/>
          <w:szCs w:val="22"/>
          <w:lang w:val="en-US" w:eastAsia="en-US"/>
        </w:rPr>
        <w:t xml:space="preserve">Publicly funded databases put minimal to no restrictions on opportunity to access DSI, but this is not the same as saying that they are sufficient for equitable access. The latter requires overcoming significant inequalities among potential users to download and work with the data </w:t>
      </w:r>
      <w:r w:rsidR="001C037C">
        <w:rPr>
          <w:rFonts w:eastAsia="Calibri"/>
          <w:noProof/>
          <w:sz w:val="22"/>
          <w:szCs w:val="22"/>
          <w:lang w:val="en-US" w:eastAsia="en-US"/>
        </w:rPr>
        <w:t>(Helmy</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2016)</w:t>
      </w:r>
      <w:r w:rsidRPr="00BB430C">
        <w:rPr>
          <w:rFonts w:eastAsia="Calibri"/>
          <w:sz w:val="22"/>
          <w:szCs w:val="22"/>
          <w:lang w:val="en-US" w:eastAsia="en-US"/>
        </w:rPr>
        <w:t xml:space="preserve">. Indeed, public availability is not </w:t>
      </w:r>
      <w:r w:rsidRPr="00BB430C">
        <w:rPr>
          <w:rFonts w:eastAsia="Calibri"/>
          <w:i/>
          <w:sz w:val="22"/>
          <w:szCs w:val="22"/>
          <w:lang w:val="en-US" w:eastAsia="en-US"/>
        </w:rPr>
        <w:t>per se</w:t>
      </w:r>
      <w:r w:rsidRPr="00BB430C">
        <w:rPr>
          <w:rFonts w:eastAsia="Calibri"/>
          <w:sz w:val="22"/>
          <w:szCs w:val="22"/>
          <w:lang w:val="en-US" w:eastAsia="en-US"/>
        </w:rPr>
        <w:t xml:space="preserve"> a benefit, but a pre-requisite for any benefits that could arise from use of DSI.</w:t>
      </w:r>
      <w:bookmarkStart w:id="25" w:name="_Toc374968979"/>
    </w:p>
    <w:tbl>
      <w:tblPr>
        <w:tblStyle w:val="TableGrid"/>
        <w:tblW w:w="0" w:type="auto"/>
        <w:tblLook w:val="04A0" w:firstRow="1" w:lastRow="0" w:firstColumn="1" w:lastColumn="0" w:noHBand="0" w:noVBand="1"/>
      </w:tblPr>
      <w:tblGrid>
        <w:gridCol w:w="2869"/>
        <w:gridCol w:w="2867"/>
        <w:gridCol w:w="2881"/>
      </w:tblGrid>
      <w:tr w:rsidR="00F269E4" w14:paraId="64F8F7D7" w14:textId="77777777" w:rsidTr="00F269E4">
        <w:tc>
          <w:tcPr>
            <w:tcW w:w="8833" w:type="dxa"/>
            <w:gridSpan w:val="3"/>
            <w:tcBorders>
              <w:top w:val="nil"/>
              <w:left w:val="nil"/>
              <w:bottom w:val="single" w:sz="4" w:space="0" w:color="auto"/>
              <w:right w:val="nil"/>
            </w:tcBorders>
          </w:tcPr>
          <w:p w14:paraId="04C3C213" w14:textId="77777777" w:rsidR="00F269E4" w:rsidRDefault="00F269E4">
            <w:pPr>
              <w:spacing w:after="120"/>
              <w:rPr>
                <w:rFonts w:eastAsia="Calibri"/>
                <w:sz w:val="22"/>
                <w:szCs w:val="22"/>
                <w:lang w:val="en-US" w:eastAsia="en-US"/>
              </w:rPr>
            </w:pPr>
            <w:r w:rsidRPr="00A22509">
              <w:rPr>
                <w:rFonts w:eastAsia="Calibri"/>
                <w:b/>
                <w:sz w:val="22"/>
                <w:szCs w:val="22"/>
              </w:rPr>
              <w:t xml:space="preserve">Table </w:t>
            </w:r>
            <w:r w:rsidR="00D224C0">
              <w:rPr>
                <w:rFonts w:eastAsia="Calibri"/>
                <w:b/>
                <w:sz w:val="22"/>
                <w:szCs w:val="22"/>
              </w:rPr>
              <w:t>I</w:t>
            </w:r>
            <w:r w:rsidRPr="00A22509">
              <w:rPr>
                <w:rFonts w:eastAsia="Calibri"/>
                <w:b/>
                <w:sz w:val="22"/>
                <w:szCs w:val="22"/>
              </w:rPr>
              <w:t>.</w:t>
            </w:r>
            <w:r w:rsidR="00D224C0">
              <w:rPr>
                <w:rFonts w:eastAsia="Calibri"/>
                <w:b/>
                <w:sz w:val="22"/>
                <w:szCs w:val="22"/>
              </w:rPr>
              <w:t>2</w:t>
            </w:r>
            <w:r w:rsidRPr="00A22509">
              <w:rPr>
                <w:rFonts w:eastAsia="Calibri"/>
                <w:b/>
                <w:sz w:val="22"/>
                <w:szCs w:val="22"/>
              </w:rPr>
              <w:t xml:space="preserve"> Database owners </w:t>
            </w:r>
          </w:p>
        </w:tc>
      </w:tr>
      <w:tr w:rsidR="00F269E4" w14:paraId="4FF0554E" w14:textId="77777777" w:rsidTr="00F269E4">
        <w:tc>
          <w:tcPr>
            <w:tcW w:w="2944" w:type="dxa"/>
            <w:tcBorders>
              <w:top w:val="single" w:sz="4" w:space="0" w:color="auto"/>
            </w:tcBorders>
          </w:tcPr>
          <w:p w14:paraId="3E48E200" w14:textId="77777777" w:rsidR="00F269E4" w:rsidRDefault="00F269E4" w:rsidP="009670E8">
            <w:pPr>
              <w:spacing w:after="120"/>
              <w:rPr>
                <w:rFonts w:eastAsia="Calibri"/>
                <w:sz w:val="22"/>
                <w:szCs w:val="22"/>
                <w:lang w:val="en-US" w:eastAsia="en-US"/>
              </w:rPr>
            </w:pPr>
            <w:r w:rsidRPr="00A22509">
              <w:rPr>
                <w:rFonts w:eastAsia="Calibri"/>
                <w:sz w:val="22"/>
                <w:szCs w:val="22"/>
              </w:rPr>
              <w:t xml:space="preserve">Number of </w:t>
            </w:r>
            <w:r w:rsidR="009670E8">
              <w:rPr>
                <w:rFonts w:eastAsia="Calibri"/>
                <w:sz w:val="22"/>
                <w:szCs w:val="22"/>
              </w:rPr>
              <w:t>d</w:t>
            </w:r>
            <w:r w:rsidR="009670E8" w:rsidRPr="00A22509">
              <w:rPr>
                <w:rFonts w:eastAsia="Calibri"/>
                <w:sz w:val="22"/>
                <w:szCs w:val="22"/>
              </w:rPr>
              <w:t>atabases</w:t>
            </w:r>
          </w:p>
        </w:tc>
        <w:tc>
          <w:tcPr>
            <w:tcW w:w="2944" w:type="dxa"/>
            <w:tcBorders>
              <w:top w:val="single" w:sz="4" w:space="0" w:color="auto"/>
            </w:tcBorders>
          </w:tcPr>
          <w:p w14:paraId="0D12ED40" w14:textId="77777777" w:rsidR="00F269E4" w:rsidRDefault="00F269E4" w:rsidP="00F269E4">
            <w:pPr>
              <w:spacing w:after="120"/>
              <w:rPr>
                <w:rFonts w:eastAsia="Calibri"/>
                <w:sz w:val="22"/>
                <w:szCs w:val="22"/>
                <w:lang w:val="en-US" w:eastAsia="en-US"/>
              </w:rPr>
            </w:pPr>
            <w:r w:rsidRPr="00A22509">
              <w:rPr>
                <w:rFonts w:eastAsia="Calibri"/>
                <w:sz w:val="22"/>
                <w:szCs w:val="22"/>
              </w:rPr>
              <w:t>Location</w:t>
            </w:r>
          </w:p>
        </w:tc>
        <w:tc>
          <w:tcPr>
            <w:tcW w:w="2945" w:type="dxa"/>
            <w:tcBorders>
              <w:top w:val="single" w:sz="4" w:space="0" w:color="auto"/>
            </w:tcBorders>
          </w:tcPr>
          <w:p w14:paraId="2A245C29" w14:textId="77777777" w:rsidR="00F269E4" w:rsidRDefault="00F269E4" w:rsidP="00F269E4">
            <w:pPr>
              <w:spacing w:after="120"/>
              <w:rPr>
                <w:rFonts w:eastAsia="Calibri"/>
                <w:sz w:val="22"/>
                <w:szCs w:val="22"/>
                <w:lang w:val="en-US" w:eastAsia="en-US"/>
              </w:rPr>
            </w:pPr>
            <w:r w:rsidRPr="00A22509">
              <w:rPr>
                <w:rFonts w:eastAsia="Calibri"/>
                <w:sz w:val="22"/>
                <w:szCs w:val="22"/>
              </w:rPr>
              <w:t>Examples</w:t>
            </w:r>
          </w:p>
        </w:tc>
      </w:tr>
      <w:tr w:rsidR="00F269E4" w14:paraId="0C5C7AA7" w14:textId="77777777" w:rsidTr="00F269E4">
        <w:tc>
          <w:tcPr>
            <w:tcW w:w="2944" w:type="dxa"/>
          </w:tcPr>
          <w:p w14:paraId="520564F5" w14:textId="77777777" w:rsidR="00F269E4" w:rsidRDefault="00F269E4" w:rsidP="00F269E4">
            <w:pPr>
              <w:spacing w:after="120"/>
              <w:rPr>
                <w:rFonts w:eastAsia="Calibri"/>
                <w:sz w:val="22"/>
                <w:szCs w:val="22"/>
                <w:lang w:val="en-US" w:eastAsia="en-US"/>
              </w:rPr>
            </w:pPr>
            <w:r w:rsidRPr="00A22509">
              <w:rPr>
                <w:rFonts w:eastAsia="Calibri"/>
                <w:sz w:val="22"/>
                <w:szCs w:val="22"/>
              </w:rPr>
              <w:t>55</w:t>
            </w:r>
          </w:p>
        </w:tc>
        <w:tc>
          <w:tcPr>
            <w:tcW w:w="2944" w:type="dxa"/>
          </w:tcPr>
          <w:p w14:paraId="33FED9C1" w14:textId="77777777" w:rsidR="00F269E4" w:rsidRDefault="00F269E4" w:rsidP="00F269E4">
            <w:pPr>
              <w:spacing w:after="120"/>
              <w:rPr>
                <w:rFonts w:eastAsia="Calibri"/>
                <w:sz w:val="22"/>
                <w:szCs w:val="22"/>
                <w:lang w:val="en-US" w:eastAsia="en-US"/>
              </w:rPr>
            </w:pPr>
            <w:r w:rsidRPr="00A22509">
              <w:rPr>
                <w:rFonts w:eastAsia="Calibri"/>
                <w:sz w:val="22"/>
                <w:szCs w:val="22"/>
              </w:rPr>
              <w:t>Europe</w:t>
            </w:r>
          </w:p>
        </w:tc>
        <w:tc>
          <w:tcPr>
            <w:tcW w:w="2945" w:type="dxa"/>
          </w:tcPr>
          <w:p w14:paraId="52F49748" w14:textId="77777777" w:rsidR="00F269E4" w:rsidRDefault="00F269E4" w:rsidP="00F269E4">
            <w:pPr>
              <w:spacing w:after="120"/>
              <w:rPr>
                <w:rFonts w:eastAsia="Calibri"/>
                <w:sz w:val="22"/>
                <w:szCs w:val="22"/>
                <w:lang w:val="en-US" w:eastAsia="en-US"/>
              </w:rPr>
            </w:pPr>
            <w:r w:rsidRPr="00A22509">
              <w:rPr>
                <w:rFonts w:eastAsia="Calibri"/>
                <w:sz w:val="22"/>
                <w:szCs w:val="22"/>
              </w:rPr>
              <w:t>EMBL</w:t>
            </w:r>
          </w:p>
        </w:tc>
      </w:tr>
      <w:tr w:rsidR="00F269E4" w14:paraId="35DFCA7B" w14:textId="77777777" w:rsidTr="00F269E4">
        <w:tc>
          <w:tcPr>
            <w:tcW w:w="2944" w:type="dxa"/>
          </w:tcPr>
          <w:p w14:paraId="52DA15CF" w14:textId="77777777" w:rsidR="00F269E4" w:rsidRDefault="00F269E4" w:rsidP="00F269E4">
            <w:pPr>
              <w:spacing w:after="120"/>
              <w:rPr>
                <w:rFonts w:eastAsia="Calibri"/>
                <w:sz w:val="22"/>
                <w:szCs w:val="22"/>
                <w:lang w:val="en-US" w:eastAsia="en-US"/>
              </w:rPr>
            </w:pPr>
            <w:r w:rsidRPr="00A22509">
              <w:rPr>
                <w:rFonts w:eastAsia="Calibri"/>
                <w:sz w:val="22"/>
                <w:szCs w:val="22"/>
              </w:rPr>
              <w:t>45</w:t>
            </w:r>
          </w:p>
        </w:tc>
        <w:tc>
          <w:tcPr>
            <w:tcW w:w="2944" w:type="dxa"/>
          </w:tcPr>
          <w:p w14:paraId="1383886F" w14:textId="77777777" w:rsidR="00F269E4" w:rsidRDefault="00F269E4" w:rsidP="00F269E4">
            <w:pPr>
              <w:spacing w:after="120"/>
              <w:rPr>
                <w:rFonts w:eastAsia="Calibri"/>
                <w:sz w:val="22"/>
                <w:szCs w:val="22"/>
                <w:lang w:val="en-US" w:eastAsia="en-US"/>
              </w:rPr>
            </w:pPr>
            <w:r w:rsidRPr="00A22509">
              <w:rPr>
                <w:rFonts w:eastAsia="Calibri"/>
                <w:sz w:val="22"/>
                <w:szCs w:val="22"/>
              </w:rPr>
              <w:t>US</w:t>
            </w:r>
          </w:p>
        </w:tc>
        <w:tc>
          <w:tcPr>
            <w:tcW w:w="2945" w:type="dxa"/>
          </w:tcPr>
          <w:p w14:paraId="3815C2D2" w14:textId="77777777" w:rsidR="00F269E4" w:rsidRDefault="00F269E4" w:rsidP="00F269E4">
            <w:pPr>
              <w:spacing w:after="120"/>
              <w:rPr>
                <w:rFonts w:eastAsia="Calibri"/>
                <w:sz w:val="22"/>
                <w:szCs w:val="22"/>
                <w:lang w:val="en-US" w:eastAsia="en-US"/>
              </w:rPr>
            </w:pPr>
            <w:r w:rsidRPr="00A22509">
              <w:rPr>
                <w:rFonts w:eastAsia="Calibri"/>
                <w:sz w:val="22"/>
                <w:szCs w:val="22"/>
              </w:rPr>
              <w:t>GenBank</w:t>
            </w:r>
          </w:p>
        </w:tc>
      </w:tr>
      <w:tr w:rsidR="00F269E4" w14:paraId="41F8BA86" w14:textId="77777777" w:rsidTr="00F269E4">
        <w:tc>
          <w:tcPr>
            <w:tcW w:w="2944" w:type="dxa"/>
          </w:tcPr>
          <w:p w14:paraId="6567A281" w14:textId="77777777" w:rsidR="00F269E4" w:rsidRDefault="00F269E4" w:rsidP="00F269E4">
            <w:pPr>
              <w:spacing w:after="120"/>
              <w:rPr>
                <w:rFonts w:eastAsia="Calibri"/>
                <w:sz w:val="22"/>
                <w:szCs w:val="22"/>
                <w:lang w:val="en-US" w:eastAsia="en-US"/>
              </w:rPr>
            </w:pPr>
            <w:r w:rsidRPr="00A22509">
              <w:rPr>
                <w:rFonts w:eastAsia="Calibri"/>
                <w:sz w:val="22"/>
                <w:szCs w:val="22"/>
              </w:rPr>
              <w:t>6</w:t>
            </w:r>
          </w:p>
        </w:tc>
        <w:tc>
          <w:tcPr>
            <w:tcW w:w="2944" w:type="dxa"/>
          </w:tcPr>
          <w:p w14:paraId="53D21630" w14:textId="77777777" w:rsidR="00F269E4" w:rsidRDefault="00F269E4" w:rsidP="00F269E4">
            <w:pPr>
              <w:spacing w:after="120"/>
              <w:rPr>
                <w:rFonts w:eastAsia="Calibri"/>
                <w:sz w:val="22"/>
                <w:szCs w:val="22"/>
                <w:lang w:val="en-US" w:eastAsia="en-US"/>
              </w:rPr>
            </w:pPr>
            <w:r w:rsidRPr="00A22509">
              <w:rPr>
                <w:rFonts w:eastAsia="Calibri"/>
                <w:sz w:val="22"/>
                <w:szCs w:val="22"/>
              </w:rPr>
              <w:t>Canada</w:t>
            </w:r>
          </w:p>
        </w:tc>
        <w:tc>
          <w:tcPr>
            <w:tcW w:w="2945" w:type="dxa"/>
          </w:tcPr>
          <w:p w14:paraId="3DAA1BC9" w14:textId="77777777" w:rsidR="00F269E4" w:rsidRDefault="00F269E4" w:rsidP="00F269E4">
            <w:pPr>
              <w:spacing w:after="120"/>
              <w:rPr>
                <w:rFonts w:eastAsia="Calibri"/>
                <w:sz w:val="22"/>
                <w:szCs w:val="22"/>
                <w:lang w:val="en-US" w:eastAsia="en-US"/>
              </w:rPr>
            </w:pPr>
            <w:r w:rsidRPr="00A22509">
              <w:rPr>
                <w:rFonts w:eastAsia="Calibri"/>
                <w:sz w:val="22"/>
                <w:szCs w:val="22"/>
              </w:rPr>
              <w:t>DrugBank</w:t>
            </w:r>
          </w:p>
        </w:tc>
      </w:tr>
      <w:tr w:rsidR="00F269E4" w14:paraId="02861D80" w14:textId="77777777" w:rsidTr="00F269E4">
        <w:tc>
          <w:tcPr>
            <w:tcW w:w="2944" w:type="dxa"/>
          </w:tcPr>
          <w:p w14:paraId="7E186B9C" w14:textId="77777777" w:rsidR="00F269E4" w:rsidRDefault="00F269E4" w:rsidP="00F269E4">
            <w:pPr>
              <w:spacing w:after="120"/>
              <w:rPr>
                <w:rFonts w:eastAsia="Calibri"/>
                <w:sz w:val="22"/>
                <w:szCs w:val="22"/>
                <w:lang w:val="en-US" w:eastAsia="en-US"/>
              </w:rPr>
            </w:pPr>
            <w:r w:rsidRPr="00A22509">
              <w:rPr>
                <w:rFonts w:eastAsia="Calibri"/>
                <w:sz w:val="22"/>
                <w:szCs w:val="22"/>
              </w:rPr>
              <w:t>6</w:t>
            </w:r>
          </w:p>
        </w:tc>
        <w:tc>
          <w:tcPr>
            <w:tcW w:w="2944" w:type="dxa"/>
          </w:tcPr>
          <w:p w14:paraId="09E54413" w14:textId="77777777" w:rsidR="00F269E4" w:rsidRDefault="00F269E4" w:rsidP="00F269E4">
            <w:pPr>
              <w:spacing w:after="120"/>
              <w:rPr>
                <w:rFonts w:eastAsia="Calibri"/>
                <w:sz w:val="22"/>
                <w:szCs w:val="22"/>
                <w:lang w:val="en-US" w:eastAsia="en-US"/>
              </w:rPr>
            </w:pPr>
            <w:r w:rsidRPr="00A22509">
              <w:rPr>
                <w:rFonts w:eastAsia="Calibri"/>
                <w:sz w:val="22"/>
                <w:szCs w:val="22"/>
              </w:rPr>
              <w:t>Japan</w:t>
            </w:r>
          </w:p>
        </w:tc>
        <w:tc>
          <w:tcPr>
            <w:tcW w:w="2945" w:type="dxa"/>
          </w:tcPr>
          <w:p w14:paraId="3B713EE1" w14:textId="77777777" w:rsidR="00F269E4" w:rsidRDefault="00F269E4" w:rsidP="00F269E4">
            <w:pPr>
              <w:spacing w:after="120"/>
              <w:rPr>
                <w:rFonts w:eastAsia="Calibri"/>
                <w:sz w:val="22"/>
                <w:szCs w:val="22"/>
                <w:lang w:val="en-US" w:eastAsia="en-US"/>
              </w:rPr>
            </w:pPr>
            <w:r w:rsidRPr="00A22509">
              <w:rPr>
                <w:rFonts w:eastAsia="Calibri"/>
                <w:sz w:val="22"/>
                <w:szCs w:val="22"/>
              </w:rPr>
              <w:t>DDBJ</w:t>
            </w:r>
          </w:p>
        </w:tc>
      </w:tr>
      <w:tr w:rsidR="00F269E4" w14:paraId="4EE1E8D8" w14:textId="77777777" w:rsidTr="00F269E4">
        <w:tc>
          <w:tcPr>
            <w:tcW w:w="2944" w:type="dxa"/>
          </w:tcPr>
          <w:p w14:paraId="6E267038" w14:textId="77777777" w:rsidR="00F269E4" w:rsidRDefault="00F269E4" w:rsidP="00F269E4">
            <w:pPr>
              <w:spacing w:after="120"/>
              <w:rPr>
                <w:rFonts w:eastAsia="Calibri"/>
                <w:sz w:val="22"/>
                <w:szCs w:val="22"/>
                <w:lang w:val="en-US" w:eastAsia="en-US"/>
              </w:rPr>
            </w:pPr>
            <w:r w:rsidRPr="00A22509">
              <w:rPr>
                <w:rFonts w:eastAsia="Calibri"/>
                <w:sz w:val="22"/>
                <w:szCs w:val="22"/>
              </w:rPr>
              <w:t>2</w:t>
            </w:r>
          </w:p>
        </w:tc>
        <w:tc>
          <w:tcPr>
            <w:tcW w:w="2944" w:type="dxa"/>
          </w:tcPr>
          <w:p w14:paraId="53AC0171" w14:textId="77777777" w:rsidR="00F269E4" w:rsidRDefault="009670E8" w:rsidP="009670E8">
            <w:pPr>
              <w:spacing w:after="120"/>
              <w:rPr>
                <w:rFonts w:eastAsia="Calibri"/>
                <w:sz w:val="22"/>
                <w:szCs w:val="22"/>
                <w:lang w:val="en-US" w:eastAsia="en-US"/>
              </w:rPr>
            </w:pPr>
            <w:r>
              <w:rPr>
                <w:rFonts w:eastAsia="Calibri"/>
                <w:sz w:val="22"/>
                <w:szCs w:val="22"/>
              </w:rPr>
              <w:t xml:space="preserve">Republic of </w:t>
            </w:r>
            <w:r w:rsidR="00F269E4" w:rsidRPr="00A22509">
              <w:rPr>
                <w:rFonts w:eastAsia="Calibri"/>
                <w:sz w:val="22"/>
                <w:szCs w:val="22"/>
              </w:rPr>
              <w:t xml:space="preserve"> Korea</w:t>
            </w:r>
          </w:p>
        </w:tc>
        <w:tc>
          <w:tcPr>
            <w:tcW w:w="2945" w:type="dxa"/>
          </w:tcPr>
          <w:p w14:paraId="08C02897" w14:textId="77777777" w:rsidR="00F269E4" w:rsidRDefault="00F269E4" w:rsidP="00F269E4">
            <w:pPr>
              <w:spacing w:after="120"/>
              <w:rPr>
                <w:rFonts w:eastAsia="Calibri"/>
                <w:sz w:val="22"/>
                <w:szCs w:val="22"/>
                <w:lang w:val="en-US" w:eastAsia="en-US"/>
              </w:rPr>
            </w:pPr>
            <w:r w:rsidRPr="00A22509">
              <w:rPr>
                <w:rFonts w:eastAsia="Calibri"/>
                <w:sz w:val="22"/>
                <w:szCs w:val="22"/>
              </w:rPr>
              <w:t>miRGator</w:t>
            </w:r>
          </w:p>
        </w:tc>
      </w:tr>
      <w:tr w:rsidR="00F269E4" w14:paraId="666BE1B7" w14:textId="77777777" w:rsidTr="00F269E4">
        <w:tc>
          <w:tcPr>
            <w:tcW w:w="2944" w:type="dxa"/>
          </w:tcPr>
          <w:p w14:paraId="4BAE84F4" w14:textId="77777777" w:rsidR="00F269E4" w:rsidRDefault="00F269E4" w:rsidP="00F269E4">
            <w:pPr>
              <w:spacing w:after="120"/>
              <w:rPr>
                <w:rFonts w:eastAsia="Calibri"/>
                <w:sz w:val="22"/>
                <w:szCs w:val="22"/>
                <w:lang w:val="en-US" w:eastAsia="en-US"/>
              </w:rPr>
            </w:pPr>
            <w:r w:rsidRPr="00A22509">
              <w:rPr>
                <w:rFonts w:eastAsia="Calibri"/>
                <w:sz w:val="22"/>
                <w:szCs w:val="22"/>
              </w:rPr>
              <w:t>1</w:t>
            </w:r>
          </w:p>
        </w:tc>
        <w:tc>
          <w:tcPr>
            <w:tcW w:w="2944" w:type="dxa"/>
          </w:tcPr>
          <w:p w14:paraId="012F605B" w14:textId="77777777" w:rsidR="00F269E4" w:rsidRDefault="00F269E4" w:rsidP="00F269E4">
            <w:pPr>
              <w:spacing w:after="120"/>
              <w:rPr>
                <w:rFonts w:eastAsia="Calibri"/>
                <w:sz w:val="22"/>
                <w:szCs w:val="22"/>
                <w:lang w:val="en-US" w:eastAsia="en-US"/>
              </w:rPr>
            </w:pPr>
            <w:r w:rsidRPr="00A22509">
              <w:rPr>
                <w:rFonts w:eastAsia="Calibri"/>
                <w:sz w:val="22"/>
                <w:szCs w:val="22"/>
              </w:rPr>
              <w:t>Taiwan</w:t>
            </w:r>
            <w:r w:rsidR="009670E8">
              <w:rPr>
                <w:rFonts w:eastAsia="Calibri"/>
                <w:sz w:val="22"/>
                <w:szCs w:val="22"/>
              </w:rPr>
              <w:t xml:space="preserve"> Province of China</w:t>
            </w:r>
          </w:p>
        </w:tc>
        <w:tc>
          <w:tcPr>
            <w:tcW w:w="2945" w:type="dxa"/>
          </w:tcPr>
          <w:p w14:paraId="11904320" w14:textId="77777777" w:rsidR="00F269E4" w:rsidRDefault="00F269E4" w:rsidP="00F269E4">
            <w:pPr>
              <w:spacing w:after="120"/>
              <w:rPr>
                <w:rFonts w:eastAsia="Calibri"/>
                <w:sz w:val="22"/>
                <w:szCs w:val="22"/>
                <w:lang w:val="en-US" w:eastAsia="en-US"/>
              </w:rPr>
            </w:pPr>
            <w:r w:rsidRPr="00A22509">
              <w:rPr>
                <w:rFonts w:eastAsia="Calibri"/>
                <w:sz w:val="22"/>
                <w:szCs w:val="22"/>
              </w:rPr>
              <w:t>miRTarBase</w:t>
            </w:r>
          </w:p>
        </w:tc>
      </w:tr>
    </w:tbl>
    <w:p w14:paraId="53BF0C92" w14:textId="77777777" w:rsidR="000923DB" w:rsidRPr="009B3B9A" w:rsidRDefault="00E6234D" w:rsidP="00DE20B6">
      <w:pPr>
        <w:spacing w:after="120"/>
        <w:rPr>
          <w:i/>
          <w:noProof/>
          <w:sz w:val="22"/>
          <w:szCs w:val="22"/>
        </w:rPr>
      </w:pPr>
      <w:r w:rsidRPr="009B3B9A">
        <w:rPr>
          <w:rFonts w:eastAsia="Calibri"/>
          <w:i/>
          <w:sz w:val="22"/>
          <w:szCs w:val="22"/>
          <w:lang w:val="en-US" w:eastAsia="en-US"/>
        </w:rPr>
        <w:t>Source:</w:t>
      </w:r>
      <w:r>
        <w:rPr>
          <w:rFonts w:eastAsia="Calibri"/>
          <w:sz w:val="22"/>
          <w:szCs w:val="22"/>
          <w:lang w:val="en-US" w:eastAsia="en-US"/>
        </w:rPr>
        <w:t xml:space="preserve"> </w:t>
      </w:r>
      <w:r w:rsidR="001C037C" w:rsidRPr="00C02041">
        <w:rPr>
          <w:iCs/>
          <w:noProof/>
          <w:sz w:val="22"/>
          <w:szCs w:val="22"/>
        </w:rPr>
        <w:t xml:space="preserve">Galperin </w:t>
      </w:r>
      <w:r w:rsidR="001C037C" w:rsidRPr="0080686E">
        <w:rPr>
          <w:i/>
          <w:noProof/>
          <w:sz w:val="22"/>
          <w:szCs w:val="22"/>
        </w:rPr>
        <w:t>et al.,</w:t>
      </w:r>
      <w:r w:rsidR="001C037C" w:rsidRPr="00C02041">
        <w:rPr>
          <w:iCs/>
          <w:noProof/>
          <w:sz w:val="22"/>
          <w:szCs w:val="22"/>
        </w:rPr>
        <w:t xml:space="preserve"> </w:t>
      </w:r>
      <w:r w:rsidR="0080686E" w:rsidRPr="00C02041">
        <w:rPr>
          <w:iCs/>
          <w:noProof/>
          <w:sz w:val="22"/>
          <w:szCs w:val="22"/>
        </w:rPr>
        <w:t>(</w:t>
      </w:r>
      <w:r w:rsidR="001C037C" w:rsidRPr="00C02041">
        <w:rPr>
          <w:iCs/>
          <w:noProof/>
          <w:sz w:val="22"/>
          <w:szCs w:val="22"/>
        </w:rPr>
        <w:t>2016)</w:t>
      </w:r>
      <w:r w:rsidRPr="00C02041">
        <w:rPr>
          <w:iCs/>
          <w:noProof/>
          <w:sz w:val="22"/>
          <w:szCs w:val="22"/>
        </w:rPr>
        <w:t>.</w:t>
      </w:r>
    </w:p>
    <w:p w14:paraId="63523286" w14:textId="77777777" w:rsidR="004D3EC5" w:rsidRDefault="004D3EC5" w:rsidP="005F3592">
      <w:pPr>
        <w:pStyle w:val="ListParagraph"/>
        <w:spacing w:before="120" w:after="120"/>
        <w:ind w:left="0"/>
        <w:contextualSpacing w:val="0"/>
        <w:rPr>
          <w:i/>
          <w:noProof/>
          <w:sz w:val="22"/>
          <w:szCs w:val="22"/>
        </w:rPr>
      </w:pPr>
    </w:p>
    <w:p w14:paraId="636937B0" w14:textId="77777777" w:rsidR="00EC70F2" w:rsidRPr="00BB430C" w:rsidRDefault="007477C6" w:rsidP="005F3592">
      <w:pPr>
        <w:pStyle w:val="ListParagraph"/>
        <w:spacing w:before="120" w:after="120"/>
        <w:ind w:left="0"/>
        <w:contextualSpacing w:val="0"/>
        <w:rPr>
          <w:i/>
          <w:noProof/>
          <w:sz w:val="22"/>
          <w:szCs w:val="22"/>
        </w:rPr>
      </w:pPr>
      <w:r w:rsidRPr="00BB430C">
        <w:rPr>
          <w:i/>
          <w:noProof/>
          <w:sz w:val="22"/>
          <w:szCs w:val="22"/>
        </w:rPr>
        <w:t>5</w:t>
      </w:r>
      <w:r w:rsidR="002E4DDB" w:rsidRPr="00BB430C">
        <w:rPr>
          <w:i/>
          <w:noProof/>
          <w:sz w:val="22"/>
          <w:szCs w:val="22"/>
        </w:rPr>
        <w:t>.</w:t>
      </w:r>
      <w:r w:rsidR="005F3592" w:rsidRPr="00BB430C">
        <w:rPr>
          <w:i/>
          <w:noProof/>
          <w:sz w:val="22"/>
          <w:szCs w:val="22"/>
        </w:rPr>
        <w:t>1.</w:t>
      </w:r>
      <w:r w:rsidR="002E4DDB" w:rsidRPr="00BB430C">
        <w:rPr>
          <w:i/>
          <w:noProof/>
          <w:sz w:val="22"/>
          <w:szCs w:val="22"/>
        </w:rPr>
        <w:t xml:space="preserve">2 </w:t>
      </w:r>
      <w:r w:rsidR="00EC70F2" w:rsidRPr="00BB430C">
        <w:rPr>
          <w:i/>
          <w:noProof/>
          <w:sz w:val="22"/>
          <w:szCs w:val="22"/>
        </w:rPr>
        <w:t>Journal</w:t>
      </w:r>
      <w:r w:rsidR="005155F7">
        <w:rPr>
          <w:i/>
          <w:noProof/>
          <w:sz w:val="22"/>
          <w:szCs w:val="22"/>
        </w:rPr>
        <w:t xml:space="preserve"> editor</w:t>
      </w:r>
      <w:r w:rsidR="00EC70F2" w:rsidRPr="00BB430C">
        <w:rPr>
          <w:i/>
          <w:noProof/>
          <w:sz w:val="22"/>
          <w:szCs w:val="22"/>
        </w:rPr>
        <w:t xml:space="preserve">s and </w:t>
      </w:r>
      <w:bookmarkEnd w:id="25"/>
      <w:r w:rsidR="005155F7">
        <w:rPr>
          <w:i/>
          <w:noProof/>
          <w:sz w:val="22"/>
          <w:szCs w:val="22"/>
        </w:rPr>
        <w:t>g</w:t>
      </w:r>
      <w:r w:rsidR="005155F7" w:rsidRPr="00BB430C">
        <w:rPr>
          <w:i/>
          <w:noProof/>
          <w:sz w:val="22"/>
          <w:szCs w:val="22"/>
        </w:rPr>
        <w:t>rant</w:t>
      </w:r>
      <w:r w:rsidR="005155F7">
        <w:rPr>
          <w:i/>
          <w:noProof/>
          <w:sz w:val="22"/>
          <w:szCs w:val="22"/>
        </w:rPr>
        <w:t>ing bodie</w:t>
      </w:r>
      <w:r w:rsidR="005155F7" w:rsidRPr="00BB430C">
        <w:rPr>
          <w:i/>
          <w:noProof/>
          <w:sz w:val="22"/>
          <w:szCs w:val="22"/>
        </w:rPr>
        <w:t>s</w:t>
      </w:r>
    </w:p>
    <w:p w14:paraId="568A4230" w14:textId="77777777" w:rsidR="005F3592" w:rsidRPr="00BB430C" w:rsidRDefault="005F3592" w:rsidP="005F3592">
      <w:pPr>
        <w:spacing w:after="120"/>
        <w:rPr>
          <w:rFonts w:eastAsia="Calibri"/>
          <w:sz w:val="22"/>
          <w:szCs w:val="22"/>
          <w:lang w:val="en-US" w:eastAsia="en-US"/>
        </w:rPr>
      </w:pPr>
      <w:r w:rsidRPr="00BB430C">
        <w:rPr>
          <w:rFonts w:eastAsia="Calibri"/>
          <w:sz w:val="22"/>
          <w:szCs w:val="22"/>
          <w:lang w:val="en-US" w:eastAsia="en-US"/>
        </w:rPr>
        <w:t xml:space="preserve">Many journals require the submission of DSI generated in the course of research to be submitted to a recognized database as a condition of publication </w:t>
      </w:r>
      <w:r w:rsidR="001C037C">
        <w:rPr>
          <w:rFonts w:eastAsia="Calibri"/>
          <w:noProof/>
          <w:sz w:val="22"/>
          <w:szCs w:val="22"/>
          <w:lang w:val="en-US" w:eastAsia="en-US"/>
        </w:rPr>
        <w:t>(GenBank; Noor</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2006)</w:t>
      </w:r>
      <w:r w:rsidRPr="00BB430C">
        <w:rPr>
          <w:rFonts w:eastAsia="Calibri"/>
          <w:sz w:val="22"/>
          <w:szCs w:val="22"/>
          <w:lang w:val="en-US" w:eastAsia="en-US"/>
        </w:rPr>
        <w:t xml:space="preserve">. Failure to do so forfeits acceptance and publication. There are many reasons behind journals adopting this policy and strongly held views amongst those in the scientific community to enforce it </w:t>
      </w:r>
      <w:r w:rsidR="001C037C">
        <w:rPr>
          <w:rFonts w:eastAsia="Calibri"/>
          <w:noProof/>
          <w:sz w:val="22"/>
          <w:szCs w:val="22"/>
          <w:lang w:val="en-US" w:eastAsia="en-US"/>
        </w:rPr>
        <w:t>(Noor</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2006; Marx, 2012)</w:t>
      </w:r>
      <w:r w:rsidRPr="00BB430C">
        <w:rPr>
          <w:rFonts w:eastAsia="Calibri"/>
          <w:sz w:val="22"/>
          <w:szCs w:val="22"/>
          <w:lang w:val="en-US" w:eastAsia="en-US"/>
        </w:rPr>
        <w:t>.</w:t>
      </w:r>
    </w:p>
    <w:p w14:paraId="111A10D2" w14:textId="77777777" w:rsidR="005F3592" w:rsidRPr="00BB430C" w:rsidRDefault="005F3592" w:rsidP="005F3592">
      <w:pPr>
        <w:spacing w:after="120"/>
        <w:rPr>
          <w:rFonts w:eastAsia="Calibri"/>
          <w:sz w:val="22"/>
          <w:szCs w:val="22"/>
          <w:lang w:val="mi-NZ" w:eastAsia="en-US"/>
        </w:rPr>
      </w:pPr>
      <w:r w:rsidRPr="00BB430C">
        <w:rPr>
          <w:rFonts w:eastAsia="Calibri"/>
          <w:i/>
          <w:sz w:val="22"/>
          <w:szCs w:val="22"/>
          <w:lang w:val="en-US" w:eastAsia="en-US"/>
        </w:rPr>
        <w:t>Science</w:t>
      </w:r>
      <w:r w:rsidRPr="00BB430C">
        <w:rPr>
          <w:rFonts w:eastAsia="Calibri"/>
          <w:sz w:val="22"/>
          <w:szCs w:val="22"/>
          <w:lang w:val="en-US" w:eastAsia="en-US"/>
        </w:rPr>
        <w:t xml:space="preserve"> magazine says that it “</w:t>
      </w:r>
      <w:r w:rsidRPr="00BB430C">
        <w:rPr>
          <w:rFonts w:eastAsia="Calibri"/>
          <w:sz w:val="22"/>
          <w:szCs w:val="22"/>
          <w:lang w:val="mi-NZ" w:eastAsia="en-US"/>
        </w:rPr>
        <w:t xml:space="preserve">supports the efforts of databases that aggregate published data for the use of the scientific community” </w:t>
      </w:r>
      <w:r w:rsidR="001C037C">
        <w:rPr>
          <w:rFonts w:eastAsia="Calibri"/>
          <w:noProof/>
          <w:sz w:val="22"/>
          <w:szCs w:val="22"/>
          <w:lang w:val="en-US" w:eastAsia="en-US"/>
        </w:rPr>
        <w:t>(Science)</w:t>
      </w:r>
      <w:r w:rsidRPr="00BB430C">
        <w:rPr>
          <w:rFonts w:eastAsia="Calibri"/>
          <w:sz w:val="22"/>
          <w:szCs w:val="22"/>
          <w:lang w:val="mi-NZ" w:eastAsia="en-US"/>
        </w:rPr>
        <w:t>. The kind of data includes, but is not limited to, microarray data, protein or DNA sequences, atomic coordinates or electron microscopy maps for macromolecular structures, ecological and climate data</w:t>
      </w:r>
      <w:r w:rsidRPr="00BB430C">
        <w:rPr>
          <w:rFonts w:eastAsia="Calibri"/>
          <w:sz w:val="22"/>
          <w:szCs w:val="22"/>
          <w:lang w:val="en-US" w:eastAsia="en-US"/>
        </w:rPr>
        <w:t>. In short, all the forms of data that have been highlighted in the examples of this report. The minimum requirements are in accordance with MIBBI (Minimum Information for Biological and Biomedical Investigations) standards, which is a “</w:t>
      </w:r>
      <w:r w:rsidRPr="00BB430C">
        <w:rPr>
          <w:rFonts w:eastAsia="Calibri"/>
          <w:bCs/>
          <w:sz w:val="22"/>
          <w:szCs w:val="22"/>
          <w:lang w:val="mi-NZ" w:eastAsia="en-US"/>
        </w:rPr>
        <w:t>curated, informative and educational resource on data and metadata </w:t>
      </w:r>
      <w:r w:rsidRPr="00BB430C">
        <w:rPr>
          <w:rFonts w:eastAsia="Calibri"/>
          <w:bCs/>
          <w:i/>
          <w:iCs/>
          <w:sz w:val="22"/>
          <w:szCs w:val="22"/>
          <w:lang w:val="mi-NZ" w:eastAsia="en-US"/>
        </w:rPr>
        <w:t>standards</w:t>
      </w:r>
      <w:r w:rsidRPr="00BB430C">
        <w:rPr>
          <w:rFonts w:eastAsia="Calibri"/>
          <w:bCs/>
          <w:sz w:val="22"/>
          <w:szCs w:val="22"/>
          <w:lang w:val="mi-NZ" w:eastAsia="en-US"/>
        </w:rPr>
        <w:t>, inter-related to</w:t>
      </w:r>
      <w:r w:rsidR="003E5ACC">
        <w:rPr>
          <w:rFonts w:eastAsia="Calibri"/>
          <w:bCs/>
          <w:sz w:val="22"/>
          <w:szCs w:val="22"/>
          <w:lang w:val="mi-NZ" w:eastAsia="en-US"/>
        </w:rPr>
        <w:t xml:space="preserve"> </w:t>
      </w:r>
      <w:r w:rsidRPr="00BB430C">
        <w:rPr>
          <w:rFonts w:eastAsia="Calibri"/>
          <w:bCs/>
          <w:i/>
          <w:iCs/>
          <w:sz w:val="22"/>
          <w:szCs w:val="22"/>
          <w:lang w:val="mi-NZ" w:eastAsia="en-US"/>
        </w:rPr>
        <w:t>databases</w:t>
      </w:r>
      <w:r w:rsidRPr="00BB430C">
        <w:rPr>
          <w:rFonts w:eastAsia="Calibri"/>
          <w:bCs/>
          <w:sz w:val="22"/>
          <w:szCs w:val="22"/>
          <w:lang w:val="mi-NZ" w:eastAsia="en-US"/>
        </w:rPr>
        <w:t> and data</w:t>
      </w:r>
      <w:r w:rsidR="003E5ACC">
        <w:rPr>
          <w:rFonts w:eastAsia="Calibri"/>
          <w:bCs/>
          <w:sz w:val="22"/>
          <w:szCs w:val="22"/>
          <w:lang w:val="mi-NZ" w:eastAsia="en-US"/>
        </w:rPr>
        <w:t xml:space="preserve"> </w:t>
      </w:r>
      <w:r w:rsidRPr="00BB430C">
        <w:rPr>
          <w:rFonts w:eastAsia="Calibri"/>
          <w:bCs/>
          <w:i/>
          <w:iCs/>
          <w:sz w:val="22"/>
          <w:szCs w:val="22"/>
          <w:lang w:val="mi-NZ" w:eastAsia="en-US"/>
        </w:rPr>
        <w:t>policies</w:t>
      </w:r>
      <w:r w:rsidRPr="00BB430C">
        <w:rPr>
          <w:rFonts w:eastAsia="Calibri"/>
          <w:sz w:val="22"/>
          <w:szCs w:val="22"/>
          <w:lang w:val="en-US" w:eastAsia="en-US"/>
        </w:rPr>
        <w:t xml:space="preserve">” </w:t>
      </w:r>
      <w:r w:rsidR="001C037C">
        <w:rPr>
          <w:rFonts w:eastAsia="Calibri"/>
          <w:noProof/>
          <w:sz w:val="22"/>
          <w:szCs w:val="22"/>
          <w:lang w:val="en-US" w:eastAsia="en-US"/>
        </w:rPr>
        <w:t>(MIBBI)</w:t>
      </w:r>
      <w:r w:rsidRPr="00BB430C">
        <w:rPr>
          <w:rFonts w:eastAsia="Calibri"/>
          <w:sz w:val="22"/>
          <w:szCs w:val="22"/>
          <w:lang w:val="en-US" w:eastAsia="en-US"/>
        </w:rPr>
        <w:t>.</w:t>
      </w:r>
    </w:p>
    <w:p w14:paraId="3003F28D" w14:textId="77777777" w:rsidR="005F3592" w:rsidRPr="00BB430C" w:rsidRDefault="005F3592" w:rsidP="005F3592">
      <w:pPr>
        <w:spacing w:after="120"/>
        <w:rPr>
          <w:rFonts w:eastAsia="Calibri"/>
          <w:sz w:val="22"/>
          <w:szCs w:val="22"/>
          <w:lang w:val="en-US" w:eastAsia="en-US"/>
        </w:rPr>
      </w:pPr>
      <w:r w:rsidRPr="00BB430C">
        <w:rPr>
          <w:rFonts w:eastAsia="Calibri"/>
          <w:sz w:val="22"/>
          <w:szCs w:val="22"/>
          <w:lang w:val="en-US" w:eastAsia="en-US"/>
        </w:rPr>
        <w:t xml:space="preserve">Research scientists, especially those in the public sector, depend on public funding in the form of salary, direct research support, grants and contracts to support their research, including generating DNA sequences and omics data. Often publication is necessary to meet employer expectations or conditions for advancement. This is captured in the phrase “publish or perish” </w:t>
      </w:r>
      <w:r w:rsidR="001C037C">
        <w:rPr>
          <w:rFonts w:eastAsia="Calibri"/>
          <w:noProof/>
          <w:sz w:val="22"/>
          <w:szCs w:val="22"/>
          <w:lang w:val="en-US" w:eastAsia="en-US"/>
        </w:rPr>
        <w:t>(Rawat and Meena, 2014)</w:t>
      </w:r>
      <w:r w:rsidRPr="00BB430C">
        <w:rPr>
          <w:rFonts w:eastAsia="Calibri"/>
          <w:sz w:val="22"/>
          <w:szCs w:val="22"/>
          <w:lang w:val="en-US" w:eastAsia="en-US"/>
        </w:rPr>
        <w:t>.</w:t>
      </w:r>
    </w:p>
    <w:p w14:paraId="227CCFC9" w14:textId="77777777" w:rsidR="00F269E4" w:rsidRDefault="005F3592" w:rsidP="005F3592">
      <w:pPr>
        <w:spacing w:after="120"/>
        <w:rPr>
          <w:rFonts w:eastAsia="Calibri"/>
          <w:sz w:val="22"/>
          <w:szCs w:val="22"/>
          <w:lang w:val="en-US" w:eastAsia="en-US"/>
        </w:rPr>
      </w:pPr>
      <w:r w:rsidRPr="00BB430C">
        <w:rPr>
          <w:rFonts w:eastAsia="Calibri"/>
          <w:sz w:val="22"/>
          <w:szCs w:val="22"/>
          <w:lang w:val="en-US" w:eastAsia="en-US"/>
        </w:rPr>
        <w:t>Therefore</w:t>
      </w:r>
      <w:r w:rsidR="00DF156D">
        <w:rPr>
          <w:rFonts w:eastAsia="Calibri"/>
          <w:sz w:val="22"/>
          <w:szCs w:val="22"/>
          <w:lang w:val="en-US" w:eastAsia="en-US"/>
        </w:rPr>
        <w:t>,</w:t>
      </w:r>
      <w:r w:rsidRPr="00BB430C">
        <w:rPr>
          <w:rFonts w:eastAsia="Calibri"/>
          <w:sz w:val="22"/>
          <w:szCs w:val="22"/>
          <w:lang w:val="en-US" w:eastAsia="en-US"/>
        </w:rPr>
        <w:t xml:space="preserve"> for many public scientists at least, there is a </w:t>
      </w:r>
      <w:r w:rsidRPr="00BB430C">
        <w:rPr>
          <w:rFonts w:eastAsia="Calibri"/>
          <w:i/>
          <w:sz w:val="22"/>
          <w:szCs w:val="22"/>
          <w:lang w:val="en-US" w:eastAsia="en-US"/>
        </w:rPr>
        <w:t>de facto</w:t>
      </w:r>
      <w:r w:rsidRPr="00BB430C">
        <w:rPr>
          <w:rFonts w:eastAsia="Calibri"/>
          <w:sz w:val="22"/>
          <w:szCs w:val="22"/>
          <w:lang w:val="en-US" w:eastAsia="en-US"/>
        </w:rPr>
        <w:t xml:space="preserve"> requirement that DSI arising in their work</w:t>
      </w:r>
      <w:r w:rsidR="005155F7">
        <w:rPr>
          <w:rFonts w:eastAsia="Calibri"/>
          <w:sz w:val="22"/>
          <w:szCs w:val="22"/>
          <w:lang w:val="en-US" w:eastAsia="en-US"/>
        </w:rPr>
        <w:t xml:space="preserve"> eventually</w:t>
      </w:r>
      <w:r w:rsidRPr="00BB430C">
        <w:rPr>
          <w:rFonts w:eastAsia="Calibri"/>
          <w:sz w:val="22"/>
          <w:szCs w:val="22"/>
          <w:lang w:val="en-US" w:eastAsia="en-US"/>
        </w:rPr>
        <w:t xml:space="preserve"> must be made public</w:t>
      </w:r>
      <w:r w:rsidR="005155F7">
        <w:rPr>
          <w:rFonts w:eastAsia="Calibri"/>
          <w:sz w:val="22"/>
          <w:szCs w:val="22"/>
          <w:lang w:val="en-US" w:eastAsia="en-US"/>
        </w:rPr>
        <w:t>, unless they have a contractual relationship with a private funder</w:t>
      </w:r>
      <w:r w:rsidRPr="00BB430C">
        <w:rPr>
          <w:rFonts w:eastAsia="Calibri"/>
          <w:sz w:val="22"/>
          <w:szCs w:val="22"/>
          <w:lang w:val="en-US" w:eastAsia="en-US"/>
        </w:rPr>
        <w:t>. Private sector actors do not need to disclose similar information unless they wish to publish.</w:t>
      </w:r>
    </w:p>
    <w:p w14:paraId="293C0D37" w14:textId="77777777" w:rsidR="004B50EC" w:rsidRPr="004B50EC" w:rsidRDefault="002F3E37" w:rsidP="005F3592">
      <w:pPr>
        <w:spacing w:after="120"/>
        <w:rPr>
          <w:rFonts w:eastAsia="Calibri"/>
          <w:sz w:val="22"/>
          <w:szCs w:val="22"/>
          <w:lang w:val="en-NZ" w:eastAsia="en-US"/>
        </w:rPr>
      </w:pPr>
      <w:r>
        <w:rPr>
          <w:rFonts w:eastAsia="Calibri"/>
          <w:sz w:val="22"/>
          <w:szCs w:val="22"/>
          <w:lang w:val="en-US" w:eastAsia="en-US"/>
        </w:rPr>
        <w:t xml:space="preserve">However, this requirement alone is not sufficient to assure equitable access. </w:t>
      </w:r>
      <w:r w:rsidR="004B50EC">
        <w:rPr>
          <w:rFonts w:eastAsia="Calibri"/>
          <w:sz w:val="22"/>
          <w:szCs w:val="22"/>
          <w:lang w:val="en-US" w:eastAsia="en-US"/>
        </w:rPr>
        <w:t xml:space="preserve">A review of information in various databases demonstrated significant non-compliance rates for comprehensive deposition or quality of entries, which would compromise the ability of those </w:t>
      </w:r>
      <w:r w:rsidR="004B50EC">
        <w:rPr>
          <w:rFonts w:eastAsia="Calibri"/>
          <w:sz w:val="22"/>
          <w:szCs w:val="22"/>
          <w:lang w:val="en-US" w:eastAsia="en-US"/>
        </w:rPr>
        <w:lastRenderedPageBreak/>
        <w:t xml:space="preserve">relying upon the DSI of GRFA to create the value from GRFA. In the study, </w:t>
      </w:r>
      <w:r w:rsidR="004B50EC" w:rsidRPr="004B50EC">
        <w:rPr>
          <w:rFonts w:eastAsia="Calibri"/>
          <w:sz w:val="22"/>
          <w:szCs w:val="22"/>
          <w:lang w:val="en-US" w:eastAsia="en-US"/>
        </w:rPr>
        <w:t>“31% of publicly archived genetic data sets could not be recreated</w:t>
      </w:r>
      <w:r w:rsidR="004B50EC">
        <w:rPr>
          <w:rFonts w:eastAsia="Calibri"/>
          <w:sz w:val="22"/>
          <w:szCs w:val="22"/>
          <w:lang w:val="en-NZ" w:eastAsia="en-US"/>
        </w:rPr>
        <w:t xml:space="preserve"> </w:t>
      </w:r>
      <w:r w:rsidR="004B50EC" w:rsidRPr="004B50EC">
        <w:rPr>
          <w:rFonts w:eastAsia="Calibri"/>
          <w:sz w:val="22"/>
          <w:szCs w:val="22"/>
          <w:lang w:val="en-US" w:eastAsia="en-US"/>
        </w:rPr>
        <w:t>based on information supplied in either the manuscript or public archives, with incomplete data or inconsistent codes linking genetic data and metadata as the primary reasons. While the majority of articles did provide some geographic information, 40% did not provide this information as geographic coordinates. Furthermore, a large proportion of articles did not contain any information regarding date of sampling (40%)</w:t>
      </w:r>
      <w:r w:rsidR="004B50EC">
        <w:rPr>
          <w:rFonts w:eastAsia="Calibri"/>
          <w:sz w:val="22"/>
          <w:szCs w:val="22"/>
          <w:lang w:val="en-US" w:eastAsia="en-US"/>
        </w:rPr>
        <w:t>…</w:t>
      </w:r>
      <w:r w:rsidR="004B50EC" w:rsidRPr="004B50EC">
        <w:rPr>
          <w:rFonts w:eastAsia="Calibri"/>
          <w:sz w:val="22"/>
          <w:szCs w:val="22"/>
          <w:lang w:val="en-US" w:eastAsia="en-US"/>
        </w:rPr>
        <w:t xml:space="preserve">the enduring value of publicly accessible genetic data to the molecular ecology field is greatly compromised when such metadata are not </w:t>
      </w:r>
      <w:r w:rsidR="004B50EC">
        <w:rPr>
          <w:rFonts w:eastAsia="Calibri"/>
          <w:sz w:val="22"/>
          <w:szCs w:val="22"/>
          <w:lang w:val="en-US" w:eastAsia="en-US"/>
        </w:rPr>
        <w:t>archived alongside genetic data</w:t>
      </w:r>
      <w:r w:rsidR="004B50EC" w:rsidRPr="004B50EC">
        <w:rPr>
          <w:rFonts w:eastAsia="Calibri"/>
          <w:sz w:val="22"/>
          <w:szCs w:val="22"/>
          <w:lang w:val="en-US" w:eastAsia="en-US"/>
        </w:rPr>
        <w:t>”</w:t>
      </w:r>
      <w:r w:rsidR="004B50EC">
        <w:rPr>
          <w:rFonts w:eastAsia="Calibri"/>
          <w:sz w:val="22"/>
          <w:szCs w:val="22"/>
          <w:lang w:val="en-US" w:eastAsia="en-US"/>
        </w:rPr>
        <w:t xml:space="preserve"> </w:t>
      </w:r>
      <w:r w:rsidR="001C037C">
        <w:rPr>
          <w:rFonts w:eastAsia="Calibri"/>
          <w:noProof/>
          <w:sz w:val="22"/>
          <w:szCs w:val="22"/>
          <w:lang w:val="en-US" w:eastAsia="en-US"/>
        </w:rPr>
        <w:t>(Pope</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2015)</w:t>
      </w:r>
      <w:r w:rsidR="004B50EC">
        <w:rPr>
          <w:rFonts w:eastAsia="Calibri"/>
          <w:sz w:val="22"/>
          <w:szCs w:val="22"/>
          <w:lang w:val="en-US" w:eastAsia="en-US"/>
        </w:rPr>
        <w:t>.</w:t>
      </w:r>
    </w:p>
    <w:p w14:paraId="7FD3BD7C" w14:textId="77777777" w:rsidR="00FC733E" w:rsidRPr="00BB430C" w:rsidRDefault="00FC733E" w:rsidP="005F3592">
      <w:pPr>
        <w:spacing w:after="120"/>
        <w:rPr>
          <w:rFonts w:eastAsia="Calibri"/>
          <w:sz w:val="22"/>
          <w:szCs w:val="22"/>
          <w:lang w:val="en-US" w:eastAsia="en-US"/>
        </w:rPr>
      </w:pPr>
      <w:r>
        <w:rPr>
          <w:rFonts w:eastAsia="Calibri"/>
          <w:sz w:val="22"/>
          <w:szCs w:val="22"/>
          <w:lang w:val="en-US" w:eastAsia="en-US"/>
        </w:rPr>
        <w:t xml:space="preserve">Researchers in developing countries that </w:t>
      </w:r>
      <w:r w:rsidRPr="007F04A8">
        <w:rPr>
          <w:sz w:val="22"/>
          <w:szCs w:val="22"/>
        </w:rPr>
        <w:t>lack the necessary infrastructure for ready access to DSI on GRFA</w:t>
      </w:r>
      <w:r w:rsidR="004B50EC">
        <w:rPr>
          <w:sz w:val="22"/>
          <w:szCs w:val="22"/>
        </w:rPr>
        <w:t xml:space="preserve"> also</w:t>
      </w:r>
      <w:r>
        <w:rPr>
          <w:sz w:val="22"/>
          <w:szCs w:val="22"/>
        </w:rPr>
        <w:t xml:space="preserve"> may be reluctant to release data because of the fear that those with superior infrastructure will use and perhaps publish the information before they can</w:t>
      </w:r>
      <w:r>
        <w:rPr>
          <w:rFonts w:eastAsia="Calibri"/>
          <w:sz w:val="22"/>
          <w:szCs w:val="22"/>
          <w:lang w:val="en-US" w:eastAsia="en-US"/>
        </w:rPr>
        <w:t xml:space="preserve"> </w:t>
      </w:r>
      <w:r w:rsidR="001C037C">
        <w:rPr>
          <w:rFonts w:eastAsia="Calibri"/>
          <w:noProof/>
          <w:sz w:val="22"/>
          <w:szCs w:val="22"/>
          <w:lang w:val="en-US" w:eastAsia="en-US"/>
        </w:rPr>
        <w:t>(Elbe and Buckland-Merrett, 2017)</w:t>
      </w:r>
      <w:r>
        <w:rPr>
          <w:rFonts w:eastAsia="Calibri"/>
          <w:sz w:val="22"/>
          <w:szCs w:val="22"/>
          <w:lang w:val="en-US" w:eastAsia="en-US"/>
        </w:rPr>
        <w:t>.</w:t>
      </w:r>
    </w:p>
    <w:p w14:paraId="79193B53" w14:textId="77777777" w:rsidR="005F3592" w:rsidRPr="00BB430C" w:rsidRDefault="005F3592" w:rsidP="005F3592">
      <w:pPr>
        <w:spacing w:after="120"/>
        <w:rPr>
          <w:rFonts w:eastAsia="Calibri"/>
          <w:sz w:val="22"/>
          <w:szCs w:val="22"/>
          <w:lang w:val="en-US" w:eastAsia="en-US"/>
        </w:rPr>
      </w:pPr>
      <w:r w:rsidRPr="00BB430C">
        <w:rPr>
          <w:rFonts w:eastAsia="Calibri"/>
          <w:sz w:val="22"/>
          <w:szCs w:val="22"/>
          <w:lang w:val="mi-NZ" w:eastAsia="en-US"/>
        </w:rPr>
        <w:t>Like journals, public grant bodies can also put requirements on researchers to make public DSI arising from work completely or partially funded through them. For example, the US Department of Energy Joint Genome Institute provides funding for DNA sequencing and synthesis projects, but requires public release of the data including Sanger trace files, improved assemblies and preliminary automated annotations, “</w:t>
      </w:r>
      <w:r w:rsidRPr="00BB430C">
        <w:rPr>
          <w:rFonts w:eastAsia="Calibri"/>
          <w:sz w:val="22"/>
          <w:szCs w:val="22"/>
          <w:lang w:val="en-US" w:eastAsia="en-US"/>
        </w:rPr>
        <w:t>or other value-added data”.</w:t>
      </w:r>
    </w:p>
    <w:p w14:paraId="5805D3F7" w14:textId="77777777" w:rsidR="005F3592" w:rsidRPr="00BB430C" w:rsidRDefault="005F3592" w:rsidP="005F3592">
      <w:pPr>
        <w:spacing w:after="120"/>
        <w:rPr>
          <w:rFonts w:eastAsia="Calibri"/>
          <w:sz w:val="22"/>
          <w:szCs w:val="22"/>
          <w:lang w:val="mi-NZ" w:eastAsia="en-US"/>
        </w:rPr>
      </w:pPr>
      <w:r w:rsidRPr="00BB430C">
        <w:rPr>
          <w:rFonts w:eastAsia="Calibri"/>
          <w:sz w:val="22"/>
          <w:szCs w:val="22"/>
          <w:lang w:val="mi-NZ" w:eastAsia="en-US"/>
        </w:rPr>
        <w:t>These examples of journal and funding agency policies could have two different effects on researchers, especially those in the public sector. On the one hand, if access and use of DSI has fewer legal requirements than does the use of biological genetic material,</w:t>
      </w:r>
      <w:r w:rsidR="00E075D6">
        <w:rPr>
          <w:rFonts w:eastAsia="Calibri"/>
          <w:sz w:val="22"/>
          <w:szCs w:val="22"/>
          <w:lang w:val="mi-NZ" w:eastAsia="en-US"/>
        </w:rPr>
        <w:t xml:space="preserve"> and thus fewer compliance costs,</w:t>
      </w:r>
      <w:r w:rsidRPr="00BB430C">
        <w:rPr>
          <w:rFonts w:eastAsia="Calibri"/>
          <w:sz w:val="22"/>
          <w:szCs w:val="22"/>
          <w:lang w:val="mi-NZ" w:eastAsia="en-US"/>
        </w:rPr>
        <w:t xml:space="preserve"> more researchers may shift their work away from biological material to DSI, where they can. On the other hand, failure to establish access and benefit</w:t>
      </w:r>
      <w:r w:rsidR="00F315AA">
        <w:rPr>
          <w:rFonts w:eastAsia="Calibri"/>
          <w:sz w:val="22"/>
          <w:szCs w:val="22"/>
          <w:lang w:val="mi-NZ" w:eastAsia="en-US"/>
        </w:rPr>
        <w:t>-</w:t>
      </w:r>
      <w:r w:rsidRPr="00BB430C">
        <w:rPr>
          <w:rFonts w:eastAsia="Calibri"/>
          <w:sz w:val="22"/>
          <w:szCs w:val="22"/>
          <w:lang w:val="mi-NZ" w:eastAsia="en-US"/>
        </w:rPr>
        <w:t xml:space="preserve">sharing provisions for DSI in legislation might shift some private and public sector researchers away from generating or using DSI, because they have no way to meet what they perceive to be their obligations for fair and equitable sharing of benefits from traditional </w:t>
      </w:r>
      <w:r w:rsidR="005A7B05">
        <w:rPr>
          <w:rFonts w:eastAsia="Calibri"/>
          <w:sz w:val="22"/>
          <w:szCs w:val="22"/>
          <w:lang w:val="mi-NZ" w:eastAsia="en-US"/>
        </w:rPr>
        <w:t xml:space="preserve">or </w:t>
      </w:r>
      <w:r w:rsidRPr="00BB430C">
        <w:rPr>
          <w:rFonts w:eastAsia="Calibri"/>
          <w:bCs/>
          <w:iCs/>
          <w:sz w:val="22"/>
          <w:szCs w:val="22"/>
          <w:lang w:val="en-US" w:eastAsia="en-US"/>
        </w:rPr>
        <w:t>sovereign</w:t>
      </w:r>
      <w:r w:rsidRPr="00BB430C">
        <w:rPr>
          <w:rFonts w:eastAsia="Calibri"/>
          <w:sz w:val="22"/>
          <w:szCs w:val="22"/>
          <w:lang w:val="mi-NZ" w:eastAsia="en-US"/>
        </w:rPr>
        <w:t xml:space="preserve"> knowledge.</w:t>
      </w:r>
    </w:p>
    <w:p w14:paraId="72A18B76" w14:textId="77777777" w:rsidR="00064636" w:rsidRDefault="005F3592" w:rsidP="00DE20B6">
      <w:pPr>
        <w:spacing w:after="120"/>
        <w:rPr>
          <w:rFonts w:eastAsia="Calibri"/>
          <w:sz w:val="22"/>
          <w:szCs w:val="22"/>
          <w:lang w:val="en-US" w:eastAsia="en-US"/>
        </w:rPr>
      </w:pPr>
      <w:r w:rsidRPr="00BB430C">
        <w:rPr>
          <w:rFonts w:eastAsia="Calibri"/>
          <w:sz w:val="22"/>
          <w:szCs w:val="22"/>
          <w:lang w:val="en-US" w:eastAsia="en-US"/>
        </w:rPr>
        <w:t>A</w:t>
      </w:r>
      <w:r w:rsidR="00437A96">
        <w:rPr>
          <w:rFonts w:eastAsia="Calibri"/>
          <w:sz w:val="22"/>
          <w:szCs w:val="22"/>
          <w:lang w:val="en-US" w:eastAsia="en-US"/>
        </w:rPr>
        <w:t xml:space="preserve"> scientist that was part of a</w:t>
      </w:r>
      <w:r w:rsidRPr="00BB430C">
        <w:rPr>
          <w:rFonts w:eastAsia="Calibri"/>
          <w:sz w:val="22"/>
          <w:szCs w:val="22"/>
          <w:lang w:val="en-US" w:eastAsia="en-US"/>
        </w:rPr>
        <w:t xml:space="preserve"> consortium of microbiologists from New Zealand</w:t>
      </w:r>
      <w:r w:rsidR="00437A96">
        <w:rPr>
          <w:rFonts w:eastAsia="Calibri"/>
          <w:sz w:val="22"/>
          <w:szCs w:val="22"/>
          <w:lang w:val="en-US" w:eastAsia="en-US"/>
        </w:rPr>
        <w:t xml:space="preserve"> revealed in an interview that he</w:t>
      </w:r>
      <w:r w:rsidRPr="00BB430C">
        <w:rPr>
          <w:rFonts w:eastAsia="Calibri"/>
          <w:sz w:val="22"/>
          <w:szCs w:val="22"/>
          <w:lang w:val="en-US" w:eastAsia="en-US"/>
        </w:rPr>
        <w:t xml:space="preserve"> withdrew a 2015 proposal, “</w:t>
      </w:r>
      <w:r w:rsidRPr="00BB430C">
        <w:rPr>
          <w:rFonts w:eastAsia="Calibri"/>
          <w:i/>
          <w:iCs/>
          <w:sz w:val="22"/>
          <w:szCs w:val="22"/>
          <w:lang w:val="en-US" w:eastAsia="en-US"/>
        </w:rPr>
        <w:t>The 100 Springs Metagenome Project: An analysis of the microbial community function of New Zealand’s geothermal ecosystems</w:t>
      </w:r>
      <w:r w:rsidRPr="00BB430C">
        <w:rPr>
          <w:rFonts w:eastAsia="Calibri"/>
          <w:iCs/>
          <w:sz w:val="22"/>
          <w:szCs w:val="22"/>
          <w:lang w:val="en-US" w:eastAsia="en-US"/>
        </w:rPr>
        <w:t>”,</w:t>
      </w:r>
      <w:r w:rsidRPr="00BB430C">
        <w:rPr>
          <w:rFonts w:eastAsia="Calibri"/>
          <w:sz w:val="22"/>
          <w:szCs w:val="22"/>
          <w:lang w:val="en-US" w:eastAsia="en-US"/>
        </w:rPr>
        <w:t xml:space="preserve"> submitted to the JGI Community Science Program because of JGI’s requirement to make all project data public. The project would have completed microbial metagenomic profiles of 100 geothermal springs in New Zealand, gathering unique information of international scientific, conservation and cultural value. The principle scientific investigator of the proposal was philosophically aligned with JGI’s requirements because he was comfortable with the notion that the funding was from the public and the data should be public, and was himself an advocate of the value of freely accessible DSI. However, he had also carefully and fastidiously developed relationships with the Māori, the indigenous peoples of New Zealand, with whom resided cultural and property rights over the majority of hotsprings from which samples were to be taken. His proposal was authorized by tribal leaders, but</w:t>
      </w:r>
      <w:r w:rsidR="000849FC">
        <w:rPr>
          <w:rFonts w:eastAsia="Calibri"/>
          <w:sz w:val="22"/>
          <w:szCs w:val="22"/>
          <w:lang w:val="en-US" w:eastAsia="en-US"/>
        </w:rPr>
        <w:t xml:space="preserve"> the</w:t>
      </w:r>
      <w:r w:rsidRPr="00BB430C">
        <w:rPr>
          <w:rFonts w:eastAsia="Calibri"/>
          <w:sz w:val="22"/>
          <w:szCs w:val="22"/>
          <w:lang w:val="en-US" w:eastAsia="en-US"/>
        </w:rPr>
        <w:t xml:space="preserve"> JGI policy requirement was inconsistent with his commitment to the partnership. The governing groups for various Māori tribes were also reluctant to release such a vast description of indigenous knowledge without any specific provision for how benefits could be shared or without having a clear role in governance/use of DSI such that it aligned with their cultural values.</w:t>
      </w:r>
    </w:p>
    <w:p w14:paraId="3A701AD0" w14:textId="77777777" w:rsidR="000923DB" w:rsidRPr="00DE20B6" w:rsidRDefault="000923DB" w:rsidP="00DE20B6">
      <w:pPr>
        <w:spacing w:after="120"/>
        <w:rPr>
          <w:rFonts w:eastAsia="Calibri"/>
          <w:sz w:val="22"/>
          <w:szCs w:val="22"/>
          <w:lang w:val="mi-NZ" w:eastAsia="en-US"/>
        </w:rPr>
      </w:pPr>
    </w:p>
    <w:p w14:paraId="79C17B98" w14:textId="77777777" w:rsidR="002E4DDB" w:rsidRPr="00BB430C" w:rsidRDefault="00D17A7A" w:rsidP="00D17A7A">
      <w:pPr>
        <w:pStyle w:val="ListParagraph"/>
        <w:spacing w:before="120" w:after="120"/>
        <w:ind w:left="0"/>
        <w:contextualSpacing w:val="0"/>
        <w:rPr>
          <w:i/>
          <w:noProof/>
          <w:sz w:val="22"/>
          <w:szCs w:val="22"/>
        </w:rPr>
      </w:pPr>
      <w:r w:rsidRPr="00BB430C">
        <w:rPr>
          <w:i/>
          <w:noProof/>
          <w:sz w:val="22"/>
          <w:szCs w:val="22"/>
        </w:rPr>
        <w:t>5.1.3 Private sector and private acting public institutions</w:t>
      </w:r>
    </w:p>
    <w:p w14:paraId="0EAF74DA" w14:textId="77777777" w:rsidR="00D17A7A" w:rsidRPr="00BB430C" w:rsidRDefault="00F315AA" w:rsidP="00D17A7A">
      <w:pPr>
        <w:spacing w:after="120"/>
        <w:rPr>
          <w:rFonts w:eastAsia="Calibri"/>
          <w:sz w:val="22"/>
          <w:szCs w:val="22"/>
          <w:lang w:val="en-US" w:eastAsia="en-US"/>
        </w:rPr>
      </w:pPr>
      <w:r>
        <w:rPr>
          <w:rFonts w:eastAsia="Calibri"/>
          <w:sz w:val="22"/>
          <w:szCs w:val="22"/>
          <w:lang w:val="en-US" w:eastAsia="en-US"/>
        </w:rPr>
        <w:t>Other</w:t>
      </w:r>
      <w:r w:rsidR="00D17A7A" w:rsidRPr="00BB430C">
        <w:rPr>
          <w:rFonts w:eastAsia="Calibri"/>
          <w:sz w:val="22"/>
          <w:szCs w:val="22"/>
          <w:lang w:val="en-US" w:eastAsia="en-US"/>
        </w:rPr>
        <w:t xml:space="preserve"> user</w:t>
      </w:r>
      <w:r>
        <w:rPr>
          <w:rFonts w:eastAsia="Calibri"/>
          <w:sz w:val="22"/>
          <w:szCs w:val="22"/>
          <w:lang w:val="en-US" w:eastAsia="en-US"/>
        </w:rPr>
        <w:t>s</w:t>
      </w:r>
      <w:r w:rsidR="00D17A7A" w:rsidRPr="00BB430C">
        <w:rPr>
          <w:rFonts w:eastAsia="Calibri"/>
          <w:sz w:val="22"/>
          <w:szCs w:val="22"/>
          <w:lang w:val="en-US" w:eastAsia="en-US"/>
        </w:rPr>
        <w:t xml:space="preserve"> and generator</w:t>
      </w:r>
      <w:r>
        <w:rPr>
          <w:rFonts w:eastAsia="Calibri"/>
          <w:sz w:val="22"/>
          <w:szCs w:val="22"/>
          <w:lang w:val="en-US" w:eastAsia="en-US"/>
        </w:rPr>
        <w:t>s</w:t>
      </w:r>
      <w:r w:rsidR="00D17A7A" w:rsidRPr="00BB430C">
        <w:rPr>
          <w:rFonts w:eastAsia="Calibri"/>
          <w:sz w:val="22"/>
          <w:szCs w:val="22"/>
          <w:lang w:val="en-US" w:eastAsia="en-US"/>
        </w:rPr>
        <w:t xml:space="preserve"> of DSI are private companies and technology transfer or company incubator arms of public institutions, </w:t>
      </w:r>
      <w:r w:rsidR="009B3B9A">
        <w:rPr>
          <w:rFonts w:eastAsia="Calibri"/>
          <w:sz w:val="22"/>
          <w:szCs w:val="22"/>
          <w:lang w:val="en-US" w:eastAsia="en-US"/>
        </w:rPr>
        <w:t>for example</w:t>
      </w:r>
      <w:r w:rsidR="00D17A7A" w:rsidRPr="00BB430C">
        <w:rPr>
          <w:rFonts w:eastAsia="Calibri"/>
          <w:sz w:val="22"/>
          <w:szCs w:val="22"/>
          <w:lang w:val="en-US" w:eastAsia="en-US"/>
        </w:rPr>
        <w:t xml:space="preserve"> universities. A few companies dominate the market of building sequencing machines, but their business model has generally been focused on hardware supply, not service </w:t>
      </w:r>
      <w:r w:rsidR="001C037C">
        <w:rPr>
          <w:rFonts w:eastAsia="Calibri"/>
          <w:noProof/>
          <w:sz w:val="22"/>
          <w:szCs w:val="22"/>
          <w:lang w:val="en-US" w:eastAsia="en-US"/>
        </w:rPr>
        <w:t>(Farr, 2016)</w:t>
      </w:r>
      <w:r w:rsidR="00D17A7A" w:rsidRPr="00BB430C">
        <w:rPr>
          <w:rFonts w:eastAsia="Calibri"/>
          <w:sz w:val="22"/>
          <w:szCs w:val="22"/>
          <w:lang w:val="en-US" w:eastAsia="en-US"/>
        </w:rPr>
        <w:t xml:space="preserve">. There is speculation that this might change </w:t>
      </w:r>
      <w:r w:rsidR="001C037C">
        <w:rPr>
          <w:rFonts w:eastAsia="Calibri"/>
          <w:noProof/>
          <w:sz w:val="22"/>
          <w:szCs w:val="22"/>
          <w:lang w:val="en-US" w:eastAsia="en-US"/>
        </w:rPr>
        <w:t>(Farr, 2016)</w:t>
      </w:r>
      <w:r w:rsidR="00D17A7A" w:rsidRPr="00BB430C">
        <w:rPr>
          <w:rFonts w:eastAsia="Calibri"/>
          <w:sz w:val="22"/>
          <w:szCs w:val="22"/>
          <w:lang w:val="en-US" w:eastAsia="en-US"/>
        </w:rPr>
        <w:t>. However, even if it were to, it would be premature to speculate that these companies would also become oligopoly suppliers of DNA sequences much less other forms of DSI.</w:t>
      </w:r>
    </w:p>
    <w:p w14:paraId="7C2281C5" w14:textId="77777777" w:rsidR="00D17A7A" w:rsidRPr="00BB430C" w:rsidRDefault="00D17A7A" w:rsidP="00D17A7A">
      <w:pPr>
        <w:spacing w:after="120"/>
        <w:rPr>
          <w:rFonts w:eastAsia="Calibri"/>
          <w:sz w:val="22"/>
          <w:szCs w:val="22"/>
          <w:lang w:eastAsia="en-US"/>
        </w:rPr>
      </w:pPr>
      <w:r w:rsidRPr="00BB430C">
        <w:rPr>
          <w:rFonts w:eastAsia="Calibri"/>
          <w:sz w:val="22"/>
          <w:szCs w:val="22"/>
          <w:lang w:val="en-US" w:eastAsia="en-US"/>
        </w:rPr>
        <w:lastRenderedPageBreak/>
        <w:t xml:space="preserve">The goal of others generating DSI may be to establish </w:t>
      </w:r>
      <w:r w:rsidR="0090739F">
        <w:rPr>
          <w:rFonts w:eastAsia="Calibri"/>
          <w:sz w:val="22"/>
          <w:szCs w:val="22"/>
          <w:lang w:val="en-US" w:eastAsia="en-US"/>
        </w:rPr>
        <w:t>intellectual property (</w:t>
      </w:r>
      <w:r w:rsidR="00D76BBD">
        <w:rPr>
          <w:rFonts w:eastAsia="Calibri"/>
          <w:sz w:val="22"/>
          <w:szCs w:val="22"/>
          <w:lang w:val="en-US" w:eastAsia="en-US"/>
        </w:rPr>
        <w:t>IP</w:t>
      </w:r>
      <w:r w:rsidR="0090739F">
        <w:rPr>
          <w:rFonts w:eastAsia="Calibri"/>
          <w:sz w:val="22"/>
          <w:szCs w:val="22"/>
          <w:lang w:val="en-US" w:eastAsia="en-US"/>
        </w:rPr>
        <w:t>)</w:t>
      </w:r>
      <w:r w:rsidR="00D76BBD">
        <w:rPr>
          <w:rFonts w:eastAsia="Calibri"/>
          <w:sz w:val="22"/>
          <w:szCs w:val="22"/>
          <w:lang w:val="en-US" w:eastAsia="en-US"/>
        </w:rPr>
        <w:t xml:space="preserve"> including</w:t>
      </w:r>
      <w:r w:rsidR="00590FC1">
        <w:rPr>
          <w:rFonts w:eastAsia="Calibri"/>
          <w:sz w:val="22"/>
          <w:szCs w:val="22"/>
          <w:lang w:val="en-US" w:eastAsia="en-US"/>
        </w:rPr>
        <w:t xml:space="preserve"> for</w:t>
      </w:r>
      <w:r w:rsidRPr="00BB430C">
        <w:rPr>
          <w:rFonts w:eastAsia="Calibri"/>
          <w:sz w:val="22"/>
          <w:szCs w:val="22"/>
          <w:lang w:val="en-US" w:eastAsia="en-US"/>
        </w:rPr>
        <w:t xml:space="preserve"> licensing income</w:t>
      </w:r>
      <w:r w:rsidR="0046116D">
        <w:rPr>
          <w:rFonts w:eastAsia="Calibri"/>
          <w:sz w:val="22"/>
          <w:szCs w:val="22"/>
          <w:lang w:val="en-US" w:eastAsia="en-US"/>
        </w:rPr>
        <w:t xml:space="preserve"> </w:t>
      </w:r>
      <w:r w:rsidR="001C037C">
        <w:rPr>
          <w:rFonts w:eastAsia="Calibri"/>
          <w:noProof/>
          <w:sz w:val="22"/>
          <w:szCs w:val="22"/>
          <w:lang w:val="en-US" w:eastAsia="en-US"/>
        </w:rPr>
        <w:t>(Bagley, 2016)</w:t>
      </w:r>
      <w:r w:rsidRPr="00BB430C">
        <w:rPr>
          <w:rFonts w:eastAsia="Calibri"/>
          <w:sz w:val="22"/>
          <w:szCs w:val="22"/>
          <w:lang w:val="en-US" w:eastAsia="en-US"/>
        </w:rPr>
        <w:t>. This may come from proprietary information or a mix of private and public information.</w:t>
      </w:r>
      <w:r w:rsidR="006D793C">
        <w:rPr>
          <w:rFonts w:eastAsia="Calibri"/>
          <w:sz w:val="22"/>
          <w:szCs w:val="22"/>
          <w:lang w:val="en-US" w:eastAsia="en-US"/>
        </w:rPr>
        <w:t xml:space="preserve"> For example, a genetic linkage map of </w:t>
      </w:r>
      <w:r w:rsidR="006D793C" w:rsidRPr="00783BFD">
        <w:rPr>
          <w:rFonts w:eastAsia="Calibri"/>
          <w:i/>
          <w:sz w:val="22"/>
          <w:szCs w:val="22"/>
          <w:lang w:val="en-US" w:eastAsia="en-US"/>
        </w:rPr>
        <w:t xml:space="preserve">Coffea </w:t>
      </w:r>
      <w:r w:rsidR="006D793C" w:rsidRPr="006D793C">
        <w:rPr>
          <w:rFonts w:eastAsia="Calibri"/>
          <w:i/>
          <w:sz w:val="22"/>
          <w:szCs w:val="22"/>
          <w:lang w:val="en-US" w:eastAsia="en-US"/>
        </w:rPr>
        <w:t>a</w:t>
      </w:r>
      <w:r w:rsidR="006D793C" w:rsidRPr="00783BFD">
        <w:rPr>
          <w:rFonts w:eastAsia="Calibri"/>
          <w:i/>
          <w:sz w:val="22"/>
          <w:szCs w:val="22"/>
          <w:lang w:val="en-US" w:eastAsia="en-US"/>
        </w:rPr>
        <w:t>rabica</w:t>
      </w:r>
      <w:r w:rsidR="006D793C">
        <w:rPr>
          <w:rFonts w:eastAsia="Calibri"/>
          <w:sz w:val="22"/>
          <w:szCs w:val="22"/>
          <w:lang w:val="en-US" w:eastAsia="en-US"/>
        </w:rPr>
        <w:t xml:space="preserve"> L. (coffee) including QTL for yield, plant height and bean size was developed using a combination of public</w:t>
      </w:r>
      <w:r w:rsidR="00D1228E">
        <w:rPr>
          <w:rFonts w:eastAsia="Calibri"/>
          <w:sz w:val="22"/>
          <w:szCs w:val="22"/>
          <w:lang w:val="en-US" w:eastAsia="en-US"/>
        </w:rPr>
        <w:t xml:space="preserve"> (SOL Genomics Network)</w:t>
      </w:r>
      <w:r w:rsidR="006D793C">
        <w:rPr>
          <w:rFonts w:eastAsia="Calibri"/>
          <w:sz w:val="22"/>
          <w:szCs w:val="22"/>
          <w:lang w:val="en-US" w:eastAsia="en-US"/>
        </w:rPr>
        <w:t xml:space="preserve"> and proprietary</w:t>
      </w:r>
      <w:r w:rsidR="00D1228E">
        <w:rPr>
          <w:rFonts w:eastAsia="Calibri"/>
          <w:sz w:val="22"/>
          <w:szCs w:val="22"/>
          <w:lang w:val="en-US" w:eastAsia="en-US"/>
        </w:rPr>
        <w:t xml:space="preserve"> (Cenicafe)</w:t>
      </w:r>
      <w:r w:rsidR="006D793C">
        <w:rPr>
          <w:rFonts w:eastAsia="Calibri"/>
          <w:sz w:val="22"/>
          <w:szCs w:val="22"/>
          <w:lang w:val="en-US" w:eastAsia="en-US"/>
        </w:rPr>
        <w:t xml:space="preserve"> databases</w:t>
      </w:r>
      <w:r w:rsidR="00D1228E">
        <w:rPr>
          <w:rFonts w:eastAsia="Calibri"/>
          <w:sz w:val="22"/>
          <w:szCs w:val="22"/>
          <w:lang w:val="en-US" w:eastAsia="en-US"/>
        </w:rPr>
        <w:t xml:space="preserve"> </w:t>
      </w:r>
      <w:r w:rsidR="001C037C">
        <w:rPr>
          <w:rFonts w:eastAsia="Calibri"/>
          <w:noProof/>
          <w:sz w:val="22"/>
          <w:szCs w:val="22"/>
          <w:lang w:val="en-US" w:eastAsia="en-US"/>
        </w:rPr>
        <w:t>(Moncada</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2015)</w:t>
      </w:r>
      <w:r w:rsidR="006D793C">
        <w:rPr>
          <w:rFonts w:eastAsia="Calibri"/>
          <w:sz w:val="22"/>
          <w:szCs w:val="22"/>
          <w:lang w:val="en-US" w:eastAsia="en-US"/>
        </w:rPr>
        <w:t>.</w:t>
      </w:r>
      <w:r w:rsidR="002C68EC">
        <w:rPr>
          <w:rFonts w:eastAsia="Calibri"/>
          <w:sz w:val="22"/>
          <w:szCs w:val="22"/>
          <w:lang w:val="en-US" w:eastAsia="en-US"/>
        </w:rPr>
        <w:t xml:space="preserve"> In addition to database content, tools for accessing or using the content can be proprietary.</w:t>
      </w:r>
      <w:r w:rsidR="003A26D8">
        <w:rPr>
          <w:rFonts w:eastAsia="Calibri"/>
          <w:sz w:val="22"/>
          <w:szCs w:val="22"/>
          <w:lang w:val="en-US" w:eastAsia="en-US"/>
        </w:rPr>
        <w:t xml:space="preserve"> Private or proprietary databases </w:t>
      </w:r>
      <w:r w:rsidR="0090739F">
        <w:rPr>
          <w:rFonts w:eastAsia="Calibri"/>
          <w:sz w:val="22"/>
          <w:szCs w:val="22"/>
          <w:lang w:val="en-US" w:eastAsia="en-US"/>
        </w:rPr>
        <w:t xml:space="preserve">that </w:t>
      </w:r>
      <w:r w:rsidR="003A26D8">
        <w:rPr>
          <w:rFonts w:eastAsia="Calibri"/>
          <w:sz w:val="22"/>
          <w:szCs w:val="22"/>
          <w:lang w:val="en-US" w:eastAsia="en-US"/>
        </w:rPr>
        <w:t xml:space="preserve">could hold critical information necessary to extract maximum value from public databases, are growing </w:t>
      </w:r>
      <w:r w:rsidR="001C037C">
        <w:rPr>
          <w:rFonts w:eastAsia="Calibri"/>
          <w:noProof/>
          <w:sz w:val="22"/>
          <w:szCs w:val="22"/>
          <w:lang w:val="en-US" w:eastAsia="en-US"/>
        </w:rPr>
        <w:t>(Welch</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sidRPr="00BB430C">
        <w:rPr>
          <w:rFonts w:eastAsia="Calibri"/>
          <w:sz w:val="22"/>
          <w:szCs w:val="22"/>
          <w:lang w:eastAsia="en-US"/>
        </w:rPr>
        <w:t>.</w:t>
      </w:r>
    </w:p>
    <w:p w14:paraId="52D953B5" w14:textId="77777777" w:rsidR="00D17A7A" w:rsidRPr="00BB430C" w:rsidRDefault="00D17A7A" w:rsidP="00D17A7A">
      <w:pPr>
        <w:spacing w:after="120"/>
        <w:rPr>
          <w:rFonts w:eastAsia="Calibri"/>
          <w:sz w:val="22"/>
          <w:szCs w:val="22"/>
          <w:lang w:val="en-US" w:eastAsia="en-US"/>
        </w:rPr>
      </w:pPr>
      <w:r w:rsidRPr="00BB430C">
        <w:rPr>
          <w:rFonts w:eastAsia="Calibri"/>
          <w:sz w:val="22"/>
          <w:szCs w:val="22"/>
          <w:lang w:val="en-US" w:eastAsia="en-US"/>
        </w:rPr>
        <w:t xml:space="preserve">Some instruments of </w:t>
      </w:r>
      <w:r w:rsidR="008566A2">
        <w:rPr>
          <w:rFonts w:eastAsia="Calibri"/>
          <w:sz w:val="22"/>
          <w:szCs w:val="22"/>
          <w:lang w:val="en-US" w:eastAsia="en-US"/>
        </w:rPr>
        <w:t>IP</w:t>
      </w:r>
      <w:r w:rsidRPr="00BB430C">
        <w:rPr>
          <w:rFonts w:eastAsia="Calibri"/>
          <w:sz w:val="22"/>
          <w:szCs w:val="22"/>
          <w:lang w:val="en-US" w:eastAsia="en-US"/>
        </w:rPr>
        <w:t xml:space="preserve"> can encourage transparency in DSI. However, transparency is not a requirement of</w:t>
      </w:r>
      <w:r w:rsidR="000849FC">
        <w:rPr>
          <w:rFonts w:eastAsia="Calibri"/>
          <w:sz w:val="22"/>
          <w:szCs w:val="22"/>
          <w:lang w:val="en-US" w:eastAsia="en-US"/>
        </w:rPr>
        <w:t xml:space="preserve"> all IP</w:t>
      </w:r>
      <w:r w:rsidRPr="00BB430C">
        <w:rPr>
          <w:rFonts w:eastAsia="Calibri"/>
          <w:sz w:val="22"/>
          <w:szCs w:val="22"/>
          <w:lang w:val="en-US" w:eastAsia="en-US"/>
        </w:rPr>
        <w:t xml:space="preserve"> instruments</w:t>
      </w:r>
      <w:r w:rsidR="000849FC">
        <w:rPr>
          <w:rFonts w:eastAsia="Calibri"/>
          <w:sz w:val="22"/>
          <w:szCs w:val="22"/>
          <w:lang w:val="en-US" w:eastAsia="en-US"/>
        </w:rPr>
        <w:t>,</w:t>
      </w:r>
      <w:r w:rsidRPr="00BB430C">
        <w:rPr>
          <w:rFonts w:eastAsia="Calibri"/>
          <w:sz w:val="22"/>
          <w:szCs w:val="22"/>
          <w:lang w:val="en-US" w:eastAsia="en-US"/>
        </w:rPr>
        <w:t xml:space="preserve"> such as trade secrets</w:t>
      </w:r>
      <w:r w:rsidR="000551AF">
        <w:rPr>
          <w:rFonts w:eastAsia="Calibri"/>
          <w:sz w:val="22"/>
          <w:szCs w:val="22"/>
          <w:lang w:val="en-US" w:eastAsia="en-US"/>
        </w:rPr>
        <w:t xml:space="preserve"> </w:t>
      </w:r>
      <w:r w:rsidR="001C037C">
        <w:rPr>
          <w:rFonts w:eastAsia="Calibri"/>
          <w:noProof/>
          <w:sz w:val="22"/>
          <w:szCs w:val="22"/>
          <w:lang w:val="en-US" w:eastAsia="en-US"/>
        </w:rPr>
        <w:t>(Tvedt and Young, 2007)</w:t>
      </w:r>
      <w:r w:rsidRPr="00BB430C">
        <w:rPr>
          <w:rFonts w:eastAsia="Calibri"/>
          <w:sz w:val="22"/>
          <w:szCs w:val="22"/>
          <w:lang w:val="en-US" w:eastAsia="en-US"/>
        </w:rPr>
        <w:t>. Thus, accessibility and sharing of benefits may depend on current and future types and uses of IP instruments.</w:t>
      </w:r>
    </w:p>
    <w:p w14:paraId="766D2B61" w14:textId="77777777" w:rsidR="00D17A7A" w:rsidRDefault="00D17A7A" w:rsidP="00D17A7A">
      <w:pPr>
        <w:spacing w:after="120"/>
        <w:rPr>
          <w:rFonts w:eastAsia="Calibri"/>
          <w:sz w:val="22"/>
          <w:szCs w:val="22"/>
          <w:lang w:val="en-US" w:eastAsia="en-US"/>
        </w:rPr>
      </w:pPr>
      <w:r w:rsidRPr="00BB430C">
        <w:rPr>
          <w:rFonts w:eastAsia="Calibri"/>
          <w:sz w:val="22"/>
          <w:szCs w:val="22"/>
          <w:lang w:val="en-US" w:eastAsia="en-US"/>
        </w:rPr>
        <w:t xml:space="preserve">The entrepreneurial activities of public institutions including universities and government agencies might in general also threaten their abilities to provide public good through the use of DSI. Historically, for example, universities could conduct research on inventions claimed by patents under the research exemption rule. However, court cases in the United States </w:t>
      </w:r>
      <w:r w:rsidR="008566A2">
        <w:rPr>
          <w:rFonts w:eastAsia="Calibri"/>
          <w:sz w:val="22"/>
          <w:szCs w:val="22"/>
          <w:lang w:val="en-US" w:eastAsia="en-US"/>
        </w:rPr>
        <w:t xml:space="preserve">of America </w:t>
      </w:r>
      <w:r w:rsidRPr="00BB430C">
        <w:rPr>
          <w:rFonts w:eastAsia="Calibri"/>
          <w:sz w:val="22"/>
          <w:szCs w:val="22"/>
          <w:lang w:val="en-US" w:eastAsia="en-US"/>
        </w:rPr>
        <w:t xml:space="preserve">have begun to put restrictions on the exemption, noting that the business of a university was in some cases actually business, with the potential to use the exemption to gain unfair advantage </w:t>
      </w:r>
      <w:r w:rsidR="001C037C">
        <w:rPr>
          <w:rFonts w:eastAsia="Calibri"/>
          <w:noProof/>
          <w:sz w:val="22"/>
          <w:szCs w:val="22"/>
          <w:lang w:val="en-US" w:eastAsia="en-US"/>
        </w:rPr>
        <w:t>(Mueller, 2003; Heinemann, 2009)</w:t>
      </w:r>
      <w:r w:rsidRPr="00BB430C">
        <w:rPr>
          <w:rFonts w:eastAsia="Calibri"/>
          <w:sz w:val="22"/>
          <w:szCs w:val="22"/>
          <w:lang w:val="en-US" w:eastAsia="en-US"/>
        </w:rPr>
        <w:t>.</w:t>
      </w:r>
    </w:p>
    <w:p w14:paraId="55262644" w14:textId="77777777" w:rsidR="000923DB" w:rsidRPr="00BB430C" w:rsidRDefault="000923DB" w:rsidP="00D17A7A">
      <w:pPr>
        <w:spacing w:after="120"/>
        <w:rPr>
          <w:rFonts w:eastAsia="Calibri"/>
          <w:sz w:val="22"/>
          <w:szCs w:val="22"/>
          <w:lang w:val="en-US" w:eastAsia="en-US"/>
        </w:rPr>
      </w:pPr>
    </w:p>
    <w:p w14:paraId="3396ECA0" w14:textId="77777777" w:rsidR="00D17A7A" w:rsidRPr="00BB430C" w:rsidRDefault="00D17A7A" w:rsidP="00D17A7A">
      <w:pPr>
        <w:keepNext/>
        <w:keepLines/>
        <w:spacing w:before="200" w:after="120"/>
        <w:outlineLvl w:val="3"/>
        <w:rPr>
          <w:i/>
          <w:noProof/>
          <w:sz w:val="22"/>
          <w:szCs w:val="22"/>
        </w:rPr>
      </w:pPr>
      <w:bookmarkStart w:id="26" w:name="_Toc375559481"/>
      <w:bookmarkStart w:id="27" w:name="_Toc375588451"/>
      <w:r w:rsidRPr="00BB430C">
        <w:rPr>
          <w:i/>
          <w:noProof/>
          <w:sz w:val="22"/>
          <w:szCs w:val="22"/>
        </w:rPr>
        <w:t xml:space="preserve">5.1.4 </w:t>
      </w:r>
      <w:bookmarkEnd w:id="26"/>
      <w:bookmarkEnd w:id="27"/>
      <w:r w:rsidR="00D8350F">
        <w:rPr>
          <w:i/>
          <w:noProof/>
          <w:sz w:val="22"/>
          <w:szCs w:val="22"/>
        </w:rPr>
        <w:t>The public</w:t>
      </w:r>
    </w:p>
    <w:p w14:paraId="40007B82" w14:textId="77777777" w:rsidR="00595ACB" w:rsidRPr="00DE20B6" w:rsidRDefault="00595ACB" w:rsidP="00DE20B6">
      <w:pPr>
        <w:shd w:val="clear" w:color="auto" w:fill="E0E0E0"/>
        <w:spacing w:after="120"/>
        <w:rPr>
          <w:rFonts w:eastAsia="Calibri"/>
          <w:sz w:val="20"/>
          <w:szCs w:val="22"/>
          <w:lang w:val="en-US" w:eastAsia="en-US"/>
        </w:rPr>
      </w:pPr>
      <w:r>
        <w:rPr>
          <w:rFonts w:eastAsia="Calibri"/>
          <w:sz w:val="20"/>
          <w:szCs w:val="22"/>
          <w:lang w:val="en-US" w:eastAsia="en-US"/>
        </w:rPr>
        <w:t>“</w:t>
      </w:r>
      <w:r w:rsidRPr="00506A3E">
        <w:rPr>
          <w:rFonts w:eastAsia="Calibri"/>
          <w:sz w:val="20"/>
          <w:szCs w:val="22"/>
          <w:lang w:val="en-US" w:eastAsia="en-US"/>
        </w:rPr>
        <w:t>A farmer finds a h</w:t>
      </w:r>
      <w:r w:rsidR="005A7B05">
        <w:rPr>
          <w:rFonts w:eastAsia="Calibri"/>
          <w:sz w:val="20"/>
          <w:szCs w:val="22"/>
          <w:lang w:val="en-US" w:eastAsia="en-US"/>
        </w:rPr>
        <w:t xml:space="preserve">igh-tech solution: DNA testing. </w:t>
      </w:r>
      <w:r w:rsidRPr="00506A3E">
        <w:rPr>
          <w:rFonts w:eastAsia="Calibri"/>
          <w:sz w:val="20"/>
          <w:szCs w:val="22"/>
          <w:lang w:val="en-US" w:eastAsia="en-US"/>
        </w:rPr>
        <w:t>Thanks to his background in advanced biology, Thomas recognized that DN</w:t>
      </w:r>
      <w:r w:rsidR="005A7B05">
        <w:rPr>
          <w:rFonts w:eastAsia="Calibri"/>
          <w:sz w:val="20"/>
          <w:szCs w:val="22"/>
          <w:lang w:val="en-US" w:eastAsia="en-US"/>
        </w:rPr>
        <w:t xml:space="preserve">A testing could hold the key to </w:t>
      </w:r>
      <w:r w:rsidRPr="00506A3E">
        <w:rPr>
          <w:rFonts w:eastAsia="Calibri"/>
          <w:sz w:val="20"/>
          <w:szCs w:val="22"/>
          <w:lang w:val="en-US" w:eastAsia="en-US"/>
        </w:rPr>
        <w:t>distinguishing between Chinese and black truffles</w:t>
      </w:r>
      <w:r>
        <w:rPr>
          <w:rFonts w:eastAsia="Calibri"/>
          <w:sz w:val="20"/>
          <w:szCs w:val="22"/>
          <w:lang w:val="en-US" w:eastAsia="en-US"/>
        </w:rPr>
        <w:t>….</w:t>
      </w:r>
      <w:r w:rsidRPr="00506A3E">
        <w:rPr>
          <w:rFonts w:eastAsia="Calibri"/>
          <w:sz w:val="20"/>
          <w:szCs w:val="22"/>
          <w:lang w:val="en-US" w:eastAsia="en-US"/>
        </w:rPr>
        <w:t>By analyzing a small piece of truffle with it, Thomas can look for a telltale area of DNA that is present in the black but not the Chinese truffle. Now, besides cultivating his own truffles, he also acts as a consultant to other growers, selling them seedlings that have been tested to ensure they’re inoculated with the desirable fungus, assessing and sampling the growing truffles, and helping distribute and verify the valuable harvest</w:t>
      </w:r>
      <w:r>
        <w:rPr>
          <w:rFonts w:eastAsia="Calibri"/>
          <w:sz w:val="20"/>
          <w:szCs w:val="22"/>
          <w:lang w:val="en-US" w:eastAsia="en-US"/>
        </w:rPr>
        <w:t xml:space="preserve">” </w:t>
      </w:r>
      <w:r w:rsidR="001C037C">
        <w:rPr>
          <w:rFonts w:eastAsia="Calibri"/>
          <w:noProof/>
          <w:sz w:val="20"/>
          <w:szCs w:val="22"/>
          <w:lang w:val="en-US" w:eastAsia="en-US"/>
        </w:rPr>
        <w:t>(Barnett, 2016)</w:t>
      </w:r>
      <w:r w:rsidRPr="00506A3E">
        <w:rPr>
          <w:rFonts w:eastAsia="Calibri"/>
          <w:sz w:val="20"/>
          <w:szCs w:val="22"/>
          <w:lang w:val="en-US" w:eastAsia="en-US"/>
        </w:rPr>
        <w:t>.</w:t>
      </w:r>
    </w:p>
    <w:p w14:paraId="6D8F0BB5" w14:textId="77777777" w:rsidR="00D17A7A" w:rsidRPr="00BB430C" w:rsidRDefault="00D8350F" w:rsidP="00D17A7A">
      <w:pPr>
        <w:spacing w:after="120"/>
        <w:rPr>
          <w:rFonts w:eastAsia="Calibri"/>
          <w:sz w:val="22"/>
          <w:szCs w:val="22"/>
          <w:lang w:val="en-US" w:eastAsia="en-US"/>
        </w:rPr>
      </w:pPr>
      <w:r>
        <w:rPr>
          <w:rFonts w:eastAsia="Calibri"/>
          <w:sz w:val="22"/>
          <w:szCs w:val="22"/>
          <w:lang w:val="en-US" w:eastAsia="en-US"/>
        </w:rPr>
        <w:t>The public</w:t>
      </w:r>
      <w:r w:rsidRPr="00BB430C">
        <w:rPr>
          <w:rFonts w:eastAsia="Calibri"/>
          <w:sz w:val="22"/>
          <w:szCs w:val="22"/>
          <w:lang w:val="en-US" w:eastAsia="en-US"/>
        </w:rPr>
        <w:t xml:space="preserve"> </w:t>
      </w:r>
      <w:r w:rsidR="00D17A7A" w:rsidRPr="00BB430C">
        <w:rPr>
          <w:rFonts w:eastAsia="Calibri"/>
          <w:sz w:val="22"/>
          <w:szCs w:val="22"/>
          <w:lang w:val="en-US" w:eastAsia="en-US"/>
        </w:rPr>
        <w:t xml:space="preserve">are private actors but may engage with DSI for a variety of reasons not primarily including income or </w:t>
      </w:r>
      <w:r w:rsidR="008566A2">
        <w:rPr>
          <w:rFonts w:eastAsia="Calibri"/>
          <w:sz w:val="22"/>
          <w:szCs w:val="22"/>
          <w:lang w:val="en-US" w:eastAsia="en-US"/>
        </w:rPr>
        <w:t>IP</w:t>
      </w:r>
      <w:r w:rsidR="00D17A7A" w:rsidRPr="00BB430C">
        <w:rPr>
          <w:rFonts w:eastAsia="Calibri"/>
          <w:sz w:val="22"/>
          <w:szCs w:val="22"/>
          <w:lang w:val="en-US" w:eastAsia="en-US"/>
        </w:rPr>
        <w:t>. They may be school children learning about bioinformatics or competing in science fairs</w:t>
      </w:r>
      <w:r w:rsidR="00893E2F">
        <w:rPr>
          <w:rFonts w:eastAsia="Calibri"/>
          <w:sz w:val="22"/>
          <w:szCs w:val="22"/>
          <w:lang w:val="en-US" w:eastAsia="en-US"/>
        </w:rPr>
        <w:t xml:space="preserve"> </w:t>
      </w:r>
      <w:r w:rsidR="001C037C">
        <w:rPr>
          <w:rFonts w:eastAsia="Calibri"/>
          <w:noProof/>
          <w:sz w:val="22"/>
          <w:szCs w:val="22"/>
          <w:lang w:val="en-US" w:eastAsia="en-US"/>
        </w:rPr>
        <w:t>(iGEM)</w:t>
      </w:r>
      <w:r w:rsidR="00D17A7A" w:rsidRPr="00BB430C">
        <w:rPr>
          <w:rFonts w:eastAsia="Calibri"/>
          <w:sz w:val="22"/>
          <w:szCs w:val="22"/>
          <w:lang w:val="en-US" w:eastAsia="en-US"/>
        </w:rPr>
        <w:t>. They may be people satisfying their curiosity, wish to take a role in science communication, or may be looking for do-it-yourself options in the garden or on the farm.</w:t>
      </w:r>
    </w:p>
    <w:p w14:paraId="23C104A9" w14:textId="77777777" w:rsidR="00D17A7A" w:rsidRPr="00BB430C" w:rsidRDefault="00D17A7A" w:rsidP="00D17A7A">
      <w:pPr>
        <w:spacing w:after="120"/>
        <w:rPr>
          <w:rFonts w:eastAsia="Calibri"/>
          <w:sz w:val="22"/>
          <w:szCs w:val="22"/>
          <w:lang w:val="en-US" w:eastAsia="en-US"/>
        </w:rPr>
      </w:pPr>
      <w:r w:rsidRPr="00BB430C">
        <w:rPr>
          <w:rFonts w:eastAsia="Calibri"/>
          <w:sz w:val="22"/>
          <w:szCs w:val="22"/>
          <w:lang w:val="en-US" w:eastAsia="en-US"/>
        </w:rPr>
        <w:t xml:space="preserve">The </w:t>
      </w:r>
      <w:r w:rsidR="00D8350F">
        <w:rPr>
          <w:rFonts w:eastAsia="Calibri"/>
          <w:sz w:val="22"/>
          <w:szCs w:val="22"/>
          <w:lang w:val="en-US" w:eastAsia="en-US"/>
        </w:rPr>
        <w:t>public</w:t>
      </w:r>
      <w:r w:rsidR="00D8350F" w:rsidRPr="00BB430C">
        <w:rPr>
          <w:rFonts w:eastAsia="Calibri"/>
          <w:sz w:val="22"/>
          <w:szCs w:val="22"/>
          <w:lang w:val="en-US" w:eastAsia="en-US"/>
        </w:rPr>
        <w:t xml:space="preserve"> </w:t>
      </w:r>
      <w:r w:rsidRPr="00BB430C">
        <w:rPr>
          <w:rFonts w:eastAsia="Calibri"/>
          <w:sz w:val="22"/>
          <w:szCs w:val="22"/>
          <w:lang w:val="en-US" w:eastAsia="en-US"/>
        </w:rPr>
        <w:t xml:space="preserve">is transforming from a user of DSI as an </w:t>
      </w:r>
      <w:r w:rsidRPr="00BB430C">
        <w:rPr>
          <w:rFonts w:eastAsia="Calibri"/>
          <w:i/>
          <w:sz w:val="22"/>
          <w:szCs w:val="22"/>
          <w:lang w:val="en-US" w:eastAsia="en-US"/>
        </w:rPr>
        <w:t>in silico</w:t>
      </w:r>
      <w:r w:rsidRPr="00BB430C">
        <w:rPr>
          <w:rFonts w:eastAsia="Calibri"/>
          <w:sz w:val="22"/>
          <w:szCs w:val="22"/>
          <w:lang w:val="en-US" w:eastAsia="en-US"/>
        </w:rPr>
        <w:t xml:space="preserve"> product to a manufacturer of biological materials, including new genetic resources and DNA.</w:t>
      </w:r>
    </w:p>
    <w:p w14:paraId="3EDC7C12" w14:textId="77777777" w:rsidR="00D17A7A" w:rsidRPr="00BB430C" w:rsidRDefault="00D17A7A" w:rsidP="00D17A7A">
      <w:pPr>
        <w:spacing w:after="120"/>
        <w:rPr>
          <w:rFonts w:eastAsia="Calibri"/>
          <w:sz w:val="22"/>
          <w:szCs w:val="22"/>
          <w:lang w:val="en-US" w:eastAsia="en-US"/>
        </w:rPr>
      </w:pPr>
      <w:r w:rsidRPr="00BB430C">
        <w:rPr>
          <w:rFonts w:eastAsia="Calibri"/>
          <w:sz w:val="22"/>
          <w:szCs w:val="22"/>
          <w:lang w:val="en-US" w:eastAsia="en-US"/>
        </w:rPr>
        <w:t xml:space="preserve">A number of products have already been developed for </w:t>
      </w:r>
      <w:r w:rsidR="00D8350F">
        <w:rPr>
          <w:rFonts w:eastAsia="Calibri"/>
          <w:sz w:val="22"/>
          <w:szCs w:val="22"/>
          <w:lang w:val="en-US" w:eastAsia="en-US"/>
        </w:rPr>
        <w:t>the public</w:t>
      </w:r>
      <w:r w:rsidRPr="00BB430C">
        <w:rPr>
          <w:rFonts w:eastAsia="Calibri"/>
          <w:sz w:val="22"/>
          <w:szCs w:val="22"/>
          <w:lang w:val="en-US" w:eastAsia="en-US"/>
        </w:rPr>
        <w:t xml:space="preserve">. BioBricks Foundation describes itself as “biotechnology in the public interest” </w:t>
      </w:r>
      <w:r w:rsidR="001C037C">
        <w:rPr>
          <w:rFonts w:eastAsia="Calibri"/>
          <w:noProof/>
          <w:sz w:val="22"/>
          <w:szCs w:val="22"/>
          <w:lang w:val="en-US" w:eastAsia="en-US"/>
        </w:rPr>
        <w:t>(</w:t>
      </w:r>
      <w:r w:rsidR="001C037C" w:rsidRPr="001C037C">
        <w:rPr>
          <w:rFonts w:eastAsia="Calibri"/>
          <w:b/>
          <w:noProof/>
          <w:sz w:val="22"/>
          <w:szCs w:val="22"/>
          <w:lang w:val="en-US" w:eastAsia="en-US"/>
        </w:rPr>
        <w:t>BioBricks</w:t>
      </w:r>
      <w:r w:rsidR="001C037C">
        <w:rPr>
          <w:rFonts w:eastAsia="Calibri"/>
          <w:noProof/>
          <w:sz w:val="22"/>
          <w:szCs w:val="22"/>
          <w:lang w:val="en-US" w:eastAsia="en-US"/>
        </w:rPr>
        <w:t>)</w:t>
      </w:r>
      <w:r w:rsidRPr="008566A2">
        <w:rPr>
          <w:rFonts w:eastAsia="Calibri"/>
          <w:sz w:val="22"/>
          <w:szCs w:val="22"/>
          <w:lang w:val="en-US" w:eastAsia="en-US"/>
        </w:rPr>
        <w:t xml:space="preserve">. </w:t>
      </w:r>
      <w:r w:rsidRPr="00BB430C">
        <w:rPr>
          <w:rFonts w:eastAsia="Calibri"/>
          <w:sz w:val="22"/>
          <w:szCs w:val="22"/>
          <w:lang w:val="en-US" w:eastAsia="en-US"/>
        </w:rPr>
        <w:t>The company provides biological material derived from DSI in the form of DNA encoding functional modules that may be combined by users in different arrangements. An assembly kit</w:t>
      </w:r>
      <w:r w:rsidR="00940091">
        <w:rPr>
          <w:rFonts w:eastAsia="Calibri"/>
          <w:sz w:val="22"/>
          <w:szCs w:val="22"/>
          <w:lang w:val="en-US" w:eastAsia="en-US"/>
        </w:rPr>
        <w:t xml:space="preserve"> </w:t>
      </w:r>
      <w:r w:rsidRPr="00BB430C">
        <w:rPr>
          <w:rFonts w:eastAsia="Calibri"/>
          <w:sz w:val="22"/>
          <w:szCs w:val="22"/>
          <w:lang w:val="en-US" w:eastAsia="en-US"/>
        </w:rPr>
        <w:t xml:space="preserve">can be purchased online, for example from the biotechnology company New England Biolabs </w:t>
      </w:r>
      <w:r w:rsidR="001C037C">
        <w:rPr>
          <w:rFonts w:eastAsia="Calibri"/>
          <w:noProof/>
          <w:sz w:val="22"/>
          <w:szCs w:val="22"/>
          <w:lang w:val="en-US" w:eastAsia="en-US"/>
        </w:rPr>
        <w:t>(NEB)</w:t>
      </w:r>
      <w:r w:rsidRPr="00BB430C">
        <w:rPr>
          <w:rFonts w:eastAsia="Calibri"/>
          <w:sz w:val="22"/>
          <w:szCs w:val="22"/>
          <w:lang w:val="en-US" w:eastAsia="en-US"/>
        </w:rPr>
        <w:t xml:space="preserve">. This company also sells other tools related to the use of BioBricks, such as bacteria into which the recombinant DNA can be inserted. Bacteria that receive the DNA reveal themselves because they are transformed into being resistant to an antibiotic through a linked marker </w:t>
      </w:r>
      <w:r w:rsidR="001C037C">
        <w:rPr>
          <w:rFonts w:eastAsia="Calibri"/>
          <w:noProof/>
          <w:sz w:val="22"/>
          <w:szCs w:val="22"/>
          <w:lang w:val="en-US" w:eastAsia="en-US"/>
        </w:rPr>
        <w:t>(iGEM)</w:t>
      </w:r>
      <w:r w:rsidRPr="00BB430C">
        <w:rPr>
          <w:rFonts w:eastAsia="Calibri"/>
          <w:sz w:val="22"/>
          <w:szCs w:val="22"/>
          <w:lang w:val="en-US" w:eastAsia="en-US"/>
        </w:rPr>
        <w:t>. Widescale adoption by people untrained in the use and proper disposal of antibiotic</w:t>
      </w:r>
      <w:r w:rsidR="008566A2">
        <w:rPr>
          <w:rFonts w:eastAsia="Calibri"/>
          <w:sz w:val="22"/>
          <w:szCs w:val="22"/>
          <w:lang w:val="en-US" w:eastAsia="en-US"/>
        </w:rPr>
        <w:t>-</w:t>
      </w:r>
      <w:r w:rsidRPr="00BB430C">
        <w:rPr>
          <w:rFonts w:eastAsia="Calibri"/>
          <w:sz w:val="22"/>
          <w:szCs w:val="22"/>
          <w:lang w:val="en-US" w:eastAsia="en-US"/>
        </w:rPr>
        <w:t xml:space="preserve">resistant bacteria could also have biosafety implications. Sewage water treatment, for example, does not destroy antibiotic resistance genes that have the potential to be acquired by other bacteria </w:t>
      </w:r>
      <w:r w:rsidR="001C037C">
        <w:rPr>
          <w:rFonts w:eastAsia="Calibri"/>
          <w:noProof/>
          <w:sz w:val="22"/>
          <w:szCs w:val="22"/>
          <w:lang w:val="en-US" w:eastAsia="en-US"/>
        </w:rPr>
        <w:t>(Wang</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2017a)</w:t>
      </w:r>
      <w:r w:rsidRPr="00BB430C">
        <w:rPr>
          <w:rFonts w:eastAsia="Calibri"/>
          <w:sz w:val="22"/>
          <w:szCs w:val="22"/>
          <w:lang w:val="en-US" w:eastAsia="en-US"/>
        </w:rPr>
        <w:t>.</w:t>
      </w:r>
    </w:p>
    <w:p w14:paraId="2B908C9E" w14:textId="77777777" w:rsidR="00D17A7A" w:rsidRDefault="00D17A7A" w:rsidP="00DE20B6">
      <w:pPr>
        <w:spacing w:after="120"/>
        <w:rPr>
          <w:rFonts w:eastAsia="Calibri"/>
          <w:sz w:val="22"/>
          <w:szCs w:val="22"/>
          <w:lang w:val="en-US" w:eastAsia="en-US"/>
        </w:rPr>
      </w:pPr>
      <w:r w:rsidRPr="00BB430C">
        <w:rPr>
          <w:rFonts w:eastAsia="Calibri"/>
          <w:sz w:val="22"/>
          <w:szCs w:val="22"/>
          <w:lang w:val="en-US" w:eastAsia="en-US"/>
        </w:rPr>
        <w:t xml:space="preserve">One use of machines such as the digital-to-biological converter is to satisfy an anticipated market for home-based manufacturing </w:t>
      </w:r>
      <w:r w:rsidR="001C037C">
        <w:rPr>
          <w:rFonts w:eastAsia="Calibri"/>
          <w:noProof/>
          <w:sz w:val="22"/>
          <w:szCs w:val="22"/>
          <w:lang w:val="en-US" w:eastAsia="en-US"/>
        </w:rPr>
        <w:t>(Boles</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sidRPr="00BB430C">
        <w:rPr>
          <w:rFonts w:eastAsia="Calibri"/>
          <w:sz w:val="22"/>
          <w:szCs w:val="22"/>
          <w:lang w:val="en-US" w:eastAsia="en-US"/>
        </w:rPr>
        <w:t xml:space="preserve">. Such machines are expected to shrink in size and cost, aided by developments in microfluidics. Inputting DSI, the home user would be able to synthesize not just DNA, but potentially a variety of different macromolecules including everything needed to print their own virus or antibodies </w:t>
      </w:r>
      <w:r w:rsidR="001C037C">
        <w:rPr>
          <w:rFonts w:eastAsia="Calibri"/>
          <w:noProof/>
          <w:sz w:val="22"/>
          <w:szCs w:val="22"/>
          <w:lang w:val="en-US" w:eastAsia="en-US"/>
        </w:rPr>
        <w:t>(Boles</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2017)</w:t>
      </w:r>
      <w:r w:rsidRPr="00BB430C">
        <w:rPr>
          <w:rFonts w:eastAsia="Calibri"/>
          <w:sz w:val="22"/>
          <w:szCs w:val="22"/>
          <w:lang w:val="en-US" w:eastAsia="en-US"/>
        </w:rPr>
        <w:t xml:space="preserve">. However, any </w:t>
      </w:r>
      <w:r w:rsidRPr="00BB430C">
        <w:rPr>
          <w:rFonts w:eastAsia="Calibri"/>
          <w:sz w:val="22"/>
          <w:szCs w:val="22"/>
          <w:lang w:val="en-US" w:eastAsia="en-US"/>
        </w:rPr>
        <w:lastRenderedPageBreak/>
        <w:t>checks and balances that might be put in place when ordering synthesized DNA molecules might be lost when home synthesis becomes available.</w:t>
      </w:r>
    </w:p>
    <w:p w14:paraId="636F4736" w14:textId="77777777" w:rsidR="000923DB" w:rsidRPr="00DE20B6" w:rsidRDefault="000923DB" w:rsidP="00DE20B6">
      <w:pPr>
        <w:spacing w:after="120"/>
        <w:rPr>
          <w:rFonts w:eastAsia="Calibri"/>
          <w:sz w:val="22"/>
          <w:szCs w:val="22"/>
          <w:lang w:val="en-US" w:eastAsia="en-US"/>
        </w:rPr>
      </w:pPr>
    </w:p>
    <w:p w14:paraId="3F0BDD33" w14:textId="77777777" w:rsidR="00EC70F2" w:rsidRPr="00796F66" w:rsidRDefault="007477C6" w:rsidP="00EC70F2">
      <w:pPr>
        <w:pStyle w:val="Heading2"/>
        <w:spacing w:before="120" w:after="120"/>
        <w:rPr>
          <w:rFonts w:ascii="Times New Roman" w:hAnsi="Times New Roman" w:cs="Times New Roman"/>
          <w:bCs w:val="0"/>
          <w:i w:val="0"/>
          <w:iCs w:val="0"/>
          <w:noProof/>
          <w:sz w:val="24"/>
          <w:szCs w:val="24"/>
        </w:rPr>
      </w:pPr>
      <w:bookmarkStart w:id="28" w:name="_Toc374968981"/>
      <w:r w:rsidRPr="00796F66">
        <w:rPr>
          <w:rFonts w:ascii="Times New Roman" w:hAnsi="Times New Roman" w:cs="Times New Roman"/>
          <w:bCs w:val="0"/>
          <w:i w:val="0"/>
          <w:iCs w:val="0"/>
          <w:noProof/>
          <w:sz w:val="24"/>
          <w:szCs w:val="24"/>
        </w:rPr>
        <w:t>5</w:t>
      </w:r>
      <w:r w:rsidR="002E4DDB" w:rsidRPr="00796F66">
        <w:rPr>
          <w:rFonts w:ascii="Times New Roman" w:hAnsi="Times New Roman" w:cs="Times New Roman"/>
          <w:bCs w:val="0"/>
          <w:i w:val="0"/>
          <w:iCs w:val="0"/>
          <w:noProof/>
          <w:sz w:val="24"/>
          <w:szCs w:val="24"/>
        </w:rPr>
        <w:t>.</w:t>
      </w:r>
      <w:r w:rsidR="00D17A7A" w:rsidRPr="00796F66">
        <w:rPr>
          <w:rFonts w:ascii="Times New Roman" w:hAnsi="Times New Roman" w:cs="Times New Roman"/>
          <w:bCs w:val="0"/>
          <w:i w:val="0"/>
          <w:iCs w:val="0"/>
          <w:noProof/>
          <w:sz w:val="24"/>
          <w:szCs w:val="24"/>
        </w:rPr>
        <w:t>2</w:t>
      </w:r>
      <w:r w:rsidR="002E4DDB" w:rsidRPr="00796F66">
        <w:rPr>
          <w:rFonts w:ascii="Times New Roman" w:hAnsi="Times New Roman" w:cs="Times New Roman"/>
          <w:bCs w:val="0"/>
          <w:i w:val="0"/>
          <w:iCs w:val="0"/>
          <w:noProof/>
          <w:sz w:val="24"/>
          <w:szCs w:val="24"/>
        </w:rPr>
        <w:t xml:space="preserve"> </w:t>
      </w:r>
      <w:bookmarkEnd w:id="28"/>
      <w:r w:rsidR="001A0BB9" w:rsidRPr="00796F66">
        <w:rPr>
          <w:rFonts w:ascii="Times New Roman" w:hAnsi="Times New Roman" w:cs="Times New Roman"/>
          <w:bCs w:val="0"/>
          <w:i w:val="0"/>
          <w:iCs w:val="0"/>
          <w:noProof/>
          <w:sz w:val="24"/>
          <w:szCs w:val="24"/>
        </w:rPr>
        <w:t>Access</w:t>
      </w:r>
    </w:p>
    <w:p w14:paraId="4531CDA9" w14:textId="77777777" w:rsidR="00321972" w:rsidRDefault="007A3C99" w:rsidP="008D0183">
      <w:pPr>
        <w:shd w:val="clear" w:color="auto" w:fill="E0E0E0"/>
        <w:spacing w:after="120"/>
        <w:rPr>
          <w:rFonts w:eastAsia="Calibri"/>
          <w:sz w:val="22"/>
          <w:szCs w:val="22"/>
          <w:lang w:val="en-US" w:eastAsia="en-US"/>
        </w:rPr>
      </w:pPr>
      <w:r w:rsidRPr="00BB430C" w:rsidDel="007A3C99">
        <w:rPr>
          <w:i/>
          <w:noProof/>
          <w:sz w:val="22"/>
          <w:szCs w:val="22"/>
        </w:rPr>
        <w:t xml:space="preserve"> </w:t>
      </w:r>
      <w:r w:rsidR="00321972" w:rsidRPr="00321972">
        <w:rPr>
          <w:rFonts w:eastAsia="Calibri"/>
          <w:sz w:val="20"/>
          <w:szCs w:val="22"/>
          <w:lang w:val="en-US" w:eastAsia="en-US"/>
        </w:rPr>
        <w:t>“</w:t>
      </w:r>
      <w:r w:rsidR="00321972">
        <w:rPr>
          <w:rFonts w:eastAsia="Calibri"/>
          <w:sz w:val="20"/>
          <w:szCs w:val="22"/>
          <w:lang w:val="mi-NZ" w:eastAsia="en-US"/>
        </w:rPr>
        <w:t>Access</w:t>
      </w:r>
      <w:r w:rsidR="00321972" w:rsidRPr="00321972">
        <w:rPr>
          <w:rFonts w:eastAsia="Calibri"/>
          <w:sz w:val="20"/>
          <w:szCs w:val="22"/>
          <w:lang w:val="mi-NZ" w:eastAsia="en-US"/>
        </w:rPr>
        <w:t xml:space="preserve"> </w:t>
      </w:r>
      <w:r w:rsidR="00321972">
        <w:rPr>
          <w:rFonts w:eastAsia="Calibri"/>
          <w:sz w:val="20"/>
          <w:szCs w:val="22"/>
          <w:lang w:val="mi-NZ" w:eastAsia="en-US"/>
        </w:rPr>
        <w:t xml:space="preserve">to </w:t>
      </w:r>
      <w:r w:rsidR="00321972" w:rsidRPr="00321972">
        <w:rPr>
          <w:rFonts w:eastAsia="Calibri"/>
          <w:sz w:val="20"/>
          <w:szCs w:val="22"/>
          <w:lang w:val="mi-NZ" w:eastAsia="en-US"/>
        </w:rPr>
        <w:t>online data has become a</w:t>
      </w:r>
      <w:r w:rsidR="00F81BC0">
        <w:rPr>
          <w:rFonts w:eastAsia="Calibri"/>
          <w:sz w:val="20"/>
          <w:szCs w:val="22"/>
          <w:lang w:val="mi-NZ" w:eastAsia="en-US"/>
        </w:rPr>
        <w:t xml:space="preserve"> basic requirement for conducting scientific</w:t>
      </w:r>
      <w:r w:rsidR="00321972" w:rsidRPr="00321972">
        <w:rPr>
          <w:rFonts w:eastAsia="Calibri"/>
          <w:sz w:val="20"/>
          <w:szCs w:val="22"/>
          <w:lang w:val="mi-NZ" w:eastAsia="en-US"/>
        </w:rPr>
        <w:t xml:space="preserve"> research, but the growth i</w:t>
      </w:r>
      <w:r w:rsidR="00F81BC0">
        <w:rPr>
          <w:rFonts w:eastAsia="Calibri"/>
          <w:sz w:val="20"/>
          <w:szCs w:val="22"/>
          <w:lang w:val="mi-NZ" w:eastAsia="en-US"/>
        </w:rPr>
        <w:t>n data, databases, websites and</w:t>
      </w:r>
      <w:r w:rsidR="00321972" w:rsidRPr="00321972">
        <w:rPr>
          <w:rFonts w:eastAsia="Calibri"/>
          <w:sz w:val="20"/>
          <w:szCs w:val="22"/>
          <w:lang w:val="mi-NZ" w:eastAsia="en-US"/>
        </w:rPr>
        <w:t xml:space="preserve"> resources </w:t>
      </w:r>
      <w:r w:rsidR="00F81BC0">
        <w:rPr>
          <w:rFonts w:eastAsia="Calibri"/>
          <w:sz w:val="20"/>
          <w:szCs w:val="22"/>
          <w:lang w:val="mi-NZ" w:eastAsia="en-US"/>
        </w:rPr>
        <w:t xml:space="preserve">has outpaced the </w:t>
      </w:r>
      <w:r w:rsidR="00321972" w:rsidRPr="00321972">
        <w:rPr>
          <w:rFonts w:eastAsia="Calibri"/>
          <w:sz w:val="20"/>
          <w:szCs w:val="22"/>
          <w:lang w:val="mi-NZ" w:eastAsia="en-US"/>
        </w:rPr>
        <w:t>development of mechanisms and models to</w:t>
      </w:r>
      <w:r w:rsidR="00F81BC0">
        <w:rPr>
          <w:rFonts w:eastAsia="Calibri"/>
          <w:sz w:val="20"/>
          <w:szCs w:val="22"/>
          <w:lang w:val="mi-NZ" w:eastAsia="en-US"/>
        </w:rPr>
        <w:t xml:space="preserve"> </w:t>
      </w:r>
      <w:r w:rsidR="00321972" w:rsidRPr="00321972">
        <w:rPr>
          <w:rFonts w:eastAsia="Calibri"/>
          <w:sz w:val="20"/>
          <w:szCs w:val="22"/>
          <w:lang w:val="mi-NZ" w:eastAsia="en-US"/>
        </w:rPr>
        <w:t>fund the necessary cyberinfrastr</w:t>
      </w:r>
      <w:r w:rsidR="00F81BC0">
        <w:rPr>
          <w:rFonts w:eastAsia="Calibri"/>
          <w:sz w:val="20"/>
          <w:szCs w:val="22"/>
          <w:lang w:val="mi-NZ" w:eastAsia="en-US"/>
        </w:rPr>
        <w:t xml:space="preserve">ucture, curation and long-term </w:t>
      </w:r>
      <w:r w:rsidR="00321972">
        <w:rPr>
          <w:rFonts w:eastAsia="Calibri"/>
          <w:sz w:val="20"/>
          <w:szCs w:val="22"/>
          <w:lang w:val="mi-NZ" w:eastAsia="en-US"/>
        </w:rPr>
        <w:t>stewardship</w:t>
      </w:r>
      <w:r w:rsidR="00321972" w:rsidRPr="00321972">
        <w:rPr>
          <w:rFonts w:eastAsia="Calibri"/>
          <w:sz w:val="20"/>
          <w:szCs w:val="22"/>
          <w:lang w:val="mi-NZ" w:eastAsia="en-US"/>
        </w:rPr>
        <w:t xml:space="preserve"> </w:t>
      </w:r>
      <w:r w:rsidR="00321972">
        <w:rPr>
          <w:rFonts w:eastAsia="Calibri"/>
          <w:sz w:val="20"/>
          <w:szCs w:val="22"/>
          <w:lang w:val="mi-NZ" w:eastAsia="en-US"/>
        </w:rPr>
        <w:t>of</w:t>
      </w:r>
      <w:r w:rsidR="0052027D">
        <w:rPr>
          <w:rFonts w:eastAsia="Calibri"/>
          <w:sz w:val="20"/>
          <w:szCs w:val="22"/>
          <w:lang w:val="mi-NZ" w:eastAsia="en-US"/>
        </w:rPr>
        <w:t xml:space="preserve"> these</w:t>
      </w:r>
      <w:r w:rsidR="00321972" w:rsidRPr="00321972">
        <w:rPr>
          <w:rFonts w:eastAsia="Calibri"/>
          <w:sz w:val="20"/>
          <w:szCs w:val="22"/>
          <w:lang w:val="mi-NZ" w:eastAsia="en-US"/>
        </w:rPr>
        <w:t xml:space="preserve"> resources</w:t>
      </w:r>
      <w:r w:rsidR="00321972">
        <w:rPr>
          <w:rFonts w:eastAsia="Calibri"/>
          <w:sz w:val="20"/>
          <w:szCs w:val="22"/>
          <w:lang w:val="mi-NZ" w:eastAsia="en-US"/>
        </w:rPr>
        <w:t>...</w:t>
      </w:r>
      <w:r w:rsidR="00321972" w:rsidRPr="00321972">
        <w:rPr>
          <w:rFonts w:eastAsia="Calibri"/>
          <w:sz w:val="20"/>
          <w:szCs w:val="22"/>
          <w:lang w:val="mi-NZ" w:eastAsia="en-US"/>
        </w:rPr>
        <w:t xml:space="preserve">a single, viable framework for </w:t>
      </w:r>
      <w:r w:rsidR="00321972">
        <w:rPr>
          <w:rFonts w:eastAsia="Calibri"/>
          <w:sz w:val="20"/>
          <w:szCs w:val="22"/>
          <w:lang w:val="mi-NZ" w:eastAsia="en-US"/>
        </w:rPr>
        <w:t>sustainable</w:t>
      </w:r>
      <w:r w:rsidR="00321972" w:rsidRPr="00321972">
        <w:rPr>
          <w:rFonts w:eastAsia="Calibri"/>
          <w:sz w:val="20"/>
          <w:szCs w:val="22"/>
          <w:lang w:val="mi-NZ" w:eastAsia="en-US"/>
        </w:rPr>
        <w:t xml:space="preserve"> and lon</w:t>
      </w:r>
      <w:r w:rsidR="00F81BC0">
        <w:rPr>
          <w:rFonts w:eastAsia="Calibri"/>
          <w:sz w:val="20"/>
          <w:szCs w:val="22"/>
          <w:lang w:val="mi-NZ" w:eastAsia="en-US"/>
        </w:rPr>
        <w:t>g-term stewardship of data and resources</w:t>
      </w:r>
      <w:r w:rsidR="00321972" w:rsidRPr="00321972">
        <w:rPr>
          <w:rFonts w:eastAsia="Calibri"/>
          <w:sz w:val="20"/>
          <w:szCs w:val="22"/>
          <w:lang w:val="mi-NZ" w:eastAsia="en-US"/>
        </w:rPr>
        <w:t xml:space="preserve"> has </w:t>
      </w:r>
      <w:r w:rsidR="00321972">
        <w:rPr>
          <w:rFonts w:eastAsia="Calibri"/>
          <w:sz w:val="20"/>
          <w:szCs w:val="22"/>
          <w:lang w:val="mi-NZ" w:eastAsia="en-US"/>
        </w:rPr>
        <w:t>not emerged</w:t>
      </w:r>
      <w:r w:rsidR="00321972" w:rsidRPr="00321972">
        <w:rPr>
          <w:rFonts w:eastAsia="Calibri"/>
          <w:sz w:val="20"/>
          <w:szCs w:val="22"/>
          <w:lang w:val="en-US" w:eastAsia="en-US"/>
        </w:rPr>
        <w:t xml:space="preserve">” </w:t>
      </w:r>
      <w:r w:rsidR="001C037C">
        <w:rPr>
          <w:rFonts w:eastAsia="Calibri"/>
          <w:noProof/>
          <w:sz w:val="20"/>
          <w:szCs w:val="22"/>
          <w:lang w:val="en-US" w:eastAsia="en-US"/>
        </w:rPr>
        <w:t>(Bastow and Leonelli, 2010)</w:t>
      </w:r>
      <w:r w:rsidR="00321972" w:rsidRPr="00321972">
        <w:rPr>
          <w:rFonts w:eastAsia="Calibri"/>
          <w:sz w:val="20"/>
          <w:szCs w:val="22"/>
          <w:lang w:val="en-US" w:eastAsia="en-US"/>
        </w:rPr>
        <w:t>.</w:t>
      </w:r>
    </w:p>
    <w:p w14:paraId="22ABA7F6" w14:textId="77777777" w:rsidR="007A3C99" w:rsidRDefault="00321972" w:rsidP="00D17A7A">
      <w:pPr>
        <w:spacing w:after="120"/>
        <w:rPr>
          <w:rFonts w:eastAsia="Calibri"/>
          <w:sz w:val="22"/>
          <w:szCs w:val="22"/>
          <w:lang w:val="en-US" w:eastAsia="en-US"/>
        </w:rPr>
      </w:pPr>
      <w:r>
        <w:rPr>
          <w:rFonts w:eastAsia="Calibri"/>
          <w:sz w:val="22"/>
          <w:szCs w:val="22"/>
          <w:lang w:val="en-US" w:eastAsia="en-US"/>
        </w:rPr>
        <w:t>DSI is a fundamental component of the characterization, conservation and sustainable use of GRFA. Any instability in the infrastructure or impediment of access to DSI could therefore undermine</w:t>
      </w:r>
      <w:r w:rsidR="007A3C99">
        <w:rPr>
          <w:rFonts w:eastAsia="Calibri"/>
          <w:sz w:val="22"/>
          <w:szCs w:val="22"/>
          <w:lang w:val="en-US" w:eastAsia="en-US"/>
        </w:rPr>
        <w:t xml:space="preserve"> efforts of nations, private and public institutions and multinational agencies to fulfill provisions of conservation and sustainable use of GRFA or other provisions to the benefit of human well</w:t>
      </w:r>
      <w:r w:rsidR="0067663D">
        <w:rPr>
          <w:rFonts w:eastAsia="Calibri"/>
          <w:sz w:val="22"/>
          <w:szCs w:val="22"/>
          <w:lang w:val="en-US" w:eastAsia="en-US"/>
        </w:rPr>
        <w:t>-</w:t>
      </w:r>
      <w:r w:rsidR="007A3C99">
        <w:rPr>
          <w:rFonts w:eastAsia="Calibri"/>
          <w:sz w:val="22"/>
          <w:szCs w:val="22"/>
          <w:lang w:val="en-US" w:eastAsia="en-US"/>
        </w:rPr>
        <w:t>being</w:t>
      </w:r>
      <w:r>
        <w:rPr>
          <w:rFonts w:eastAsia="Calibri"/>
          <w:sz w:val="22"/>
          <w:szCs w:val="22"/>
          <w:lang w:val="en-US" w:eastAsia="en-US"/>
        </w:rPr>
        <w:t>.</w:t>
      </w:r>
    </w:p>
    <w:p w14:paraId="2E573A7F" w14:textId="77777777" w:rsidR="007A3C99" w:rsidRDefault="001640BC" w:rsidP="00D17A7A">
      <w:pPr>
        <w:spacing w:after="120"/>
        <w:rPr>
          <w:rFonts w:eastAsia="Calibri"/>
          <w:sz w:val="22"/>
          <w:szCs w:val="22"/>
          <w:lang w:val="en-US" w:eastAsia="en-US"/>
        </w:rPr>
      </w:pPr>
      <w:r>
        <w:rPr>
          <w:rFonts w:eastAsia="Calibri"/>
          <w:sz w:val="22"/>
          <w:szCs w:val="22"/>
          <w:lang w:val="en-US" w:eastAsia="en-US"/>
        </w:rPr>
        <w:t>U</w:t>
      </w:r>
      <w:r w:rsidR="007A3C99">
        <w:rPr>
          <w:rFonts w:eastAsia="Calibri"/>
          <w:sz w:val="22"/>
          <w:szCs w:val="22"/>
          <w:lang w:val="en-US" w:eastAsia="en-US"/>
        </w:rPr>
        <w:t xml:space="preserve">nless DSI on GRFA is maintained and remains </w:t>
      </w:r>
      <w:r w:rsidR="00C066DD">
        <w:rPr>
          <w:rFonts w:eastAsia="Calibri"/>
          <w:sz w:val="22"/>
          <w:szCs w:val="22"/>
          <w:lang w:val="en-US" w:eastAsia="en-US"/>
        </w:rPr>
        <w:t xml:space="preserve">easily </w:t>
      </w:r>
      <w:r w:rsidR="007A3C99">
        <w:rPr>
          <w:rFonts w:eastAsia="Calibri"/>
          <w:sz w:val="22"/>
          <w:szCs w:val="22"/>
          <w:lang w:val="en-US" w:eastAsia="en-US"/>
        </w:rPr>
        <w:t>accessible to all,</w:t>
      </w:r>
      <w:r w:rsidR="00C066DD">
        <w:rPr>
          <w:rFonts w:eastAsia="Calibri"/>
          <w:sz w:val="22"/>
          <w:szCs w:val="22"/>
          <w:lang w:val="en-US" w:eastAsia="en-US"/>
        </w:rPr>
        <w:t xml:space="preserve"> it will be difficult to ensure</w:t>
      </w:r>
      <w:r w:rsidR="007A3C99">
        <w:rPr>
          <w:rFonts w:eastAsia="Calibri"/>
          <w:sz w:val="22"/>
          <w:szCs w:val="22"/>
          <w:lang w:val="en-US" w:eastAsia="en-US"/>
        </w:rPr>
        <w:t xml:space="preserve"> </w:t>
      </w:r>
      <w:r w:rsidR="007A3C99" w:rsidRPr="00C1144B">
        <w:rPr>
          <w:rFonts w:eastAsia="Calibri"/>
          <w:sz w:val="22"/>
          <w:szCs w:val="22"/>
          <w:lang w:val="en-US" w:eastAsia="en-US"/>
        </w:rPr>
        <w:t xml:space="preserve">the fair and equitable sharing of the benefits arising from </w:t>
      </w:r>
      <w:r w:rsidR="00C066DD">
        <w:rPr>
          <w:rFonts w:eastAsia="Calibri"/>
          <w:sz w:val="22"/>
          <w:szCs w:val="22"/>
          <w:lang w:val="en-US" w:eastAsia="en-US"/>
        </w:rPr>
        <w:t>its</w:t>
      </w:r>
      <w:r w:rsidR="007A3C99" w:rsidRPr="00C1144B">
        <w:rPr>
          <w:rFonts w:eastAsia="Calibri"/>
          <w:sz w:val="22"/>
          <w:szCs w:val="22"/>
          <w:lang w:val="en-US" w:eastAsia="en-US"/>
        </w:rPr>
        <w:t xml:space="preserve"> use.</w:t>
      </w:r>
      <w:r w:rsidR="00C066DD">
        <w:rPr>
          <w:rFonts w:eastAsia="Calibri"/>
          <w:sz w:val="22"/>
          <w:szCs w:val="22"/>
          <w:lang w:val="en-US" w:eastAsia="en-US"/>
        </w:rPr>
        <w:t xml:space="preserve"> Without adequate confidence in the systems of data preservation, dissemination and maintenance, those who create DSI may be increasingly reluctant to share it.</w:t>
      </w:r>
    </w:p>
    <w:p w14:paraId="636BE177" w14:textId="77777777" w:rsidR="000F6CF8" w:rsidRDefault="00D337C0" w:rsidP="00D17A7A">
      <w:pPr>
        <w:spacing w:after="120"/>
        <w:rPr>
          <w:rFonts w:eastAsia="Calibri"/>
          <w:sz w:val="22"/>
          <w:szCs w:val="22"/>
          <w:lang w:val="en-US" w:eastAsia="en-US"/>
        </w:rPr>
      </w:pPr>
      <w:r>
        <w:rPr>
          <w:rFonts w:eastAsia="Calibri"/>
          <w:sz w:val="22"/>
          <w:szCs w:val="22"/>
          <w:lang w:val="en-US" w:eastAsia="en-US"/>
        </w:rPr>
        <w:t xml:space="preserve">An important warning on this point comes from the development of GISAID. </w:t>
      </w:r>
      <w:r w:rsidR="000F6CF8">
        <w:rPr>
          <w:rFonts w:eastAsia="Calibri"/>
          <w:sz w:val="22"/>
          <w:szCs w:val="22"/>
          <w:lang w:val="en-US" w:eastAsia="en-US"/>
        </w:rPr>
        <w:t>Although GISAID content is not GRFA, the issues</w:t>
      </w:r>
      <w:r w:rsidR="001640BC">
        <w:rPr>
          <w:rFonts w:eastAsia="Calibri"/>
          <w:sz w:val="22"/>
          <w:szCs w:val="22"/>
          <w:lang w:val="en-US" w:eastAsia="en-US"/>
        </w:rPr>
        <w:t xml:space="preserve"> faced are</w:t>
      </w:r>
      <w:r w:rsidR="00AE386E">
        <w:rPr>
          <w:rFonts w:eastAsia="Calibri"/>
          <w:sz w:val="22"/>
          <w:szCs w:val="22"/>
          <w:lang w:val="en-US" w:eastAsia="en-US"/>
        </w:rPr>
        <w:t xml:space="preserve"> not special to GISAID. “</w:t>
      </w:r>
      <w:r w:rsidR="00AE386E" w:rsidRPr="00AE386E">
        <w:rPr>
          <w:rFonts w:eastAsia="Calibri"/>
          <w:sz w:val="22"/>
          <w:szCs w:val="22"/>
          <w:lang w:val="mi-NZ" w:eastAsia="en-US"/>
        </w:rPr>
        <w:t xml:space="preserve">While the genetic makeup and the necessary associated data of the different viruses are distinct requiring separate databases/compartments for unambiguous analysis, </w:t>
      </w:r>
      <w:r w:rsidR="00AE386E" w:rsidRPr="008D0183">
        <w:rPr>
          <w:rFonts w:eastAsia="Calibri"/>
          <w:i/>
          <w:sz w:val="22"/>
          <w:szCs w:val="22"/>
          <w:lang w:val="mi-NZ" w:eastAsia="en-US"/>
        </w:rPr>
        <w:t>the modi operandi for sharing genetic data are generic</w:t>
      </w:r>
      <w:r w:rsidR="00AE386E">
        <w:rPr>
          <w:rFonts w:eastAsia="Calibri"/>
          <w:sz w:val="22"/>
          <w:szCs w:val="22"/>
          <w:lang w:val="en-US" w:eastAsia="en-US"/>
        </w:rPr>
        <w:t xml:space="preserve">” </w:t>
      </w:r>
      <w:r w:rsidR="001C037C">
        <w:rPr>
          <w:rFonts w:eastAsia="Calibri"/>
          <w:noProof/>
          <w:sz w:val="22"/>
          <w:szCs w:val="22"/>
          <w:lang w:val="en-US" w:eastAsia="en-US"/>
        </w:rPr>
        <w:t>(emphasis added to Shu and McCauley, 2017)</w:t>
      </w:r>
      <w:r w:rsidR="00AE386E">
        <w:rPr>
          <w:rFonts w:eastAsia="Calibri"/>
          <w:sz w:val="22"/>
          <w:szCs w:val="22"/>
          <w:lang w:val="en-US" w:eastAsia="en-US"/>
        </w:rPr>
        <w:t>. The GISAID d</w:t>
      </w:r>
      <w:r w:rsidR="000F6CF8">
        <w:rPr>
          <w:rFonts w:eastAsia="Calibri"/>
          <w:sz w:val="22"/>
          <w:szCs w:val="22"/>
          <w:lang w:val="en-US" w:eastAsia="en-US"/>
        </w:rPr>
        <w:t>atabase provides a global public good,</w:t>
      </w:r>
      <w:r w:rsidR="00AE386E">
        <w:rPr>
          <w:rFonts w:eastAsia="Calibri"/>
          <w:sz w:val="22"/>
          <w:szCs w:val="22"/>
          <w:lang w:val="en-US" w:eastAsia="en-US"/>
        </w:rPr>
        <w:t xml:space="preserve"> but</w:t>
      </w:r>
      <w:r w:rsidR="000F6CF8">
        <w:rPr>
          <w:rFonts w:eastAsia="Calibri"/>
          <w:sz w:val="22"/>
          <w:szCs w:val="22"/>
          <w:lang w:val="en-US" w:eastAsia="en-US"/>
        </w:rPr>
        <w:t xml:space="preserve"> initially there were problems getting countries and individuals to trust in it.</w:t>
      </w:r>
      <w:r w:rsidR="00AE386E">
        <w:rPr>
          <w:rFonts w:eastAsia="Calibri"/>
          <w:sz w:val="22"/>
          <w:szCs w:val="22"/>
          <w:lang w:val="en-US" w:eastAsia="en-US"/>
        </w:rPr>
        <w:t xml:space="preserve"> “</w:t>
      </w:r>
      <w:r w:rsidR="00AE386E" w:rsidRPr="00AE386E">
        <w:rPr>
          <w:rFonts w:eastAsia="Calibri"/>
          <w:sz w:val="22"/>
          <w:szCs w:val="22"/>
          <w:lang w:val="mi-NZ" w:eastAsia="en-US"/>
        </w:rPr>
        <w:t>In 2006, the reluctance of data sharing, in particular of avian H5N1 influenza viruses, created an emergency bringing into focus certain limitations and inequities, such that the World Health Organization (WHO)’s Global Influenza Surveillance Network (now the Global Influenza Surveillance and Response System (GISRS)) was criticised on several fronts, including limited global access to H5N1 sequence data that were stored in a database hosted by the Los Alamos National Laboratories in the United States</w:t>
      </w:r>
      <w:r w:rsidR="00AE386E">
        <w:rPr>
          <w:rFonts w:eastAsia="Calibri"/>
          <w:sz w:val="22"/>
          <w:szCs w:val="22"/>
          <w:lang w:val="en-US" w:eastAsia="en-US"/>
        </w:rPr>
        <w:t xml:space="preserve">” </w:t>
      </w:r>
      <w:r w:rsidR="001C037C">
        <w:rPr>
          <w:rFonts w:eastAsia="Calibri"/>
          <w:noProof/>
          <w:sz w:val="22"/>
          <w:szCs w:val="22"/>
          <w:lang w:val="en-US" w:eastAsia="en-US"/>
        </w:rPr>
        <w:t>(Shu and McCauley, 2017)</w:t>
      </w:r>
      <w:r w:rsidR="00AE386E">
        <w:rPr>
          <w:rFonts w:eastAsia="Calibri"/>
          <w:sz w:val="22"/>
          <w:szCs w:val="22"/>
          <w:lang w:val="en-US" w:eastAsia="en-US"/>
        </w:rPr>
        <w:t>.</w:t>
      </w:r>
    </w:p>
    <w:p w14:paraId="3CB58F70" w14:textId="77777777" w:rsidR="00D337C0" w:rsidRDefault="003A757D" w:rsidP="00D17A7A">
      <w:pPr>
        <w:spacing w:after="120"/>
        <w:rPr>
          <w:rFonts w:eastAsia="Calibri"/>
          <w:sz w:val="22"/>
          <w:szCs w:val="22"/>
          <w:lang w:val="mi-NZ" w:eastAsia="en-US"/>
        </w:rPr>
      </w:pPr>
      <w:r>
        <w:rPr>
          <w:rFonts w:eastAsia="Calibri"/>
          <w:sz w:val="22"/>
          <w:szCs w:val="22"/>
          <w:lang w:val="mi-NZ" w:eastAsia="en-US"/>
        </w:rPr>
        <w:t>Researchers</w:t>
      </w:r>
      <w:r w:rsidR="005C774E">
        <w:rPr>
          <w:rFonts w:eastAsia="Calibri"/>
          <w:sz w:val="22"/>
          <w:szCs w:val="22"/>
          <w:lang w:val="mi-NZ" w:eastAsia="en-US"/>
        </w:rPr>
        <w:t xml:space="preserve"> have</w:t>
      </w:r>
      <w:r>
        <w:rPr>
          <w:rFonts w:eastAsia="Calibri"/>
          <w:sz w:val="22"/>
          <w:szCs w:val="22"/>
          <w:lang w:val="mi-NZ" w:eastAsia="en-US"/>
        </w:rPr>
        <w:t xml:space="preserve"> identified three obstacles to sharing data via GISAID, which can be extrapolated to participation in other databases for sharing genetic data</w:t>
      </w:r>
      <w:r w:rsidR="0052027D">
        <w:rPr>
          <w:rFonts w:eastAsia="Calibri"/>
          <w:sz w:val="22"/>
          <w:szCs w:val="22"/>
          <w:lang w:val="mi-NZ" w:eastAsia="en-US"/>
        </w:rPr>
        <w:t xml:space="preserve"> on GRFA</w:t>
      </w:r>
      <w:r w:rsidR="00A41CFC">
        <w:rPr>
          <w:rFonts w:eastAsia="Calibri"/>
          <w:sz w:val="22"/>
          <w:szCs w:val="22"/>
          <w:lang w:val="mi-NZ" w:eastAsia="en-US"/>
        </w:rPr>
        <w:t xml:space="preserve"> </w:t>
      </w:r>
      <w:r w:rsidR="001C037C">
        <w:rPr>
          <w:rFonts w:eastAsia="Calibri"/>
          <w:noProof/>
          <w:sz w:val="22"/>
          <w:szCs w:val="22"/>
          <w:lang w:val="mi-NZ" w:eastAsia="en-US"/>
        </w:rPr>
        <w:t>(Elbe and Buckland-Merrett, 2017)</w:t>
      </w:r>
      <w:r w:rsidR="00D62CD3">
        <w:rPr>
          <w:rFonts w:eastAsia="Calibri"/>
          <w:sz w:val="22"/>
          <w:szCs w:val="22"/>
          <w:lang w:val="mi-NZ" w:eastAsia="en-US"/>
        </w:rPr>
        <w:t>.</w:t>
      </w:r>
    </w:p>
    <w:p w14:paraId="1C4C832C" w14:textId="77777777" w:rsidR="003A757D" w:rsidRDefault="0067663D" w:rsidP="00330E46">
      <w:pPr>
        <w:pStyle w:val="ListParagraph"/>
        <w:numPr>
          <w:ilvl w:val="0"/>
          <w:numId w:val="10"/>
        </w:numPr>
        <w:spacing w:after="120"/>
        <w:rPr>
          <w:rFonts w:eastAsia="Calibri"/>
          <w:sz w:val="22"/>
          <w:szCs w:val="22"/>
          <w:lang w:val="mi-NZ" w:eastAsia="en-US"/>
        </w:rPr>
      </w:pPr>
      <w:r>
        <w:rPr>
          <w:rFonts w:eastAsia="Calibri"/>
          <w:sz w:val="22"/>
          <w:szCs w:val="22"/>
          <w:lang w:val="mi-NZ" w:eastAsia="en-US"/>
        </w:rPr>
        <w:t>S</w:t>
      </w:r>
      <w:r w:rsidRPr="00783BFD">
        <w:rPr>
          <w:rFonts w:eastAsia="Calibri"/>
          <w:sz w:val="22"/>
          <w:szCs w:val="22"/>
          <w:lang w:val="mi-NZ" w:eastAsia="en-US"/>
        </w:rPr>
        <w:t>cience</w:t>
      </w:r>
      <w:r w:rsidR="003A757D" w:rsidRPr="00783BFD">
        <w:rPr>
          <w:rFonts w:eastAsia="Calibri"/>
          <w:sz w:val="22"/>
          <w:szCs w:val="22"/>
          <w:lang w:val="mi-NZ" w:eastAsia="en-US"/>
        </w:rPr>
        <w:t>, publications and recognition</w:t>
      </w:r>
      <w:r>
        <w:rPr>
          <w:rFonts w:eastAsia="Calibri"/>
          <w:sz w:val="22"/>
          <w:szCs w:val="22"/>
          <w:lang w:val="mi-NZ" w:eastAsia="en-US"/>
        </w:rPr>
        <w:t>:</w:t>
      </w:r>
    </w:p>
    <w:p w14:paraId="3E50ED66" w14:textId="77777777" w:rsidR="00D62CD3" w:rsidRPr="00783BFD" w:rsidRDefault="00D62CD3" w:rsidP="005C774E">
      <w:pPr>
        <w:spacing w:after="120"/>
        <w:rPr>
          <w:rFonts w:eastAsia="Calibri"/>
          <w:sz w:val="22"/>
          <w:szCs w:val="22"/>
          <w:lang w:val="en-US" w:eastAsia="en-US"/>
        </w:rPr>
      </w:pPr>
      <w:r>
        <w:rPr>
          <w:rFonts w:eastAsia="Calibri"/>
          <w:sz w:val="22"/>
          <w:szCs w:val="22"/>
          <w:lang w:val="mi-NZ" w:eastAsia="en-US"/>
        </w:rPr>
        <w:t>The com</w:t>
      </w:r>
      <w:r w:rsidR="005C774E">
        <w:rPr>
          <w:rFonts w:eastAsia="Calibri"/>
          <w:sz w:val="22"/>
          <w:szCs w:val="22"/>
          <w:lang w:val="mi-NZ" w:eastAsia="en-US"/>
        </w:rPr>
        <w:t>petive nature of science and winning funding creates a perverse incentive to withhold data. “</w:t>
      </w:r>
      <w:r w:rsidR="005C774E" w:rsidRPr="005C774E">
        <w:rPr>
          <w:rFonts w:eastAsia="Calibri"/>
          <w:sz w:val="22"/>
          <w:szCs w:val="22"/>
          <w:lang w:val="en-US" w:eastAsia="en-US"/>
        </w:rPr>
        <w:t>In a context</w:t>
      </w:r>
      <w:r w:rsidR="005C774E">
        <w:rPr>
          <w:rFonts w:eastAsia="Calibri"/>
          <w:sz w:val="22"/>
          <w:szCs w:val="22"/>
          <w:lang w:val="en-US" w:eastAsia="en-US"/>
        </w:rPr>
        <w:t xml:space="preserve"> </w:t>
      </w:r>
      <w:r w:rsidR="005C774E" w:rsidRPr="005C774E">
        <w:rPr>
          <w:rFonts w:eastAsia="Calibri"/>
          <w:sz w:val="22"/>
          <w:szCs w:val="22"/>
          <w:lang w:val="en-US" w:eastAsia="en-US"/>
        </w:rPr>
        <w:t>where the standing of scientists, and the research income they</w:t>
      </w:r>
      <w:r w:rsidR="005C774E">
        <w:rPr>
          <w:rFonts w:eastAsia="Calibri"/>
          <w:sz w:val="22"/>
          <w:szCs w:val="22"/>
          <w:lang w:val="en-US" w:eastAsia="en-US"/>
        </w:rPr>
        <w:t xml:space="preserve"> </w:t>
      </w:r>
      <w:r w:rsidR="005C774E" w:rsidRPr="005C774E">
        <w:rPr>
          <w:rFonts w:eastAsia="Calibri"/>
          <w:sz w:val="22"/>
          <w:szCs w:val="22"/>
          <w:lang w:val="en-US" w:eastAsia="en-US"/>
        </w:rPr>
        <w:t>can generate, is heavily linked to their publications, citations,</w:t>
      </w:r>
      <w:r w:rsidR="005C774E">
        <w:rPr>
          <w:rFonts w:eastAsia="Calibri"/>
          <w:sz w:val="22"/>
          <w:szCs w:val="22"/>
          <w:lang w:val="en-US" w:eastAsia="en-US"/>
        </w:rPr>
        <w:t xml:space="preserve"> </w:t>
      </w:r>
      <w:r w:rsidR="005C774E" w:rsidRPr="005C774E">
        <w:rPr>
          <w:rFonts w:eastAsia="Calibri"/>
          <w:sz w:val="22"/>
          <w:szCs w:val="22"/>
          <w:lang w:val="en-US" w:eastAsia="en-US"/>
        </w:rPr>
        <w:t>and scientific reputations, there is pressure to be the “first”</w:t>
      </w:r>
      <w:r w:rsidR="005C774E">
        <w:rPr>
          <w:rFonts w:eastAsia="Calibri"/>
          <w:sz w:val="22"/>
          <w:szCs w:val="22"/>
          <w:lang w:val="en-US" w:eastAsia="en-US"/>
        </w:rPr>
        <w:t xml:space="preserve"> </w:t>
      </w:r>
      <w:r w:rsidR="005C774E" w:rsidRPr="005C774E">
        <w:rPr>
          <w:rFonts w:eastAsia="Calibri"/>
          <w:sz w:val="22"/>
          <w:szCs w:val="22"/>
          <w:lang w:val="en-US" w:eastAsia="en-US"/>
        </w:rPr>
        <w:t>to publish findings</w:t>
      </w:r>
      <w:r w:rsidR="005C774E">
        <w:rPr>
          <w:rFonts w:eastAsia="Calibri"/>
          <w:sz w:val="22"/>
          <w:szCs w:val="22"/>
          <w:lang w:val="en-US" w:eastAsia="en-US"/>
        </w:rPr>
        <w:t>…</w:t>
      </w:r>
      <w:r w:rsidR="005C774E" w:rsidRPr="005C774E">
        <w:rPr>
          <w:rFonts w:eastAsia="Calibri"/>
          <w:sz w:val="22"/>
          <w:szCs w:val="22"/>
          <w:lang w:val="en-US" w:eastAsia="en-US"/>
        </w:rPr>
        <w:t>scientists are concerned</w:t>
      </w:r>
      <w:r w:rsidR="005C774E">
        <w:rPr>
          <w:rFonts w:eastAsia="Calibri"/>
          <w:sz w:val="22"/>
          <w:szCs w:val="22"/>
          <w:lang w:val="en-US" w:eastAsia="en-US"/>
        </w:rPr>
        <w:t xml:space="preserve"> </w:t>
      </w:r>
      <w:r w:rsidR="005C774E" w:rsidRPr="005C774E">
        <w:rPr>
          <w:rFonts w:eastAsia="Calibri"/>
          <w:sz w:val="22"/>
          <w:szCs w:val="22"/>
          <w:lang w:val="en-US" w:eastAsia="en-US"/>
        </w:rPr>
        <w:t>that sharing such information in an open and timely</w:t>
      </w:r>
      <w:r w:rsidR="005C774E">
        <w:rPr>
          <w:rFonts w:eastAsia="Calibri"/>
          <w:sz w:val="22"/>
          <w:szCs w:val="22"/>
          <w:lang w:val="en-US" w:eastAsia="en-US"/>
        </w:rPr>
        <w:t xml:space="preserve"> </w:t>
      </w:r>
      <w:r w:rsidR="005C774E" w:rsidRPr="005C774E">
        <w:rPr>
          <w:rFonts w:eastAsia="Calibri"/>
          <w:sz w:val="22"/>
          <w:szCs w:val="22"/>
          <w:lang w:val="en-US" w:eastAsia="en-US"/>
        </w:rPr>
        <w:t>manner might enable others to publish findings with their</w:t>
      </w:r>
      <w:r w:rsidR="005C774E">
        <w:rPr>
          <w:rFonts w:eastAsia="Calibri"/>
          <w:sz w:val="22"/>
          <w:szCs w:val="22"/>
          <w:lang w:val="en-US" w:eastAsia="en-US"/>
        </w:rPr>
        <w:t xml:space="preserve"> </w:t>
      </w:r>
      <w:r w:rsidR="005C774E" w:rsidRPr="005C774E">
        <w:rPr>
          <w:rFonts w:eastAsia="Calibri"/>
          <w:sz w:val="22"/>
          <w:szCs w:val="22"/>
          <w:lang w:val="en-US" w:eastAsia="en-US"/>
        </w:rPr>
        <w:t>data more quickly than they themselves could</w:t>
      </w:r>
      <w:r w:rsidR="005C774E">
        <w:rPr>
          <w:rFonts w:eastAsia="Calibri"/>
          <w:sz w:val="22"/>
          <w:szCs w:val="22"/>
          <w:lang w:val="mi-NZ" w:eastAsia="en-US"/>
        </w:rPr>
        <w:t xml:space="preserve">” </w:t>
      </w:r>
      <w:r w:rsidR="001C037C">
        <w:rPr>
          <w:rFonts w:eastAsia="Calibri"/>
          <w:noProof/>
          <w:sz w:val="22"/>
          <w:szCs w:val="22"/>
          <w:lang w:val="mi-NZ" w:eastAsia="en-US"/>
        </w:rPr>
        <w:t>(Elbe and Buckland-Merrett, 2017)</w:t>
      </w:r>
      <w:r w:rsidR="005C774E">
        <w:rPr>
          <w:rFonts w:eastAsia="Calibri"/>
          <w:sz w:val="22"/>
          <w:szCs w:val="22"/>
          <w:lang w:val="mi-NZ" w:eastAsia="en-US"/>
        </w:rPr>
        <w:t>.</w:t>
      </w:r>
    </w:p>
    <w:p w14:paraId="41B047A8" w14:textId="77777777" w:rsidR="003A757D" w:rsidRDefault="0067663D" w:rsidP="00330E46">
      <w:pPr>
        <w:pStyle w:val="ListParagraph"/>
        <w:numPr>
          <w:ilvl w:val="0"/>
          <w:numId w:val="10"/>
        </w:numPr>
        <w:spacing w:after="120"/>
        <w:rPr>
          <w:rFonts w:eastAsia="Calibri"/>
          <w:sz w:val="22"/>
          <w:szCs w:val="22"/>
          <w:lang w:val="mi-NZ" w:eastAsia="en-US"/>
        </w:rPr>
      </w:pPr>
      <w:r>
        <w:rPr>
          <w:rFonts w:eastAsia="Calibri"/>
          <w:sz w:val="22"/>
          <w:szCs w:val="22"/>
          <w:lang w:val="mi-NZ" w:eastAsia="en-US"/>
        </w:rPr>
        <w:t xml:space="preserve">Governments </w:t>
      </w:r>
      <w:r w:rsidR="003A757D">
        <w:rPr>
          <w:rFonts w:eastAsia="Calibri"/>
          <w:sz w:val="22"/>
          <w:szCs w:val="22"/>
          <w:lang w:val="mi-NZ" w:eastAsia="en-US"/>
        </w:rPr>
        <w:t>and trade and access to medicine (or veterinary medicines or vaccines)</w:t>
      </w:r>
      <w:r>
        <w:rPr>
          <w:rFonts w:eastAsia="Calibri"/>
          <w:sz w:val="22"/>
          <w:szCs w:val="22"/>
          <w:lang w:val="mi-NZ" w:eastAsia="en-US"/>
        </w:rPr>
        <w:t>:</w:t>
      </w:r>
    </w:p>
    <w:p w14:paraId="22B9DD90" w14:textId="77777777" w:rsidR="005C774E" w:rsidRDefault="005C774E" w:rsidP="005C774E">
      <w:pPr>
        <w:spacing w:after="120"/>
        <w:rPr>
          <w:rFonts w:eastAsia="Calibri"/>
          <w:sz w:val="22"/>
          <w:szCs w:val="22"/>
          <w:lang w:val="mi-NZ" w:eastAsia="en-US"/>
        </w:rPr>
      </w:pPr>
      <w:r>
        <w:rPr>
          <w:rFonts w:eastAsia="Calibri"/>
          <w:sz w:val="22"/>
          <w:szCs w:val="22"/>
          <w:lang w:val="mi-NZ" w:eastAsia="en-US"/>
        </w:rPr>
        <w:t xml:space="preserve">Governments can have a variety of reasons to withhold data </w:t>
      </w:r>
      <w:r w:rsidR="001C037C">
        <w:rPr>
          <w:rFonts w:eastAsia="Calibri"/>
          <w:noProof/>
          <w:sz w:val="22"/>
          <w:szCs w:val="22"/>
          <w:lang w:val="mi-NZ" w:eastAsia="en-US"/>
        </w:rPr>
        <w:t>(Elbe and Buckland-Merrett, 2017)</w:t>
      </w:r>
      <w:r>
        <w:rPr>
          <w:rFonts w:eastAsia="Calibri"/>
          <w:sz w:val="22"/>
          <w:szCs w:val="22"/>
          <w:lang w:val="mi-NZ" w:eastAsia="en-US"/>
        </w:rPr>
        <w:t xml:space="preserve">. These include such things as concerns about reptuational damage (e.g. as the source of a pathogen, perhaps the </w:t>
      </w:r>
      <w:r w:rsidR="0052027D">
        <w:rPr>
          <w:rFonts w:eastAsia="Calibri"/>
          <w:sz w:val="22"/>
          <w:szCs w:val="22"/>
          <w:lang w:val="mi-NZ" w:eastAsia="en-US"/>
        </w:rPr>
        <w:t>home of a company</w:t>
      </w:r>
      <w:r>
        <w:rPr>
          <w:rFonts w:eastAsia="Calibri"/>
          <w:sz w:val="22"/>
          <w:szCs w:val="22"/>
          <w:lang w:val="mi-NZ" w:eastAsia="en-US"/>
        </w:rPr>
        <w:t xml:space="preserve"> that uses an endangered species in a product) and IP considerations.</w:t>
      </w:r>
    </w:p>
    <w:p w14:paraId="4F759582" w14:textId="77777777" w:rsidR="003A757D" w:rsidRPr="00783BFD" w:rsidRDefault="0067663D" w:rsidP="00330E46">
      <w:pPr>
        <w:pStyle w:val="ListParagraph"/>
        <w:numPr>
          <w:ilvl w:val="0"/>
          <w:numId w:val="10"/>
        </w:numPr>
        <w:spacing w:after="120"/>
        <w:rPr>
          <w:rFonts w:eastAsia="Calibri"/>
          <w:sz w:val="22"/>
          <w:szCs w:val="22"/>
          <w:lang w:val="mi-NZ" w:eastAsia="en-US"/>
        </w:rPr>
      </w:pPr>
      <w:r>
        <w:rPr>
          <w:rFonts w:eastAsia="Calibri"/>
          <w:sz w:val="22"/>
          <w:szCs w:val="22"/>
          <w:lang w:val="mi-NZ" w:eastAsia="en-US"/>
        </w:rPr>
        <w:t xml:space="preserve">Practical </w:t>
      </w:r>
      <w:r w:rsidR="003A757D">
        <w:rPr>
          <w:rFonts w:eastAsia="Calibri"/>
          <w:sz w:val="22"/>
          <w:szCs w:val="22"/>
          <w:lang w:val="mi-NZ" w:eastAsia="en-US"/>
        </w:rPr>
        <w:t>challenges such as confidence in database viability</w:t>
      </w:r>
      <w:r>
        <w:rPr>
          <w:rFonts w:eastAsia="Calibri"/>
          <w:sz w:val="22"/>
          <w:szCs w:val="22"/>
          <w:lang w:val="mi-NZ" w:eastAsia="en-US"/>
        </w:rPr>
        <w:t>:</w:t>
      </w:r>
    </w:p>
    <w:p w14:paraId="6CF57EE8" w14:textId="77777777" w:rsidR="005C774E" w:rsidRDefault="00D17A7A" w:rsidP="00D17A7A">
      <w:pPr>
        <w:spacing w:after="120"/>
        <w:rPr>
          <w:rFonts w:eastAsia="Calibri"/>
          <w:sz w:val="22"/>
          <w:szCs w:val="22"/>
          <w:lang w:val="en-US" w:eastAsia="en-US"/>
        </w:rPr>
      </w:pPr>
      <w:r w:rsidRPr="00BB430C">
        <w:rPr>
          <w:rFonts w:eastAsia="Calibri"/>
          <w:sz w:val="22"/>
          <w:szCs w:val="22"/>
          <w:lang w:val="en-US" w:eastAsia="en-US"/>
        </w:rPr>
        <w:t>Existing and future databases require support</w:t>
      </w:r>
      <w:r w:rsidR="00F95BC6">
        <w:rPr>
          <w:rFonts w:eastAsia="Calibri"/>
          <w:sz w:val="22"/>
          <w:szCs w:val="22"/>
          <w:lang w:val="en-US" w:eastAsia="en-US"/>
        </w:rPr>
        <w:t xml:space="preserve"> </w:t>
      </w:r>
      <w:r w:rsidR="001C037C">
        <w:rPr>
          <w:rFonts w:eastAsia="Calibri"/>
          <w:noProof/>
          <w:sz w:val="22"/>
          <w:szCs w:val="22"/>
          <w:lang w:val="en-US" w:eastAsia="en-US"/>
        </w:rPr>
        <w:t>(Bastow and Leonelli, 2010; Hayden, 2016; Elbe and Buckland-Merrett, 2017)</w:t>
      </w:r>
      <w:r w:rsidRPr="00BB430C">
        <w:rPr>
          <w:rFonts w:eastAsia="Calibri"/>
          <w:sz w:val="22"/>
          <w:szCs w:val="22"/>
          <w:lang w:val="en-US" w:eastAsia="en-US"/>
        </w:rPr>
        <w:t xml:space="preserve">. Presently this comes from those who generate DSI and choose to send it to a database, and actors providing financial resources to maintain infrastructure, </w:t>
      </w:r>
      <w:r w:rsidRPr="00BB430C">
        <w:rPr>
          <w:rFonts w:eastAsia="Calibri"/>
          <w:sz w:val="22"/>
          <w:szCs w:val="22"/>
          <w:lang w:val="en-US" w:eastAsia="en-US"/>
        </w:rPr>
        <w:lastRenderedPageBreak/>
        <w:t xml:space="preserve">reliability and protect against tampering. Future support is not guaranteed </w:t>
      </w:r>
      <w:r w:rsidR="001C037C">
        <w:rPr>
          <w:rFonts w:eastAsia="Calibri"/>
          <w:noProof/>
          <w:sz w:val="22"/>
          <w:szCs w:val="22"/>
          <w:lang w:val="en-US" w:eastAsia="en-US"/>
        </w:rPr>
        <w:t>(Editor, 2016; Elbe and Buckland-Merrett, 2017)</w:t>
      </w:r>
      <w:r w:rsidRPr="00BB430C">
        <w:rPr>
          <w:rFonts w:eastAsia="Calibri"/>
          <w:sz w:val="22"/>
          <w:szCs w:val="22"/>
          <w:lang w:val="en-US" w:eastAsia="en-US"/>
        </w:rPr>
        <w:t>.</w:t>
      </w:r>
    </w:p>
    <w:p w14:paraId="21126C97" w14:textId="77777777" w:rsidR="000E7C49" w:rsidRPr="00BB430C" w:rsidRDefault="00D17A7A" w:rsidP="00D17A7A">
      <w:pPr>
        <w:spacing w:after="120"/>
        <w:rPr>
          <w:rFonts w:eastAsia="Calibri"/>
          <w:sz w:val="22"/>
          <w:szCs w:val="22"/>
          <w:lang w:val="en-US" w:eastAsia="en-US"/>
        </w:rPr>
      </w:pPr>
      <w:r w:rsidRPr="00BB430C">
        <w:rPr>
          <w:rFonts w:eastAsia="Calibri"/>
          <w:sz w:val="22"/>
          <w:szCs w:val="22"/>
          <w:lang w:val="en-US" w:eastAsia="en-US"/>
        </w:rPr>
        <w:t>The 16</w:t>
      </w:r>
      <w:r w:rsidR="0067663D">
        <w:rPr>
          <w:rFonts w:eastAsia="Calibri"/>
          <w:sz w:val="22"/>
          <w:szCs w:val="22"/>
          <w:lang w:val="en-US" w:eastAsia="en-US"/>
        </w:rPr>
        <w:t>-</w:t>
      </w:r>
      <w:r w:rsidRPr="00BB430C">
        <w:rPr>
          <w:rFonts w:eastAsia="Calibri"/>
          <w:sz w:val="22"/>
          <w:szCs w:val="22"/>
          <w:lang w:val="en-US" w:eastAsia="en-US"/>
        </w:rPr>
        <w:t>year</w:t>
      </w:r>
      <w:r w:rsidR="0067663D">
        <w:rPr>
          <w:rFonts w:eastAsia="Calibri"/>
          <w:sz w:val="22"/>
          <w:szCs w:val="22"/>
          <w:lang w:val="en-US" w:eastAsia="en-US"/>
        </w:rPr>
        <w:t>-</w:t>
      </w:r>
      <w:r w:rsidRPr="00BB430C">
        <w:rPr>
          <w:rFonts w:eastAsia="Calibri"/>
          <w:sz w:val="22"/>
          <w:szCs w:val="22"/>
          <w:lang w:val="en-US" w:eastAsia="en-US"/>
        </w:rPr>
        <w:t xml:space="preserve">old Kyoto Encyclopedia of Genes and Genomes (KEGG) was under threat of closing in 2011 due to funding insecurity. The US National Science Foundation withdrew funding from the primary database specific to information from the plant family </w:t>
      </w:r>
      <w:r w:rsidRPr="00BB430C">
        <w:rPr>
          <w:rFonts w:eastAsia="Calibri"/>
          <w:i/>
          <w:sz w:val="22"/>
          <w:szCs w:val="22"/>
          <w:lang w:val="en-US" w:eastAsia="en-US"/>
        </w:rPr>
        <w:t>Arabidopsis</w:t>
      </w:r>
      <w:r w:rsidRPr="00BB430C">
        <w:rPr>
          <w:rFonts w:eastAsia="Calibri"/>
          <w:sz w:val="22"/>
          <w:szCs w:val="22"/>
          <w:lang w:val="en-US" w:eastAsia="en-US"/>
        </w:rPr>
        <w:t xml:space="preserve"> (TAIR) that had accumulated data for 14 years.</w:t>
      </w:r>
      <w:r w:rsidR="000E7C49">
        <w:rPr>
          <w:rFonts w:eastAsia="Calibri"/>
          <w:sz w:val="22"/>
          <w:szCs w:val="22"/>
          <w:lang w:val="en-US" w:eastAsia="en-US"/>
        </w:rPr>
        <w:t xml:space="preserve"> In 2016 the Human Genome Research Institute announced plans to reduce support for five </w:t>
      </w:r>
      <w:r w:rsidR="0067663D">
        <w:rPr>
          <w:rFonts w:eastAsia="Calibri"/>
          <w:sz w:val="22"/>
          <w:szCs w:val="22"/>
          <w:lang w:val="en-US" w:eastAsia="en-US"/>
        </w:rPr>
        <w:t>“</w:t>
      </w:r>
      <w:r w:rsidR="000E7C49">
        <w:rPr>
          <w:rFonts w:eastAsia="Calibri"/>
          <w:sz w:val="22"/>
          <w:szCs w:val="22"/>
          <w:lang w:val="en-US" w:eastAsia="en-US"/>
        </w:rPr>
        <w:t>model organism</w:t>
      </w:r>
      <w:r w:rsidR="0067663D">
        <w:rPr>
          <w:rFonts w:eastAsia="Calibri"/>
          <w:sz w:val="22"/>
          <w:szCs w:val="22"/>
          <w:lang w:val="en-US" w:eastAsia="en-US"/>
        </w:rPr>
        <w:t>”</w:t>
      </w:r>
      <w:r w:rsidR="000E7C49">
        <w:rPr>
          <w:rFonts w:eastAsia="Calibri"/>
          <w:sz w:val="22"/>
          <w:szCs w:val="22"/>
          <w:lang w:val="en-US" w:eastAsia="en-US"/>
        </w:rPr>
        <w:t xml:space="preserve"> databases from US</w:t>
      </w:r>
      <w:r w:rsidR="0067663D">
        <w:rPr>
          <w:rFonts w:eastAsia="Calibri"/>
          <w:sz w:val="22"/>
          <w:szCs w:val="22"/>
          <w:lang w:val="en-US" w:eastAsia="en-US"/>
        </w:rPr>
        <w:t>D</w:t>
      </w:r>
      <w:r w:rsidR="000E7C49">
        <w:rPr>
          <w:rFonts w:eastAsia="Calibri"/>
          <w:sz w:val="22"/>
          <w:szCs w:val="22"/>
          <w:lang w:val="en-US" w:eastAsia="en-US"/>
        </w:rPr>
        <w:t>17.6 million by 30</w:t>
      </w:r>
      <w:r w:rsidR="0067663D">
        <w:rPr>
          <w:rFonts w:eastAsia="Calibri"/>
          <w:sz w:val="22"/>
          <w:szCs w:val="22"/>
          <w:lang w:val="en-US" w:eastAsia="en-US"/>
        </w:rPr>
        <w:t>–</w:t>
      </w:r>
      <w:r w:rsidR="000E7C49">
        <w:rPr>
          <w:rFonts w:eastAsia="Calibri"/>
          <w:sz w:val="22"/>
          <w:szCs w:val="22"/>
          <w:lang w:val="en-US" w:eastAsia="en-US"/>
        </w:rPr>
        <w:t>40</w:t>
      </w:r>
      <w:r w:rsidR="0067663D">
        <w:rPr>
          <w:rFonts w:eastAsia="Calibri"/>
          <w:sz w:val="22"/>
          <w:szCs w:val="22"/>
          <w:lang w:val="en-US" w:eastAsia="en-US"/>
        </w:rPr>
        <w:t xml:space="preserve"> percent</w:t>
      </w:r>
      <w:r w:rsidR="00940091">
        <w:rPr>
          <w:rFonts w:eastAsia="Calibri"/>
          <w:sz w:val="22"/>
          <w:szCs w:val="22"/>
          <w:lang w:val="en-US" w:eastAsia="en-US"/>
        </w:rPr>
        <w:t xml:space="preserve"> </w:t>
      </w:r>
      <w:r w:rsidR="001C037C">
        <w:rPr>
          <w:rFonts w:eastAsia="Calibri"/>
          <w:noProof/>
          <w:sz w:val="22"/>
          <w:szCs w:val="22"/>
          <w:lang w:val="en-US" w:eastAsia="en-US"/>
        </w:rPr>
        <w:t>(Hayden, 2016)</w:t>
      </w:r>
      <w:r w:rsidR="000E7C49">
        <w:rPr>
          <w:rFonts w:eastAsia="Calibri"/>
          <w:sz w:val="22"/>
          <w:szCs w:val="22"/>
          <w:lang w:val="en-US" w:eastAsia="en-US"/>
        </w:rPr>
        <w:t xml:space="preserve">. </w:t>
      </w:r>
    </w:p>
    <w:p w14:paraId="5ADC9C52" w14:textId="77777777" w:rsidR="00D17A7A" w:rsidRDefault="00D17A7A" w:rsidP="00D17A7A">
      <w:pPr>
        <w:spacing w:after="120"/>
        <w:rPr>
          <w:rFonts w:eastAsia="Calibri"/>
          <w:sz w:val="22"/>
          <w:szCs w:val="22"/>
          <w:lang w:val="en-US" w:eastAsia="en-US"/>
        </w:rPr>
      </w:pPr>
      <w:r w:rsidRPr="00BB430C">
        <w:rPr>
          <w:rFonts w:eastAsia="Calibri"/>
          <w:sz w:val="22"/>
          <w:szCs w:val="22"/>
          <w:lang w:val="en-US" w:eastAsia="en-US"/>
        </w:rPr>
        <w:t>Optimistically, DSI can be salvaged by transfer to other more financially viable platforms as necessary. Fiscal uncertainty is therefore not in principle a threat to the information or an existential threat to databases. However, neither the hardware nor the software of DSI is static. Just like it is now impossible to use a floppy disk in an</w:t>
      </w:r>
      <w:r w:rsidR="0052027D">
        <w:rPr>
          <w:rFonts w:eastAsia="Calibri"/>
          <w:sz w:val="22"/>
          <w:szCs w:val="22"/>
          <w:lang w:val="en-US" w:eastAsia="en-US"/>
        </w:rPr>
        <w:t>y presently common</w:t>
      </w:r>
      <w:r w:rsidRPr="00BB430C">
        <w:rPr>
          <w:rFonts w:eastAsia="Calibri"/>
          <w:sz w:val="22"/>
          <w:szCs w:val="22"/>
          <w:lang w:val="en-US" w:eastAsia="en-US"/>
        </w:rPr>
        <w:t xml:space="preserve"> computer, the way in which DSI is archived, transmitted and manipulated changes over time. Because different databases and individual DSI providers may use different standards, resurrecting information across systems may not always be possible </w:t>
      </w:r>
      <w:r w:rsidR="001C037C">
        <w:rPr>
          <w:rFonts w:eastAsia="Calibri"/>
          <w:noProof/>
          <w:sz w:val="22"/>
          <w:szCs w:val="22"/>
          <w:lang w:val="en-US" w:eastAsia="en-US"/>
        </w:rPr>
        <w:t>(Editor, 2016)</w:t>
      </w:r>
      <w:r w:rsidRPr="00BB430C">
        <w:rPr>
          <w:rFonts w:eastAsia="Calibri"/>
          <w:sz w:val="22"/>
          <w:szCs w:val="22"/>
          <w:lang w:val="en-US" w:eastAsia="en-US"/>
        </w:rPr>
        <w:t>. Loss of continuity might put some DSI at risk of extinction.</w:t>
      </w:r>
    </w:p>
    <w:p w14:paraId="5C65C9DB" w14:textId="77777777" w:rsidR="0052027D" w:rsidRPr="00BB430C" w:rsidRDefault="0052027D" w:rsidP="00D17A7A">
      <w:pPr>
        <w:spacing w:after="120"/>
        <w:rPr>
          <w:rFonts w:eastAsia="Calibri"/>
          <w:sz w:val="22"/>
          <w:szCs w:val="22"/>
          <w:lang w:val="en-US" w:eastAsia="en-US"/>
        </w:rPr>
      </w:pPr>
    </w:p>
    <w:p w14:paraId="47FDCF1E" w14:textId="77777777" w:rsidR="00EC70F2" w:rsidRPr="00796F66" w:rsidRDefault="007477C6" w:rsidP="00EC70F2">
      <w:pPr>
        <w:pStyle w:val="Heading2"/>
        <w:spacing w:before="120" w:after="120"/>
        <w:rPr>
          <w:rFonts w:ascii="Times New Roman" w:hAnsi="Times New Roman" w:cs="Times New Roman"/>
          <w:bCs w:val="0"/>
          <w:i w:val="0"/>
          <w:iCs w:val="0"/>
          <w:noProof/>
          <w:sz w:val="24"/>
          <w:szCs w:val="24"/>
        </w:rPr>
      </w:pPr>
      <w:bookmarkStart w:id="29" w:name="_Toc374968985"/>
      <w:r w:rsidRPr="00796F66">
        <w:rPr>
          <w:rFonts w:ascii="Times New Roman" w:hAnsi="Times New Roman" w:cs="Times New Roman"/>
          <w:bCs w:val="0"/>
          <w:i w:val="0"/>
          <w:iCs w:val="0"/>
          <w:noProof/>
          <w:sz w:val="24"/>
          <w:szCs w:val="24"/>
        </w:rPr>
        <w:t>5</w:t>
      </w:r>
      <w:r w:rsidR="00D17A7A" w:rsidRPr="00796F66">
        <w:rPr>
          <w:rFonts w:ascii="Times New Roman" w:hAnsi="Times New Roman" w:cs="Times New Roman"/>
          <w:bCs w:val="0"/>
          <w:i w:val="0"/>
          <w:iCs w:val="0"/>
          <w:noProof/>
          <w:sz w:val="24"/>
          <w:szCs w:val="24"/>
        </w:rPr>
        <w:t>.3</w:t>
      </w:r>
      <w:r w:rsidR="002E4DDB" w:rsidRPr="00796F66">
        <w:rPr>
          <w:rFonts w:ascii="Times New Roman" w:hAnsi="Times New Roman" w:cs="Times New Roman"/>
          <w:bCs w:val="0"/>
          <w:i w:val="0"/>
          <w:iCs w:val="0"/>
          <w:noProof/>
          <w:sz w:val="24"/>
          <w:szCs w:val="24"/>
        </w:rPr>
        <w:t xml:space="preserve"> </w:t>
      </w:r>
      <w:r w:rsidR="00EC70F2" w:rsidRPr="00796F66">
        <w:rPr>
          <w:rFonts w:ascii="Times New Roman" w:hAnsi="Times New Roman" w:cs="Times New Roman"/>
          <w:bCs w:val="0"/>
          <w:i w:val="0"/>
          <w:iCs w:val="0"/>
          <w:noProof/>
          <w:sz w:val="24"/>
          <w:szCs w:val="24"/>
        </w:rPr>
        <w:t>Conclusion</w:t>
      </w:r>
      <w:bookmarkEnd w:id="29"/>
    </w:p>
    <w:p w14:paraId="6EFF95B3" w14:textId="77777777" w:rsidR="00D17A7A" w:rsidRPr="00BB430C" w:rsidRDefault="00D17A7A" w:rsidP="00D17A7A">
      <w:pPr>
        <w:spacing w:after="120"/>
        <w:rPr>
          <w:rFonts w:eastAsia="Calibri"/>
          <w:bCs/>
          <w:sz w:val="22"/>
          <w:szCs w:val="22"/>
          <w:lang w:val="en-US" w:eastAsia="en-US"/>
        </w:rPr>
      </w:pPr>
      <w:r w:rsidRPr="00BB430C">
        <w:rPr>
          <w:rFonts w:eastAsia="Calibri"/>
          <w:bCs/>
          <w:sz w:val="22"/>
          <w:szCs w:val="22"/>
          <w:lang w:val="en-US" w:eastAsia="en-US"/>
        </w:rPr>
        <w:t>DSI has become an intensely debated topic in the context of fair and equitable access and the sharing of benefits of GRFA. The study attempts to inform the debate by clarifying the diversity of relevant actors. This includes those groups most connected to the operational use and generation of DSI.</w:t>
      </w:r>
    </w:p>
    <w:p w14:paraId="5E1EF221" w14:textId="77777777" w:rsidR="00A41CFC" w:rsidRPr="00484736" w:rsidRDefault="00D17A7A" w:rsidP="00D17A7A">
      <w:pPr>
        <w:spacing w:after="120"/>
        <w:rPr>
          <w:rFonts w:eastAsia="Calibri"/>
          <w:bCs/>
          <w:sz w:val="22"/>
          <w:szCs w:val="22"/>
          <w:lang w:val="en-US" w:eastAsia="en-US"/>
        </w:rPr>
      </w:pPr>
      <w:r w:rsidRPr="00BB430C">
        <w:rPr>
          <w:rFonts w:eastAsia="Calibri"/>
          <w:bCs/>
          <w:sz w:val="22"/>
          <w:szCs w:val="22"/>
          <w:lang w:val="en-US" w:eastAsia="en-US"/>
        </w:rPr>
        <w:t xml:space="preserve">The different future ways that DSI is envisioned to be used will be by more people, and be used in more ways. Many of the new ways will be disconnected from the biological </w:t>
      </w:r>
      <w:r w:rsidRPr="00BB430C">
        <w:rPr>
          <w:rFonts w:eastAsia="Calibri"/>
          <w:bCs/>
          <w:i/>
          <w:sz w:val="22"/>
          <w:szCs w:val="22"/>
          <w:lang w:val="en-US" w:eastAsia="en-US"/>
        </w:rPr>
        <w:t>raw material</w:t>
      </w:r>
      <w:r w:rsidRPr="00BB430C">
        <w:rPr>
          <w:rFonts w:eastAsia="Calibri"/>
          <w:bCs/>
          <w:sz w:val="22"/>
          <w:szCs w:val="22"/>
          <w:lang w:val="en-US" w:eastAsia="en-US"/>
        </w:rPr>
        <w:t xml:space="preserve">. In particular, a larger role for the </w:t>
      </w:r>
      <w:r w:rsidR="00D8350F">
        <w:rPr>
          <w:rFonts w:eastAsia="Calibri"/>
          <w:bCs/>
          <w:sz w:val="22"/>
          <w:szCs w:val="22"/>
          <w:lang w:val="en-US" w:eastAsia="en-US"/>
        </w:rPr>
        <w:t>public</w:t>
      </w:r>
      <w:r w:rsidR="00D8350F" w:rsidRPr="00BB430C">
        <w:rPr>
          <w:rFonts w:eastAsia="Calibri"/>
          <w:bCs/>
          <w:sz w:val="22"/>
          <w:szCs w:val="22"/>
          <w:lang w:val="en-US" w:eastAsia="en-US"/>
        </w:rPr>
        <w:t xml:space="preserve"> </w:t>
      </w:r>
      <w:r w:rsidRPr="00BB430C">
        <w:rPr>
          <w:rFonts w:eastAsia="Calibri"/>
          <w:bCs/>
          <w:sz w:val="22"/>
          <w:szCs w:val="22"/>
          <w:lang w:val="en-US" w:eastAsia="en-US"/>
        </w:rPr>
        <w:t>will emerge as technologies combine to increase distributed data gathering capability</w:t>
      </w:r>
      <w:r w:rsidR="00A77B96">
        <w:rPr>
          <w:rFonts w:eastAsia="Calibri"/>
          <w:bCs/>
          <w:sz w:val="22"/>
          <w:szCs w:val="22"/>
          <w:lang w:val="en-US" w:eastAsia="en-US"/>
        </w:rPr>
        <w:t xml:space="preserve"> </w:t>
      </w:r>
      <w:r w:rsidR="001C037C">
        <w:rPr>
          <w:rFonts w:eastAsia="Calibri"/>
          <w:bCs/>
          <w:noProof/>
          <w:sz w:val="22"/>
          <w:szCs w:val="22"/>
          <w:lang w:val="en-US" w:eastAsia="en-US"/>
        </w:rPr>
        <w:t>(Jain</w:t>
      </w:r>
      <w:r w:rsidR="001C037C" w:rsidRPr="001C037C">
        <w:rPr>
          <w:rFonts w:eastAsia="Calibri"/>
          <w:bCs/>
          <w:i/>
          <w:noProof/>
          <w:sz w:val="22"/>
          <w:szCs w:val="22"/>
          <w:lang w:val="en-US" w:eastAsia="en-US"/>
        </w:rPr>
        <w:t xml:space="preserve"> et al.</w:t>
      </w:r>
      <w:r w:rsidR="001C037C">
        <w:rPr>
          <w:rFonts w:eastAsia="Calibri"/>
          <w:bCs/>
          <w:noProof/>
          <w:sz w:val="22"/>
          <w:szCs w:val="22"/>
          <w:lang w:val="en-US" w:eastAsia="en-US"/>
        </w:rPr>
        <w:t>, 2018)</w:t>
      </w:r>
      <w:r w:rsidRPr="00BB430C">
        <w:rPr>
          <w:rFonts w:eastAsia="Calibri"/>
          <w:bCs/>
          <w:sz w:val="22"/>
          <w:szCs w:val="22"/>
          <w:lang w:val="en-US" w:eastAsia="en-US"/>
        </w:rPr>
        <w:t>, and customized commercial products can be directly marketed to individuals collecting data.</w:t>
      </w:r>
    </w:p>
    <w:p w14:paraId="643BD0CD" w14:textId="77777777" w:rsidR="00D17A7A" w:rsidRPr="00BB430C" w:rsidRDefault="00A41CFC" w:rsidP="00D17A7A">
      <w:pPr>
        <w:spacing w:after="120"/>
        <w:rPr>
          <w:rFonts w:eastAsia="Calibri"/>
          <w:sz w:val="22"/>
          <w:szCs w:val="22"/>
          <w:lang w:eastAsia="en-US"/>
        </w:rPr>
      </w:pPr>
      <w:r>
        <w:rPr>
          <w:rFonts w:eastAsia="Calibri"/>
          <w:sz w:val="22"/>
          <w:szCs w:val="22"/>
          <w:lang w:eastAsia="en-US"/>
        </w:rPr>
        <w:t>Th</w:t>
      </w:r>
      <w:r w:rsidR="00484736">
        <w:rPr>
          <w:rFonts w:eastAsia="Calibri"/>
          <w:sz w:val="22"/>
          <w:szCs w:val="22"/>
          <w:lang w:eastAsia="en-US"/>
        </w:rPr>
        <w:t>e research and commercial</w:t>
      </w:r>
      <w:r>
        <w:rPr>
          <w:rFonts w:eastAsia="Calibri"/>
          <w:sz w:val="22"/>
          <w:szCs w:val="22"/>
          <w:lang w:eastAsia="en-US"/>
        </w:rPr>
        <w:t xml:space="preserve"> communities</w:t>
      </w:r>
      <w:r w:rsidR="00D17A7A" w:rsidRPr="00BB430C">
        <w:rPr>
          <w:rFonts w:eastAsia="Calibri"/>
          <w:sz w:val="22"/>
          <w:szCs w:val="22"/>
          <w:lang w:eastAsia="en-US"/>
        </w:rPr>
        <w:t xml:space="preserve"> may react</w:t>
      </w:r>
      <w:r w:rsidR="00484736">
        <w:rPr>
          <w:rFonts w:eastAsia="Calibri"/>
          <w:sz w:val="22"/>
          <w:szCs w:val="22"/>
          <w:lang w:eastAsia="en-US"/>
        </w:rPr>
        <w:t xml:space="preserve"> to ABS legislation</w:t>
      </w:r>
      <w:r w:rsidR="00D17A7A" w:rsidRPr="00BB430C">
        <w:rPr>
          <w:rFonts w:eastAsia="Calibri"/>
          <w:sz w:val="22"/>
          <w:szCs w:val="22"/>
          <w:lang w:eastAsia="en-US"/>
        </w:rPr>
        <w:t xml:space="preserve"> in unexpected ways. Some fear that any additional compliance or subscription costs may slow the distribution of </w:t>
      </w:r>
      <w:r w:rsidR="00403E2C">
        <w:rPr>
          <w:rFonts w:eastAsia="Calibri"/>
          <w:sz w:val="22"/>
          <w:szCs w:val="22"/>
          <w:lang w:val="en-US" w:eastAsia="en-US"/>
        </w:rPr>
        <w:t>assets for upstream research</w:t>
      </w:r>
      <w:r w:rsidR="00D17A7A" w:rsidRPr="00BB430C">
        <w:rPr>
          <w:rFonts w:eastAsia="Calibri"/>
          <w:sz w:val="22"/>
          <w:szCs w:val="22"/>
          <w:lang w:eastAsia="en-US"/>
        </w:rPr>
        <w:t xml:space="preserve"> as the information is either not generated or it is kept secret</w:t>
      </w:r>
      <w:r w:rsidR="00403E2C">
        <w:rPr>
          <w:rFonts w:eastAsia="Calibri"/>
          <w:sz w:val="22"/>
          <w:szCs w:val="22"/>
          <w:lang w:eastAsia="en-US"/>
        </w:rPr>
        <w:t xml:space="preserve"> </w:t>
      </w:r>
      <w:r w:rsidR="001C037C">
        <w:rPr>
          <w:rFonts w:eastAsia="Calibri"/>
          <w:noProof/>
          <w:sz w:val="22"/>
          <w:szCs w:val="22"/>
          <w:lang w:val="en-US" w:eastAsia="en-US"/>
        </w:rPr>
        <w:t>(Manzella, 2016; Prathapan</w:t>
      </w:r>
      <w:r w:rsidR="001C037C" w:rsidRPr="001C037C">
        <w:rPr>
          <w:rFonts w:eastAsia="Calibri"/>
          <w:i/>
          <w:noProof/>
          <w:sz w:val="22"/>
          <w:szCs w:val="22"/>
          <w:lang w:val="en-US" w:eastAsia="en-US"/>
        </w:rPr>
        <w:t xml:space="preserve"> et al.</w:t>
      </w:r>
      <w:r w:rsidR="001C037C">
        <w:rPr>
          <w:rFonts w:eastAsia="Calibri"/>
          <w:noProof/>
          <w:sz w:val="22"/>
          <w:szCs w:val="22"/>
          <w:lang w:val="en-US" w:eastAsia="en-US"/>
        </w:rPr>
        <w:t>, 2018)</w:t>
      </w:r>
      <w:r w:rsidR="00D17A7A" w:rsidRPr="00BB430C">
        <w:rPr>
          <w:rFonts w:eastAsia="Calibri"/>
          <w:sz w:val="22"/>
          <w:szCs w:val="22"/>
          <w:lang w:eastAsia="en-US"/>
        </w:rPr>
        <w:t>.</w:t>
      </w:r>
      <w:r w:rsidR="00484736">
        <w:rPr>
          <w:rFonts w:eastAsia="Calibri"/>
          <w:sz w:val="22"/>
          <w:szCs w:val="22"/>
          <w:lang w:eastAsia="en-US"/>
        </w:rPr>
        <w:t xml:space="preserve"> </w:t>
      </w:r>
      <w:r w:rsidR="00D17A7A" w:rsidRPr="00BB430C">
        <w:rPr>
          <w:rFonts w:eastAsia="Calibri"/>
          <w:sz w:val="22"/>
          <w:szCs w:val="22"/>
          <w:lang w:eastAsia="en-US"/>
        </w:rPr>
        <w:t>However, as recorded in this study, failure of legislation to provide a framework for ABS might have similar effects. Researchers and businesses may prioritize the value of DSI to country of origin, or to indigenous peoples, and either keep the data secret or abandon its collection altogether.</w:t>
      </w:r>
    </w:p>
    <w:p w14:paraId="65C62921" w14:textId="77777777" w:rsidR="002E4DDB" w:rsidRPr="00BB430C" w:rsidRDefault="002E4DDB">
      <w:pPr>
        <w:rPr>
          <w:b/>
          <w:noProof/>
          <w:sz w:val="22"/>
          <w:szCs w:val="22"/>
          <w:lang w:eastAsia="pl-PL"/>
        </w:rPr>
      </w:pPr>
      <w:r w:rsidRPr="00BB430C">
        <w:rPr>
          <w:b/>
          <w:sz w:val="22"/>
          <w:szCs w:val="22"/>
          <w:lang w:eastAsia="pl-PL"/>
        </w:rPr>
        <w:br w:type="page"/>
      </w:r>
    </w:p>
    <w:p w14:paraId="7E24BCF6" w14:textId="77777777" w:rsidR="0004041E" w:rsidRPr="00796F66" w:rsidRDefault="00DE20B6" w:rsidP="00E41E95">
      <w:pPr>
        <w:pStyle w:val="ListParagraph"/>
        <w:spacing w:before="120" w:after="120"/>
        <w:ind w:left="0"/>
        <w:jc w:val="center"/>
        <w:rPr>
          <w:b/>
        </w:rPr>
      </w:pPr>
      <w:r w:rsidRPr="00796F66">
        <w:rPr>
          <w:b/>
          <w:caps/>
        </w:rPr>
        <w:lastRenderedPageBreak/>
        <w:t>conclusion</w:t>
      </w:r>
    </w:p>
    <w:p w14:paraId="627231BC" w14:textId="77777777" w:rsidR="00106717" w:rsidRDefault="0004041E" w:rsidP="0004041E">
      <w:pPr>
        <w:spacing w:after="120"/>
        <w:rPr>
          <w:rFonts w:eastAsia="Calibri"/>
          <w:sz w:val="22"/>
          <w:szCs w:val="22"/>
          <w:lang w:eastAsia="en-US"/>
        </w:rPr>
      </w:pPr>
      <w:r w:rsidRPr="00BB430C">
        <w:rPr>
          <w:rFonts w:eastAsia="Calibri"/>
          <w:sz w:val="22"/>
          <w:szCs w:val="22"/>
          <w:lang w:eastAsia="en-US"/>
        </w:rPr>
        <w:t>To get value from a genetic resource once required possessing it, or at least its DNA.</w:t>
      </w:r>
      <w:r w:rsidR="00106717" w:rsidRPr="00106717">
        <w:rPr>
          <w:rFonts w:eastAsia="Calibri"/>
          <w:sz w:val="22"/>
          <w:szCs w:val="22"/>
          <w:lang w:eastAsia="en-US"/>
        </w:rPr>
        <w:t xml:space="preserve"> </w:t>
      </w:r>
      <w:r w:rsidR="00106717" w:rsidRPr="00BB430C">
        <w:rPr>
          <w:rFonts w:eastAsia="Calibri"/>
          <w:sz w:val="22"/>
          <w:szCs w:val="22"/>
          <w:lang w:eastAsia="en-US"/>
        </w:rPr>
        <w:t>This is no longer the case.</w:t>
      </w:r>
    </w:p>
    <w:p w14:paraId="51EAE99D" w14:textId="77777777" w:rsidR="00106717" w:rsidRDefault="00106717" w:rsidP="0004041E">
      <w:pPr>
        <w:spacing w:after="120"/>
        <w:rPr>
          <w:rFonts w:eastAsia="Calibri"/>
          <w:sz w:val="22"/>
          <w:szCs w:val="22"/>
          <w:lang w:eastAsia="en-US"/>
        </w:rPr>
      </w:pPr>
      <w:r>
        <w:rPr>
          <w:rFonts w:eastAsia="Calibri"/>
          <w:sz w:val="22"/>
          <w:szCs w:val="22"/>
          <w:lang w:eastAsia="en-US"/>
        </w:rPr>
        <w:t>With increases in the global capacity to generate DNA sequences and to share them, DSI is sufficient to make significant use of the information from GRFA for characterization of biodiversity and improvement of GRFA through breeding.</w:t>
      </w:r>
      <w:r w:rsidR="00440EB6" w:rsidRPr="00440EB6">
        <w:rPr>
          <w:rFonts w:eastAsia="Calibri"/>
          <w:sz w:val="22"/>
          <w:szCs w:val="22"/>
          <w:lang w:eastAsia="en-US"/>
        </w:rPr>
        <w:t xml:space="preserve"> In addition to nucleotide sequence, digital information on GRFA includes other kinds of data that have value</w:t>
      </w:r>
      <w:r w:rsidR="00440EB6">
        <w:rPr>
          <w:rFonts w:eastAsia="Calibri"/>
          <w:sz w:val="22"/>
          <w:szCs w:val="22"/>
          <w:lang w:eastAsia="en-US"/>
        </w:rPr>
        <w:t>, for example</w:t>
      </w:r>
      <w:r w:rsidR="00440EB6" w:rsidRPr="00440EB6">
        <w:rPr>
          <w:rFonts w:eastAsia="Calibri"/>
          <w:sz w:val="22"/>
          <w:szCs w:val="22"/>
          <w:lang w:eastAsia="en-US"/>
        </w:rPr>
        <w:t xml:space="preserve"> </w:t>
      </w:r>
      <w:r w:rsidR="00440EB6">
        <w:rPr>
          <w:rFonts w:eastAsia="Calibri"/>
          <w:sz w:val="22"/>
          <w:szCs w:val="22"/>
          <w:lang w:eastAsia="en-US"/>
        </w:rPr>
        <w:t>bionanotechnology materials in the form of proteins or metabolites</w:t>
      </w:r>
      <w:r w:rsidR="00440EB6" w:rsidRPr="00440EB6">
        <w:rPr>
          <w:rFonts w:eastAsia="Calibri"/>
          <w:sz w:val="22"/>
          <w:szCs w:val="22"/>
          <w:lang w:eastAsia="en-US"/>
        </w:rPr>
        <w:t>.</w:t>
      </w:r>
      <w:r>
        <w:rPr>
          <w:rFonts w:eastAsia="Calibri"/>
          <w:sz w:val="22"/>
          <w:szCs w:val="22"/>
          <w:lang w:eastAsia="en-US"/>
        </w:rPr>
        <w:t xml:space="preserve"> For many, access to this information does not require access to GRFA.</w:t>
      </w:r>
      <w:r w:rsidR="00440EB6">
        <w:rPr>
          <w:rFonts w:eastAsia="Calibri"/>
          <w:sz w:val="22"/>
          <w:szCs w:val="22"/>
          <w:lang w:eastAsia="en-US"/>
        </w:rPr>
        <w:t xml:space="preserve"> </w:t>
      </w:r>
    </w:p>
    <w:p w14:paraId="3C111097" w14:textId="77777777" w:rsidR="0004041E" w:rsidRPr="00BB430C" w:rsidRDefault="00106717" w:rsidP="0004041E">
      <w:pPr>
        <w:spacing w:after="120"/>
        <w:rPr>
          <w:rFonts w:eastAsia="Calibri"/>
          <w:sz w:val="22"/>
          <w:szCs w:val="22"/>
          <w:lang w:val="mi-NZ" w:eastAsia="en-US"/>
        </w:rPr>
      </w:pPr>
      <w:r>
        <w:rPr>
          <w:rFonts w:eastAsia="Calibri"/>
          <w:sz w:val="22"/>
          <w:szCs w:val="22"/>
          <w:lang w:eastAsia="en-US"/>
        </w:rPr>
        <w:t>Moreover, u</w:t>
      </w:r>
      <w:r w:rsidR="0004041E" w:rsidRPr="00BB430C">
        <w:rPr>
          <w:rFonts w:eastAsia="Calibri"/>
          <w:sz w:val="22"/>
          <w:szCs w:val="22"/>
          <w:lang w:eastAsia="en-US"/>
        </w:rPr>
        <w:t xml:space="preserve">sing only </w:t>
      </w:r>
      <w:r w:rsidR="00363D3E">
        <w:rPr>
          <w:rFonts w:eastAsia="Calibri"/>
          <w:sz w:val="22"/>
          <w:szCs w:val="22"/>
          <w:lang w:eastAsia="en-US"/>
        </w:rPr>
        <w:t>DSI</w:t>
      </w:r>
      <w:r w:rsidR="0004041E" w:rsidRPr="00BB430C">
        <w:rPr>
          <w:rFonts w:eastAsia="Calibri"/>
          <w:sz w:val="22"/>
          <w:szCs w:val="22"/>
          <w:lang w:eastAsia="en-US"/>
        </w:rPr>
        <w:t xml:space="preserve"> it is possible today or in the foreseeable future to obtain, transfer and re-construct significant parts of the genetic information from organisms without having possessed the organism or transferred its DNA from one place to another</w:t>
      </w:r>
      <w:r w:rsidR="0004041E" w:rsidRPr="00BB430C">
        <w:rPr>
          <w:rFonts w:eastAsia="Calibri"/>
          <w:sz w:val="22"/>
          <w:szCs w:val="22"/>
          <w:lang w:val="mi-NZ" w:eastAsia="en-US"/>
        </w:rPr>
        <w:t>.</w:t>
      </w:r>
    </w:p>
    <w:p w14:paraId="75B6418D" w14:textId="77777777" w:rsidR="0004041E" w:rsidRPr="00BB430C" w:rsidRDefault="0004041E" w:rsidP="0004041E">
      <w:pPr>
        <w:spacing w:after="120"/>
        <w:rPr>
          <w:rFonts w:eastAsia="Calibri"/>
          <w:sz w:val="22"/>
          <w:szCs w:val="22"/>
          <w:lang w:val="en-US" w:eastAsia="en-US"/>
        </w:rPr>
      </w:pPr>
      <w:r w:rsidRPr="00BB430C">
        <w:rPr>
          <w:rFonts w:eastAsia="Calibri"/>
          <w:sz w:val="22"/>
          <w:szCs w:val="22"/>
          <w:lang w:val="mi-NZ" w:eastAsia="en-US"/>
        </w:rPr>
        <w:t xml:space="preserve">The objective of this report is to assist with discussions about </w:t>
      </w:r>
      <w:r w:rsidRPr="00BB430C">
        <w:rPr>
          <w:rFonts w:eastAsia="Calibri"/>
          <w:sz w:val="22"/>
          <w:szCs w:val="22"/>
          <w:lang w:val="en-US" w:eastAsia="en-US"/>
        </w:rPr>
        <w:t xml:space="preserve">whether, and in what ways, DSI now or in the future may substitute for genetic material to do research and development on genetic resources for food and agriculture, and to create value from genetic resources through DSI. </w:t>
      </w:r>
    </w:p>
    <w:p w14:paraId="6BFDB01C" w14:textId="77777777" w:rsidR="0004041E" w:rsidRPr="00BB430C" w:rsidRDefault="0004041E" w:rsidP="0004041E">
      <w:pPr>
        <w:spacing w:after="120"/>
        <w:rPr>
          <w:rFonts w:eastAsia="Calibri"/>
          <w:sz w:val="22"/>
          <w:szCs w:val="22"/>
          <w:lang w:val="mi-NZ" w:eastAsia="en-US"/>
        </w:rPr>
      </w:pPr>
      <w:r w:rsidRPr="00BB430C">
        <w:rPr>
          <w:rFonts w:eastAsia="Calibri"/>
          <w:sz w:val="22"/>
          <w:szCs w:val="22"/>
          <w:lang w:val="mi-NZ" w:eastAsia="en-US"/>
        </w:rPr>
        <w:t xml:space="preserve">The purpose of </w:t>
      </w:r>
      <w:r w:rsidR="00DE20B6" w:rsidRPr="00BB430C">
        <w:rPr>
          <w:rFonts w:eastAsia="Calibri"/>
          <w:sz w:val="22"/>
          <w:szCs w:val="22"/>
          <w:lang w:val="mi-NZ" w:eastAsia="en-US"/>
        </w:rPr>
        <w:t>th</w:t>
      </w:r>
      <w:r w:rsidR="00DE20B6">
        <w:rPr>
          <w:rFonts w:eastAsia="Calibri"/>
          <w:sz w:val="22"/>
          <w:szCs w:val="22"/>
          <w:lang w:val="mi-NZ" w:eastAsia="en-US"/>
        </w:rPr>
        <w:t>e</w:t>
      </w:r>
      <w:r w:rsidR="00DE20B6" w:rsidRPr="00BB430C">
        <w:rPr>
          <w:rFonts w:eastAsia="Calibri"/>
          <w:sz w:val="22"/>
          <w:szCs w:val="22"/>
          <w:lang w:val="mi-NZ" w:eastAsia="en-US"/>
        </w:rPr>
        <w:t xml:space="preserve"> </w:t>
      </w:r>
      <w:r w:rsidRPr="00BB430C">
        <w:rPr>
          <w:rFonts w:eastAsia="Calibri"/>
          <w:sz w:val="22"/>
          <w:szCs w:val="22"/>
          <w:lang w:val="mi-NZ" w:eastAsia="en-US"/>
        </w:rPr>
        <w:t xml:space="preserve">scoping study </w:t>
      </w:r>
      <w:r w:rsidR="00DE20B6">
        <w:rPr>
          <w:rFonts w:eastAsia="Calibri"/>
          <w:sz w:val="22"/>
          <w:szCs w:val="22"/>
          <w:lang w:val="mi-NZ" w:eastAsia="en-US"/>
        </w:rPr>
        <w:t>wa</w:t>
      </w:r>
      <w:r w:rsidRPr="00BB430C">
        <w:rPr>
          <w:rFonts w:eastAsia="Calibri"/>
          <w:sz w:val="22"/>
          <w:szCs w:val="22"/>
          <w:lang w:val="mi-NZ" w:eastAsia="en-US"/>
        </w:rPr>
        <w:t>s to bring together the terminology being used in what is referred to as DSI, reflect on how it is being used in biotechnology or on genetic resources for food and agriculture or may be used in the foreseeable future, and what DSI might look like in the future.</w:t>
      </w:r>
    </w:p>
    <w:p w14:paraId="7E5A25F8" w14:textId="77777777" w:rsidR="0004041E" w:rsidRPr="00BB430C" w:rsidRDefault="00DE20B6" w:rsidP="0004041E">
      <w:pPr>
        <w:spacing w:after="120"/>
        <w:rPr>
          <w:rFonts w:eastAsia="Calibri"/>
          <w:sz w:val="22"/>
          <w:szCs w:val="22"/>
          <w:lang w:val="en-US" w:eastAsia="en-US"/>
        </w:rPr>
      </w:pPr>
      <w:r>
        <w:rPr>
          <w:rFonts w:eastAsia="Calibri"/>
          <w:sz w:val="22"/>
          <w:szCs w:val="22"/>
          <w:lang w:val="en-US" w:eastAsia="en-US"/>
        </w:rPr>
        <w:t xml:space="preserve">(1) </w:t>
      </w:r>
      <w:r w:rsidR="0004041E" w:rsidRPr="00BB430C">
        <w:rPr>
          <w:rFonts w:eastAsia="Calibri"/>
          <w:sz w:val="22"/>
          <w:szCs w:val="22"/>
          <w:lang w:val="en-US" w:eastAsia="en-US"/>
        </w:rPr>
        <w:t xml:space="preserve">A variety of terms that differ between actors are used in discussions on DSI. Terms include but are not limited to genetic sequence data, genetic information, dematerialized </w:t>
      </w:r>
      <w:r w:rsidR="004220C2">
        <w:rPr>
          <w:rFonts w:eastAsia="Calibri"/>
          <w:sz w:val="22"/>
          <w:szCs w:val="22"/>
          <w:lang w:val="en-US" w:eastAsia="en-US"/>
        </w:rPr>
        <w:t>(</w:t>
      </w:r>
      <w:r w:rsidR="0004041E" w:rsidRPr="00BB430C">
        <w:rPr>
          <w:rFonts w:eastAsia="Calibri"/>
          <w:sz w:val="22"/>
          <w:szCs w:val="22"/>
          <w:lang w:val="en-US" w:eastAsia="en-US"/>
        </w:rPr>
        <w:t>use of</w:t>
      </w:r>
      <w:r w:rsidR="004220C2">
        <w:rPr>
          <w:rFonts w:eastAsia="Calibri"/>
          <w:sz w:val="22"/>
          <w:szCs w:val="22"/>
          <w:lang w:val="en-US" w:eastAsia="en-US"/>
        </w:rPr>
        <w:t>)</w:t>
      </w:r>
      <w:r w:rsidR="0004041E" w:rsidRPr="00BB430C">
        <w:rPr>
          <w:rFonts w:eastAsia="Calibri"/>
          <w:sz w:val="22"/>
          <w:szCs w:val="22"/>
          <w:lang w:val="en-US" w:eastAsia="en-US"/>
        </w:rPr>
        <w:t xml:space="preserve"> genetic resources</w:t>
      </w:r>
      <w:r w:rsidR="003C3AAF">
        <w:rPr>
          <w:rFonts w:eastAsia="Calibri"/>
          <w:bCs/>
          <w:sz w:val="22"/>
          <w:szCs w:val="22"/>
          <w:vertAlign w:val="superscript"/>
          <w:lang w:eastAsia="en-US"/>
        </w:rPr>
        <w:t>6</w:t>
      </w:r>
      <w:r w:rsidR="0004041E" w:rsidRPr="00BB430C">
        <w:rPr>
          <w:rFonts w:eastAsia="Calibri"/>
          <w:sz w:val="22"/>
          <w:szCs w:val="22"/>
          <w:lang w:val="en-US" w:eastAsia="en-US"/>
        </w:rPr>
        <w:t xml:space="preserve">, </w:t>
      </w:r>
      <w:r w:rsidR="0004041E" w:rsidRPr="00BB430C">
        <w:rPr>
          <w:rFonts w:eastAsia="Calibri"/>
          <w:i/>
          <w:sz w:val="22"/>
          <w:szCs w:val="22"/>
          <w:lang w:val="en-US" w:eastAsia="en-US"/>
        </w:rPr>
        <w:t>in silico</w:t>
      </w:r>
      <w:r w:rsidR="0004041E" w:rsidRPr="00BB430C">
        <w:rPr>
          <w:rFonts w:eastAsia="Calibri"/>
          <w:sz w:val="22"/>
          <w:szCs w:val="22"/>
          <w:lang w:val="en-US" w:eastAsia="en-US"/>
        </w:rPr>
        <w:t xml:space="preserve"> utilization, and bioinformatics. Actors are those participating in discussions within international agreements, different kinds of biology-based scientists, the biotechnology and agricultural industries, farmers and </w:t>
      </w:r>
      <w:r w:rsidR="00D8350F">
        <w:rPr>
          <w:rFonts w:eastAsia="Calibri"/>
          <w:sz w:val="22"/>
          <w:szCs w:val="22"/>
          <w:lang w:val="en-US" w:eastAsia="en-US"/>
        </w:rPr>
        <w:t>the public</w:t>
      </w:r>
      <w:r w:rsidR="0004041E" w:rsidRPr="00BB430C">
        <w:rPr>
          <w:rFonts w:eastAsia="Calibri"/>
          <w:sz w:val="22"/>
          <w:szCs w:val="22"/>
          <w:lang w:val="en-US" w:eastAsia="en-US"/>
        </w:rPr>
        <w:t>.</w:t>
      </w:r>
      <w:r w:rsidR="004220C2">
        <w:rPr>
          <w:noProof/>
          <w:spacing w:val="-3"/>
          <w:sz w:val="22"/>
          <w:szCs w:val="22"/>
        </w:rPr>
        <w:t xml:space="preserve"> As is apparent from this study, there may be little value in a </w:t>
      </w:r>
      <w:r w:rsidR="00614385">
        <w:rPr>
          <w:noProof/>
          <w:spacing w:val="-3"/>
          <w:sz w:val="22"/>
          <w:szCs w:val="22"/>
        </w:rPr>
        <w:t>simple and precise</w:t>
      </w:r>
      <w:r w:rsidR="00A56E28">
        <w:rPr>
          <w:noProof/>
          <w:spacing w:val="-3"/>
          <w:sz w:val="22"/>
          <w:szCs w:val="22"/>
        </w:rPr>
        <w:t xml:space="preserve"> definition</w:t>
      </w:r>
      <w:r w:rsidR="004220C2">
        <w:rPr>
          <w:noProof/>
          <w:spacing w:val="-3"/>
          <w:sz w:val="22"/>
          <w:szCs w:val="22"/>
        </w:rPr>
        <w:t xml:space="preserve"> DSI</w:t>
      </w:r>
      <w:r w:rsidR="00A56E28">
        <w:rPr>
          <w:noProof/>
          <w:spacing w:val="-3"/>
          <w:sz w:val="22"/>
          <w:szCs w:val="22"/>
        </w:rPr>
        <w:t xml:space="preserve"> that is</w:t>
      </w:r>
      <w:r w:rsidR="004220C2">
        <w:rPr>
          <w:noProof/>
          <w:spacing w:val="-3"/>
          <w:sz w:val="22"/>
          <w:szCs w:val="22"/>
        </w:rPr>
        <w:t xml:space="preserve"> disconnected from the</w:t>
      </w:r>
      <w:r w:rsidR="00614385">
        <w:rPr>
          <w:noProof/>
          <w:spacing w:val="-3"/>
          <w:sz w:val="22"/>
          <w:szCs w:val="22"/>
        </w:rPr>
        <w:t xml:space="preserve"> complex and</w:t>
      </w:r>
      <w:r w:rsidR="004220C2">
        <w:rPr>
          <w:noProof/>
          <w:spacing w:val="-3"/>
          <w:sz w:val="22"/>
          <w:szCs w:val="22"/>
        </w:rPr>
        <w:t xml:space="preserve"> evolving practices of the bioinformatics and synthetic biology communities.</w:t>
      </w:r>
    </w:p>
    <w:p w14:paraId="636F886A" w14:textId="77777777" w:rsidR="008926C1" w:rsidRDefault="0004041E" w:rsidP="0004041E">
      <w:pPr>
        <w:spacing w:after="120"/>
        <w:rPr>
          <w:rFonts w:eastAsia="Calibri"/>
          <w:sz w:val="22"/>
          <w:szCs w:val="22"/>
          <w:lang w:val="en-US" w:eastAsia="en-US"/>
        </w:rPr>
      </w:pPr>
      <w:r w:rsidRPr="00BB430C">
        <w:rPr>
          <w:rFonts w:eastAsia="Calibri"/>
          <w:sz w:val="22"/>
          <w:szCs w:val="22"/>
          <w:lang w:val="en-US" w:eastAsia="en-US"/>
        </w:rPr>
        <w:t xml:space="preserve">What emerges from the landscape of terms and associated examples is that what an actor may mean when referring to DSI on GRFA is much more than an electronic equivalent of a sequence of nucleotides as could be written on a whiteboard. Seemingly different kinds of data are routinely combined to provide information on GRFA. Even the most basic and ubiquitous conception of DSI as an electronic DNA database already combines multiple forms of data that in everyday practice must be used together. </w:t>
      </w:r>
    </w:p>
    <w:p w14:paraId="48D124F2" w14:textId="77777777" w:rsidR="008926C1" w:rsidRDefault="008926C1" w:rsidP="0004041E">
      <w:pPr>
        <w:spacing w:after="120"/>
        <w:rPr>
          <w:noProof/>
          <w:spacing w:val="-3"/>
          <w:sz w:val="22"/>
          <w:szCs w:val="22"/>
        </w:rPr>
      </w:pPr>
      <w:r w:rsidRPr="00BB430C">
        <w:rPr>
          <w:noProof/>
          <w:spacing w:val="-3"/>
          <w:sz w:val="22"/>
          <w:szCs w:val="22"/>
        </w:rPr>
        <w:t>DSI on GRFA</w:t>
      </w:r>
      <w:r w:rsidR="00E12737">
        <w:rPr>
          <w:noProof/>
          <w:spacing w:val="-3"/>
          <w:sz w:val="22"/>
          <w:szCs w:val="22"/>
        </w:rPr>
        <w:t>, whether it be DNA sequence information or any of the other kinds</w:t>
      </w:r>
      <w:r w:rsidR="004B50EC">
        <w:rPr>
          <w:noProof/>
          <w:spacing w:val="-3"/>
          <w:sz w:val="22"/>
          <w:szCs w:val="22"/>
        </w:rPr>
        <w:t xml:space="preserve"> of information</w:t>
      </w:r>
      <w:r w:rsidRPr="00BB430C">
        <w:rPr>
          <w:noProof/>
          <w:spacing w:val="-3"/>
          <w:sz w:val="22"/>
          <w:szCs w:val="22"/>
        </w:rPr>
        <w:t xml:space="preserve"> covered in this </w:t>
      </w:r>
      <w:r>
        <w:rPr>
          <w:noProof/>
          <w:spacing w:val="-3"/>
          <w:sz w:val="22"/>
          <w:szCs w:val="22"/>
        </w:rPr>
        <w:t>report</w:t>
      </w:r>
      <w:r w:rsidR="00E12737">
        <w:rPr>
          <w:noProof/>
          <w:spacing w:val="-3"/>
          <w:sz w:val="22"/>
          <w:szCs w:val="22"/>
        </w:rPr>
        <w:t>,</w:t>
      </w:r>
      <w:r w:rsidRPr="00BB430C">
        <w:rPr>
          <w:noProof/>
          <w:spacing w:val="-3"/>
          <w:sz w:val="22"/>
          <w:szCs w:val="22"/>
        </w:rPr>
        <w:t xml:space="preserve"> have characteristics in common. In some situations special to each,</w:t>
      </w:r>
      <w:r w:rsidR="00E12737">
        <w:rPr>
          <w:noProof/>
          <w:spacing w:val="-3"/>
          <w:sz w:val="22"/>
          <w:szCs w:val="22"/>
        </w:rPr>
        <w:t xml:space="preserve"> DSI that is not DNA sequence information</w:t>
      </w:r>
      <w:r w:rsidRPr="00BB430C">
        <w:rPr>
          <w:noProof/>
          <w:spacing w:val="-3"/>
          <w:sz w:val="22"/>
          <w:szCs w:val="22"/>
        </w:rPr>
        <w:t xml:space="preserve"> may have the power to replace DNA sequence information. Almost certainly, these other kinds of information are indispensible for making full use of DNA sequence information and are part of the value adding activities of DSI.</w:t>
      </w:r>
    </w:p>
    <w:p w14:paraId="1A833AF9" w14:textId="77777777" w:rsidR="008926C1" w:rsidRDefault="008926C1" w:rsidP="008926C1">
      <w:pPr>
        <w:spacing w:after="120"/>
        <w:rPr>
          <w:noProof/>
          <w:spacing w:val="-3"/>
          <w:sz w:val="22"/>
          <w:szCs w:val="22"/>
        </w:rPr>
      </w:pPr>
      <w:r w:rsidRPr="00BB430C">
        <w:rPr>
          <w:noProof/>
          <w:spacing w:val="-3"/>
          <w:sz w:val="22"/>
          <w:szCs w:val="22"/>
        </w:rPr>
        <w:t xml:space="preserve">This </w:t>
      </w:r>
      <w:r w:rsidR="004220C2">
        <w:rPr>
          <w:noProof/>
          <w:spacing w:val="-3"/>
          <w:sz w:val="22"/>
          <w:szCs w:val="22"/>
        </w:rPr>
        <w:t>links</w:t>
      </w:r>
      <w:r w:rsidRPr="00BB430C">
        <w:rPr>
          <w:noProof/>
          <w:spacing w:val="-3"/>
          <w:sz w:val="22"/>
          <w:szCs w:val="22"/>
        </w:rPr>
        <w:t xml:space="preserve"> the view of DSI that it is DNA sequences only, to views about it being genetic information, tangible or intangible, or it being that which can be utilized. Optimistically, the characteristics that all terms have in common might both form the basis for determining what DSI is relevant to GRFA, and for DSI to be defined in a way that allows it to be managed, constructively and appropriately, as envisioned in international agreements</w:t>
      </w:r>
      <w:r w:rsidR="004B50EC">
        <w:rPr>
          <w:noProof/>
          <w:spacing w:val="-3"/>
          <w:sz w:val="22"/>
          <w:szCs w:val="22"/>
        </w:rPr>
        <w:t xml:space="preserve"> and which ensures </w:t>
      </w:r>
      <w:r w:rsidR="004B50EC" w:rsidRPr="00BB430C">
        <w:rPr>
          <w:bCs/>
          <w:noProof/>
          <w:sz w:val="22"/>
          <w:szCs w:val="22"/>
        </w:rPr>
        <w:t>access</w:t>
      </w:r>
      <w:r w:rsidR="004B50EC">
        <w:rPr>
          <w:bCs/>
          <w:noProof/>
          <w:sz w:val="22"/>
          <w:szCs w:val="22"/>
        </w:rPr>
        <w:t xml:space="preserve"> to benefits,</w:t>
      </w:r>
      <w:r w:rsidR="004B50EC" w:rsidRPr="00BB430C">
        <w:rPr>
          <w:bCs/>
          <w:noProof/>
          <w:sz w:val="22"/>
          <w:szCs w:val="22"/>
        </w:rPr>
        <w:t xml:space="preserve"> or fair opportunity to benefit from DSI</w:t>
      </w:r>
      <w:r w:rsidRPr="00BB430C">
        <w:rPr>
          <w:noProof/>
          <w:spacing w:val="-3"/>
          <w:sz w:val="22"/>
          <w:szCs w:val="22"/>
        </w:rPr>
        <w:t>.</w:t>
      </w:r>
    </w:p>
    <w:p w14:paraId="377A1AE1" w14:textId="77777777" w:rsidR="0004041E" w:rsidRPr="00BB430C" w:rsidRDefault="00DE20B6" w:rsidP="00825B12">
      <w:pPr>
        <w:spacing w:after="120"/>
        <w:rPr>
          <w:rFonts w:eastAsia="Calibri"/>
          <w:bCs/>
          <w:sz w:val="22"/>
          <w:szCs w:val="22"/>
          <w:lang w:val="en-US" w:eastAsia="en-US"/>
        </w:rPr>
      </w:pPr>
      <w:r>
        <w:rPr>
          <w:rFonts w:eastAsia="Calibri"/>
          <w:sz w:val="22"/>
          <w:szCs w:val="22"/>
          <w:lang w:val="en-US" w:eastAsia="en-US"/>
        </w:rPr>
        <w:t xml:space="preserve">(2) </w:t>
      </w:r>
      <w:r w:rsidR="007C19A4">
        <w:rPr>
          <w:rFonts w:eastAsia="Calibri"/>
          <w:sz w:val="22"/>
          <w:szCs w:val="22"/>
          <w:lang w:val="en-US" w:eastAsia="en-US"/>
        </w:rPr>
        <w:t xml:space="preserve">DSI of one form or another is an integral for </w:t>
      </w:r>
      <w:r w:rsidR="007C19A4" w:rsidRPr="007C19A4">
        <w:rPr>
          <w:rFonts w:eastAsia="Calibri"/>
          <w:sz w:val="22"/>
          <w:szCs w:val="22"/>
          <w:lang w:val="en-NZ" w:eastAsia="en-US"/>
        </w:rPr>
        <w:t>the identification and characterization of traits and for the improvement of GRFA through breeding</w:t>
      </w:r>
      <w:r w:rsidR="007C19A4">
        <w:rPr>
          <w:rFonts w:eastAsia="Calibri"/>
          <w:sz w:val="22"/>
          <w:szCs w:val="22"/>
          <w:lang w:val="en-US" w:eastAsia="en-US"/>
        </w:rPr>
        <w:t>.</w:t>
      </w:r>
      <w:r w:rsidR="007C19A4" w:rsidRPr="007C19A4">
        <w:rPr>
          <w:rFonts w:asciiTheme="minorHAnsi" w:eastAsiaTheme="minorEastAsia" w:hAnsiTheme="minorHAnsi" w:cstheme="minorBidi"/>
          <w:lang w:val="en-NZ" w:eastAsia="en-US"/>
        </w:rPr>
        <w:t xml:space="preserve"> </w:t>
      </w:r>
      <w:r w:rsidR="0004041E" w:rsidRPr="00BB430C">
        <w:rPr>
          <w:rFonts w:eastAsia="Calibri"/>
          <w:bCs/>
          <w:sz w:val="22"/>
          <w:szCs w:val="22"/>
          <w:lang w:val="en-US" w:eastAsia="en-US"/>
        </w:rPr>
        <w:t xml:space="preserve">DSI can be and is being generated from all kinds of GRFA: microbes, plants and animals. It contributes to conservation and a variety of value chain activities that rely upon taxonomic description, trait identification, breeding, certification, raw materials and new products. </w:t>
      </w:r>
      <w:r w:rsidR="0004041E" w:rsidRPr="00BB430C">
        <w:rPr>
          <w:rFonts w:eastAsia="Calibri"/>
          <w:sz w:val="22"/>
          <w:szCs w:val="22"/>
          <w:lang w:val="en-US" w:eastAsia="en-US"/>
        </w:rPr>
        <w:t>The examples are distributed across microbes, plants and animals to reveal the sector independence of how</w:t>
      </w:r>
      <w:r w:rsidR="00825B12">
        <w:rPr>
          <w:rFonts w:eastAsia="Calibri"/>
          <w:sz w:val="22"/>
          <w:szCs w:val="22"/>
          <w:lang w:val="en-US" w:eastAsia="en-US"/>
        </w:rPr>
        <w:t xml:space="preserve"> much</w:t>
      </w:r>
      <w:r w:rsidR="0004041E" w:rsidRPr="00BB430C">
        <w:rPr>
          <w:rFonts w:eastAsia="Calibri"/>
          <w:sz w:val="22"/>
          <w:szCs w:val="22"/>
          <w:lang w:val="en-US" w:eastAsia="en-US"/>
        </w:rPr>
        <w:t xml:space="preserve"> DSI is applied.</w:t>
      </w:r>
    </w:p>
    <w:p w14:paraId="6265FAF5" w14:textId="77777777" w:rsidR="0004041E" w:rsidRPr="00BB430C" w:rsidRDefault="008926C1" w:rsidP="0004041E">
      <w:pPr>
        <w:spacing w:after="120"/>
        <w:rPr>
          <w:rFonts w:eastAsia="Calibri"/>
          <w:bCs/>
          <w:sz w:val="22"/>
          <w:szCs w:val="22"/>
          <w:lang w:val="en-US" w:eastAsia="en-US"/>
        </w:rPr>
      </w:pPr>
      <w:r>
        <w:rPr>
          <w:rFonts w:eastAsia="Calibri"/>
          <w:sz w:val="22"/>
          <w:szCs w:val="22"/>
          <w:lang w:val="mi-NZ" w:eastAsia="en-US"/>
        </w:rPr>
        <w:lastRenderedPageBreak/>
        <w:t xml:space="preserve">(3) </w:t>
      </w:r>
      <w:r w:rsidR="0004041E" w:rsidRPr="00BB430C">
        <w:rPr>
          <w:rFonts w:eastAsia="Calibri"/>
          <w:sz w:val="22"/>
          <w:szCs w:val="22"/>
          <w:lang w:val="mi-NZ" w:eastAsia="en-US"/>
        </w:rPr>
        <w:t xml:space="preserve">The value of a genetic resource is also no longer restricted to its biology. The scale and speed of information gathering about organisms can generate future uses and revenue independently of the organism that originally provided the genetic material. </w:t>
      </w:r>
      <w:r w:rsidR="0004041E" w:rsidRPr="00BB430C">
        <w:rPr>
          <w:rFonts w:eastAsia="Calibri"/>
          <w:bCs/>
          <w:sz w:val="22"/>
          <w:szCs w:val="22"/>
          <w:lang w:val="en-US" w:eastAsia="en-US"/>
        </w:rPr>
        <w:t>DSI has</w:t>
      </w:r>
      <w:r w:rsidR="009C6146">
        <w:rPr>
          <w:rFonts w:eastAsia="Calibri"/>
          <w:bCs/>
          <w:sz w:val="22"/>
          <w:szCs w:val="22"/>
          <w:lang w:val="en-US" w:eastAsia="en-US"/>
        </w:rPr>
        <w:t xml:space="preserve"> achieved the scale of what is called</w:t>
      </w:r>
      <w:r w:rsidR="0004041E" w:rsidRPr="00BB430C">
        <w:rPr>
          <w:rFonts w:eastAsia="Calibri"/>
          <w:bCs/>
          <w:sz w:val="22"/>
          <w:szCs w:val="22"/>
          <w:lang w:val="en-US" w:eastAsia="en-US"/>
        </w:rPr>
        <w:t xml:space="preserve"> </w:t>
      </w:r>
      <w:r w:rsidR="00256654">
        <w:rPr>
          <w:rFonts w:eastAsia="Calibri"/>
          <w:bCs/>
          <w:sz w:val="22"/>
          <w:szCs w:val="22"/>
          <w:lang w:val="en-US" w:eastAsia="en-US"/>
        </w:rPr>
        <w:t>“</w:t>
      </w:r>
      <w:r w:rsidR="0004041E" w:rsidRPr="00BB430C">
        <w:rPr>
          <w:rFonts w:eastAsia="Calibri"/>
          <w:bCs/>
          <w:sz w:val="22"/>
          <w:szCs w:val="22"/>
          <w:lang w:val="en-US" w:eastAsia="en-US"/>
        </w:rPr>
        <w:t>big data</w:t>
      </w:r>
      <w:r w:rsidR="00256654">
        <w:rPr>
          <w:rFonts w:eastAsia="Calibri"/>
          <w:bCs/>
          <w:sz w:val="22"/>
          <w:szCs w:val="22"/>
          <w:lang w:val="en-US" w:eastAsia="en-US"/>
        </w:rPr>
        <w:t>”</w:t>
      </w:r>
      <w:r w:rsidR="0004041E" w:rsidRPr="00BB430C">
        <w:rPr>
          <w:rFonts w:eastAsia="Calibri"/>
          <w:bCs/>
          <w:sz w:val="22"/>
          <w:szCs w:val="22"/>
          <w:lang w:val="en-US" w:eastAsia="en-US"/>
        </w:rPr>
        <w:t>. The use of big data can link value to GRFA quite distinct from possession, use or management of GRFA, while also providing assistance and products to those who do possess, use and manage GRFA.</w:t>
      </w:r>
    </w:p>
    <w:p w14:paraId="7D59854E" w14:textId="77777777" w:rsidR="0004041E" w:rsidRDefault="008926C1" w:rsidP="008D0183">
      <w:pPr>
        <w:spacing w:before="120" w:after="120"/>
        <w:rPr>
          <w:noProof/>
          <w:spacing w:val="-3"/>
          <w:sz w:val="22"/>
          <w:szCs w:val="22"/>
        </w:rPr>
      </w:pPr>
      <w:r>
        <w:rPr>
          <w:bCs/>
          <w:noProof/>
          <w:sz w:val="22"/>
          <w:szCs w:val="22"/>
        </w:rPr>
        <w:t xml:space="preserve">(4) </w:t>
      </w:r>
      <w:r w:rsidR="0004041E" w:rsidRPr="00BB430C">
        <w:rPr>
          <w:bCs/>
          <w:noProof/>
          <w:sz w:val="22"/>
          <w:szCs w:val="22"/>
        </w:rPr>
        <w:t>DSI will be used by more people and organizations in the future. However, that may not ensure either equitable access</w:t>
      </w:r>
      <w:r w:rsidR="00A441DA">
        <w:rPr>
          <w:bCs/>
          <w:noProof/>
          <w:sz w:val="22"/>
          <w:szCs w:val="22"/>
        </w:rPr>
        <w:t xml:space="preserve"> to benefits,</w:t>
      </w:r>
      <w:r w:rsidR="0004041E" w:rsidRPr="00BB430C">
        <w:rPr>
          <w:bCs/>
          <w:noProof/>
          <w:sz w:val="22"/>
          <w:szCs w:val="22"/>
        </w:rPr>
        <w:t xml:space="preserve"> or fair opportunity to benefit from DSI. In this evolving role, DSI would augment capacity in GRFA management</w:t>
      </w:r>
      <w:r>
        <w:rPr>
          <w:bCs/>
          <w:noProof/>
          <w:sz w:val="22"/>
          <w:szCs w:val="22"/>
        </w:rPr>
        <w:t>, but at least some of the technologies it supports, such as gene drives</w:t>
      </w:r>
      <w:r w:rsidR="00825B12">
        <w:rPr>
          <w:bCs/>
          <w:noProof/>
          <w:sz w:val="22"/>
          <w:szCs w:val="22"/>
        </w:rPr>
        <w:t xml:space="preserve"> and certain kinds of pesticides</w:t>
      </w:r>
      <w:r>
        <w:rPr>
          <w:bCs/>
          <w:noProof/>
          <w:sz w:val="22"/>
          <w:szCs w:val="22"/>
        </w:rPr>
        <w:t>, are controversial and potentially damaging too</w:t>
      </w:r>
      <w:r w:rsidR="0004041E" w:rsidRPr="00BB430C">
        <w:rPr>
          <w:bCs/>
          <w:noProof/>
          <w:sz w:val="22"/>
          <w:szCs w:val="22"/>
        </w:rPr>
        <w:t xml:space="preserve">. </w:t>
      </w:r>
      <w:r w:rsidR="0004041E" w:rsidRPr="00BB430C">
        <w:rPr>
          <w:noProof/>
          <w:sz w:val="22"/>
          <w:szCs w:val="22"/>
        </w:rPr>
        <w:t>The use of DSI will also require considerable scientific and infrastructure capacity. Those lacking such capacity might therefore, at least in the short term, benefit less from DSI.</w:t>
      </w:r>
    </w:p>
    <w:p w14:paraId="6E5C0EA6" w14:textId="77777777" w:rsidR="002E4DDB" w:rsidRDefault="002E4DDB">
      <w:r>
        <w:br w:type="page"/>
      </w:r>
    </w:p>
    <w:p w14:paraId="5CAAE652" w14:textId="77777777" w:rsidR="004F0757" w:rsidRPr="00796F66" w:rsidRDefault="00853F44" w:rsidP="002207FF">
      <w:pPr>
        <w:pStyle w:val="TableEntry"/>
        <w:spacing w:before="120" w:after="120"/>
        <w:jc w:val="center"/>
        <w:rPr>
          <w:rStyle w:val="z-DSTbox"/>
          <w:b/>
          <w:bCs/>
          <w:caps/>
          <w:sz w:val="24"/>
          <w:szCs w:val="24"/>
        </w:rPr>
      </w:pPr>
      <w:r>
        <w:rPr>
          <w:rStyle w:val="z-DSTbox"/>
          <w:b/>
          <w:bCs/>
          <w:caps/>
          <w:sz w:val="24"/>
          <w:szCs w:val="24"/>
        </w:rPr>
        <w:lastRenderedPageBreak/>
        <w:t>REFERENCE</w:t>
      </w:r>
      <w:r w:rsidR="002207FF">
        <w:rPr>
          <w:rStyle w:val="z-DSTbox"/>
          <w:b/>
          <w:bCs/>
          <w:caps/>
          <w:sz w:val="24"/>
          <w:szCs w:val="24"/>
        </w:rPr>
        <w:t>s</w:t>
      </w:r>
    </w:p>
    <w:p w14:paraId="2352C6E9" w14:textId="77777777" w:rsidR="004F0757" w:rsidRDefault="004F0757" w:rsidP="00CF16DD">
      <w:pPr>
        <w:ind w:left="426" w:hanging="426"/>
      </w:pPr>
    </w:p>
    <w:p w14:paraId="39A59A6F" w14:textId="77777777" w:rsidR="00D6412D" w:rsidRPr="00D6412D" w:rsidRDefault="00D6412D" w:rsidP="002207FF">
      <w:pPr>
        <w:pStyle w:val="EndNoteBibliography"/>
        <w:rPr>
          <w:noProof/>
        </w:rPr>
      </w:pPr>
      <w:r w:rsidRPr="00D6412D">
        <w:rPr>
          <w:b/>
          <w:noProof/>
        </w:rPr>
        <w:t>Abdelrahman, M., Burritt, D.J.</w:t>
      </w:r>
      <w:r w:rsidR="002207FF">
        <w:rPr>
          <w:b/>
          <w:noProof/>
        </w:rPr>
        <w:t xml:space="preserve"> &amp;</w:t>
      </w:r>
      <w:r w:rsidRPr="00D6412D">
        <w:rPr>
          <w:b/>
          <w:noProof/>
        </w:rPr>
        <w:t xml:space="preserve"> Tran, L.-S.P.</w:t>
      </w:r>
      <w:r w:rsidRPr="00D6412D">
        <w:rPr>
          <w:noProof/>
        </w:rPr>
        <w:t xml:space="preserve"> 2017. The use of metabolomic quantitative trait locus mapping and osmotic adjustment traits for the improvement of crop yields under environmental stresses. </w:t>
      </w:r>
      <w:r w:rsidRPr="00C02041">
        <w:rPr>
          <w:i/>
          <w:iCs/>
          <w:noProof/>
        </w:rPr>
        <w:t>Seminars Cell Develop</w:t>
      </w:r>
      <w:r w:rsidR="002207FF" w:rsidRPr="00C02041">
        <w:rPr>
          <w:i/>
          <w:iCs/>
          <w:noProof/>
        </w:rPr>
        <w:t>.</w:t>
      </w:r>
      <w:r w:rsidRPr="00C02041">
        <w:rPr>
          <w:i/>
          <w:iCs/>
          <w:noProof/>
        </w:rPr>
        <w:t xml:space="preserve"> Biol</w:t>
      </w:r>
      <w:r w:rsidR="002207FF" w:rsidRPr="00C02041">
        <w:rPr>
          <w:i/>
          <w:iCs/>
          <w:noProof/>
        </w:rPr>
        <w:t>.</w:t>
      </w:r>
      <w:r w:rsidRPr="00D6412D">
        <w:rPr>
          <w:noProof/>
        </w:rPr>
        <w:t>, S1084</w:t>
      </w:r>
      <w:r w:rsidR="002207FF">
        <w:rPr>
          <w:noProof/>
        </w:rPr>
        <w:t>–</w:t>
      </w:r>
      <w:r w:rsidRPr="00D6412D">
        <w:rPr>
          <w:noProof/>
        </w:rPr>
        <w:t>9521.</w:t>
      </w:r>
    </w:p>
    <w:p w14:paraId="21225A3C" w14:textId="77777777" w:rsidR="00D6412D" w:rsidRPr="00D6412D" w:rsidRDefault="00D6412D" w:rsidP="002207FF">
      <w:pPr>
        <w:pStyle w:val="EndNoteBibliography"/>
        <w:rPr>
          <w:noProof/>
        </w:rPr>
      </w:pPr>
      <w:r w:rsidRPr="00D6412D">
        <w:rPr>
          <w:b/>
          <w:noProof/>
        </w:rPr>
        <w:t>Abels, S.G.</w:t>
      </w:r>
      <w:r w:rsidR="002207FF">
        <w:rPr>
          <w:b/>
          <w:noProof/>
        </w:rPr>
        <w:t xml:space="preserve"> &amp;</w:t>
      </w:r>
      <w:r w:rsidRPr="00D6412D">
        <w:rPr>
          <w:b/>
          <w:noProof/>
        </w:rPr>
        <w:t xml:space="preserve"> Khisamutdinov, E.F.</w:t>
      </w:r>
      <w:r w:rsidRPr="00D6412D">
        <w:rPr>
          <w:noProof/>
        </w:rPr>
        <w:t xml:space="preserve"> 2015. Nucleic acid computing and its potential to transform silicon-based technology. </w:t>
      </w:r>
      <w:r w:rsidRPr="00C02041">
        <w:rPr>
          <w:i/>
          <w:iCs/>
          <w:noProof/>
        </w:rPr>
        <w:t>DNA and RNA Nanotechnology</w:t>
      </w:r>
      <w:r w:rsidR="002207FF">
        <w:rPr>
          <w:noProof/>
        </w:rPr>
        <w:t>,</w:t>
      </w:r>
      <w:r w:rsidRPr="00D6412D">
        <w:rPr>
          <w:i/>
          <w:noProof/>
        </w:rPr>
        <w:t xml:space="preserve"> </w:t>
      </w:r>
      <w:r w:rsidRPr="00C02041">
        <w:rPr>
          <w:iCs/>
          <w:noProof/>
        </w:rPr>
        <w:t>2</w:t>
      </w:r>
      <w:r w:rsidR="002207FF">
        <w:rPr>
          <w:noProof/>
        </w:rPr>
        <w:t>:</w:t>
      </w:r>
      <w:r w:rsidRPr="00D6412D">
        <w:rPr>
          <w:noProof/>
        </w:rPr>
        <w:t xml:space="preserve"> 13</w:t>
      </w:r>
      <w:r w:rsidR="002207FF">
        <w:rPr>
          <w:noProof/>
        </w:rPr>
        <w:t>–</w:t>
      </w:r>
      <w:r w:rsidRPr="00D6412D">
        <w:rPr>
          <w:noProof/>
        </w:rPr>
        <w:t>22.</w:t>
      </w:r>
    </w:p>
    <w:p w14:paraId="3DEC7555" w14:textId="77777777" w:rsidR="00D6412D" w:rsidRPr="00D6412D" w:rsidRDefault="00D6412D" w:rsidP="002207FF">
      <w:pPr>
        <w:pStyle w:val="EndNoteBibliography"/>
        <w:rPr>
          <w:noProof/>
        </w:rPr>
      </w:pPr>
      <w:r w:rsidRPr="00D6412D">
        <w:rPr>
          <w:b/>
          <w:noProof/>
        </w:rPr>
        <w:t>Ader, D., Li, Z., Shah, H.R., Tao, M., Wang, D.</w:t>
      </w:r>
      <w:r w:rsidR="002207FF">
        <w:rPr>
          <w:b/>
          <w:noProof/>
        </w:rPr>
        <w:t xml:space="preserve"> &amp;</w:t>
      </w:r>
      <w:r w:rsidRPr="00D6412D">
        <w:rPr>
          <w:b/>
          <w:noProof/>
        </w:rPr>
        <w:t xml:space="preserve"> Yang, H.</w:t>
      </w:r>
      <w:r w:rsidRPr="00D6412D">
        <w:rPr>
          <w:noProof/>
        </w:rPr>
        <w:t xml:space="preserve"> 2011. </w:t>
      </w:r>
      <w:r w:rsidRPr="00C02041">
        <w:rPr>
          <w:i/>
          <w:iCs/>
          <w:noProof/>
        </w:rPr>
        <w:t>Methods and compositions for weed control</w:t>
      </w:r>
      <w:r w:rsidR="002207FF">
        <w:rPr>
          <w:noProof/>
        </w:rPr>
        <w:t xml:space="preserve"> (</w:t>
      </w:r>
      <w:r w:rsidR="002207FF" w:rsidRPr="002207FF">
        <w:rPr>
          <w:noProof/>
        </w:rPr>
        <w:t>available at</w:t>
      </w:r>
      <w:r w:rsidRPr="00D6412D">
        <w:rPr>
          <w:noProof/>
        </w:rPr>
        <w:t xml:space="preserve"> </w:t>
      </w:r>
      <w:r w:rsidRPr="002C26BB">
        <w:rPr>
          <w:rStyle w:val="Hyperlink"/>
          <w:noProof/>
          <w:sz w:val="24"/>
        </w:rPr>
        <w:t>https://patents.google.com/patent/US20130288895A1/en</w:t>
      </w:r>
      <w:r w:rsidR="002207FF">
        <w:rPr>
          <w:rStyle w:val="Hyperlink"/>
          <w:noProof/>
          <w:sz w:val="24"/>
        </w:rPr>
        <w:t>)</w:t>
      </w:r>
      <w:r w:rsidRPr="00D6412D">
        <w:rPr>
          <w:noProof/>
        </w:rPr>
        <w:t>.</w:t>
      </w:r>
    </w:p>
    <w:p w14:paraId="335E06EF" w14:textId="77777777" w:rsidR="00D6412D" w:rsidRPr="00D6412D" w:rsidRDefault="00D6412D" w:rsidP="002207FF">
      <w:pPr>
        <w:pStyle w:val="EndNoteBibliography"/>
        <w:rPr>
          <w:noProof/>
        </w:rPr>
      </w:pPr>
      <w:r w:rsidRPr="00C02041">
        <w:rPr>
          <w:b/>
          <w:noProof/>
          <w:lang w:val="it-IT"/>
        </w:rPr>
        <w:t>Al-Aamri, A., Taha, K., Al-Hammadi, Y., Maalouf, M.</w:t>
      </w:r>
      <w:r w:rsidR="002207FF" w:rsidRPr="00C02041">
        <w:rPr>
          <w:b/>
          <w:noProof/>
          <w:lang w:val="it-IT"/>
        </w:rPr>
        <w:t xml:space="preserve"> </w:t>
      </w:r>
      <w:r w:rsidR="002207FF" w:rsidRPr="0012061B">
        <w:rPr>
          <w:b/>
          <w:noProof/>
          <w:lang w:val="es-AR"/>
        </w:rPr>
        <w:t>&amp;</w:t>
      </w:r>
      <w:r w:rsidRPr="0012061B">
        <w:rPr>
          <w:b/>
          <w:noProof/>
          <w:lang w:val="es-AR"/>
        </w:rPr>
        <w:t xml:space="preserve"> Domouz, D.</w:t>
      </w:r>
      <w:r w:rsidRPr="0012061B">
        <w:rPr>
          <w:noProof/>
          <w:lang w:val="es-AR"/>
        </w:rPr>
        <w:t xml:space="preserve"> 2017. </w:t>
      </w:r>
      <w:r w:rsidRPr="00D6412D">
        <w:rPr>
          <w:noProof/>
        </w:rPr>
        <w:t xml:space="preserve">Constructing genetic networks using biomedical literature and rare event classification. </w:t>
      </w:r>
      <w:r w:rsidRPr="00C02041">
        <w:rPr>
          <w:i/>
          <w:iCs/>
          <w:noProof/>
        </w:rPr>
        <w:t>Sci</w:t>
      </w:r>
      <w:r w:rsidR="002207FF" w:rsidRPr="00C02041">
        <w:rPr>
          <w:i/>
          <w:iCs/>
          <w:noProof/>
        </w:rPr>
        <w:t>.</w:t>
      </w:r>
      <w:r w:rsidRPr="00C02041">
        <w:rPr>
          <w:i/>
          <w:iCs/>
          <w:noProof/>
        </w:rPr>
        <w:t xml:space="preserve"> Rep</w:t>
      </w:r>
      <w:r w:rsidR="002207FF" w:rsidRPr="00C02041">
        <w:rPr>
          <w:i/>
          <w:iCs/>
          <w:noProof/>
        </w:rPr>
        <w:t>.</w:t>
      </w:r>
      <w:r w:rsidR="002207FF">
        <w:rPr>
          <w:noProof/>
        </w:rPr>
        <w:t>,</w:t>
      </w:r>
      <w:r w:rsidRPr="00D6412D">
        <w:rPr>
          <w:i/>
          <w:noProof/>
        </w:rPr>
        <w:t xml:space="preserve"> </w:t>
      </w:r>
      <w:r w:rsidRPr="00C02041">
        <w:rPr>
          <w:iCs/>
          <w:noProof/>
        </w:rPr>
        <w:t>7</w:t>
      </w:r>
      <w:r w:rsidR="002207FF">
        <w:rPr>
          <w:noProof/>
        </w:rPr>
        <w:t>:</w:t>
      </w:r>
      <w:r w:rsidRPr="00D6412D">
        <w:rPr>
          <w:noProof/>
        </w:rPr>
        <w:t xml:space="preserve"> 15784.</w:t>
      </w:r>
    </w:p>
    <w:p w14:paraId="393CDC7C" w14:textId="77777777" w:rsidR="00D6412D" w:rsidRPr="0012061B" w:rsidRDefault="00D6412D" w:rsidP="002207FF">
      <w:pPr>
        <w:pStyle w:val="EndNoteBibliography"/>
        <w:rPr>
          <w:noProof/>
          <w:lang w:val="es-AR"/>
        </w:rPr>
      </w:pPr>
      <w:r w:rsidRPr="00D6412D">
        <w:rPr>
          <w:b/>
          <w:noProof/>
        </w:rPr>
        <w:t>Allendorf, F.W., Hohenlohe, P.A.</w:t>
      </w:r>
      <w:r w:rsidR="002207FF">
        <w:rPr>
          <w:b/>
          <w:noProof/>
        </w:rPr>
        <w:t xml:space="preserve"> &amp;</w:t>
      </w:r>
      <w:r w:rsidRPr="00D6412D">
        <w:rPr>
          <w:b/>
          <w:noProof/>
        </w:rPr>
        <w:t xml:space="preserve"> Luikart, G.</w:t>
      </w:r>
      <w:r w:rsidRPr="00D6412D">
        <w:rPr>
          <w:noProof/>
        </w:rPr>
        <w:t xml:space="preserve"> 2010. Genomics and the future of conservation genetics. </w:t>
      </w:r>
      <w:r w:rsidRPr="0012061B">
        <w:rPr>
          <w:i/>
          <w:iCs/>
          <w:noProof/>
          <w:lang w:val="es-AR"/>
        </w:rPr>
        <w:t>Nat</w:t>
      </w:r>
      <w:r w:rsidR="002207FF" w:rsidRPr="0012061B">
        <w:rPr>
          <w:i/>
          <w:iCs/>
          <w:noProof/>
          <w:lang w:val="es-AR"/>
        </w:rPr>
        <w:t>.</w:t>
      </w:r>
      <w:r w:rsidRPr="0012061B">
        <w:rPr>
          <w:i/>
          <w:iCs/>
          <w:noProof/>
          <w:lang w:val="es-AR"/>
        </w:rPr>
        <w:t xml:space="preserve"> Rev</w:t>
      </w:r>
      <w:r w:rsidR="002207FF" w:rsidRPr="0012061B">
        <w:rPr>
          <w:i/>
          <w:iCs/>
          <w:noProof/>
          <w:lang w:val="es-AR"/>
        </w:rPr>
        <w:t>.</w:t>
      </w:r>
      <w:r w:rsidRPr="0012061B">
        <w:rPr>
          <w:i/>
          <w:iCs/>
          <w:noProof/>
          <w:lang w:val="es-AR"/>
        </w:rPr>
        <w:t xml:space="preserve"> Genet</w:t>
      </w:r>
      <w:r w:rsidR="002207FF" w:rsidRPr="0012061B">
        <w:rPr>
          <w:i/>
          <w:iCs/>
          <w:noProof/>
          <w:lang w:val="es-AR"/>
        </w:rPr>
        <w:t>.</w:t>
      </w:r>
      <w:r w:rsidR="002207FF" w:rsidRPr="0012061B">
        <w:rPr>
          <w:noProof/>
          <w:lang w:val="es-AR"/>
        </w:rPr>
        <w:t>,</w:t>
      </w:r>
      <w:r w:rsidRPr="0012061B">
        <w:rPr>
          <w:i/>
          <w:noProof/>
          <w:lang w:val="es-AR"/>
        </w:rPr>
        <w:t xml:space="preserve"> </w:t>
      </w:r>
      <w:r w:rsidRPr="0012061B">
        <w:rPr>
          <w:iCs/>
          <w:noProof/>
          <w:lang w:val="es-AR"/>
        </w:rPr>
        <w:t>11</w:t>
      </w:r>
      <w:r w:rsidR="002207FF" w:rsidRPr="0012061B">
        <w:rPr>
          <w:noProof/>
          <w:lang w:val="es-AR"/>
        </w:rPr>
        <w:t>:</w:t>
      </w:r>
      <w:r w:rsidRPr="0012061B">
        <w:rPr>
          <w:noProof/>
          <w:lang w:val="es-AR"/>
        </w:rPr>
        <w:t xml:space="preserve"> 697–709.</w:t>
      </w:r>
    </w:p>
    <w:p w14:paraId="6EE35CD5" w14:textId="77777777" w:rsidR="00D6412D" w:rsidRPr="00D85B51" w:rsidRDefault="00D6412D" w:rsidP="002207FF">
      <w:pPr>
        <w:pStyle w:val="EndNoteBibliography"/>
        <w:rPr>
          <w:noProof/>
          <w:lang w:val="fr-CA"/>
        </w:rPr>
      </w:pPr>
      <w:r w:rsidRPr="0012061B">
        <w:rPr>
          <w:b/>
          <w:noProof/>
          <w:lang w:val="es-AR"/>
        </w:rPr>
        <w:t xml:space="preserve">Alonso, C., Perez, R., Bazaga, P., Medrano, M. </w:t>
      </w:r>
      <w:r w:rsidR="002207FF" w:rsidRPr="0012061B">
        <w:rPr>
          <w:b/>
          <w:noProof/>
          <w:lang w:val="es-AR"/>
        </w:rPr>
        <w:t>&amp;</w:t>
      </w:r>
      <w:r w:rsidRPr="0012061B">
        <w:rPr>
          <w:b/>
          <w:noProof/>
          <w:lang w:val="es-AR"/>
        </w:rPr>
        <w:t xml:space="preserve"> Herrera, C.M.</w:t>
      </w:r>
      <w:r w:rsidRPr="0012061B">
        <w:rPr>
          <w:noProof/>
          <w:lang w:val="es-AR"/>
        </w:rPr>
        <w:t xml:space="preserve"> 2017. </w:t>
      </w:r>
      <w:r w:rsidRPr="00D6412D">
        <w:rPr>
          <w:noProof/>
        </w:rPr>
        <w:t xml:space="preserve">Within-plant variation in seed size and inflorescence fecundity is associated with epigenetic mosaicism in the shrub Lavandula latifolia (Lamiaceae). </w:t>
      </w:r>
      <w:r w:rsidRPr="00D85B51">
        <w:rPr>
          <w:i/>
          <w:iCs/>
          <w:noProof/>
          <w:lang w:val="fr-CA"/>
        </w:rPr>
        <w:t>Ann</w:t>
      </w:r>
      <w:r w:rsidR="002207FF" w:rsidRPr="00D85B51">
        <w:rPr>
          <w:i/>
          <w:iCs/>
          <w:noProof/>
          <w:lang w:val="fr-CA"/>
        </w:rPr>
        <w:t>.</w:t>
      </w:r>
      <w:r w:rsidRPr="00D85B51">
        <w:rPr>
          <w:i/>
          <w:iCs/>
          <w:noProof/>
          <w:lang w:val="fr-CA"/>
        </w:rPr>
        <w:t xml:space="preserve"> Bot</w:t>
      </w:r>
      <w:r w:rsidR="002207FF" w:rsidRPr="00D85B51">
        <w:rPr>
          <w:i/>
          <w:iCs/>
          <w:noProof/>
          <w:lang w:val="fr-CA"/>
        </w:rPr>
        <w:t>.</w:t>
      </w:r>
      <w:r w:rsidR="002207FF" w:rsidRPr="00D85B51">
        <w:rPr>
          <w:noProof/>
          <w:lang w:val="fr-CA"/>
        </w:rPr>
        <w:t>,</w:t>
      </w:r>
      <w:r w:rsidRPr="00D85B51">
        <w:rPr>
          <w:i/>
          <w:noProof/>
          <w:lang w:val="fr-CA"/>
        </w:rPr>
        <w:t xml:space="preserve"> </w:t>
      </w:r>
      <w:r w:rsidRPr="00D85B51">
        <w:rPr>
          <w:iCs/>
          <w:noProof/>
          <w:lang w:val="fr-CA"/>
        </w:rPr>
        <w:t>121</w:t>
      </w:r>
      <w:r w:rsidR="002207FF" w:rsidRPr="00D85B51">
        <w:rPr>
          <w:iCs/>
          <w:noProof/>
          <w:lang w:val="fr-CA"/>
        </w:rPr>
        <w:t>:</w:t>
      </w:r>
      <w:r w:rsidRPr="00D85B51">
        <w:rPr>
          <w:noProof/>
          <w:lang w:val="fr-CA"/>
        </w:rPr>
        <w:t xml:space="preserve"> 153–160.</w:t>
      </w:r>
    </w:p>
    <w:p w14:paraId="236D44C7" w14:textId="77777777" w:rsidR="00D6412D" w:rsidRPr="00D6412D" w:rsidRDefault="00D6412D" w:rsidP="002207FF">
      <w:pPr>
        <w:pStyle w:val="EndNoteBibliography"/>
        <w:rPr>
          <w:noProof/>
        </w:rPr>
      </w:pPr>
      <w:r w:rsidRPr="00D85B51">
        <w:rPr>
          <w:b/>
          <w:noProof/>
          <w:lang w:val="fr-CA"/>
        </w:rPr>
        <w:t>Altamura, L., Horvath, C., Rengaraj, S., Rongier, A., Elouarzaki, K., Gondran, C., Maçon, A.L.B., Vendrely, C., Bouchiat, V., Fontecave, M.</w:t>
      </w:r>
      <w:r w:rsidRPr="00D85B51">
        <w:rPr>
          <w:b/>
          <w:i/>
          <w:noProof/>
          <w:lang w:val="fr-CA"/>
        </w:rPr>
        <w:t>, et al.</w:t>
      </w:r>
      <w:r w:rsidRPr="00D85B51">
        <w:rPr>
          <w:noProof/>
          <w:lang w:val="fr-CA"/>
        </w:rPr>
        <w:t xml:space="preserve"> 2017. </w:t>
      </w:r>
      <w:r w:rsidRPr="00D6412D">
        <w:rPr>
          <w:noProof/>
        </w:rPr>
        <w:t xml:space="preserve">A synthetic redox biofilm made from metalloprotein–prion domain chimera nanowires. </w:t>
      </w:r>
      <w:r w:rsidRPr="00C02041">
        <w:rPr>
          <w:i/>
          <w:iCs/>
          <w:noProof/>
        </w:rPr>
        <w:t>Nat</w:t>
      </w:r>
      <w:r w:rsidR="002207FF" w:rsidRPr="00C02041">
        <w:rPr>
          <w:i/>
          <w:iCs/>
          <w:noProof/>
        </w:rPr>
        <w:t>.</w:t>
      </w:r>
      <w:r w:rsidRPr="00C02041">
        <w:rPr>
          <w:i/>
          <w:iCs/>
          <w:noProof/>
        </w:rPr>
        <w:t xml:space="preserve"> Chem</w:t>
      </w:r>
      <w:r w:rsidR="002207FF" w:rsidRPr="00C02041">
        <w:rPr>
          <w:i/>
          <w:iCs/>
          <w:noProof/>
        </w:rPr>
        <w:t>.</w:t>
      </w:r>
      <w:r w:rsidR="002207FF">
        <w:rPr>
          <w:noProof/>
        </w:rPr>
        <w:t>,</w:t>
      </w:r>
      <w:r w:rsidRPr="00D6412D">
        <w:rPr>
          <w:i/>
          <w:noProof/>
        </w:rPr>
        <w:t xml:space="preserve"> </w:t>
      </w:r>
      <w:r w:rsidRPr="00C02041">
        <w:rPr>
          <w:iCs/>
          <w:noProof/>
        </w:rPr>
        <w:t>9</w:t>
      </w:r>
      <w:r w:rsidR="002207FF">
        <w:rPr>
          <w:noProof/>
        </w:rPr>
        <w:t>:</w:t>
      </w:r>
      <w:r w:rsidRPr="00D6412D">
        <w:rPr>
          <w:noProof/>
        </w:rPr>
        <w:t xml:space="preserve"> 157</w:t>
      </w:r>
      <w:r w:rsidR="002207FF">
        <w:rPr>
          <w:noProof/>
        </w:rPr>
        <w:t>–</w:t>
      </w:r>
      <w:r w:rsidRPr="00D6412D">
        <w:rPr>
          <w:noProof/>
        </w:rPr>
        <w:t>163.</w:t>
      </w:r>
    </w:p>
    <w:p w14:paraId="31F44143" w14:textId="77777777" w:rsidR="00D6412D" w:rsidRPr="00D6412D" w:rsidRDefault="00D6412D" w:rsidP="002207FF">
      <w:pPr>
        <w:pStyle w:val="EndNoteBibliography"/>
        <w:rPr>
          <w:noProof/>
        </w:rPr>
      </w:pPr>
      <w:r w:rsidRPr="00D6412D">
        <w:rPr>
          <w:b/>
          <w:noProof/>
        </w:rPr>
        <w:t>Amarnarth, V.</w:t>
      </w:r>
      <w:r w:rsidR="002207FF">
        <w:rPr>
          <w:b/>
          <w:noProof/>
        </w:rPr>
        <w:t xml:space="preserve"> &amp;</w:t>
      </w:r>
      <w:r w:rsidRPr="00D6412D">
        <w:rPr>
          <w:b/>
          <w:noProof/>
        </w:rPr>
        <w:t xml:space="preserve"> Broom, A.D.</w:t>
      </w:r>
      <w:r w:rsidRPr="00D6412D">
        <w:rPr>
          <w:noProof/>
        </w:rPr>
        <w:t xml:space="preserve"> 1977. Chemical synthesis of oligonucleotides. </w:t>
      </w:r>
      <w:r w:rsidRPr="00C02041">
        <w:rPr>
          <w:i/>
          <w:iCs/>
          <w:noProof/>
        </w:rPr>
        <w:t>Chem</w:t>
      </w:r>
      <w:r w:rsidR="002207FF" w:rsidRPr="00C02041">
        <w:rPr>
          <w:i/>
          <w:iCs/>
          <w:noProof/>
        </w:rPr>
        <w:t>.</w:t>
      </w:r>
      <w:r w:rsidRPr="00C02041">
        <w:rPr>
          <w:i/>
          <w:iCs/>
          <w:noProof/>
        </w:rPr>
        <w:t xml:space="preserve"> Rev</w:t>
      </w:r>
      <w:r w:rsidR="002207FF" w:rsidRPr="00C02041">
        <w:rPr>
          <w:i/>
          <w:iCs/>
          <w:noProof/>
        </w:rPr>
        <w:t>.</w:t>
      </w:r>
      <w:r w:rsidR="002207FF">
        <w:rPr>
          <w:noProof/>
        </w:rPr>
        <w:t>,</w:t>
      </w:r>
      <w:r w:rsidRPr="00D6412D">
        <w:rPr>
          <w:i/>
          <w:noProof/>
        </w:rPr>
        <w:t xml:space="preserve"> </w:t>
      </w:r>
      <w:r w:rsidRPr="00C02041">
        <w:rPr>
          <w:iCs/>
          <w:noProof/>
        </w:rPr>
        <w:t>77</w:t>
      </w:r>
      <w:r w:rsidR="002207FF">
        <w:rPr>
          <w:noProof/>
        </w:rPr>
        <w:t>:</w:t>
      </w:r>
      <w:r w:rsidRPr="00D6412D">
        <w:rPr>
          <w:noProof/>
        </w:rPr>
        <w:t xml:space="preserve"> 183</w:t>
      </w:r>
      <w:r w:rsidR="002207FF">
        <w:rPr>
          <w:noProof/>
        </w:rPr>
        <w:t>–</w:t>
      </w:r>
      <w:r w:rsidRPr="00D6412D">
        <w:rPr>
          <w:noProof/>
        </w:rPr>
        <w:t>217.</w:t>
      </w:r>
    </w:p>
    <w:p w14:paraId="02787F4F" w14:textId="77777777" w:rsidR="00D6412D" w:rsidRPr="00D6412D" w:rsidRDefault="00D6412D" w:rsidP="002207FF">
      <w:pPr>
        <w:pStyle w:val="EndNoteBibliography"/>
        <w:rPr>
          <w:noProof/>
        </w:rPr>
      </w:pPr>
      <w:r w:rsidRPr="00D6412D">
        <w:rPr>
          <w:b/>
          <w:noProof/>
        </w:rPr>
        <w:t>Antonets, K.S.</w:t>
      </w:r>
      <w:r w:rsidR="002207FF">
        <w:rPr>
          <w:b/>
          <w:noProof/>
        </w:rPr>
        <w:t xml:space="preserve"> &amp;</w:t>
      </w:r>
      <w:r w:rsidRPr="00D6412D">
        <w:rPr>
          <w:b/>
          <w:noProof/>
        </w:rPr>
        <w:t xml:space="preserve"> Nizhnikov, A.A.</w:t>
      </w:r>
      <w:r w:rsidRPr="00D6412D">
        <w:rPr>
          <w:noProof/>
        </w:rPr>
        <w:t xml:space="preserve"> 2017. Amyloids and prions in plants: facts and perspectives. </w:t>
      </w:r>
      <w:r w:rsidRPr="00C02041">
        <w:rPr>
          <w:i/>
          <w:iCs/>
          <w:noProof/>
        </w:rPr>
        <w:t>Prion</w:t>
      </w:r>
      <w:r w:rsidR="002207FF">
        <w:rPr>
          <w:noProof/>
        </w:rPr>
        <w:t>,</w:t>
      </w:r>
      <w:r w:rsidRPr="00D6412D">
        <w:rPr>
          <w:i/>
          <w:noProof/>
        </w:rPr>
        <w:t xml:space="preserve"> </w:t>
      </w:r>
      <w:r w:rsidRPr="00C02041">
        <w:rPr>
          <w:iCs/>
          <w:noProof/>
        </w:rPr>
        <w:t>11</w:t>
      </w:r>
      <w:r w:rsidR="002207FF">
        <w:rPr>
          <w:noProof/>
        </w:rPr>
        <w:t>:</w:t>
      </w:r>
      <w:r w:rsidRPr="00D6412D">
        <w:rPr>
          <w:noProof/>
        </w:rPr>
        <w:t xml:space="preserve"> 300</w:t>
      </w:r>
      <w:r w:rsidR="002207FF">
        <w:rPr>
          <w:noProof/>
        </w:rPr>
        <w:t>–</w:t>
      </w:r>
      <w:r w:rsidRPr="00D6412D">
        <w:rPr>
          <w:noProof/>
        </w:rPr>
        <w:t>312.</w:t>
      </w:r>
    </w:p>
    <w:p w14:paraId="63B8B69D" w14:textId="77777777" w:rsidR="00D6412D" w:rsidRPr="00D6412D" w:rsidRDefault="00D6412D" w:rsidP="0003520C">
      <w:pPr>
        <w:pStyle w:val="EndNoteBibliography"/>
        <w:rPr>
          <w:noProof/>
        </w:rPr>
      </w:pPr>
      <w:r w:rsidRPr="00D6412D">
        <w:rPr>
          <w:b/>
          <w:noProof/>
        </w:rPr>
        <w:t>Avery, O.T., MacLeod, C.M.</w:t>
      </w:r>
      <w:r w:rsidR="0003520C">
        <w:rPr>
          <w:b/>
          <w:noProof/>
        </w:rPr>
        <w:t xml:space="preserve"> &amp;</w:t>
      </w:r>
      <w:r w:rsidRPr="00D6412D">
        <w:rPr>
          <w:b/>
          <w:noProof/>
        </w:rPr>
        <w:t xml:space="preserve"> McCarty, M.</w:t>
      </w:r>
      <w:r w:rsidRPr="00D6412D">
        <w:rPr>
          <w:noProof/>
        </w:rPr>
        <w:t xml:space="preserve"> 1944. Studies on the chemical nature of the substance inducing transformation of Pneumococcal types. </w:t>
      </w:r>
      <w:r w:rsidRPr="00C02041">
        <w:rPr>
          <w:i/>
          <w:iCs/>
          <w:noProof/>
        </w:rPr>
        <w:t>J</w:t>
      </w:r>
      <w:r w:rsidR="0003520C">
        <w:rPr>
          <w:i/>
          <w:iCs/>
          <w:noProof/>
        </w:rPr>
        <w:t>.</w:t>
      </w:r>
      <w:r w:rsidRPr="00C02041">
        <w:rPr>
          <w:i/>
          <w:iCs/>
          <w:noProof/>
        </w:rPr>
        <w:t xml:space="preserve"> Exp</w:t>
      </w:r>
      <w:r w:rsidR="0003520C">
        <w:rPr>
          <w:i/>
          <w:iCs/>
          <w:noProof/>
        </w:rPr>
        <w:t>.</w:t>
      </w:r>
      <w:r w:rsidRPr="00C02041">
        <w:rPr>
          <w:i/>
          <w:iCs/>
          <w:noProof/>
        </w:rPr>
        <w:t xml:space="preserve"> Med</w:t>
      </w:r>
      <w:r w:rsidR="0003520C">
        <w:rPr>
          <w:i/>
          <w:iCs/>
          <w:noProof/>
        </w:rPr>
        <w:t>.,</w:t>
      </w:r>
      <w:r w:rsidRPr="00D6412D">
        <w:rPr>
          <w:i/>
          <w:noProof/>
        </w:rPr>
        <w:t xml:space="preserve"> </w:t>
      </w:r>
      <w:r w:rsidRPr="00C02041">
        <w:rPr>
          <w:iCs/>
          <w:noProof/>
        </w:rPr>
        <w:t>79</w:t>
      </w:r>
      <w:r w:rsidR="0003520C">
        <w:rPr>
          <w:noProof/>
        </w:rPr>
        <w:t>:</w:t>
      </w:r>
      <w:r w:rsidRPr="00D6412D">
        <w:rPr>
          <w:noProof/>
        </w:rPr>
        <w:t xml:space="preserve"> 137</w:t>
      </w:r>
      <w:r w:rsidR="0003520C">
        <w:rPr>
          <w:noProof/>
        </w:rPr>
        <w:t>–</w:t>
      </w:r>
      <w:r w:rsidRPr="00D6412D">
        <w:rPr>
          <w:noProof/>
        </w:rPr>
        <w:t>158.</w:t>
      </w:r>
    </w:p>
    <w:p w14:paraId="404298BA" w14:textId="77777777" w:rsidR="00D6412D" w:rsidRPr="00D6412D" w:rsidRDefault="00D6412D" w:rsidP="00D6412D">
      <w:pPr>
        <w:pStyle w:val="EndNoteBibliography"/>
        <w:rPr>
          <w:noProof/>
        </w:rPr>
      </w:pPr>
      <w:r w:rsidRPr="00D6412D">
        <w:rPr>
          <w:b/>
          <w:noProof/>
        </w:rPr>
        <w:t>Bagley, M.A.</w:t>
      </w:r>
      <w:r w:rsidRPr="00D6412D">
        <w:rPr>
          <w:noProof/>
        </w:rPr>
        <w:t xml:space="preserve"> 2016. Digital DNA: The Nagoya Protocol and synthetic biology research. Public Law and Legal Theory Research Paper Series 2016  University of Virginia Law School 11 </w:t>
      </w:r>
    </w:p>
    <w:p w14:paraId="55E9F36E" w14:textId="77777777" w:rsidR="00D6412D" w:rsidRPr="00D6412D" w:rsidRDefault="00D6412D" w:rsidP="0003520C">
      <w:pPr>
        <w:pStyle w:val="EndNoteBibliography"/>
        <w:rPr>
          <w:noProof/>
        </w:rPr>
      </w:pPr>
      <w:r w:rsidRPr="00C02041">
        <w:rPr>
          <w:b/>
          <w:noProof/>
          <w:lang w:val="it-IT"/>
        </w:rPr>
        <w:t>Bagley, M.A.</w:t>
      </w:r>
      <w:r w:rsidR="0003520C" w:rsidRPr="00C02041">
        <w:rPr>
          <w:b/>
          <w:noProof/>
          <w:lang w:val="it-IT"/>
        </w:rPr>
        <w:t xml:space="preserve"> &amp;</w:t>
      </w:r>
      <w:r w:rsidRPr="00C02041">
        <w:rPr>
          <w:b/>
          <w:noProof/>
          <w:lang w:val="it-IT"/>
        </w:rPr>
        <w:t xml:space="preserve"> Rai, A.K.</w:t>
      </w:r>
      <w:r w:rsidRPr="00C02041">
        <w:rPr>
          <w:noProof/>
          <w:lang w:val="it-IT"/>
        </w:rPr>
        <w:t xml:space="preserve"> 2013. </w:t>
      </w:r>
      <w:r w:rsidRPr="00D6412D">
        <w:rPr>
          <w:noProof/>
        </w:rPr>
        <w:t>The Nagoya Protocol and synthetic biology research: a look at the potential impacts. Washington, DC</w:t>
      </w:r>
      <w:r w:rsidR="0003520C">
        <w:rPr>
          <w:noProof/>
        </w:rPr>
        <w:t>,</w:t>
      </w:r>
      <w:r w:rsidRPr="00D6412D">
        <w:rPr>
          <w:noProof/>
        </w:rPr>
        <w:t xml:space="preserve"> T Wilson Center </w:t>
      </w:r>
      <w:r w:rsidR="002207FF">
        <w:rPr>
          <w:noProof/>
        </w:rPr>
        <w:t>(</w:t>
      </w:r>
      <w:r w:rsidR="002207FF" w:rsidRPr="002207FF">
        <w:rPr>
          <w:noProof/>
        </w:rPr>
        <w:t>available at</w:t>
      </w:r>
      <w:r w:rsidRPr="00D6412D">
        <w:rPr>
          <w:noProof/>
        </w:rPr>
        <w:t xml:space="preserve"> </w:t>
      </w:r>
      <w:r w:rsidRPr="002C26BB">
        <w:rPr>
          <w:rStyle w:val="Hyperlink"/>
          <w:noProof/>
          <w:sz w:val="24"/>
        </w:rPr>
        <w:t>http://scholarship.law.duke.edu/faculty_scholarship/3230</w:t>
      </w:r>
      <w:r w:rsidR="002207FF">
        <w:rPr>
          <w:rStyle w:val="Hyperlink"/>
          <w:noProof/>
          <w:sz w:val="24"/>
        </w:rPr>
        <w:t>)</w:t>
      </w:r>
      <w:r w:rsidRPr="00D6412D">
        <w:rPr>
          <w:noProof/>
        </w:rPr>
        <w:t>.</w:t>
      </w:r>
    </w:p>
    <w:p w14:paraId="0B2CB754" w14:textId="77777777" w:rsidR="00D6412D" w:rsidRPr="00D6412D" w:rsidRDefault="00D6412D" w:rsidP="0003520C">
      <w:pPr>
        <w:pStyle w:val="EndNoteBibliography"/>
        <w:rPr>
          <w:noProof/>
        </w:rPr>
      </w:pPr>
      <w:r w:rsidRPr="00D6412D">
        <w:rPr>
          <w:b/>
          <w:noProof/>
        </w:rPr>
        <w:t>Bah, C.S.F., Bekhit, A.E.-D., A., C.</w:t>
      </w:r>
      <w:r w:rsidR="0003520C">
        <w:rPr>
          <w:b/>
          <w:noProof/>
        </w:rPr>
        <w:t xml:space="preserve"> &amp;</w:t>
      </w:r>
      <w:r w:rsidRPr="00D6412D">
        <w:rPr>
          <w:b/>
          <w:noProof/>
        </w:rPr>
        <w:t xml:space="preserve"> McConnell, M.A.</w:t>
      </w:r>
      <w:r w:rsidRPr="00D6412D">
        <w:rPr>
          <w:noProof/>
        </w:rPr>
        <w:t xml:space="preserve"> 2013. Slaughterhouse blood: an emerging source of bioactive compounds. </w:t>
      </w:r>
      <w:r w:rsidRPr="00C02041">
        <w:rPr>
          <w:i/>
          <w:iCs/>
          <w:noProof/>
        </w:rPr>
        <w:t>Compr</w:t>
      </w:r>
      <w:r w:rsidR="0003520C">
        <w:rPr>
          <w:i/>
          <w:iCs/>
          <w:noProof/>
        </w:rPr>
        <w:t>.</w:t>
      </w:r>
      <w:r w:rsidRPr="00C02041">
        <w:rPr>
          <w:i/>
          <w:iCs/>
          <w:noProof/>
        </w:rPr>
        <w:t xml:space="preserve"> Rev</w:t>
      </w:r>
      <w:r w:rsidR="0003520C">
        <w:rPr>
          <w:i/>
          <w:iCs/>
          <w:noProof/>
        </w:rPr>
        <w:t>.</w:t>
      </w:r>
      <w:r w:rsidRPr="00C02041">
        <w:rPr>
          <w:i/>
          <w:iCs/>
          <w:noProof/>
        </w:rPr>
        <w:t xml:space="preserve"> Food Sci</w:t>
      </w:r>
      <w:r w:rsidR="0003520C">
        <w:rPr>
          <w:i/>
          <w:iCs/>
          <w:noProof/>
        </w:rPr>
        <w:t>.</w:t>
      </w:r>
      <w:r w:rsidRPr="00C02041">
        <w:rPr>
          <w:i/>
          <w:iCs/>
          <w:noProof/>
        </w:rPr>
        <w:t xml:space="preserve"> Food Saf</w:t>
      </w:r>
      <w:r w:rsidR="0003520C">
        <w:rPr>
          <w:i/>
          <w:iCs/>
          <w:noProof/>
        </w:rPr>
        <w:t>.,</w:t>
      </w:r>
      <w:r w:rsidRPr="00D6412D">
        <w:rPr>
          <w:i/>
          <w:noProof/>
        </w:rPr>
        <w:t xml:space="preserve"> 12</w:t>
      </w:r>
      <w:r w:rsidR="0003520C">
        <w:rPr>
          <w:noProof/>
        </w:rPr>
        <w:t>:</w:t>
      </w:r>
      <w:r w:rsidRPr="00D6412D">
        <w:rPr>
          <w:noProof/>
        </w:rPr>
        <w:t xml:space="preserve"> 314</w:t>
      </w:r>
      <w:r w:rsidR="0003520C">
        <w:rPr>
          <w:noProof/>
        </w:rPr>
        <w:t>–</w:t>
      </w:r>
      <w:r w:rsidRPr="00D6412D">
        <w:rPr>
          <w:noProof/>
        </w:rPr>
        <w:t>331.</w:t>
      </w:r>
    </w:p>
    <w:p w14:paraId="4D81C85D" w14:textId="77777777" w:rsidR="00D6412D" w:rsidRPr="00D6412D" w:rsidRDefault="00D6412D" w:rsidP="0003520C">
      <w:pPr>
        <w:pStyle w:val="EndNoteBibliography"/>
        <w:rPr>
          <w:noProof/>
        </w:rPr>
      </w:pPr>
      <w:r w:rsidRPr="00D6412D">
        <w:rPr>
          <w:b/>
          <w:noProof/>
        </w:rPr>
        <w:t>Barbieri, M.</w:t>
      </w:r>
      <w:r w:rsidRPr="00D6412D">
        <w:rPr>
          <w:noProof/>
        </w:rPr>
        <w:t xml:space="preserve"> 2018. What is code biology? </w:t>
      </w:r>
      <w:r w:rsidRPr="00C02041">
        <w:rPr>
          <w:i/>
          <w:iCs/>
          <w:noProof/>
        </w:rPr>
        <w:t>Biosys</w:t>
      </w:r>
      <w:r w:rsidR="0003520C">
        <w:rPr>
          <w:noProof/>
        </w:rPr>
        <w:t>.,</w:t>
      </w:r>
      <w:r w:rsidRPr="00D6412D">
        <w:rPr>
          <w:i/>
          <w:noProof/>
        </w:rPr>
        <w:t xml:space="preserve"> </w:t>
      </w:r>
      <w:r w:rsidRPr="00C02041">
        <w:rPr>
          <w:iCs/>
          <w:noProof/>
        </w:rPr>
        <w:t>164</w:t>
      </w:r>
      <w:r w:rsidR="0003520C">
        <w:rPr>
          <w:noProof/>
        </w:rPr>
        <w:t>:</w:t>
      </w:r>
      <w:r w:rsidR="0003520C" w:rsidRPr="00D6412D">
        <w:rPr>
          <w:noProof/>
        </w:rPr>
        <w:t xml:space="preserve"> </w:t>
      </w:r>
      <w:r w:rsidRPr="00D6412D">
        <w:rPr>
          <w:noProof/>
        </w:rPr>
        <w:t>1</w:t>
      </w:r>
      <w:r w:rsidR="0003520C">
        <w:rPr>
          <w:noProof/>
        </w:rPr>
        <w:t>–</w:t>
      </w:r>
      <w:r w:rsidRPr="00D6412D">
        <w:rPr>
          <w:noProof/>
        </w:rPr>
        <w:t>10.</w:t>
      </w:r>
    </w:p>
    <w:p w14:paraId="06F07021" w14:textId="77777777" w:rsidR="00D6412D" w:rsidRPr="00D6412D" w:rsidRDefault="00D6412D" w:rsidP="002207FF">
      <w:pPr>
        <w:pStyle w:val="EndNoteBibliography"/>
        <w:rPr>
          <w:noProof/>
        </w:rPr>
      </w:pPr>
      <w:r w:rsidRPr="00D6412D">
        <w:rPr>
          <w:b/>
          <w:noProof/>
        </w:rPr>
        <w:t>Barnett, R.</w:t>
      </w:r>
      <w:r w:rsidRPr="00D6412D">
        <w:rPr>
          <w:noProof/>
        </w:rPr>
        <w:t xml:space="preserve"> One unexpected answer: grow better truffles</w:t>
      </w:r>
      <w:r w:rsidR="002207FF">
        <w:rPr>
          <w:noProof/>
        </w:rPr>
        <w:t xml:space="preserve"> (</w:t>
      </w:r>
      <w:r w:rsidR="002207FF" w:rsidRPr="002207FF">
        <w:rPr>
          <w:noProof/>
        </w:rPr>
        <w:t>available at</w:t>
      </w:r>
      <w:r w:rsidRPr="00D6412D">
        <w:rPr>
          <w:noProof/>
        </w:rPr>
        <w:t xml:space="preserve"> </w:t>
      </w:r>
      <w:r w:rsidRPr="002C26BB">
        <w:rPr>
          <w:rStyle w:val="Hyperlink"/>
          <w:noProof/>
          <w:sz w:val="24"/>
        </w:rPr>
        <w:t>https://ideas.ted.com/what-can-you-do-with-a-home-dna-machine-one-unexpected-answer-grow-better-truffles/</w:t>
      </w:r>
      <w:r w:rsidRPr="00D6412D">
        <w:rPr>
          <w:noProof/>
        </w:rPr>
        <w:t xml:space="preserve"> </w:t>
      </w:r>
      <w:r w:rsidR="002207FF">
        <w:rPr>
          <w:noProof/>
        </w:rPr>
        <w:t>a</w:t>
      </w:r>
      <w:r w:rsidRPr="00D6412D">
        <w:rPr>
          <w:noProof/>
        </w:rPr>
        <w:t>ccess</w:t>
      </w:r>
      <w:r w:rsidR="002207FF">
        <w:rPr>
          <w:noProof/>
        </w:rPr>
        <w:t>ed</w:t>
      </w:r>
      <w:r w:rsidRPr="00D6412D">
        <w:rPr>
          <w:noProof/>
        </w:rPr>
        <w:t xml:space="preserve"> 3 February 2018</w:t>
      </w:r>
      <w:r w:rsidR="002207FF">
        <w:rPr>
          <w:noProof/>
        </w:rPr>
        <w:t>)</w:t>
      </w:r>
      <w:r w:rsidR="0003520C">
        <w:rPr>
          <w:noProof/>
        </w:rPr>
        <w:t>.</w:t>
      </w:r>
    </w:p>
    <w:p w14:paraId="510A5B62" w14:textId="77777777" w:rsidR="00D6412D" w:rsidRPr="00D85B51" w:rsidRDefault="00D6412D" w:rsidP="0003520C">
      <w:pPr>
        <w:pStyle w:val="EndNoteBibliography"/>
        <w:rPr>
          <w:noProof/>
          <w:lang w:val="fr-CA"/>
        </w:rPr>
      </w:pPr>
      <w:r w:rsidRPr="00D85B51">
        <w:rPr>
          <w:b/>
          <w:noProof/>
          <w:lang w:val="fr-CA"/>
        </w:rPr>
        <w:t>Bastow, R.</w:t>
      </w:r>
      <w:r w:rsidR="0003520C" w:rsidRPr="00D85B51">
        <w:rPr>
          <w:b/>
          <w:noProof/>
          <w:lang w:val="fr-CA"/>
        </w:rPr>
        <w:t xml:space="preserve"> &amp;</w:t>
      </w:r>
      <w:r w:rsidRPr="00D85B51">
        <w:rPr>
          <w:b/>
          <w:noProof/>
          <w:lang w:val="fr-CA"/>
        </w:rPr>
        <w:t xml:space="preserve"> Leonelli, S.</w:t>
      </w:r>
      <w:r w:rsidRPr="00D85B51">
        <w:rPr>
          <w:noProof/>
          <w:lang w:val="fr-CA"/>
        </w:rPr>
        <w:t xml:space="preserve"> 2010. Sustainable digital infrastructure. </w:t>
      </w:r>
      <w:r w:rsidRPr="00D85B51">
        <w:rPr>
          <w:i/>
          <w:iCs/>
          <w:noProof/>
          <w:lang w:val="fr-CA"/>
        </w:rPr>
        <w:t>EMBO Rep</w:t>
      </w:r>
      <w:r w:rsidR="0003520C" w:rsidRPr="00D85B51">
        <w:rPr>
          <w:i/>
          <w:iCs/>
          <w:noProof/>
          <w:lang w:val="fr-CA"/>
        </w:rPr>
        <w:t>,</w:t>
      </w:r>
      <w:r w:rsidRPr="00D85B51">
        <w:rPr>
          <w:i/>
          <w:iCs/>
          <w:noProof/>
          <w:lang w:val="fr-CA"/>
        </w:rPr>
        <w:t xml:space="preserve"> </w:t>
      </w:r>
      <w:r w:rsidRPr="00D85B51">
        <w:rPr>
          <w:noProof/>
          <w:lang w:val="fr-CA"/>
        </w:rPr>
        <w:t>11</w:t>
      </w:r>
      <w:r w:rsidR="0003520C" w:rsidRPr="00D85B51">
        <w:rPr>
          <w:i/>
          <w:iCs/>
          <w:noProof/>
          <w:lang w:val="fr-CA"/>
        </w:rPr>
        <w:t>:</w:t>
      </w:r>
      <w:r w:rsidRPr="00D85B51">
        <w:rPr>
          <w:noProof/>
          <w:lang w:val="fr-CA"/>
        </w:rPr>
        <w:t xml:space="preserve"> 730</w:t>
      </w:r>
      <w:r w:rsidR="0003520C" w:rsidRPr="00D85B51">
        <w:rPr>
          <w:noProof/>
          <w:lang w:val="fr-CA"/>
        </w:rPr>
        <w:t>–</w:t>
      </w:r>
      <w:r w:rsidRPr="00D85B51">
        <w:rPr>
          <w:noProof/>
          <w:lang w:val="fr-CA"/>
        </w:rPr>
        <w:t>734.</w:t>
      </w:r>
    </w:p>
    <w:p w14:paraId="15609DB0" w14:textId="77777777" w:rsidR="00D6412D" w:rsidRPr="00D85B51" w:rsidRDefault="00D6412D" w:rsidP="0003520C">
      <w:pPr>
        <w:pStyle w:val="EndNoteBibliography"/>
        <w:rPr>
          <w:noProof/>
          <w:lang w:val="fr-CA"/>
        </w:rPr>
      </w:pPr>
      <w:r w:rsidRPr="00D85B51">
        <w:rPr>
          <w:b/>
          <w:noProof/>
          <w:lang w:val="fr-CA"/>
        </w:rPr>
        <w:t>BioBricks</w:t>
      </w:r>
      <w:r w:rsidRPr="00D85B51">
        <w:rPr>
          <w:noProof/>
          <w:lang w:val="fr-CA"/>
        </w:rPr>
        <w:t xml:space="preserve">. </w:t>
      </w:r>
      <w:r w:rsidRPr="00D85B51">
        <w:rPr>
          <w:rStyle w:val="Hyperlink"/>
          <w:noProof/>
          <w:sz w:val="24"/>
          <w:lang w:val="fr-CA"/>
        </w:rPr>
        <w:t>https://biobricks.org</w:t>
      </w:r>
      <w:r w:rsidRPr="00D85B51">
        <w:rPr>
          <w:noProof/>
          <w:lang w:val="fr-CA"/>
        </w:rPr>
        <w:t>. Access</w:t>
      </w:r>
      <w:r w:rsidR="0003520C" w:rsidRPr="00D85B51">
        <w:rPr>
          <w:noProof/>
          <w:lang w:val="fr-CA"/>
        </w:rPr>
        <w:t>ed</w:t>
      </w:r>
      <w:r w:rsidRPr="00D85B51">
        <w:rPr>
          <w:noProof/>
          <w:lang w:val="fr-CA"/>
        </w:rPr>
        <w:t xml:space="preserve"> 29 November 2017</w:t>
      </w:r>
      <w:r w:rsidR="0003520C" w:rsidRPr="00D85B51">
        <w:rPr>
          <w:noProof/>
          <w:lang w:val="fr-CA"/>
        </w:rPr>
        <w:t>.</w:t>
      </w:r>
    </w:p>
    <w:p w14:paraId="368E2FAC" w14:textId="77777777" w:rsidR="00D6412D" w:rsidRPr="00D6412D" w:rsidRDefault="00D6412D" w:rsidP="0003520C">
      <w:pPr>
        <w:pStyle w:val="EndNoteBibliography"/>
        <w:rPr>
          <w:noProof/>
        </w:rPr>
      </w:pPr>
      <w:r w:rsidRPr="00D85B51">
        <w:rPr>
          <w:b/>
          <w:noProof/>
          <w:lang w:val="fr-CA"/>
        </w:rPr>
        <w:t>Boggess, M.V., Lippolis, J.D., Hurkman, W.J., Fagerquist, C.K., Briggs, S.P., Gomes, A.V., Righetti, P.G.</w:t>
      </w:r>
      <w:r w:rsidR="0003520C" w:rsidRPr="00D85B51">
        <w:rPr>
          <w:b/>
          <w:noProof/>
          <w:lang w:val="fr-CA"/>
        </w:rPr>
        <w:t xml:space="preserve"> &amp;</w:t>
      </w:r>
      <w:r w:rsidRPr="00D85B51">
        <w:rPr>
          <w:b/>
          <w:noProof/>
          <w:lang w:val="fr-CA"/>
        </w:rPr>
        <w:t xml:space="preserve"> Bala, K.</w:t>
      </w:r>
      <w:r w:rsidRPr="00D85B51">
        <w:rPr>
          <w:noProof/>
          <w:lang w:val="fr-CA"/>
        </w:rPr>
        <w:t xml:space="preserve"> 2013. </w:t>
      </w:r>
      <w:r w:rsidRPr="00D6412D">
        <w:rPr>
          <w:noProof/>
        </w:rPr>
        <w:t xml:space="preserve">The need for agriculture phenotyping: “Moving from genotype to phenotype”. </w:t>
      </w:r>
      <w:r w:rsidRPr="00C02041">
        <w:rPr>
          <w:i/>
          <w:iCs/>
          <w:noProof/>
        </w:rPr>
        <w:t>J</w:t>
      </w:r>
      <w:r w:rsidR="0003520C" w:rsidRPr="00C02041">
        <w:rPr>
          <w:i/>
          <w:iCs/>
          <w:noProof/>
        </w:rPr>
        <w:t>.</w:t>
      </w:r>
      <w:r w:rsidRPr="00C02041">
        <w:rPr>
          <w:i/>
          <w:iCs/>
          <w:noProof/>
        </w:rPr>
        <w:t xml:space="preserve"> Proteomics</w:t>
      </w:r>
      <w:r w:rsidR="0003520C">
        <w:rPr>
          <w:i/>
          <w:iCs/>
          <w:noProof/>
        </w:rPr>
        <w:t>,</w:t>
      </w:r>
      <w:r w:rsidRPr="00381F8F">
        <w:rPr>
          <w:i/>
          <w:iCs/>
          <w:noProof/>
        </w:rPr>
        <w:t xml:space="preserve"> </w:t>
      </w:r>
      <w:r w:rsidRPr="00C02041">
        <w:rPr>
          <w:iCs/>
          <w:noProof/>
        </w:rPr>
        <w:t>93</w:t>
      </w:r>
      <w:r w:rsidR="0003520C">
        <w:rPr>
          <w:noProof/>
        </w:rPr>
        <w:t>:</w:t>
      </w:r>
      <w:r w:rsidRPr="00D6412D">
        <w:rPr>
          <w:noProof/>
        </w:rPr>
        <w:t xml:space="preserve"> 20</w:t>
      </w:r>
      <w:r w:rsidR="0003520C">
        <w:rPr>
          <w:noProof/>
        </w:rPr>
        <w:t>–</w:t>
      </w:r>
      <w:r w:rsidRPr="00D6412D">
        <w:rPr>
          <w:noProof/>
        </w:rPr>
        <w:t>39.</w:t>
      </w:r>
    </w:p>
    <w:p w14:paraId="07C79EF2" w14:textId="77777777" w:rsidR="00D6412D" w:rsidRPr="00D6412D" w:rsidRDefault="00D6412D" w:rsidP="0003520C">
      <w:pPr>
        <w:pStyle w:val="EndNoteBibliography"/>
        <w:rPr>
          <w:noProof/>
        </w:rPr>
      </w:pPr>
      <w:r w:rsidRPr="00D6412D">
        <w:rPr>
          <w:b/>
          <w:noProof/>
        </w:rPr>
        <w:t>Boles, K.S., Kannan, K., Gill, J., Felderman, M., Gouvis, H., Hubby, B., Kamrud, K.I., Venter, J.C.</w:t>
      </w:r>
      <w:r w:rsidR="0003520C">
        <w:rPr>
          <w:b/>
          <w:noProof/>
        </w:rPr>
        <w:t xml:space="preserve"> &amp;</w:t>
      </w:r>
      <w:r w:rsidRPr="00D6412D">
        <w:rPr>
          <w:b/>
          <w:noProof/>
        </w:rPr>
        <w:t xml:space="preserve"> Gibson, D.G.</w:t>
      </w:r>
      <w:r w:rsidRPr="00D6412D">
        <w:rPr>
          <w:noProof/>
        </w:rPr>
        <w:t xml:space="preserve"> 2017. Digital-to-biological converter for on-demand production of biologics. Nat</w:t>
      </w:r>
      <w:r w:rsidR="0003520C">
        <w:rPr>
          <w:noProof/>
        </w:rPr>
        <w:t>.</w:t>
      </w:r>
      <w:r w:rsidRPr="00D6412D">
        <w:rPr>
          <w:noProof/>
        </w:rPr>
        <w:t xml:space="preserve"> Biotechnol</w:t>
      </w:r>
      <w:r w:rsidR="0003520C">
        <w:rPr>
          <w:noProof/>
        </w:rPr>
        <w:t>.,</w:t>
      </w:r>
      <w:r w:rsidRPr="00D6412D">
        <w:rPr>
          <w:i/>
          <w:noProof/>
        </w:rPr>
        <w:t xml:space="preserve"> 35</w:t>
      </w:r>
      <w:r w:rsidR="0003520C">
        <w:rPr>
          <w:noProof/>
        </w:rPr>
        <w:t>:</w:t>
      </w:r>
      <w:r w:rsidRPr="00D6412D">
        <w:rPr>
          <w:noProof/>
        </w:rPr>
        <w:t xml:space="preserve"> 672–675.</w:t>
      </w:r>
    </w:p>
    <w:p w14:paraId="10296C01" w14:textId="77777777" w:rsidR="00D6412D" w:rsidRPr="00D6412D" w:rsidRDefault="00D6412D" w:rsidP="0003520C">
      <w:pPr>
        <w:pStyle w:val="EndNoteBibliography"/>
        <w:rPr>
          <w:noProof/>
        </w:rPr>
      </w:pPr>
      <w:r w:rsidRPr="00D6412D">
        <w:rPr>
          <w:b/>
          <w:noProof/>
        </w:rPr>
        <w:t>Bräutigam, K., Vining, K.J., Lafon-Placette, C., Fossdal, C.G., Mirouze, M., Marcos, J.G., Fluch, S., Fraga, M.F., Guevara, M.Á., Abarca, D.</w:t>
      </w:r>
      <w:r w:rsidRPr="00D6412D">
        <w:rPr>
          <w:b/>
          <w:i/>
          <w:noProof/>
        </w:rPr>
        <w:t>, et al.</w:t>
      </w:r>
      <w:r w:rsidRPr="00D6412D">
        <w:rPr>
          <w:noProof/>
        </w:rPr>
        <w:t xml:space="preserve"> 2013. Epigenetic regulation of adaptive responses of forest tree species to the environment. </w:t>
      </w:r>
      <w:r w:rsidRPr="00C02041">
        <w:rPr>
          <w:i/>
          <w:iCs/>
          <w:noProof/>
        </w:rPr>
        <w:t>Ecol</w:t>
      </w:r>
      <w:r w:rsidR="0003520C" w:rsidRPr="00C02041">
        <w:rPr>
          <w:i/>
          <w:iCs/>
          <w:noProof/>
        </w:rPr>
        <w:t>.</w:t>
      </w:r>
      <w:r w:rsidRPr="00C02041">
        <w:rPr>
          <w:i/>
          <w:iCs/>
          <w:noProof/>
        </w:rPr>
        <w:t xml:space="preserve"> Evol</w:t>
      </w:r>
      <w:r w:rsidR="0003520C" w:rsidRPr="00C02041">
        <w:rPr>
          <w:i/>
          <w:iCs/>
          <w:noProof/>
        </w:rPr>
        <w:t>.,</w:t>
      </w:r>
      <w:r w:rsidRPr="00D6412D">
        <w:rPr>
          <w:i/>
          <w:noProof/>
        </w:rPr>
        <w:t xml:space="preserve"> </w:t>
      </w:r>
      <w:r w:rsidRPr="00C02041">
        <w:rPr>
          <w:iCs/>
          <w:noProof/>
        </w:rPr>
        <w:t>3</w:t>
      </w:r>
      <w:r w:rsidR="0003520C">
        <w:rPr>
          <w:noProof/>
        </w:rPr>
        <w:t>:</w:t>
      </w:r>
      <w:r w:rsidRPr="00D6412D">
        <w:rPr>
          <w:noProof/>
        </w:rPr>
        <w:t xml:space="preserve"> 399</w:t>
      </w:r>
      <w:r w:rsidR="0003520C">
        <w:rPr>
          <w:noProof/>
        </w:rPr>
        <w:t>–</w:t>
      </w:r>
      <w:r w:rsidRPr="00D6412D">
        <w:rPr>
          <w:noProof/>
        </w:rPr>
        <w:t>415.</w:t>
      </w:r>
    </w:p>
    <w:p w14:paraId="20211DC9" w14:textId="77777777" w:rsidR="00D6412D" w:rsidRPr="00D6412D" w:rsidRDefault="00D6412D" w:rsidP="0003520C">
      <w:pPr>
        <w:pStyle w:val="EndNoteBibliography"/>
        <w:rPr>
          <w:noProof/>
        </w:rPr>
      </w:pPr>
      <w:r w:rsidRPr="00D6412D">
        <w:rPr>
          <w:b/>
          <w:noProof/>
        </w:rPr>
        <w:t>Brbić, M., Piškorec, M., Vidulin, V., Kriško, A., Šmuc, T.</w:t>
      </w:r>
      <w:r w:rsidR="0003520C">
        <w:rPr>
          <w:b/>
          <w:noProof/>
        </w:rPr>
        <w:t xml:space="preserve"> &amp;</w:t>
      </w:r>
      <w:r w:rsidRPr="00D6412D">
        <w:rPr>
          <w:b/>
          <w:noProof/>
        </w:rPr>
        <w:t xml:space="preserve"> Supek, F.</w:t>
      </w:r>
      <w:r w:rsidRPr="00D6412D">
        <w:rPr>
          <w:noProof/>
        </w:rPr>
        <w:t xml:space="preserve"> 2016. The landscape of microbial phenotypic traits and associated genes.</w:t>
      </w:r>
      <w:r w:rsidRPr="00C02041">
        <w:rPr>
          <w:i/>
          <w:iCs/>
          <w:noProof/>
        </w:rPr>
        <w:t xml:space="preserve"> Nuc</w:t>
      </w:r>
      <w:r w:rsidR="0003520C">
        <w:rPr>
          <w:i/>
          <w:iCs/>
          <w:noProof/>
        </w:rPr>
        <w:t>.</w:t>
      </w:r>
      <w:r w:rsidRPr="00C02041">
        <w:rPr>
          <w:i/>
          <w:iCs/>
          <w:noProof/>
        </w:rPr>
        <w:t xml:space="preserve"> Acid Res</w:t>
      </w:r>
      <w:r w:rsidR="0003520C">
        <w:rPr>
          <w:i/>
          <w:iCs/>
          <w:noProof/>
        </w:rPr>
        <w:t>.,</w:t>
      </w:r>
      <w:r w:rsidRPr="00D6412D">
        <w:rPr>
          <w:i/>
          <w:noProof/>
        </w:rPr>
        <w:t xml:space="preserve"> </w:t>
      </w:r>
      <w:r w:rsidRPr="00C02041">
        <w:rPr>
          <w:iCs/>
          <w:noProof/>
        </w:rPr>
        <w:t>44</w:t>
      </w:r>
      <w:r w:rsidR="0003520C">
        <w:rPr>
          <w:noProof/>
        </w:rPr>
        <w:t>:</w:t>
      </w:r>
      <w:r w:rsidRPr="00D6412D">
        <w:rPr>
          <w:noProof/>
        </w:rPr>
        <w:t xml:space="preserve"> 10074</w:t>
      </w:r>
      <w:r w:rsidR="0003520C">
        <w:rPr>
          <w:noProof/>
        </w:rPr>
        <w:t>–</w:t>
      </w:r>
      <w:r w:rsidRPr="00D6412D">
        <w:rPr>
          <w:noProof/>
        </w:rPr>
        <w:t>10090.</w:t>
      </w:r>
    </w:p>
    <w:p w14:paraId="31805D12" w14:textId="77777777" w:rsidR="00D6412D" w:rsidRPr="00D6412D" w:rsidRDefault="00D6412D" w:rsidP="0003520C">
      <w:pPr>
        <w:pStyle w:val="EndNoteBibliography"/>
        <w:rPr>
          <w:noProof/>
        </w:rPr>
      </w:pPr>
      <w:r w:rsidRPr="00D6412D">
        <w:rPr>
          <w:b/>
          <w:noProof/>
        </w:rPr>
        <w:t>Brouard, J.-S., Boyle, B., Ibeagha-Awemu, E.M.</w:t>
      </w:r>
      <w:r w:rsidR="0003520C">
        <w:rPr>
          <w:b/>
          <w:noProof/>
        </w:rPr>
        <w:t xml:space="preserve"> &amp;</w:t>
      </w:r>
      <w:r w:rsidRPr="00D6412D">
        <w:rPr>
          <w:b/>
          <w:noProof/>
        </w:rPr>
        <w:t xml:space="preserve"> Bissonnette, N.</w:t>
      </w:r>
      <w:r w:rsidRPr="00D6412D">
        <w:rPr>
          <w:noProof/>
        </w:rPr>
        <w:t xml:space="preserve"> 2017. Low-depth genotyping-by-sequencing (GBS) in a bovine population: strategies to maximize the selection of high quality genotypes and the accuracy of imputation. </w:t>
      </w:r>
      <w:r w:rsidRPr="00C02041">
        <w:rPr>
          <w:i/>
          <w:iCs/>
          <w:noProof/>
        </w:rPr>
        <w:t>BMC Genet</w:t>
      </w:r>
      <w:r w:rsidR="0003520C" w:rsidRPr="00C02041">
        <w:rPr>
          <w:i/>
          <w:iCs/>
          <w:noProof/>
        </w:rPr>
        <w:t>.</w:t>
      </w:r>
      <w:r w:rsidR="0003520C">
        <w:rPr>
          <w:noProof/>
        </w:rPr>
        <w:t>,</w:t>
      </w:r>
      <w:r w:rsidRPr="00D6412D">
        <w:rPr>
          <w:i/>
          <w:noProof/>
        </w:rPr>
        <w:t xml:space="preserve"> </w:t>
      </w:r>
      <w:r w:rsidRPr="00C02041">
        <w:rPr>
          <w:iCs/>
          <w:noProof/>
        </w:rPr>
        <w:t>18</w:t>
      </w:r>
      <w:r w:rsidR="0003520C">
        <w:rPr>
          <w:noProof/>
        </w:rPr>
        <w:t>:</w:t>
      </w:r>
      <w:r w:rsidRPr="00D6412D">
        <w:rPr>
          <w:noProof/>
        </w:rPr>
        <w:t xml:space="preserve"> 32.</w:t>
      </w:r>
    </w:p>
    <w:p w14:paraId="247F4618" w14:textId="77777777" w:rsidR="00D6412D" w:rsidRPr="00D6412D" w:rsidRDefault="00D6412D" w:rsidP="0003520C">
      <w:pPr>
        <w:pStyle w:val="EndNoteBibliography"/>
        <w:rPr>
          <w:noProof/>
        </w:rPr>
      </w:pPr>
      <w:r w:rsidRPr="00D6412D">
        <w:rPr>
          <w:b/>
          <w:noProof/>
        </w:rPr>
        <w:t>Buckeridge, M.S.</w:t>
      </w:r>
      <w:r w:rsidRPr="00D6412D">
        <w:rPr>
          <w:noProof/>
        </w:rPr>
        <w:t xml:space="preserve"> 2018. The evolution of the Glycomic Codes of extracellular matrices. </w:t>
      </w:r>
      <w:r w:rsidRPr="00C02041">
        <w:rPr>
          <w:i/>
          <w:iCs/>
          <w:noProof/>
        </w:rPr>
        <w:t>Biosys</w:t>
      </w:r>
      <w:r w:rsidR="0003520C">
        <w:rPr>
          <w:i/>
          <w:noProof/>
        </w:rPr>
        <w:t>.,</w:t>
      </w:r>
      <w:r w:rsidRPr="00D6412D">
        <w:rPr>
          <w:i/>
          <w:noProof/>
        </w:rPr>
        <w:t xml:space="preserve"> 164</w:t>
      </w:r>
      <w:r w:rsidR="0003520C">
        <w:rPr>
          <w:noProof/>
        </w:rPr>
        <w:t>:</w:t>
      </w:r>
      <w:r w:rsidR="0003520C" w:rsidRPr="00D6412D">
        <w:rPr>
          <w:noProof/>
        </w:rPr>
        <w:t xml:space="preserve"> </w:t>
      </w:r>
      <w:r w:rsidRPr="00D6412D">
        <w:rPr>
          <w:noProof/>
        </w:rPr>
        <w:t>112</w:t>
      </w:r>
      <w:r w:rsidR="0003520C">
        <w:rPr>
          <w:noProof/>
        </w:rPr>
        <w:t>–</w:t>
      </w:r>
      <w:r w:rsidRPr="00D6412D">
        <w:rPr>
          <w:noProof/>
        </w:rPr>
        <w:t>120.</w:t>
      </w:r>
    </w:p>
    <w:p w14:paraId="41B0D64B" w14:textId="77777777" w:rsidR="00D6412D" w:rsidRPr="00D6412D" w:rsidRDefault="00D6412D" w:rsidP="0003520C">
      <w:pPr>
        <w:pStyle w:val="EndNoteBibliography"/>
        <w:rPr>
          <w:noProof/>
        </w:rPr>
      </w:pPr>
      <w:r w:rsidRPr="00D6412D">
        <w:rPr>
          <w:b/>
          <w:noProof/>
        </w:rPr>
        <w:lastRenderedPageBreak/>
        <w:t>Buenz , E.J., Verpoorte, R.</w:t>
      </w:r>
      <w:r w:rsidR="0003520C">
        <w:rPr>
          <w:b/>
          <w:noProof/>
        </w:rPr>
        <w:t xml:space="preserve"> &amp;</w:t>
      </w:r>
      <w:r w:rsidRPr="00D6412D">
        <w:rPr>
          <w:b/>
          <w:noProof/>
        </w:rPr>
        <w:t xml:space="preserve"> Bauer, B.A.</w:t>
      </w:r>
      <w:r w:rsidRPr="00D6412D">
        <w:rPr>
          <w:noProof/>
        </w:rPr>
        <w:t xml:space="preserve"> 2018. The ethnopharmacologic contribution to bioprospecting natural products. </w:t>
      </w:r>
      <w:r w:rsidRPr="00C02041">
        <w:rPr>
          <w:i/>
          <w:iCs/>
          <w:noProof/>
        </w:rPr>
        <w:t>Annu</w:t>
      </w:r>
      <w:r w:rsidR="0003520C">
        <w:rPr>
          <w:i/>
          <w:iCs/>
          <w:noProof/>
        </w:rPr>
        <w:t>.</w:t>
      </w:r>
      <w:r w:rsidRPr="00C02041">
        <w:rPr>
          <w:i/>
          <w:iCs/>
          <w:noProof/>
        </w:rPr>
        <w:t xml:space="preserve"> Rev</w:t>
      </w:r>
      <w:r w:rsidR="0003520C">
        <w:rPr>
          <w:i/>
          <w:iCs/>
          <w:noProof/>
        </w:rPr>
        <w:t>.</w:t>
      </w:r>
      <w:r w:rsidRPr="00C02041">
        <w:rPr>
          <w:i/>
          <w:iCs/>
          <w:noProof/>
        </w:rPr>
        <w:t xml:space="preserve"> Pharmacol</w:t>
      </w:r>
      <w:r w:rsidR="0003520C">
        <w:rPr>
          <w:i/>
          <w:iCs/>
          <w:noProof/>
        </w:rPr>
        <w:t>.</w:t>
      </w:r>
      <w:r w:rsidRPr="00C02041">
        <w:rPr>
          <w:i/>
          <w:iCs/>
          <w:noProof/>
        </w:rPr>
        <w:t xml:space="preserve"> Toxicol</w:t>
      </w:r>
      <w:r w:rsidR="0003520C">
        <w:rPr>
          <w:i/>
          <w:iCs/>
          <w:noProof/>
        </w:rPr>
        <w:t>.,</w:t>
      </w:r>
      <w:r w:rsidRPr="00D6412D">
        <w:rPr>
          <w:i/>
          <w:noProof/>
        </w:rPr>
        <w:t xml:space="preserve"> </w:t>
      </w:r>
      <w:r w:rsidRPr="00C02041">
        <w:rPr>
          <w:iCs/>
          <w:noProof/>
        </w:rPr>
        <w:t>58</w:t>
      </w:r>
      <w:r w:rsidR="0003520C">
        <w:rPr>
          <w:noProof/>
        </w:rPr>
        <w:t>:</w:t>
      </w:r>
      <w:r w:rsidRPr="00D6412D">
        <w:rPr>
          <w:noProof/>
        </w:rPr>
        <w:t xml:space="preserve"> 509</w:t>
      </w:r>
      <w:r w:rsidR="0003520C">
        <w:rPr>
          <w:noProof/>
        </w:rPr>
        <w:t>–</w:t>
      </w:r>
      <w:r w:rsidRPr="00D6412D">
        <w:rPr>
          <w:noProof/>
        </w:rPr>
        <w:t>530.</w:t>
      </w:r>
    </w:p>
    <w:p w14:paraId="3819D157" w14:textId="77777777" w:rsidR="00D6412D" w:rsidRPr="00D6412D" w:rsidRDefault="00D6412D" w:rsidP="0003520C">
      <w:pPr>
        <w:pStyle w:val="EndNoteBibliography"/>
        <w:rPr>
          <w:noProof/>
        </w:rPr>
      </w:pPr>
      <w:r w:rsidRPr="00D6412D">
        <w:rPr>
          <w:b/>
          <w:noProof/>
        </w:rPr>
        <w:t>Burnham, C.-A.D., Leeds, J., Nordmann, P., O'Grady, J.</w:t>
      </w:r>
      <w:r w:rsidR="0003520C">
        <w:rPr>
          <w:b/>
          <w:noProof/>
        </w:rPr>
        <w:t xml:space="preserve"> </w:t>
      </w:r>
      <w:r w:rsidR="0003520C" w:rsidRPr="00C02041">
        <w:rPr>
          <w:b/>
          <w:noProof/>
          <w:lang w:val="it-IT"/>
        </w:rPr>
        <w:t>&amp;</w:t>
      </w:r>
      <w:r w:rsidRPr="00C02041">
        <w:rPr>
          <w:b/>
          <w:noProof/>
          <w:lang w:val="it-IT"/>
        </w:rPr>
        <w:t xml:space="preserve"> Patel, J.</w:t>
      </w:r>
      <w:r w:rsidRPr="00C02041">
        <w:rPr>
          <w:noProof/>
          <w:lang w:val="it-IT"/>
        </w:rPr>
        <w:t xml:space="preserve"> 2017. Diagnosing antimicrobial resistance. </w:t>
      </w:r>
      <w:r w:rsidRPr="00C02041">
        <w:rPr>
          <w:i/>
          <w:iCs/>
          <w:noProof/>
        </w:rPr>
        <w:t>Nat</w:t>
      </w:r>
      <w:r w:rsidR="0003520C">
        <w:rPr>
          <w:i/>
          <w:iCs/>
          <w:noProof/>
        </w:rPr>
        <w:t>.</w:t>
      </w:r>
      <w:r w:rsidRPr="00C02041">
        <w:rPr>
          <w:i/>
          <w:iCs/>
          <w:noProof/>
        </w:rPr>
        <w:t xml:space="preserve"> Rev</w:t>
      </w:r>
      <w:r w:rsidR="0003520C">
        <w:rPr>
          <w:i/>
          <w:iCs/>
          <w:noProof/>
        </w:rPr>
        <w:t>.</w:t>
      </w:r>
      <w:r w:rsidRPr="00C02041">
        <w:rPr>
          <w:i/>
          <w:iCs/>
          <w:noProof/>
        </w:rPr>
        <w:t xml:space="preserve"> Microbiol</w:t>
      </w:r>
      <w:r w:rsidR="0003520C">
        <w:rPr>
          <w:i/>
          <w:iCs/>
          <w:noProof/>
        </w:rPr>
        <w:t>.,</w:t>
      </w:r>
      <w:r w:rsidRPr="00D6412D">
        <w:rPr>
          <w:i/>
          <w:noProof/>
        </w:rPr>
        <w:t xml:space="preserve"> </w:t>
      </w:r>
      <w:r w:rsidRPr="00C02041">
        <w:rPr>
          <w:iCs/>
          <w:noProof/>
        </w:rPr>
        <w:t>15</w:t>
      </w:r>
      <w:r w:rsidR="0003520C">
        <w:rPr>
          <w:noProof/>
        </w:rPr>
        <w:t>:</w:t>
      </w:r>
      <w:r w:rsidRPr="00D6412D">
        <w:rPr>
          <w:noProof/>
        </w:rPr>
        <w:t xml:space="preserve"> 697</w:t>
      </w:r>
      <w:r w:rsidR="0003520C">
        <w:rPr>
          <w:noProof/>
        </w:rPr>
        <w:t>–</w:t>
      </w:r>
      <w:r w:rsidRPr="00D6412D">
        <w:rPr>
          <w:noProof/>
        </w:rPr>
        <w:t>703.</w:t>
      </w:r>
    </w:p>
    <w:p w14:paraId="5180C521" w14:textId="77777777" w:rsidR="00D6412D" w:rsidRPr="00C02041" w:rsidRDefault="00D6412D" w:rsidP="00077BB6">
      <w:pPr>
        <w:pStyle w:val="EndNoteBibliography"/>
        <w:rPr>
          <w:noProof/>
          <w:lang w:val="it-IT"/>
        </w:rPr>
      </w:pPr>
      <w:r w:rsidRPr="00D6412D">
        <w:rPr>
          <w:b/>
          <w:noProof/>
        </w:rPr>
        <w:t>Busby, P.E., Soman, C., Wagner, M.R., Friesen, M.L., Kremer, J., Bennett, A., Morsy, M., Eisen, J.A., Leach, J.E.</w:t>
      </w:r>
      <w:r w:rsidR="00077BB6">
        <w:rPr>
          <w:b/>
          <w:noProof/>
        </w:rPr>
        <w:t xml:space="preserve"> &amp;</w:t>
      </w:r>
      <w:r w:rsidRPr="00D6412D">
        <w:rPr>
          <w:b/>
          <w:noProof/>
        </w:rPr>
        <w:t xml:space="preserve"> Dangl, J.L.</w:t>
      </w:r>
      <w:r w:rsidRPr="00D6412D">
        <w:rPr>
          <w:noProof/>
        </w:rPr>
        <w:t xml:space="preserve"> 2017. Research priorities for harnessing plant microbiomes in sustainable agriculture. </w:t>
      </w:r>
      <w:r w:rsidRPr="00C02041">
        <w:rPr>
          <w:i/>
          <w:iCs/>
          <w:noProof/>
          <w:lang w:val="it-IT"/>
        </w:rPr>
        <w:t>PLoS Biol</w:t>
      </w:r>
      <w:r w:rsidR="00077BB6" w:rsidRPr="00C02041">
        <w:rPr>
          <w:i/>
          <w:iCs/>
          <w:noProof/>
          <w:lang w:val="it-IT"/>
        </w:rPr>
        <w:t>.,</w:t>
      </w:r>
      <w:r w:rsidRPr="00C02041">
        <w:rPr>
          <w:i/>
          <w:iCs/>
          <w:noProof/>
          <w:lang w:val="it-IT"/>
        </w:rPr>
        <w:t xml:space="preserve"> </w:t>
      </w:r>
      <w:r w:rsidRPr="00C02041">
        <w:rPr>
          <w:iCs/>
          <w:noProof/>
          <w:lang w:val="it-IT"/>
        </w:rPr>
        <w:t>15</w:t>
      </w:r>
      <w:r w:rsidR="00077BB6" w:rsidRPr="00C02041">
        <w:rPr>
          <w:noProof/>
          <w:lang w:val="it-IT"/>
        </w:rPr>
        <w:t>:</w:t>
      </w:r>
      <w:r w:rsidRPr="00C02041">
        <w:rPr>
          <w:noProof/>
          <w:lang w:val="it-IT"/>
        </w:rPr>
        <w:t xml:space="preserve"> e2001793.</w:t>
      </w:r>
    </w:p>
    <w:p w14:paraId="54176A9D" w14:textId="77777777" w:rsidR="00D6412D" w:rsidRPr="0012061B" w:rsidRDefault="00D6412D" w:rsidP="00077BB6">
      <w:pPr>
        <w:pStyle w:val="EndNoteBibliography"/>
        <w:rPr>
          <w:noProof/>
          <w:lang w:val="fr-FR"/>
        </w:rPr>
      </w:pPr>
      <w:r w:rsidRPr="00C02041">
        <w:rPr>
          <w:b/>
          <w:noProof/>
          <w:lang w:val="it-IT"/>
        </w:rPr>
        <w:t>Campanaro, S., Treu, L., Cattani, M., Kougias, P.G., Vendramin, V., Schiavon, S., Tagliapietra, F., Giacomini, A.</w:t>
      </w:r>
      <w:r w:rsidR="00077BB6">
        <w:rPr>
          <w:b/>
          <w:noProof/>
          <w:lang w:val="it-IT"/>
        </w:rPr>
        <w:t xml:space="preserve"> </w:t>
      </w:r>
      <w:r w:rsidR="00077BB6" w:rsidRPr="00D85B51">
        <w:rPr>
          <w:b/>
          <w:noProof/>
          <w:lang w:val="fr-CA"/>
        </w:rPr>
        <w:t>&amp;</w:t>
      </w:r>
      <w:r w:rsidRPr="00D85B51">
        <w:rPr>
          <w:b/>
          <w:noProof/>
          <w:lang w:val="fr-CA"/>
        </w:rPr>
        <w:t xml:space="preserve"> Corich, V.</w:t>
      </w:r>
      <w:r w:rsidRPr="00D85B51">
        <w:rPr>
          <w:noProof/>
          <w:lang w:val="fr-CA"/>
        </w:rPr>
        <w:t xml:space="preserve"> 2017. </w:t>
      </w:r>
      <w:r w:rsidRPr="00D6412D">
        <w:rPr>
          <w:noProof/>
        </w:rPr>
        <w:t xml:space="preserve">In vitro fermentation of key dietary compounds with rumen fluid: A genome-centric perspective. </w:t>
      </w:r>
      <w:r w:rsidRPr="0012061B">
        <w:rPr>
          <w:i/>
          <w:iCs/>
          <w:noProof/>
          <w:lang w:val="fr-FR"/>
        </w:rPr>
        <w:t>Sci</w:t>
      </w:r>
      <w:r w:rsidR="00077BB6" w:rsidRPr="0012061B">
        <w:rPr>
          <w:i/>
          <w:iCs/>
          <w:noProof/>
          <w:lang w:val="fr-FR"/>
        </w:rPr>
        <w:t>.</w:t>
      </w:r>
      <w:r w:rsidRPr="0012061B">
        <w:rPr>
          <w:i/>
          <w:iCs/>
          <w:noProof/>
          <w:lang w:val="fr-FR"/>
        </w:rPr>
        <w:t xml:space="preserve"> Total Environ</w:t>
      </w:r>
      <w:r w:rsidR="00077BB6" w:rsidRPr="0012061B">
        <w:rPr>
          <w:i/>
          <w:iCs/>
          <w:noProof/>
          <w:lang w:val="fr-FR"/>
        </w:rPr>
        <w:t>.,</w:t>
      </w:r>
      <w:r w:rsidRPr="0012061B">
        <w:rPr>
          <w:i/>
          <w:noProof/>
          <w:lang w:val="fr-FR"/>
        </w:rPr>
        <w:t xml:space="preserve"> </w:t>
      </w:r>
      <w:r w:rsidRPr="0012061B">
        <w:rPr>
          <w:iCs/>
          <w:noProof/>
          <w:lang w:val="fr-FR"/>
        </w:rPr>
        <w:t>584</w:t>
      </w:r>
      <w:r w:rsidR="00077BB6" w:rsidRPr="0012061B">
        <w:rPr>
          <w:iCs/>
          <w:noProof/>
          <w:lang w:val="fr-FR"/>
        </w:rPr>
        <w:t>–</w:t>
      </w:r>
      <w:r w:rsidRPr="0012061B">
        <w:rPr>
          <w:iCs/>
          <w:noProof/>
          <w:lang w:val="fr-FR"/>
        </w:rPr>
        <w:t>585</w:t>
      </w:r>
      <w:r w:rsidR="00077BB6" w:rsidRPr="0012061B">
        <w:rPr>
          <w:noProof/>
          <w:lang w:val="fr-FR"/>
        </w:rPr>
        <w:t>:</w:t>
      </w:r>
      <w:r w:rsidRPr="0012061B">
        <w:rPr>
          <w:noProof/>
          <w:lang w:val="fr-FR"/>
        </w:rPr>
        <w:t xml:space="preserve"> 683</w:t>
      </w:r>
      <w:r w:rsidR="00077BB6" w:rsidRPr="0012061B">
        <w:rPr>
          <w:noProof/>
          <w:lang w:val="fr-FR"/>
        </w:rPr>
        <w:t>–</w:t>
      </w:r>
      <w:r w:rsidRPr="0012061B">
        <w:rPr>
          <w:noProof/>
          <w:lang w:val="fr-FR"/>
        </w:rPr>
        <w:t>691.</w:t>
      </w:r>
    </w:p>
    <w:p w14:paraId="2161EAE5" w14:textId="77777777" w:rsidR="00D6412D" w:rsidRPr="00D6412D" w:rsidRDefault="00D6412D" w:rsidP="00077BB6">
      <w:pPr>
        <w:pStyle w:val="EndNoteBibliography"/>
        <w:rPr>
          <w:noProof/>
        </w:rPr>
      </w:pPr>
      <w:r w:rsidRPr="0012061B">
        <w:rPr>
          <w:b/>
          <w:noProof/>
          <w:lang w:val="fr-FR"/>
        </w:rPr>
        <w:t>Carrico, J.A., Sabat, A.J., Friedrich, A.W.</w:t>
      </w:r>
      <w:r w:rsidR="00077BB6" w:rsidRPr="0012061B">
        <w:rPr>
          <w:b/>
          <w:noProof/>
          <w:lang w:val="fr-FR"/>
        </w:rPr>
        <w:t xml:space="preserve"> &amp;</w:t>
      </w:r>
      <w:r w:rsidRPr="0012061B">
        <w:rPr>
          <w:b/>
          <w:noProof/>
          <w:lang w:val="fr-FR"/>
        </w:rPr>
        <w:t xml:space="preserve"> Ramirez, M.</w:t>
      </w:r>
      <w:r w:rsidRPr="0012061B">
        <w:rPr>
          <w:noProof/>
          <w:lang w:val="fr-FR"/>
        </w:rPr>
        <w:t xml:space="preserve"> 2013. </w:t>
      </w:r>
      <w:r w:rsidRPr="00D6412D">
        <w:rPr>
          <w:noProof/>
        </w:rPr>
        <w:t xml:space="preserve">Bioinformatics in bacterial molecular epidemiology and public health: databases, tools and the next-generation sequencing revolution. </w:t>
      </w:r>
      <w:r w:rsidRPr="00C02041">
        <w:rPr>
          <w:i/>
          <w:iCs/>
          <w:noProof/>
        </w:rPr>
        <w:t>Euro</w:t>
      </w:r>
      <w:r w:rsidR="00077BB6">
        <w:rPr>
          <w:i/>
          <w:iCs/>
          <w:noProof/>
        </w:rPr>
        <w:t>.</w:t>
      </w:r>
      <w:r w:rsidRPr="00C02041">
        <w:rPr>
          <w:i/>
          <w:iCs/>
          <w:noProof/>
        </w:rPr>
        <w:t xml:space="preserve"> Surveill</w:t>
      </w:r>
      <w:r w:rsidR="00077BB6">
        <w:rPr>
          <w:i/>
          <w:iCs/>
          <w:noProof/>
        </w:rPr>
        <w:t>.</w:t>
      </w:r>
      <w:r w:rsidRPr="00D6412D">
        <w:rPr>
          <w:i/>
          <w:noProof/>
        </w:rPr>
        <w:t xml:space="preserve"> </w:t>
      </w:r>
      <w:r w:rsidRPr="00C02041">
        <w:rPr>
          <w:iCs/>
          <w:noProof/>
        </w:rPr>
        <w:t>18</w:t>
      </w:r>
      <w:r w:rsidR="00077BB6">
        <w:rPr>
          <w:noProof/>
        </w:rPr>
        <w:t>:</w:t>
      </w:r>
      <w:r w:rsidRPr="00D6412D">
        <w:rPr>
          <w:noProof/>
        </w:rPr>
        <w:t xml:space="preserve"> 20382.</w:t>
      </w:r>
    </w:p>
    <w:p w14:paraId="447D0F36" w14:textId="77777777" w:rsidR="00D6412D" w:rsidRPr="00D6412D" w:rsidRDefault="00D6412D" w:rsidP="00D6412D">
      <w:pPr>
        <w:pStyle w:val="EndNoteBibliography"/>
        <w:rPr>
          <w:noProof/>
        </w:rPr>
      </w:pPr>
      <w:r w:rsidRPr="00D6412D">
        <w:rPr>
          <w:b/>
          <w:noProof/>
        </w:rPr>
        <w:t>CBD</w:t>
      </w:r>
      <w:r w:rsidRPr="00D6412D">
        <w:rPr>
          <w:noProof/>
        </w:rPr>
        <w:t xml:space="preserve">. 2018. </w:t>
      </w:r>
      <w:r w:rsidRPr="00C02041">
        <w:rPr>
          <w:i/>
          <w:iCs/>
          <w:noProof/>
        </w:rPr>
        <w:t>Synthesis of views and information on the potential implications of the use of digital sequence information on genetic resources for the three objectives of the Convention and the objective of the Nagoya Protocol</w:t>
      </w:r>
      <w:r w:rsidRPr="00D6412D">
        <w:rPr>
          <w:noProof/>
        </w:rPr>
        <w:t>. AHTEG on Digital Sequence Information on Genetic Resources (Montreal)</w:t>
      </w:r>
      <w:r w:rsidR="00077BB6">
        <w:rPr>
          <w:noProof/>
        </w:rPr>
        <w:t xml:space="preserve">. </w:t>
      </w:r>
      <w:r w:rsidRPr="00D6412D">
        <w:rPr>
          <w:noProof/>
        </w:rPr>
        <w:t xml:space="preserve">CBD/DSI/AHTEG/2018/1/2/Add.1 </w:t>
      </w:r>
    </w:p>
    <w:p w14:paraId="0CBD510E" w14:textId="77777777" w:rsidR="00D6412D" w:rsidRPr="00D6412D" w:rsidRDefault="00D6412D" w:rsidP="00077BB6">
      <w:pPr>
        <w:pStyle w:val="EndNoteBibliography"/>
        <w:rPr>
          <w:noProof/>
        </w:rPr>
      </w:pPr>
      <w:r w:rsidRPr="00D6412D">
        <w:rPr>
          <w:b/>
          <w:noProof/>
        </w:rPr>
        <w:t>CGRFA</w:t>
      </w:r>
      <w:r w:rsidRPr="00D6412D">
        <w:rPr>
          <w:noProof/>
        </w:rPr>
        <w:t xml:space="preserve">. The International Network of </w:t>
      </w:r>
      <w:r w:rsidRPr="00C02041">
        <w:rPr>
          <w:i/>
          <w:iCs/>
          <w:noProof/>
        </w:rPr>
        <w:t>Ex Situ</w:t>
      </w:r>
      <w:r w:rsidRPr="00D6412D">
        <w:rPr>
          <w:noProof/>
        </w:rPr>
        <w:t xml:space="preserve"> Collections under the Auspices of FAO </w:t>
      </w:r>
      <w:r w:rsidR="00077BB6">
        <w:rPr>
          <w:noProof/>
        </w:rPr>
        <w:t>(</w:t>
      </w:r>
      <w:r w:rsidR="00077BB6" w:rsidRPr="00077BB6">
        <w:rPr>
          <w:noProof/>
        </w:rPr>
        <w:t>available at</w:t>
      </w:r>
      <w:r w:rsidR="00077BB6">
        <w:rPr>
          <w:noProof/>
        </w:rPr>
        <w:t xml:space="preserve"> </w:t>
      </w:r>
      <w:r w:rsidRPr="002C26BB">
        <w:rPr>
          <w:rStyle w:val="Hyperlink"/>
          <w:noProof/>
          <w:sz w:val="24"/>
        </w:rPr>
        <w:t>http://www.fao.org/nr/cgrfa/cgrfa-about/cgrfa-history/cgrfa-internnet/en/</w:t>
      </w:r>
      <w:r w:rsidRPr="00D6412D">
        <w:rPr>
          <w:noProof/>
        </w:rPr>
        <w:t xml:space="preserve"> </w:t>
      </w:r>
      <w:r w:rsidR="00077BB6">
        <w:rPr>
          <w:noProof/>
        </w:rPr>
        <w:t>a</w:t>
      </w:r>
      <w:r w:rsidRPr="00D6412D">
        <w:rPr>
          <w:noProof/>
        </w:rPr>
        <w:t>ccess</w:t>
      </w:r>
      <w:r w:rsidR="00077BB6">
        <w:rPr>
          <w:noProof/>
        </w:rPr>
        <w:t>ed</w:t>
      </w:r>
      <w:r w:rsidRPr="00D6412D">
        <w:rPr>
          <w:noProof/>
        </w:rPr>
        <w:t xml:space="preserve"> 3 December 2017</w:t>
      </w:r>
      <w:r w:rsidR="00077BB6">
        <w:rPr>
          <w:noProof/>
        </w:rPr>
        <w:t>).</w:t>
      </w:r>
    </w:p>
    <w:p w14:paraId="55DB2FAC" w14:textId="77777777" w:rsidR="00D6412D" w:rsidRPr="00D6412D" w:rsidRDefault="00D6412D" w:rsidP="00077BB6">
      <w:pPr>
        <w:pStyle w:val="EndNoteBibliography"/>
        <w:rPr>
          <w:noProof/>
        </w:rPr>
      </w:pPr>
      <w:r w:rsidRPr="00D6412D">
        <w:rPr>
          <w:b/>
          <w:noProof/>
        </w:rPr>
        <w:t>CGRFA</w:t>
      </w:r>
      <w:r w:rsidRPr="00D6412D">
        <w:rPr>
          <w:noProof/>
        </w:rPr>
        <w:t xml:space="preserve">. 2012. </w:t>
      </w:r>
      <w:r w:rsidRPr="00C02041">
        <w:rPr>
          <w:i/>
          <w:iCs/>
          <w:noProof/>
        </w:rPr>
        <w:t xml:space="preserve">Cryoconservation of </w:t>
      </w:r>
      <w:r w:rsidR="00077BB6" w:rsidRPr="00C02041">
        <w:rPr>
          <w:i/>
          <w:iCs/>
          <w:noProof/>
        </w:rPr>
        <w:t>animal genetic resources</w:t>
      </w:r>
      <w:r w:rsidRPr="00D6412D">
        <w:rPr>
          <w:noProof/>
        </w:rPr>
        <w:t>. FAO Animal Production and Health Guidelines No</w:t>
      </w:r>
      <w:r w:rsidR="00077BB6">
        <w:rPr>
          <w:noProof/>
        </w:rPr>
        <w:t>.</w:t>
      </w:r>
      <w:r w:rsidRPr="00D6412D">
        <w:rPr>
          <w:noProof/>
        </w:rPr>
        <w:t xml:space="preserve"> 12</w:t>
      </w:r>
      <w:r w:rsidR="00077BB6">
        <w:rPr>
          <w:noProof/>
        </w:rPr>
        <w:t>,</w:t>
      </w:r>
      <w:r w:rsidRPr="00D6412D">
        <w:rPr>
          <w:noProof/>
        </w:rPr>
        <w:t xml:space="preserve"> </w:t>
      </w:r>
      <w:r w:rsidR="00077BB6">
        <w:rPr>
          <w:noProof/>
        </w:rPr>
        <w:t xml:space="preserve">Rome, </w:t>
      </w:r>
      <w:r w:rsidRPr="00D6412D">
        <w:rPr>
          <w:noProof/>
        </w:rPr>
        <w:t xml:space="preserve">FAO </w:t>
      </w:r>
      <w:r w:rsidR="00077BB6">
        <w:rPr>
          <w:noProof/>
        </w:rPr>
        <w:t>(</w:t>
      </w:r>
      <w:r w:rsidR="00077BB6" w:rsidRPr="00077BB6">
        <w:rPr>
          <w:noProof/>
        </w:rPr>
        <w:t>available at</w:t>
      </w:r>
      <w:r w:rsidR="00077BB6">
        <w:rPr>
          <w:rStyle w:val="Hyperlink"/>
          <w:noProof/>
          <w:sz w:val="24"/>
        </w:rPr>
        <w:t xml:space="preserve"> </w:t>
      </w:r>
      <w:r w:rsidRPr="002C26BB">
        <w:rPr>
          <w:rStyle w:val="Hyperlink"/>
          <w:noProof/>
          <w:sz w:val="24"/>
        </w:rPr>
        <w:t>http://www.fao.org/docrep/016/i3017e/i3017e00.pdf</w:t>
      </w:r>
      <w:r w:rsidR="00077BB6">
        <w:rPr>
          <w:rStyle w:val="Hyperlink"/>
          <w:noProof/>
          <w:sz w:val="24"/>
        </w:rPr>
        <w:t>)</w:t>
      </w:r>
      <w:r w:rsidRPr="00D6412D">
        <w:rPr>
          <w:noProof/>
        </w:rPr>
        <w:t>.</w:t>
      </w:r>
    </w:p>
    <w:p w14:paraId="54C0AC0E" w14:textId="77777777" w:rsidR="00D6412D" w:rsidRPr="00D6412D" w:rsidRDefault="00D6412D" w:rsidP="00077BB6">
      <w:pPr>
        <w:pStyle w:val="EndNoteBibliography"/>
        <w:rPr>
          <w:noProof/>
        </w:rPr>
      </w:pPr>
      <w:r w:rsidRPr="00D6412D">
        <w:rPr>
          <w:b/>
          <w:noProof/>
        </w:rPr>
        <w:t>CGRFA</w:t>
      </w:r>
      <w:r w:rsidRPr="00D6412D">
        <w:rPr>
          <w:noProof/>
        </w:rPr>
        <w:t xml:space="preserve">. 2014. </w:t>
      </w:r>
      <w:r w:rsidRPr="00C02041">
        <w:rPr>
          <w:i/>
          <w:iCs/>
          <w:noProof/>
        </w:rPr>
        <w:t>Genebank Standards for Plant Genetic Resources for Food and Agriculture</w:t>
      </w:r>
      <w:r w:rsidRPr="00D6412D">
        <w:rPr>
          <w:noProof/>
        </w:rPr>
        <w:t xml:space="preserve">. </w:t>
      </w:r>
      <w:r w:rsidR="00077BB6">
        <w:rPr>
          <w:noProof/>
        </w:rPr>
        <w:t xml:space="preserve">Rome, </w:t>
      </w:r>
      <w:r w:rsidRPr="00D6412D">
        <w:rPr>
          <w:noProof/>
        </w:rPr>
        <w:t xml:space="preserve">FAO </w:t>
      </w:r>
      <w:r w:rsidR="00077BB6">
        <w:rPr>
          <w:noProof/>
        </w:rPr>
        <w:t>(</w:t>
      </w:r>
      <w:r w:rsidR="00077BB6" w:rsidRPr="00077BB6">
        <w:rPr>
          <w:noProof/>
        </w:rPr>
        <w:t>available at</w:t>
      </w:r>
      <w:r w:rsidRPr="002C26BB">
        <w:rPr>
          <w:rStyle w:val="Hyperlink"/>
          <w:noProof/>
          <w:sz w:val="24"/>
        </w:rPr>
        <w:t>http://www.fao.org/3/a-i3704e.pdf</w:t>
      </w:r>
      <w:r w:rsidR="00077BB6">
        <w:rPr>
          <w:rStyle w:val="Hyperlink"/>
          <w:noProof/>
          <w:sz w:val="24"/>
        </w:rPr>
        <w:t>)</w:t>
      </w:r>
      <w:r w:rsidRPr="00D6412D">
        <w:rPr>
          <w:noProof/>
        </w:rPr>
        <w:t>.</w:t>
      </w:r>
    </w:p>
    <w:p w14:paraId="7E95755E" w14:textId="77777777" w:rsidR="00D6412D" w:rsidRPr="00D6412D" w:rsidRDefault="00D6412D" w:rsidP="00D6412D">
      <w:pPr>
        <w:pStyle w:val="EndNoteBibliography"/>
        <w:rPr>
          <w:noProof/>
        </w:rPr>
      </w:pPr>
      <w:r w:rsidRPr="00D6412D">
        <w:rPr>
          <w:b/>
          <w:noProof/>
        </w:rPr>
        <w:t>CGRFA</w:t>
      </w:r>
      <w:r w:rsidRPr="00D6412D">
        <w:rPr>
          <w:noProof/>
        </w:rPr>
        <w:t xml:space="preserve">. 2017. </w:t>
      </w:r>
      <w:r w:rsidRPr="00C02041">
        <w:rPr>
          <w:i/>
          <w:iCs/>
          <w:noProof/>
        </w:rPr>
        <w:t>Sixteenth Regular Session of the Commission on Genetic Resources for Food and Agriculture</w:t>
      </w:r>
      <w:r w:rsidRPr="00D6412D">
        <w:rPr>
          <w:noProof/>
        </w:rPr>
        <w:t>. CGRFA-16/17/Report</w:t>
      </w:r>
      <w:r w:rsidR="00077BB6">
        <w:rPr>
          <w:noProof/>
        </w:rPr>
        <w:t>.</w:t>
      </w:r>
      <w:r w:rsidRPr="00D6412D">
        <w:rPr>
          <w:noProof/>
        </w:rPr>
        <w:t xml:space="preserve"> </w:t>
      </w:r>
    </w:p>
    <w:p w14:paraId="46C480A6" w14:textId="77777777" w:rsidR="00D6412D" w:rsidRPr="00C02041" w:rsidRDefault="00D6412D" w:rsidP="00077BB6">
      <w:pPr>
        <w:pStyle w:val="EndNoteBibliography"/>
        <w:rPr>
          <w:i/>
          <w:iCs/>
          <w:noProof/>
        </w:rPr>
      </w:pPr>
      <w:r w:rsidRPr="00D6412D">
        <w:rPr>
          <w:b/>
          <w:noProof/>
        </w:rPr>
        <w:t>Chari, R.</w:t>
      </w:r>
      <w:r w:rsidR="00077BB6">
        <w:rPr>
          <w:b/>
          <w:noProof/>
        </w:rPr>
        <w:t xml:space="preserve"> &amp;</w:t>
      </w:r>
      <w:r w:rsidRPr="00D6412D">
        <w:rPr>
          <w:b/>
          <w:noProof/>
        </w:rPr>
        <w:t xml:space="preserve"> Church, G.M.</w:t>
      </w:r>
      <w:r w:rsidRPr="00D6412D">
        <w:rPr>
          <w:noProof/>
        </w:rPr>
        <w:t xml:space="preserve"> 2017. Beyond editing to writing large genomes. </w:t>
      </w:r>
      <w:r w:rsidRPr="00C02041">
        <w:rPr>
          <w:i/>
          <w:iCs/>
          <w:noProof/>
        </w:rPr>
        <w:t>Nat</w:t>
      </w:r>
      <w:r w:rsidR="00077BB6">
        <w:rPr>
          <w:i/>
          <w:iCs/>
          <w:noProof/>
        </w:rPr>
        <w:t>.</w:t>
      </w:r>
      <w:r w:rsidRPr="00C02041">
        <w:rPr>
          <w:i/>
          <w:iCs/>
          <w:noProof/>
        </w:rPr>
        <w:t xml:space="preserve"> Rev</w:t>
      </w:r>
      <w:r w:rsidR="00077BB6">
        <w:rPr>
          <w:i/>
          <w:iCs/>
          <w:noProof/>
        </w:rPr>
        <w:t>.</w:t>
      </w:r>
      <w:r w:rsidRPr="00C02041">
        <w:rPr>
          <w:i/>
          <w:iCs/>
          <w:noProof/>
        </w:rPr>
        <w:t xml:space="preserve"> Genet.</w:t>
      </w:r>
      <w:r w:rsidR="00077BB6">
        <w:rPr>
          <w:i/>
          <w:iCs/>
          <w:noProof/>
        </w:rPr>
        <w:t xml:space="preserve">, </w:t>
      </w:r>
      <w:r w:rsidR="00077BB6" w:rsidRPr="00077BB6">
        <w:rPr>
          <w:noProof/>
        </w:rPr>
        <w:t>18(12):</w:t>
      </w:r>
      <w:r w:rsidR="00077BB6">
        <w:rPr>
          <w:noProof/>
        </w:rPr>
        <w:t xml:space="preserve"> </w:t>
      </w:r>
      <w:r w:rsidR="00077BB6" w:rsidRPr="00077BB6">
        <w:rPr>
          <w:noProof/>
        </w:rPr>
        <w:t>749</w:t>
      </w:r>
      <w:r w:rsidR="00077BB6">
        <w:rPr>
          <w:noProof/>
        </w:rPr>
        <w:t>–</w:t>
      </w:r>
      <w:r w:rsidR="00077BB6" w:rsidRPr="00C02041">
        <w:rPr>
          <w:noProof/>
        </w:rPr>
        <w:t>760.</w:t>
      </w:r>
      <w:r w:rsidR="00077BB6" w:rsidRPr="00077BB6">
        <w:rPr>
          <w:i/>
          <w:iCs/>
          <w:noProof/>
        </w:rPr>
        <w:t> </w:t>
      </w:r>
      <w:r w:rsidR="00077BB6">
        <w:rPr>
          <w:i/>
          <w:iCs/>
          <w:noProof/>
        </w:rPr>
        <w:t xml:space="preserve"> </w:t>
      </w:r>
    </w:p>
    <w:p w14:paraId="7B88308D" w14:textId="77777777" w:rsidR="00D6412D" w:rsidRPr="00D6412D" w:rsidRDefault="00D6412D" w:rsidP="005066E1">
      <w:pPr>
        <w:pStyle w:val="EndNoteBibliography"/>
        <w:rPr>
          <w:noProof/>
        </w:rPr>
      </w:pPr>
      <w:r w:rsidRPr="00D6412D">
        <w:rPr>
          <w:b/>
          <w:noProof/>
        </w:rPr>
        <w:t>Chaudhry, Q.</w:t>
      </w:r>
      <w:r w:rsidR="00077BB6">
        <w:rPr>
          <w:b/>
          <w:noProof/>
        </w:rPr>
        <w:t xml:space="preserve"> &amp;</w:t>
      </w:r>
      <w:r w:rsidRPr="00D6412D">
        <w:rPr>
          <w:b/>
          <w:noProof/>
        </w:rPr>
        <w:t xml:space="preserve"> Castle, L.</w:t>
      </w:r>
      <w:r w:rsidRPr="00D6412D">
        <w:rPr>
          <w:noProof/>
        </w:rPr>
        <w:t xml:space="preserve"> 2011. Food applications of nanotechnologies: an overview of opportunities and challenges for developing countries. </w:t>
      </w:r>
      <w:r w:rsidRPr="00C02041">
        <w:rPr>
          <w:i/>
          <w:iCs/>
          <w:noProof/>
        </w:rPr>
        <w:t>Trend Food Sci</w:t>
      </w:r>
      <w:r w:rsidR="005066E1">
        <w:rPr>
          <w:i/>
          <w:iCs/>
          <w:noProof/>
        </w:rPr>
        <w:t>.</w:t>
      </w:r>
      <w:r w:rsidRPr="00C02041">
        <w:rPr>
          <w:i/>
          <w:iCs/>
          <w:noProof/>
        </w:rPr>
        <w:t xml:space="preserve"> Technol</w:t>
      </w:r>
      <w:r w:rsidR="005066E1">
        <w:rPr>
          <w:i/>
          <w:iCs/>
          <w:noProof/>
        </w:rPr>
        <w:t>.,</w:t>
      </w:r>
      <w:r w:rsidRPr="00381F8F">
        <w:rPr>
          <w:i/>
          <w:iCs/>
          <w:noProof/>
        </w:rPr>
        <w:t xml:space="preserve"> </w:t>
      </w:r>
      <w:r w:rsidRPr="00C02041">
        <w:rPr>
          <w:iCs/>
          <w:noProof/>
        </w:rPr>
        <w:t>22</w:t>
      </w:r>
      <w:r w:rsidR="005066E1">
        <w:rPr>
          <w:noProof/>
        </w:rPr>
        <w:t>:</w:t>
      </w:r>
      <w:r w:rsidRPr="00D6412D">
        <w:rPr>
          <w:noProof/>
        </w:rPr>
        <w:t xml:space="preserve"> 595</w:t>
      </w:r>
      <w:r w:rsidR="005066E1">
        <w:rPr>
          <w:noProof/>
        </w:rPr>
        <w:t>–</w:t>
      </w:r>
      <w:r w:rsidRPr="00D6412D">
        <w:rPr>
          <w:noProof/>
        </w:rPr>
        <w:t>603.</w:t>
      </w:r>
    </w:p>
    <w:p w14:paraId="32BB7FAB" w14:textId="77777777" w:rsidR="00D6412D" w:rsidRPr="00D6412D" w:rsidRDefault="00D6412D" w:rsidP="005066E1">
      <w:pPr>
        <w:pStyle w:val="EndNoteBibliography"/>
        <w:rPr>
          <w:noProof/>
        </w:rPr>
      </w:pPr>
      <w:r w:rsidRPr="00D6412D">
        <w:rPr>
          <w:b/>
          <w:noProof/>
        </w:rPr>
        <w:t>Chen, H.</w:t>
      </w:r>
      <w:r w:rsidR="005066E1">
        <w:rPr>
          <w:b/>
          <w:noProof/>
        </w:rPr>
        <w:t xml:space="preserve"> &amp;</w:t>
      </w:r>
      <w:r w:rsidRPr="00D6412D">
        <w:rPr>
          <w:b/>
          <w:noProof/>
        </w:rPr>
        <w:t xml:space="preserve"> Yada, R.</w:t>
      </w:r>
      <w:r w:rsidRPr="00D6412D">
        <w:rPr>
          <w:noProof/>
        </w:rPr>
        <w:t xml:space="preserve"> 2011. Nanotechnologies in agriculture: new tools for sustainable development. </w:t>
      </w:r>
      <w:r w:rsidRPr="00C02041">
        <w:rPr>
          <w:i/>
          <w:iCs/>
          <w:noProof/>
        </w:rPr>
        <w:t>Trend Food Sci</w:t>
      </w:r>
      <w:r w:rsidR="005066E1">
        <w:rPr>
          <w:i/>
          <w:iCs/>
          <w:noProof/>
        </w:rPr>
        <w:t>.</w:t>
      </w:r>
      <w:r w:rsidRPr="00C02041">
        <w:rPr>
          <w:i/>
          <w:iCs/>
          <w:noProof/>
        </w:rPr>
        <w:t xml:space="preserve"> Technol</w:t>
      </w:r>
      <w:r w:rsidR="005066E1">
        <w:rPr>
          <w:i/>
          <w:noProof/>
        </w:rPr>
        <w:t>.,</w:t>
      </w:r>
      <w:r w:rsidRPr="00C02041">
        <w:rPr>
          <w:iCs/>
          <w:noProof/>
        </w:rPr>
        <w:t xml:space="preserve"> 22</w:t>
      </w:r>
      <w:r w:rsidR="005066E1">
        <w:rPr>
          <w:noProof/>
        </w:rPr>
        <w:t>:</w:t>
      </w:r>
      <w:r w:rsidRPr="00D6412D">
        <w:rPr>
          <w:noProof/>
        </w:rPr>
        <w:t xml:space="preserve"> 585</w:t>
      </w:r>
      <w:r w:rsidR="005066E1">
        <w:rPr>
          <w:noProof/>
        </w:rPr>
        <w:t>–</w:t>
      </w:r>
      <w:r w:rsidRPr="00D6412D">
        <w:rPr>
          <w:noProof/>
        </w:rPr>
        <w:t>594.</w:t>
      </w:r>
    </w:p>
    <w:p w14:paraId="5E1D9311" w14:textId="77777777" w:rsidR="00D6412D" w:rsidRPr="00D6412D" w:rsidRDefault="00D6412D" w:rsidP="005066E1">
      <w:pPr>
        <w:pStyle w:val="EndNoteBibliography"/>
        <w:rPr>
          <w:noProof/>
        </w:rPr>
      </w:pPr>
      <w:r w:rsidRPr="00D6412D">
        <w:rPr>
          <w:b/>
          <w:noProof/>
        </w:rPr>
        <w:t>Chen, W., Yu, H., Sun, F., Ornob, A., Brisbin, R., Ganguli, A., Vemuri, V., Strzebonski, P., Cui, G., Allen, K.J.</w:t>
      </w:r>
      <w:r w:rsidRPr="00D6412D">
        <w:rPr>
          <w:b/>
          <w:i/>
          <w:noProof/>
        </w:rPr>
        <w:t>, et al.</w:t>
      </w:r>
      <w:r w:rsidRPr="00D6412D">
        <w:rPr>
          <w:noProof/>
        </w:rPr>
        <w:t xml:space="preserve"> 2017. Mobile platform for multiplexed detection and differentiation of disease-specific nucleic acid sequences, using microfluidic loop-mediated isothermal amplification and smartphone detection. </w:t>
      </w:r>
      <w:r w:rsidRPr="00C02041">
        <w:rPr>
          <w:i/>
          <w:iCs/>
          <w:noProof/>
        </w:rPr>
        <w:t>Anal</w:t>
      </w:r>
      <w:r w:rsidR="005066E1">
        <w:rPr>
          <w:i/>
          <w:iCs/>
          <w:noProof/>
        </w:rPr>
        <w:t>.</w:t>
      </w:r>
      <w:r w:rsidRPr="00C02041">
        <w:rPr>
          <w:i/>
          <w:iCs/>
          <w:noProof/>
        </w:rPr>
        <w:t xml:space="preserve"> Chem</w:t>
      </w:r>
      <w:r w:rsidR="005066E1">
        <w:rPr>
          <w:i/>
          <w:iCs/>
          <w:noProof/>
        </w:rPr>
        <w:t>.,</w:t>
      </w:r>
      <w:r w:rsidRPr="00381F8F">
        <w:rPr>
          <w:i/>
          <w:iCs/>
          <w:noProof/>
        </w:rPr>
        <w:t xml:space="preserve"> </w:t>
      </w:r>
      <w:r w:rsidRPr="00C02041">
        <w:rPr>
          <w:noProof/>
        </w:rPr>
        <w:t>89</w:t>
      </w:r>
      <w:r w:rsidR="005066E1">
        <w:rPr>
          <w:i/>
          <w:iCs/>
          <w:noProof/>
        </w:rPr>
        <w:t>:</w:t>
      </w:r>
      <w:r w:rsidRPr="00C02041">
        <w:rPr>
          <w:i/>
          <w:iCs/>
          <w:noProof/>
        </w:rPr>
        <w:t xml:space="preserve"> </w:t>
      </w:r>
      <w:r w:rsidRPr="00D6412D">
        <w:rPr>
          <w:noProof/>
        </w:rPr>
        <w:t>11219</w:t>
      </w:r>
      <w:r w:rsidR="005066E1">
        <w:rPr>
          <w:noProof/>
        </w:rPr>
        <w:t>–</w:t>
      </w:r>
      <w:r w:rsidRPr="00D6412D">
        <w:rPr>
          <w:noProof/>
        </w:rPr>
        <w:t>1226.</w:t>
      </w:r>
    </w:p>
    <w:p w14:paraId="2F9FEC1D" w14:textId="77777777" w:rsidR="00D6412D" w:rsidRPr="00D6412D" w:rsidRDefault="00D6412D" w:rsidP="005066E1">
      <w:pPr>
        <w:pStyle w:val="EndNoteBibliography"/>
        <w:rPr>
          <w:noProof/>
        </w:rPr>
      </w:pPr>
      <w:r w:rsidRPr="00D6412D">
        <w:rPr>
          <w:b/>
          <w:noProof/>
        </w:rPr>
        <w:t>Chernoff, Y.O.</w:t>
      </w:r>
      <w:r w:rsidRPr="00D6412D">
        <w:rPr>
          <w:noProof/>
        </w:rPr>
        <w:t xml:space="preserve"> 2004. Replication vehicles of protein-based inheritance. </w:t>
      </w:r>
      <w:r w:rsidRPr="00C02041">
        <w:rPr>
          <w:i/>
          <w:iCs/>
          <w:noProof/>
        </w:rPr>
        <w:t>Trends Biotechnol</w:t>
      </w:r>
      <w:r w:rsidR="005066E1">
        <w:rPr>
          <w:i/>
          <w:iCs/>
          <w:noProof/>
        </w:rPr>
        <w:t>.,</w:t>
      </w:r>
      <w:r w:rsidRPr="00D6412D">
        <w:rPr>
          <w:i/>
          <w:noProof/>
        </w:rPr>
        <w:t xml:space="preserve"> </w:t>
      </w:r>
      <w:r w:rsidRPr="00C02041">
        <w:rPr>
          <w:iCs/>
          <w:noProof/>
        </w:rPr>
        <w:t>22</w:t>
      </w:r>
      <w:r w:rsidR="005066E1">
        <w:rPr>
          <w:noProof/>
        </w:rPr>
        <w:t>:</w:t>
      </w:r>
      <w:r w:rsidRPr="00D6412D">
        <w:rPr>
          <w:noProof/>
        </w:rPr>
        <w:t xml:space="preserve"> 549</w:t>
      </w:r>
      <w:r w:rsidR="005066E1">
        <w:rPr>
          <w:noProof/>
        </w:rPr>
        <w:t>–</w:t>
      </w:r>
      <w:r w:rsidRPr="00D6412D">
        <w:rPr>
          <w:noProof/>
        </w:rPr>
        <w:t>552.</w:t>
      </w:r>
    </w:p>
    <w:p w14:paraId="2531CE75" w14:textId="77777777" w:rsidR="00D6412D" w:rsidRPr="00D6412D" w:rsidRDefault="00D6412D" w:rsidP="005066E1">
      <w:pPr>
        <w:pStyle w:val="EndNoteBibliography"/>
        <w:rPr>
          <w:noProof/>
        </w:rPr>
      </w:pPr>
      <w:r w:rsidRPr="00D6412D">
        <w:rPr>
          <w:b/>
          <w:noProof/>
        </w:rPr>
        <w:t>Chin, J.W.</w:t>
      </w:r>
      <w:r w:rsidRPr="00D6412D">
        <w:rPr>
          <w:noProof/>
        </w:rPr>
        <w:t xml:space="preserve"> 2017. Expanding and reprogramming the genetic code. </w:t>
      </w:r>
      <w:r w:rsidRPr="00C02041">
        <w:rPr>
          <w:i/>
          <w:iCs/>
          <w:noProof/>
        </w:rPr>
        <w:t>Nature</w:t>
      </w:r>
      <w:r w:rsidR="005066E1">
        <w:rPr>
          <w:i/>
          <w:iCs/>
          <w:noProof/>
        </w:rPr>
        <w:t>,</w:t>
      </w:r>
      <w:r w:rsidRPr="00381F8F">
        <w:rPr>
          <w:i/>
          <w:iCs/>
          <w:noProof/>
        </w:rPr>
        <w:t xml:space="preserve"> </w:t>
      </w:r>
      <w:r w:rsidRPr="00C02041">
        <w:rPr>
          <w:iCs/>
          <w:noProof/>
        </w:rPr>
        <w:t>550</w:t>
      </w:r>
      <w:r w:rsidR="005066E1" w:rsidRPr="00381F8F">
        <w:rPr>
          <w:iCs/>
          <w:noProof/>
        </w:rPr>
        <w:t>:</w:t>
      </w:r>
      <w:r w:rsidRPr="00D6412D">
        <w:rPr>
          <w:noProof/>
        </w:rPr>
        <w:t xml:space="preserve"> 53</w:t>
      </w:r>
      <w:r w:rsidR="005066E1">
        <w:rPr>
          <w:noProof/>
        </w:rPr>
        <w:t>–</w:t>
      </w:r>
      <w:r w:rsidRPr="00D6412D">
        <w:rPr>
          <w:noProof/>
        </w:rPr>
        <w:t>60.</w:t>
      </w:r>
    </w:p>
    <w:p w14:paraId="02CA21A5" w14:textId="77777777" w:rsidR="00D6412D" w:rsidRPr="00D6412D" w:rsidRDefault="00D6412D" w:rsidP="005066E1">
      <w:pPr>
        <w:pStyle w:val="EndNoteBibliography"/>
        <w:rPr>
          <w:noProof/>
        </w:rPr>
      </w:pPr>
      <w:r w:rsidRPr="00D6412D">
        <w:rPr>
          <w:b/>
          <w:noProof/>
        </w:rPr>
        <w:t>Chu, H.</w:t>
      </w:r>
      <w:r w:rsidRPr="00D6412D">
        <w:rPr>
          <w:noProof/>
        </w:rPr>
        <w:t xml:space="preserve"> 2017. Host gene–microbiome interactions: molecular mechanisms in inflammatory bowel disease. </w:t>
      </w:r>
      <w:r w:rsidRPr="00C02041">
        <w:rPr>
          <w:i/>
          <w:iCs/>
          <w:noProof/>
        </w:rPr>
        <w:t>Genome Med</w:t>
      </w:r>
      <w:r w:rsidR="005066E1">
        <w:rPr>
          <w:i/>
          <w:noProof/>
        </w:rPr>
        <w:t>.,</w:t>
      </w:r>
      <w:r w:rsidRPr="00D6412D">
        <w:rPr>
          <w:i/>
          <w:noProof/>
        </w:rPr>
        <w:t xml:space="preserve"> </w:t>
      </w:r>
      <w:r w:rsidRPr="00C02041">
        <w:rPr>
          <w:iCs/>
          <w:noProof/>
        </w:rPr>
        <w:t>9</w:t>
      </w:r>
      <w:r w:rsidR="005066E1">
        <w:rPr>
          <w:noProof/>
        </w:rPr>
        <w:t>:</w:t>
      </w:r>
      <w:r w:rsidRPr="00D6412D">
        <w:rPr>
          <w:noProof/>
        </w:rPr>
        <w:t xml:space="preserve"> 69.</w:t>
      </w:r>
    </w:p>
    <w:p w14:paraId="1F7960D4" w14:textId="77777777" w:rsidR="00D6412D" w:rsidRPr="00D6412D" w:rsidRDefault="00D6412D" w:rsidP="005066E1">
      <w:pPr>
        <w:pStyle w:val="EndNoteBibliography"/>
        <w:rPr>
          <w:noProof/>
        </w:rPr>
      </w:pPr>
      <w:r w:rsidRPr="00D6412D">
        <w:rPr>
          <w:b/>
          <w:noProof/>
        </w:rPr>
        <w:t>Clarke, R.</w:t>
      </w:r>
      <w:r w:rsidRPr="00D6412D">
        <w:rPr>
          <w:noProof/>
        </w:rPr>
        <w:t xml:space="preserve"> 2010. </w:t>
      </w:r>
      <w:r w:rsidRPr="00C02041">
        <w:rPr>
          <w:i/>
          <w:iCs/>
          <w:noProof/>
        </w:rPr>
        <w:t>Private food safety standards: their role in food safety regulation and their impact.</w:t>
      </w:r>
      <w:r w:rsidRPr="00D6412D">
        <w:rPr>
          <w:noProof/>
        </w:rPr>
        <w:t xml:space="preserve"> </w:t>
      </w:r>
      <w:r w:rsidR="005066E1">
        <w:rPr>
          <w:noProof/>
        </w:rPr>
        <w:t>Rome,</w:t>
      </w:r>
      <w:r w:rsidRPr="00D6412D">
        <w:rPr>
          <w:noProof/>
        </w:rPr>
        <w:t xml:space="preserve"> FAO </w:t>
      </w:r>
      <w:r w:rsidR="005066E1">
        <w:rPr>
          <w:noProof/>
        </w:rPr>
        <w:t>(</w:t>
      </w:r>
      <w:r w:rsidR="005066E1" w:rsidRPr="005066E1">
        <w:rPr>
          <w:noProof/>
        </w:rPr>
        <w:t>available at</w:t>
      </w:r>
      <w:r w:rsidRPr="00D6412D">
        <w:rPr>
          <w:noProof/>
        </w:rPr>
        <w:t xml:space="preserve"> </w:t>
      </w:r>
      <w:r w:rsidRPr="002C26BB">
        <w:rPr>
          <w:rStyle w:val="Hyperlink"/>
          <w:noProof/>
          <w:sz w:val="24"/>
        </w:rPr>
        <w:t>http://www.fao.org/docrep/016/ap236e/ap236e.pdf</w:t>
      </w:r>
      <w:r w:rsidR="005066E1">
        <w:rPr>
          <w:rStyle w:val="Hyperlink"/>
          <w:noProof/>
          <w:sz w:val="24"/>
        </w:rPr>
        <w:t>)</w:t>
      </w:r>
      <w:r w:rsidRPr="00D6412D">
        <w:rPr>
          <w:noProof/>
        </w:rPr>
        <w:t>.</w:t>
      </w:r>
    </w:p>
    <w:p w14:paraId="0E846D1A" w14:textId="77777777" w:rsidR="00D6412D" w:rsidRPr="00D6412D" w:rsidRDefault="00D6412D" w:rsidP="005066E1">
      <w:pPr>
        <w:pStyle w:val="EndNoteBibliography"/>
        <w:rPr>
          <w:noProof/>
        </w:rPr>
      </w:pPr>
      <w:r w:rsidRPr="00D6412D">
        <w:rPr>
          <w:b/>
          <w:noProof/>
        </w:rPr>
        <w:t>Connon, R.E., Jeffries, K.M., Komoroske, L.M., Todgham, A.E.</w:t>
      </w:r>
      <w:r w:rsidR="005066E1">
        <w:rPr>
          <w:b/>
          <w:noProof/>
        </w:rPr>
        <w:t xml:space="preserve"> &amp;</w:t>
      </w:r>
      <w:r w:rsidRPr="00D6412D">
        <w:rPr>
          <w:b/>
          <w:noProof/>
        </w:rPr>
        <w:t xml:space="preserve"> Fangue, N.A.</w:t>
      </w:r>
      <w:r w:rsidRPr="00D6412D">
        <w:rPr>
          <w:noProof/>
        </w:rPr>
        <w:t xml:space="preserve"> 2018. The utility of transcriptomics in fish conservation. </w:t>
      </w:r>
      <w:r w:rsidRPr="00C02041">
        <w:rPr>
          <w:i/>
          <w:iCs/>
          <w:noProof/>
        </w:rPr>
        <w:t>J</w:t>
      </w:r>
      <w:r w:rsidR="005066E1">
        <w:rPr>
          <w:i/>
          <w:iCs/>
          <w:noProof/>
        </w:rPr>
        <w:t>.</w:t>
      </w:r>
      <w:r w:rsidRPr="00C02041">
        <w:rPr>
          <w:i/>
          <w:iCs/>
          <w:noProof/>
        </w:rPr>
        <w:t xml:space="preserve"> Exp</w:t>
      </w:r>
      <w:r w:rsidR="005066E1">
        <w:rPr>
          <w:i/>
          <w:iCs/>
          <w:noProof/>
        </w:rPr>
        <w:t>.</w:t>
      </w:r>
      <w:r w:rsidRPr="00C02041">
        <w:rPr>
          <w:i/>
          <w:iCs/>
          <w:noProof/>
        </w:rPr>
        <w:t xml:space="preserve"> Biol</w:t>
      </w:r>
      <w:r w:rsidR="005066E1">
        <w:rPr>
          <w:i/>
          <w:iCs/>
          <w:noProof/>
        </w:rPr>
        <w:t>.,</w:t>
      </w:r>
      <w:r w:rsidRPr="00D6412D">
        <w:rPr>
          <w:i/>
          <w:noProof/>
        </w:rPr>
        <w:t xml:space="preserve"> </w:t>
      </w:r>
      <w:r w:rsidRPr="00C02041">
        <w:rPr>
          <w:iCs/>
          <w:noProof/>
        </w:rPr>
        <w:t>221</w:t>
      </w:r>
      <w:r w:rsidRPr="00D6412D">
        <w:rPr>
          <w:noProof/>
        </w:rPr>
        <w:t>.</w:t>
      </w:r>
    </w:p>
    <w:p w14:paraId="095A3EE3" w14:textId="77777777" w:rsidR="00D6412D" w:rsidRPr="00D6412D" w:rsidRDefault="00D6412D" w:rsidP="005066E1">
      <w:pPr>
        <w:pStyle w:val="EndNoteBibliography"/>
        <w:rPr>
          <w:noProof/>
        </w:rPr>
      </w:pPr>
      <w:r w:rsidRPr="00D85B51">
        <w:rPr>
          <w:b/>
          <w:noProof/>
          <w:lang w:val="fr-CA"/>
        </w:rPr>
        <w:t>Contreras, J.L.</w:t>
      </w:r>
      <w:r w:rsidR="005066E1" w:rsidRPr="00D85B51">
        <w:rPr>
          <w:b/>
          <w:noProof/>
          <w:lang w:val="fr-CA"/>
        </w:rPr>
        <w:t>&amp;</w:t>
      </w:r>
      <w:r w:rsidRPr="00D85B51">
        <w:rPr>
          <w:b/>
          <w:noProof/>
          <w:lang w:val="fr-CA"/>
        </w:rPr>
        <w:t xml:space="preserve"> Deshmukh, V.G.</w:t>
      </w:r>
      <w:r w:rsidRPr="00D85B51">
        <w:rPr>
          <w:noProof/>
          <w:lang w:val="fr-CA"/>
        </w:rPr>
        <w:t xml:space="preserve"> 2017. </w:t>
      </w:r>
      <w:r w:rsidRPr="00D6412D">
        <w:rPr>
          <w:noProof/>
        </w:rPr>
        <w:t xml:space="preserve">Development of the personal genomics industry. In </w:t>
      </w:r>
      <w:r w:rsidRPr="00C02041">
        <w:rPr>
          <w:i/>
          <w:iCs/>
          <w:noProof/>
        </w:rPr>
        <w:t xml:space="preserve">Genetics, </w:t>
      </w:r>
      <w:r w:rsidR="005066E1" w:rsidRPr="00C02041">
        <w:rPr>
          <w:i/>
          <w:iCs/>
          <w:noProof/>
        </w:rPr>
        <w:t xml:space="preserve">ethics </w:t>
      </w:r>
      <w:r w:rsidRPr="00C02041">
        <w:rPr>
          <w:i/>
          <w:iCs/>
          <w:noProof/>
        </w:rPr>
        <w:t xml:space="preserve">and </w:t>
      </w:r>
      <w:r w:rsidR="005066E1" w:rsidRPr="00C02041">
        <w:rPr>
          <w:i/>
          <w:iCs/>
          <w:noProof/>
        </w:rPr>
        <w:t>education</w:t>
      </w:r>
      <w:r w:rsidRPr="00D6412D">
        <w:rPr>
          <w:noProof/>
        </w:rPr>
        <w:t>, S.</w:t>
      </w:r>
      <w:r w:rsidR="005066E1">
        <w:rPr>
          <w:noProof/>
        </w:rPr>
        <w:t>E</w:t>
      </w:r>
      <w:r w:rsidRPr="00D6412D">
        <w:rPr>
          <w:noProof/>
        </w:rPr>
        <w:t>.</w:t>
      </w:r>
      <w:r w:rsidR="005066E1">
        <w:rPr>
          <w:noProof/>
        </w:rPr>
        <w:t>A</w:t>
      </w:r>
      <w:r w:rsidRPr="00D6412D">
        <w:rPr>
          <w:noProof/>
        </w:rPr>
        <w:t>. Bouregy, ed. Cambridge University Press.</w:t>
      </w:r>
    </w:p>
    <w:p w14:paraId="662B4608" w14:textId="77777777" w:rsidR="00D6412D" w:rsidRPr="00D6412D" w:rsidRDefault="00D6412D" w:rsidP="005066E1">
      <w:pPr>
        <w:pStyle w:val="EndNoteBibliography"/>
        <w:rPr>
          <w:noProof/>
        </w:rPr>
      </w:pPr>
      <w:r w:rsidRPr="00D6412D">
        <w:rPr>
          <w:b/>
          <w:noProof/>
        </w:rPr>
        <w:t>Costa, F.F.</w:t>
      </w:r>
      <w:r w:rsidRPr="00D6412D">
        <w:rPr>
          <w:noProof/>
        </w:rPr>
        <w:t xml:space="preserve"> 2014. Big data in biomedicine. </w:t>
      </w:r>
      <w:r w:rsidRPr="00C02041">
        <w:rPr>
          <w:i/>
          <w:iCs/>
          <w:noProof/>
        </w:rPr>
        <w:t>Drug Dis</w:t>
      </w:r>
      <w:r w:rsidR="005066E1">
        <w:rPr>
          <w:i/>
          <w:iCs/>
          <w:noProof/>
        </w:rPr>
        <w:t>.</w:t>
      </w:r>
      <w:r w:rsidRPr="00C02041">
        <w:rPr>
          <w:i/>
          <w:iCs/>
          <w:noProof/>
        </w:rPr>
        <w:t xml:space="preserve"> Today</w:t>
      </w:r>
      <w:r w:rsidR="005066E1">
        <w:rPr>
          <w:i/>
          <w:iCs/>
          <w:noProof/>
        </w:rPr>
        <w:t>,</w:t>
      </w:r>
      <w:r w:rsidRPr="00381F8F">
        <w:rPr>
          <w:i/>
          <w:iCs/>
          <w:noProof/>
        </w:rPr>
        <w:t xml:space="preserve"> </w:t>
      </w:r>
      <w:r w:rsidRPr="00C02041">
        <w:rPr>
          <w:iCs/>
          <w:noProof/>
        </w:rPr>
        <w:t>19</w:t>
      </w:r>
      <w:r w:rsidR="005066E1">
        <w:rPr>
          <w:noProof/>
        </w:rPr>
        <w:t>:</w:t>
      </w:r>
      <w:r w:rsidRPr="00D6412D">
        <w:rPr>
          <w:noProof/>
        </w:rPr>
        <w:t xml:space="preserve"> 433</w:t>
      </w:r>
      <w:r w:rsidR="005066E1">
        <w:rPr>
          <w:noProof/>
        </w:rPr>
        <w:t>–</w:t>
      </w:r>
      <w:r w:rsidRPr="00D6412D">
        <w:rPr>
          <w:noProof/>
        </w:rPr>
        <w:t>440.</w:t>
      </w:r>
    </w:p>
    <w:p w14:paraId="252A8A42" w14:textId="77777777" w:rsidR="00D6412D" w:rsidRPr="00C02041" w:rsidRDefault="00D6412D" w:rsidP="005066E1">
      <w:pPr>
        <w:pStyle w:val="EndNoteBibliography"/>
        <w:rPr>
          <w:noProof/>
          <w:lang w:val="es-ES"/>
        </w:rPr>
      </w:pPr>
      <w:r w:rsidRPr="00D6412D">
        <w:rPr>
          <w:b/>
          <w:noProof/>
        </w:rPr>
        <w:t>Couceiro, L., Maneiro, I., Ruiz, J.M.</w:t>
      </w:r>
      <w:r w:rsidR="005066E1">
        <w:rPr>
          <w:b/>
          <w:noProof/>
        </w:rPr>
        <w:t xml:space="preserve"> &amp;</w:t>
      </w:r>
      <w:r w:rsidRPr="00D6412D">
        <w:rPr>
          <w:b/>
          <w:noProof/>
        </w:rPr>
        <w:t xml:space="preserve"> Barreiro, R.</w:t>
      </w:r>
      <w:r w:rsidRPr="00D6412D">
        <w:rPr>
          <w:noProof/>
        </w:rPr>
        <w:t xml:space="preserve"> 2011. Mulitscale genetic structure of an endangered seaweed Ahnfeltiopsis pusilla (Rhodophyta): implications for its conservation.</w:t>
      </w:r>
      <w:r w:rsidRPr="00C02041">
        <w:rPr>
          <w:i/>
          <w:iCs/>
          <w:noProof/>
        </w:rPr>
        <w:t xml:space="preserve"> </w:t>
      </w:r>
      <w:r w:rsidRPr="00C02041">
        <w:rPr>
          <w:i/>
          <w:iCs/>
          <w:noProof/>
          <w:lang w:val="es-ES"/>
        </w:rPr>
        <w:t>J</w:t>
      </w:r>
      <w:r w:rsidR="005066E1">
        <w:rPr>
          <w:i/>
          <w:iCs/>
          <w:noProof/>
          <w:lang w:val="es-ES"/>
        </w:rPr>
        <w:t>.</w:t>
      </w:r>
      <w:r w:rsidRPr="00C02041">
        <w:rPr>
          <w:i/>
          <w:iCs/>
          <w:noProof/>
          <w:lang w:val="es-ES"/>
        </w:rPr>
        <w:t xml:space="preserve"> Phytol</w:t>
      </w:r>
      <w:r w:rsidR="005066E1">
        <w:rPr>
          <w:i/>
          <w:iCs/>
          <w:noProof/>
          <w:lang w:val="es-ES"/>
        </w:rPr>
        <w:t>.,</w:t>
      </w:r>
      <w:r w:rsidRPr="00C02041">
        <w:rPr>
          <w:i/>
          <w:noProof/>
          <w:lang w:val="es-ES"/>
        </w:rPr>
        <w:t xml:space="preserve"> </w:t>
      </w:r>
      <w:r w:rsidRPr="00C02041">
        <w:rPr>
          <w:iCs/>
          <w:noProof/>
          <w:lang w:val="es-ES"/>
        </w:rPr>
        <w:t>47</w:t>
      </w:r>
      <w:r w:rsidR="005066E1">
        <w:rPr>
          <w:noProof/>
          <w:lang w:val="es-ES"/>
        </w:rPr>
        <w:t>:</w:t>
      </w:r>
      <w:r w:rsidRPr="00C02041">
        <w:rPr>
          <w:noProof/>
          <w:lang w:val="es-ES"/>
        </w:rPr>
        <w:t xml:space="preserve"> 259</w:t>
      </w:r>
      <w:r w:rsidR="005066E1">
        <w:rPr>
          <w:noProof/>
          <w:lang w:val="es-ES"/>
        </w:rPr>
        <w:t>–</w:t>
      </w:r>
      <w:r w:rsidRPr="00C02041">
        <w:rPr>
          <w:noProof/>
          <w:lang w:val="es-ES"/>
        </w:rPr>
        <w:t>268.</w:t>
      </w:r>
    </w:p>
    <w:p w14:paraId="6C06C849" w14:textId="77777777" w:rsidR="00D6412D" w:rsidRPr="00C02041" w:rsidRDefault="00D6412D" w:rsidP="005066E1">
      <w:pPr>
        <w:pStyle w:val="EndNoteBibliography"/>
        <w:rPr>
          <w:noProof/>
          <w:lang w:val="en-US"/>
        </w:rPr>
      </w:pPr>
      <w:r w:rsidRPr="00C02041">
        <w:rPr>
          <w:b/>
          <w:noProof/>
          <w:lang w:val="es-ES"/>
        </w:rPr>
        <w:t>Crossa, J., Pérez-Rodríguez, P., Cuevas, J., Montesinos-López, O., Jarquín, D., de los Campos, G., Burgueño, J., González-Camacho, J.M., Pérez-Elizalde, S., Beyene, Y.</w:t>
      </w:r>
      <w:r w:rsidRPr="00C02041">
        <w:rPr>
          <w:b/>
          <w:i/>
          <w:noProof/>
          <w:lang w:val="es-ES"/>
        </w:rPr>
        <w:t>, et al.</w:t>
      </w:r>
      <w:r w:rsidRPr="00C02041">
        <w:rPr>
          <w:noProof/>
          <w:lang w:val="es-ES"/>
        </w:rPr>
        <w:t xml:space="preserve"> </w:t>
      </w:r>
      <w:r w:rsidRPr="00C02041">
        <w:rPr>
          <w:noProof/>
          <w:lang w:val="es-ES"/>
        </w:rPr>
        <w:lastRenderedPageBreak/>
        <w:t xml:space="preserve">2017. </w:t>
      </w:r>
      <w:r w:rsidRPr="00D6412D">
        <w:rPr>
          <w:noProof/>
        </w:rPr>
        <w:t xml:space="preserve">Genomic selection in plant breeding: methods, models, and perspectives. </w:t>
      </w:r>
      <w:r w:rsidRPr="00C02041">
        <w:rPr>
          <w:i/>
          <w:iCs/>
          <w:noProof/>
        </w:rPr>
        <w:t>Trend Pl</w:t>
      </w:r>
      <w:r w:rsidR="005066E1">
        <w:rPr>
          <w:i/>
          <w:iCs/>
          <w:noProof/>
        </w:rPr>
        <w:t>.</w:t>
      </w:r>
      <w:r w:rsidRPr="00C02041">
        <w:rPr>
          <w:i/>
          <w:iCs/>
          <w:noProof/>
        </w:rPr>
        <w:t xml:space="preserve"> Sci</w:t>
      </w:r>
      <w:r w:rsidR="005066E1">
        <w:rPr>
          <w:i/>
          <w:iCs/>
          <w:noProof/>
        </w:rPr>
        <w:t>.,</w:t>
      </w:r>
      <w:r w:rsidRPr="00D6412D">
        <w:rPr>
          <w:i/>
          <w:noProof/>
        </w:rPr>
        <w:t xml:space="preserve"> </w:t>
      </w:r>
      <w:r w:rsidRPr="00C02041">
        <w:rPr>
          <w:iCs/>
          <w:noProof/>
        </w:rPr>
        <w:t>22</w:t>
      </w:r>
      <w:r w:rsidR="005066E1">
        <w:rPr>
          <w:noProof/>
        </w:rPr>
        <w:t>:</w:t>
      </w:r>
      <w:r w:rsidRPr="00D6412D">
        <w:rPr>
          <w:noProof/>
        </w:rPr>
        <w:t xml:space="preserve"> 961</w:t>
      </w:r>
      <w:r w:rsidR="005066E1">
        <w:rPr>
          <w:noProof/>
        </w:rPr>
        <w:t>–</w:t>
      </w:r>
      <w:r w:rsidRPr="00D6412D">
        <w:rPr>
          <w:noProof/>
        </w:rPr>
        <w:t>975.</w:t>
      </w:r>
    </w:p>
    <w:p w14:paraId="5B3E8F34" w14:textId="77777777" w:rsidR="00D6412D" w:rsidRPr="00C02041" w:rsidRDefault="00D6412D" w:rsidP="005066E1">
      <w:pPr>
        <w:pStyle w:val="EndNoteBibliography"/>
        <w:rPr>
          <w:noProof/>
          <w:lang w:val="es-ES"/>
        </w:rPr>
      </w:pPr>
      <w:r w:rsidRPr="00C02041">
        <w:rPr>
          <w:b/>
          <w:noProof/>
          <w:lang w:val="it-IT"/>
        </w:rPr>
        <w:t>De Luca, D., Cennamo, P., Del Guacchio, E., Di Novella, R.</w:t>
      </w:r>
      <w:r w:rsidR="005066E1">
        <w:rPr>
          <w:b/>
          <w:noProof/>
          <w:lang w:val="it-IT"/>
        </w:rPr>
        <w:t xml:space="preserve"> </w:t>
      </w:r>
      <w:r w:rsidR="005066E1" w:rsidRPr="0012061B">
        <w:rPr>
          <w:b/>
          <w:noProof/>
          <w:lang w:val="es-AR"/>
        </w:rPr>
        <w:t>&amp;</w:t>
      </w:r>
      <w:r w:rsidRPr="0012061B">
        <w:rPr>
          <w:b/>
          <w:noProof/>
          <w:lang w:val="es-AR"/>
        </w:rPr>
        <w:t xml:space="preserve"> Caputo, P.</w:t>
      </w:r>
      <w:r w:rsidRPr="0012061B">
        <w:rPr>
          <w:noProof/>
          <w:lang w:val="es-AR"/>
        </w:rPr>
        <w:t xml:space="preserve"> 2017. </w:t>
      </w:r>
      <w:r w:rsidRPr="00D6412D">
        <w:rPr>
          <w:noProof/>
        </w:rPr>
        <w:t xml:space="preserve">Conservation and genetic characterisation of common bean landraces from Cilento region (southern Italy): high di erentiation in spite of low genetic diversity. </w:t>
      </w:r>
      <w:r w:rsidRPr="00C02041">
        <w:rPr>
          <w:i/>
          <w:iCs/>
          <w:noProof/>
          <w:lang w:val="es-ES"/>
        </w:rPr>
        <w:t>Genetica</w:t>
      </w:r>
      <w:r w:rsidR="005066E1">
        <w:rPr>
          <w:i/>
          <w:iCs/>
          <w:noProof/>
          <w:lang w:val="es-ES"/>
        </w:rPr>
        <w:t>,</w:t>
      </w:r>
      <w:r w:rsidRPr="00C02041">
        <w:rPr>
          <w:i/>
          <w:iCs/>
          <w:noProof/>
          <w:lang w:val="es-ES"/>
        </w:rPr>
        <w:t xml:space="preserve"> </w:t>
      </w:r>
      <w:r w:rsidRPr="00C02041">
        <w:rPr>
          <w:iCs/>
          <w:noProof/>
          <w:lang w:val="es-ES"/>
        </w:rPr>
        <w:t>146</w:t>
      </w:r>
      <w:r w:rsidR="005066E1">
        <w:rPr>
          <w:noProof/>
          <w:lang w:val="es-ES"/>
        </w:rPr>
        <w:t>:</w:t>
      </w:r>
      <w:r w:rsidRPr="00C02041">
        <w:rPr>
          <w:noProof/>
          <w:lang w:val="es-ES"/>
        </w:rPr>
        <w:t xml:space="preserve"> 29</w:t>
      </w:r>
      <w:r w:rsidR="005066E1">
        <w:rPr>
          <w:noProof/>
          <w:lang w:val="es-ES"/>
        </w:rPr>
        <w:t>–</w:t>
      </w:r>
      <w:r w:rsidRPr="00C02041">
        <w:rPr>
          <w:noProof/>
          <w:lang w:val="es-ES"/>
        </w:rPr>
        <w:t>44.</w:t>
      </w:r>
    </w:p>
    <w:p w14:paraId="0A08B34F" w14:textId="77777777" w:rsidR="00D6412D" w:rsidRPr="00C02041" w:rsidRDefault="00D6412D" w:rsidP="005066E1">
      <w:pPr>
        <w:pStyle w:val="EndNoteBibliography"/>
        <w:rPr>
          <w:noProof/>
          <w:lang w:val="it-IT"/>
        </w:rPr>
      </w:pPr>
      <w:r w:rsidRPr="00C02041">
        <w:rPr>
          <w:b/>
          <w:noProof/>
          <w:lang w:val="es-ES"/>
        </w:rPr>
        <w:t>de Tarso, S.G.S., Oliveira, D.</w:t>
      </w:r>
      <w:r w:rsidR="005066E1">
        <w:rPr>
          <w:b/>
          <w:noProof/>
          <w:lang w:val="es-ES"/>
        </w:rPr>
        <w:t xml:space="preserve"> &amp;</w:t>
      </w:r>
      <w:r w:rsidRPr="00C02041">
        <w:rPr>
          <w:b/>
          <w:noProof/>
          <w:lang w:val="es-ES"/>
        </w:rPr>
        <w:t xml:space="preserve"> Afonso, J.A.B.</w:t>
      </w:r>
      <w:r w:rsidRPr="00C02041">
        <w:rPr>
          <w:noProof/>
          <w:lang w:val="es-ES"/>
        </w:rPr>
        <w:t xml:space="preserve"> 2016. </w:t>
      </w:r>
      <w:r w:rsidRPr="00D6412D">
        <w:rPr>
          <w:noProof/>
        </w:rPr>
        <w:t xml:space="preserve">Ruminants as part of the global food system: how evolutionary adaptations and diversity of the digestive system brought them to the future. </w:t>
      </w:r>
      <w:r w:rsidRPr="00C02041">
        <w:rPr>
          <w:i/>
          <w:iCs/>
          <w:noProof/>
          <w:lang w:val="it-IT"/>
        </w:rPr>
        <w:t>J</w:t>
      </w:r>
      <w:r w:rsidR="005066E1">
        <w:rPr>
          <w:i/>
          <w:iCs/>
          <w:noProof/>
          <w:lang w:val="it-IT"/>
        </w:rPr>
        <w:t>.</w:t>
      </w:r>
      <w:r w:rsidRPr="00C02041">
        <w:rPr>
          <w:i/>
          <w:iCs/>
          <w:noProof/>
          <w:lang w:val="it-IT"/>
        </w:rPr>
        <w:t xml:space="preserve"> Dairy Vet</w:t>
      </w:r>
      <w:r w:rsidR="005066E1">
        <w:rPr>
          <w:i/>
          <w:iCs/>
          <w:noProof/>
          <w:lang w:val="it-IT"/>
        </w:rPr>
        <w:t>.</w:t>
      </w:r>
      <w:r w:rsidRPr="00C02041">
        <w:rPr>
          <w:i/>
          <w:iCs/>
          <w:noProof/>
          <w:lang w:val="it-IT"/>
        </w:rPr>
        <w:t xml:space="preserve"> Anim</w:t>
      </w:r>
      <w:r w:rsidR="005066E1">
        <w:rPr>
          <w:i/>
          <w:iCs/>
          <w:noProof/>
          <w:lang w:val="it-IT"/>
        </w:rPr>
        <w:t>.</w:t>
      </w:r>
      <w:r w:rsidRPr="00C02041">
        <w:rPr>
          <w:i/>
          <w:iCs/>
          <w:noProof/>
          <w:lang w:val="it-IT"/>
        </w:rPr>
        <w:t xml:space="preserve"> Res</w:t>
      </w:r>
      <w:r w:rsidR="005066E1">
        <w:rPr>
          <w:i/>
          <w:iCs/>
          <w:noProof/>
          <w:lang w:val="it-IT"/>
        </w:rPr>
        <w:t>.,</w:t>
      </w:r>
      <w:r w:rsidRPr="00C02041">
        <w:rPr>
          <w:i/>
          <w:noProof/>
          <w:lang w:val="it-IT"/>
        </w:rPr>
        <w:t xml:space="preserve"> </w:t>
      </w:r>
      <w:r w:rsidRPr="00C02041">
        <w:rPr>
          <w:iCs/>
          <w:noProof/>
          <w:lang w:val="it-IT"/>
        </w:rPr>
        <w:t>3</w:t>
      </w:r>
      <w:r w:rsidR="005066E1">
        <w:rPr>
          <w:noProof/>
          <w:lang w:val="it-IT"/>
        </w:rPr>
        <w:t>:</w:t>
      </w:r>
      <w:r w:rsidRPr="00C02041">
        <w:rPr>
          <w:noProof/>
          <w:lang w:val="it-IT"/>
        </w:rPr>
        <w:t xml:space="preserve"> 00094.</w:t>
      </w:r>
    </w:p>
    <w:p w14:paraId="0AD38304" w14:textId="77777777" w:rsidR="00D6412D" w:rsidRPr="00D6412D" w:rsidRDefault="00D6412D" w:rsidP="005066E1">
      <w:pPr>
        <w:pStyle w:val="EndNoteBibliography"/>
        <w:rPr>
          <w:noProof/>
        </w:rPr>
      </w:pPr>
      <w:r w:rsidRPr="00C02041">
        <w:rPr>
          <w:b/>
          <w:noProof/>
          <w:lang w:val="it-IT"/>
        </w:rPr>
        <w:t>Di Pinto, A., Marchetti, P., Mottola, A., Bozzo, G., Bonerba, E., Ceci, E., Bottaro, M.</w:t>
      </w:r>
      <w:r w:rsidR="005066E1">
        <w:rPr>
          <w:b/>
          <w:noProof/>
          <w:lang w:val="it-IT"/>
        </w:rPr>
        <w:t xml:space="preserve"> </w:t>
      </w:r>
      <w:r w:rsidR="005066E1" w:rsidRPr="00C02041">
        <w:rPr>
          <w:b/>
          <w:noProof/>
          <w:lang w:val="en-US"/>
        </w:rPr>
        <w:t>&amp;</w:t>
      </w:r>
      <w:r w:rsidRPr="00C02041">
        <w:rPr>
          <w:b/>
          <w:noProof/>
          <w:lang w:val="en-US"/>
        </w:rPr>
        <w:t xml:space="preserve"> Tantillo, G.</w:t>
      </w:r>
      <w:r w:rsidRPr="00C02041">
        <w:rPr>
          <w:noProof/>
          <w:lang w:val="en-US"/>
        </w:rPr>
        <w:t xml:space="preserve"> 2015. Species identif</w:t>
      </w:r>
      <w:r w:rsidRPr="00D6412D">
        <w:rPr>
          <w:noProof/>
        </w:rPr>
        <w:t xml:space="preserve">ication in fish fillet products using DNA barcoding. </w:t>
      </w:r>
      <w:r w:rsidRPr="00C02041">
        <w:rPr>
          <w:i/>
          <w:iCs/>
          <w:noProof/>
        </w:rPr>
        <w:t>Fish Res</w:t>
      </w:r>
      <w:r w:rsidR="005066E1">
        <w:rPr>
          <w:i/>
          <w:noProof/>
        </w:rPr>
        <w:t>.,</w:t>
      </w:r>
      <w:r w:rsidRPr="00D6412D">
        <w:rPr>
          <w:i/>
          <w:noProof/>
        </w:rPr>
        <w:t xml:space="preserve"> </w:t>
      </w:r>
      <w:r w:rsidRPr="00C02041">
        <w:rPr>
          <w:iCs/>
          <w:noProof/>
        </w:rPr>
        <w:t>170</w:t>
      </w:r>
      <w:r w:rsidR="005066E1">
        <w:rPr>
          <w:noProof/>
        </w:rPr>
        <w:t>:</w:t>
      </w:r>
      <w:r w:rsidRPr="00D6412D">
        <w:rPr>
          <w:noProof/>
        </w:rPr>
        <w:t xml:space="preserve"> 9</w:t>
      </w:r>
      <w:r w:rsidR="005066E1">
        <w:rPr>
          <w:noProof/>
        </w:rPr>
        <w:t>–</w:t>
      </w:r>
      <w:r w:rsidRPr="00D6412D">
        <w:rPr>
          <w:noProof/>
        </w:rPr>
        <w:t>13.</w:t>
      </w:r>
    </w:p>
    <w:p w14:paraId="6F55F576" w14:textId="77777777" w:rsidR="00D6412D" w:rsidRPr="00D6412D" w:rsidRDefault="00D6412D" w:rsidP="005066E1">
      <w:pPr>
        <w:pStyle w:val="EndNoteBibliography"/>
        <w:rPr>
          <w:noProof/>
        </w:rPr>
      </w:pPr>
      <w:r w:rsidRPr="00D6412D">
        <w:rPr>
          <w:b/>
          <w:noProof/>
        </w:rPr>
        <w:t>DiEuliis, D., Johnson, K.R., Morse, S.S.</w:t>
      </w:r>
      <w:r w:rsidR="005066E1">
        <w:rPr>
          <w:b/>
          <w:noProof/>
        </w:rPr>
        <w:t xml:space="preserve"> &amp;</w:t>
      </w:r>
      <w:r w:rsidRPr="00D6412D">
        <w:rPr>
          <w:b/>
          <w:noProof/>
        </w:rPr>
        <w:t xml:space="preserve"> Schindel, D.E.</w:t>
      </w:r>
      <w:r w:rsidRPr="00D6412D">
        <w:rPr>
          <w:noProof/>
        </w:rPr>
        <w:t xml:space="preserve"> 2016. Specimen collections should have a much bigger role in infectious disease research and response. </w:t>
      </w:r>
      <w:r w:rsidRPr="00C02041">
        <w:rPr>
          <w:i/>
          <w:iCs/>
          <w:noProof/>
        </w:rPr>
        <w:t>Proc</w:t>
      </w:r>
      <w:r w:rsidR="005066E1">
        <w:rPr>
          <w:i/>
          <w:iCs/>
          <w:noProof/>
        </w:rPr>
        <w:t>.</w:t>
      </w:r>
      <w:r w:rsidRPr="00C02041">
        <w:rPr>
          <w:i/>
          <w:iCs/>
          <w:noProof/>
        </w:rPr>
        <w:t xml:space="preserve"> Natl</w:t>
      </w:r>
      <w:r w:rsidR="005066E1">
        <w:rPr>
          <w:i/>
          <w:iCs/>
          <w:noProof/>
        </w:rPr>
        <w:t>.</w:t>
      </w:r>
      <w:r w:rsidRPr="00C02041">
        <w:rPr>
          <w:i/>
          <w:iCs/>
          <w:noProof/>
        </w:rPr>
        <w:t xml:space="preserve"> Acad</w:t>
      </w:r>
      <w:r w:rsidR="005066E1">
        <w:rPr>
          <w:i/>
          <w:iCs/>
          <w:noProof/>
        </w:rPr>
        <w:t>.</w:t>
      </w:r>
      <w:r w:rsidRPr="00C02041">
        <w:rPr>
          <w:i/>
          <w:iCs/>
          <w:noProof/>
        </w:rPr>
        <w:t xml:space="preserve"> Sci</w:t>
      </w:r>
      <w:r w:rsidR="005066E1">
        <w:rPr>
          <w:i/>
          <w:iCs/>
          <w:noProof/>
        </w:rPr>
        <w:t>.</w:t>
      </w:r>
      <w:r w:rsidRPr="00C02041">
        <w:rPr>
          <w:i/>
          <w:iCs/>
          <w:noProof/>
        </w:rPr>
        <w:t xml:space="preserve"> USA</w:t>
      </w:r>
      <w:r w:rsidR="005066E1">
        <w:rPr>
          <w:i/>
          <w:iCs/>
          <w:noProof/>
        </w:rPr>
        <w:t>.,</w:t>
      </w:r>
      <w:r w:rsidRPr="00D6412D">
        <w:rPr>
          <w:i/>
          <w:noProof/>
        </w:rPr>
        <w:t xml:space="preserve"> </w:t>
      </w:r>
      <w:r w:rsidRPr="00C02041">
        <w:rPr>
          <w:iCs/>
          <w:noProof/>
        </w:rPr>
        <w:t>113</w:t>
      </w:r>
      <w:r w:rsidR="005066E1">
        <w:rPr>
          <w:noProof/>
        </w:rPr>
        <w:t>:</w:t>
      </w:r>
      <w:r w:rsidRPr="00D6412D">
        <w:rPr>
          <w:noProof/>
        </w:rPr>
        <w:t xml:space="preserve"> 4</w:t>
      </w:r>
      <w:r w:rsidR="005066E1">
        <w:rPr>
          <w:noProof/>
        </w:rPr>
        <w:t>–</w:t>
      </w:r>
      <w:r w:rsidRPr="00D6412D">
        <w:rPr>
          <w:noProof/>
        </w:rPr>
        <w:t>7.</w:t>
      </w:r>
    </w:p>
    <w:p w14:paraId="4FB694DF" w14:textId="77777777" w:rsidR="00D6412D" w:rsidRPr="00D6412D" w:rsidRDefault="00D6412D" w:rsidP="005066E1">
      <w:pPr>
        <w:pStyle w:val="EndNoteBibliography"/>
        <w:rPr>
          <w:noProof/>
        </w:rPr>
      </w:pPr>
      <w:r w:rsidRPr="00D6412D">
        <w:rPr>
          <w:b/>
          <w:noProof/>
        </w:rPr>
        <w:t>Dillon, P., Choi, G.</w:t>
      </w:r>
      <w:r w:rsidR="005066E1">
        <w:rPr>
          <w:b/>
          <w:noProof/>
        </w:rPr>
        <w:t xml:space="preserve"> &amp;</w:t>
      </w:r>
      <w:r w:rsidRPr="00D6412D">
        <w:rPr>
          <w:b/>
          <w:noProof/>
        </w:rPr>
        <w:t xml:space="preserve"> Welch, R.</w:t>
      </w:r>
      <w:r w:rsidRPr="00D6412D">
        <w:rPr>
          <w:noProof/>
        </w:rPr>
        <w:t xml:space="preserve"> 2004. </w:t>
      </w:r>
      <w:r w:rsidRPr="00C02041">
        <w:rPr>
          <w:i/>
          <w:iCs/>
          <w:noProof/>
        </w:rPr>
        <w:t>Nucleotide sequence of Escherichia coli pathogenicity islands</w:t>
      </w:r>
      <w:r w:rsidR="005066E1">
        <w:rPr>
          <w:noProof/>
        </w:rPr>
        <w:t xml:space="preserve"> (</w:t>
      </w:r>
      <w:r w:rsidR="005066E1" w:rsidRPr="005066E1">
        <w:rPr>
          <w:noProof/>
        </w:rPr>
        <w:t>available at</w:t>
      </w:r>
      <w:r w:rsidRPr="00D6412D">
        <w:rPr>
          <w:noProof/>
        </w:rPr>
        <w:t xml:space="preserve"> </w:t>
      </w:r>
      <w:r w:rsidRPr="002C26BB">
        <w:rPr>
          <w:rStyle w:val="Hyperlink"/>
          <w:noProof/>
          <w:sz w:val="24"/>
        </w:rPr>
        <w:t>https://www.google.com/patents/US6787643</w:t>
      </w:r>
      <w:r w:rsidR="005066E1">
        <w:rPr>
          <w:rStyle w:val="Hyperlink"/>
          <w:noProof/>
          <w:sz w:val="24"/>
        </w:rPr>
        <w:t>)</w:t>
      </w:r>
      <w:r w:rsidRPr="00D6412D">
        <w:rPr>
          <w:noProof/>
        </w:rPr>
        <w:t>.</w:t>
      </w:r>
    </w:p>
    <w:p w14:paraId="2A7A0328" w14:textId="77777777" w:rsidR="00D6412D" w:rsidRPr="00D6412D" w:rsidRDefault="00D6412D" w:rsidP="00D6412D">
      <w:pPr>
        <w:pStyle w:val="EndNoteBibliography"/>
        <w:rPr>
          <w:noProof/>
        </w:rPr>
      </w:pPr>
      <w:r w:rsidRPr="00D6412D">
        <w:rPr>
          <w:b/>
          <w:noProof/>
        </w:rPr>
        <w:t>Donner, A.</w:t>
      </w:r>
      <w:r w:rsidRPr="00D6412D">
        <w:rPr>
          <w:noProof/>
        </w:rPr>
        <w:t xml:space="preserve"> 2013. Synthetic influenza seeds.</w:t>
      </w:r>
      <w:r w:rsidRPr="00C02041">
        <w:rPr>
          <w:i/>
          <w:iCs/>
          <w:noProof/>
        </w:rPr>
        <w:t xml:space="preserve"> SciBX, </w:t>
      </w:r>
      <w:r w:rsidRPr="00D6412D">
        <w:rPr>
          <w:noProof/>
        </w:rPr>
        <w:t>509.</w:t>
      </w:r>
    </w:p>
    <w:p w14:paraId="25D7EEB3" w14:textId="77777777" w:rsidR="00D6412D" w:rsidRPr="00D6412D" w:rsidRDefault="00D6412D" w:rsidP="005066E1">
      <w:pPr>
        <w:pStyle w:val="EndNoteBibliography"/>
        <w:rPr>
          <w:noProof/>
        </w:rPr>
      </w:pPr>
      <w:r w:rsidRPr="00D6412D">
        <w:rPr>
          <w:b/>
          <w:noProof/>
        </w:rPr>
        <w:t>Edgar, R.S.</w:t>
      </w:r>
      <w:r w:rsidR="005066E1">
        <w:rPr>
          <w:b/>
          <w:noProof/>
        </w:rPr>
        <w:t xml:space="preserve"> &amp;</w:t>
      </w:r>
      <w:r w:rsidRPr="00D6412D">
        <w:rPr>
          <w:b/>
          <w:noProof/>
        </w:rPr>
        <w:t xml:space="preserve"> Wood, W.B.</w:t>
      </w:r>
      <w:r w:rsidRPr="00D6412D">
        <w:rPr>
          <w:noProof/>
        </w:rPr>
        <w:t xml:space="preserve"> 1966. Morphogenesis of bacteriophage T4 in extracts of mutant-infected cells. </w:t>
      </w:r>
      <w:r w:rsidRPr="00C02041">
        <w:rPr>
          <w:i/>
          <w:iCs/>
          <w:noProof/>
        </w:rPr>
        <w:t>Proc</w:t>
      </w:r>
      <w:r w:rsidR="005066E1">
        <w:rPr>
          <w:i/>
          <w:iCs/>
          <w:noProof/>
        </w:rPr>
        <w:t>.</w:t>
      </w:r>
      <w:r w:rsidRPr="00C02041">
        <w:rPr>
          <w:i/>
          <w:iCs/>
          <w:noProof/>
        </w:rPr>
        <w:t xml:space="preserve"> Natl</w:t>
      </w:r>
      <w:r w:rsidR="005066E1">
        <w:rPr>
          <w:i/>
          <w:iCs/>
          <w:noProof/>
        </w:rPr>
        <w:t>.</w:t>
      </w:r>
      <w:r w:rsidRPr="00C02041">
        <w:rPr>
          <w:i/>
          <w:iCs/>
          <w:noProof/>
        </w:rPr>
        <w:t xml:space="preserve"> Acad</w:t>
      </w:r>
      <w:r w:rsidR="005066E1">
        <w:rPr>
          <w:i/>
          <w:iCs/>
          <w:noProof/>
        </w:rPr>
        <w:t>.</w:t>
      </w:r>
      <w:r w:rsidRPr="00C02041">
        <w:rPr>
          <w:i/>
          <w:iCs/>
          <w:noProof/>
        </w:rPr>
        <w:t xml:space="preserve"> Sci</w:t>
      </w:r>
      <w:r w:rsidR="005066E1">
        <w:rPr>
          <w:i/>
          <w:iCs/>
          <w:noProof/>
        </w:rPr>
        <w:t>.</w:t>
      </w:r>
      <w:r w:rsidRPr="00C02041">
        <w:rPr>
          <w:i/>
          <w:iCs/>
          <w:noProof/>
        </w:rPr>
        <w:t xml:space="preserve"> USA</w:t>
      </w:r>
      <w:r w:rsidR="005066E1">
        <w:rPr>
          <w:i/>
          <w:noProof/>
        </w:rPr>
        <w:t>.</w:t>
      </w:r>
      <w:r w:rsidRPr="00D6412D">
        <w:rPr>
          <w:i/>
          <w:noProof/>
        </w:rPr>
        <w:t xml:space="preserve"> </w:t>
      </w:r>
      <w:r w:rsidRPr="00C02041">
        <w:rPr>
          <w:iCs/>
          <w:noProof/>
        </w:rPr>
        <w:t>55</w:t>
      </w:r>
      <w:r w:rsidR="005066E1">
        <w:rPr>
          <w:noProof/>
        </w:rPr>
        <w:t>:</w:t>
      </w:r>
      <w:r w:rsidRPr="00D6412D">
        <w:rPr>
          <w:noProof/>
        </w:rPr>
        <w:t xml:space="preserve"> 498</w:t>
      </w:r>
      <w:r w:rsidR="005066E1">
        <w:rPr>
          <w:noProof/>
        </w:rPr>
        <w:t>–</w:t>
      </w:r>
      <w:r w:rsidRPr="00D6412D">
        <w:rPr>
          <w:noProof/>
        </w:rPr>
        <w:t>505.</w:t>
      </w:r>
    </w:p>
    <w:p w14:paraId="67ED0258" w14:textId="77777777" w:rsidR="00D6412D" w:rsidRPr="00D6412D" w:rsidRDefault="00D6412D" w:rsidP="005066E1">
      <w:pPr>
        <w:pStyle w:val="EndNoteBibliography"/>
        <w:rPr>
          <w:noProof/>
        </w:rPr>
      </w:pPr>
      <w:r w:rsidRPr="00D6412D">
        <w:rPr>
          <w:b/>
          <w:noProof/>
        </w:rPr>
        <w:t>Editor</w:t>
      </w:r>
      <w:r w:rsidRPr="00D6412D">
        <w:rPr>
          <w:noProof/>
        </w:rPr>
        <w:t xml:space="preserve">. 2016. Database under maintenance. </w:t>
      </w:r>
      <w:r w:rsidRPr="00C02041">
        <w:rPr>
          <w:i/>
          <w:iCs/>
          <w:noProof/>
        </w:rPr>
        <w:t>Nat</w:t>
      </w:r>
      <w:r w:rsidR="005066E1">
        <w:rPr>
          <w:i/>
          <w:iCs/>
          <w:noProof/>
        </w:rPr>
        <w:t>.</w:t>
      </w:r>
      <w:r w:rsidRPr="00C02041">
        <w:rPr>
          <w:i/>
          <w:iCs/>
          <w:noProof/>
        </w:rPr>
        <w:t xml:space="preserve"> Methods</w:t>
      </w:r>
      <w:r w:rsidR="005066E1">
        <w:rPr>
          <w:i/>
          <w:noProof/>
        </w:rPr>
        <w:t>,</w:t>
      </w:r>
      <w:r w:rsidRPr="00D6412D">
        <w:rPr>
          <w:i/>
          <w:noProof/>
        </w:rPr>
        <w:t xml:space="preserve"> </w:t>
      </w:r>
      <w:r w:rsidRPr="00C02041">
        <w:rPr>
          <w:iCs/>
          <w:noProof/>
        </w:rPr>
        <w:t>13</w:t>
      </w:r>
      <w:r w:rsidR="005066E1">
        <w:rPr>
          <w:noProof/>
        </w:rPr>
        <w:t>:</w:t>
      </w:r>
      <w:r w:rsidRPr="00D6412D">
        <w:rPr>
          <w:noProof/>
        </w:rPr>
        <w:t xml:space="preserve"> 699.</w:t>
      </w:r>
    </w:p>
    <w:p w14:paraId="0A7FE874" w14:textId="77777777" w:rsidR="00D6412D" w:rsidRPr="00D6412D" w:rsidRDefault="00D6412D" w:rsidP="005066E1">
      <w:pPr>
        <w:pStyle w:val="EndNoteBibliography"/>
        <w:rPr>
          <w:noProof/>
        </w:rPr>
      </w:pPr>
      <w:r w:rsidRPr="00D6412D">
        <w:rPr>
          <w:b/>
          <w:noProof/>
        </w:rPr>
        <w:t>Egelie, K.J., Graff, G.D., Strand, S.P.</w:t>
      </w:r>
      <w:r w:rsidR="005066E1">
        <w:rPr>
          <w:b/>
          <w:noProof/>
        </w:rPr>
        <w:t xml:space="preserve"> &amp;</w:t>
      </w:r>
      <w:r w:rsidRPr="00D6412D">
        <w:rPr>
          <w:b/>
          <w:noProof/>
        </w:rPr>
        <w:t xml:space="preserve"> Johansen, B.</w:t>
      </w:r>
      <w:r w:rsidRPr="00D6412D">
        <w:rPr>
          <w:noProof/>
        </w:rPr>
        <w:t xml:space="preserve"> 2016. The emerging patent landscape of CRISPR-Cas gene editing technology. </w:t>
      </w:r>
      <w:r w:rsidRPr="00C02041">
        <w:rPr>
          <w:i/>
          <w:iCs/>
          <w:noProof/>
        </w:rPr>
        <w:t>Nat</w:t>
      </w:r>
      <w:r w:rsidR="005066E1" w:rsidRPr="00C02041">
        <w:rPr>
          <w:i/>
          <w:iCs/>
          <w:noProof/>
        </w:rPr>
        <w:t>.</w:t>
      </w:r>
      <w:r w:rsidRPr="00C02041">
        <w:rPr>
          <w:i/>
          <w:iCs/>
          <w:noProof/>
        </w:rPr>
        <w:t xml:space="preserve"> Biotechnol</w:t>
      </w:r>
      <w:r w:rsidR="005066E1" w:rsidRPr="00C02041">
        <w:rPr>
          <w:i/>
          <w:iCs/>
          <w:noProof/>
        </w:rPr>
        <w:t>.,</w:t>
      </w:r>
      <w:r w:rsidRPr="00D6412D">
        <w:rPr>
          <w:i/>
          <w:noProof/>
        </w:rPr>
        <w:t xml:space="preserve"> </w:t>
      </w:r>
      <w:r w:rsidRPr="00C02041">
        <w:rPr>
          <w:iCs/>
          <w:noProof/>
        </w:rPr>
        <w:t>34</w:t>
      </w:r>
      <w:r w:rsidR="005066E1">
        <w:rPr>
          <w:noProof/>
        </w:rPr>
        <w:t>:</w:t>
      </w:r>
      <w:r w:rsidRPr="00D6412D">
        <w:rPr>
          <w:noProof/>
        </w:rPr>
        <w:t xml:space="preserve"> 1025</w:t>
      </w:r>
      <w:r w:rsidR="005066E1">
        <w:rPr>
          <w:noProof/>
        </w:rPr>
        <w:t>-</w:t>
      </w:r>
      <w:r w:rsidRPr="00D6412D">
        <w:rPr>
          <w:noProof/>
        </w:rPr>
        <w:t>1031.</w:t>
      </w:r>
    </w:p>
    <w:p w14:paraId="68054EA1" w14:textId="77777777" w:rsidR="00D6412D" w:rsidRPr="00D6412D" w:rsidRDefault="00D6412D" w:rsidP="005066E1">
      <w:pPr>
        <w:pStyle w:val="EndNoteBibliography"/>
        <w:rPr>
          <w:noProof/>
        </w:rPr>
      </w:pPr>
      <w:r w:rsidRPr="00D6412D">
        <w:rPr>
          <w:b/>
          <w:noProof/>
        </w:rPr>
        <w:t>El-Kassaby, Y.A., Cappa, E.P., Liewlaksaneeyanawin, C., Klápště, J.</w:t>
      </w:r>
      <w:r w:rsidR="005066E1">
        <w:rPr>
          <w:b/>
          <w:noProof/>
        </w:rPr>
        <w:t xml:space="preserve"> &amp;</w:t>
      </w:r>
      <w:r w:rsidRPr="00D6412D">
        <w:rPr>
          <w:b/>
          <w:noProof/>
        </w:rPr>
        <w:t xml:space="preserve"> Lstibůrek, M.</w:t>
      </w:r>
      <w:r w:rsidRPr="00D6412D">
        <w:rPr>
          <w:noProof/>
        </w:rPr>
        <w:t xml:space="preserve"> 2011. Breeding without Breeding: Is a Complete Pedigree Necessary for Efficient Breeding? </w:t>
      </w:r>
      <w:r w:rsidRPr="00C02041">
        <w:rPr>
          <w:i/>
          <w:iCs/>
          <w:noProof/>
        </w:rPr>
        <w:t>PLoS One</w:t>
      </w:r>
      <w:r w:rsidR="005066E1">
        <w:rPr>
          <w:i/>
          <w:noProof/>
        </w:rPr>
        <w:t>,</w:t>
      </w:r>
      <w:r w:rsidRPr="00D6412D">
        <w:rPr>
          <w:i/>
          <w:noProof/>
        </w:rPr>
        <w:t xml:space="preserve"> </w:t>
      </w:r>
      <w:r w:rsidRPr="00C02041">
        <w:rPr>
          <w:iCs/>
          <w:noProof/>
        </w:rPr>
        <w:t>6</w:t>
      </w:r>
      <w:r w:rsidR="005066E1">
        <w:rPr>
          <w:noProof/>
        </w:rPr>
        <w:t>:</w:t>
      </w:r>
      <w:r w:rsidRPr="00D6412D">
        <w:rPr>
          <w:noProof/>
        </w:rPr>
        <w:t xml:space="preserve"> e25737.</w:t>
      </w:r>
    </w:p>
    <w:p w14:paraId="2EA661F0" w14:textId="77777777" w:rsidR="00D6412D" w:rsidRPr="00D6412D" w:rsidRDefault="00D6412D" w:rsidP="005066E1">
      <w:pPr>
        <w:pStyle w:val="EndNoteBibliography"/>
        <w:rPr>
          <w:noProof/>
        </w:rPr>
      </w:pPr>
      <w:r w:rsidRPr="00D6412D">
        <w:rPr>
          <w:b/>
          <w:noProof/>
        </w:rPr>
        <w:t>Elbe, S.</w:t>
      </w:r>
      <w:r w:rsidR="005066E1">
        <w:rPr>
          <w:b/>
          <w:noProof/>
        </w:rPr>
        <w:t xml:space="preserve"> &amp;</w:t>
      </w:r>
      <w:r w:rsidRPr="00D6412D">
        <w:rPr>
          <w:b/>
          <w:noProof/>
        </w:rPr>
        <w:t xml:space="preserve"> Buckland-Merrett, G.</w:t>
      </w:r>
      <w:r w:rsidRPr="00D6412D">
        <w:rPr>
          <w:noProof/>
        </w:rPr>
        <w:t xml:space="preserve"> 2017. Data, disease and diplomacy: GISAID's innovative contribution to global health. </w:t>
      </w:r>
      <w:r w:rsidRPr="00C02041">
        <w:rPr>
          <w:i/>
          <w:iCs/>
          <w:noProof/>
        </w:rPr>
        <w:t>Global Challenges</w:t>
      </w:r>
      <w:r w:rsidR="005066E1">
        <w:rPr>
          <w:i/>
          <w:noProof/>
        </w:rPr>
        <w:t>,</w:t>
      </w:r>
      <w:r w:rsidRPr="00D6412D">
        <w:rPr>
          <w:i/>
          <w:noProof/>
        </w:rPr>
        <w:t xml:space="preserve"> </w:t>
      </w:r>
      <w:r w:rsidRPr="00C02041">
        <w:rPr>
          <w:iCs/>
          <w:noProof/>
        </w:rPr>
        <w:t>1</w:t>
      </w:r>
      <w:r w:rsidR="005066E1">
        <w:rPr>
          <w:noProof/>
        </w:rPr>
        <w:t>:</w:t>
      </w:r>
      <w:r w:rsidRPr="00D6412D">
        <w:rPr>
          <w:noProof/>
        </w:rPr>
        <w:t xml:space="preserve"> 33</w:t>
      </w:r>
      <w:r w:rsidR="005066E1">
        <w:rPr>
          <w:noProof/>
        </w:rPr>
        <w:t>–</w:t>
      </w:r>
      <w:r w:rsidRPr="00D6412D">
        <w:rPr>
          <w:noProof/>
        </w:rPr>
        <w:t>46.</w:t>
      </w:r>
    </w:p>
    <w:p w14:paraId="4007F9CC" w14:textId="77777777" w:rsidR="00AB3257" w:rsidRDefault="00AB3257" w:rsidP="005066E1">
      <w:pPr>
        <w:pStyle w:val="EndNoteBibliography"/>
        <w:ind w:left="567" w:hanging="567"/>
      </w:pPr>
      <w:r w:rsidRPr="003576BC">
        <w:rPr>
          <w:b/>
          <w:noProof/>
        </w:rPr>
        <w:t>Engli</w:t>
      </w:r>
      <w:r>
        <w:rPr>
          <w:b/>
          <w:noProof/>
        </w:rPr>
        <w:t xml:space="preserve">sh Oxford Living Dictionaries. </w:t>
      </w:r>
      <w:r w:rsidRPr="00C02041">
        <w:t>https://en.oxforddictionaries.com/definition/information</w:t>
      </w:r>
    </w:p>
    <w:p w14:paraId="0D06D723" w14:textId="77777777" w:rsidR="005066E1" w:rsidRPr="003576BC" w:rsidRDefault="005066E1" w:rsidP="005066E1">
      <w:pPr>
        <w:pStyle w:val="EndNoteBibliography"/>
        <w:ind w:left="567" w:hanging="567"/>
      </w:pPr>
      <w:r w:rsidRPr="003576BC">
        <w:rPr>
          <w:b/>
          <w:noProof/>
        </w:rPr>
        <w:t>Esvelt, K.M. &amp; Gemmell, N.J.</w:t>
      </w:r>
      <w:r w:rsidRPr="003576BC">
        <w:rPr>
          <w:noProof/>
        </w:rPr>
        <w:t xml:space="preserve"> 2017. Conservation demands safe gene drive. </w:t>
      </w:r>
      <w:r w:rsidRPr="006A3DA9">
        <w:rPr>
          <w:i/>
          <w:noProof/>
        </w:rPr>
        <w:t>PLoS Biol</w:t>
      </w:r>
      <w:r w:rsidRPr="003576BC">
        <w:rPr>
          <w:noProof/>
        </w:rPr>
        <w:t>,</w:t>
      </w:r>
      <w:r w:rsidRPr="003576BC">
        <w:rPr>
          <w:i/>
          <w:noProof/>
        </w:rPr>
        <w:t xml:space="preserve"> </w:t>
      </w:r>
      <w:r w:rsidRPr="006A3DA9">
        <w:rPr>
          <w:noProof/>
        </w:rPr>
        <w:t>15</w:t>
      </w:r>
      <w:r w:rsidRPr="003576BC">
        <w:rPr>
          <w:noProof/>
        </w:rPr>
        <w:t xml:space="preserve">: e2003850. </w:t>
      </w:r>
    </w:p>
    <w:p w14:paraId="5A780CE4" w14:textId="77777777" w:rsidR="005066E1" w:rsidRPr="00D6412D" w:rsidRDefault="005066E1" w:rsidP="005066E1">
      <w:pPr>
        <w:pStyle w:val="EndNoteBibliography"/>
        <w:rPr>
          <w:noProof/>
        </w:rPr>
      </w:pPr>
      <w:r w:rsidRPr="00D6412D">
        <w:rPr>
          <w:b/>
          <w:noProof/>
        </w:rPr>
        <w:t>EFSA</w:t>
      </w:r>
      <w:r>
        <w:rPr>
          <w:b/>
          <w:noProof/>
        </w:rPr>
        <w:t>/ECDPC (</w:t>
      </w:r>
      <w:r w:rsidRPr="006A3DA9">
        <w:rPr>
          <w:b/>
          <w:noProof/>
        </w:rPr>
        <w:t>European Food Safety A</w:t>
      </w:r>
      <w:r w:rsidRPr="003576BC">
        <w:rPr>
          <w:b/>
          <w:noProof/>
        </w:rPr>
        <w:t>uthority/</w:t>
      </w:r>
      <w:r w:rsidRPr="006A3DA9">
        <w:rPr>
          <w:b/>
          <w:noProof/>
        </w:rPr>
        <w:t>European Centre for Disease</w:t>
      </w:r>
      <w:r>
        <w:rPr>
          <w:b/>
          <w:noProof/>
        </w:rPr>
        <w:t xml:space="preserve"> Prevention and Control)</w:t>
      </w:r>
      <w:r w:rsidRPr="00D6412D">
        <w:rPr>
          <w:noProof/>
        </w:rPr>
        <w:t xml:space="preserve">. 2017. The European Union summary report on antimicrobial resistance in zoonotic and indicator bacteria from humans, animals and food in 2015. </w:t>
      </w:r>
      <w:r w:rsidRPr="00C02041">
        <w:rPr>
          <w:i/>
          <w:iCs/>
          <w:noProof/>
        </w:rPr>
        <w:t>EFSA J.,</w:t>
      </w:r>
      <w:r w:rsidRPr="00381F8F">
        <w:rPr>
          <w:i/>
          <w:iCs/>
          <w:noProof/>
        </w:rPr>
        <w:t xml:space="preserve"> </w:t>
      </w:r>
      <w:r w:rsidRPr="00D6412D">
        <w:rPr>
          <w:i/>
          <w:noProof/>
        </w:rPr>
        <w:t>15</w:t>
      </w:r>
      <w:r w:rsidRPr="00D6412D">
        <w:rPr>
          <w:noProof/>
        </w:rPr>
        <w:t>, e04694</w:t>
      </w:r>
      <w:r>
        <w:rPr>
          <w:noProof/>
        </w:rPr>
        <w:t>–</w:t>
      </w:r>
      <w:r w:rsidRPr="00D6412D">
        <w:rPr>
          <w:noProof/>
        </w:rPr>
        <w:t>n/a.</w:t>
      </w:r>
    </w:p>
    <w:p w14:paraId="4A9362FD" w14:textId="77777777" w:rsidR="00D6412D" w:rsidRPr="00D6412D" w:rsidRDefault="00D6412D" w:rsidP="005066E1">
      <w:pPr>
        <w:pStyle w:val="EndNoteBibliography"/>
        <w:rPr>
          <w:noProof/>
        </w:rPr>
      </w:pPr>
      <w:r w:rsidRPr="00D6412D">
        <w:rPr>
          <w:b/>
          <w:noProof/>
        </w:rPr>
        <w:t>FAO</w:t>
      </w:r>
      <w:r w:rsidRPr="00D6412D">
        <w:rPr>
          <w:noProof/>
        </w:rPr>
        <w:t xml:space="preserve">. 2013. </w:t>
      </w:r>
      <w:r w:rsidRPr="00C02041">
        <w:rPr>
          <w:i/>
          <w:iCs/>
          <w:noProof/>
        </w:rPr>
        <w:t>Report of the Governing Body of the International Treaty on Plant Genetic Resources for Food and Agriculture Fifth Session</w:t>
      </w:r>
      <w:r w:rsidRPr="00D6412D">
        <w:rPr>
          <w:noProof/>
        </w:rPr>
        <w:t>. Rome</w:t>
      </w:r>
      <w:r w:rsidR="005066E1">
        <w:rPr>
          <w:noProof/>
        </w:rPr>
        <w:t>,</w:t>
      </w:r>
      <w:r w:rsidRPr="00D6412D">
        <w:rPr>
          <w:noProof/>
        </w:rPr>
        <w:t xml:space="preserve">  IT/GB-5/13/4</w:t>
      </w:r>
      <w:r w:rsidR="005066E1">
        <w:rPr>
          <w:noProof/>
        </w:rPr>
        <w:t>.</w:t>
      </w:r>
      <w:r w:rsidRPr="00D6412D">
        <w:rPr>
          <w:noProof/>
        </w:rPr>
        <w:t xml:space="preserve"> </w:t>
      </w:r>
    </w:p>
    <w:p w14:paraId="13496DC9" w14:textId="77777777" w:rsidR="00D6412D" w:rsidRPr="00D6412D" w:rsidRDefault="00D6412D" w:rsidP="005066E1">
      <w:pPr>
        <w:pStyle w:val="EndNoteBibliography"/>
        <w:rPr>
          <w:noProof/>
        </w:rPr>
      </w:pPr>
      <w:r w:rsidRPr="00D6412D">
        <w:rPr>
          <w:b/>
          <w:noProof/>
        </w:rPr>
        <w:t>FAO</w:t>
      </w:r>
      <w:r w:rsidRPr="00D6412D">
        <w:rPr>
          <w:noProof/>
        </w:rPr>
        <w:t xml:space="preserve">. 2015. </w:t>
      </w:r>
      <w:r w:rsidRPr="00C02041">
        <w:rPr>
          <w:i/>
          <w:iCs/>
          <w:noProof/>
        </w:rPr>
        <w:t>The second report on the state of the world's animal genetic resources for food and agriculture</w:t>
      </w:r>
      <w:r w:rsidRPr="00D6412D">
        <w:rPr>
          <w:noProof/>
        </w:rPr>
        <w:t>. Rome</w:t>
      </w:r>
      <w:r w:rsidR="005066E1">
        <w:rPr>
          <w:noProof/>
        </w:rPr>
        <w:t>,</w:t>
      </w:r>
      <w:r w:rsidRPr="00D6412D">
        <w:rPr>
          <w:noProof/>
        </w:rPr>
        <w:t xml:space="preserve"> FAO</w:t>
      </w:r>
      <w:r w:rsidR="005066E1">
        <w:rPr>
          <w:noProof/>
        </w:rPr>
        <w:t>.</w:t>
      </w:r>
      <w:r w:rsidRPr="00D6412D">
        <w:rPr>
          <w:noProof/>
        </w:rPr>
        <w:t xml:space="preserve"> Commission on Genetic Resources for Food and Agriculture Assessments </w:t>
      </w:r>
      <w:r w:rsidR="005066E1">
        <w:rPr>
          <w:noProof/>
        </w:rPr>
        <w:t>(</w:t>
      </w:r>
      <w:r w:rsidR="005066E1" w:rsidRPr="005066E1">
        <w:rPr>
          <w:noProof/>
        </w:rPr>
        <w:t>available at</w:t>
      </w:r>
      <w:r w:rsidR="005066E1">
        <w:rPr>
          <w:noProof/>
        </w:rPr>
        <w:t xml:space="preserve"> </w:t>
      </w:r>
      <w:r w:rsidRPr="002C26BB">
        <w:rPr>
          <w:rStyle w:val="Hyperlink"/>
          <w:noProof/>
          <w:sz w:val="24"/>
        </w:rPr>
        <w:t>http://www.fao.org/publications/sowangr/en/</w:t>
      </w:r>
      <w:r w:rsidR="005066E1">
        <w:rPr>
          <w:rStyle w:val="Hyperlink"/>
          <w:noProof/>
          <w:sz w:val="24"/>
        </w:rPr>
        <w:t>)</w:t>
      </w:r>
      <w:r w:rsidRPr="00D6412D">
        <w:rPr>
          <w:noProof/>
        </w:rPr>
        <w:t>.</w:t>
      </w:r>
    </w:p>
    <w:p w14:paraId="030584C0" w14:textId="77777777" w:rsidR="00D6412D" w:rsidRPr="00D6412D" w:rsidRDefault="00D6412D">
      <w:pPr>
        <w:pStyle w:val="EndNoteBibliography"/>
        <w:rPr>
          <w:noProof/>
        </w:rPr>
      </w:pPr>
      <w:r w:rsidRPr="00D6412D">
        <w:rPr>
          <w:b/>
          <w:noProof/>
        </w:rPr>
        <w:t>FAO</w:t>
      </w:r>
      <w:r w:rsidRPr="00D6412D">
        <w:rPr>
          <w:noProof/>
        </w:rPr>
        <w:t xml:space="preserve">. 2016. </w:t>
      </w:r>
      <w:r w:rsidRPr="00C02041">
        <w:rPr>
          <w:i/>
          <w:iCs/>
          <w:noProof/>
        </w:rPr>
        <w:t>Applications of whole genome sequencing in food safety management.</w:t>
      </w:r>
      <w:r w:rsidRPr="00D6412D">
        <w:rPr>
          <w:noProof/>
        </w:rPr>
        <w:t xml:space="preserve"> Technical Background Paper</w:t>
      </w:r>
      <w:r w:rsidR="005066E1">
        <w:rPr>
          <w:noProof/>
        </w:rPr>
        <w:t>.</w:t>
      </w:r>
      <w:r w:rsidRPr="00D6412D">
        <w:rPr>
          <w:noProof/>
        </w:rPr>
        <w:t xml:space="preserve"> Rome</w:t>
      </w:r>
      <w:r w:rsidR="005066E1">
        <w:rPr>
          <w:noProof/>
        </w:rPr>
        <w:t>(</w:t>
      </w:r>
      <w:r w:rsidR="005066E1" w:rsidRPr="005066E1">
        <w:rPr>
          <w:noProof/>
        </w:rPr>
        <w:t>available at</w:t>
      </w:r>
      <w:r w:rsidR="005066E1">
        <w:rPr>
          <w:noProof/>
        </w:rPr>
        <w:t xml:space="preserve"> </w:t>
      </w:r>
      <w:r w:rsidRPr="002C26BB">
        <w:rPr>
          <w:rStyle w:val="Hyperlink"/>
          <w:noProof/>
          <w:sz w:val="24"/>
        </w:rPr>
        <w:t>http://www.fao.org/3/a-i5619e.pdf</w:t>
      </w:r>
      <w:r w:rsidR="005066E1">
        <w:rPr>
          <w:rStyle w:val="Hyperlink"/>
          <w:noProof/>
          <w:sz w:val="24"/>
        </w:rPr>
        <w:t>)</w:t>
      </w:r>
      <w:r w:rsidRPr="00D6412D">
        <w:rPr>
          <w:noProof/>
        </w:rPr>
        <w:t>.</w:t>
      </w:r>
    </w:p>
    <w:p w14:paraId="05C26D3B" w14:textId="77777777" w:rsidR="00D6412D" w:rsidRPr="00D6412D" w:rsidRDefault="00D6412D">
      <w:pPr>
        <w:pStyle w:val="EndNoteBibliography"/>
        <w:rPr>
          <w:noProof/>
        </w:rPr>
      </w:pPr>
      <w:r w:rsidRPr="00D6412D">
        <w:rPr>
          <w:b/>
          <w:noProof/>
        </w:rPr>
        <w:t>FAO</w:t>
      </w:r>
      <w:r w:rsidRPr="00D6412D">
        <w:rPr>
          <w:noProof/>
        </w:rPr>
        <w:t xml:space="preserve">. 2017. </w:t>
      </w:r>
      <w:r w:rsidRPr="00C02041">
        <w:rPr>
          <w:i/>
          <w:iCs/>
          <w:noProof/>
        </w:rPr>
        <w:t>FAO and the SDGs. Indicators: measuring up to the 2030 Agenda for Sustainable Development</w:t>
      </w:r>
      <w:r w:rsidRPr="00D6412D">
        <w:rPr>
          <w:noProof/>
        </w:rPr>
        <w:t xml:space="preserve">. </w:t>
      </w:r>
      <w:r w:rsidR="005066E1">
        <w:rPr>
          <w:noProof/>
        </w:rPr>
        <w:t>Rome (</w:t>
      </w:r>
      <w:r w:rsidR="005066E1" w:rsidRPr="005066E1">
        <w:rPr>
          <w:noProof/>
        </w:rPr>
        <w:t>available at</w:t>
      </w:r>
      <w:r w:rsidRPr="00D6412D">
        <w:rPr>
          <w:noProof/>
        </w:rPr>
        <w:t xml:space="preserve"> </w:t>
      </w:r>
      <w:r w:rsidRPr="002C26BB">
        <w:rPr>
          <w:rStyle w:val="Hyperlink"/>
          <w:noProof/>
          <w:sz w:val="24"/>
        </w:rPr>
        <w:t>http://www.fao.org/3/a-i6919e.pdf</w:t>
      </w:r>
      <w:r w:rsidR="005066E1">
        <w:rPr>
          <w:rStyle w:val="Hyperlink"/>
          <w:noProof/>
          <w:sz w:val="24"/>
        </w:rPr>
        <w:t>)</w:t>
      </w:r>
      <w:r w:rsidRPr="00D6412D">
        <w:rPr>
          <w:noProof/>
        </w:rPr>
        <w:t>.</w:t>
      </w:r>
    </w:p>
    <w:p w14:paraId="0EE51BBF" w14:textId="77777777" w:rsidR="00D6412D" w:rsidRPr="00D6412D" w:rsidRDefault="00D6412D" w:rsidP="00277CCE">
      <w:pPr>
        <w:pStyle w:val="EndNoteBibliography"/>
        <w:rPr>
          <w:noProof/>
        </w:rPr>
      </w:pPr>
      <w:r w:rsidRPr="00D6412D">
        <w:rPr>
          <w:b/>
          <w:noProof/>
        </w:rPr>
        <w:t>Farr, C.</w:t>
      </w:r>
      <w:r w:rsidRPr="00D6412D">
        <w:rPr>
          <w:noProof/>
        </w:rPr>
        <w:t xml:space="preserve"> 2016. Illumina, secret giant of DNA sequencing, is bringing </w:t>
      </w:r>
      <w:r w:rsidR="00277CCE">
        <w:rPr>
          <w:noProof/>
        </w:rPr>
        <w:t>its</w:t>
      </w:r>
      <w:r w:rsidR="00277CCE" w:rsidRPr="00D6412D">
        <w:rPr>
          <w:noProof/>
        </w:rPr>
        <w:t xml:space="preserve"> </w:t>
      </w:r>
      <w:r w:rsidRPr="00D6412D">
        <w:rPr>
          <w:noProof/>
        </w:rPr>
        <w:t xml:space="preserve">tech to the masses. In </w:t>
      </w:r>
      <w:r w:rsidRPr="00C02041">
        <w:rPr>
          <w:i/>
          <w:iCs/>
          <w:noProof/>
        </w:rPr>
        <w:t>FastCompany</w:t>
      </w:r>
      <w:r w:rsidR="00277CCE">
        <w:rPr>
          <w:noProof/>
        </w:rPr>
        <w:t xml:space="preserve"> (</w:t>
      </w:r>
      <w:r w:rsidR="00277CCE" w:rsidRPr="00277CCE">
        <w:rPr>
          <w:noProof/>
        </w:rPr>
        <w:t>available at</w:t>
      </w:r>
      <w:r w:rsidRPr="00D6412D">
        <w:rPr>
          <w:noProof/>
        </w:rPr>
        <w:t xml:space="preserve"> </w:t>
      </w:r>
      <w:r w:rsidRPr="002C26BB">
        <w:rPr>
          <w:rStyle w:val="Hyperlink"/>
          <w:noProof/>
          <w:sz w:val="24"/>
        </w:rPr>
        <w:t>https://www.fastcompany.com/3061591/illumina-owns-the-dna-sequencing-market-now-its-building-an-app-store-too</w:t>
      </w:r>
      <w:r w:rsidR="00277CCE">
        <w:rPr>
          <w:rStyle w:val="Hyperlink"/>
          <w:noProof/>
          <w:sz w:val="24"/>
        </w:rPr>
        <w:t>)</w:t>
      </w:r>
      <w:r w:rsidRPr="00D6412D">
        <w:rPr>
          <w:noProof/>
        </w:rPr>
        <w:t>.</w:t>
      </w:r>
    </w:p>
    <w:p w14:paraId="06663869" w14:textId="77777777" w:rsidR="00D6412D" w:rsidRPr="00C02041" w:rsidRDefault="00D6412D" w:rsidP="00277CCE">
      <w:pPr>
        <w:pStyle w:val="EndNoteBibliography"/>
        <w:rPr>
          <w:noProof/>
          <w:lang w:val="en-US"/>
        </w:rPr>
      </w:pPr>
      <w:r w:rsidRPr="00D6412D">
        <w:rPr>
          <w:b/>
          <w:noProof/>
        </w:rPr>
        <w:t>Fierer, N.</w:t>
      </w:r>
      <w:r w:rsidRPr="00D6412D">
        <w:rPr>
          <w:noProof/>
        </w:rPr>
        <w:t xml:space="preserve"> 2017. Embracing the unknown: disentangling the complexities of the soil microbiome. </w:t>
      </w:r>
      <w:r w:rsidRPr="00C02041">
        <w:rPr>
          <w:i/>
          <w:iCs/>
          <w:noProof/>
          <w:lang w:val="en-US"/>
        </w:rPr>
        <w:t>Nat</w:t>
      </w:r>
      <w:r w:rsidR="00277CCE" w:rsidRPr="00C02041">
        <w:rPr>
          <w:i/>
          <w:iCs/>
          <w:noProof/>
          <w:lang w:val="en-US"/>
        </w:rPr>
        <w:t>.</w:t>
      </w:r>
      <w:r w:rsidRPr="00C02041">
        <w:rPr>
          <w:i/>
          <w:iCs/>
          <w:noProof/>
          <w:lang w:val="en-US"/>
        </w:rPr>
        <w:t xml:space="preserve"> Rev</w:t>
      </w:r>
      <w:r w:rsidR="00277CCE" w:rsidRPr="00C02041">
        <w:rPr>
          <w:i/>
          <w:iCs/>
          <w:noProof/>
          <w:lang w:val="en-US"/>
        </w:rPr>
        <w:t>.</w:t>
      </w:r>
      <w:r w:rsidRPr="00C02041">
        <w:rPr>
          <w:i/>
          <w:iCs/>
          <w:noProof/>
          <w:lang w:val="en-US"/>
        </w:rPr>
        <w:t xml:space="preserve"> Microbiol</w:t>
      </w:r>
      <w:r w:rsidR="00277CCE" w:rsidRPr="00C02041">
        <w:rPr>
          <w:i/>
          <w:iCs/>
          <w:noProof/>
          <w:lang w:val="en-US"/>
        </w:rPr>
        <w:t>.,</w:t>
      </w:r>
      <w:r w:rsidRPr="00C02041">
        <w:rPr>
          <w:i/>
          <w:noProof/>
          <w:lang w:val="en-US"/>
        </w:rPr>
        <w:t xml:space="preserve"> </w:t>
      </w:r>
      <w:r w:rsidRPr="00C02041">
        <w:rPr>
          <w:iCs/>
          <w:noProof/>
          <w:lang w:val="en-US"/>
        </w:rPr>
        <w:t>15</w:t>
      </w:r>
      <w:r w:rsidR="00277CCE" w:rsidRPr="00C02041">
        <w:rPr>
          <w:noProof/>
          <w:lang w:val="en-US"/>
        </w:rPr>
        <w:t>:</w:t>
      </w:r>
      <w:r w:rsidRPr="00C02041">
        <w:rPr>
          <w:noProof/>
          <w:lang w:val="en-US"/>
        </w:rPr>
        <w:t xml:space="preserve"> 579</w:t>
      </w:r>
      <w:r w:rsidR="00277CCE" w:rsidRPr="00C02041">
        <w:rPr>
          <w:noProof/>
          <w:lang w:val="en-US"/>
        </w:rPr>
        <w:t>–</w:t>
      </w:r>
      <w:r w:rsidRPr="00C02041">
        <w:rPr>
          <w:noProof/>
          <w:lang w:val="en-US"/>
        </w:rPr>
        <w:t>590.</w:t>
      </w:r>
    </w:p>
    <w:p w14:paraId="1A8ECA0F" w14:textId="77777777" w:rsidR="00277CCE" w:rsidRPr="00C02041" w:rsidRDefault="00277CCE" w:rsidP="00C02041">
      <w:pPr>
        <w:pStyle w:val="EndNoteBibliography"/>
        <w:rPr>
          <w:noProof/>
          <w:lang w:val="en-US"/>
        </w:rPr>
      </w:pPr>
      <w:r w:rsidRPr="00C02041">
        <w:rPr>
          <w:b/>
          <w:noProof/>
          <w:lang w:val="en-US"/>
        </w:rPr>
        <w:t>FIFRA</w:t>
      </w:r>
      <w:r w:rsidRPr="00C02041">
        <w:rPr>
          <w:noProof/>
          <w:lang w:val="en-US"/>
        </w:rPr>
        <w:t xml:space="preserve">. 2014. </w:t>
      </w:r>
      <w:r w:rsidRPr="00C02041">
        <w:rPr>
          <w:i/>
          <w:noProof/>
          <w:lang w:val="en-US"/>
        </w:rPr>
        <w:t>RNAi technology as a pesticide: program formulation for human health and ecological risk assessment</w:t>
      </w:r>
      <w:r w:rsidRPr="00C02041">
        <w:rPr>
          <w:noProof/>
          <w:lang w:val="en-US"/>
        </w:rPr>
        <w:t>. United States Environmental Protection Agency (available at  http://www.epa.gov/scipoly/sap/meetings/2014/january/012814minutes.pdf</w:t>
      </w:r>
      <w:r w:rsidRPr="00C02041">
        <w:rPr>
          <w:lang w:val="en-US"/>
        </w:rPr>
        <w:t>).</w:t>
      </w:r>
    </w:p>
    <w:p w14:paraId="72EA5C3A" w14:textId="77777777" w:rsidR="00D6412D" w:rsidRPr="00C02041" w:rsidRDefault="00D6412D" w:rsidP="00277CCE">
      <w:pPr>
        <w:pStyle w:val="EndNoteBibliography"/>
        <w:rPr>
          <w:noProof/>
          <w:lang w:val="it-IT"/>
        </w:rPr>
      </w:pPr>
      <w:r w:rsidRPr="00C02041">
        <w:rPr>
          <w:b/>
          <w:noProof/>
          <w:lang w:val="it-IT"/>
        </w:rPr>
        <w:t>Filonzi, L., Chiesa, S., Vaghi, M.</w:t>
      </w:r>
      <w:r w:rsidR="00277CCE">
        <w:rPr>
          <w:b/>
          <w:noProof/>
          <w:lang w:val="it-IT"/>
        </w:rPr>
        <w:t xml:space="preserve"> </w:t>
      </w:r>
      <w:r w:rsidR="00277CCE" w:rsidRPr="0012061B">
        <w:rPr>
          <w:b/>
          <w:noProof/>
          <w:lang w:val="fr-FR"/>
        </w:rPr>
        <w:t>&amp;</w:t>
      </w:r>
      <w:r w:rsidRPr="0012061B">
        <w:rPr>
          <w:b/>
          <w:noProof/>
          <w:lang w:val="fr-FR"/>
        </w:rPr>
        <w:t xml:space="preserve"> Nonnis Marzano, F.</w:t>
      </w:r>
      <w:r w:rsidRPr="0012061B">
        <w:rPr>
          <w:noProof/>
          <w:lang w:val="fr-FR"/>
        </w:rPr>
        <w:t xml:space="preserve"> 2010. </w:t>
      </w:r>
      <w:r w:rsidRPr="00D6412D">
        <w:rPr>
          <w:noProof/>
        </w:rPr>
        <w:t xml:space="preserve">Molecular barcoding reveals mislabelling of commercial fish products in Italy. </w:t>
      </w:r>
      <w:r w:rsidRPr="00C02041">
        <w:rPr>
          <w:i/>
          <w:iCs/>
          <w:noProof/>
          <w:lang w:val="it-IT"/>
        </w:rPr>
        <w:t>Food Res Internatl</w:t>
      </w:r>
      <w:r w:rsidR="00277CCE">
        <w:rPr>
          <w:i/>
          <w:noProof/>
          <w:lang w:val="it-IT"/>
        </w:rPr>
        <w:t>,</w:t>
      </w:r>
      <w:r w:rsidRPr="00C02041">
        <w:rPr>
          <w:i/>
          <w:noProof/>
          <w:lang w:val="it-IT"/>
        </w:rPr>
        <w:t xml:space="preserve"> </w:t>
      </w:r>
      <w:r w:rsidRPr="00C02041">
        <w:rPr>
          <w:iCs/>
          <w:noProof/>
          <w:lang w:val="it-IT"/>
        </w:rPr>
        <w:t>43</w:t>
      </w:r>
      <w:r w:rsidR="00277CCE">
        <w:rPr>
          <w:noProof/>
          <w:lang w:val="it-IT"/>
        </w:rPr>
        <w:t>:</w:t>
      </w:r>
      <w:r w:rsidRPr="00C02041">
        <w:rPr>
          <w:noProof/>
          <w:lang w:val="it-IT"/>
        </w:rPr>
        <w:t xml:space="preserve"> 1383</w:t>
      </w:r>
      <w:r w:rsidR="00277CCE">
        <w:rPr>
          <w:noProof/>
          <w:lang w:val="it-IT"/>
        </w:rPr>
        <w:t>–</w:t>
      </w:r>
      <w:r w:rsidRPr="00C02041">
        <w:rPr>
          <w:noProof/>
          <w:lang w:val="it-IT"/>
        </w:rPr>
        <w:t>1388.</w:t>
      </w:r>
    </w:p>
    <w:p w14:paraId="23E11D2A" w14:textId="77777777" w:rsidR="00D6412D" w:rsidRPr="00D6412D" w:rsidRDefault="00D6412D" w:rsidP="00277CCE">
      <w:pPr>
        <w:pStyle w:val="EndNoteBibliography"/>
        <w:rPr>
          <w:noProof/>
        </w:rPr>
      </w:pPr>
      <w:r w:rsidRPr="00C02041">
        <w:rPr>
          <w:b/>
          <w:noProof/>
          <w:lang w:val="it-IT"/>
        </w:rPr>
        <w:lastRenderedPageBreak/>
        <w:t>Fontanesi, L., Martelli, P.L., Beretti, F., Riggio, V., Dall'Olio, S., Colombo, M., Casadio, R., Russo, V.</w:t>
      </w:r>
      <w:r w:rsidR="00277CCE">
        <w:rPr>
          <w:b/>
          <w:noProof/>
          <w:lang w:val="it-IT"/>
        </w:rPr>
        <w:t xml:space="preserve"> </w:t>
      </w:r>
      <w:r w:rsidR="00277CCE" w:rsidRPr="00C02041">
        <w:rPr>
          <w:b/>
          <w:noProof/>
          <w:lang w:val="en-US"/>
        </w:rPr>
        <w:t>&amp;</w:t>
      </w:r>
      <w:r w:rsidRPr="00C02041">
        <w:rPr>
          <w:b/>
          <w:noProof/>
          <w:lang w:val="en-US"/>
        </w:rPr>
        <w:t xml:space="preserve"> Portolano, B.</w:t>
      </w:r>
      <w:r w:rsidRPr="00C02041">
        <w:rPr>
          <w:noProof/>
          <w:lang w:val="en-US"/>
        </w:rPr>
        <w:t xml:space="preserve"> 2010. </w:t>
      </w:r>
      <w:r w:rsidRPr="00D6412D">
        <w:rPr>
          <w:noProof/>
        </w:rPr>
        <w:t>An initial comparative map of copy number variations in the goat (</w:t>
      </w:r>
      <w:r w:rsidRPr="00C02041">
        <w:rPr>
          <w:i/>
          <w:iCs/>
          <w:noProof/>
        </w:rPr>
        <w:t>Capra hircus</w:t>
      </w:r>
      <w:r w:rsidRPr="00D6412D">
        <w:rPr>
          <w:noProof/>
        </w:rPr>
        <w:t xml:space="preserve">) genome. </w:t>
      </w:r>
      <w:r w:rsidRPr="00C02041">
        <w:rPr>
          <w:i/>
          <w:iCs/>
          <w:noProof/>
        </w:rPr>
        <w:t>BMC Genomics</w:t>
      </w:r>
      <w:r w:rsidR="00277CCE">
        <w:rPr>
          <w:i/>
          <w:noProof/>
        </w:rPr>
        <w:t>,</w:t>
      </w:r>
      <w:r w:rsidRPr="00D6412D">
        <w:rPr>
          <w:i/>
          <w:noProof/>
        </w:rPr>
        <w:t xml:space="preserve"> </w:t>
      </w:r>
      <w:r w:rsidRPr="00C02041">
        <w:rPr>
          <w:iCs/>
          <w:noProof/>
        </w:rPr>
        <w:t>11</w:t>
      </w:r>
      <w:r w:rsidR="00277CCE">
        <w:rPr>
          <w:noProof/>
        </w:rPr>
        <w:t>:</w:t>
      </w:r>
      <w:r w:rsidRPr="00D6412D">
        <w:rPr>
          <w:noProof/>
        </w:rPr>
        <w:t xml:space="preserve"> 639.</w:t>
      </w:r>
    </w:p>
    <w:p w14:paraId="0E288856" w14:textId="77777777" w:rsidR="00D6412D" w:rsidRPr="00D6412D" w:rsidRDefault="00D6412D" w:rsidP="00277CCE">
      <w:pPr>
        <w:pStyle w:val="EndNoteBibliography"/>
        <w:rPr>
          <w:noProof/>
        </w:rPr>
      </w:pPr>
      <w:r w:rsidRPr="00D6412D">
        <w:rPr>
          <w:b/>
          <w:noProof/>
        </w:rPr>
        <w:t>Fortes, A.M.</w:t>
      </w:r>
      <w:r w:rsidR="00277CCE">
        <w:rPr>
          <w:b/>
          <w:noProof/>
        </w:rPr>
        <w:t xml:space="preserve"> &amp;</w:t>
      </w:r>
      <w:r w:rsidRPr="00D6412D">
        <w:rPr>
          <w:b/>
          <w:noProof/>
        </w:rPr>
        <w:t xml:space="preserve"> Gallusci, P.</w:t>
      </w:r>
      <w:r w:rsidRPr="00D6412D">
        <w:rPr>
          <w:noProof/>
        </w:rPr>
        <w:t xml:space="preserve"> 2017. Plant Stress Responses and Phenotypic Plasticity in the Epigenomics Era: Perspectives on the Grapevine Scenario, a Model for Perennial Crop Plants. </w:t>
      </w:r>
      <w:r w:rsidRPr="00C02041">
        <w:rPr>
          <w:i/>
          <w:iCs/>
          <w:noProof/>
        </w:rPr>
        <w:t>Front Plant Sci</w:t>
      </w:r>
      <w:r w:rsidR="00277CCE">
        <w:rPr>
          <w:i/>
          <w:iCs/>
          <w:noProof/>
        </w:rPr>
        <w:t>.,</w:t>
      </w:r>
      <w:r w:rsidRPr="00D6412D">
        <w:rPr>
          <w:i/>
          <w:noProof/>
        </w:rPr>
        <w:t xml:space="preserve"> </w:t>
      </w:r>
      <w:r w:rsidRPr="00C02041">
        <w:rPr>
          <w:iCs/>
          <w:noProof/>
        </w:rPr>
        <w:t>8</w:t>
      </w:r>
      <w:r w:rsidR="00277CCE">
        <w:rPr>
          <w:noProof/>
        </w:rPr>
        <w:t>:</w:t>
      </w:r>
      <w:r w:rsidRPr="00D6412D">
        <w:rPr>
          <w:noProof/>
        </w:rPr>
        <w:t xml:space="preserve"> 82.</w:t>
      </w:r>
    </w:p>
    <w:p w14:paraId="440307EF" w14:textId="77777777" w:rsidR="00D6412D" w:rsidRPr="00D6412D" w:rsidRDefault="00D6412D" w:rsidP="00277CCE">
      <w:pPr>
        <w:pStyle w:val="EndNoteBibliography"/>
        <w:rPr>
          <w:noProof/>
        </w:rPr>
      </w:pPr>
      <w:r w:rsidRPr="00D6412D">
        <w:rPr>
          <w:b/>
          <w:noProof/>
        </w:rPr>
        <w:t>Fowler, C.</w:t>
      </w:r>
      <w:r w:rsidRPr="00D6412D">
        <w:rPr>
          <w:noProof/>
        </w:rPr>
        <w:t xml:space="preserve"> 2016. </w:t>
      </w:r>
      <w:r w:rsidRPr="00C02041">
        <w:rPr>
          <w:i/>
          <w:iCs/>
          <w:noProof/>
        </w:rPr>
        <w:t xml:space="preserve">Seeds on </w:t>
      </w:r>
      <w:r w:rsidR="00277CCE">
        <w:rPr>
          <w:i/>
          <w:iCs/>
          <w:noProof/>
        </w:rPr>
        <w:t>i</w:t>
      </w:r>
      <w:r w:rsidRPr="00C02041">
        <w:rPr>
          <w:i/>
          <w:iCs/>
          <w:noProof/>
        </w:rPr>
        <w:t>ce</w:t>
      </w:r>
      <w:r w:rsidR="00277CCE">
        <w:rPr>
          <w:i/>
          <w:iCs/>
          <w:noProof/>
        </w:rPr>
        <w:t>.</w:t>
      </w:r>
      <w:r w:rsidRPr="00C02041">
        <w:rPr>
          <w:i/>
          <w:iCs/>
          <w:noProof/>
        </w:rPr>
        <w:t xml:space="preserve"> </w:t>
      </w:r>
      <w:r w:rsidRPr="00D6412D">
        <w:rPr>
          <w:noProof/>
        </w:rPr>
        <w:t xml:space="preserve">Westport and New York, </w:t>
      </w:r>
      <w:r w:rsidR="00277CCE">
        <w:rPr>
          <w:noProof/>
        </w:rPr>
        <w:t>USA,</w:t>
      </w:r>
      <w:r w:rsidRPr="00D6412D">
        <w:rPr>
          <w:noProof/>
        </w:rPr>
        <w:t xml:space="preserve"> Prospecta Press</w:t>
      </w:r>
      <w:r w:rsidR="00277CCE">
        <w:rPr>
          <w:noProof/>
        </w:rPr>
        <w:t>.</w:t>
      </w:r>
      <w:r w:rsidRPr="00D6412D">
        <w:rPr>
          <w:noProof/>
        </w:rPr>
        <w:t xml:space="preserve"> </w:t>
      </w:r>
    </w:p>
    <w:p w14:paraId="43543A9C" w14:textId="77777777" w:rsidR="00D6412D" w:rsidRPr="00D6412D" w:rsidRDefault="00D6412D" w:rsidP="00D6412D">
      <w:pPr>
        <w:pStyle w:val="EndNoteBibliography"/>
        <w:rPr>
          <w:noProof/>
        </w:rPr>
      </w:pPr>
      <w:r w:rsidRPr="00D6412D">
        <w:rPr>
          <w:b/>
          <w:noProof/>
        </w:rPr>
        <w:t>Fromm, M.E.</w:t>
      </w:r>
      <w:r w:rsidRPr="00D6412D">
        <w:rPr>
          <w:noProof/>
        </w:rPr>
        <w:t xml:space="preserve"> 2017. </w:t>
      </w:r>
      <w:r w:rsidRPr="00C02041">
        <w:rPr>
          <w:i/>
          <w:iCs/>
          <w:noProof/>
        </w:rPr>
        <w:t>Similar performance from seeds with epigenetic traits</w:t>
      </w:r>
      <w:r w:rsidRPr="00D6412D">
        <w:rPr>
          <w:noProof/>
        </w:rPr>
        <w:t xml:space="preserve">. US 20170223914 A1 </w:t>
      </w:r>
      <w:r w:rsidR="00277CCE">
        <w:rPr>
          <w:noProof/>
        </w:rPr>
        <w:t xml:space="preserve">(available at </w:t>
      </w:r>
      <w:r w:rsidRPr="002C26BB">
        <w:rPr>
          <w:rStyle w:val="Hyperlink"/>
          <w:noProof/>
          <w:sz w:val="24"/>
        </w:rPr>
        <w:t>https://www.google.com/patents/US20170223914</w:t>
      </w:r>
      <w:r w:rsidR="00277CCE">
        <w:rPr>
          <w:rStyle w:val="Hyperlink"/>
          <w:noProof/>
          <w:sz w:val="24"/>
        </w:rPr>
        <w:t>)</w:t>
      </w:r>
      <w:r w:rsidRPr="00D6412D">
        <w:rPr>
          <w:noProof/>
        </w:rPr>
        <w:t>.</w:t>
      </w:r>
    </w:p>
    <w:p w14:paraId="115943E6" w14:textId="77777777" w:rsidR="00D6412D" w:rsidRPr="00D6412D" w:rsidRDefault="00D6412D" w:rsidP="00277CCE">
      <w:pPr>
        <w:pStyle w:val="EndNoteBibliography"/>
        <w:rPr>
          <w:noProof/>
        </w:rPr>
      </w:pPr>
      <w:r w:rsidRPr="00D6412D">
        <w:rPr>
          <w:b/>
          <w:noProof/>
        </w:rPr>
        <w:t>Gabius, H.-J.</w:t>
      </w:r>
      <w:r w:rsidRPr="00D6412D">
        <w:rPr>
          <w:noProof/>
        </w:rPr>
        <w:t xml:space="preserve"> 2018. The sugar code: why glycans are so important. </w:t>
      </w:r>
      <w:r w:rsidRPr="00C02041">
        <w:rPr>
          <w:i/>
          <w:iCs/>
          <w:noProof/>
        </w:rPr>
        <w:t>Biosys</w:t>
      </w:r>
      <w:r w:rsidR="00277CCE">
        <w:rPr>
          <w:i/>
          <w:noProof/>
        </w:rPr>
        <w:t>.,</w:t>
      </w:r>
      <w:r w:rsidRPr="00D6412D">
        <w:rPr>
          <w:i/>
          <w:noProof/>
        </w:rPr>
        <w:t xml:space="preserve"> </w:t>
      </w:r>
      <w:r w:rsidRPr="00C02041">
        <w:rPr>
          <w:iCs/>
          <w:noProof/>
        </w:rPr>
        <w:t>164</w:t>
      </w:r>
      <w:r w:rsidR="00277CCE">
        <w:rPr>
          <w:noProof/>
        </w:rPr>
        <w:t>:</w:t>
      </w:r>
      <w:r w:rsidRPr="00D6412D">
        <w:rPr>
          <w:noProof/>
        </w:rPr>
        <w:t xml:space="preserve"> 102</w:t>
      </w:r>
      <w:r w:rsidR="00277CCE">
        <w:rPr>
          <w:noProof/>
        </w:rPr>
        <w:t>–</w:t>
      </w:r>
      <w:r w:rsidRPr="00D6412D">
        <w:rPr>
          <w:noProof/>
        </w:rPr>
        <w:t>111.</w:t>
      </w:r>
    </w:p>
    <w:p w14:paraId="288E7E23" w14:textId="77777777" w:rsidR="00D6412D" w:rsidRPr="00C02041" w:rsidRDefault="00D6412D" w:rsidP="00277CCE">
      <w:pPr>
        <w:pStyle w:val="EndNoteBibliography"/>
        <w:rPr>
          <w:noProof/>
          <w:lang w:val="fr-FR"/>
        </w:rPr>
      </w:pPr>
      <w:r w:rsidRPr="00D6412D">
        <w:rPr>
          <w:b/>
          <w:noProof/>
        </w:rPr>
        <w:t>Gallagher, R.R., Li, Z., Lewis, A.O.</w:t>
      </w:r>
      <w:r w:rsidR="00277CCE">
        <w:rPr>
          <w:b/>
          <w:noProof/>
        </w:rPr>
        <w:t xml:space="preserve"> &amp;</w:t>
      </w:r>
      <w:r w:rsidRPr="00D6412D">
        <w:rPr>
          <w:b/>
          <w:noProof/>
        </w:rPr>
        <w:t xml:space="preserve"> Isaacs, F.J.</w:t>
      </w:r>
      <w:r w:rsidRPr="00D6412D">
        <w:rPr>
          <w:noProof/>
        </w:rPr>
        <w:t xml:space="preserve"> 2014. Rapid editing and evolution of bacterial genomes using libraries of synthetic DNA. </w:t>
      </w:r>
      <w:r w:rsidRPr="00C02041">
        <w:rPr>
          <w:i/>
          <w:iCs/>
          <w:noProof/>
          <w:lang w:val="en-US"/>
        </w:rPr>
        <w:t>Nat</w:t>
      </w:r>
      <w:r w:rsidR="00277CCE" w:rsidRPr="00C02041">
        <w:rPr>
          <w:i/>
          <w:iCs/>
          <w:noProof/>
          <w:lang w:val="en-US"/>
        </w:rPr>
        <w:t>.</w:t>
      </w:r>
      <w:r w:rsidRPr="00C02041">
        <w:rPr>
          <w:i/>
          <w:iCs/>
          <w:noProof/>
          <w:lang w:val="en-US"/>
        </w:rPr>
        <w:t xml:space="preserve"> </w:t>
      </w:r>
      <w:r w:rsidRPr="00C02041">
        <w:rPr>
          <w:i/>
          <w:iCs/>
          <w:noProof/>
          <w:lang w:val="fr-FR"/>
        </w:rPr>
        <w:t>Protoc</w:t>
      </w:r>
      <w:r w:rsidR="00277CCE" w:rsidRPr="00B55935">
        <w:rPr>
          <w:i/>
          <w:iCs/>
          <w:noProof/>
          <w:lang w:val="fr-FR"/>
        </w:rPr>
        <w:t>.,</w:t>
      </w:r>
      <w:r w:rsidRPr="00C02041">
        <w:rPr>
          <w:i/>
          <w:noProof/>
          <w:lang w:val="fr-FR"/>
        </w:rPr>
        <w:t xml:space="preserve"> </w:t>
      </w:r>
      <w:r w:rsidRPr="00C02041">
        <w:rPr>
          <w:iCs/>
          <w:noProof/>
          <w:lang w:val="fr-FR"/>
        </w:rPr>
        <w:t>9</w:t>
      </w:r>
      <w:r w:rsidR="00277CCE" w:rsidRPr="00B55935">
        <w:rPr>
          <w:noProof/>
          <w:lang w:val="fr-FR"/>
        </w:rPr>
        <w:t>:</w:t>
      </w:r>
      <w:r w:rsidRPr="00C02041">
        <w:rPr>
          <w:noProof/>
          <w:lang w:val="fr-FR"/>
        </w:rPr>
        <w:t xml:space="preserve"> 2301</w:t>
      </w:r>
      <w:r w:rsidR="00277CCE" w:rsidRPr="00C02041">
        <w:rPr>
          <w:noProof/>
          <w:lang w:val="fr-FR"/>
        </w:rPr>
        <w:t>–</w:t>
      </w:r>
      <w:r w:rsidRPr="00C02041">
        <w:rPr>
          <w:noProof/>
          <w:lang w:val="fr-FR"/>
        </w:rPr>
        <w:t>2316.</w:t>
      </w:r>
    </w:p>
    <w:p w14:paraId="7D89C54D" w14:textId="77777777" w:rsidR="00D6412D" w:rsidRPr="00D6412D" w:rsidRDefault="00D6412D" w:rsidP="00277CCE">
      <w:pPr>
        <w:pStyle w:val="EndNoteBibliography"/>
        <w:rPr>
          <w:noProof/>
        </w:rPr>
      </w:pPr>
      <w:r w:rsidRPr="00C02041">
        <w:rPr>
          <w:b/>
          <w:noProof/>
          <w:lang w:val="fr-FR"/>
        </w:rPr>
        <w:t>Gallusci, P., Dai, Z., Génard, M., Gauffretau, A., Leblanc-Fournier, N., Richard-Molard, C., Vile, D.</w:t>
      </w:r>
      <w:r w:rsidR="00277CCE">
        <w:rPr>
          <w:b/>
          <w:noProof/>
          <w:lang w:val="fr-FR"/>
        </w:rPr>
        <w:t xml:space="preserve"> </w:t>
      </w:r>
      <w:r w:rsidR="00277CCE" w:rsidRPr="0012061B">
        <w:rPr>
          <w:b/>
          <w:noProof/>
          <w:lang w:val="fr-FR"/>
        </w:rPr>
        <w:t>&amp;</w:t>
      </w:r>
      <w:r w:rsidRPr="0012061B">
        <w:rPr>
          <w:b/>
          <w:noProof/>
          <w:lang w:val="fr-FR"/>
        </w:rPr>
        <w:t xml:space="preserve"> Brunel-Muguet, S.</w:t>
      </w:r>
      <w:r w:rsidRPr="0012061B">
        <w:rPr>
          <w:noProof/>
          <w:lang w:val="fr-FR"/>
        </w:rPr>
        <w:t xml:space="preserve"> 2017. </w:t>
      </w:r>
      <w:r w:rsidRPr="00D6412D">
        <w:rPr>
          <w:noProof/>
        </w:rPr>
        <w:t xml:space="preserve">Epigenetics for Plant Improvement: Current Knowledge and Modeling Avenues. </w:t>
      </w:r>
      <w:r w:rsidRPr="00C02041">
        <w:rPr>
          <w:i/>
          <w:iCs/>
          <w:noProof/>
        </w:rPr>
        <w:t>Trend Pl</w:t>
      </w:r>
      <w:r w:rsidR="00277CCE">
        <w:rPr>
          <w:i/>
          <w:iCs/>
          <w:noProof/>
        </w:rPr>
        <w:t>.</w:t>
      </w:r>
      <w:r w:rsidRPr="00C02041">
        <w:rPr>
          <w:i/>
          <w:iCs/>
          <w:noProof/>
        </w:rPr>
        <w:t xml:space="preserve"> Sci</w:t>
      </w:r>
      <w:r w:rsidR="00277CCE">
        <w:rPr>
          <w:i/>
          <w:iCs/>
          <w:noProof/>
        </w:rPr>
        <w:t>.,</w:t>
      </w:r>
      <w:r w:rsidRPr="00D6412D">
        <w:rPr>
          <w:i/>
          <w:noProof/>
        </w:rPr>
        <w:t xml:space="preserve"> </w:t>
      </w:r>
      <w:r w:rsidRPr="00C02041">
        <w:rPr>
          <w:iCs/>
          <w:noProof/>
        </w:rPr>
        <w:t>22</w:t>
      </w:r>
      <w:r w:rsidR="00277CCE">
        <w:rPr>
          <w:noProof/>
        </w:rPr>
        <w:t>:</w:t>
      </w:r>
      <w:r w:rsidRPr="00D6412D">
        <w:rPr>
          <w:noProof/>
        </w:rPr>
        <w:t xml:space="preserve"> 610</w:t>
      </w:r>
      <w:r w:rsidR="00277CCE">
        <w:rPr>
          <w:noProof/>
        </w:rPr>
        <w:t>–</w:t>
      </w:r>
      <w:r w:rsidRPr="00D6412D">
        <w:rPr>
          <w:noProof/>
        </w:rPr>
        <w:t>623.</w:t>
      </w:r>
    </w:p>
    <w:p w14:paraId="29630AD8" w14:textId="77777777" w:rsidR="00D6412D" w:rsidRPr="00D6412D" w:rsidRDefault="00D6412D" w:rsidP="00277CCE">
      <w:pPr>
        <w:pStyle w:val="EndNoteBibliography"/>
        <w:rPr>
          <w:noProof/>
        </w:rPr>
      </w:pPr>
      <w:r w:rsidRPr="00D6412D">
        <w:rPr>
          <w:b/>
          <w:noProof/>
        </w:rPr>
        <w:t>Galperin, M.Y., Fernández-Suárez, X.M.</w:t>
      </w:r>
      <w:r w:rsidR="00277CCE">
        <w:rPr>
          <w:b/>
          <w:noProof/>
        </w:rPr>
        <w:t xml:space="preserve"> &amp;</w:t>
      </w:r>
      <w:r w:rsidRPr="00D6412D">
        <w:rPr>
          <w:b/>
          <w:noProof/>
        </w:rPr>
        <w:t xml:space="preserve"> Rigden, D.J.</w:t>
      </w:r>
      <w:r w:rsidRPr="00D6412D">
        <w:rPr>
          <w:noProof/>
        </w:rPr>
        <w:t xml:space="preserve"> 2016. The 24th annual Nucleic Acids Research database issue: a look back and upcoming changes. </w:t>
      </w:r>
      <w:r w:rsidRPr="00C02041">
        <w:rPr>
          <w:i/>
          <w:iCs/>
          <w:noProof/>
        </w:rPr>
        <w:t>Nucleic Acids Res</w:t>
      </w:r>
      <w:r w:rsidR="00277CCE">
        <w:rPr>
          <w:i/>
          <w:noProof/>
        </w:rPr>
        <w:t>.,</w:t>
      </w:r>
      <w:r w:rsidRPr="00D6412D">
        <w:rPr>
          <w:i/>
          <w:noProof/>
        </w:rPr>
        <w:t xml:space="preserve"> </w:t>
      </w:r>
      <w:r w:rsidRPr="00C02041">
        <w:rPr>
          <w:iCs/>
          <w:noProof/>
        </w:rPr>
        <w:t>45</w:t>
      </w:r>
      <w:r w:rsidR="00277CCE">
        <w:rPr>
          <w:noProof/>
        </w:rPr>
        <w:t>:</w:t>
      </w:r>
      <w:r w:rsidRPr="00D6412D">
        <w:rPr>
          <w:noProof/>
        </w:rPr>
        <w:t xml:space="preserve"> D1</w:t>
      </w:r>
      <w:r w:rsidR="00277CCE">
        <w:rPr>
          <w:noProof/>
        </w:rPr>
        <w:t>–</w:t>
      </w:r>
      <w:r w:rsidRPr="00D6412D">
        <w:rPr>
          <w:noProof/>
        </w:rPr>
        <w:t>D11.</w:t>
      </w:r>
    </w:p>
    <w:p w14:paraId="57A3BB49" w14:textId="77777777" w:rsidR="00D6412D" w:rsidRPr="00D6412D" w:rsidRDefault="00D6412D" w:rsidP="00277CCE">
      <w:pPr>
        <w:pStyle w:val="EndNoteBibliography"/>
        <w:rPr>
          <w:noProof/>
        </w:rPr>
      </w:pPr>
      <w:r w:rsidRPr="00D6412D">
        <w:rPr>
          <w:b/>
          <w:noProof/>
        </w:rPr>
        <w:t>García-Sancho, M.</w:t>
      </w:r>
      <w:r w:rsidRPr="00D6412D">
        <w:rPr>
          <w:noProof/>
        </w:rPr>
        <w:t xml:space="preserve"> 2015. Genetic information in the age of DNA sequencing. </w:t>
      </w:r>
      <w:r w:rsidRPr="00C02041">
        <w:rPr>
          <w:i/>
          <w:iCs/>
          <w:noProof/>
        </w:rPr>
        <w:t>Information and Culture: A Journal of History</w:t>
      </w:r>
      <w:r w:rsidR="00277CCE">
        <w:rPr>
          <w:i/>
          <w:noProof/>
        </w:rPr>
        <w:t>,</w:t>
      </w:r>
      <w:r w:rsidRPr="00D6412D">
        <w:rPr>
          <w:i/>
          <w:noProof/>
        </w:rPr>
        <w:t xml:space="preserve"> </w:t>
      </w:r>
      <w:r w:rsidRPr="00C02041">
        <w:rPr>
          <w:iCs/>
          <w:noProof/>
        </w:rPr>
        <w:t>50</w:t>
      </w:r>
      <w:r w:rsidR="00277CCE">
        <w:rPr>
          <w:noProof/>
        </w:rPr>
        <w:t>:</w:t>
      </w:r>
      <w:r w:rsidRPr="00D6412D">
        <w:rPr>
          <w:noProof/>
        </w:rPr>
        <w:t xml:space="preserve"> 110</w:t>
      </w:r>
      <w:r w:rsidR="00277CCE">
        <w:rPr>
          <w:noProof/>
        </w:rPr>
        <w:t>–</w:t>
      </w:r>
      <w:r w:rsidRPr="00D6412D">
        <w:rPr>
          <w:noProof/>
        </w:rPr>
        <w:t>142.</w:t>
      </w:r>
    </w:p>
    <w:p w14:paraId="3F54CFEA" w14:textId="77777777" w:rsidR="00D6412D" w:rsidRPr="00D6412D" w:rsidRDefault="00D6412D" w:rsidP="00277CCE">
      <w:pPr>
        <w:pStyle w:val="EndNoteBibliography"/>
        <w:rPr>
          <w:noProof/>
        </w:rPr>
      </w:pPr>
      <w:r w:rsidRPr="00D6412D">
        <w:rPr>
          <w:b/>
          <w:noProof/>
        </w:rPr>
        <w:t>GenBank</w:t>
      </w:r>
      <w:r w:rsidRPr="00D6412D">
        <w:rPr>
          <w:noProof/>
        </w:rPr>
        <w:t xml:space="preserve">. </w:t>
      </w:r>
      <w:r w:rsidRPr="002C26BB">
        <w:rPr>
          <w:rStyle w:val="Hyperlink"/>
          <w:noProof/>
          <w:sz w:val="24"/>
        </w:rPr>
        <w:t>https://www.ncbi.nlm.nih.gov/genbank/</w:t>
      </w:r>
      <w:r w:rsidRPr="00D6412D">
        <w:rPr>
          <w:noProof/>
        </w:rPr>
        <w:t>. Access</w:t>
      </w:r>
      <w:r w:rsidR="00277CCE">
        <w:rPr>
          <w:noProof/>
        </w:rPr>
        <w:t>ed</w:t>
      </w:r>
      <w:r w:rsidRPr="00D6412D">
        <w:rPr>
          <w:noProof/>
        </w:rPr>
        <w:t xml:space="preserve"> 25 November 2017</w:t>
      </w:r>
      <w:r w:rsidR="00277CCE">
        <w:rPr>
          <w:noProof/>
        </w:rPr>
        <w:t>.</w:t>
      </w:r>
    </w:p>
    <w:p w14:paraId="33B9092B" w14:textId="77777777" w:rsidR="00D6412D" w:rsidRPr="00D6412D" w:rsidRDefault="00D6412D" w:rsidP="00277CCE">
      <w:pPr>
        <w:pStyle w:val="EndNoteBibliography"/>
        <w:rPr>
          <w:noProof/>
        </w:rPr>
      </w:pPr>
      <w:r w:rsidRPr="00D6412D">
        <w:rPr>
          <w:b/>
          <w:noProof/>
        </w:rPr>
        <w:t>GenBank</w:t>
      </w:r>
      <w:r w:rsidRPr="00D6412D">
        <w:rPr>
          <w:noProof/>
        </w:rPr>
        <w:t xml:space="preserve">. </w:t>
      </w:r>
      <w:r w:rsidRPr="00C02041">
        <w:rPr>
          <w:i/>
          <w:iCs/>
          <w:noProof/>
        </w:rPr>
        <w:t>How to submit data to GenBank</w:t>
      </w:r>
      <w:r w:rsidR="00277CCE" w:rsidRPr="00C02041">
        <w:rPr>
          <w:i/>
          <w:iCs/>
          <w:noProof/>
        </w:rPr>
        <w:t xml:space="preserve"> </w:t>
      </w:r>
      <w:r w:rsidR="00277CCE">
        <w:rPr>
          <w:noProof/>
        </w:rPr>
        <w:t>(available at</w:t>
      </w:r>
      <w:r w:rsidRPr="00D6412D">
        <w:rPr>
          <w:noProof/>
        </w:rPr>
        <w:t xml:space="preserve"> </w:t>
      </w:r>
      <w:r w:rsidRPr="002C26BB">
        <w:rPr>
          <w:rStyle w:val="Hyperlink"/>
          <w:noProof/>
          <w:sz w:val="24"/>
        </w:rPr>
        <w:t>https://www.ncbi.nlm.nih.gov/genbank/submit/</w:t>
      </w:r>
      <w:r w:rsidRPr="00D6412D">
        <w:rPr>
          <w:noProof/>
        </w:rPr>
        <w:t xml:space="preserve"> </w:t>
      </w:r>
      <w:r w:rsidR="00277CCE">
        <w:rPr>
          <w:noProof/>
        </w:rPr>
        <w:t>a</w:t>
      </w:r>
      <w:r w:rsidRPr="00D6412D">
        <w:rPr>
          <w:noProof/>
        </w:rPr>
        <w:t>ccess</w:t>
      </w:r>
      <w:r w:rsidR="00277CCE">
        <w:rPr>
          <w:noProof/>
        </w:rPr>
        <w:t>ed</w:t>
      </w:r>
      <w:r w:rsidRPr="00D6412D">
        <w:rPr>
          <w:noProof/>
        </w:rPr>
        <w:t xml:space="preserve"> 7 December 2017</w:t>
      </w:r>
      <w:r w:rsidR="00277CCE">
        <w:rPr>
          <w:noProof/>
        </w:rPr>
        <w:t>).</w:t>
      </w:r>
    </w:p>
    <w:p w14:paraId="5CA18332" w14:textId="77777777" w:rsidR="00D6412D" w:rsidRPr="00D6412D" w:rsidRDefault="00D6412D" w:rsidP="00277CCE">
      <w:pPr>
        <w:pStyle w:val="EndNoteBibliography"/>
        <w:rPr>
          <w:noProof/>
        </w:rPr>
      </w:pPr>
      <w:r w:rsidRPr="00C02041">
        <w:rPr>
          <w:b/>
          <w:noProof/>
          <w:lang w:val="it-IT"/>
        </w:rPr>
        <w:t>Gerber, P.J., Steinfeld, H., Henderson, B., Mottet, A., Opio, C., Dijkman, J., Falcucci, A.</w:t>
      </w:r>
      <w:r w:rsidR="00277CCE" w:rsidRPr="00C02041">
        <w:rPr>
          <w:b/>
          <w:noProof/>
          <w:lang w:val="it-IT"/>
        </w:rPr>
        <w:t xml:space="preserve"> &amp;</w:t>
      </w:r>
      <w:r w:rsidRPr="00C02041">
        <w:rPr>
          <w:b/>
          <w:noProof/>
          <w:lang w:val="it-IT"/>
        </w:rPr>
        <w:t xml:space="preserve"> Tempio, G.</w:t>
      </w:r>
      <w:r w:rsidRPr="00C02041">
        <w:rPr>
          <w:noProof/>
          <w:lang w:val="it-IT"/>
        </w:rPr>
        <w:t xml:space="preserve"> 2013. </w:t>
      </w:r>
      <w:r w:rsidRPr="00C02041">
        <w:rPr>
          <w:i/>
          <w:iCs/>
          <w:noProof/>
        </w:rPr>
        <w:t>Tackling climate change through livestock - a global assessment of emissions and mitigation</w:t>
      </w:r>
      <w:r w:rsidRPr="00D6412D">
        <w:rPr>
          <w:noProof/>
        </w:rPr>
        <w:t xml:space="preserve">. </w:t>
      </w:r>
      <w:r w:rsidR="00277CCE">
        <w:rPr>
          <w:noProof/>
        </w:rPr>
        <w:t>Rome,</w:t>
      </w:r>
      <w:r w:rsidRPr="00D6412D">
        <w:rPr>
          <w:noProof/>
        </w:rPr>
        <w:t xml:space="preserve"> FAO </w:t>
      </w:r>
      <w:r w:rsidR="00277CCE">
        <w:rPr>
          <w:noProof/>
        </w:rPr>
        <w:t xml:space="preserve">(available at </w:t>
      </w:r>
      <w:r w:rsidRPr="002C26BB">
        <w:rPr>
          <w:rStyle w:val="Hyperlink"/>
          <w:noProof/>
          <w:sz w:val="24"/>
        </w:rPr>
        <w:t>http://www.fao.org/docrep/018/i3437e/i3437e.pdf</w:t>
      </w:r>
      <w:r w:rsidR="00277CCE">
        <w:rPr>
          <w:rStyle w:val="Hyperlink"/>
          <w:noProof/>
          <w:sz w:val="24"/>
        </w:rPr>
        <w:t>)</w:t>
      </w:r>
      <w:r w:rsidRPr="00D6412D">
        <w:rPr>
          <w:noProof/>
        </w:rPr>
        <w:t>.</w:t>
      </w:r>
    </w:p>
    <w:p w14:paraId="3B33076E" w14:textId="77777777" w:rsidR="00D6412D" w:rsidRPr="00D6412D" w:rsidRDefault="00D6412D" w:rsidP="00277CCE">
      <w:pPr>
        <w:pStyle w:val="EndNoteBibliography"/>
        <w:rPr>
          <w:noProof/>
        </w:rPr>
      </w:pPr>
      <w:r w:rsidRPr="00D6412D">
        <w:rPr>
          <w:b/>
          <w:noProof/>
        </w:rPr>
        <w:t>Ghatak, A., Chaturvedi, P.</w:t>
      </w:r>
      <w:r w:rsidR="00277CCE">
        <w:rPr>
          <w:b/>
          <w:noProof/>
        </w:rPr>
        <w:t xml:space="preserve"> &amp;</w:t>
      </w:r>
      <w:r w:rsidRPr="00D6412D">
        <w:rPr>
          <w:b/>
          <w:noProof/>
        </w:rPr>
        <w:t xml:space="preserve"> Weckwerth, W.</w:t>
      </w:r>
      <w:r w:rsidRPr="00D6412D">
        <w:rPr>
          <w:noProof/>
        </w:rPr>
        <w:t xml:space="preserve"> 2017. Cereal crop proteomics: systemic analysis of crop drought stress responses towards marker-assisted selection breeding. </w:t>
      </w:r>
      <w:r w:rsidRPr="00C02041">
        <w:rPr>
          <w:i/>
          <w:iCs/>
          <w:noProof/>
        </w:rPr>
        <w:t>Front Plant Sci</w:t>
      </w:r>
      <w:r w:rsidR="00277CCE">
        <w:rPr>
          <w:i/>
          <w:noProof/>
        </w:rPr>
        <w:t>.,</w:t>
      </w:r>
      <w:r w:rsidRPr="00D6412D">
        <w:rPr>
          <w:i/>
          <w:noProof/>
        </w:rPr>
        <w:t xml:space="preserve"> </w:t>
      </w:r>
      <w:r w:rsidRPr="00C02041">
        <w:rPr>
          <w:iCs/>
          <w:noProof/>
        </w:rPr>
        <w:t>8</w:t>
      </w:r>
      <w:r w:rsidR="00277CCE">
        <w:rPr>
          <w:noProof/>
        </w:rPr>
        <w:t>.</w:t>
      </w:r>
    </w:p>
    <w:p w14:paraId="2FB0E0E0" w14:textId="77777777" w:rsidR="00D6412D" w:rsidRPr="00D6412D" w:rsidRDefault="00D6412D" w:rsidP="00277CCE">
      <w:pPr>
        <w:pStyle w:val="EndNoteBibliography"/>
        <w:rPr>
          <w:noProof/>
        </w:rPr>
      </w:pPr>
      <w:r w:rsidRPr="00D6412D">
        <w:rPr>
          <w:b/>
          <w:noProof/>
        </w:rPr>
        <w:t>Gibson, D.G.</w:t>
      </w:r>
      <w:r w:rsidRPr="00D6412D">
        <w:rPr>
          <w:noProof/>
        </w:rPr>
        <w:t xml:space="preserve"> 2014. Programming biological operating systems: genome design, assembly and activation. </w:t>
      </w:r>
      <w:r w:rsidRPr="00C02041">
        <w:rPr>
          <w:i/>
          <w:iCs/>
          <w:noProof/>
        </w:rPr>
        <w:t>Nat</w:t>
      </w:r>
      <w:r w:rsidR="00277CCE">
        <w:rPr>
          <w:i/>
          <w:iCs/>
          <w:noProof/>
        </w:rPr>
        <w:t>.</w:t>
      </w:r>
      <w:r w:rsidRPr="00C02041">
        <w:rPr>
          <w:i/>
          <w:iCs/>
          <w:noProof/>
        </w:rPr>
        <w:t xml:space="preserve"> Method</w:t>
      </w:r>
      <w:r w:rsidR="00277CCE">
        <w:rPr>
          <w:i/>
          <w:iCs/>
          <w:noProof/>
        </w:rPr>
        <w:t>,</w:t>
      </w:r>
      <w:r w:rsidRPr="00381F8F">
        <w:rPr>
          <w:i/>
          <w:iCs/>
          <w:noProof/>
        </w:rPr>
        <w:t xml:space="preserve"> </w:t>
      </w:r>
      <w:r w:rsidRPr="00C02041">
        <w:rPr>
          <w:iCs/>
          <w:noProof/>
        </w:rPr>
        <w:t>11</w:t>
      </w:r>
      <w:r w:rsidR="00277CCE">
        <w:rPr>
          <w:noProof/>
        </w:rPr>
        <w:t>:</w:t>
      </w:r>
      <w:r w:rsidRPr="00D6412D">
        <w:rPr>
          <w:noProof/>
        </w:rPr>
        <w:t xml:space="preserve"> 521</w:t>
      </w:r>
      <w:r w:rsidR="00277CCE">
        <w:rPr>
          <w:noProof/>
        </w:rPr>
        <w:t>–</w:t>
      </w:r>
      <w:r w:rsidRPr="00D6412D">
        <w:rPr>
          <w:noProof/>
        </w:rPr>
        <w:t>526.</w:t>
      </w:r>
    </w:p>
    <w:p w14:paraId="2FAFCA04" w14:textId="77777777" w:rsidR="00D6412D" w:rsidRPr="00D6412D" w:rsidRDefault="00D6412D" w:rsidP="00277CCE">
      <w:pPr>
        <w:pStyle w:val="EndNoteBibliography"/>
        <w:rPr>
          <w:noProof/>
        </w:rPr>
      </w:pPr>
      <w:r w:rsidRPr="00D6412D">
        <w:rPr>
          <w:b/>
          <w:noProof/>
        </w:rPr>
        <w:t>GLIS</w:t>
      </w:r>
      <w:r w:rsidRPr="00D6412D">
        <w:rPr>
          <w:noProof/>
        </w:rPr>
        <w:t xml:space="preserve">. 2015. </w:t>
      </w:r>
      <w:r w:rsidRPr="00C02041">
        <w:rPr>
          <w:i/>
          <w:iCs/>
          <w:noProof/>
        </w:rPr>
        <w:t>First Meeting of the Expert Consultation on the Global Information System on Plant Genetic Resources for Food and Agriculture</w:t>
      </w:r>
      <w:r w:rsidRPr="00D6412D">
        <w:rPr>
          <w:noProof/>
        </w:rPr>
        <w:t xml:space="preserve">. </w:t>
      </w:r>
      <w:r w:rsidR="00277CCE">
        <w:rPr>
          <w:noProof/>
        </w:rPr>
        <w:t xml:space="preserve">Rome, </w:t>
      </w:r>
      <w:r w:rsidRPr="00D6412D">
        <w:rPr>
          <w:noProof/>
        </w:rPr>
        <w:t xml:space="preserve">FAO </w:t>
      </w:r>
      <w:r w:rsidR="00277CCE">
        <w:rPr>
          <w:noProof/>
        </w:rPr>
        <w:t xml:space="preserve">(available at </w:t>
      </w:r>
      <w:r w:rsidRPr="002C26BB">
        <w:rPr>
          <w:rStyle w:val="Hyperlink"/>
          <w:noProof/>
          <w:sz w:val="24"/>
        </w:rPr>
        <w:t>http://www.fao.org/3/a-be664e.pdf</w:t>
      </w:r>
      <w:r w:rsidR="00277CCE">
        <w:rPr>
          <w:rStyle w:val="Hyperlink"/>
          <w:noProof/>
          <w:sz w:val="24"/>
        </w:rPr>
        <w:t>)</w:t>
      </w:r>
      <w:r w:rsidRPr="00D6412D">
        <w:rPr>
          <w:noProof/>
        </w:rPr>
        <w:t>.</w:t>
      </w:r>
    </w:p>
    <w:p w14:paraId="05E5D0BA" w14:textId="77777777" w:rsidR="00D6412D" w:rsidRPr="00C02041" w:rsidRDefault="00D6412D" w:rsidP="00277CCE">
      <w:pPr>
        <w:pStyle w:val="EndNoteBibliography"/>
        <w:rPr>
          <w:noProof/>
          <w:lang w:val="it-IT"/>
        </w:rPr>
      </w:pPr>
      <w:r w:rsidRPr="00D6412D">
        <w:rPr>
          <w:b/>
          <w:noProof/>
        </w:rPr>
        <w:t>Griffiths, A.J.F., Miller, J.H., Suzuki, D.T., Lewontin, R.C.</w:t>
      </w:r>
      <w:r w:rsidR="00277CCE">
        <w:rPr>
          <w:b/>
          <w:noProof/>
        </w:rPr>
        <w:t xml:space="preserve"> &amp;</w:t>
      </w:r>
      <w:r w:rsidRPr="00D6412D">
        <w:rPr>
          <w:b/>
          <w:noProof/>
        </w:rPr>
        <w:t xml:space="preserve"> Gelbart, W.M.</w:t>
      </w:r>
      <w:r w:rsidRPr="00D6412D">
        <w:rPr>
          <w:noProof/>
        </w:rPr>
        <w:t xml:space="preserve"> 2000. DNA: The genetic material. </w:t>
      </w:r>
      <w:r w:rsidRPr="00C02041">
        <w:rPr>
          <w:i/>
          <w:iCs/>
          <w:noProof/>
          <w:lang w:val="en-US"/>
        </w:rPr>
        <w:t>In</w:t>
      </w:r>
      <w:r w:rsidRPr="00C02041">
        <w:rPr>
          <w:noProof/>
          <w:lang w:val="en-US"/>
        </w:rPr>
        <w:t xml:space="preserve"> </w:t>
      </w:r>
      <w:r w:rsidR="00277CCE" w:rsidRPr="00C02041">
        <w:rPr>
          <w:noProof/>
          <w:lang w:val="en-US"/>
        </w:rPr>
        <w:t xml:space="preserve">W.H. Freeman. </w:t>
      </w:r>
      <w:r w:rsidRPr="00C02041">
        <w:rPr>
          <w:i/>
          <w:iCs/>
          <w:noProof/>
          <w:lang w:val="it-IT"/>
        </w:rPr>
        <w:t>An Introduction to Genetic Analysis</w:t>
      </w:r>
      <w:r w:rsidRPr="00C02041">
        <w:rPr>
          <w:noProof/>
          <w:lang w:val="it-IT"/>
        </w:rPr>
        <w:t>.</w:t>
      </w:r>
    </w:p>
    <w:p w14:paraId="5C8517CE" w14:textId="77777777" w:rsidR="00D6412D" w:rsidRPr="00D6412D" w:rsidRDefault="00D6412D" w:rsidP="00277CCE">
      <w:pPr>
        <w:pStyle w:val="EndNoteBibliography"/>
        <w:rPr>
          <w:noProof/>
        </w:rPr>
      </w:pPr>
      <w:r w:rsidRPr="00C02041">
        <w:rPr>
          <w:b/>
          <w:noProof/>
          <w:lang w:val="it-IT"/>
        </w:rPr>
        <w:t>Guzzetti, L., Galimberti, A., Bruni, I., Magoni, C., Ferri, M., Tassoni, A., Sangiovanni, E., Dell'Agli, M.</w:t>
      </w:r>
      <w:r w:rsidR="00277CCE">
        <w:rPr>
          <w:b/>
          <w:noProof/>
          <w:lang w:val="it-IT"/>
        </w:rPr>
        <w:t xml:space="preserve"> </w:t>
      </w:r>
      <w:r w:rsidR="00277CCE" w:rsidRPr="0012061B">
        <w:rPr>
          <w:b/>
          <w:noProof/>
          <w:lang w:val="fr-FR"/>
        </w:rPr>
        <w:t>&amp;</w:t>
      </w:r>
      <w:r w:rsidRPr="0012061B">
        <w:rPr>
          <w:b/>
          <w:noProof/>
          <w:lang w:val="fr-FR"/>
        </w:rPr>
        <w:t xml:space="preserve"> Labra, M.</w:t>
      </w:r>
      <w:r w:rsidRPr="0012061B">
        <w:rPr>
          <w:noProof/>
          <w:lang w:val="fr-FR"/>
        </w:rPr>
        <w:t xml:space="preserve"> 2018. </w:t>
      </w:r>
      <w:r w:rsidRPr="00D6412D">
        <w:rPr>
          <w:noProof/>
        </w:rPr>
        <w:t xml:space="preserve">Bioprospecting on invasive plant species to prevent seed dispersal. </w:t>
      </w:r>
      <w:r w:rsidRPr="00C02041">
        <w:rPr>
          <w:i/>
          <w:iCs/>
          <w:noProof/>
        </w:rPr>
        <w:t>Sci</w:t>
      </w:r>
      <w:r w:rsidR="00277CCE">
        <w:rPr>
          <w:i/>
          <w:iCs/>
          <w:noProof/>
        </w:rPr>
        <w:t>.</w:t>
      </w:r>
      <w:r w:rsidRPr="00C02041">
        <w:rPr>
          <w:i/>
          <w:iCs/>
          <w:noProof/>
        </w:rPr>
        <w:t xml:space="preserve"> Rep</w:t>
      </w:r>
      <w:r w:rsidR="00277CCE">
        <w:rPr>
          <w:i/>
          <w:iCs/>
          <w:noProof/>
        </w:rPr>
        <w:t>.,</w:t>
      </w:r>
      <w:r w:rsidRPr="00D6412D">
        <w:rPr>
          <w:i/>
          <w:noProof/>
        </w:rPr>
        <w:t xml:space="preserve"> </w:t>
      </w:r>
      <w:r w:rsidRPr="00C02041">
        <w:rPr>
          <w:iCs/>
          <w:noProof/>
        </w:rPr>
        <w:t>8</w:t>
      </w:r>
      <w:r w:rsidR="00277CCE">
        <w:rPr>
          <w:noProof/>
        </w:rPr>
        <w:t>:</w:t>
      </w:r>
      <w:r w:rsidRPr="00D6412D">
        <w:rPr>
          <w:noProof/>
        </w:rPr>
        <w:t xml:space="preserve"> 11128.</w:t>
      </w:r>
    </w:p>
    <w:p w14:paraId="78EF286D" w14:textId="77777777" w:rsidR="00D6412D" w:rsidRPr="00D6412D" w:rsidRDefault="00D6412D" w:rsidP="00277CCE">
      <w:pPr>
        <w:pStyle w:val="EndNoteBibliography"/>
        <w:rPr>
          <w:noProof/>
        </w:rPr>
      </w:pPr>
      <w:r w:rsidRPr="00D6412D">
        <w:rPr>
          <w:b/>
          <w:noProof/>
        </w:rPr>
        <w:t>Hackmann, T.J.</w:t>
      </w:r>
      <w:r w:rsidR="00277CCE">
        <w:rPr>
          <w:b/>
          <w:noProof/>
        </w:rPr>
        <w:t xml:space="preserve"> &amp;</w:t>
      </w:r>
      <w:r w:rsidRPr="00D6412D">
        <w:rPr>
          <w:b/>
          <w:noProof/>
        </w:rPr>
        <w:t xml:space="preserve"> Spain, J.N.</w:t>
      </w:r>
      <w:r w:rsidRPr="00D6412D">
        <w:rPr>
          <w:noProof/>
        </w:rPr>
        <w:t xml:space="preserve"> 2010. Invited review: ruminant ecology and evolution: perspectives useful to ruminant livestock research and production. </w:t>
      </w:r>
      <w:r w:rsidRPr="00C02041">
        <w:rPr>
          <w:i/>
          <w:iCs/>
          <w:noProof/>
        </w:rPr>
        <w:t>J</w:t>
      </w:r>
      <w:r w:rsidR="00277CCE">
        <w:rPr>
          <w:i/>
          <w:iCs/>
          <w:noProof/>
        </w:rPr>
        <w:t>.</w:t>
      </w:r>
      <w:r w:rsidRPr="00C02041">
        <w:rPr>
          <w:i/>
          <w:iCs/>
          <w:noProof/>
        </w:rPr>
        <w:t xml:space="preserve"> Dairy Sci</w:t>
      </w:r>
      <w:r w:rsidR="00277CCE">
        <w:rPr>
          <w:i/>
          <w:iCs/>
          <w:noProof/>
        </w:rPr>
        <w:t>.,</w:t>
      </w:r>
      <w:r w:rsidRPr="00D6412D">
        <w:rPr>
          <w:i/>
          <w:noProof/>
        </w:rPr>
        <w:t xml:space="preserve"> </w:t>
      </w:r>
      <w:r w:rsidRPr="00C02041">
        <w:rPr>
          <w:iCs/>
          <w:noProof/>
        </w:rPr>
        <w:t>93</w:t>
      </w:r>
      <w:r w:rsidR="00277CCE">
        <w:rPr>
          <w:noProof/>
        </w:rPr>
        <w:t>:</w:t>
      </w:r>
      <w:r w:rsidRPr="00D6412D">
        <w:rPr>
          <w:noProof/>
        </w:rPr>
        <w:t xml:space="preserve"> 1320</w:t>
      </w:r>
      <w:r w:rsidR="00277CCE">
        <w:rPr>
          <w:noProof/>
        </w:rPr>
        <w:t>–</w:t>
      </w:r>
      <w:r w:rsidRPr="00D6412D">
        <w:rPr>
          <w:noProof/>
        </w:rPr>
        <w:t>1334.</w:t>
      </w:r>
    </w:p>
    <w:p w14:paraId="09EEE1B3" w14:textId="77777777" w:rsidR="00D6412D" w:rsidRPr="00D6412D" w:rsidRDefault="00D6412D" w:rsidP="00277CCE">
      <w:pPr>
        <w:pStyle w:val="EndNoteBibliography"/>
        <w:rPr>
          <w:noProof/>
        </w:rPr>
      </w:pPr>
      <w:r w:rsidRPr="00D6412D">
        <w:rPr>
          <w:b/>
          <w:noProof/>
        </w:rPr>
        <w:t>Haile-Mariam, M., Pryce, J.E., Schrooten, C.</w:t>
      </w:r>
      <w:r w:rsidR="00277CCE">
        <w:rPr>
          <w:b/>
          <w:noProof/>
        </w:rPr>
        <w:t xml:space="preserve"> &amp;</w:t>
      </w:r>
      <w:r w:rsidRPr="00D6412D">
        <w:rPr>
          <w:b/>
          <w:noProof/>
        </w:rPr>
        <w:t xml:space="preserve"> Hayes, B.J.</w:t>
      </w:r>
      <w:r w:rsidRPr="00D6412D">
        <w:rPr>
          <w:noProof/>
        </w:rPr>
        <w:t xml:space="preserve"> Including overseas performance information in genomic evaluations of Australian dairy cattle. </w:t>
      </w:r>
      <w:r w:rsidRPr="00C02041">
        <w:rPr>
          <w:i/>
          <w:iCs/>
          <w:noProof/>
        </w:rPr>
        <w:t>J</w:t>
      </w:r>
      <w:r w:rsidR="00277CCE">
        <w:rPr>
          <w:i/>
          <w:iCs/>
          <w:noProof/>
        </w:rPr>
        <w:t>.</w:t>
      </w:r>
      <w:r w:rsidRPr="00C02041">
        <w:rPr>
          <w:i/>
          <w:iCs/>
          <w:noProof/>
        </w:rPr>
        <w:t xml:space="preserve"> Dairy Sci</w:t>
      </w:r>
      <w:r w:rsidR="00277CCE">
        <w:rPr>
          <w:i/>
          <w:iCs/>
          <w:noProof/>
        </w:rPr>
        <w:t>.,</w:t>
      </w:r>
      <w:r w:rsidRPr="00D6412D">
        <w:rPr>
          <w:i/>
          <w:noProof/>
        </w:rPr>
        <w:t xml:space="preserve"> </w:t>
      </w:r>
      <w:r w:rsidRPr="00C02041">
        <w:rPr>
          <w:iCs/>
          <w:noProof/>
        </w:rPr>
        <w:t>98</w:t>
      </w:r>
      <w:r w:rsidR="00277CCE">
        <w:rPr>
          <w:noProof/>
        </w:rPr>
        <w:t>:</w:t>
      </w:r>
      <w:r w:rsidRPr="00D6412D">
        <w:rPr>
          <w:noProof/>
        </w:rPr>
        <w:t xml:space="preserve"> 3443</w:t>
      </w:r>
      <w:r w:rsidR="00277CCE">
        <w:rPr>
          <w:noProof/>
        </w:rPr>
        <w:t>–</w:t>
      </w:r>
      <w:r w:rsidRPr="00D6412D">
        <w:rPr>
          <w:noProof/>
        </w:rPr>
        <w:t>3459.</w:t>
      </w:r>
    </w:p>
    <w:p w14:paraId="2C554C7F" w14:textId="77777777" w:rsidR="00D6412D" w:rsidRPr="00D6412D" w:rsidRDefault="00D6412D" w:rsidP="00277CCE">
      <w:pPr>
        <w:pStyle w:val="EndNoteBibliography"/>
        <w:rPr>
          <w:noProof/>
        </w:rPr>
      </w:pPr>
      <w:r w:rsidRPr="00D6412D">
        <w:rPr>
          <w:b/>
          <w:noProof/>
        </w:rPr>
        <w:t>Hamada, D., Yanagihara, I.</w:t>
      </w:r>
      <w:r w:rsidR="00277CCE">
        <w:rPr>
          <w:b/>
          <w:noProof/>
        </w:rPr>
        <w:t xml:space="preserve"> &amp;</w:t>
      </w:r>
      <w:r w:rsidRPr="00D6412D">
        <w:rPr>
          <w:b/>
          <w:noProof/>
        </w:rPr>
        <w:t xml:space="preserve"> Tsumoto, K.</w:t>
      </w:r>
      <w:r w:rsidRPr="00D6412D">
        <w:rPr>
          <w:noProof/>
        </w:rPr>
        <w:t xml:space="preserve"> 2004. Engineering amyloidogenicity towards the development of nanofibrillar materials. </w:t>
      </w:r>
      <w:r w:rsidRPr="00C02041">
        <w:rPr>
          <w:i/>
          <w:iCs/>
          <w:noProof/>
        </w:rPr>
        <w:t>Trends Biotechnol</w:t>
      </w:r>
      <w:r w:rsidR="00277CCE">
        <w:rPr>
          <w:i/>
          <w:iCs/>
          <w:noProof/>
        </w:rPr>
        <w:t>.,</w:t>
      </w:r>
      <w:r w:rsidRPr="00D6412D">
        <w:rPr>
          <w:i/>
          <w:noProof/>
        </w:rPr>
        <w:t xml:space="preserve"> </w:t>
      </w:r>
      <w:r w:rsidRPr="00C02041">
        <w:rPr>
          <w:iCs/>
          <w:noProof/>
        </w:rPr>
        <w:t>22</w:t>
      </w:r>
      <w:r w:rsidR="00277CCE">
        <w:rPr>
          <w:noProof/>
        </w:rPr>
        <w:t>:</w:t>
      </w:r>
      <w:r w:rsidRPr="00D6412D">
        <w:rPr>
          <w:noProof/>
        </w:rPr>
        <w:t xml:space="preserve"> 93</w:t>
      </w:r>
      <w:r w:rsidR="00277CCE">
        <w:rPr>
          <w:noProof/>
        </w:rPr>
        <w:t>–</w:t>
      </w:r>
      <w:r w:rsidRPr="00D6412D">
        <w:rPr>
          <w:noProof/>
        </w:rPr>
        <w:t>97.</w:t>
      </w:r>
    </w:p>
    <w:p w14:paraId="5F646E04" w14:textId="77777777" w:rsidR="00D6412D" w:rsidRPr="00D6412D" w:rsidRDefault="00D6412D" w:rsidP="00277CCE">
      <w:pPr>
        <w:pStyle w:val="EndNoteBibliography"/>
        <w:rPr>
          <w:noProof/>
        </w:rPr>
      </w:pPr>
      <w:r w:rsidRPr="00D6412D">
        <w:rPr>
          <w:b/>
          <w:noProof/>
        </w:rPr>
        <w:t>Hammer, K., Knupffer, H., Xhuveli, L.</w:t>
      </w:r>
      <w:r w:rsidR="00277CCE">
        <w:rPr>
          <w:b/>
          <w:noProof/>
        </w:rPr>
        <w:t xml:space="preserve"> &amp;</w:t>
      </w:r>
      <w:r w:rsidRPr="00D6412D">
        <w:rPr>
          <w:b/>
          <w:noProof/>
        </w:rPr>
        <w:t xml:space="preserve"> Perrino, P.</w:t>
      </w:r>
      <w:r w:rsidRPr="00D6412D">
        <w:rPr>
          <w:noProof/>
        </w:rPr>
        <w:t xml:space="preserve"> 1996. Estimating genetic erosion in landraces — two case studies. </w:t>
      </w:r>
      <w:r w:rsidRPr="00D6412D">
        <w:rPr>
          <w:i/>
          <w:noProof/>
        </w:rPr>
        <w:t>Genetic Resources and Crop Evolution</w:t>
      </w:r>
      <w:r w:rsidRPr="00D6412D">
        <w:rPr>
          <w:noProof/>
        </w:rPr>
        <w:t>, 329</w:t>
      </w:r>
      <w:r w:rsidR="00277CCE">
        <w:rPr>
          <w:noProof/>
        </w:rPr>
        <w:t>–</w:t>
      </w:r>
      <w:r w:rsidRPr="00D6412D">
        <w:rPr>
          <w:noProof/>
        </w:rPr>
        <w:t>336.</w:t>
      </w:r>
    </w:p>
    <w:p w14:paraId="2ADD6D0A" w14:textId="77777777" w:rsidR="00D6412D" w:rsidRPr="00D6412D" w:rsidRDefault="00D6412D" w:rsidP="00277CCE">
      <w:pPr>
        <w:pStyle w:val="EndNoteBibliography"/>
        <w:rPr>
          <w:noProof/>
        </w:rPr>
      </w:pPr>
      <w:r w:rsidRPr="0012061B">
        <w:rPr>
          <w:b/>
          <w:noProof/>
          <w:lang w:val="en-CA"/>
        </w:rPr>
        <w:t>Hauser, C.A.E., Maurer-Stroh, S.</w:t>
      </w:r>
      <w:r w:rsidR="00277CCE" w:rsidRPr="0012061B">
        <w:rPr>
          <w:b/>
          <w:noProof/>
          <w:lang w:val="en-CA"/>
        </w:rPr>
        <w:t xml:space="preserve"> </w:t>
      </w:r>
      <w:r w:rsidR="00277CCE">
        <w:rPr>
          <w:b/>
          <w:noProof/>
        </w:rPr>
        <w:t>&amp;</w:t>
      </w:r>
      <w:r w:rsidRPr="00D6412D">
        <w:rPr>
          <w:b/>
          <w:noProof/>
        </w:rPr>
        <w:t xml:space="preserve"> Martins, I.C.</w:t>
      </w:r>
      <w:r w:rsidRPr="00D6412D">
        <w:rPr>
          <w:noProof/>
        </w:rPr>
        <w:t xml:space="preserve"> 2014. Amyloid-based nanosensors and nanodevices. </w:t>
      </w:r>
      <w:r w:rsidRPr="00C02041">
        <w:rPr>
          <w:i/>
          <w:iCs/>
          <w:noProof/>
        </w:rPr>
        <w:t>Chem</w:t>
      </w:r>
      <w:r w:rsidR="00277CCE">
        <w:rPr>
          <w:i/>
          <w:iCs/>
          <w:noProof/>
        </w:rPr>
        <w:t>.</w:t>
      </w:r>
      <w:r w:rsidRPr="00C02041">
        <w:rPr>
          <w:i/>
          <w:iCs/>
          <w:noProof/>
        </w:rPr>
        <w:t xml:space="preserve"> Soc</w:t>
      </w:r>
      <w:r w:rsidR="00277CCE">
        <w:rPr>
          <w:i/>
          <w:iCs/>
          <w:noProof/>
        </w:rPr>
        <w:t>.</w:t>
      </w:r>
      <w:r w:rsidRPr="00C02041">
        <w:rPr>
          <w:i/>
          <w:iCs/>
          <w:noProof/>
        </w:rPr>
        <w:t xml:space="preserve"> Rev</w:t>
      </w:r>
      <w:r w:rsidR="00277CCE">
        <w:rPr>
          <w:i/>
          <w:iCs/>
          <w:noProof/>
        </w:rPr>
        <w:t>.</w:t>
      </w:r>
      <w:r w:rsidR="00277CCE">
        <w:rPr>
          <w:i/>
          <w:noProof/>
        </w:rPr>
        <w:t>,</w:t>
      </w:r>
      <w:r w:rsidRPr="00D6412D">
        <w:rPr>
          <w:i/>
          <w:noProof/>
        </w:rPr>
        <w:t xml:space="preserve"> </w:t>
      </w:r>
      <w:r w:rsidRPr="00C02041">
        <w:rPr>
          <w:iCs/>
          <w:noProof/>
        </w:rPr>
        <w:t>43</w:t>
      </w:r>
      <w:r w:rsidR="00277CCE">
        <w:rPr>
          <w:noProof/>
        </w:rPr>
        <w:t>:</w:t>
      </w:r>
      <w:r w:rsidRPr="00D6412D">
        <w:rPr>
          <w:noProof/>
        </w:rPr>
        <w:t xml:space="preserve"> 5326</w:t>
      </w:r>
      <w:r w:rsidR="00277CCE">
        <w:rPr>
          <w:noProof/>
        </w:rPr>
        <w:t>–</w:t>
      </w:r>
      <w:r w:rsidRPr="00D6412D">
        <w:rPr>
          <w:noProof/>
        </w:rPr>
        <w:t>5345.</w:t>
      </w:r>
    </w:p>
    <w:p w14:paraId="0BACED75" w14:textId="77777777" w:rsidR="00D6412D" w:rsidRPr="00D6412D" w:rsidRDefault="00D6412D" w:rsidP="00277CCE">
      <w:pPr>
        <w:pStyle w:val="EndNoteBibliography"/>
        <w:rPr>
          <w:noProof/>
        </w:rPr>
      </w:pPr>
      <w:r w:rsidRPr="00D6412D">
        <w:rPr>
          <w:b/>
          <w:noProof/>
        </w:rPr>
        <w:t>Hayden, E.C.</w:t>
      </w:r>
      <w:r w:rsidRPr="00D6412D">
        <w:rPr>
          <w:noProof/>
        </w:rPr>
        <w:t xml:space="preserve"> 2014. Synthetic-biology firms shift focus. </w:t>
      </w:r>
      <w:r w:rsidRPr="00C02041">
        <w:rPr>
          <w:i/>
          <w:iCs/>
          <w:noProof/>
        </w:rPr>
        <w:t>Nature</w:t>
      </w:r>
      <w:r w:rsidR="00277CCE">
        <w:rPr>
          <w:i/>
          <w:noProof/>
        </w:rPr>
        <w:t>,</w:t>
      </w:r>
      <w:r w:rsidRPr="00D6412D">
        <w:rPr>
          <w:i/>
          <w:noProof/>
        </w:rPr>
        <w:t xml:space="preserve"> </w:t>
      </w:r>
      <w:r w:rsidRPr="00C02041">
        <w:rPr>
          <w:iCs/>
          <w:noProof/>
        </w:rPr>
        <w:t>505</w:t>
      </w:r>
      <w:r w:rsidR="00277CCE">
        <w:rPr>
          <w:noProof/>
        </w:rPr>
        <w:t>:</w:t>
      </w:r>
      <w:r w:rsidRPr="00D6412D">
        <w:rPr>
          <w:noProof/>
        </w:rPr>
        <w:t xml:space="preserve"> 598.</w:t>
      </w:r>
    </w:p>
    <w:p w14:paraId="041E464C" w14:textId="77777777" w:rsidR="00D6412D" w:rsidRPr="00D6412D" w:rsidRDefault="00D6412D" w:rsidP="00277CCE">
      <w:pPr>
        <w:pStyle w:val="EndNoteBibliography"/>
        <w:rPr>
          <w:noProof/>
        </w:rPr>
      </w:pPr>
      <w:r w:rsidRPr="00D6412D">
        <w:rPr>
          <w:b/>
          <w:noProof/>
        </w:rPr>
        <w:t>Hayden, E.C.</w:t>
      </w:r>
      <w:r w:rsidRPr="00D6412D">
        <w:rPr>
          <w:noProof/>
        </w:rPr>
        <w:t xml:space="preserve"> 2016. Funding for model-organism databases in trouble. In </w:t>
      </w:r>
      <w:r w:rsidRPr="00C02041">
        <w:rPr>
          <w:i/>
          <w:iCs/>
          <w:noProof/>
        </w:rPr>
        <w:t>Nature News</w:t>
      </w:r>
      <w:r w:rsidRPr="00D6412D">
        <w:rPr>
          <w:noProof/>
        </w:rPr>
        <w:t xml:space="preserve"> (Nature)</w:t>
      </w:r>
      <w:r w:rsidR="00277CCE">
        <w:rPr>
          <w:noProof/>
        </w:rPr>
        <w:t xml:space="preserve"> (available at</w:t>
      </w:r>
      <w:r w:rsidRPr="00D6412D">
        <w:rPr>
          <w:noProof/>
        </w:rPr>
        <w:t xml:space="preserve"> </w:t>
      </w:r>
      <w:r w:rsidRPr="002C26BB">
        <w:rPr>
          <w:rStyle w:val="Hyperlink"/>
          <w:noProof/>
          <w:sz w:val="24"/>
        </w:rPr>
        <w:t>http://www.nature.com/news/funding-for-model-organism-databases-in-trouble-1.20134</w:t>
      </w:r>
      <w:r w:rsidR="00277CCE">
        <w:rPr>
          <w:rStyle w:val="Hyperlink"/>
          <w:noProof/>
          <w:sz w:val="24"/>
        </w:rPr>
        <w:t>)</w:t>
      </w:r>
      <w:r w:rsidRPr="00D6412D">
        <w:rPr>
          <w:noProof/>
        </w:rPr>
        <w:t>.</w:t>
      </w:r>
    </w:p>
    <w:p w14:paraId="187B8C35" w14:textId="77777777" w:rsidR="00D6412D" w:rsidRPr="00D6412D" w:rsidRDefault="00D6412D" w:rsidP="00277CCE">
      <w:pPr>
        <w:pStyle w:val="EndNoteBibliography"/>
        <w:rPr>
          <w:noProof/>
        </w:rPr>
      </w:pPr>
      <w:r w:rsidRPr="00D6412D">
        <w:rPr>
          <w:b/>
          <w:noProof/>
        </w:rPr>
        <w:t>Hayes, B.J., Lewin, H.A.</w:t>
      </w:r>
      <w:r w:rsidR="00277CCE">
        <w:rPr>
          <w:b/>
          <w:noProof/>
        </w:rPr>
        <w:t xml:space="preserve"> &amp;</w:t>
      </w:r>
      <w:r w:rsidRPr="00D6412D">
        <w:rPr>
          <w:b/>
          <w:noProof/>
        </w:rPr>
        <w:t xml:space="preserve"> Goodard, M.E.</w:t>
      </w:r>
      <w:r w:rsidRPr="00D6412D">
        <w:rPr>
          <w:noProof/>
        </w:rPr>
        <w:t xml:space="preserve"> 2013. The future of livestock breeding: genomic selection for efficiency, reduced emissions intensity, and adaptation. </w:t>
      </w:r>
      <w:r w:rsidRPr="00C02041">
        <w:rPr>
          <w:i/>
          <w:iCs/>
          <w:noProof/>
        </w:rPr>
        <w:t>Trend Genet</w:t>
      </w:r>
      <w:r w:rsidR="00277CCE">
        <w:rPr>
          <w:i/>
          <w:iCs/>
          <w:noProof/>
        </w:rPr>
        <w:t>.,</w:t>
      </w:r>
      <w:r w:rsidRPr="00381F8F">
        <w:rPr>
          <w:i/>
          <w:iCs/>
          <w:noProof/>
        </w:rPr>
        <w:t xml:space="preserve"> </w:t>
      </w:r>
      <w:r w:rsidRPr="00C02041">
        <w:rPr>
          <w:iCs/>
          <w:noProof/>
        </w:rPr>
        <w:t>29</w:t>
      </w:r>
      <w:r w:rsidR="00277CCE">
        <w:rPr>
          <w:noProof/>
        </w:rPr>
        <w:t>:</w:t>
      </w:r>
      <w:r w:rsidRPr="00D6412D">
        <w:rPr>
          <w:noProof/>
        </w:rPr>
        <w:t xml:space="preserve"> 206</w:t>
      </w:r>
      <w:r w:rsidR="00277CCE">
        <w:rPr>
          <w:noProof/>
        </w:rPr>
        <w:t>–</w:t>
      </w:r>
      <w:r w:rsidRPr="00D6412D">
        <w:rPr>
          <w:noProof/>
        </w:rPr>
        <w:t>214.</w:t>
      </w:r>
    </w:p>
    <w:p w14:paraId="56BE8261" w14:textId="77777777" w:rsidR="00D6412D" w:rsidRPr="00D6412D" w:rsidRDefault="00D6412D" w:rsidP="00277CCE">
      <w:pPr>
        <w:pStyle w:val="EndNoteBibliography"/>
        <w:rPr>
          <w:noProof/>
        </w:rPr>
      </w:pPr>
      <w:r w:rsidRPr="00D6412D">
        <w:rPr>
          <w:b/>
          <w:noProof/>
        </w:rPr>
        <w:lastRenderedPageBreak/>
        <w:t>Haynes, K.A., Broderick, M.L., Brown, A.D., Butner, T.L., Dickson, J.O., Harden, W.L., Heard, L.H., Jessen, E.L., Malloy, K.J., Ogden, B.J.</w:t>
      </w:r>
      <w:r w:rsidRPr="00D6412D">
        <w:rPr>
          <w:b/>
          <w:i/>
          <w:noProof/>
        </w:rPr>
        <w:t>, et al.</w:t>
      </w:r>
      <w:r w:rsidRPr="00D6412D">
        <w:rPr>
          <w:noProof/>
        </w:rPr>
        <w:t xml:space="preserve"> 2008. Engineering bacteria to solve the Burnt Pancake Problem. </w:t>
      </w:r>
      <w:r w:rsidR="00277CCE" w:rsidRPr="003576BC">
        <w:rPr>
          <w:i/>
          <w:noProof/>
        </w:rPr>
        <w:t>J. Biol. Eng.,</w:t>
      </w:r>
      <w:r w:rsidR="00277CCE" w:rsidRPr="006A3DA9">
        <w:rPr>
          <w:noProof/>
        </w:rPr>
        <w:t xml:space="preserve"> </w:t>
      </w:r>
      <w:r w:rsidRPr="00D6412D">
        <w:rPr>
          <w:i/>
          <w:noProof/>
        </w:rPr>
        <w:t>2</w:t>
      </w:r>
      <w:r w:rsidR="00277CCE">
        <w:rPr>
          <w:noProof/>
        </w:rPr>
        <w:t>:</w:t>
      </w:r>
      <w:r w:rsidRPr="00D6412D">
        <w:rPr>
          <w:noProof/>
        </w:rPr>
        <w:t xml:space="preserve"> 8.</w:t>
      </w:r>
    </w:p>
    <w:p w14:paraId="659C94C2" w14:textId="77777777" w:rsidR="00D6412D" w:rsidRPr="00D6412D" w:rsidRDefault="00D6412D" w:rsidP="00277CCE">
      <w:pPr>
        <w:pStyle w:val="EndNoteBibliography"/>
        <w:rPr>
          <w:noProof/>
        </w:rPr>
      </w:pPr>
      <w:r w:rsidRPr="00C02041">
        <w:rPr>
          <w:b/>
          <w:noProof/>
          <w:lang w:val="es-ES"/>
        </w:rPr>
        <w:t>He, J., Zhao, X., Laroche, A., Lu, Z.-X., Liu, H.</w:t>
      </w:r>
      <w:r w:rsidR="00277CCE" w:rsidRPr="00C02041">
        <w:rPr>
          <w:b/>
          <w:noProof/>
          <w:lang w:val="es-ES"/>
        </w:rPr>
        <w:t xml:space="preserve"> </w:t>
      </w:r>
      <w:r w:rsidR="00277CCE" w:rsidRPr="0012061B">
        <w:rPr>
          <w:b/>
          <w:noProof/>
          <w:lang w:val="es-AR"/>
        </w:rPr>
        <w:t>&amp;</w:t>
      </w:r>
      <w:r w:rsidRPr="0012061B">
        <w:rPr>
          <w:b/>
          <w:noProof/>
          <w:lang w:val="es-AR"/>
        </w:rPr>
        <w:t xml:space="preserve"> Li, Z.</w:t>
      </w:r>
      <w:r w:rsidRPr="0012061B">
        <w:rPr>
          <w:noProof/>
          <w:lang w:val="es-AR"/>
        </w:rPr>
        <w:t xml:space="preserve"> 2014. </w:t>
      </w:r>
      <w:r w:rsidRPr="00D6412D">
        <w:rPr>
          <w:noProof/>
        </w:rPr>
        <w:t xml:space="preserve">Genotyping-by-sequencing (GBS), an ultimate marker-assisted selection (MAS) tool to accelerate plant breeding. </w:t>
      </w:r>
      <w:r w:rsidRPr="00C02041">
        <w:rPr>
          <w:i/>
          <w:iCs/>
          <w:noProof/>
        </w:rPr>
        <w:t>Front Pl</w:t>
      </w:r>
      <w:r w:rsidR="00277CCE">
        <w:rPr>
          <w:i/>
          <w:iCs/>
          <w:noProof/>
        </w:rPr>
        <w:t>.</w:t>
      </w:r>
      <w:r w:rsidRPr="00C02041">
        <w:rPr>
          <w:i/>
          <w:iCs/>
          <w:noProof/>
        </w:rPr>
        <w:t xml:space="preserve"> Sci</w:t>
      </w:r>
      <w:r w:rsidR="00277CCE">
        <w:rPr>
          <w:i/>
          <w:noProof/>
        </w:rPr>
        <w:t>.,</w:t>
      </w:r>
      <w:r w:rsidRPr="00D6412D">
        <w:rPr>
          <w:i/>
          <w:noProof/>
        </w:rPr>
        <w:t xml:space="preserve"> 5</w:t>
      </w:r>
      <w:r w:rsidRPr="00D6412D">
        <w:rPr>
          <w:noProof/>
        </w:rPr>
        <w:t>.</w:t>
      </w:r>
    </w:p>
    <w:p w14:paraId="4303C84B" w14:textId="77777777" w:rsidR="00D6412D" w:rsidRPr="00D6412D" w:rsidRDefault="00D6412D" w:rsidP="00277CCE">
      <w:pPr>
        <w:pStyle w:val="EndNoteBibliography"/>
        <w:rPr>
          <w:noProof/>
        </w:rPr>
      </w:pPr>
      <w:r w:rsidRPr="00D6412D">
        <w:rPr>
          <w:b/>
          <w:noProof/>
        </w:rPr>
        <w:t>Heinemann, J.A.</w:t>
      </w:r>
      <w:r w:rsidRPr="00D6412D">
        <w:rPr>
          <w:noProof/>
        </w:rPr>
        <w:t xml:space="preserve"> 1999. Genetic evidence of protein transfer during bacterial conjugation. </w:t>
      </w:r>
      <w:r w:rsidRPr="00C02041">
        <w:rPr>
          <w:i/>
          <w:iCs/>
          <w:noProof/>
        </w:rPr>
        <w:t>Plasmid</w:t>
      </w:r>
      <w:r w:rsidR="00277CCE">
        <w:rPr>
          <w:i/>
          <w:noProof/>
        </w:rPr>
        <w:t>,</w:t>
      </w:r>
      <w:r w:rsidRPr="00D6412D">
        <w:rPr>
          <w:i/>
          <w:noProof/>
        </w:rPr>
        <w:t xml:space="preserve"> </w:t>
      </w:r>
      <w:r w:rsidRPr="00C02041">
        <w:rPr>
          <w:iCs/>
          <w:noProof/>
        </w:rPr>
        <w:t>41</w:t>
      </w:r>
      <w:r w:rsidR="00277CCE">
        <w:rPr>
          <w:noProof/>
        </w:rPr>
        <w:t>:</w:t>
      </w:r>
      <w:r w:rsidRPr="00D6412D">
        <w:rPr>
          <w:noProof/>
        </w:rPr>
        <w:t xml:space="preserve"> 240</w:t>
      </w:r>
      <w:r w:rsidR="00277CCE">
        <w:rPr>
          <w:noProof/>
        </w:rPr>
        <w:t>–</w:t>
      </w:r>
      <w:r w:rsidRPr="00D6412D">
        <w:rPr>
          <w:noProof/>
        </w:rPr>
        <w:t>247.</w:t>
      </w:r>
    </w:p>
    <w:p w14:paraId="0327BBB8" w14:textId="77777777" w:rsidR="00D6412D" w:rsidRPr="00D6412D" w:rsidRDefault="00D6412D" w:rsidP="00277CCE">
      <w:pPr>
        <w:pStyle w:val="EndNoteBibliography"/>
        <w:rPr>
          <w:noProof/>
        </w:rPr>
      </w:pPr>
      <w:r w:rsidRPr="00D6412D">
        <w:rPr>
          <w:b/>
          <w:noProof/>
        </w:rPr>
        <w:t>Heinemann, J.A.</w:t>
      </w:r>
      <w:r w:rsidRPr="00D6412D">
        <w:rPr>
          <w:noProof/>
        </w:rPr>
        <w:t xml:space="preserve"> 2004. Challenges to regulating the industrial gene: Views inspired by the New Zealand experience. </w:t>
      </w:r>
      <w:r w:rsidRPr="00C02041">
        <w:rPr>
          <w:i/>
          <w:iCs/>
          <w:noProof/>
        </w:rPr>
        <w:t>In</w:t>
      </w:r>
      <w:r w:rsidRPr="00D6412D">
        <w:rPr>
          <w:noProof/>
        </w:rPr>
        <w:t xml:space="preserve"> </w:t>
      </w:r>
      <w:r w:rsidR="00277CCE" w:rsidRPr="00D6412D">
        <w:rPr>
          <w:noProof/>
        </w:rPr>
        <w:t>K. Dew</w:t>
      </w:r>
      <w:r w:rsidR="00277CCE">
        <w:rPr>
          <w:noProof/>
        </w:rPr>
        <w:t xml:space="preserve"> &amp;</w:t>
      </w:r>
      <w:r w:rsidR="00277CCE" w:rsidRPr="00D6412D">
        <w:rPr>
          <w:noProof/>
        </w:rPr>
        <w:t xml:space="preserve"> R. Fitzgerald, eds</w:t>
      </w:r>
      <w:r w:rsidR="00277CCE">
        <w:rPr>
          <w:noProof/>
        </w:rPr>
        <w:t>.</w:t>
      </w:r>
      <w:r w:rsidR="00277CCE" w:rsidRPr="00D6412D">
        <w:rPr>
          <w:noProof/>
        </w:rPr>
        <w:t xml:space="preserve"> </w:t>
      </w:r>
      <w:r w:rsidRPr="00C02041">
        <w:rPr>
          <w:i/>
          <w:iCs/>
          <w:noProof/>
        </w:rPr>
        <w:t>Challenging Science: Science and Society Issues in New Zealand</w:t>
      </w:r>
      <w:r w:rsidRPr="00D6412D">
        <w:rPr>
          <w:noProof/>
        </w:rPr>
        <w:t>. Dunedin</w:t>
      </w:r>
      <w:r w:rsidR="00277CCE">
        <w:rPr>
          <w:noProof/>
        </w:rPr>
        <w:t xml:space="preserve">, New Zealand, </w:t>
      </w:r>
      <w:r w:rsidRPr="00D6412D">
        <w:rPr>
          <w:noProof/>
        </w:rPr>
        <w:t>Dunmore.</w:t>
      </w:r>
    </w:p>
    <w:p w14:paraId="2659267C" w14:textId="77777777" w:rsidR="00D6412D" w:rsidRPr="00D6412D" w:rsidRDefault="00D6412D" w:rsidP="00277CCE">
      <w:pPr>
        <w:pStyle w:val="EndNoteBibliography"/>
        <w:rPr>
          <w:noProof/>
        </w:rPr>
      </w:pPr>
      <w:r w:rsidRPr="00D6412D">
        <w:rPr>
          <w:b/>
          <w:noProof/>
        </w:rPr>
        <w:t>Heinemann, J.A.</w:t>
      </w:r>
      <w:r w:rsidRPr="00D6412D">
        <w:rPr>
          <w:noProof/>
        </w:rPr>
        <w:t xml:space="preserve"> 2007. A typology of the effects of (trans)gene flow on the conservation and sustainable use of genetic resources. Background Study Paper</w:t>
      </w:r>
      <w:r w:rsidR="00277CCE">
        <w:rPr>
          <w:noProof/>
        </w:rPr>
        <w:t>.</w:t>
      </w:r>
      <w:r w:rsidRPr="00D6412D">
        <w:rPr>
          <w:noProof/>
        </w:rPr>
        <w:t xml:space="preserve"> Rome</w:t>
      </w:r>
      <w:r w:rsidR="00277CCE">
        <w:rPr>
          <w:noProof/>
        </w:rPr>
        <w:t xml:space="preserve">, </w:t>
      </w:r>
      <w:r w:rsidRPr="00D6412D">
        <w:rPr>
          <w:noProof/>
        </w:rPr>
        <w:t>FAO</w:t>
      </w:r>
      <w:r w:rsidR="00277CCE">
        <w:rPr>
          <w:noProof/>
        </w:rPr>
        <w:t>.</w:t>
      </w:r>
      <w:r w:rsidRPr="00D6412D">
        <w:rPr>
          <w:noProof/>
        </w:rPr>
        <w:t xml:space="preserve"> Bsp35rev1, 94</w:t>
      </w:r>
      <w:r w:rsidR="00277CCE">
        <w:rPr>
          <w:noProof/>
        </w:rPr>
        <w:t xml:space="preserve"> (available at</w:t>
      </w:r>
      <w:r w:rsidRPr="00D6412D">
        <w:rPr>
          <w:noProof/>
        </w:rPr>
        <w:t xml:space="preserve"> </w:t>
      </w:r>
      <w:r w:rsidRPr="002C26BB">
        <w:rPr>
          <w:rStyle w:val="Hyperlink"/>
          <w:noProof/>
          <w:sz w:val="24"/>
        </w:rPr>
        <w:t>ftp://ftp.fao.org/ag/cgrfa/bsp/bsp35r1e.pdf</w:t>
      </w:r>
      <w:r w:rsidR="00277CCE">
        <w:rPr>
          <w:rStyle w:val="Hyperlink"/>
          <w:noProof/>
          <w:sz w:val="24"/>
        </w:rPr>
        <w:t>)</w:t>
      </w:r>
      <w:r w:rsidRPr="00D6412D">
        <w:rPr>
          <w:noProof/>
        </w:rPr>
        <w:t>.</w:t>
      </w:r>
    </w:p>
    <w:p w14:paraId="45263612" w14:textId="77777777" w:rsidR="00D6412D" w:rsidRPr="00D6412D" w:rsidRDefault="00D6412D" w:rsidP="00277CCE">
      <w:pPr>
        <w:pStyle w:val="EndNoteBibliography"/>
        <w:rPr>
          <w:noProof/>
        </w:rPr>
      </w:pPr>
      <w:r w:rsidRPr="00D6412D">
        <w:rPr>
          <w:b/>
          <w:noProof/>
        </w:rPr>
        <w:t>Heinemann, J.A.</w:t>
      </w:r>
      <w:r w:rsidRPr="00D6412D">
        <w:rPr>
          <w:noProof/>
        </w:rPr>
        <w:t xml:space="preserve"> 2009. </w:t>
      </w:r>
      <w:r w:rsidRPr="00C02041">
        <w:rPr>
          <w:i/>
          <w:iCs/>
          <w:noProof/>
        </w:rPr>
        <w:t xml:space="preserve">Hope not </w:t>
      </w:r>
      <w:r w:rsidR="00277CCE">
        <w:rPr>
          <w:i/>
          <w:iCs/>
          <w:noProof/>
        </w:rPr>
        <w:t>h</w:t>
      </w:r>
      <w:r w:rsidR="00277CCE" w:rsidRPr="00C02041">
        <w:rPr>
          <w:i/>
          <w:iCs/>
          <w:noProof/>
        </w:rPr>
        <w:t>ype</w:t>
      </w:r>
      <w:r w:rsidRPr="00C02041">
        <w:rPr>
          <w:i/>
          <w:iCs/>
          <w:noProof/>
        </w:rPr>
        <w:t>. The future of agriculture guided by the International Assessment of Agricultural Knowledge, Science and Technology for Development</w:t>
      </w:r>
      <w:r w:rsidR="00277CCE">
        <w:rPr>
          <w:noProof/>
        </w:rPr>
        <w:t>.</w:t>
      </w:r>
      <w:r w:rsidRPr="00D6412D">
        <w:rPr>
          <w:noProof/>
        </w:rPr>
        <w:t xml:space="preserve"> Penang</w:t>
      </w:r>
      <w:r w:rsidR="00277CCE">
        <w:rPr>
          <w:noProof/>
        </w:rPr>
        <w:t>, Malaysia,</w:t>
      </w:r>
      <w:r w:rsidRPr="00D6412D">
        <w:rPr>
          <w:noProof/>
        </w:rPr>
        <w:t xml:space="preserve"> Third World Network</w:t>
      </w:r>
      <w:r w:rsidR="00277CCE">
        <w:rPr>
          <w:noProof/>
        </w:rPr>
        <w:t>.</w:t>
      </w:r>
      <w:r w:rsidRPr="00D6412D">
        <w:rPr>
          <w:noProof/>
        </w:rPr>
        <w:t xml:space="preserve"> </w:t>
      </w:r>
    </w:p>
    <w:p w14:paraId="65F524E8" w14:textId="77777777" w:rsidR="00D6412D" w:rsidRPr="00D6412D" w:rsidRDefault="00D6412D" w:rsidP="00277CCE">
      <w:pPr>
        <w:pStyle w:val="EndNoteBibliography"/>
        <w:rPr>
          <w:noProof/>
        </w:rPr>
      </w:pPr>
      <w:r w:rsidRPr="00D6412D">
        <w:rPr>
          <w:b/>
          <w:noProof/>
        </w:rPr>
        <w:t>Heinemann, J.A., Agapito-Tenfen, S.Z.</w:t>
      </w:r>
      <w:r w:rsidR="00277CCE">
        <w:rPr>
          <w:b/>
          <w:noProof/>
        </w:rPr>
        <w:t xml:space="preserve"> &amp;</w:t>
      </w:r>
      <w:r w:rsidRPr="00D6412D">
        <w:rPr>
          <w:b/>
          <w:noProof/>
        </w:rPr>
        <w:t xml:space="preserve"> Carman, J.A.</w:t>
      </w:r>
      <w:r w:rsidRPr="00D6412D">
        <w:rPr>
          <w:noProof/>
        </w:rPr>
        <w:t xml:space="preserve"> 2013. A comparative evaluation of the regulation of GM crops or products containing dsRNA and suggested improvements to risk assessments. </w:t>
      </w:r>
      <w:r w:rsidRPr="00C02041">
        <w:rPr>
          <w:i/>
          <w:iCs/>
          <w:noProof/>
        </w:rPr>
        <w:t>Environ</w:t>
      </w:r>
      <w:r w:rsidR="00277CCE">
        <w:rPr>
          <w:i/>
          <w:iCs/>
          <w:noProof/>
        </w:rPr>
        <w:t>.</w:t>
      </w:r>
      <w:r w:rsidRPr="00C02041">
        <w:rPr>
          <w:i/>
          <w:iCs/>
          <w:noProof/>
        </w:rPr>
        <w:t xml:space="preserve"> Int</w:t>
      </w:r>
      <w:r w:rsidR="00277CCE">
        <w:rPr>
          <w:i/>
          <w:iCs/>
          <w:noProof/>
        </w:rPr>
        <w:t>.,</w:t>
      </w:r>
      <w:r w:rsidRPr="00D6412D">
        <w:rPr>
          <w:i/>
          <w:noProof/>
        </w:rPr>
        <w:t xml:space="preserve"> </w:t>
      </w:r>
      <w:r w:rsidRPr="00C02041">
        <w:rPr>
          <w:iCs/>
          <w:noProof/>
        </w:rPr>
        <w:t>55</w:t>
      </w:r>
      <w:r w:rsidR="00277CCE">
        <w:rPr>
          <w:noProof/>
        </w:rPr>
        <w:t>:</w:t>
      </w:r>
      <w:r w:rsidRPr="00D6412D">
        <w:rPr>
          <w:noProof/>
        </w:rPr>
        <w:t xml:space="preserve"> 43</w:t>
      </w:r>
      <w:r w:rsidR="00277CCE">
        <w:rPr>
          <w:noProof/>
        </w:rPr>
        <w:t>–</w:t>
      </w:r>
      <w:r w:rsidRPr="00D6412D">
        <w:rPr>
          <w:noProof/>
        </w:rPr>
        <w:t>55.</w:t>
      </w:r>
    </w:p>
    <w:p w14:paraId="0895C65B" w14:textId="77777777" w:rsidR="00D6412D" w:rsidRPr="00D6412D" w:rsidRDefault="00D6412D" w:rsidP="00277CCE">
      <w:pPr>
        <w:pStyle w:val="EndNoteBibliography"/>
        <w:rPr>
          <w:noProof/>
        </w:rPr>
      </w:pPr>
      <w:r w:rsidRPr="00D6412D">
        <w:rPr>
          <w:b/>
          <w:noProof/>
        </w:rPr>
        <w:t>Heinemann, J.A., Kurenbach, B.</w:t>
      </w:r>
      <w:r w:rsidR="00277CCE">
        <w:rPr>
          <w:b/>
          <w:noProof/>
        </w:rPr>
        <w:t xml:space="preserve"> </w:t>
      </w:r>
      <w:r w:rsidR="00180844">
        <w:rPr>
          <w:b/>
          <w:noProof/>
        </w:rPr>
        <w:t>&amp;</w:t>
      </w:r>
      <w:r w:rsidRPr="00D6412D">
        <w:rPr>
          <w:b/>
          <w:noProof/>
        </w:rPr>
        <w:t xml:space="preserve"> Quist, D.</w:t>
      </w:r>
      <w:r w:rsidRPr="00D6412D">
        <w:rPr>
          <w:noProof/>
        </w:rPr>
        <w:t xml:space="preserve"> 2011. Molecular profiling — a tool for addressing emerging gaps in the comparative risk assessment of GMOs. </w:t>
      </w:r>
      <w:r w:rsidRPr="00C02041">
        <w:rPr>
          <w:i/>
          <w:iCs/>
          <w:noProof/>
        </w:rPr>
        <w:t>Env</w:t>
      </w:r>
      <w:r w:rsidR="00277CCE">
        <w:rPr>
          <w:i/>
          <w:iCs/>
          <w:noProof/>
        </w:rPr>
        <w:t>.</w:t>
      </w:r>
      <w:r w:rsidRPr="00C02041">
        <w:rPr>
          <w:i/>
          <w:iCs/>
          <w:noProof/>
        </w:rPr>
        <w:t xml:space="preserve"> Int</w:t>
      </w:r>
      <w:r w:rsidR="00277CCE">
        <w:rPr>
          <w:i/>
          <w:iCs/>
          <w:noProof/>
        </w:rPr>
        <w:t>.,</w:t>
      </w:r>
      <w:r w:rsidRPr="00D6412D">
        <w:rPr>
          <w:i/>
          <w:noProof/>
        </w:rPr>
        <w:t xml:space="preserve"> </w:t>
      </w:r>
      <w:r w:rsidRPr="00C02041">
        <w:rPr>
          <w:iCs/>
          <w:noProof/>
        </w:rPr>
        <w:t>37</w:t>
      </w:r>
      <w:r w:rsidR="00277CCE">
        <w:rPr>
          <w:noProof/>
        </w:rPr>
        <w:t>:</w:t>
      </w:r>
      <w:r w:rsidRPr="00D6412D">
        <w:rPr>
          <w:noProof/>
        </w:rPr>
        <w:t xml:space="preserve"> 1285</w:t>
      </w:r>
      <w:r w:rsidR="00277CCE">
        <w:rPr>
          <w:noProof/>
        </w:rPr>
        <w:t>–</w:t>
      </w:r>
      <w:r w:rsidRPr="00D6412D">
        <w:rPr>
          <w:noProof/>
        </w:rPr>
        <w:t>1293.</w:t>
      </w:r>
    </w:p>
    <w:p w14:paraId="74E73E03" w14:textId="77777777" w:rsidR="00D6412D" w:rsidRPr="00D6412D" w:rsidRDefault="00D6412D" w:rsidP="00180844">
      <w:pPr>
        <w:pStyle w:val="EndNoteBibliography"/>
        <w:rPr>
          <w:noProof/>
        </w:rPr>
      </w:pPr>
      <w:r w:rsidRPr="00D6412D">
        <w:rPr>
          <w:b/>
          <w:noProof/>
        </w:rPr>
        <w:t>Heinemann, J.A., Sparrow, A.D.</w:t>
      </w:r>
      <w:r w:rsidR="00180844">
        <w:rPr>
          <w:b/>
          <w:noProof/>
        </w:rPr>
        <w:t xml:space="preserve"> &amp;</w:t>
      </w:r>
      <w:r w:rsidRPr="00D6412D">
        <w:rPr>
          <w:b/>
          <w:noProof/>
        </w:rPr>
        <w:t xml:space="preserve"> Traavik, T.</w:t>
      </w:r>
      <w:r w:rsidRPr="00D6412D">
        <w:rPr>
          <w:noProof/>
        </w:rPr>
        <w:t xml:space="preserve"> 2004. Is confidence in monitoring of GE foods justified?</w:t>
      </w:r>
      <w:r w:rsidRPr="00C02041">
        <w:rPr>
          <w:i/>
          <w:iCs/>
          <w:noProof/>
        </w:rPr>
        <w:t xml:space="preserve"> Trends Biotechnol</w:t>
      </w:r>
      <w:r w:rsidR="00180844" w:rsidRPr="00C02041">
        <w:rPr>
          <w:i/>
          <w:iCs/>
          <w:noProof/>
        </w:rPr>
        <w:t>.,</w:t>
      </w:r>
      <w:r w:rsidRPr="00D6412D">
        <w:rPr>
          <w:i/>
          <w:noProof/>
        </w:rPr>
        <w:t xml:space="preserve"> </w:t>
      </w:r>
      <w:r w:rsidRPr="00C02041">
        <w:rPr>
          <w:iCs/>
          <w:noProof/>
        </w:rPr>
        <w:t>22</w:t>
      </w:r>
      <w:r w:rsidR="00180844">
        <w:rPr>
          <w:noProof/>
        </w:rPr>
        <w:t>:</w:t>
      </w:r>
      <w:r w:rsidRPr="00D6412D">
        <w:rPr>
          <w:noProof/>
        </w:rPr>
        <w:t xml:space="preserve"> 331</w:t>
      </w:r>
      <w:r w:rsidR="00180844">
        <w:rPr>
          <w:noProof/>
        </w:rPr>
        <w:t>–</w:t>
      </w:r>
      <w:r w:rsidRPr="00D6412D">
        <w:rPr>
          <w:noProof/>
        </w:rPr>
        <w:t>336.</w:t>
      </w:r>
    </w:p>
    <w:p w14:paraId="6642F8B1" w14:textId="77777777" w:rsidR="00D6412D" w:rsidRPr="00D6412D" w:rsidRDefault="00D6412D" w:rsidP="00180844">
      <w:pPr>
        <w:pStyle w:val="EndNoteBibliography"/>
        <w:rPr>
          <w:noProof/>
        </w:rPr>
      </w:pPr>
      <w:r w:rsidRPr="00D6412D">
        <w:rPr>
          <w:b/>
          <w:noProof/>
        </w:rPr>
        <w:t>Heisey, P.W.</w:t>
      </w:r>
      <w:r w:rsidR="00180844">
        <w:rPr>
          <w:b/>
          <w:noProof/>
        </w:rPr>
        <w:t xml:space="preserve"> &amp;</w:t>
      </w:r>
      <w:r w:rsidRPr="00D6412D">
        <w:rPr>
          <w:b/>
          <w:noProof/>
        </w:rPr>
        <w:t xml:space="preserve"> Rubenstein, K.D.</w:t>
      </w:r>
      <w:r w:rsidRPr="00D6412D">
        <w:rPr>
          <w:noProof/>
        </w:rPr>
        <w:t xml:space="preserve"> 2015. </w:t>
      </w:r>
      <w:r w:rsidRPr="00C02041">
        <w:rPr>
          <w:i/>
          <w:iCs/>
          <w:noProof/>
        </w:rPr>
        <w:t>Using Crop Genetic Resources to Help Agriculture Adapt to Climate Change: Economics and Policy</w:t>
      </w:r>
      <w:r w:rsidRPr="00D6412D">
        <w:rPr>
          <w:noProof/>
        </w:rPr>
        <w:t>. USDA EIB-139</w:t>
      </w:r>
      <w:r w:rsidR="00180844">
        <w:rPr>
          <w:noProof/>
        </w:rPr>
        <w:t xml:space="preserve"> (available at </w:t>
      </w:r>
      <w:r w:rsidRPr="002C26BB">
        <w:rPr>
          <w:rStyle w:val="Hyperlink"/>
          <w:noProof/>
          <w:sz w:val="24"/>
        </w:rPr>
        <w:t>http://www.ers.usda.gov/publications/eib-economic-information-bulletin/eib139</w:t>
      </w:r>
      <w:r w:rsidR="00180844">
        <w:rPr>
          <w:rStyle w:val="Hyperlink"/>
          <w:noProof/>
          <w:sz w:val="24"/>
        </w:rPr>
        <w:t>)</w:t>
      </w:r>
      <w:r w:rsidRPr="00D6412D">
        <w:rPr>
          <w:noProof/>
        </w:rPr>
        <w:t>.</w:t>
      </w:r>
    </w:p>
    <w:p w14:paraId="324B8507" w14:textId="77777777" w:rsidR="00D6412D" w:rsidRPr="00D6412D" w:rsidRDefault="00D6412D" w:rsidP="00180844">
      <w:pPr>
        <w:pStyle w:val="EndNoteBibliography"/>
        <w:rPr>
          <w:noProof/>
        </w:rPr>
      </w:pPr>
      <w:r w:rsidRPr="00D6412D">
        <w:rPr>
          <w:b/>
          <w:noProof/>
        </w:rPr>
        <w:t>Helmy, M., Awad, M.</w:t>
      </w:r>
      <w:r w:rsidR="00180844">
        <w:rPr>
          <w:b/>
          <w:noProof/>
        </w:rPr>
        <w:t xml:space="preserve"> &amp;</w:t>
      </w:r>
      <w:r w:rsidRPr="00D6412D">
        <w:rPr>
          <w:b/>
          <w:noProof/>
        </w:rPr>
        <w:t xml:space="preserve"> Mosa, K.A.</w:t>
      </w:r>
      <w:r w:rsidRPr="00D6412D">
        <w:rPr>
          <w:noProof/>
        </w:rPr>
        <w:t xml:space="preserve"> 2016. Limited resources of genome sequencing in developing countries: challenges and solutions. </w:t>
      </w:r>
      <w:r w:rsidRPr="00C02041">
        <w:rPr>
          <w:i/>
          <w:iCs/>
          <w:noProof/>
        </w:rPr>
        <w:t>Appl</w:t>
      </w:r>
      <w:r w:rsidR="00180844">
        <w:rPr>
          <w:i/>
          <w:iCs/>
          <w:noProof/>
        </w:rPr>
        <w:t>.</w:t>
      </w:r>
      <w:r w:rsidRPr="00C02041">
        <w:rPr>
          <w:i/>
          <w:iCs/>
          <w:noProof/>
        </w:rPr>
        <w:t xml:space="preserve"> Transl</w:t>
      </w:r>
      <w:r w:rsidR="00180844">
        <w:rPr>
          <w:i/>
          <w:iCs/>
          <w:noProof/>
        </w:rPr>
        <w:t>.</w:t>
      </w:r>
      <w:r w:rsidRPr="00C02041">
        <w:rPr>
          <w:i/>
          <w:iCs/>
          <w:noProof/>
        </w:rPr>
        <w:t xml:space="preserve"> Genom</w:t>
      </w:r>
      <w:r w:rsidR="00180844">
        <w:rPr>
          <w:i/>
          <w:iCs/>
          <w:noProof/>
        </w:rPr>
        <w:t>.,</w:t>
      </w:r>
      <w:r w:rsidRPr="00D6412D">
        <w:rPr>
          <w:i/>
          <w:noProof/>
        </w:rPr>
        <w:t xml:space="preserve"> </w:t>
      </w:r>
      <w:r w:rsidRPr="00C02041">
        <w:rPr>
          <w:iCs/>
          <w:noProof/>
        </w:rPr>
        <w:t>9</w:t>
      </w:r>
      <w:r w:rsidR="00180844">
        <w:rPr>
          <w:noProof/>
        </w:rPr>
        <w:t>:</w:t>
      </w:r>
      <w:r w:rsidRPr="00D6412D">
        <w:rPr>
          <w:noProof/>
        </w:rPr>
        <w:t xml:space="preserve"> 15</w:t>
      </w:r>
      <w:r w:rsidR="00180844">
        <w:rPr>
          <w:noProof/>
        </w:rPr>
        <w:t>–</w:t>
      </w:r>
      <w:r w:rsidRPr="00D6412D">
        <w:rPr>
          <w:noProof/>
        </w:rPr>
        <w:t>19.</w:t>
      </w:r>
    </w:p>
    <w:p w14:paraId="163B3882" w14:textId="77777777" w:rsidR="00D6412D" w:rsidRPr="00D6412D" w:rsidRDefault="00D6412D" w:rsidP="00180844">
      <w:pPr>
        <w:pStyle w:val="EndNoteBibliography"/>
        <w:rPr>
          <w:noProof/>
        </w:rPr>
      </w:pPr>
      <w:r w:rsidRPr="00D6412D">
        <w:rPr>
          <w:b/>
          <w:noProof/>
        </w:rPr>
        <w:t>Henderson, G., Cox, F., Ganesh, S., Jonker, A., Young, W., Census, G.R.</w:t>
      </w:r>
      <w:r w:rsidR="00180844">
        <w:rPr>
          <w:b/>
          <w:noProof/>
        </w:rPr>
        <w:t xml:space="preserve"> &amp;</w:t>
      </w:r>
      <w:r w:rsidRPr="00D6412D">
        <w:rPr>
          <w:b/>
          <w:noProof/>
        </w:rPr>
        <w:t xml:space="preserve"> Janssen, P.H.</w:t>
      </w:r>
      <w:r w:rsidRPr="00D6412D">
        <w:rPr>
          <w:noProof/>
        </w:rPr>
        <w:t xml:space="preserve"> 2015. Rumen microbial community composition varies with diet and host, but a core microbiome is found across a wide geographical range. </w:t>
      </w:r>
      <w:r w:rsidRPr="00C02041">
        <w:rPr>
          <w:i/>
          <w:iCs/>
          <w:noProof/>
        </w:rPr>
        <w:t>Sci</w:t>
      </w:r>
      <w:r w:rsidR="00180844">
        <w:rPr>
          <w:i/>
          <w:iCs/>
          <w:noProof/>
        </w:rPr>
        <w:t>.</w:t>
      </w:r>
      <w:r w:rsidRPr="00C02041">
        <w:rPr>
          <w:i/>
          <w:iCs/>
          <w:noProof/>
        </w:rPr>
        <w:t xml:space="preserve"> Rep</w:t>
      </w:r>
      <w:r w:rsidR="00180844">
        <w:rPr>
          <w:i/>
          <w:noProof/>
        </w:rPr>
        <w:t>.,</w:t>
      </w:r>
      <w:r w:rsidRPr="00D6412D">
        <w:rPr>
          <w:i/>
          <w:noProof/>
        </w:rPr>
        <w:t xml:space="preserve"> </w:t>
      </w:r>
      <w:r w:rsidRPr="00C02041">
        <w:rPr>
          <w:iCs/>
          <w:noProof/>
        </w:rPr>
        <w:t>5</w:t>
      </w:r>
      <w:r w:rsidR="00180844">
        <w:rPr>
          <w:noProof/>
        </w:rPr>
        <w:t>:</w:t>
      </w:r>
      <w:r w:rsidRPr="00D6412D">
        <w:rPr>
          <w:noProof/>
        </w:rPr>
        <w:t xml:space="preserve"> 14567.</w:t>
      </w:r>
    </w:p>
    <w:p w14:paraId="78F39A55" w14:textId="77777777" w:rsidR="00D6412D" w:rsidRPr="00D6412D" w:rsidRDefault="00D6412D" w:rsidP="00EC6C60">
      <w:pPr>
        <w:pStyle w:val="EndNoteBibliography"/>
        <w:rPr>
          <w:noProof/>
        </w:rPr>
      </w:pPr>
      <w:r w:rsidRPr="00D6412D">
        <w:rPr>
          <w:b/>
          <w:noProof/>
        </w:rPr>
        <w:t>Higgins, D., Pal, C., Sulaiman, I.M., Jia, C., Zerwekh, T., Dowd, S.E.</w:t>
      </w:r>
      <w:r w:rsidR="00EC6C60">
        <w:rPr>
          <w:b/>
          <w:noProof/>
        </w:rPr>
        <w:t xml:space="preserve"> &amp;</w:t>
      </w:r>
      <w:r w:rsidRPr="00D6412D">
        <w:rPr>
          <w:b/>
          <w:noProof/>
        </w:rPr>
        <w:t xml:space="preserve"> Banerjee, P.</w:t>
      </w:r>
      <w:r w:rsidRPr="00D6412D">
        <w:rPr>
          <w:noProof/>
        </w:rPr>
        <w:t xml:space="preserve"> 2018. Application of high-throughput pyrosequencing in the analysis of microbiota of food commodities procured from small and large retail outlets in a U.S. metropolitan area – </w:t>
      </w:r>
      <w:r w:rsidR="00180844">
        <w:rPr>
          <w:noProof/>
        </w:rPr>
        <w:t>a</w:t>
      </w:r>
      <w:r w:rsidR="00180844" w:rsidRPr="00D6412D">
        <w:rPr>
          <w:noProof/>
        </w:rPr>
        <w:t xml:space="preserve"> </w:t>
      </w:r>
      <w:r w:rsidRPr="00D6412D">
        <w:rPr>
          <w:noProof/>
        </w:rPr>
        <w:t xml:space="preserve">pilot study. </w:t>
      </w:r>
      <w:r w:rsidRPr="00C02041">
        <w:rPr>
          <w:i/>
          <w:iCs/>
          <w:noProof/>
        </w:rPr>
        <w:t>Food Res</w:t>
      </w:r>
      <w:r w:rsidR="00180844">
        <w:rPr>
          <w:i/>
          <w:iCs/>
          <w:noProof/>
        </w:rPr>
        <w:t>.</w:t>
      </w:r>
      <w:r w:rsidRPr="00C02041">
        <w:rPr>
          <w:i/>
          <w:iCs/>
          <w:noProof/>
        </w:rPr>
        <w:t xml:space="preserve"> Internatl</w:t>
      </w:r>
      <w:r w:rsidR="00180844">
        <w:rPr>
          <w:i/>
          <w:iCs/>
          <w:noProof/>
        </w:rPr>
        <w:t>.,</w:t>
      </w:r>
      <w:r w:rsidRPr="00D6412D">
        <w:rPr>
          <w:i/>
          <w:noProof/>
        </w:rPr>
        <w:t xml:space="preserve"> </w:t>
      </w:r>
      <w:r w:rsidRPr="00C02041">
        <w:rPr>
          <w:iCs/>
          <w:noProof/>
        </w:rPr>
        <w:t>105</w:t>
      </w:r>
      <w:r w:rsidR="00180844">
        <w:rPr>
          <w:noProof/>
        </w:rPr>
        <w:t>:</w:t>
      </w:r>
      <w:r w:rsidRPr="00D6412D">
        <w:rPr>
          <w:noProof/>
        </w:rPr>
        <w:t xml:space="preserve"> 29</w:t>
      </w:r>
      <w:r w:rsidR="00180844">
        <w:rPr>
          <w:noProof/>
        </w:rPr>
        <w:t>–</w:t>
      </w:r>
      <w:r w:rsidRPr="00D6412D">
        <w:rPr>
          <w:noProof/>
        </w:rPr>
        <w:t>40.</w:t>
      </w:r>
    </w:p>
    <w:p w14:paraId="3474972E" w14:textId="77777777" w:rsidR="00D6412D" w:rsidRPr="00D6412D" w:rsidRDefault="00D6412D" w:rsidP="00EC6C60">
      <w:pPr>
        <w:pStyle w:val="EndNoteBibliography"/>
        <w:rPr>
          <w:noProof/>
        </w:rPr>
      </w:pPr>
      <w:r w:rsidRPr="00D6412D">
        <w:rPr>
          <w:b/>
          <w:noProof/>
        </w:rPr>
        <w:t>Hilbert, M.</w:t>
      </w:r>
      <w:r w:rsidRPr="00D6412D">
        <w:rPr>
          <w:noProof/>
        </w:rPr>
        <w:t xml:space="preserve"> 2016. The bad news is that the digital access divide is here to stay: domestically installed bandwidths among 172 countries for 1986–2014. </w:t>
      </w:r>
      <w:r w:rsidRPr="00C02041">
        <w:rPr>
          <w:i/>
          <w:iCs/>
          <w:noProof/>
        </w:rPr>
        <w:t>Telecomm Policy</w:t>
      </w:r>
      <w:r w:rsidR="00EC6C60">
        <w:rPr>
          <w:noProof/>
        </w:rPr>
        <w:t>,</w:t>
      </w:r>
      <w:r w:rsidRPr="00D6412D">
        <w:rPr>
          <w:i/>
          <w:noProof/>
        </w:rPr>
        <w:t xml:space="preserve"> </w:t>
      </w:r>
      <w:r w:rsidRPr="00C02041">
        <w:rPr>
          <w:iCs/>
          <w:noProof/>
        </w:rPr>
        <w:t>40</w:t>
      </w:r>
      <w:r w:rsidR="00EC6C60">
        <w:rPr>
          <w:noProof/>
        </w:rPr>
        <w:t>:</w:t>
      </w:r>
      <w:r w:rsidRPr="00D6412D">
        <w:rPr>
          <w:noProof/>
        </w:rPr>
        <w:t xml:space="preserve"> 567</w:t>
      </w:r>
      <w:r w:rsidR="00EC6C60">
        <w:rPr>
          <w:noProof/>
        </w:rPr>
        <w:t>–</w:t>
      </w:r>
      <w:r w:rsidRPr="00D6412D">
        <w:rPr>
          <w:noProof/>
        </w:rPr>
        <w:t>581.</w:t>
      </w:r>
    </w:p>
    <w:p w14:paraId="77D8938D" w14:textId="77777777" w:rsidR="00D6412D" w:rsidRPr="00D6412D" w:rsidRDefault="00D6412D" w:rsidP="00EC6C60">
      <w:pPr>
        <w:pStyle w:val="EndNoteBibliography"/>
        <w:rPr>
          <w:noProof/>
        </w:rPr>
      </w:pPr>
      <w:r w:rsidRPr="0012061B">
        <w:rPr>
          <w:b/>
          <w:noProof/>
          <w:lang w:val="en-CA"/>
        </w:rPr>
        <w:t>Honee, G., Vriezen, W.</w:t>
      </w:r>
      <w:r w:rsidR="00EC6C60" w:rsidRPr="0012061B">
        <w:rPr>
          <w:b/>
          <w:noProof/>
          <w:lang w:val="en-CA"/>
        </w:rPr>
        <w:t xml:space="preserve"> &amp;</w:t>
      </w:r>
      <w:r w:rsidRPr="0012061B">
        <w:rPr>
          <w:b/>
          <w:noProof/>
          <w:lang w:val="en-CA"/>
        </w:rPr>
        <w:t xml:space="preserve"> Visser, B.</w:t>
      </w:r>
      <w:r w:rsidRPr="0012061B">
        <w:rPr>
          <w:noProof/>
          <w:lang w:val="en-CA"/>
        </w:rPr>
        <w:t xml:space="preserve"> 1990. </w:t>
      </w:r>
      <w:r w:rsidRPr="00D6412D">
        <w:rPr>
          <w:noProof/>
        </w:rPr>
        <w:t xml:space="preserve">A translation fusion product of two different insecticidal crystal protein genes of Bacillus thuringiensis exhibits an enlarged insecticidal spectrum. </w:t>
      </w:r>
      <w:r w:rsidRPr="00C02041">
        <w:rPr>
          <w:i/>
          <w:iCs/>
          <w:noProof/>
        </w:rPr>
        <w:t>Appl</w:t>
      </w:r>
      <w:r w:rsidR="00EC6C60">
        <w:rPr>
          <w:i/>
          <w:iCs/>
          <w:noProof/>
        </w:rPr>
        <w:t>.</w:t>
      </w:r>
      <w:r w:rsidRPr="00C02041">
        <w:rPr>
          <w:i/>
          <w:iCs/>
          <w:noProof/>
        </w:rPr>
        <w:t xml:space="preserve"> Environ</w:t>
      </w:r>
      <w:r w:rsidR="00EC6C60">
        <w:rPr>
          <w:i/>
          <w:iCs/>
          <w:noProof/>
        </w:rPr>
        <w:t>.</w:t>
      </w:r>
      <w:r w:rsidRPr="00C02041">
        <w:rPr>
          <w:i/>
          <w:iCs/>
          <w:noProof/>
        </w:rPr>
        <w:t xml:space="preserve"> Microbiol</w:t>
      </w:r>
      <w:r w:rsidR="00EC6C60">
        <w:rPr>
          <w:i/>
          <w:iCs/>
          <w:noProof/>
        </w:rPr>
        <w:t>.,</w:t>
      </w:r>
      <w:r w:rsidRPr="00D6412D">
        <w:rPr>
          <w:i/>
          <w:noProof/>
        </w:rPr>
        <w:t xml:space="preserve"> </w:t>
      </w:r>
      <w:r w:rsidRPr="00C02041">
        <w:rPr>
          <w:iCs/>
          <w:noProof/>
        </w:rPr>
        <w:t>56</w:t>
      </w:r>
      <w:r w:rsidR="00EC6C60">
        <w:rPr>
          <w:noProof/>
        </w:rPr>
        <w:t>:</w:t>
      </w:r>
      <w:r w:rsidRPr="00D6412D">
        <w:rPr>
          <w:noProof/>
        </w:rPr>
        <w:t xml:space="preserve"> 823</w:t>
      </w:r>
      <w:r w:rsidR="00EC6C60">
        <w:rPr>
          <w:noProof/>
        </w:rPr>
        <w:t>–</w:t>
      </w:r>
      <w:r w:rsidRPr="00D6412D">
        <w:rPr>
          <w:noProof/>
        </w:rPr>
        <w:t>825.</w:t>
      </w:r>
    </w:p>
    <w:p w14:paraId="4AA1923E" w14:textId="77777777" w:rsidR="00D6412D" w:rsidRPr="00D6412D" w:rsidRDefault="00D6412D" w:rsidP="00EC6C60">
      <w:pPr>
        <w:pStyle w:val="EndNoteBibliography"/>
        <w:rPr>
          <w:noProof/>
        </w:rPr>
      </w:pPr>
      <w:r w:rsidRPr="00D6412D">
        <w:rPr>
          <w:b/>
          <w:noProof/>
        </w:rPr>
        <w:t>Hope, J.</w:t>
      </w:r>
      <w:r w:rsidRPr="00D6412D">
        <w:rPr>
          <w:noProof/>
        </w:rPr>
        <w:t xml:space="preserve"> 1995. Mice and beef and brain diseases. </w:t>
      </w:r>
      <w:r w:rsidRPr="00C02041">
        <w:rPr>
          <w:i/>
          <w:iCs/>
          <w:noProof/>
        </w:rPr>
        <w:t>Nature</w:t>
      </w:r>
      <w:r w:rsidR="00EC6C60">
        <w:rPr>
          <w:i/>
          <w:noProof/>
        </w:rPr>
        <w:t>,</w:t>
      </w:r>
      <w:r w:rsidRPr="00D6412D">
        <w:rPr>
          <w:i/>
          <w:noProof/>
        </w:rPr>
        <w:t xml:space="preserve"> </w:t>
      </w:r>
      <w:r w:rsidRPr="00C02041">
        <w:rPr>
          <w:iCs/>
          <w:noProof/>
        </w:rPr>
        <w:t>378</w:t>
      </w:r>
      <w:r w:rsidR="00EC6C60">
        <w:rPr>
          <w:noProof/>
        </w:rPr>
        <w:t>:</w:t>
      </w:r>
      <w:r w:rsidRPr="00D6412D">
        <w:rPr>
          <w:noProof/>
        </w:rPr>
        <w:t xml:space="preserve"> 761</w:t>
      </w:r>
      <w:r w:rsidR="00EC6C60">
        <w:rPr>
          <w:noProof/>
        </w:rPr>
        <w:t>–</w:t>
      </w:r>
      <w:r w:rsidRPr="00D6412D">
        <w:rPr>
          <w:noProof/>
        </w:rPr>
        <w:t>762.</w:t>
      </w:r>
    </w:p>
    <w:p w14:paraId="33741E7B" w14:textId="77777777" w:rsidR="00D6412D" w:rsidRPr="00D6412D" w:rsidRDefault="00D6412D" w:rsidP="00EC6C60">
      <w:pPr>
        <w:pStyle w:val="EndNoteBibliography"/>
        <w:rPr>
          <w:noProof/>
        </w:rPr>
      </w:pPr>
      <w:r w:rsidRPr="00D6412D">
        <w:rPr>
          <w:b/>
          <w:noProof/>
        </w:rPr>
        <w:t>Huang, C.-W., Lin, Y.-T., Ding, S.-T., Lo, L.-L., Wang, P.-H., Lin, E.-C., Liu, F.-W.</w:t>
      </w:r>
      <w:r w:rsidR="00EC6C60">
        <w:rPr>
          <w:b/>
          <w:noProof/>
        </w:rPr>
        <w:t xml:space="preserve"> &amp;</w:t>
      </w:r>
      <w:r w:rsidRPr="00D6412D">
        <w:rPr>
          <w:b/>
          <w:noProof/>
        </w:rPr>
        <w:t xml:space="preserve"> Lu, Y.-W.</w:t>
      </w:r>
      <w:r w:rsidRPr="00D6412D">
        <w:rPr>
          <w:noProof/>
        </w:rPr>
        <w:t xml:space="preserve"> 2015. Efficient SNP discovery by combining microarray and lab-on-a-chip data for animal breeding and selection. </w:t>
      </w:r>
      <w:r w:rsidRPr="00C02041">
        <w:rPr>
          <w:i/>
          <w:iCs/>
          <w:noProof/>
        </w:rPr>
        <w:t>Microarray</w:t>
      </w:r>
      <w:r w:rsidR="00EC6C60">
        <w:rPr>
          <w:i/>
          <w:noProof/>
        </w:rPr>
        <w:t>,</w:t>
      </w:r>
      <w:r w:rsidRPr="00D6412D">
        <w:rPr>
          <w:i/>
          <w:noProof/>
        </w:rPr>
        <w:t xml:space="preserve"> </w:t>
      </w:r>
      <w:r w:rsidRPr="00C02041">
        <w:rPr>
          <w:iCs/>
          <w:noProof/>
        </w:rPr>
        <w:t>4</w:t>
      </w:r>
      <w:r w:rsidR="00EC6C60">
        <w:rPr>
          <w:noProof/>
        </w:rPr>
        <w:t>L</w:t>
      </w:r>
      <w:r w:rsidRPr="00D6412D">
        <w:rPr>
          <w:noProof/>
        </w:rPr>
        <w:t xml:space="preserve"> 2076</w:t>
      </w:r>
      <w:r w:rsidR="00EC6C60">
        <w:rPr>
          <w:noProof/>
        </w:rPr>
        <w:t>–</w:t>
      </w:r>
      <w:r w:rsidRPr="00D6412D">
        <w:rPr>
          <w:noProof/>
        </w:rPr>
        <w:t>3905.</w:t>
      </w:r>
    </w:p>
    <w:p w14:paraId="08C212E1" w14:textId="77777777" w:rsidR="00D6412D" w:rsidRPr="00D6412D" w:rsidRDefault="00D6412D" w:rsidP="00EC6C60">
      <w:pPr>
        <w:pStyle w:val="EndNoteBibliography"/>
        <w:rPr>
          <w:noProof/>
        </w:rPr>
      </w:pPr>
      <w:r w:rsidRPr="00D6412D">
        <w:rPr>
          <w:b/>
          <w:noProof/>
        </w:rPr>
        <w:t>Husemann, M., Zachos, F.E., Paxton, R.J.</w:t>
      </w:r>
      <w:r w:rsidR="00EC6C60">
        <w:rPr>
          <w:b/>
          <w:noProof/>
        </w:rPr>
        <w:t xml:space="preserve"> &amp;</w:t>
      </w:r>
      <w:r w:rsidRPr="00D6412D">
        <w:rPr>
          <w:b/>
          <w:noProof/>
        </w:rPr>
        <w:t>Habel, J.C.</w:t>
      </w:r>
      <w:r w:rsidRPr="00D6412D">
        <w:rPr>
          <w:noProof/>
        </w:rPr>
        <w:t xml:space="preserve"> 2016. Effective population size in ecology and evolution. </w:t>
      </w:r>
      <w:r w:rsidRPr="00C02041">
        <w:rPr>
          <w:i/>
          <w:iCs/>
          <w:noProof/>
        </w:rPr>
        <w:t>Heredity</w:t>
      </w:r>
      <w:r w:rsidR="00EC6C60">
        <w:rPr>
          <w:i/>
          <w:noProof/>
        </w:rPr>
        <w:t>,</w:t>
      </w:r>
      <w:r w:rsidRPr="00D6412D">
        <w:rPr>
          <w:i/>
          <w:noProof/>
        </w:rPr>
        <w:t xml:space="preserve"> </w:t>
      </w:r>
      <w:r w:rsidRPr="00C02041">
        <w:rPr>
          <w:iCs/>
          <w:noProof/>
        </w:rPr>
        <w:t>117</w:t>
      </w:r>
      <w:r w:rsidR="00EC6C60">
        <w:rPr>
          <w:noProof/>
        </w:rPr>
        <w:t>:</w:t>
      </w:r>
      <w:r w:rsidRPr="00D6412D">
        <w:rPr>
          <w:noProof/>
        </w:rPr>
        <w:t xml:space="preserve"> 191.</w:t>
      </w:r>
    </w:p>
    <w:p w14:paraId="185AEC13" w14:textId="77777777" w:rsidR="00D6412D" w:rsidRPr="00D6412D" w:rsidRDefault="00D6412D" w:rsidP="00EC6C60">
      <w:pPr>
        <w:pStyle w:val="EndNoteBibliography"/>
        <w:rPr>
          <w:noProof/>
        </w:rPr>
      </w:pPr>
      <w:r w:rsidRPr="00D6412D">
        <w:rPr>
          <w:b/>
          <w:noProof/>
        </w:rPr>
        <w:t>IAASTD</w:t>
      </w:r>
      <w:r w:rsidRPr="00D6412D">
        <w:rPr>
          <w:noProof/>
        </w:rPr>
        <w:t>, ed. 2009.</w:t>
      </w:r>
      <w:r w:rsidRPr="00C02041">
        <w:rPr>
          <w:i/>
          <w:iCs/>
          <w:noProof/>
        </w:rPr>
        <w:t xml:space="preserve"> International Assessment of Agricultural Knowledge, Science and Technology for Development</w:t>
      </w:r>
      <w:r w:rsidR="00EC6C60">
        <w:rPr>
          <w:noProof/>
        </w:rPr>
        <w:t>.</w:t>
      </w:r>
      <w:r w:rsidRPr="00D6412D">
        <w:rPr>
          <w:noProof/>
        </w:rPr>
        <w:t xml:space="preserve"> Washington, DC</w:t>
      </w:r>
      <w:r w:rsidR="00EC6C60">
        <w:rPr>
          <w:noProof/>
        </w:rPr>
        <w:t>,</w:t>
      </w:r>
      <w:r w:rsidRPr="00D6412D">
        <w:rPr>
          <w:noProof/>
        </w:rPr>
        <w:t xml:space="preserve"> Island Press.</w:t>
      </w:r>
    </w:p>
    <w:p w14:paraId="731F606D" w14:textId="77777777" w:rsidR="00D6412D" w:rsidRPr="00D6412D" w:rsidRDefault="00D6412D" w:rsidP="00EC6C60">
      <w:pPr>
        <w:pStyle w:val="EndNoteBibliography"/>
        <w:rPr>
          <w:noProof/>
        </w:rPr>
      </w:pPr>
      <w:r w:rsidRPr="00D6412D">
        <w:rPr>
          <w:b/>
          <w:noProof/>
        </w:rPr>
        <w:t>Ibanez-Escriche, N.</w:t>
      </w:r>
      <w:r w:rsidR="00EC6C60">
        <w:rPr>
          <w:b/>
          <w:noProof/>
        </w:rPr>
        <w:t xml:space="preserve"> &amp;</w:t>
      </w:r>
      <w:r w:rsidRPr="00D6412D">
        <w:rPr>
          <w:b/>
          <w:noProof/>
        </w:rPr>
        <w:t xml:space="preserve"> Simianer, H.</w:t>
      </w:r>
      <w:r w:rsidRPr="00D6412D">
        <w:rPr>
          <w:noProof/>
        </w:rPr>
        <w:t xml:space="preserve"> 2016. From the editors: animal breeding in the genomics era. </w:t>
      </w:r>
      <w:r w:rsidRPr="00C02041">
        <w:rPr>
          <w:i/>
          <w:iCs/>
          <w:noProof/>
        </w:rPr>
        <w:t>Animal Front</w:t>
      </w:r>
      <w:r w:rsidR="00EC6C60">
        <w:rPr>
          <w:i/>
          <w:noProof/>
        </w:rPr>
        <w:t>,</w:t>
      </w:r>
      <w:r w:rsidRPr="00D6412D">
        <w:rPr>
          <w:i/>
          <w:noProof/>
        </w:rPr>
        <w:t xml:space="preserve"> 6</w:t>
      </w:r>
      <w:r w:rsidR="00EC6C60">
        <w:rPr>
          <w:i/>
          <w:noProof/>
        </w:rPr>
        <w:t>:</w:t>
      </w:r>
      <w:r w:rsidRPr="00D6412D">
        <w:rPr>
          <w:noProof/>
        </w:rPr>
        <w:t xml:space="preserve"> 4</w:t>
      </w:r>
      <w:r w:rsidR="00EC6C60">
        <w:rPr>
          <w:noProof/>
        </w:rPr>
        <w:t>–</w:t>
      </w:r>
      <w:r w:rsidRPr="00D6412D">
        <w:rPr>
          <w:noProof/>
        </w:rPr>
        <w:t>5.</w:t>
      </w:r>
    </w:p>
    <w:p w14:paraId="15C33966" w14:textId="77777777" w:rsidR="00D6412D" w:rsidRPr="00D6412D" w:rsidRDefault="00D6412D" w:rsidP="00EC6C60">
      <w:pPr>
        <w:pStyle w:val="EndNoteBibliography"/>
        <w:rPr>
          <w:noProof/>
        </w:rPr>
      </w:pPr>
      <w:r w:rsidRPr="00D6412D">
        <w:rPr>
          <w:b/>
          <w:noProof/>
        </w:rPr>
        <w:t>Ibeagha-Awemu, E.M., Peters, S.O., Akwanji, K.A., Imumorin, I.G.</w:t>
      </w:r>
      <w:r w:rsidR="00EC6C60">
        <w:rPr>
          <w:b/>
          <w:noProof/>
        </w:rPr>
        <w:t xml:space="preserve"> &amp;</w:t>
      </w:r>
      <w:r w:rsidRPr="00D6412D">
        <w:rPr>
          <w:b/>
          <w:noProof/>
        </w:rPr>
        <w:t xml:space="preserve"> Zhao, X.</w:t>
      </w:r>
      <w:r w:rsidRPr="00D6412D">
        <w:rPr>
          <w:noProof/>
        </w:rPr>
        <w:t xml:space="preserve"> 2016. High density genome wide genotyping-by-sequencing and association identifies common and low frequency SNPs, and novel candidate genes influencing cow milk traits. </w:t>
      </w:r>
      <w:r w:rsidRPr="00C02041">
        <w:rPr>
          <w:i/>
          <w:iCs/>
          <w:noProof/>
        </w:rPr>
        <w:t>Sci</w:t>
      </w:r>
      <w:r w:rsidR="00EC6C60">
        <w:rPr>
          <w:i/>
          <w:iCs/>
          <w:noProof/>
        </w:rPr>
        <w:t>.</w:t>
      </w:r>
      <w:r w:rsidRPr="00C02041">
        <w:rPr>
          <w:i/>
          <w:iCs/>
          <w:noProof/>
        </w:rPr>
        <w:t xml:space="preserve"> Rep</w:t>
      </w:r>
      <w:r w:rsidR="00EC6C60">
        <w:rPr>
          <w:i/>
          <w:noProof/>
        </w:rPr>
        <w:t>.,</w:t>
      </w:r>
      <w:r w:rsidRPr="00D6412D">
        <w:rPr>
          <w:i/>
          <w:noProof/>
        </w:rPr>
        <w:t xml:space="preserve"> </w:t>
      </w:r>
      <w:r w:rsidRPr="00C02041">
        <w:rPr>
          <w:iCs/>
          <w:noProof/>
        </w:rPr>
        <w:t>6</w:t>
      </w:r>
      <w:r w:rsidR="00EC6C60">
        <w:rPr>
          <w:noProof/>
        </w:rPr>
        <w:t>:</w:t>
      </w:r>
      <w:r w:rsidRPr="00D6412D">
        <w:rPr>
          <w:noProof/>
        </w:rPr>
        <w:t xml:space="preserve"> 31109.</w:t>
      </w:r>
    </w:p>
    <w:p w14:paraId="7D7DC502" w14:textId="77777777" w:rsidR="00D6412D" w:rsidRPr="00D6412D" w:rsidRDefault="00D6412D" w:rsidP="00EC6C60">
      <w:pPr>
        <w:pStyle w:val="EndNoteBibliography"/>
        <w:rPr>
          <w:noProof/>
        </w:rPr>
      </w:pPr>
      <w:r w:rsidRPr="00D6412D">
        <w:rPr>
          <w:b/>
          <w:noProof/>
        </w:rPr>
        <w:t>iGEM</w:t>
      </w:r>
      <w:r w:rsidRPr="00D6412D">
        <w:rPr>
          <w:noProof/>
        </w:rPr>
        <w:t xml:space="preserve">. </w:t>
      </w:r>
      <w:r w:rsidRPr="00C02041">
        <w:rPr>
          <w:i/>
          <w:iCs/>
          <w:noProof/>
        </w:rPr>
        <w:t>About iGEM</w:t>
      </w:r>
      <w:r w:rsidR="00EC6C60" w:rsidRPr="00C02041">
        <w:rPr>
          <w:i/>
          <w:iCs/>
          <w:noProof/>
        </w:rPr>
        <w:t xml:space="preserve"> </w:t>
      </w:r>
      <w:r w:rsidR="00EC6C60">
        <w:rPr>
          <w:noProof/>
        </w:rPr>
        <w:t>(</w:t>
      </w:r>
      <w:r w:rsidR="00EC6C60" w:rsidRPr="00EC6C60">
        <w:rPr>
          <w:noProof/>
        </w:rPr>
        <w:t>available at</w:t>
      </w:r>
      <w:r w:rsidRPr="00D6412D">
        <w:rPr>
          <w:noProof/>
        </w:rPr>
        <w:t xml:space="preserve"> </w:t>
      </w:r>
      <w:r w:rsidRPr="002C26BB">
        <w:rPr>
          <w:rStyle w:val="Hyperlink"/>
          <w:noProof/>
          <w:sz w:val="24"/>
        </w:rPr>
        <w:t>http://2017.igem.org/About</w:t>
      </w:r>
      <w:r w:rsidRPr="00D6412D">
        <w:rPr>
          <w:noProof/>
        </w:rPr>
        <w:t xml:space="preserve"> </w:t>
      </w:r>
      <w:r w:rsidR="00EC6C60">
        <w:rPr>
          <w:noProof/>
        </w:rPr>
        <w:t>a</w:t>
      </w:r>
      <w:r w:rsidRPr="00D6412D">
        <w:rPr>
          <w:noProof/>
        </w:rPr>
        <w:t>ccess</w:t>
      </w:r>
      <w:r w:rsidR="00EC6C60">
        <w:rPr>
          <w:noProof/>
        </w:rPr>
        <w:t>ed</w:t>
      </w:r>
      <w:r w:rsidRPr="00D6412D">
        <w:rPr>
          <w:noProof/>
        </w:rPr>
        <w:t xml:space="preserve"> 18 February 2018</w:t>
      </w:r>
      <w:r w:rsidR="00EC6C60">
        <w:rPr>
          <w:noProof/>
        </w:rPr>
        <w:t>).</w:t>
      </w:r>
    </w:p>
    <w:p w14:paraId="5CFBDE74" w14:textId="77777777" w:rsidR="00D6412D" w:rsidRPr="00D6412D" w:rsidRDefault="00D6412D" w:rsidP="00EC6C60">
      <w:pPr>
        <w:pStyle w:val="EndNoteBibliography"/>
        <w:rPr>
          <w:noProof/>
        </w:rPr>
      </w:pPr>
      <w:r w:rsidRPr="00D6412D">
        <w:rPr>
          <w:b/>
          <w:noProof/>
        </w:rPr>
        <w:lastRenderedPageBreak/>
        <w:t>iGEM</w:t>
      </w:r>
      <w:r w:rsidRPr="00D6412D">
        <w:rPr>
          <w:noProof/>
        </w:rPr>
        <w:t xml:space="preserve">. </w:t>
      </w:r>
      <w:r w:rsidRPr="00C02041">
        <w:rPr>
          <w:i/>
          <w:iCs/>
          <w:noProof/>
        </w:rPr>
        <w:t>Registry of standard biological parts</w:t>
      </w:r>
      <w:r w:rsidR="00EC6C60">
        <w:rPr>
          <w:noProof/>
        </w:rPr>
        <w:t xml:space="preserve"> (</w:t>
      </w:r>
      <w:r w:rsidR="00EC6C60" w:rsidRPr="00EC6C60">
        <w:rPr>
          <w:noProof/>
        </w:rPr>
        <w:t>available at</w:t>
      </w:r>
      <w:r w:rsidR="00EC6C60">
        <w:rPr>
          <w:noProof/>
        </w:rPr>
        <w:t xml:space="preserve"> </w:t>
      </w:r>
      <w:r w:rsidRPr="002C26BB">
        <w:rPr>
          <w:rStyle w:val="Hyperlink"/>
          <w:noProof/>
          <w:sz w:val="24"/>
        </w:rPr>
        <w:t>http://parts.igem.org/Help:An_Introduction_to_BioBricks</w:t>
      </w:r>
      <w:r w:rsidRPr="00D6412D">
        <w:rPr>
          <w:noProof/>
        </w:rPr>
        <w:t xml:space="preserve"> </w:t>
      </w:r>
      <w:r w:rsidR="00EC6C60">
        <w:rPr>
          <w:noProof/>
        </w:rPr>
        <w:t>a</w:t>
      </w:r>
      <w:r w:rsidRPr="00D6412D">
        <w:rPr>
          <w:noProof/>
        </w:rPr>
        <w:t>ccess</w:t>
      </w:r>
      <w:r w:rsidR="00EC6C60">
        <w:rPr>
          <w:noProof/>
        </w:rPr>
        <w:t>ed</w:t>
      </w:r>
      <w:r w:rsidRPr="00D6412D">
        <w:rPr>
          <w:noProof/>
        </w:rPr>
        <w:t xml:space="preserve"> 29 November 2017</w:t>
      </w:r>
      <w:r w:rsidR="00EC6C60">
        <w:rPr>
          <w:noProof/>
        </w:rPr>
        <w:t>).</w:t>
      </w:r>
    </w:p>
    <w:p w14:paraId="4591E461" w14:textId="77777777" w:rsidR="00AB3257" w:rsidRDefault="00AB3257" w:rsidP="00D6412D">
      <w:pPr>
        <w:pStyle w:val="EndNoteBibliography"/>
      </w:pPr>
      <w:r w:rsidRPr="00C02041">
        <w:rPr>
          <w:b/>
          <w:noProof/>
          <w:lang w:val="es-ES"/>
        </w:rPr>
        <w:t>Iriarte-Goñi, I.&amp; Ayuda, M.-I.</w:t>
      </w:r>
      <w:r w:rsidRPr="00C02041">
        <w:rPr>
          <w:noProof/>
          <w:lang w:val="es-ES"/>
        </w:rPr>
        <w:t xml:space="preserve"> 2012. </w:t>
      </w:r>
      <w:r w:rsidRPr="006A3DA9">
        <w:rPr>
          <w:noProof/>
        </w:rPr>
        <w:t xml:space="preserve">Not only subterranean forests: Wood consumption and economic development in Britain (1850–1938). </w:t>
      </w:r>
      <w:r w:rsidRPr="006A3DA9">
        <w:rPr>
          <w:i/>
          <w:noProof/>
        </w:rPr>
        <w:t>Ecol. Econ</w:t>
      </w:r>
      <w:r w:rsidRPr="006A3DA9">
        <w:rPr>
          <w:noProof/>
        </w:rPr>
        <w:t>.,</w:t>
      </w:r>
      <w:r w:rsidRPr="006A3DA9">
        <w:rPr>
          <w:i/>
          <w:noProof/>
        </w:rPr>
        <w:t xml:space="preserve"> </w:t>
      </w:r>
      <w:r w:rsidRPr="006A3DA9">
        <w:rPr>
          <w:noProof/>
        </w:rPr>
        <w:t>77: 176–184.</w:t>
      </w:r>
    </w:p>
    <w:p w14:paraId="08F327B8" w14:textId="77777777" w:rsidR="00D6412D" w:rsidRPr="00D6412D" w:rsidRDefault="00D6412D" w:rsidP="00EC6C60">
      <w:pPr>
        <w:pStyle w:val="EndNoteBibliography"/>
        <w:rPr>
          <w:noProof/>
        </w:rPr>
      </w:pPr>
      <w:r w:rsidRPr="00D6412D">
        <w:rPr>
          <w:b/>
          <w:noProof/>
        </w:rPr>
        <w:t>ITPGRFA</w:t>
      </w:r>
      <w:r w:rsidRPr="00D6412D">
        <w:rPr>
          <w:noProof/>
        </w:rPr>
        <w:t>.</w:t>
      </w:r>
      <w:r w:rsidRPr="00C02041">
        <w:rPr>
          <w:i/>
          <w:iCs/>
          <w:noProof/>
        </w:rPr>
        <w:t xml:space="preserve"> International Treaty on Plant Genetic Resources in Food and Agriculture</w:t>
      </w:r>
      <w:r w:rsidR="00EC6C60">
        <w:rPr>
          <w:noProof/>
        </w:rPr>
        <w:t xml:space="preserve"> (</w:t>
      </w:r>
      <w:r w:rsidR="00EC6C60" w:rsidRPr="00EC6C60">
        <w:rPr>
          <w:noProof/>
        </w:rPr>
        <w:t>available at</w:t>
      </w:r>
      <w:r w:rsidR="00EC6C60">
        <w:rPr>
          <w:noProof/>
        </w:rPr>
        <w:t xml:space="preserve"> </w:t>
      </w:r>
      <w:r w:rsidRPr="002C26BB">
        <w:rPr>
          <w:rStyle w:val="Hyperlink"/>
          <w:noProof/>
          <w:sz w:val="24"/>
        </w:rPr>
        <w:t>ftp://ftp.fao.org/docrep/fao/011/i0510e/i0510e01.pdf</w:t>
      </w:r>
      <w:r w:rsidR="00EC6C60">
        <w:rPr>
          <w:rStyle w:val="Hyperlink"/>
          <w:noProof/>
          <w:sz w:val="24"/>
        </w:rPr>
        <w:t>)</w:t>
      </w:r>
      <w:r w:rsidRPr="00D6412D">
        <w:rPr>
          <w:noProof/>
        </w:rPr>
        <w:t>.</w:t>
      </w:r>
    </w:p>
    <w:p w14:paraId="73478672" w14:textId="77777777" w:rsidR="00D6412D" w:rsidRPr="00EC6C60" w:rsidRDefault="00D6412D" w:rsidP="00EC6C60">
      <w:pPr>
        <w:pStyle w:val="EndNoteBibliography"/>
        <w:rPr>
          <w:noProof/>
        </w:rPr>
      </w:pPr>
      <w:r w:rsidRPr="00D6412D">
        <w:rPr>
          <w:b/>
          <w:noProof/>
        </w:rPr>
        <w:t>Jain, M., Koren, S., Miga, K.H., Quick, J., Rand, A.C., Sasani, T.A., Tyson, J.R., Beggs, A.D., Dilthey, A.T., Fiddes, I.T.</w:t>
      </w:r>
      <w:r w:rsidRPr="00D6412D">
        <w:rPr>
          <w:b/>
          <w:i/>
          <w:noProof/>
        </w:rPr>
        <w:t>, et al.</w:t>
      </w:r>
      <w:r w:rsidRPr="00D6412D">
        <w:rPr>
          <w:noProof/>
        </w:rPr>
        <w:t xml:space="preserve"> 2018. Nanopore sequencing and assembly of a human genome with ultra-long reads. </w:t>
      </w:r>
      <w:r w:rsidRPr="00C02041">
        <w:rPr>
          <w:i/>
          <w:iCs/>
          <w:noProof/>
        </w:rPr>
        <w:t>Nat</w:t>
      </w:r>
      <w:r w:rsidR="00EC6C60">
        <w:rPr>
          <w:i/>
          <w:iCs/>
          <w:noProof/>
        </w:rPr>
        <w:t>.</w:t>
      </w:r>
      <w:r w:rsidRPr="00C02041">
        <w:rPr>
          <w:i/>
          <w:iCs/>
          <w:noProof/>
        </w:rPr>
        <w:t xml:space="preserve"> Biotechnol.</w:t>
      </w:r>
      <w:r w:rsidR="00EC6C60">
        <w:rPr>
          <w:i/>
          <w:iCs/>
          <w:noProof/>
        </w:rPr>
        <w:t xml:space="preserve">, </w:t>
      </w:r>
      <w:r w:rsidR="00EC6C60" w:rsidRPr="00C02041">
        <w:rPr>
          <w:noProof/>
        </w:rPr>
        <w:t>36: 338–345</w:t>
      </w:r>
      <w:r w:rsidR="00EC6C60">
        <w:rPr>
          <w:i/>
          <w:iCs/>
          <w:noProof/>
        </w:rPr>
        <w:t>.</w:t>
      </w:r>
      <w:r w:rsidR="00EC6C60" w:rsidRPr="00EC6C60">
        <w:rPr>
          <w:i/>
          <w:iCs/>
          <w:noProof/>
        </w:rPr>
        <w:t> </w:t>
      </w:r>
    </w:p>
    <w:p w14:paraId="19FDC3FE" w14:textId="77777777" w:rsidR="00D6412D" w:rsidRPr="00D6412D" w:rsidRDefault="00D6412D" w:rsidP="00EC6C60">
      <w:pPr>
        <w:pStyle w:val="EndNoteBibliography"/>
        <w:rPr>
          <w:noProof/>
        </w:rPr>
      </w:pPr>
      <w:r w:rsidRPr="00D6412D">
        <w:rPr>
          <w:b/>
          <w:noProof/>
        </w:rPr>
        <w:t>Jayawardena, N., Kaur, M., S., N., Malmstrom, J., Goldstone, D., Negron, L., Gerrard, J.A.</w:t>
      </w:r>
      <w:r w:rsidR="00EC6C60">
        <w:rPr>
          <w:b/>
          <w:noProof/>
        </w:rPr>
        <w:t xml:space="preserve"> &amp;</w:t>
      </w:r>
      <w:r w:rsidRPr="00D6412D">
        <w:rPr>
          <w:b/>
          <w:noProof/>
        </w:rPr>
        <w:t xml:space="preserve"> Domigan, L.J.</w:t>
      </w:r>
      <w:r w:rsidRPr="00D6412D">
        <w:rPr>
          <w:noProof/>
        </w:rPr>
        <w:t xml:space="preserve"> 2017. Amyloid fibrils fro hemoglobin. </w:t>
      </w:r>
      <w:r w:rsidRPr="00C02041">
        <w:rPr>
          <w:i/>
          <w:iCs/>
          <w:noProof/>
        </w:rPr>
        <w:t>Biomolecules</w:t>
      </w:r>
      <w:r w:rsidR="00EC6C60">
        <w:rPr>
          <w:i/>
          <w:noProof/>
        </w:rPr>
        <w:t>,</w:t>
      </w:r>
      <w:r w:rsidRPr="00D6412D">
        <w:rPr>
          <w:i/>
          <w:noProof/>
        </w:rPr>
        <w:t xml:space="preserve"> </w:t>
      </w:r>
      <w:r w:rsidRPr="00C02041">
        <w:rPr>
          <w:iCs/>
          <w:noProof/>
        </w:rPr>
        <w:t>7</w:t>
      </w:r>
      <w:r w:rsidR="00EC6C60">
        <w:rPr>
          <w:noProof/>
        </w:rPr>
        <w:t>:</w:t>
      </w:r>
      <w:r w:rsidRPr="00D6412D">
        <w:rPr>
          <w:noProof/>
        </w:rPr>
        <w:t xml:space="preserve"> 37.</w:t>
      </w:r>
    </w:p>
    <w:p w14:paraId="3754B56D" w14:textId="77777777" w:rsidR="00D6412D" w:rsidRPr="00D6412D" w:rsidRDefault="00D6412D" w:rsidP="00EC6C60">
      <w:pPr>
        <w:pStyle w:val="EndNoteBibliography"/>
        <w:rPr>
          <w:noProof/>
        </w:rPr>
      </w:pPr>
      <w:r w:rsidRPr="00D6412D">
        <w:rPr>
          <w:b/>
          <w:noProof/>
        </w:rPr>
        <w:t>Jeffries, K.M., Connon, R.E., Davis, B.E., Komoroske, L.M., Britton, M.T., Sommer, T., Todgham, A.E.</w:t>
      </w:r>
      <w:r w:rsidR="00EC6C60">
        <w:rPr>
          <w:b/>
          <w:noProof/>
        </w:rPr>
        <w:t xml:space="preserve"> &amp;</w:t>
      </w:r>
      <w:r w:rsidRPr="00D6412D">
        <w:rPr>
          <w:b/>
          <w:noProof/>
        </w:rPr>
        <w:t xml:space="preserve"> Fangue, N.A.</w:t>
      </w:r>
      <w:r w:rsidRPr="00D6412D">
        <w:rPr>
          <w:noProof/>
        </w:rPr>
        <w:t xml:space="preserve"> 2016. Effects of high temperatures on threatened estuarine fishes during periods of extreme drought. </w:t>
      </w:r>
      <w:r w:rsidRPr="00C02041">
        <w:rPr>
          <w:i/>
          <w:iCs/>
          <w:noProof/>
        </w:rPr>
        <w:t>J</w:t>
      </w:r>
      <w:r w:rsidR="00EC6C60">
        <w:rPr>
          <w:i/>
          <w:iCs/>
          <w:noProof/>
        </w:rPr>
        <w:t>.</w:t>
      </w:r>
      <w:r w:rsidRPr="00C02041">
        <w:rPr>
          <w:i/>
          <w:iCs/>
          <w:noProof/>
        </w:rPr>
        <w:t xml:space="preserve"> Exp</w:t>
      </w:r>
      <w:r w:rsidR="00EC6C60">
        <w:rPr>
          <w:i/>
          <w:iCs/>
          <w:noProof/>
        </w:rPr>
        <w:t>.</w:t>
      </w:r>
      <w:r w:rsidRPr="00C02041">
        <w:rPr>
          <w:i/>
          <w:iCs/>
          <w:noProof/>
        </w:rPr>
        <w:t xml:space="preserve"> Biol</w:t>
      </w:r>
      <w:r w:rsidR="00EC6C60">
        <w:rPr>
          <w:i/>
          <w:iCs/>
          <w:noProof/>
        </w:rPr>
        <w:t>.,</w:t>
      </w:r>
      <w:r w:rsidRPr="00D6412D">
        <w:rPr>
          <w:i/>
          <w:noProof/>
        </w:rPr>
        <w:t xml:space="preserve"> </w:t>
      </w:r>
      <w:r w:rsidRPr="00C02041">
        <w:rPr>
          <w:iCs/>
          <w:noProof/>
        </w:rPr>
        <w:t>219</w:t>
      </w:r>
      <w:r w:rsidR="00EC6C60">
        <w:rPr>
          <w:noProof/>
        </w:rPr>
        <w:t>:</w:t>
      </w:r>
      <w:r w:rsidRPr="00D6412D">
        <w:rPr>
          <w:noProof/>
        </w:rPr>
        <w:t xml:space="preserve"> 1705</w:t>
      </w:r>
      <w:r w:rsidR="00EC6C60">
        <w:rPr>
          <w:noProof/>
        </w:rPr>
        <w:t>–</w:t>
      </w:r>
      <w:r w:rsidRPr="00D6412D">
        <w:rPr>
          <w:noProof/>
        </w:rPr>
        <w:t>1716.</w:t>
      </w:r>
    </w:p>
    <w:p w14:paraId="47C0DB62" w14:textId="77777777" w:rsidR="00D6412D" w:rsidRPr="00D6412D" w:rsidRDefault="00D6412D" w:rsidP="00EC6C60">
      <w:pPr>
        <w:pStyle w:val="EndNoteBibliography"/>
        <w:rPr>
          <w:noProof/>
        </w:rPr>
      </w:pPr>
      <w:r w:rsidRPr="00D85B51">
        <w:rPr>
          <w:b/>
          <w:noProof/>
          <w:lang w:val="en-CA"/>
        </w:rPr>
        <w:t>Jenuwein, T.</w:t>
      </w:r>
      <w:r w:rsidR="00EC6C60" w:rsidRPr="00D85B51">
        <w:rPr>
          <w:b/>
          <w:noProof/>
          <w:lang w:val="en-CA"/>
        </w:rPr>
        <w:t xml:space="preserve"> &amp;</w:t>
      </w:r>
      <w:r w:rsidRPr="00D85B51">
        <w:rPr>
          <w:b/>
          <w:noProof/>
          <w:lang w:val="en-CA"/>
        </w:rPr>
        <w:t xml:space="preserve"> Allis, C.D.</w:t>
      </w:r>
      <w:r w:rsidRPr="00D85B51">
        <w:rPr>
          <w:noProof/>
          <w:lang w:val="en-CA"/>
        </w:rPr>
        <w:t xml:space="preserve"> 2001. </w:t>
      </w:r>
      <w:r w:rsidRPr="00D6412D">
        <w:rPr>
          <w:noProof/>
        </w:rPr>
        <w:t xml:space="preserve">Translating the histone code. </w:t>
      </w:r>
      <w:r w:rsidRPr="00C02041">
        <w:rPr>
          <w:i/>
          <w:iCs/>
          <w:noProof/>
        </w:rPr>
        <w:t>Science</w:t>
      </w:r>
      <w:r w:rsidR="00EC6C60">
        <w:rPr>
          <w:i/>
          <w:iCs/>
          <w:noProof/>
        </w:rPr>
        <w:t>,</w:t>
      </w:r>
      <w:r w:rsidRPr="00D6412D">
        <w:rPr>
          <w:i/>
          <w:noProof/>
        </w:rPr>
        <w:t xml:space="preserve"> </w:t>
      </w:r>
      <w:r w:rsidRPr="00C02041">
        <w:rPr>
          <w:iCs/>
          <w:noProof/>
        </w:rPr>
        <w:t>293</w:t>
      </w:r>
      <w:r w:rsidR="00EC6C60">
        <w:rPr>
          <w:iCs/>
          <w:noProof/>
        </w:rPr>
        <w:t>:</w:t>
      </w:r>
      <w:r w:rsidRPr="00D6412D">
        <w:rPr>
          <w:noProof/>
        </w:rPr>
        <w:t xml:space="preserve"> 1074</w:t>
      </w:r>
      <w:r w:rsidR="00EC6C60">
        <w:rPr>
          <w:noProof/>
        </w:rPr>
        <w:t>–</w:t>
      </w:r>
      <w:r w:rsidRPr="00D6412D">
        <w:rPr>
          <w:noProof/>
        </w:rPr>
        <w:t>1080.</w:t>
      </w:r>
    </w:p>
    <w:p w14:paraId="4CAD0EB3" w14:textId="77777777" w:rsidR="00D6412D" w:rsidRPr="00D85B51" w:rsidRDefault="00D6412D" w:rsidP="00EC6C60">
      <w:pPr>
        <w:pStyle w:val="EndNoteBibliography"/>
        <w:rPr>
          <w:noProof/>
        </w:rPr>
      </w:pPr>
      <w:r w:rsidRPr="00D6412D">
        <w:rPr>
          <w:b/>
          <w:noProof/>
        </w:rPr>
        <w:t>Jewett, M.C.</w:t>
      </w:r>
      <w:r w:rsidR="00EC6C60">
        <w:rPr>
          <w:b/>
          <w:noProof/>
        </w:rPr>
        <w:t>&amp;</w:t>
      </w:r>
      <w:r w:rsidRPr="00D6412D">
        <w:rPr>
          <w:b/>
          <w:noProof/>
        </w:rPr>
        <w:t xml:space="preserve"> Forster, A.C.</w:t>
      </w:r>
      <w:r w:rsidRPr="00D6412D">
        <w:rPr>
          <w:noProof/>
        </w:rPr>
        <w:t xml:space="preserve"> 2010. Update on designing and building minimal cells. </w:t>
      </w:r>
      <w:r w:rsidRPr="00D85B51">
        <w:rPr>
          <w:i/>
          <w:iCs/>
          <w:noProof/>
        </w:rPr>
        <w:t>Curr</w:t>
      </w:r>
      <w:r w:rsidR="00EC6C60" w:rsidRPr="00D85B51">
        <w:rPr>
          <w:i/>
          <w:iCs/>
          <w:noProof/>
        </w:rPr>
        <w:t>.</w:t>
      </w:r>
      <w:r w:rsidRPr="00D85B51">
        <w:rPr>
          <w:i/>
          <w:iCs/>
          <w:noProof/>
        </w:rPr>
        <w:t xml:space="preserve"> Opin</w:t>
      </w:r>
      <w:r w:rsidR="00EC6C60" w:rsidRPr="00D85B51">
        <w:rPr>
          <w:i/>
          <w:iCs/>
          <w:noProof/>
        </w:rPr>
        <w:t>.</w:t>
      </w:r>
      <w:r w:rsidRPr="00D85B51">
        <w:rPr>
          <w:i/>
          <w:iCs/>
          <w:noProof/>
        </w:rPr>
        <w:t xml:space="preserve"> Biotechnol</w:t>
      </w:r>
      <w:r w:rsidR="00EC6C60" w:rsidRPr="00D85B51">
        <w:rPr>
          <w:i/>
          <w:iCs/>
          <w:noProof/>
        </w:rPr>
        <w:t>.,</w:t>
      </w:r>
      <w:r w:rsidRPr="00D85B51">
        <w:rPr>
          <w:i/>
          <w:iCs/>
          <w:noProof/>
        </w:rPr>
        <w:t xml:space="preserve"> </w:t>
      </w:r>
      <w:r w:rsidRPr="00D85B51">
        <w:rPr>
          <w:iCs/>
          <w:noProof/>
        </w:rPr>
        <w:t>21</w:t>
      </w:r>
      <w:r w:rsidR="00EC6C60" w:rsidRPr="00D85B51">
        <w:rPr>
          <w:noProof/>
        </w:rPr>
        <w:t>:</w:t>
      </w:r>
      <w:r w:rsidRPr="00D85B51">
        <w:rPr>
          <w:noProof/>
        </w:rPr>
        <w:t xml:space="preserve"> 697</w:t>
      </w:r>
      <w:r w:rsidR="00EC6C60" w:rsidRPr="00D85B51">
        <w:rPr>
          <w:noProof/>
        </w:rPr>
        <w:t>–</w:t>
      </w:r>
      <w:r w:rsidRPr="00D85B51">
        <w:rPr>
          <w:noProof/>
        </w:rPr>
        <w:t>703.</w:t>
      </w:r>
    </w:p>
    <w:p w14:paraId="2619C989" w14:textId="77777777" w:rsidR="00D6412D" w:rsidRPr="00D6412D" w:rsidRDefault="00D6412D" w:rsidP="00436213">
      <w:pPr>
        <w:pStyle w:val="EndNoteBibliography"/>
        <w:rPr>
          <w:noProof/>
        </w:rPr>
      </w:pPr>
      <w:r w:rsidRPr="00D85B51">
        <w:rPr>
          <w:b/>
          <w:noProof/>
        </w:rPr>
        <w:t>Jin, L., Mao, K., Li, J., Huang, W., Che, T., Fu, Y., Tang, Q., Liu, P., Song, Y., Liu, R.</w:t>
      </w:r>
      <w:r w:rsidRPr="00D85B51">
        <w:rPr>
          <w:b/>
          <w:i/>
          <w:noProof/>
        </w:rPr>
        <w:t>, et al.</w:t>
      </w:r>
      <w:r w:rsidRPr="00D85B51">
        <w:rPr>
          <w:noProof/>
        </w:rPr>
        <w:t xml:space="preserve"> 2018. </w:t>
      </w:r>
      <w:r w:rsidRPr="00D6412D">
        <w:rPr>
          <w:noProof/>
        </w:rPr>
        <w:t xml:space="preserve">Genome-wide profiling of gene expression and DNA methylation provides insight into low-altitude acclimation in Tibetan pigs. </w:t>
      </w:r>
      <w:r w:rsidRPr="00C02041">
        <w:rPr>
          <w:i/>
          <w:iCs/>
          <w:noProof/>
        </w:rPr>
        <w:t>Gene</w:t>
      </w:r>
      <w:r w:rsidR="00436213" w:rsidRPr="00C02041">
        <w:rPr>
          <w:i/>
          <w:iCs/>
          <w:noProof/>
        </w:rPr>
        <w:t>,</w:t>
      </w:r>
      <w:r w:rsidRPr="00D6412D">
        <w:rPr>
          <w:i/>
          <w:noProof/>
        </w:rPr>
        <w:t xml:space="preserve"> </w:t>
      </w:r>
      <w:r w:rsidRPr="00C02041">
        <w:rPr>
          <w:iCs/>
          <w:noProof/>
        </w:rPr>
        <w:t>642</w:t>
      </w:r>
      <w:r w:rsidR="00436213">
        <w:rPr>
          <w:noProof/>
        </w:rPr>
        <w:t>:</w:t>
      </w:r>
      <w:r w:rsidRPr="00D6412D">
        <w:rPr>
          <w:noProof/>
        </w:rPr>
        <w:t xml:space="preserve"> 522</w:t>
      </w:r>
      <w:r w:rsidR="00436213">
        <w:rPr>
          <w:noProof/>
        </w:rPr>
        <w:t>–</w:t>
      </w:r>
      <w:r w:rsidRPr="00D6412D">
        <w:rPr>
          <w:noProof/>
        </w:rPr>
        <w:t>532.</w:t>
      </w:r>
    </w:p>
    <w:p w14:paraId="465564CF" w14:textId="77777777" w:rsidR="00D6412D" w:rsidRPr="00D6412D" w:rsidRDefault="00D6412D" w:rsidP="00436213">
      <w:pPr>
        <w:pStyle w:val="EndNoteBibliography"/>
        <w:rPr>
          <w:noProof/>
        </w:rPr>
      </w:pPr>
      <w:r w:rsidRPr="00D6412D">
        <w:rPr>
          <w:b/>
          <w:noProof/>
        </w:rPr>
        <w:t>Kaiser, D., and Masuda, T.</w:t>
      </w:r>
      <w:r w:rsidRPr="00D6412D">
        <w:rPr>
          <w:noProof/>
        </w:rPr>
        <w:t xml:space="preserve"> 1973. In vitro assembly of bacteriophage Lambda heads. </w:t>
      </w:r>
      <w:r w:rsidRPr="00C02041">
        <w:rPr>
          <w:i/>
          <w:iCs/>
          <w:noProof/>
        </w:rPr>
        <w:t>Proc</w:t>
      </w:r>
      <w:r w:rsidR="00436213">
        <w:rPr>
          <w:i/>
          <w:iCs/>
          <w:noProof/>
        </w:rPr>
        <w:t>.</w:t>
      </w:r>
      <w:r w:rsidRPr="00C02041">
        <w:rPr>
          <w:i/>
          <w:iCs/>
          <w:noProof/>
        </w:rPr>
        <w:t xml:space="preserve"> Natl</w:t>
      </w:r>
      <w:r w:rsidR="00436213">
        <w:rPr>
          <w:i/>
          <w:iCs/>
          <w:noProof/>
        </w:rPr>
        <w:t>.</w:t>
      </w:r>
      <w:r w:rsidRPr="00C02041">
        <w:rPr>
          <w:i/>
          <w:iCs/>
          <w:noProof/>
        </w:rPr>
        <w:t xml:space="preserve"> Acad</w:t>
      </w:r>
      <w:r w:rsidR="00436213">
        <w:rPr>
          <w:i/>
          <w:iCs/>
          <w:noProof/>
        </w:rPr>
        <w:t>.</w:t>
      </w:r>
      <w:r w:rsidRPr="00C02041">
        <w:rPr>
          <w:i/>
          <w:iCs/>
          <w:noProof/>
        </w:rPr>
        <w:t xml:space="preserve"> Sci</w:t>
      </w:r>
      <w:r w:rsidR="00436213">
        <w:rPr>
          <w:i/>
          <w:iCs/>
          <w:noProof/>
        </w:rPr>
        <w:t>.</w:t>
      </w:r>
      <w:r w:rsidRPr="00C02041">
        <w:rPr>
          <w:i/>
          <w:iCs/>
          <w:noProof/>
        </w:rPr>
        <w:t xml:space="preserve"> USA</w:t>
      </w:r>
      <w:r w:rsidR="00436213">
        <w:rPr>
          <w:i/>
          <w:iCs/>
          <w:noProof/>
        </w:rPr>
        <w:t>,</w:t>
      </w:r>
      <w:r w:rsidRPr="00D6412D">
        <w:rPr>
          <w:i/>
          <w:noProof/>
        </w:rPr>
        <w:t xml:space="preserve"> </w:t>
      </w:r>
      <w:r w:rsidRPr="00C02041">
        <w:rPr>
          <w:iCs/>
          <w:noProof/>
        </w:rPr>
        <w:t>70</w:t>
      </w:r>
      <w:r w:rsidR="00436213">
        <w:rPr>
          <w:noProof/>
        </w:rPr>
        <w:t>:</w:t>
      </w:r>
      <w:r w:rsidRPr="00D6412D">
        <w:rPr>
          <w:noProof/>
        </w:rPr>
        <w:t xml:space="preserve"> 260</w:t>
      </w:r>
      <w:r w:rsidR="00436213">
        <w:rPr>
          <w:noProof/>
        </w:rPr>
        <w:t>–</w:t>
      </w:r>
      <w:r w:rsidRPr="00D6412D">
        <w:rPr>
          <w:noProof/>
        </w:rPr>
        <w:t>264.</w:t>
      </w:r>
    </w:p>
    <w:p w14:paraId="55094372" w14:textId="77777777" w:rsidR="00D6412D" w:rsidRPr="00D6412D" w:rsidRDefault="00D6412D" w:rsidP="00D6412D">
      <w:pPr>
        <w:pStyle w:val="EndNoteBibliography"/>
        <w:rPr>
          <w:noProof/>
        </w:rPr>
      </w:pPr>
      <w:r w:rsidRPr="00D6412D">
        <w:rPr>
          <w:b/>
          <w:noProof/>
        </w:rPr>
        <w:t>Kamen, M.</w:t>
      </w:r>
      <w:r w:rsidRPr="00D6412D">
        <w:rPr>
          <w:noProof/>
        </w:rPr>
        <w:t xml:space="preserve"> </w:t>
      </w:r>
      <w:r w:rsidRPr="00C02041">
        <w:rPr>
          <w:i/>
          <w:iCs/>
          <w:noProof/>
        </w:rPr>
        <w:t>Governments shut down the internet more than 50 times in 2016</w:t>
      </w:r>
      <w:r w:rsidR="00436213" w:rsidRPr="00C02041">
        <w:rPr>
          <w:i/>
          <w:iCs/>
          <w:noProof/>
        </w:rPr>
        <w:t xml:space="preserve"> </w:t>
      </w:r>
      <w:r w:rsidR="00436213">
        <w:rPr>
          <w:noProof/>
        </w:rPr>
        <w:t>(</w:t>
      </w:r>
      <w:r w:rsidR="00436213" w:rsidRPr="00436213">
        <w:rPr>
          <w:noProof/>
        </w:rPr>
        <w:t>available at</w:t>
      </w:r>
      <w:r w:rsidR="00436213">
        <w:rPr>
          <w:noProof/>
        </w:rPr>
        <w:t xml:space="preserve"> </w:t>
      </w:r>
      <w:r w:rsidRPr="002C26BB">
        <w:rPr>
          <w:rStyle w:val="Hyperlink"/>
          <w:noProof/>
          <w:sz w:val="24"/>
        </w:rPr>
        <w:t>http://www.wired.co.uk/article/over-50-internet-shutdowns-2016</w:t>
      </w:r>
      <w:r w:rsidR="00436213">
        <w:rPr>
          <w:rStyle w:val="Hyperlink"/>
          <w:noProof/>
          <w:sz w:val="24"/>
        </w:rPr>
        <w:t>).</w:t>
      </w:r>
    </w:p>
    <w:p w14:paraId="5F6D5BFB" w14:textId="77777777" w:rsidR="00D6412D" w:rsidRPr="00D6412D" w:rsidRDefault="00D6412D" w:rsidP="00436213">
      <w:pPr>
        <w:pStyle w:val="EndNoteBibliography"/>
        <w:rPr>
          <w:noProof/>
        </w:rPr>
      </w:pPr>
      <w:r w:rsidRPr="00D6412D">
        <w:rPr>
          <w:b/>
          <w:noProof/>
        </w:rPr>
        <w:t>Khalil, A.S.</w:t>
      </w:r>
      <w:r w:rsidR="00436213">
        <w:rPr>
          <w:b/>
          <w:noProof/>
        </w:rPr>
        <w:t>&amp;</w:t>
      </w:r>
      <w:r w:rsidRPr="00D6412D">
        <w:rPr>
          <w:b/>
          <w:noProof/>
        </w:rPr>
        <w:t xml:space="preserve"> Collins, J.J.</w:t>
      </w:r>
      <w:r w:rsidRPr="00D6412D">
        <w:rPr>
          <w:noProof/>
        </w:rPr>
        <w:t xml:space="preserve"> 2010. Synthetic biology: applications come of age. </w:t>
      </w:r>
      <w:r w:rsidRPr="00C02041">
        <w:rPr>
          <w:i/>
          <w:iCs/>
          <w:noProof/>
        </w:rPr>
        <w:t>Nat</w:t>
      </w:r>
      <w:r w:rsidR="00436213">
        <w:rPr>
          <w:i/>
          <w:iCs/>
          <w:noProof/>
        </w:rPr>
        <w:t>.</w:t>
      </w:r>
      <w:r w:rsidRPr="00C02041">
        <w:rPr>
          <w:i/>
          <w:iCs/>
          <w:noProof/>
        </w:rPr>
        <w:t xml:space="preserve"> Rev</w:t>
      </w:r>
      <w:r w:rsidR="00436213">
        <w:rPr>
          <w:i/>
          <w:iCs/>
          <w:noProof/>
        </w:rPr>
        <w:t>.</w:t>
      </w:r>
      <w:r w:rsidRPr="00C02041">
        <w:rPr>
          <w:i/>
          <w:iCs/>
          <w:noProof/>
        </w:rPr>
        <w:t xml:space="preserve"> Genet</w:t>
      </w:r>
      <w:r w:rsidR="00436213">
        <w:rPr>
          <w:i/>
          <w:iCs/>
          <w:noProof/>
        </w:rPr>
        <w:t>.,</w:t>
      </w:r>
      <w:r w:rsidRPr="00381F8F">
        <w:rPr>
          <w:i/>
          <w:iCs/>
          <w:noProof/>
        </w:rPr>
        <w:t xml:space="preserve"> </w:t>
      </w:r>
      <w:r w:rsidRPr="00C02041">
        <w:rPr>
          <w:iCs/>
          <w:noProof/>
        </w:rPr>
        <w:t>11</w:t>
      </w:r>
      <w:r w:rsidR="00436213">
        <w:rPr>
          <w:noProof/>
        </w:rPr>
        <w:t>:</w:t>
      </w:r>
      <w:r w:rsidRPr="00D6412D">
        <w:rPr>
          <w:noProof/>
        </w:rPr>
        <w:t xml:space="preserve"> 367</w:t>
      </w:r>
      <w:r w:rsidR="00436213">
        <w:rPr>
          <w:noProof/>
        </w:rPr>
        <w:t>–</w:t>
      </w:r>
      <w:r w:rsidRPr="00D6412D">
        <w:rPr>
          <w:noProof/>
        </w:rPr>
        <w:t>379.</w:t>
      </w:r>
    </w:p>
    <w:p w14:paraId="016E97C9" w14:textId="77777777" w:rsidR="00D6412D" w:rsidRPr="00D6412D" w:rsidRDefault="00D6412D" w:rsidP="00436213">
      <w:pPr>
        <w:pStyle w:val="EndNoteBibliography"/>
        <w:rPr>
          <w:noProof/>
        </w:rPr>
      </w:pPr>
      <w:r w:rsidRPr="00D6412D">
        <w:rPr>
          <w:b/>
          <w:noProof/>
        </w:rPr>
        <w:t>Kim, J., Hanotte, O., Mwai, O.A., Dessie, T., Bashir, S., Diallo, B., Agaba, M., Kim, K., Kwak, W., Sung, S.</w:t>
      </w:r>
      <w:r w:rsidRPr="00D6412D">
        <w:rPr>
          <w:b/>
          <w:i/>
          <w:noProof/>
        </w:rPr>
        <w:t>, et al.</w:t>
      </w:r>
      <w:r w:rsidRPr="00D6412D">
        <w:rPr>
          <w:noProof/>
        </w:rPr>
        <w:t xml:space="preserve"> 2017. The genome landscape of indigenous African cattle. </w:t>
      </w:r>
      <w:r w:rsidRPr="00C02041">
        <w:rPr>
          <w:i/>
          <w:iCs/>
          <w:noProof/>
        </w:rPr>
        <w:t>Genome Biol</w:t>
      </w:r>
      <w:r w:rsidR="00436213">
        <w:rPr>
          <w:i/>
          <w:noProof/>
        </w:rPr>
        <w:t>.,</w:t>
      </w:r>
      <w:r w:rsidRPr="00D6412D">
        <w:rPr>
          <w:i/>
          <w:noProof/>
        </w:rPr>
        <w:t xml:space="preserve"> </w:t>
      </w:r>
      <w:r w:rsidRPr="00C02041">
        <w:rPr>
          <w:iCs/>
          <w:noProof/>
        </w:rPr>
        <w:t>18</w:t>
      </w:r>
      <w:r w:rsidR="00436213">
        <w:rPr>
          <w:noProof/>
        </w:rPr>
        <w:t>:</w:t>
      </w:r>
      <w:r w:rsidRPr="00D6412D">
        <w:rPr>
          <w:noProof/>
        </w:rPr>
        <w:t xml:space="preserve"> 34.</w:t>
      </w:r>
    </w:p>
    <w:p w14:paraId="0AC1A734" w14:textId="77777777" w:rsidR="00D6412D" w:rsidRPr="00D6412D" w:rsidRDefault="00D6412D" w:rsidP="00436213">
      <w:pPr>
        <w:pStyle w:val="EndNoteBibliography"/>
        <w:rPr>
          <w:noProof/>
        </w:rPr>
      </w:pPr>
      <w:r w:rsidRPr="00D6412D">
        <w:rPr>
          <w:b/>
          <w:noProof/>
        </w:rPr>
        <w:t>King, C.-Y., and Diaz-Avalos</w:t>
      </w:r>
      <w:r w:rsidRPr="00D6412D">
        <w:rPr>
          <w:noProof/>
        </w:rPr>
        <w:t xml:space="preserve">. 2004. Protein-only transmission of three yeast prion strains. </w:t>
      </w:r>
      <w:r w:rsidRPr="00C02041">
        <w:rPr>
          <w:i/>
          <w:iCs/>
          <w:noProof/>
        </w:rPr>
        <w:t>Nature</w:t>
      </w:r>
      <w:r w:rsidR="00436213">
        <w:rPr>
          <w:i/>
          <w:noProof/>
        </w:rPr>
        <w:t>,</w:t>
      </w:r>
      <w:r w:rsidRPr="00D6412D">
        <w:rPr>
          <w:i/>
          <w:noProof/>
        </w:rPr>
        <w:t xml:space="preserve"> </w:t>
      </w:r>
      <w:r w:rsidRPr="00C02041">
        <w:rPr>
          <w:iCs/>
          <w:noProof/>
        </w:rPr>
        <w:t>428</w:t>
      </w:r>
      <w:r w:rsidR="00436213">
        <w:rPr>
          <w:noProof/>
        </w:rPr>
        <w:t>:</w:t>
      </w:r>
      <w:r w:rsidRPr="00D6412D">
        <w:rPr>
          <w:noProof/>
        </w:rPr>
        <w:t xml:space="preserve"> 319</w:t>
      </w:r>
      <w:r w:rsidR="00436213">
        <w:rPr>
          <w:noProof/>
        </w:rPr>
        <w:t>–</w:t>
      </w:r>
      <w:r w:rsidRPr="00D6412D">
        <w:rPr>
          <w:noProof/>
        </w:rPr>
        <w:t>323.</w:t>
      </w:r>
    </w:p>
    <w:p w14:paraId="42383DAC" w14:textId="77777777" w:rsidR="00D6412D" w:rsidRPr="00D6412D" w:rsidRDefault="00D6412D" w:rsidP="00436213">
      <w:pPr>
        <w:pStyle w:val="EndNoteBibliography"/>
        <w:rPr>
          <w:noProof/>
        </w:rPr>
      </w:pPr>
      <w:r w:rsidRPr="00D6412D">
        <w:rPr>
          <w:b/>
          <w:noProof/>
        </w:rPr>
        <w:t>King, T., Cole, M., Farber, J.M., Eisenbrand, G., Zabaras, D., Fox, E.M.</w:t>
      </w:r>
      <w:r w:rsidR="00436213">
        <w:rPr>
          <w:b/>
          <w:noProof/>
        </w:rPr>
        <w:t xml:space="preserve"> &amp;</w:t>
      </w:r>
      <w:r w:rsidRPr="00D6412D">
        <w:rPr>
          <w:b/>
          <w:noProof/>
        </w:rPr>
        <w:t xml:space="preserve"> Hill, J.P.</w:t>
      </w:r>
      <w:r w:rsidRPr="00D6412D">
        <w:rPr>
          <w:noProof/>
        </w:rPr>
        <w:t xml:space="preserve"> 2017. Food safety for food security: relationship between global megatrends and developments in food safety. </w:t>
      </w:r>
      <w:r w:rsidRPr="00C02041">
        <w:rPr>
          <w:i/>
          <w:iCs/>
          <w:noProof/>
        </w:rPr>
        <w:t>Trend Food Sci</w:t>
      </w:r>
      <w:r w:rsidR="00436213">
        <w:rPr>
          <w:i/>
          <w:iCs/>
          <w:noProof/>
        </w:rPr>
        <w:t>.</w:t>
      </w:r>
      <w:r w:rsidRPr="00C02041">
        <w:rPr>
          <w:i/>
          <w:iCs/>
          <w:noProof/>
        </w:rPr>
        <w:t xml:space="preserve"> Technol</w:t>
      </w:r>
      <w:r w:rsidR="00436213">
        <w:rPr>
          <w:i/>
          <w:iCs/>
          <w:noProof/>
        </w:rPr>
        <w:t>.,</w:t>
      </w:r>
      <w:r w:rsidRPr="00D6412D">
        <w:rPr>
          <w:i/>
          <w:noProof/>
        </w:rPr>
        <w:t xml:space="preserve"> </w:t>
      </w:r>
      <w:r w:rsidRPr="00C02041">
        <w:rPr>
          <w:iCs/>
          <w:noProof/>
        </w:rPr>
        <w:t>68</w:t>
      </w:r>
      <w:r w:rsidR="00436213">
        <w:rPr>
          <w:noProof/>
        </w:rPr>
        <w:t>:</w:t>
      </w:r>
      <w:r w:rsidRPr="00D6412D">
        <w:rPr>
          <w:noProof/>
        </w:rPr>
        <w:t xml:space="preserve"> 160</w:t>
      </w:r>
      <w:r w:rsidR="00436213">
        <w:rPr>
          <w:noProof/>
        </w:rPr>
        <w:t>–</w:t>
      </w:r>
      <w:r w:rsidRPr="00D6412D">
        <w:rPr>
          <w:noProof/>
        </w:rPr>
        <w:t>175.</w:t>
      </w:r>
    </w:p>
    <w:p w14:paraId="02A2D547" w14:textId="77777777" w:rsidR="00D6412D" w:rsidRPr="00D6412D" w:rsidRDefault="00D6412D" w:rsidP="00436213">
      <w:pPr>
        <w:pStyle w:val="EndNoteBibliography"/>
        <w:rPr>
          <w:noProof/>
        </w:rPr>
      </w:pPr>
      <w:r w:rsidRPr="00D6412D">
        <w:rPr>
          <w:b/>
          <w:noProof/>
        </w:rPr>
        <w:t>Knight-Jones, T.J.D.</w:t>
      </w:r>
      <w:r w:rsidR="00436213">
        <w:rPr>
          <w:b/>
          <w:noProof/>
        </w:rPr>
        <w:t xml:space="preserve"> &amp;</w:t>
      </w:r>
      <w:r w:rsidRPr="00D6412D">
        <w:rPr>
          <w:b/>
          <w:noProof/>
        </w:rPr>
        <w:t xml:space="preserve"> Rushton, J.</w:t>
      </w:r>
      <w:r w:rsidRPr="00D6412D">
        <w:rPr>
          <w:noProof/>
        </w:rPr>
        <w:t xml:space="preserve"> 2013. The economic impacts of foot and mouth disease – what are they, how big are they and where do they occur? </w:t>
      </w:r>
      <w:r w:rsidRPr="00C02041">
        <w:rPr>
          <w:i/>
          <w:iCs/>
          <w:noProof/>
        </w:rPr>
        <w:t>Prev</w:t>
      </w:r>
      <w:r w:rsidR="00436213">
        <w:rPr>
          <w:i/>
          <w:iCs/>
          <w:noProof/>
        </w:rPr>
        <w:t>.</w:t>
      </w:r>
      <w:r w:rsidRPr="00C02041">
        <w:rPr>
          <w:i/>
          <w:iCs/>
          <w:noProof/>
        </w:rPr>
        <w:t xml:space="preserve"> Vet</w:t>
      </w:r>
      <w:r w:rsidR="00436213">
        <w:rPr>
          <w:i/>
          <w:iCs/>
          <w:noProof/>
        </w:rPr>
        <w:t>.</w:t>
      </w:r>
      <w:r w:rsidRPr="00C02041">
        <w:rPr>
          <w:i/>
          <w:iCs/>
          <w:noProof/>
        </w:rPr>
        <w:t xml:space="preserve"> Med</w:t>
      </w:r>
      <w:r w:rsidR="00436213">
        <w:rPr>
          <w:i/>
          <w:iCs/>
          <w:noProof/>
        </w:rPr>
        <w:t>.,</w:t>
      </w:r>
      <w:r w:rsidRPr="00381F8F">
        <w:rPr>
          <w:i/>
          <w:iCs/>
          <w:noProof/>
        </w:rPr>
        <w:t xml:space="preserve"> </w:t>
      </w:r>
      <w:r w:rsidRPr="00C02041">
        <w:rPr>
          <w:iCs/>
          <w:noProof/>
        </w:rPr>
        <w:t>112</w:t>
      </w:r>
      <w:r w:rsidR="00436213">
        <w:rPr>
          <w:noProof/>
        </w:rPr>
        <w:t>:</w:t>
      </w:r>
      <w:r w:rsidRPr="00D6412D">
        <w:rPr>
          <w:noProof/>
        </w:rPr>
        <w:t xml:space="preserve"> 161</w:t>
      </w:r>
      <w:r w:rsidR="00436213">
        <w:rPr>
          <w:noProof/>
        </w:rPr>
        <w:t>–</w:t>
      </w:r>
      <w:r w:rsidRPr="00D6412D">
        <w:rPr>
          <w:noProof/>
        </w:rPr>
        <w:t>173.</w:t>
      </w:r>
    </w:p>
    <w:p w14:paraId="3BDCC23C" w14:textId="77777777" w:rsidR="00D6412D" w:rsidRPr="00D6412D" w:rsidRDefault="00D6412D" w:rsidP="00436213">
      <w:pPr>
        <w:pStyle w:val="EndNoteBibliography"/>
        <w:rPr>
          <w:noProof/>
        </w:rPr>
      </w:pPr>
      <w:r w:rsidRPr="00D6412D">
        <w:rPr>
          <w:b/>
          <w:noProof/>
        </w:rPr>
        <w:t>Knowles, T.P.J.</w:t>
      </w:r>
      <w:r w:rsidR="00436213">
        <w:rPr>
          <w:b/>
          <w:noProof/>
        </w:rPr>
        <w:t xml:space="preserve"> &amp;</w:t>
      </w:r>
      <w:r w:rsidRPr="00D6412D">
        <w:rPr>
          <w:b/>
          <w:noProof/>
        </w:rPr>
        <w:t xml:space="preserve"> Buehler, M.J.</w:t>
      </w:r>
      <w:r w:rsidRPr="00D6412D">
        <w:rPr>
          <w:noProof/>
        </w:rPr>
        <w:t xml:space="preserve"> 2011. Nanomechanics of functional and pathological amyloid materials. </w:t>
      </w:r>
      <w:r w:rsidRPr="00C02041">
        <w:rPr>
          <w:i/>
          <w:iCs/>
          <w:noProof/>
        </w:rPr>
        <w:t>Nat</w:t>
      </w:r>
      <w:r w:rsidR="00436213">
        <w:rPr>
          <w:i/>
          <w:iCs/>
          <w:noProof/>
        </w:rPr>
        <w:t>.</w:t>
      </w:r>
      <w:r w:rsidRPr="00C02041">
        <w:rPr>
          <w:i/>
          <w:iCs/>
          <w:noProof/>
        </w:rPr>
        <w:t xml:space="preserve"> Nanotechnol</w:t>
      </w:r>
      <w:r w:rsidR="00436213">
        <w:rPr>
          <w:i/>
          <w:iCs/>
          <w:noProof/>
        </w:rPr>
        <w:t>.,</w:t>
      </w:r>
      <w:r w:rsidRPr="00D6412D">
        <w:rPr>
          <w:i/>
          <w:noProof/>
        </w:rPr>
        <w:t xml:space="preserve"> </w:t>
      </w:r>
      <w:r w:rsidRPr="00C02041">
        <w:rPr>
          <w:iCs/>
          <w:noProof/>
        </w:rPr>
        <w:t>6</w:t>
      </w:r>
      <w:r w:rsidR="00436213">
        <w:rPr>
          <w:noProof/>
        </w:rPr>
        <w:t>:</w:t>
      </w:r>
      <w:r w:rsidRPr="00D6412D">
        <w:rPr>
          <w:noProof/>
        </w:rPr>
        <w:t xml:space="preserve"> 469</w:t>
      </w:r>
      <w:r w:rsidR="00436213">
        <w:rPr>
          <w:noProof/>
        </w:rPr>
        <w:t>–</w:t>
      </w:r>
      <w:r w:rsidRPr="00D6412D">
        <w:rPr>
          <w:noProof/>
        </w:rPr>
        <w:t>479.</w:t>
      </w:r>
    </w:p>
    <w:p w14:paraId="1F144F8B" w14:textId="77777777" w:rsidR="00D6412D" w:rsidRPr="00D6412D" w:rsidRDefault="00D6412D" w:rsidP="00436213">
      <w:pPr>
        <w:pStyle w:val="EndNoteBibliography"/>
        <w:rPr>
          <w:noProof/>
        </w:rPr>
      </w:pPr>
      <w:r w:rsidRPr="00D6412D">
        <w:rPr>
          <w:b/>
          <w:noProof/>
        </w:rPr>
        <w:t>Koopaee, H.K.</w:t>
      </w:r>
      <w:r w:rsidR="00436213">
        <w:rPr>
          <w:b/>
          <w:noProof/>
        </w:rPr>
        <w:t xml:space="preserve"> &amp;</w:t>
      </w:r>
      <w:r w:rsidRPr="00D6412D">
        <w:rPr>
          <w:b/>
          <w:noProof/>
        </w:rPr>
        <w:t xml:space="preserve"> Koshkoiyeh, A.E.</w:t>
      </w:r>
      <w:r w:rsidRPr="00D6412D">
        <w:rPr>
          <w:noProof/>
        </w:rPr>
        <w:t xml:space="preserve"> 2014. SNPs genotyping technologies and their applications in farm animals breeding programs: review. </w:t>
      </w:r>
      <w:r w:rsidRPr="00C02041">
        <w:rPr>
          <w:i/>
          <w:iCs/>
          <w:noProof/>
        </w:rPr>
        <w:t>Braz</w:t>
      </w:r>
      <w:r w:rsidR="00436213">
        <w:rPr>
          <w:i/>
          <w:iCs/>
          <w:noProof/>
        </w:rPr>
        <w:t>.</w:t>
      </w:r>
      <w:r w:rsidRPr="00C02041">
        <w:rPr>
          <w:i/>
          <w:iCs/>
          <w:noProof/>
        </w:rPr>
        <w:t xml:space="preserve"> Arch</w:t>
      </w:r>
      <w:r w:rsidR="00436213">
        <w:rPr>
          <w:i/>
          <w:iCs/>
          <w:noProof/>
        </w:rPr>
        <w:t>.</w:t>
      </w:r>
      <w:r w:rsidRPr="00C02041">
        <w:rPr>
          <w:i/>
          <w:iCs/>
          <w:noProof/>
        </w:rPr>
        <w:t xml:space="preserve"> Biol</w:t>
      </w:r>
      <w:r w:rsidR="00436213">
        <w:rPr>
          <w:i/>
          <w:iCs/>
          <w:noProof/>
        </w:rPr>
        <w:t>.</w:t>
      </w:r>
      <w:r w:rsidRPr="00C02041">
        <w:rPr>
          <w:i/>
          <w:iCs/>
          <w:noProof/>
        </w:rPr>
        <w:t xml:space="preserve"> Technol</w:t>
      </w:r>
      <w:r w:rsidR="00436213">
        <w:rPr>
          <w:i/>
          <w:iCs/>
          <w:noProof/>
        </w:rPr>
        <w:t>.,</w:t>
      </w:r>
      <w:r w:rsidRPr="00D6412D">
        <w:rPr>
          <w:i/>
          <w:noProof/>
        </w:rPr>
        <w:t xml:space="preserve"> </w:t>
      </w:r>
      <w:r w:rsidRPr="00C02041">
        <w:rPr>
          <w:iCs/>
          <w:noProof/>
        </w:rPr>
        <w:t>57</w:t>
      </w:r>
      <w:r w:rsidR="00436213">
        <w:rPr>
          <w:noProof/>
        </w:rPr>
        <w:t>:</w:t>
      </w:r>
      <w:r w:rsidRPr="00D6412D">
        <w:rPr>
          <w:noProof/>
        </w:rPr>
        <w:t xml:space="preserve"> 87</w:t>
      </w:r>
      <w:r w:rsidR="00436213">
        <w:rPr>
          <w:noProof/>
        </w:rPr>
        <w:t>–</w:t>
      </w:r>
      <w:r w:rsidRPr="00D6412D">
        <w:rPr>
          <w:noProof/>
        </w:rPr>
        <w:t>95.</w:t>
      </w:r>
    </w:p>
    <w:p w14:paraId="693C4682" w14:textId="77777777" w:rsidR="00D6412D" w:rsidRPr="00D6412D" w:rsidRDefault="00D6412D">
      <w:pPr>
        <w:pStyle w:val="EndNoteBibliography"/>
        <w:rPr>
          <w:noProof/>
        </w:rPr>
      </w:pPr>
      <w:r w:rsidRPr="00D6412D">
        <w:rPr>
          <w:b/>
          <w:noProof/>
        </w:rPr>
        <w:t>Kotula, J.W., Kerns, S.J., Shaket, L.A., Siraj, L</w:t>
      </w:r>
      <w:r w:rsidRPr="00D6412D">
        <w:rPr>
          <w:noProof/>
        </w:rPr>
        <w:t xml:space="preserve"> structure to inform conservation of Chinook salmon (</w:t>
      </w:r>
      <w:r w:rsidRPr="00C02041">
        <w:rPr>
          <w:i/>
          <w:iCs/>
          <w:noProof/>
        </w:rPr>
        <w:t>Oncorhynchus tshawytscha</w:t>
      </w:r>
      <w:r w:rsidRPr="00D6412D">
        <w:rPr>
          <w:noProof/>
        </w:rPr>
        <w:t xml:space="preserve">). </w:t>
      </w:r>
      <w:r w:rsidRPr="00C02041">
        <w:rPr>
          <w:i/>
          <w:iCs/>
          <w:noProof/>
        </w:rPr>
        <w:t>Evol</w:t>
      </w:r>
      <w:r w:rsidR="00B55935">
        <w:rPr>
          <w:i/>
          <w:iCs/>
          <w:noProof/>
        </w:rPr>
        <w:t>.</w:t>
      </w:r>
      <w:r w:rsidRPr="00C02041">
        <w:rPr>
          <w:i/>
          <w:iCs/>
          <w:noProof/>
        </w:rPr>
        <w:t xml:space="preserve"> Appl</w:t>
      </w:r>
      <w:r w:rsidR="00B55935">
        <w:rPr>
          <w:i/>
          <w:iCs/>
          <w:noProof/>
        </w:rPr>
        <w:t>.,</w:t>
      </w:r>
      <w:r w:rsidRPr="00D6412D">
        <w:rPr>
          <w:i/>
          <w:noProof/>
        </w:rPr>
        <w:t xml:space="preserve"> </w:t>
      </w:r>
      <w:r w:rsidRPr="00C02041">
        <w:rPr>
          <w:iCs/>
          <w:noProof/>
        </w:rPr>
        <w:t>7</w:t>
      </w:r>
      <w:r w:rsidR="00B55935">
        <w:rPr>
          <w:noProof/>
        </w:rPr>
        <w:t>:</w:t>
      </w:r>
      <w:r w:rsidRPr="00D6412D">
        <w:rPr>
          <w:noProof/>
        </w:rPr>
        <w:t xml:space="preserve"> 355</w:t>
      </w:r>
      <w:r w:rsidR="00B55935">
        <w:rPr>
          <w:noProof/>
        </w:rPr>
        <w:t>–</w:t>
      </w:r>
      <w:r w:rsidRPr="00D6412D">
        <w:rPr>
          <w:noProof/>
        </w:rPr>
        <w:t>369.</w:t>
      </w:r>
    </w:p>
    <w:p w14:paraId="4869E036" w14:textId="77777777" w:rsidR="00D6412D" w:rsidRPr="00D6412D" w:rsidRDefault="00D6412D">
      <w:pPr>
        <w:pStyle w:val="EndNoteBibliography"/>
        <w:rPr>
          <w:noProof/>
        </w:rPr>
      </w:pPr>
      <w:r w:rsidRPr="00D6412D">
        <w:rPr>
          <w:b/>
          <w:noProof/>
        </w:rPr>
        <w:t>Lau, J.A., Lennon, J.T.</w:t>
      </w:r>
      <w:r w:rsidR="00B55935">
        <w:rPr>
          <w:b/>
          <w:noProof/>
        </w:rPr>
        <w:t xml:space="preserve"> &amp;</w:t>
      </w:r>
      <w:r w:rsidRPr="00D6412D">
        <w:rPr>
          <w:b/>
          <w:noProof/>
        </w:rPr>
        <w:t xml:space="preserve"> Heath, K.D.</w:t>
      </w:r>
      <w:r w:rsidRPr="00D6412D">
        <w:rPr>
          <w:noProof/>
        </w:rPr>
        <w:t xml:space="preserve"> 2017. Trees harness the power of microbes to survive climate change. </w:t>
      </w:r>
      <w:r w:rsidRPr="00C02041">
        <w:rPr>
          <w:i/>
          <w:iCs/>
          <w:noProof/>
        </w:rPr>
        <w:t>Proc</w:t>
      </w:r>
      <w:r w:rsidR="00B55935">
        <w:rPr>
          <w:i/>
          <w:iCs/>
          <w:noProof/>
        </w:rPr>
        <w:t>.</w:t>
      </w:r>
      <w:r w:rsidRPr="00C02041">
        <w:rPr>
          <w:i/>
          <w:iCs/>
          <w:noProof/>
        </w:rPr>
        <w:t xml:space="preserve"> Natl</w:t>
      </w:r>
      <w:r w:rsidR="00B55935">
        <w:rPr>
          <w:i/>
          <w:iCs/>
          <w:noProof/>
        </w:rPr>
        <w:t>.</w:t>
      </w:r>
      <w:r w:rsidRPr="00C02041">
        <w:rPr>
          <w:i/>
          <w:iCs/>
          <w:noProof/>
        </w:rPr>
        <w:t xml:space="preserve"> Acad</w:t>
      </w:r>
      <w:r w:rsidR="00B55935">
        <w:rPr>
          <w:i/>
          <w:iCs/>
          <w:noProof/>
        </w:rPr>
        <w:t>.</w:t>
      </w:r>
      <w:r w:rsidRPr="00C02041">
        <w:rPr>
          <w:i/>
          <w:iCs/>
          <w:noProof/>
        </w:rPr>
        <w:t xml:space="preserve"> Sci</w:t>
      </w:r>
      <w:r w:rsidR="00B55935">
        <w:rPr>
          <w:i/>
          <w:iCs/>
          <w:noProof/>
        </w:rPr>
        <w:t>.</w:t>
      </w:r>
      <w:r w:rsidRPr="00C02041">
        <w:rPr>
          <w:i/>
          <w:iCs/>
          <w:noProof/>
        </w:rPr>
        <w:t xml:space="preserve"> USA</w:t>
      </w:r>
      <w:r w:rsidR="00B55935">
        <w:rPr>
          <w:i/>
          <w:noProof/>
        </w:rPr>
        <w:t>,</w:t>
      </w:r>
      <w:r w:rsidRPr="00D6412D">
        <w:rPr>
          <w:i/>
          <w:noProof/>
        </w:rPr>
        <w:t xml:space="preserve"> </w:t>
      </w:r>
      <w:r w:rsidRPr="00C02041">
        <w:rPr>
          <w:iCs/>
          <w:noProof/>
        </w:rPr>
        <w:t>114</w:t>
      </w:r>
      <w:r w:rsidR="00B55935">
        <w:rPr>
          <w:noProof/>
        </w:rPr>
        <w:t>:</w:t>
      </w:r>
      <w:r w:rsidRPr="00D6412D">
        <w:rPr>
          <w:noProof/>
        </w:rPr>
        <w:t xml:space="preserve"> 11009</w:t>
      </w:r>
      <w:r w:rsidR="00B55935">
        <w:rPr>
          <w:noProof/>
        </w:rPr>
        <w:t>–</w:t>
      </w:r>
      <w:r w:rsidRPr="00D6412D">
        <w:rPr>
          <w:noProof/>
        </w:rPr>
        <w:t>11011.</w:t>
      </w:r>
    </w:p>
    <w:p w14:paraId="20CB628B" w14:textId="77777777" w:rsidR="002C26BB" w:rsidRPr="00450DB5" w:rsidRDefault="00D6412D" w:rsidP="002C26BB">
      <w:pPr>
        <w:pStyle w:val="EndNoteBibliography"/>
        <w:rPr>
          <w:noProof/>
          <w:lang w:val="es-ES"/>
        </w:rPr>
      </w:pPr>
      <w:r w:rsidRPr="00D6412D">
        <w:rPr>
          <w:b/>
          <w:noProof/>
        </w:rPr>
        <w:t>Le Duc, D., Renaud, G., Krishnan, A., Almén, M.S., Huynen, L., Prohaska, S.J., Ongyerth, M., Bitarello, B.D., Schiöth, H.B., Hofreite</w:t>
      </w:r>
      <w:r w:rsidR="002C26BB" w:rsidRPr="00D6412D">
        <w:rPr>
          <w:b/>
          <w:noProof/>
        </w:rPr>
        <w:t>., Collins, J.J., Way, J.C.</w:t>
      </w:r>
      <w:r w:rsidR="002C26BB">
        <w:rPr>
          <w:b/>
          <w:noProof/>
        </w:rPr>
        <w:t xml:space="preserve"> &amp;</w:t>
      </w:r>
      <w:r w:rsidR="002C26BB" w:rsidRPr="00D6412D">
        <w:rPr>
          <w:b/>
          <w:noProof/>
        </w:rPr>
        <w:t xml:space="preserve"> Silver, P.A.</w:t>
      </w:r>
      <w:r w:rsidR="002C26BB" w:rsidRPr="00D6412D">
        <w:rPr>
          <w:noProof/>
        </w:rPr>
        <w:t xml:space="preserve"> 2014. Programmable bacteria detect and record an environmental signal in the mammalian gut. </w:t>
      </w:r>
      <w:r w:rsidR="002C26BB" w:rsidRPr="00450DB5">
        <w:rPr>
          <w:i/>
          <w:iCs/>
          <w:noProof/>
          <w:lang w:val="es-ES"/>
        </w:rPr>
        <w:t>Proc</w:t>
      </w:r>
      <w:r w:rsidR="002C26BB" w:rsidRPr="00B55935">
        <w:rPr>
          <w:i/>
          <w:iCs/>
          <w:noProof/>
          <w:lang w:val="es-ES"/>
        </w:rPr>
        <w:t>.</w:t>
      </w:r>
      <w:r w:rsidR="002C26BB" w:rsidRPr="00450DB5">
        <w:rPr>
          <w:i/>
          <w:iCs/>
          <w:noProof/>
          <w:lang w:val="es-ES"/>
        </w:rPr>
        <w:t xml:space="preserve"> Natl</w:t>
      </w:r>
      <w:r w:rsidR="002C26BB" w:rsidRPr="00B55935">
        <w:rPr>
          <w:i/>
          <w:iCs/>
          <w:noProof/>
          <w:lang w:val="es-ES"/>
        </w:rPr>
        <w:t>.</w:t>
      </w:r>
      <w:r w:rsidR="002C26BB" w:rsidRPr="00450DB5">
        <w:rPr>
          <w:i/>
          <w:iCs/>
          <w:noProof/>
          <w:lang w:val="es-ES"/>
        </w:rPr>
        <w:t xml:space="preserve"> Acad. Sci. USA</w:t>
      </w:r>
      <w:r w:rsidR="002C26BB">
        <w:rPr>
          <w:i/>
          <w:iCs/>
          <w:noProof/>
          <w:lang w:val="es-ES"/>
        </w:rPr>
        <w:t>,</w:t>
      </w:r>
      <w:r w:rsidR="002C26BB" w:rsidRPr="00450DB5">
        <w:rPr>
          <w:i/>
          <w:iCs/>
          <w:noProof/>
          <w:lang w:val="es-ES"/>
        </w:rPr>
        <w:t xml:space="preserve"> </w:t>
      </w:r>
      <w:r w:rsidR="002C26BB" w:rsidRPr="00450DB5">
        <w:rPr>
          <w:iCs/>
          <w:noProof/>
          <w:lang w:val="es-ES"/>
        </w:rPr>
        <w:t>111</w:t>
      </w:r>
      <w:r w:rsidR="002C26BB">
        <w:rPr>
          <w:noProof/>
          <w:lang w:val="es-ES"/>
        </w:rPr>
        <w:t>:</w:t>
      </w:r>
      <w:r w:rsidR="002C26BB" w:rsidRPr="00450DB5">
        <w:rPr>
          <w:noProof/>
          <w:lang w:val="es-ES"/>
        </w:rPr>
        <w:t xml:space="preserve"> 4838</w:t>
      </w:r>
      <w:r w:rsidR="002C26BB">
        <w:rPr>
          <w:noProof/>
          <w:lang w:val="es-ES"/>
        </w:rPr>
        <w:t>–</w:t>
      </w:r>
      <w:r w:rsidR="002C26BB" w:rsidRPr="00450DB5">
        <w:rPr>
          <w:noProof/>
          <w:lang w:val="es-ES"/>
        </w:rPr>
        <w:t>4843.</w:t>
      </w:r>
    </w:p>
    <w:p w14:paraId="359029B1" w14:textId="77777777" w:rsidR="002C26BB" w:rsidRPr="00D6412D" w:rsidRDefault="002C26BB" w:rsidP="002C26BB">
      <w:pPr>
        <w:pStyle w:val="EndNoteBibliography"/>
        <w:rPr>
          <w:noProof/>
        </w:rPr>
      </w:pPr>
      <w:r w:rsidRPr="00450DB5">
        <w:rPr>
          <w:b/>
          <w:noProof/>
          <w:lang w:val="es-ES"/>
        </w:rPr>
        <w:t>Lamas-Toranzo, I., Guerrero-Sánchez, J., Miralles-Bover, H., Alegre-Cid, G., Pericuesta, E.</w:t>
      </w:r>
      <w:r>
        <w:rPr>
          <w:b/>
          <w:noProof/>
          <w:lang w:val="es-ES"/>
        </w:rPr>
        <w:t xml:space="preserve"> </w:t>
      </w:r>
      <w:r w:rsidRPr="00C02041">
        <w:rPr>
          <w:b/>
          <w:noProof/>
          <w:lang w:val="es-ES"/>
        </w:rPr>
        <w:t>&amp; Bermejo-Álvarez, P.</w:t>
      </w:r>
      <w:r w:rsidRPr="00C02041">
        <w:rPr>
          <w:noProof/>
          <w:lang w:val="es-ES"/>
        </w:rPr>
        <w:t xml:space="preserve"> 2017. </w:t>
      </w:r>
      <w:r w:rsidRPr="00450DB5">
        <w:rPr>
          <w:noProof/>
          <w:lang w:val="en-US"/>
        </w:rPr>
        <w:t>CRI</w:t>
      </w:r>
      <w:r w:rsidRPr="00D6412D">
        <w:rPr>
          <w:noProof/>
        </w:rPr>
        <w:t xml:space="preserve">SPR is knocking on barn door. </w:t>
      </w:r>
      <w:r w:rsidRPr="00450DB5">
        <w:rPr>
          <w:i/>
          <w:iCs/>
          <w:noProof/>
        </w:rPr>
        <w:t>Reprod</w:t>
      </w:r>
      <w:r>
        <w:rPr>
          <w:i/>
          <w:iCs/>
          <w:noProof/>
        </w:rPr>
        <w:t>.</w:t>
      </w:r>
      <w:r w:rsidRPr="00450DB5">
        <w:rPr>
          <w:i/>
          <w:iCs/>
          <w:noProof/>
        </w:rPr>
        <w:t xml:space="preserve"> Dom</w:t>
      </w:r>
      <w:r>
        <w:rPr>
          <w:i/>
          <w:iCs/>
          <w:noProof/>
        </w:rPr>
        <w:t>.</w:t>
      </w:r>
      <w:r w:rsidRPr="00450DB5">
        <w:rPr>
          <w:i/>
          <w:iCs/>
          <w:noProof/>
        </w:rPr>
        <w:t xml:space="preserve"> Anim</w:t>
      </w:r>
      <w:r>
        <w:rPr>
          <w:i/>
          <w:iCs/>
          <w:noProof/>
        </w:rPr>
        <w:t>.,</w:t>
      </w:r>
      <w:r w:rsidRPr="00D6412D">
        <w:rPr>
          <w:i/>
          <w:noProof/>
        </w:rPr>
        <w:t xml:space="preserve"> </w:t>
      </w:r>
      <w:r w:rsidRPr="00450DB5">
        <w:rPr>
          <w:iCs/>
          <w:noProof/>
        </w:rPr>
        <w:t>52(Suppl. 4)</w:t>
      </w:r>
      <w:r>
        <w:rPr>
          <w:noProof/>
        </w:rPr>
        <w:t>:</w:t>
      </w:r>
      <w:r w:rsidRPr="00D6412D">
        <w:rPr>
          <w:noProof/>
        </w:rPr>
        <w:t xml:space="preserve"> 39</w:t>
      </w:r>
      <w:r>
        <w:rPr>
          <w:noProof/>
        </w:rPr>
        <w:t>–</w:t>
      </w:r>
      <w:r w:rsidRPr="00D6412D">
        <w:rPr>
          <w:noProof/>
        </w:rPr>
        <w:t>47.</w:t>
      </w:r>
    </w:p>
    <w:p w14:paraId="769C31CE" w14:textId="77777777" w:rsidR="00D6412D" w:rsidRPr="00D6412D" w:rsidRDefault="002C26BB" w:rsidP="002C26BB">
      <w:pPr>
        <w:pStyle w:val="EndNoteBibliography"/>
        <w:rPr>
          <w:noProof/>
        </w:rPr>
      </w:pPr>
      <w:r w:rsidRPr="00D6412D">
        <w:rPr>
          <w:b/>
          <w:noProof/>
        </w:rPr>
        <w:t>Larson, W.A., Seeb, L.W., Everett, M.V., Waples, R.K., Templin, W.D.</w:t>
      </w:r>
      <w:r>
        <w:rPr>
          <w:b/>
          <w:noProof/>
        </w:rPr>
        <w:t xml:space="preserve"> &amp;</w:t>
      </w:r>
      <w:r w:rsidRPr="00D6412D">
        <w:rPr>
          <w:b/>
          <w:noProof/>
        </w:rPr>
        <w:t xml:space="preserve"> Seeb, J.E.</w:t>
      </w:r>
      <w:r w:rsidRPr="00D6412D">
        <w:rPr>
          <w:noProof/>
        </w:rPr>
        <w:t xml:space="preserve"> 2014. Genotyping by sequencing resolves shallow population </w:t>
      </w:r>
      <w:r w:rsidR="00D6412D" w:rsidRPr="00D6412D">
        <w:rPr>
          <w:b/>
          <w:noProof/>
        </w:rPr>
        <w:t>r, M.</w:t>
      </w:r>
      <w:r w:rsidR="00D6412D" w:rsidRPr="00D6412D">
        <w:rPr>
          <w:b/>
          <w:i/>
          <w:noProof/>
        </w:rPr>
        <w:t>, et al.</w:t>
      </w:r>
      <w:r w:rsidR="00D6412D" w:rsidRPr="00D6412D">
        <w:rPr>
          <w:noProof/>
        </w:rPr>
        <w:t xml:space="preserve"> 2015. Kiwi genome provides insights into evolution of a nocturnal lifestyle. </w:t>
      </w:r>
      <w:r w:rsidR="00D6412D" w:rsidRPr="00C02041">
        <w:rPr>
          <w:i/>
          <w:iCs/>
          <w:noProof/>
        </w:rPr>
        <w:t>Genome Biol</w:t>
      </w:r>
      <w:r w:rsidR="00B55935" w:rsidRPr="00C02041">
        <w:rPr>
          <w:i/>
          <w:iCs/>
          <w:noProof/>
        </w:rPr>
        <w:t>.,</w:t>
      </w:r>
      <w:r w:rsidR="00D6412D" w:rsidRPr="00D6412D">
        <w:rPr>
          <w:i/>
          <w:noProof/>
        </w:rPr>
        <w:t xml:space="preserve"> </w:t>
      </w:r>
      <w:r w:rsidR="00D6412D" w:rsidRPr="00C02041">
        <w:rPr>
          <w:iCs/>
          <w:noProof/>
        </w:rPr>
        <w:t>16</w:t>
      </w:r>
      <w:r w:rsidR="00B55935">
        <w:rPr>
          <w:noProof/>
        </w:rPr>
        <w:t>:</w:t>
      </w:r>
      <w:r w:rsidR="00D6412D" w:rsidRPr="00D6412D">
        <w:rPr>
          <w:noProof/>
        </w:rPr>
        <w:t xml:space="preserve"> 147.</w:t>
      </w:r>
    </w:p>
    <w:p w14:paraId="612FA91D" w14:textId="77777777" w:rsidR="00D6412D" w:rsidRPr="00C02041" w:rsidRDefault="00D6412D">
      <w:pPr>
        <w:pStyle w:val="EndNoteBibliography"/>
        <w:rPr>
          <w:noProof/>
          <w:lang w:val="it-IT"/>
        </w:rPr>
      </w:pPr>
      <w:r w:rsidRPr="00D6412D">
        <w:rPr>
          <w:b/>
          <w:noProof/>
        </w:rPr>
        <w:t>Li, E., Beard, C.</w:t>
      </w:r>
      <w:r w:rsidR="00B55935">
        <w:rPr>
          <w:b/>
          <w:noProof/>
        </w:rPr>
        <w:t xml:space="preserve"> &amp;</w:t>
      </w:r>
      <w:r w:rsidRPr="00D6412D">
        <w:rPr>
          <w:b/>
          <w:noProof/>
        </w:rPr>
        <w:t xml:space="preserve"> Jaenisch, R.</w:t>
      </w:r>
      <w:r w:rsidRPr="00D6412D">
        <w:rPr>
          <w:noProof/>
        </w:rPr>
        <w:t xml:space="preserve"> 1993. Role for DNA methylation in genomic imprinting. </w:t>
      </w:r>
      <w:r w:rsidRPr="00C02041">
        <w:rPr>
          <w:i/>
          <w:iCs/>
          <w:noProof/>
          <w:lang w:val="it-IT"/>
        </w:rPr>
        <w:t>Nature</w:t>
      </w:r>
      <w:r w:rsidR="00B55935" w:rsidRPr="00C02041">
        <w:rPr>
          <w:i/>
          <w:iCs/>
          <w:noProof/>
          <w:lang w:val="it-IT"/>
        </w:rPr>
        <w:t>,</w:t>
      </w:r>
      <w:r w:rsidRPr="00C02041">
        <w:rPr>
          <w:i/>
          <w:noProof/>
          <w:lang w:val="it-IT"/>
        </w:rPr>
        <w:t xml:space="preserve"> </w:t>
      </w:r>
      <w:r w:rsidRPr="00C02041">
        <w:rPr>
          <w:iCs/>
          <w:noProof/>
          <w:lang w:val="it-IT"/>
        </w:rPr>
        <w:t>366</w:t>
      </w:r>
      <w:r w:rsidR="00B55935" w:rsidRPr="00C02041">
        <w:rPr>
          <w:noProof/>
          <w:lang w:val="it-IT"/>
        </w:rPr>
        <w:t>:</w:t>
      </w:r>
      <w:r w:rsidRPr="00C02041">
        <w:rPr>
          <w:noProof/>
          <w:lang w:val="it-IT"/>
        </w:rPr>
        <w:t xml:space="preserve"> 362</w:t>
      </w:r>
      <w:r w:rsidR="00B55935" w:rsidRPr="00C02041">
        <w:rPr>
          <w:noProof/>
          <w:lang w:val="it-IT"/>
        </w:rPr>
        <w:t>–</w:t>
      </w:r>
      <w:r w:rsidRPr="00C02041">
        <w:rPr>
          <w:noProof/>
          <w:lang w:val="it-IT"/>
        </w:rPr>
        <w:t>365.</w:t>
      </w:r>
    </w:p>
    <w:p w14:paraId="7C77B258" w14:textId="77777777" w:rsidR="00D6412D" w:rsidRPr="00D6412D" w:rsidRDefault="00D6412D">
      <w:pPr>
        <w:pStyle w:val="EndNoteBibliography"/>
        <w:rPr>
          <w:noProof/>
        </w:rPr>
      </w:pPr>
      <w:r w:rsidRPr="00C02041">
        <w:rPr>
          <w:b/>
          <w:noProof/>
          <w:lang w:val="it-IT"/>
        </w:rPr>
        <w:lastRenderedPageBreak/>
        <w:t>Li, M., Wu, H</w:t>
      </w:r>
      <w:r w:rsidR="00B55935" w:rsidRPr="00C02041">
        <w:rPr>
          <w:b/>
          <w:noProof/>
          <w:lang w:val="it-IT"/>
        </w:rPr>
        <w:t>.</w:t>
      </w:r>
      <w:r w:rsidRPr="00C02041">
        <w:rPr>
          <w:b/>
          <w:noProof/>
          <w:lang w:val="it-IT"/>
        </w:rPr>
        <w:t>, Wang, T</w:t>
      </w:r>
      <w:r w:rsidR="00B55935" w:rsidRPr="00C02041">
        <w:rPr>
          <w:b/>
          <w:noProof/>
          <w:lang w:val="it-IT"/>
        </w:rPr>
        <w:t>.</w:t>
      </w:r>
      <w:r w:rsidRPr="00C02041">
        <w:rPr>
          <w:b/>
          <w:noProof/>
          <w:lang w:val="it-IT"/>
        </w:rPr>
        <w:t>, Xia, Y</w:t>
      </w:r>
      <w:r w:rsidR="00B55935" w:rsidRPr="002C26BB">
        <w:rPr>
          <w:b/>
          <w:noProof/>
          <w:lang w:val="it-IT"/>
        </w:rPr>
        <w:t>.</w:t>
      </w:r>
      <w:r w:rsidRPr="00C02041">
        <w:rPr>
          <w:b/>
          <w:noProof/>
          <w:lang w:val="it-IT"/>
        </w:rPr>
        <w:t>, Jin, L</w:t>
      </w:r>
      <w:r w:rsidR="00B55935" w:rsidRPr="002C26BB">
        <w:rPr>
          <w:b/>
          <w:noProof/>
          <w:lang w:val="it-IT"/>
        </w:rPr>
        <w:t>.</w:t>
      </w:r>
      <w:r w:rsidRPr="00C02041">
        <w:rPr>
          <w:b/>
          <w:noProof/>
          <w:lang w:val="it-IT"/>
        </w:rPr>
        <w:t>, Jiang, A</w:t>
      </w:r>
      <w:r w:rsidR="00B55935" w:rsidRPr="002C26BB">
        <w:rPr>
          <w:b/>
          <w:noProof/>
          <w:lang w:val="it-IT"/>
        </w:rPr>
        <w:t>.</w:t>
      </w:r>
      <w:r w:rsidRPr="00C02041">
        <w:rPr>
          <w:b/>
          <w:noProof/>
          <w:lang w:val="it-IT"/>
        </w:rPr>
        <w:t>, Zhu, L</w:t>
      </w:r>
      <w:r w:rsidR="00B55935" w:rsidRPr="00C02041">
        <w:rPr>
          <w:b/>
          <w:noProof/>
          <w:lang w:val="it-IT"/>
        </w:rPr>
        <w:t>.</w:t>
      </w:r>
      <w:r w:rsidRPr="00C02041">
        <w:rPr>
          <w:b/>
          <w:noProof/>
          <w:lang w:val="it-IT"/>
        </w:rPr>
        <w:t>, Chen, L</w:t>
      </w:r>
      <w:r w:rsidR="00B55935" w:rsidRPr="00C02041">
        <w:rPr>
          <w:b/>
          <w:noProof/>
          <w:lang w:val="it-IT"/>
        </w:rPr>
        <w:t>.</w:t>
      </w:r>
      <w:r w:rsidRPr="00C02041">
        <w:rPr>
          <w:b/>
          <w:noProof/>
          <w:lang w:val="it-IT"/>
        </w:rPr>
        <w:t>, Li, R</w:t>
      </w:r>
      <w:r w:rsidR="00B55935" w:rsidRPr="00C02041">
        <w:rPr>
          <w:b/>
          <w:noProof/>
          <w:lang w:val="it-IT"/>
        </w:rPr>
        <w:t>.</w:t>
      </w:r>
      <w:r w:rsidR="00B55935" w:rsidRPr="002C26BB">
        <w:rPr>
          <w:b/>
          <w:noProof/>
          <w:lang w:val="it-IT"/>
        </w:rPr>
        <w:t xml:space="preserve"> </w:t>
      </w:r>
      <w:r w:rsidR="00B55935">
        <w:rPr>
          <w:b/>
          <w:noProof/>
          <w:lang w:val="it-IT"/>
        </w:rPr>
        <w:t>&amp;</w:t>
      </w:r>
      <w:r w:rsidRPr="00C02041">
        <w:rPr>
          <w:b/>
          <w:noProof/>
          <w:lang w:val="it-IT"/>
        </w:rPr>
        <w:t xml:space="preserve"> Li, X</w:t>
      </w:r>
      <w:r w:rsidRPr="00C02041">
        <w:rPr>
          <w:noProof/>
          <w:lang w:val="it-IT"/>
        </w:rPr>
        <w:t xml:space="preserve">. 2012. </w:t>
      </w:r>
      <w:r w:rsidRPr="00D6412D">
        <w:rPr>
          <w:noProof/>
        </w:rPr>
        <w:t xml:space="preserve">Co-methylated genes in different adipose depots of pig are associated with metabolic, inflammatory and immune processes. </w:t>
      </w:r>
      <w:r w:rsidRPr="00C02041">
        <w:rPr>
          <w:i/>
          <w:iCs/>
          <w:noProof/>
        </w:rPr>
        <w:t>Int</w:t>
      </w:r>
      <w:r w:rsidR="00B55935">
        <w:rPr>
          <w:i/>
          <w:iCs/>
          <w:noProof/>
        </w:rPr>
        <w:t>.</w:t>
      </w:r>
      <w:r w:rsidRPr="00C02041">
        <w:rPr>
          <w:i/>
          <w:iCs/>
          <w:noProof/>
        </w:rPr>
        <w:t xml:space="preserve"> J</w:t>
      </w:r>
      <w:r w:rsidR="00B55935">
        <w:rPr>
          <w:i/>
          <w:iCs/>
          <w:noProof/>
        </w:rPr>
        <w:t>.</w:t>
      </w:r>
      <w:r w:rsidRPr="00C02041">
        <w:rPr>
          <w:i/>
          <w:iCs/>
          <w:noProof/>
        </w:rPr>
        <w:t xml:space="preserve"> Biol</w:t>
      </w:r>
      <w:r w:rsidR="00B55935">
        <w:rPr>
          <w:i/>
          <w:iCs/>
          <w:noProof/>
        </w:rPr>
        <w:t>.</w:t>
      </w:r>
      <w:r w:rsidRPr="00C02041">
        <w:rPr>
          <w:i/>
          <w:iCs/>
          <w:noProof/>
        </w:rPr>
        <w:t xml:space="preserve"> Sci</w:t>
      </w:r>
      <w:r w:rsidR="00B55935">
        <w:rPr>
          <w:i/>
          <w:iCs/>
          <w:noProof/>
        </w:rPr>
        <w:t>.,</w:t>
      </w:r>
      <w:r w:rsidRPr="00D6412D">
        <w:rPr>
          <w:i/>
          <w:noProof/>
        </w:rPr>
        <w:t xml:space="preserve"> </w:t>
      </w:r>
      <w:r w:rsidRPr="00C02041">
        <w:rPr>
          <w:iCs/>
          <w:noProof/>
        </w:rPr>
        <w:t>8</w:t>
      </w:r>
      <w:r w:rsidR="00B55935">
        <w:rPr>
          <w:noProof/>
        </w:rPr>
        <w:t>:</w:t>
      </w:r>
      <w:r w:rsidRPr="00D6412D">
        <w:rPr>
          <w:noProof/>
        </w:rPr>
        <w:t xml:space="preserve"> 831</w:t>
      </w:r>
      <w:r w:rsidR="00B55935">
        <w:rPr>
          <w:noProof/>
        </w:rPr>
        <w:t>–</w:t>
      </w:r>
      <w:r w:rsidRPr="00D6412D">
        <w:rPr>
          <w:noProof/>
        </w:rPr>
        <w:t>837.</w:t>
      </w:r>
    </w:p>
    <w:p w14:paraId="1701E0FE" w14:textId="77777777" w:rsidR="00D6412D" w:rsidRPr="00C02041" w:rsidRDefault="00D6412D">
      <w:pPr>
        <w:pStyle w:val="EndNoteBibliography"/>
        <w:rPr>
          <w:noProof/>
          <w:lang w:val="it-IT"/>
        </w:rPr>
      </w:pPr>
      <w:r w:rsidRPr="00D6412D">
        <w:rPr>
          <w:b/>
          <w:noProof/>
        </w:rPr>
        <w:t>Lidder, P.</w:t>
      </w:r>
      <w:r w:rsidR="00B55935">
        <w:rPr>
          <w:b/>
          <w:noProof/>
        </w:rPr>
        <w:t xml:space="preserve"> &amp;</w:t>
      </w:r>
      <w:r w:rsidRPr="00D6412D">
        <w:rPr>
          <w:b/>
          <w:noProof/>
        </w:rPr>
        <w:t xml:space="preserve"> Sonnino, A.</w:t>
      </w:r>
      <w:r w:rsidRPr="00D6412D">
        <w:rPr>
          <w:noProof/>
        </w:rPr>
        <w:t xml:space="preserve"> 2011. </w:t>
      </w:r>
      <w:r w:rsidRPr="00C02041">
        <w:rPr>
          <w:i/>
          <w:iCs/>
          <w:noProof/>
        </w:rPr>
        <w:t>Biotechnologies for the management of genetic resources for food and agricuture</w:t>
      </w:r>
      <w:r w:rsidRPr="00D6412D">
        <w:rPr>
          <w:noProof/>
        </w:rPr>
        <w:t xml:space="preserve">. </w:t>
      </w:r>
      <w:r w:rsidR="00B55935" w:rsidRPr="00D6412D">
        <w:rPr>
          <w:noProof/>
        </w:rPr>
        <w:t xml:space="preserve">Background study paper no. 52. </w:t>
      </w:r>
      <w:r w:rsidRPr="00D6412D">
        <w:rPr>
          <w:noProof/>
        </w:rPr>
        <w:t>Commission on Genetic Resources for Food and Agriculture</w:t>
      </w:r>
      <w:r w:rsidR="00B55935">
        <w:rPr>
          <w:noProof/>
        </w:rPr>
        <w:t xml:space="preserve">. </w:t>
      </w:r>
      <w:r w:rsidR="00B55935" w:rsidRPr="00C02041">
        <w:rPr>
          <w:noProof/>
          <w:lang w:val="it-IT"/>
        </w:rPr>
        <w:t>Rome, FAO.</w:t>
      </w:r>
    </w:p>
    <w:p w14:paraId="3E21300A" w14:textId="77777777" w:rsidR="00D6412D" w:rsidRPr="00D6412D" w:rsidRDefault="00D6412D">
      <w:pPr>
        <w:pStyle w:val="EndNoteBibliography"/>
        <w:rPr>
          <w:noProof/>
        </w:rPr>
      </w:pPr>
      <w:r w:rsidRPr="00C02041">
        <w:rPr>
          <w:b/>
          <w:noProof/>
          <w:lang w:val="it-IT"/>
        </w:rPr>
        <w:t>López-Uribe, M.M., Soro, A.</w:t>
      </w:r>
      <w:r w:rsidR="00B55935" w:rsidRPr="00C02041">
        <w:rPr>
          <w:b/>
          <w:noProof/>
          <w:lang w:val="it-IT"/>
        </w:rPr>
        <w:t xml:space="preserve"> &amp;</w:t>
      </w:r>
      <w:r w:rsidRPr="00C02041">
        <w:rPr>
          <w:b/>
          <w:noProof/>
          <w:lang w:val="it-IT"/>
        </w:rPr>
        <w:t xml:space="preserve"> Jha, S.</w:t>
      </w:r>
      <w:r w:rsidRPr="00C02041">
        <w:rPr>
          <w:noProof/>
          <w:lang w:val="it-IT"/>
        </w:rPr>
        <w:t xml:space="preserve"> 2017. </w:t>
      </w:r>
      <w:r w:rsidRPr="00D6412D">
        <w:rPr>
          <w:noProof/>
        </w:rPr>
        <w:t xml:space="preserve">Conservation genetics of bees: advances in the application of molecular tools to guide bee pollinator conservation. </w:t>
      </w:r>
      <w:r w:rsidRPr="00C02041">
        <w:rPr>
          <w:i/>
          <w:iCs/>
          <w:noProof/>
        </w:rPr>
        <w:t>Conserv</w:t>
      </w:r>
      <w:r w:rsidR="00B55935">
        <w:rPr>
          <w:i/>
          <w:iCs/>
          <w:noProof/>
        </w:rPr>
        <w:t>.</w:t>
      </w:r>
      <w:r w:rsidRPr="00C02041">
        <w:rPr>
          <w:i/>
          <w:iCs/>
          <w:noProof/>
        </w:rPr>
        <w:t xml:space="preserve"> Genet</w:t>
      </w:r>
      <w:r w:rsidR="00B55935">
        <w:rPr>
          <w:i/>
          <w:iCs/>
          <w:noProof/>
        </w:rPr>
        <w:t>.,</w:t>
      </w:r>
      <w:r w:rsidRPr="00D6412D">
        <w:rPr>
          <w:i/>
          <w:noProof/>
        </w:rPr>
        <w:t xml:space="preserve"> </w:t>
      </w:r>
      <w:r w:rsidRPr="00C02041">
        <w:rPr>
          <w:iCs/>
          <w:noProof/>
        </w:rPr>
        <w:t>18</w:t>
      </w:r>
      <w:r w:rsidR="00B55935">
        <w:rPr>
          <w:noProof/>
        </w:rPr>
        <w:t>:</w:t>
      </w:r>
      <w:r w:rsidRPr="00D6412D">
        <w:rPr>
          <w:noProof/>
        </w:rPr>
        <w:t xml:space="preserve"> 501</w:t>
      </w:r>
      <w:r w:rsidR="00B55935">
        <w:rPr>
          <w:noProof/>
        </w:rPr>
        <w:t>–</w:t>
      </w:r>
      <w:r w:rsidRPr="00D6412D">
        <w:rPr>
          <w:noProof/>
        </w:rPr>
        <w:t>506.</w:t>
      </w:r>
    </w:p>
    <w:p w14:paraId="1A3CB937" w14:textId="77777777" w:rsidR="00D6412D" w:rsidRPr="00D6412D" w:rsidRDefault="00D6412D">
      <w:pPr>
        <w:pStyle w:val="EndNoteBibliography"/>
        <w:rPr>
          <w:noProof/>
        </w:rPr>
      </w:pPr>
      <w:r w:rsidRPr="00D6412D">
        <w:rPr>
          <w:b/>
          <w:noProof/>
        </w:rPr>
        <w:t>Lozier, J.D.</w:t>
      </w:r>
      <w:r w:rsidR="00B55935">
        <w:rPr>
          <w:b/>
          <w:noProof/>
        </w:rPr>
        <w:t>&amp;</w:t>
      </w:r>
      <w:r w:rsidRPr="00D6412D">
        <w:rPr>
          <w:b/>
          <w:noProof/>
        </w:rPr>
        <w:t xml:space="preserve"> Zayed, A.</w:t>
      </w:r>
      <w:r w:rsidRPr="00D6412D">
        <w:rPr>
          <w:noProof/>
        </w:rPr>
        <w:t xml:space="preserve"> 2017. Bee conservation in the age of genomics. </w:t>
      </w:r>
      <w:r w:rsidRPr="00C02041">
        <w:rPr>
          <w:i/>
          <w:iCs/>
          <w:noProof/>
        </w:rPr>
        <w:t>Conserv</w:t>
      </w:r>
      <w:r w:rsidR="00B55935">
        <w:rPr>
          <w:i/>
          <w:iCs/>
          <w:noProof/>
        </w:rPr>
        <w:t>.</w:t>
      </w:r>
      <w:r w:rsidRPr="00C02041">
        <w:rPr>
          <w:i/>
          <w:iCs/>
          <w:noProof/>
        </w:rPr>
        <w:t xml:space="preserve"> Genet</w:t>
      </w:r>
      <w:r w:rsidR="00B55935">
        <w:rPr>
          <w:i/>
          <w:iCs/>
          <w:noProof/>
        </w:rPr>
        <w:t>.,</w:t>
      </w:r>
      <w:r w:rsidRPr="00381F8F">
        <w:rPr>
          <w:i/>
          <w:iCs/>
          <w:noProof/>
        </w:rPr>
        <w:t xml:space="preserve"> </w:t>
      </w:r>
      <w:r w:rsidRPr="00C02041">
        <w:rPr>
          <w:iCs/>
          <w:noProof/>
        </w:rPr>
        <w:t>18</w:t>
      </w:r>
      <w:r w:rsidR="00B55935">
        <w:rPr>
          <w:noProof/>
        </w:rPr>
        <w:t>:</w:t>
      </w:r>
      <w:r w:rsidRPr="00D6412D">
        <w:rPr>
          <w:noProof/>
        </w:rPr>
        <w:t xml:space="preserve"> 713</w:t>
      </w:r>
      <w:r w:rsidR="00B55935">
        <w:rPr>
          <w:noProof/>
        </w:rPr>
        <w:t>–</w:t>
      </w:r>
      <w:r w:rsidRPr="00D6412D">
        <w:rPr>
          <w:noProof/>
        </w:rPr>
        <w:t>729.</w:t>
      </w:r>
    </w:p>
    <w:p w14:paraId="269A34B2" w14:textId="77777777" w:rsidR="00D6412D" w:rsidRPr="00D6412D" w:rsidRDefault="00D6412D">
      <w:pPr>
        <w:pStyle w:val="EndNoteBibliography"/>
        <w:rPr>
          <w:noProof/>
        </w:rPr>
      </w:pPr>
      <w:r w:rsidRPr="00D6412D">
        <w:rPr>
          <w:b/>
          <w:noProof/>
        </w:rPr>
        <w:t>Luca, F., Kupfer, S.S., Knights, D., Khoruts, A.</w:t>
      </w:r>
      <w:r w:rsidR="00B55935">
        <w:rPr>
          <w:b/>
          <w:noProof/>
        </w:rPr>
        <w:t>&amp;</w:t>
      </w:r>
      <w:r w:rsidRPr="00D6412D">
        <w:rPr>
          <w:b/>
          <w:noProof/>
        </w:rPr>
        <w:t xml:space="preserve"> Blekhman, R.</w:t>
      </w:r>
      <w:r w:rsidRPr="00D6412D">
        <w:rPr>
          <w:noProof/>
        </w:rPr>
        <w:t xml:space="preserve"> 2018. Functional genomics of host-microbiome interactions in humans. </w:t>
      </w:r>
      <w:r w:rsidRPr="00C02041">
        <w:rPr>
          <w:i/>
          <w:iCs/>
          <w:noProof/>
        </w:rPr>
        <w:t>Trend Genet</w:t>
      </w:r>
      <w:r w:rsidR="00B55935">
        <w:rPr>
          <w:i/>
          <w:iCs/>
          <w:noProof/>
        </w:rPr>
        <w:t>.,</w:t>
      </w:r>
      <w:r w:rsidRPr="00D6412D">
        <w:rPr>
          <w:i/>
          <w:noProof/>
        </w:rPr>
        <w:t xml:space="preserve"> </w:t>
      </w:r>
      <w:r w:rsidRPr="00C02041">
        <w:rPr>
          <w:iCs/>
          <w:noProof/>
        </w:rPr>
        <w:t>34</w:t>
      </w:r>
      <w:r w:rsidR="00B55935">
        <w:rPr>
          <w:noProof/>
        </w:rPr>
        <w:t>:</w:t>
      </w:r>
      <w:r w:rsidRPr="00D6412D">
        <w:rPr>
          <w:noProof/>
        </w:rPr>
        <w:t xml:space="preserve"> 30</w:t>
      </w:r>
      <w:r w:rsidR="00B55935">
        <w:rPr>
          <w:noProof/>
        </w:rPr>
        <w:t>–</w:t>
      </w:r>
      <w:r w:rsidRPr="00D6412D">
        <w:rPr>
          <w:noProof/>
        </w:rPr>
        <w:t>40.</w:t>
      </w:r>
    </w:p>
    <w:p w14:paraId="04E44F9C" w14:textId="77777777" w:rsidR="00D6412D" w:rsidRPr="00D6412D" w:rsidRDefault="00D6412D">
      <w:pPr>
        <w:pStyle w:val="EndNoteBibliography"/>
        <w:rPr>
          <w:noProof/>
        </w:rPr>
      </w:pPr>
      <w:r w:rsidRPr="0012061B">
        <w:rPr>
          <w:b/>
          <w:noProof/>
          <w:lang w:val="es-AR"/>
        </w:rPr>
        <w:t>Lundgren, J.G.</w:t>
      </w:r>
      <w:r w:rsidR="00B55935" w:rsidRPr="0012061B">
        <w:rPr>
          <w:b/>
          <w:noProof/>
          <w:lang w:val="es-AR"/>
        </w:rPr>
        <w:t>&amp;</w:t>
      </w:r>
      <w:r w:rsidRPr="0012061B">
        <w:rPr>
          <w:b/>
          <w:noProof/>
          <w:lang w:val="es-AR"/>
        </w:rPr>
        <w:t xml:space="preserve"> Duan, J.J.</w:t>
      </w:r>
      <w:r w:rsidRPr="0012061B">
        <w:rPr>
          <w:noProof/>
          <w:lang w:val="es-AR"/>
        </w:rPr>
        <w:t xml:space="preserve"> 2013. </w:t>
      </w:r>
      <w:r w:rsidRPr="00D6412D">
        <w:rPr>
          <w:noProof/>
        </w:rPr>
        <w:t xml:space="preserve">RNAi-based insecticidal crops: potential effects on nontarget species. </w:t>
      </w:r>
      <w:r w:rsidRPr="00C02041">
        <w:rPr>
          <w:i/>
          <w:iCs/>
          <w:noProof/>
        </w:rPr>
        <w:t>Biosci</w:t>
      </w:r>
      <w:r w:rsidR="00B55935">
        <w:rPr>
          <w:i/>
          <w:noProof/>
        </w:rPr>
        <w:t>.,</w:t>
      </w:r>
      <w:r w:rsidRPr="00D6412D">
        <w:rPr>
          <w:i/>
          <w:noProof/>
        </w:rPr>
        <w:t xml:space="preserve"> </w:t>
      </w:r>
      <w:r w:rsidRPr="00C02041">
        <w:rPr>
          <w:iCs/>
          <w:noProof/>
        </w:rPr>
        <w:t>63</w:t>
      </w:r>
      <w:r w:rsidR="00B55935">
        <w:rPr>
          <w:noProof/>
        </w:rPr>
        <w:t>:</w:t>
      </w:r>
      <w:r w:rsidRPr="00D6412D">
        <w:rPr>
          <w:noProof/>
        </w:rPr>
        <w:t xml:space="preserve"> 657</w:t>
      </w:r>
      <w:r w:rsidR="00B55935">
        <w:rPr>
          <w:noProof/>
        </w:rPr>
        <w:t>–</w:t>
      </w:r>
      <w:r w:rsidRPr="00D6412D">
        <w:rPr>
          <w:noProof/>
        </w:rPr>
        <w:t>665.</w:t>
      </w:r>
    </w:p>
    <w:p w14:paraId="45CEB6F7" w14:textId="77777777" w:rsidR="00D6412D" w:rsidRPr="00D6412D" w:rsidRDefault="00D6412D">
      <w:pPr>
        <w:pStyle w:val="EndNoteBibliography"/>
        <w:rPr>
          <w:noProof/>
        </w:rPr>
      </w:pPr>
      <w:r w:rsidRPr="00D6412D">
        <w:rPr>
          <w:b/>
          <w:noProof/>
        </w:rPr>
        <w:t>Luscombe, N.M., Greenbaum, D.</w:t>
      </w:r>
      <w:r w:rsidR="00B55935">
        <w:rPr>
          <w:b/>
          <w:noProof/>
        </w:rPr>
        <w:t>&amp;</w:t>
      </w:r>
      <w:r w:rsidRPr="00D6412D">
        <w:rPr>
          <w:b/>
          <w:noProof/>
        </w:rPr>
        <w:t xml:space="preserve"> Gerstein, M.</w:t>
      </w:r>
      <w:r w:rsidRPr="00D6412D">
        <w:rPr>
          <w:noProof/>
        </w:rPr>
        <w:t xml:space="preserve"> 2001. What is bioinformatics? A proposed definition and overview of the field. </w:t>
      </w:r>
      <w:r w:rsidRPr="00C02041">
        <w:rPr>
          <w:i/>
          <w:iCs/>
          <w:noProof/>
        </w:rPr>
        <w:t>Methods Inf</w:t>
      </w:r>
      <w:r w:rsidR="00B55935">
        <w:rPr>
          <w:i/>
          <w:iCs/>
          <w:noProof/>
        </w:rPr>
        <w:t>.</w:t>
      </w:r>
      <w:r w:rsidRPr="00C02041">
        <w:rPr>
          <w:i/>
          <w:iCs/>
          <w:noProof/>
        </w:rPr>
        <w:t xml:space="preserve"> Med</w:t>
      </w:r>
      <w:r w:rsidR="00B55935">
        <w:rPr>
          <w:i/>
          <w:iCs/>
          <w:noProof/>
        </w:rPr>
        <w:t>.,</w:t>
      </w:r>
      <w:r w:rsidRPr="00D6412D">
        <w:rPr>
          <w:i/>
          <w:noProof/>
        </w:rPr>
        <w:t xml:space="preserve"> </w:t>
      </w:r>
      <w:r w:rsidRPr="00C02041">
        <w:rPr>
          <w:iCs/>
          <w:noProof/>
        </w:rPr>
        <w:t>40</w:t>
      </w:r>
      <w:r w:rsidR="00B55935">
        <w:rPr>
          <w:noProof/>
        </w:rPr>
        <w:t>:</w:t>
      </w:r>
      <w:r w:rsidRPr="00D6412D">
        <w:rPr>
          <w:noProof/>
        </w:rPr>
        <w:t xml:space="preserve"> 346</w:t>
      </w:r>
      <w:r w:rsidR="00B55935">
        <w:rPr>
          <w:noProof/>
        </w:rPr>
        <w:t>–</w:t>
      </w:r>
      <w:r w:rsidRPr="00D6412D">
        <w:rPr>
          <w:noProof/>
        </w:rPr>
        <w:t>358.</w:t>
      </w:r>
    </w:p>
    <w:p w14:paraId="264DEA6A" w14:textId="77777777" w:rsidR="00D6412D" w:rsidRPr="00D6412D" w:rsidRDefault="00D6412D">
      <w:pPr>
        <w:pStyle w:val="EndNoteBibliography"/>
        <w:rPr>
          <w:noProof/>
        </w:rPr>
      </w:pPr>
      <w:r w:rsidRPr="00D6412D">
        <w:rPr>
          <w:b/>
          <w:noProof/>
        </w:rPr>
        <w:t>Manheim, B.S.</w:t>
      </w:r>
      <w:r w:rsidRPr="00D6412D">
        <w:rPr>
          <w:noProof/>
        </w:rPr>
        <w:t xml:space="preserve"> 2016. Regulation of synthetic biology under the Nagoya Protocol. </w:t>
      </w:r>
      <w:r w:rsidRPr="00C02041">
        <w:rPr>
          <w:i/>
          <w:iCs/>
          <w:noProof/>
        </w:rPr>
        <w:t>Nat</w:t>
      </w:r>
      <w:r w:rsidR="00B55935">
        <w:rPr>
          <w:i/>
          <w:iCs/>
          <w:noProof/>
        </w:rPr>
        <w:t>.</w:t>
      </w:r>
      <w:r w:rsidRPr="00C02041">
        <w:rPr>
          <w:i/>
          <w:iCs/>
          <w:noProof/>
        </w:rPr>
        <w:t xml:space="preserve"> Biotechnol</w:t>
      </w:r>
      <w:r w:rsidR="00B55935">
        <w:rPr>
          <w:i/>
          <w:iCs/>
          <w:noProof/>
        </w:rPr>
        <w:t>.,</w:t>
      </w:r>
      <w:r w:rsidRPr="00D6412D">
        <w:rPr>
          <w:i/>
          <w:noProof/>
        </w:rPr>
        <w:t xml:space="preserve"> </w:t>
      </w:r>
      <w:r w:rsidRPr="00C02041">
        <w:rPr>
          <w:iCs/>
          <w:noProof/>
        </w:rPr>
        <w:t>34</w:t>
      </w:r>
      <w:r w:rsidR="00B55935">
        <w:rPr>
          <w:noProof/>
        </w:rPr>
        <w:t>:</w:t>
      </w:r>
      <w:r w:rsidRPr="00D6412D">
        <w:rPr>
          <w:noProof/>
        </w:rPr>
        <w:t xml:space="preserve"> 1104</w:t>
      </w:r>
      <w:r w:rsidR="00B55935">
        <w:rPr>
          <w:noProof/>
        </w:rPr>
        <w:t>–</w:t>
      </w:r>
      <w:r w:rsidRPr="00D6412D">
        <w:rPr>
          <w:noProof/>
        </w:rPr>
        <w:t>1105.</w:t>
      </w:r>
    </w:p>
    <w:p w14:paraId="16269F54" w14:textId="77777777" w:rsidR="00D6412D" w:rsidRPr="00D6412D" w:rsidRDefault="00D6412D">
      <w:pPr>
        <w:pStyle w:val="EndNoteBibliography"/>
        <w:rPr>
          <w:noProof/>
        </w:rPr>
      </w:pPr>
      <w:r w:rsidRPr="00D6412D">
        <w:rPr>
          <w:b/>
          <w:noProof/>
        </w:rPr>
        <w:t>Manzella, D.</w:t>
      </w:r>
      <w:r w:rsidRPr="00D6412D">
        <w:rPr>
          <w:noProof/>
        </w:rPr>
        <w:t xml:space="preserve"> 2016. </w:t>
      </w:r>
      <w:r w:rsidRPr="00C02041">
        <w:rPr>
          <w:i/>
          <w:iCs/>
          <w:noProof/>
        </w:rPr>
        <w:t>The global information system and genomic information: transparency of rights and obligations.</w:t>
      </w:r>
      <w:r w:rsidRPr="00D6412D">
        <w:rPr>
          <w:noProof/>
        </w:rPr>
        <w:t xml:space="preserve"> </w:t>
      </w:r>
      <w:r w:rsidR="00B55935" w:rsidRPr="00D6412D">
        <w:rPr>
          <w:noProof/>
        </w:rPr>
        <w:t>Background study paper n. 10.</w:t>
      </w:r>
      <w:r w:rsidR="00B55935">
        <w:rPr>
          <w:noProof/>
        </w:rPr>
        <w:t xml:space="preserve"> </w:t>
      </w:r>
      <w:r w:rsidRPr="00D6412D">
        <w:rPr>
          <w:noProof/>
        </w:rPr>
        <w:t>IT/GB7/SAC-1/16/ BSP 10</w:t>
      </w:r>
      <w:r w:rsidR="00B55935">
        <w:rPr>
          <w:noProof/>
        </w:rPr>
        <w:t xml:space="preserve">. </w:t>
      </w:r>
      <w:r w:rsidR="00B55935" w:rsidRPr="00D6412D">
        <w:rPr>
          <w:noProof/>
        </w:rPr>
        <w:t>Rome</w:t>
      </w:r>
      <w:r w:rsidR="00B55935">
        <w:rPr>
          <w:noProof/>
        </w:rPr>
        <w:t>,</w:t>
      </w:r>
      <w:r w:rsidR="00B55935" w:rsidRPr="00D6412D">
        <w:rPr>
          <w:noProof/>
        </w:rPr>
        <w:t xml:space="preserve"> FAO</w:t>
      </w:r>
      <w:r w:rsidR="00B55935">
        <w:rPr>
          <w:noProof/>
        </w:rPr>
        <w:t>.</w:t>
      </w:r>
    </w:p>
    <w:p w14:paraId="62BB238B" w14:textId="77777777" w:rsidR="00D6412D" w:rsidRPr="0012061B" w:rsidRDefault="00D6412D">
      <w:pPr>
        <w:pStyle w:val="EndNoteBibliography"/>
        <w:rPr>
          <w:noProof/>
          <w:lang w:val="en-CA"/>
        </w:rPr>
      </w:pPr>
      <w:r w:rsidRPr="0012061B">
        <w:rPr>
          <w:b/>
          <w:noProof/>
          <w:lang w:val="en-CA"/>
        </w:rPr>
        <w:t>Mardis, E.R.</w:t>
      </w:r>
      <w:r w:rsidRPr="0012061B">
        <w:rPr>
          <w:noProof/>
          <w:lang w:val="en-CA"/>
        </w:rPr>
        <w:t xml:space="preserve"> 2017. DNA sequencing technologies: 2006-2016. </w:t>
      </w:r>
      <w:r w:rsidRPr="0012061B">
        <w:rPr>
          <w:i/>
          <w:iCs/>
          <w:noProof/>
          <w:lang w:val="en-CA"/>
        </w:rPr>
        <w:t>Nat</w:t>
      </w:r>
      <w:r w:rsidR="00B55935" w:rsidRPr="0012061B">
        <w:rPr>
          <w:i/>
          <w:iCs/>
          <w:noProof/>
          <w:lang w:val="en-CA"/>
        </w:rPr>
        <w:t>.</w:t>
      </w:r>
      <w:r w:rsidRPr="0012061B">
        <w:rPr>
          <w:i/>
          <w:iCs/>
          <w:noProof/>
          <w:lang w:val="en-CA"/>
        </w:rPr>
        <w:t xml:space="preserve"> Protoc</w:t>
      </w:r>
      <w:r w:rsidR="00B55935" w:rsidRPr="0012061B">
        <w:rPr>
          <w:i/>
          <w:iCs/>
          <w:noProof/>
          <w:lang w:val="en-CA"/>
        </w:rPr>
        <w:t>.,</w:t>
      </w:r>
      <w:r w:rsidRPr="0012061B">
        <w:rPr>
          <w:i/>
          <w:noProof/>
          <w:lang w:val="en-CA"/>
        </w:rPr>
        <w:t xml:space="preserve"> </w:t>
      </w:r>
      <w:r w:rsidRPr="0012061B">
        <w:rPr>
          <w:iCs/>
          <w:noProof/>
          <w:lang w:val="en-CA"/>
        </w:rPr>
        <w:t>12</w:t>
      </w:r>
      <w:r w:rsidR="00B55935" w:rsidRPr="0012061B">
        <w:rPr>
          <w:noProof/>
          <w:lang w:val="en-CA"/>
        </w:rPr>
        <w:t>:</w:t>
      </w:r>
      <w:r w:rsidRPr="0012061B">
        <w:rPr>
          <w:noProof/>
          <w:lang w:val="en-CA"/>
        </w:rPr>
        <w:t xml:space="preserve"> 213</w:t>
      </w:r>
      <w:r w:rsidR="00B55935" w:rsidRPr="0012061B">
        <w:rPr>
          <w:noProof/>
          <w:lang w:val="en-CA"/>
        </w:rPr>
        <w:t>–</w:t>
      </w:r>
      <w:r w:rsidRPr="0012061B">
        <w:rPr>
          <w:noProof/>
          <w:lang w:val="en-CA"/>
        </w:rPr>
        <w:t>218.</w:t>
      </w:r>
    </w:p>
    <w:p w14:paraId="404F7705" w14:textId="77777777" w:rsidR="00D6412D" w:rsidRPr="00D6412D" w:rsidRDefault="00D6412D">
      <w:pPr>
        <w:pStyle w:val="EndNoteBibliography"/>
        <w:rPr>
          <w:noProof/>
        </w:rPr>
      </w:pPr>
      <w:r w:rsidRPr="0012061B">
        <w:rPr>
          <w:b/>
          <w:noProof/>
          <w:lang w:val="en-CA"/>
        </w:rPr>
        <w:t xml:space="preserve">Marijuán, P.C., Navarro, J. </w:t>
      </w:r>
      <w:r w:rsidR="00B55935">
        <w:rPr>
          <w:b/>
          <w:noProof/>
        </w:rPr>
        <w:t>&amp;</w:t>
      </w:r>
      <w:r w:rsidR="00B55935" w:rsidRPr="00D6412D">
        <w:rPr>
          <w:b/>
          <w:noProof/>
        </w:rPr>
        <w:t xml:space="preserve"> </w:t>
      </w:r>
      <w:r w:rsidRPr="00D6412D">
        <w:rPr>
          <w:b/>
          <w:noProof/>
        </w:rPr>
        <w:t>del Moral, R.</w:t>
      </w:r>
      <w:r w:rsidRPr="00D6412D">
        <w:rPr>
          <w:noProof/>
        </w:rPr>
        <w:t xml:space="preserve"> 2018. How prokaryotes ‘encode’ their environment: Systemic tools for organizing the information flow. </w:t>
      </w:r>
      <w:r w:rsidRPr="00C02041">
        <w:rPr>
          <w:i/>
          <w:iCs/>
          <w:noProof/>
        </w:rPr>
        <w:t>Biosys</w:t>
      </w:r>
      <w:r w:rsidR="00B55935">
        <w:rPr>
          <w:i/>
          <w:noProof/>
        </w:rPr>
        <w:t>.,</w:t>
      </w:r>
      <w:r w:rsidRPr="00D6412D">
        <w:rPr>
          <w:i/>
          <w:noProof/>
        </w:rPr>
        <w:t xml:space="preserve"> </w:t>
      </w:r>
      <w:r w:rsidRPr="00C02041">
        <w:rPr>
          <w:iCs/>
          <w:noProof/>
        </w:rPr>
        <w:t>164</w:t>
      </w:r>
      <w:r w:rsidR="00B55935">
        <w:rPr>
          <w:noProof/>
        </w:rPr>
        <w:t>:</w:t>
      </w:r>
      <w:r w:rsidRPr="00D6412D">
        <w:rPr>
          <w:noProof/>
        </w:rPr>
        <w:t xml:space="preserve"> 26</w:t>
      </w:r>
      <w:r w:rsidR="00B55935">
        <w:rPr>
          <w:noProof/>
        </w:rPr>
        <w:t>–</w:t>
      </w:r>
      <w:r w:rsidRPr="00D6412D">
        <w:rPr>
          <w:noProof/>
        </w:rPr>
        <w:t>38.</w:t>
      </w:r>
    </w:p>
    <w:p w14:paraId="4395C765" w14:textId="77777777" w:rsidR="00D6412D" w:rsidRPr="00D6412D" w:rsidRDefault="00D6412D">
      <w:pPr>
        <w:pStyle w:val="EndNoteBibliography"/>
        <w:rPr>
          <w:noProof/>
        </w:rPr>
      </w:pPr>
      <w:r w:rsidRPr="00D6412D">
        <w:rPr>
          <w:b/>
          <w:noProof/>
        </w:rPr>
        <w:t>Marraffini, L.A.</w:t>
      </w:r>
      <w:r w:rsidR="00B55935">
        <w:rPr>
          <w:b/>
          <w:noProof/>
        </w:rPr>
        <w:t xml:space="preserve"> &amp;</w:t>
      </w:r>
      <w:r w:rsidRPr="00D6412D">
        <w:rPr>
          <w:b/>
          <w:noProof/>
        </w:rPr>
        <w:t xml:space="preserve"> Sontheimer, E.J.</w:t>
      </w:r>
      <w:r w:rsidRPr="00D6412D">
        <w:rPr>
          <w:noProof/>
        </w:rPr>
        <w:t xml:space="preserve"> 2010. CRISPR interference: RNA-directed adaptive immunity in bacteria and archaea. </w:t>
      </w:r>
      <w:r w:rsidRPr="00C02041">
        <w:rPr>
          <w:i/>
          <w:iCs/>
          <w:noProof/>
        </w:rPr>
        <w:t>Nat</w:t>
      </w:r>
      <w:r w:rsidR="00B55935">
        <w:rPr>
          <w:i/>
          <w:iCs/>
          <w:noProof/>
        </w:rPr>
        <w:t>.</w:t>
      </w:r>
      <w:r w:rsidRPr="00C02041">
        <w:rPr>
          <w:i/>
          <w:iCs/>
          <w:noProof/>
        </w:rPr>
        <w:t xml:space="preserve"> Rev</w:t>
      </w:r>
      <w:r w:rsidR="00B55935">
        <w:rPr>
          <w:i/>
          <w:iCs/>
          <w:noProof/>
        </w:rPr>
        <w:t>.</w:t>
      </w:r>
      <w:r w:rsidRPr="00C02041">
        <w:rPr>
          <w:i/>
          <w:iCs/>
          <w:noProof/>
        </w:rPr>
        <w:t xml:space="preserve"> Genet</w:t>
      </w:r>
      <w:r w:rsidR="00B55935">
        <w:rPr>
          <w:i/>
          <w:iCs/>
          <w:noProof/>
        </w:rPr>
        <w:t>.,</w:t>
      </w:r>
      <w:r w:rsidRPr="00D6412D">
        <w:rPr>
          <w:i/>
          <w:noProof/>
        </w:rPr>
        <w:t xml:space="preserve"> </w:t>
      </w:r>
      <w:r w:rsidRPr="00C02041">
        <w:rPr>
          <w:iCs/>
          <w:noProof/>
        </w:rPr>
        <w:t>11</w:t>
      </w:r>
      <w:r w:rsidR="00B55935">
        <w:rPr>
          <w:noProof/>
        </w:rPr>
        <w:t>:</w:t>
      </w:r>
      <w:r w:rsidRPr="00D6412D">
        <w:rPr>
          <w:noProof/>
        </w:rPr>
        <w:t xml:space="preserve"> 181</w:t>
      </w:r>
      <w:r w:rsidR="00B55935">
        <w:rPr>
          <w:noProof/>
        </w:rPr>
        <w:t>–</w:t>
      </w:r>
      <w:r w:rsidRPr="00D6412D">
        <w:rPr>
          <w:noProof/>
        </w:rPr>
        <w:t>190.</w:t>
      </w:r>
    </w:p>
    <w:p w14:paraId="640F3998" w14:textId="77777777" w:rsidR="00D6412D" w:rsidRPr="00D6412D" w:rsidRDefault="00D6412D">
      <w:pPr>
        <w:pStyle w:val="EndNoteBibliography"/>
        <w:rPr>
          <w:noProof/>
        </w:rPr>
      </w:pPr>
      <w:r w:rsidRPr="00D6412D">
        <w:rPr>
          <w:b/>
          <w:noProof/>
        </w:rPr>
        <w:t>Marx, V.</w:t>
      </w:r>
      <w:r w:rsidRPr="00D6412D">
        <w:rPr>
          <w:noProof/>
        </w:rPr>
        <w:t xml:space="preserve"> 2012. My data are your data. </w:t>
      </w:r>
      <w:r w:rsidRPr="00C02041">
        <w:rPr>
          <w:i/>
          <w:iCs/>
          <w:noProof/>
        </w:rPr>
        <w:t>Nat</w:t>
      </w:r>
      <w:r w:rsidR="00B55935">
        <w:rPr>
          <w:i/>
          <w:iCs/>
          <w:noProof/>
        </w:rPr>
        <w:t>.</w:t>
      </w:r>
      <w:r w:rsidRPr="00C02041">
        <w:rPr>
          <w:i/>
          <w:iCs/>
          <w:noProof/>
        </w:rPr>
        <w:t xml:space="preserve"> Biotechnol</w:t>
      </w:r>
      <w:r w:rsidR="00B55935">
        <w:rPr>
          <w:i/>
          <w:iCs/>
          <w:noProof/>
        </w:rPr>
        <w:t>.,</w:t>
      </w:r>
      <w:r w:rsidRPr="00D6412D">
        <w:rPr>
          <w:i/>
          <w:noProof/>
        </w:rPr>
        <w:t xml:space="preserve"> </w:t>
      </w:r>
      <w:r w:rsidRPr="00C02041">
        <w:rPr>
          <w:iCs/>
          <w:noProof/>
        </w:rPr>
        <w:t>30</w:t>
      </w:r>
      <w:r w:rsidR="00B55935">
        <w:rPr>
          <w:noProof/>
        </w:rPr>
        <w:t>:</w:t>
      </w:r>
      <w:r w:rsidRPr="00D6412D">
        <w:rPr>
          <w:noProof/>
        </w:rPr>
        <w:t xml:space="preserve"> 509</w:t>
      </w:r>
      <w:r w:rsidR="00B55935">
        <w:rPr>
          <w:noProof/>
        </w:rPr>
        <w:t>–</w:t>
      </w:r>
      <w:r w:rsidRPr="00D6412D">
        <w:rPr>
          <w:noProof/>
        </w:rPr>
        <w:t>511.</w:t>
      </w:r>
    </w:p>
    <w:p w14:paraId="37215622" w14:textId="77777777" w:rsidR="00D6412D" w:rsidRPr="00D6412D" w:rsidRDefault="00D6412D">
      <w:pPr>
        <w:pStyle w:val="EndNoteBibliography"/>
        <w:rPr>
          <w:noProof/>
        </w:rPr>
      </w:pPr>
      <w:r w:rsidRPr="00D6412D">
        <w:rPr>
          <w:b/>
          <w:noProof/>
        </w:rPr>
        <w:t>Marx, V.</w:t>
      </w:r>
      <w:r w:rsidRPr="00D6412D">
        <w:rPr>
          <w:noProof/>
        </w:rPr>
        <w:t xml:space="preserve"> 2013. The big challenges of big data. </w:t>
      </w:r>
      <w:r w:rsidRPr="00C02041">
        <w:rPr>
          <w:i/>
          <w:iCs/>
          <w:noProof/>
        </w:rPr>
        <w:t>Nature</w:t>
      </w:r>
      <w:r w:rsidR="00B55935">
        <w:rPr>
          <w:i/>
          <w:iCs/>
          <w:noProof/>
        </w:rPr>
        <w:t>,</w:t>
      </w:r>
      <w:r w:rsidRPr="00D6412D">
        <w:rPr>
          <w:i/>
          <w:noProof/>
        </w:rPr>
        <w:t xml:space="preserve"> </w:t>
      </w:r>
      <w:r w:rsidRPr="00C02041">
        <w:rPr>
          <w:iCs/>
          <w:noProof/>
        </w:rPr>
        <w:t>255</w:t>
      </w:r>
      <w:r w:rsidR="00B55935">
        <w:rPr>
          <w:noProof/>
        </w:rPr>
        <w:t>:</w:t>
      </w:r>
      <w:r w:rsidRPr="00D6412D">
        <w:rPr>
          <w:noProof/>
        </w:rPr>
        <w:t xml:space="preserve"> 256</w:t>
      </w:r>
      <w:r w:rsidR="00B55935">
        <w:rPr>
          <w:noProof/>
        </w:rPr>
        <w:t>–</w:t>
      </w:r>
      <w:r w:rsidRPr="00D6412D">
        <w:rPr>
          <w:noProof/>
        </w:rPr>
        <w:t>260.</w:t>
      </w:r>
    </w:p>
    <w:p w14:paraId="14F22EFF" w14:textId="77777777" w:rsidR="00D6412D" w:rsidRPr="00D6412D" w:rsidRDefault="00D6412D">
      <w:pPr>
        <w:pStyle w:val="EndNoteBibliography"/>
        <w:rPr>
          <w:noProof/>
        </w:rPr>
      </w:pPr>
      <w:r w:rsidRPr="00D6412D">
        <w:rPr>
          <w:b/>
          <w:noProof/>
        </w:rPr>
        <w:t>Mauchline, T.H., and Malone, J.G.</w:t>
      </w:r>
      <w:r w:rsidRPr="00D6412D">
        <w:rPr>
          <w:noProof/>
        </w:rPr>
        <w:t xml:space="preserve"> 2017. Life in earth – the root microbiome to the rescue? </w:t>
      </w:r>
      <w:r w:rsidRPr="00C02041">
        <w:rPr>
          <w:i/>
          <w:iCs/>
          <w:noProof/>
        </w:rPr>
        <w:t>Curr</w:t>
      </w:r>
      <w:r w:rsidR="00B55935">
        <w:rPr>
          <w:i/>
          <w:iCs/>
          <w:noProof/>
        </w:rPr>
        <w:t>.</w:t>
      </w:r>
      <w:r w:rsidRPr="00C02041">
        <w:rPr>
          <w:i/>
          <w:iCs/>
          <w:noProof/>
        </w:rPr>
        <w:t xml:space="preserve"> Opin</w:t>
      </w:r>
      <w:r w:rsidR="00B55935">
        <w:rPr>
          <w:i/>
          <w:iCs/>
          <w:noProof/>
        </w:rPr>
        <w:t>.</w:t>
      </w:r>
      <w:r w:rsidRPr="00C02041">
        <w:rPr>
          <w:i/>
          <w:iCs/>
          <w:noProof/>
        </w:rPr>
        <w:t xml:space="preserve"> Microbiol</w:t>
      </w:r>
      <w:r w:rsidR="00B55935">
        <w:rPr>
          <w:i/>
          <w:iCs/>
          <w:noProof/>
        </w:rPr>
        <w:t>.,</w:t>
      </w:r>
      <w:r w:rsidRPr="00D6412D">
        <w:rPr>
          <w:i/>
          <w:noProof/>
        </w:rPr>
        <w:t xml:space="preserve"> </w:t>
      </w:r>
      <w:r w:rsidRPr="00C02041">
        <w:rPr>
          <w:iCs/>
          <w:noProof/>
        </w:rPr>
        <w:t>37</w:t>
      </w:r>
      <w:r w:rsidR="00B55935">
        <w:rPr>
          <w:noProof/>
        </w:rPr>
        <w:t>:</w:t>
      </w:r>
      <w:r w:rsidRPr="00D6412D">
        <w:rPr>
          <w:noProof/>
        </w:rPr>
        <w:t xml:space="preserve"> 23</w:t>
      </w:r>
      <w:r w:rsidR="00B55935">
        <w:rPr>
          <w:noProof/>
        </w:rPr>
        <w:t>–</w:t>
      </w:r>
      <w:r w:rsidRPr="00D6412D">
        <w:rPr>
          <w:noProof/>
        </w:rPr>
        <w:t>28.</w:t>
      </w:r>
    </w:p>
    <w:p w14:paraId="2A019B8B" w14:textId="77777777" w:rsidR="00D6412D" w:rsidRPr="00D6412D" w:rsidRDefault="00D6412D">
      <w:pPr>
        <w:pStyle w:val="EndNoteBibliography"/>
        <w:rPr>
          <w:noProof/>
        </w:rPr>
      </w:pPr>
      <w:r w:rsidRPr="00D6412D">
        <w:rPr>
          <w:b/>
          <w:noProof/>
        </w:rPr>
        <w:t>McCann, H.C., Rikkerink, E.H.A., Bertels, F., Fiers, M., Lu, A., Rees-George, J., Andersen, M.T., Gleave, A.P., Haubold, B., Wohlers, M.W.</w:t>
      </w:r>
      <w:r w:rsidRPr="00D6412D">
        <w:rPr>
          <w:b/>
          <w:i/>
          <w:noProof/>
        </w:rPr>
        <w:t>, et al.</w:t>
      </w:r>
      <w:r w:rsidRPr="00D6412D">
        <w:rPr>
          <w:noProof/>
        </w:rPr>
        <w:t xml:space="preserve"> 2013. Genomic analysis of the kiwifruit pathogen Pseudomonas syringae pv. actinidiae provides insight into the origins of an emergent plant disease. </w:t>
      </w:r>
      <w:r w:rsidRPr="00C02041">
        <w:rPr>
          <w:i/>
          <w:iCs/>
          <w:noProof/>
        </w:rPr>
        <w:t>PLOS Path</w:t>
      </w:r>
      <w:r w:rsidR="00B55935">
        <w:rPr>
          <w:i/>
          <w:noProof/>
        </w:rPr>
        <w:t>.,</w:t>
      </w:r>
      <w:r w:rsidRPr="00D6412D">
        <w:rPr>
          <w:i/>
          <w:noProof/>
        </w:rPr>
        <w:t xml:space="preserve"> </w:t>
      </w:r>
      <w:r w:rsidRPr="00C02041">
        <w:rPr>
          <w:iCs/>
          <w:noProof/>
        </w:rPr>
        <w:t>9</w:t>
      </w:r>
      <w:r w:rsidR="00B55935">
        <w:rPr>
          <w:noProof/>
        </w:rPr>
        <w:t>:</w:t>
      </w:r>
      <w:r w:rsidRPr="00D6412D">
        <w:rPr>
          <w:noProof/>
        </w:rPr>
        <w:t xml:space="preserve"> e1003503.</w:t>
      </w:r>
    </w:p>
    <w:p w14:paraId="1AB8F219" w14:textId="77777777" w:rsidR="00B55935" w:rsidRPr="00D6412D" w:rsidRDefault="00D6412D" w:rsidP="00B55935">
      <w:pPr>
        <w:pStyle w:val="EndNoteBibliography"/>
        <w:rPr>
          <w:noProof/>
        </w:rPr>
      </w:pPr>
      <w:r w:rsidRPr="00D6412D">
        <w:rPr>
          <w:b/>
          <w:noProof/>
        </w:rPr>
        <w:t>McSweeney, C.</w:t>
      </w:r>
      <w:r w:rsidR="00B55935">
        <w:rPr>
          <w:b/>
          <w:noProof/>
        </w:rPr>
        <w:t xml:space="preserve"> &amp;</w:t>
      </w:r>
      <w:r w:rsidRPr="00D6412D">
        <w:rPr>
          <w:b/>
          <w:noProof/>
        </w:rPr>
        <w:t xml:space="preserve"> Mackie, R.</w:t>
      </w:r>
      <w:r w:rsidRPr="00D6412D">
        <w:rPr>
          <w:noProof/>
        </w:rPr>
        <w:t xml:space="preserve"> 2012. </w:t>
      </w:r>
      <w:r w:rsidRPr="00C02041">
        <w:rPr>
          <w:i/>
          <w:iCs/>
          <w:noProof/>
        </w:rPr>
        <w:t>Micro-organisms and ruminant digestion: state of knowledge, trends and future prospects</w:t>
      </w:r>
      <w:r w:rsidRPr="00D6412D">
        <w:rPr>
          <w:noProof/>
        </w:rPr>
        <w:t xml:space="preserve">. Background Study Paper </w:t>
      </w:r>
      <w:r w:rsidR="00B55935">
        <w:rPr>
          <w:noProof/>
        </w:rPr>
        <w:t>no. 61.</w:t>
      </w:r>
      <w:r w:rsidRPr="00D6412D">
        <w:rPr>
          <w:noProof/>
        </w:rPr>
        <w:t xml:space="preserve"> </w:t>
      </w:r>
      <w:r w:rsidR="00B55935" w:rsidRPr="00D6412D">
        <w:rPr>
          <w:noProof/>
        </w:rPr>
        <w:t>Commission on Genetic Resources for Food and Agriculture</w:t>
      </w:r>
      <w:r w:rsidR="00B55935">
        <w:rPr>
          <w:noProof/>
        </w:rPr>
        <w:t xml:space="preserve">. </w:t>
      </w:r>
      <w:r w:rsidR="00B55935" w:rsidRPr="00D6412D">
        <w:rPr>
          <w:noProof/>
        </w:rPr>
        <w:t>Rome</w:t>
      </w:r>
      <w:r w:rsidR="00B55935">
        <w:rPr>
          <w:noProof/>
        </w:rPr>
        <w:t>,</w:t>
      </w:r>
      <w:r w:rsidR="00B55935" w:rsidRPr="00D6412D">
        <w:rPr>
          <w:noProof/>
        </w:rPr>
        <w:t xml:space="preserve"> FAO</w:t>
      </w:r>
      <w:r w:rsidR="00B55935">
        <w:rPr>
          <w:noProof/>
        </w:rPr>
        <w:t>.</w:t>
      </w:r>
    </w:p>
    <w:p w14:paraId="442C7150" w14:textId="77777777" w:rsidR="00D6412D" w:rsidRPr="00D6412D" w:rsidRDefault="00D6412D">
      <w:pPr>
        <w:pStyle w:val="EndNoteBibliography"/>
        <w:rPr>
          <w:noProof/>
        </w:rPr>
      </w:pPr>
      <w:r w:rsidRPr="00D6412D">
        <w:rPr>
          <w:b/>
          <w:noProof/>
        </w:rPr>
        <w:t>Mdladla, K., Dzomba, E.F.</w:t>
      </w:r>
      <w:r w:rsidR="00B55935">
        <w:rPr>
          <w:b/>
          <w:noProof/>
        </w:rPr>
        <w:t xml:space="preserve"> &amp;</w:t>
      </w:r>
      <w:r w:rsidRPr="00D6412D">
        <w:rPr>
          <w:b/>
          <w:noProof/>
        </w:rPr>
        <w:t xml:space="preserve"> Muchadeyi, F.C.</w:t>
      </w:r>
      <w:r w:rsidRPr="00D6412D">
        <w:rPr>
          <w:noProof/>
        </w:rPr>
        <w:t xml:space="preserve"> 2017. The potential of landscape genomics approach in the characterization of adaptive genetic diversity in indigenous goat genetic resources: a South African perspective. </w:t>
      </w:r>
      <w:r w:rsidRPr="00C02041">
        <w:rPr>
          <w:i/>
          <w:iCs/>
          <w:noProof/>
        </w:rPr>
        <w:t>Small Rumin</w:t>
      </w:r>
      <w:r w:rsidR="00B55935">
        <w:rPr>
          <w:i/>
          <w:iCs/>
          <w:noProof/>
        </w:rPr>
        <w:t>.</w:t>
      </w:r>
      <w:r w:rsidRPr="00C02041">
        <w:rPr>
          <w:i/>
          <w:iCs/>
          <w:noProof/>
        </w:rPr>
        <w:t xml:space="preserve"> Res</w:t>
      </w:r>
      <w:r w:rsidR="00B55935">
        <w:rPr>
          <w:i/>
          <w:iCs/>
          <w:noProof/>
        </w:rPr>
        <w:t>.,</w:t>
      </w:r>
      <w:r w:rsidRPr="00381F8F">
        <w:rPr>
          <w:i/>
          <w:iCs/>
          <w:noProof/>
        </w:rPr>
        <w:t xml:space="preserve"> </w:t>
      </w:r>
      <w:r w:rsidRPr="00C02041">
        <w:rPr>
          <w:iCs/>
          <w:noProof/>
        </w:rPr>
        <w:t>150</w:t>
      </w:r>
      <w:r w:rsidR="00B55935">
        <w:rPr>
          <w:noProof/>
        </w:rPr>
        <w:t>:</w:t>
      </w:r>
      <w:r w:rsidRPr="00D6412D">
        <w:rPr>
          <w:noProof/>
        </w:rPr>
        <w:t xml:space="preserve"> 87</w:t>
      </w:r>
      <w:r w:rsidR="00B55935">
        <w:rPr>
          <w:noProof/>
        </w:rPr>
        <w:t>–</w:t>
      </w:r>
      <w:r w:rsidRPr="00D6412D">
        <w:rPr>
          <w:noProof/>
        </w:rPr>
        <w:t>92.</w:t>
      </w:r>
    </w:p>
    <w:p w14:paraId="7803E7CB" w14:textId="77777777" w:rsidR="00D6412D" w:rsidRPr="00D6412D" w:rsidRDefault="00D6412D">
      <w:pPr>
        <w:pStyle w:val="EndNoteBibliography"/>
        <w:rPr>
          <w:noProof/>
        </w:rPr>
      </w:pPr>
      <w:r w:rsidRPr="00D6412D">
        <w:rPr>
          <w:b/>
          <w:noProof/>
        </w:rPr>
        <w:t>MIBBI</w:t>
      </w:r>
      <w:r w:rsidRPr="00D6412D">
        <w:rPr>
          <w:noProof/>
        </w:rPr>
        <w:t xml:space="preserve">. </w:t>
      </w:r>
      <w:r w:rsidRPr="002C26BB">
        <w:rPr>
          <w:rStyle w:val="Hyperlink"/>
          <w:noProof/>
          <w:sz w:val="24"/>
        </w:rPr>
        <w:t>http://mibbi.sourceforge.net/foundry.shtml</w:t>
      </w:r>
      <w:r w:rsidRPr="00D6412D">
        <w:rPr>
          <w:noProof/>
        </w:rPr>
        <w:t>. Access</w:t>
      </w:r>
      <w:r w:rsidR="00B55935">
        <w:rPr>
          <w:noProof/>
        </w:rPr>
        <w:t>ed</w:t>
      </w:r>
      <w:r w:rsidRPr="00D6412D">
        <w:rPr>
          <w:noProof/>
        </w:rPr>
        <w:t xml:space="preserve"> 7 December 2017</w:t>
      </w:r>
      <w:r w:rsidR="00B55935">
        <w:rPr>
          <w:noProof/>
        </w:rPr>
        <w:t>.</w:t>
      </w:r>
    </w:p>
    <w:p w14:paraId="48E05FDD" w14:textId="77777777" w:rsidR="00D6412D" w:rsidRPr="00C02041" w:rsidRDefault="00D6412D">
      <w:pPr>
        <w:pStyle w:val="EndNoteBibliography"/>
        <w:rPr>
          <w:noProof/>
          <w:lang w:val="es-ES"/>
        </w:rPr>
      </w:pPr>
      <w:r w:rsidRPr="00D6412D">
        <w:rPr>
          <w:b/>
          <w:noProof/>
        </w:rPr>
        <w:t>Mogren, C.L.</w:t>
      </w:r>
      <w:r w:rsidR="00B55935">
        <w:rPr>
          <w:b/>
          <w:noProof/>
        </w:rPr>
        <w:t xml:space="preserve"> &amp;</w:t>
      </w:r>
      <w:r w:rsidRPr="00D6412D">
        <w:rPr>
          <w:b/>
          <w:noProof/>
        </w:rPr>
        <w:t xml:space="preserve"> Lundgren, J.G.</w:t>
      </w:r>
      <w:r w:rsidRPr="00D6412D">
        <w:rPr>
          <w:noProof/>
        </w:rPr>
        <w:t xml:space="preserve"> 2017. In silico identification of off-target pesticidal dsRNA binding in honey bees (</w:t>
      </w:r>
      <w:r w:rsidRPr="00C02041">
        <w:rPr>
          <w:i/>
          <w:iCs/>
          <w:noProof/>
        </w:rPr>
        <w:t>Apis mellifera</w:t>
      </w:r>
      <w:r w:rsidRPr="00D6412D">
        <w:rPr>
          <w:noProof/>
        </w:rPr>
        <w:t xml:space="preserve">). </w:t>
      </w:r>
      <w:r w:rsidRPr="00C02041">
        <w:rPr>
          <w:i/>
          <w:iCs/>
          <w:noProof/>
          <w:lang w:val="es-ES"/>
        </w:rPr>
        <w:t>PeerJ</w:t>
      </w:r>
      <w:r w:rsidR="00B55935" w:rsidRPr="00C02041">
        <w:rPr>
          <w:i/>
          <w:iCs/>
          <w:noProof/>
          <w:lang w:val="es-ES"/>
        </w:rPr>
        <w:t>.,</w:t>
      </w:r>
      <w:r w:rsidRPr="00C02041">
        <w:rPr>
          <w:i/>
          <w:iCs/>
          <w:noProof/>
          <w:lang w:val="es-ES"/>
        </w:rPr>
        <w:t xml:space="preserve"> </w:t>
      </w:r>
      <w:r w:rsidRPr="00C02041">
        <w:rPr>
          <w:iCs/>
          <w:noProof/>
          <w:lang w:val="es-ES"/>
        </w:rPr>
        <w:t>5</w:t>
      </w:r>
      <w:r w:rsidR="00B55935" w:rsidRPr="00C02041">
        <w:rPr>
          <w:noProof/>
          <w:lang w:val="es-ES"/>
        </w:rPr>
        <w:t>:</w:t>
      </w:r>
      <w:r w:rsidRPr="00C02041">
        <w:rPr>
          <w:noProof/>
          <w:lang w:val="es-ES"/>
        </w:rPr>
        <w:t xml:space="preserve"> e4131.</w:t>
      </w:r>
    </w:p>
    <w:p w14:paraId="62CA8AB5" w14:textId="77777777" w:rsidR="00D6412D" w:rsidRPr="00D6412D" w:rsidRDefault="00D6412D">
      <w:pPr>
        <w:pStyle w:val="EndNoteBibliography"/>
        <w:rPr>
          <w:noProof/>
        </w:rPr>
      </w:pPr>
      <w:r w:rsidRPr="00C02041">
        <w:rPr>
          <w:b/>
          <w:noProof/>
          <w:lang w:val="es-ES"/>
        </w:rPr>
        <w:t>Moncada, M.D.P., Tovar, E., Montoya, J.C., González, A., Spindel, J.</w:t>
      </w:r>
      <w:r w:rsidR="00B55935" w:rsidRPr="00C02041">
        <w:rPr>
          <w:b/>
          <w:noProof/>
          <w:lang w:val="es-ES"/>
        </w:rPr>
        <w:t xml:space="preserve"> </w:t>
      </w:r>
      <w:r w:rsidR="00B55935" w:rsidRPr="0012061B">
        <w:rPr>
          <w:b/>
          <w:noProof/>
          <w:lang w:val="es-AR"/>
        </w:rPr>
        <w:t>&amp;</w:t>
      </w:r>
      <w:r w:rsidRPr="0012061B">
        <w:rPr>
          <w:b/>
          <w:noProof/>
          <w:lang w:val="es-AR"/>
        </w:rPr>
        <w:t xml:space="preserve"> McCouch, S.</w:t>
      </w:r>
      <w:r w:rsidRPr="0012061B">
        <w:rPr>
          <w:noProof/>
          <w:lang w:val="es-AR"/>
        </w:rPr>
        <w:t xml:space="preserve"> 2015. </w:t>
      </w:r>
      <w:r w:rsidRPr="00D6412D">
        <w:rPr>
          <w:noProof/>
        </w:rPr>
        <w:t>A genetic linkage map of coffee (</w:t>
      </w:r>
      <w:r w:rsidRPr="00C02041">
        <w:rPr>
          <w:i/>
          <w:iCs/>
          <w:noProof/>
        </w:rPr>
        <w:t>Coffea arabica</w:t>
      </w:r>
      <w:r w:rsidRPr="00D6412D">
        <w:rPr>
          <w:noProof/>
        </w:rPr>
        <w:t xml:space="preserve"> L.) and QTL for yield, plant height, and bean size. </w:t>
      </w:r>
      <w:r w:rsidRPr="00C02041">
        <w:rPr>
          <w:i/>
          <w:iCs/>
          <w:noProof/>
        </w:rPr>
        <w:t>Tree Genet</w:t>
      </w:r>
      <w:r w:rsidR="00B55935">
        <w:rPr>
          <w:i/>
          <w:iCs/>
          <w:noProof/>
        </w:rPr>
        <w:t>.</w:t>
      </w:r>
      <w:r w:rsidRPr="00C02041">
        <w:rPr>
          <w:i/>
          <w:iCs/>
          <w:noProof/>
        </w:rPr>
        <w:t xml:space="preserve"> Genome</w:t>
      </w:r>
      <w:r w:rsidR="00B55935">
        <w:rPr>
          <w:i/>
          <w:iCs/>
          <w:noProof/>
        </w:rPr>
        <w:t>,</w:t>
      </w:r>
      <w:r w:rsidRPr="00D6412D">
        <w:rPr>
          <w:i/>
          <w:noProof/>
        </w:rPr>
        <w:t xml:space="preserve"> </w:t>
      </w:r>
      <w:r w:rsidRPr="00C02041">
        <w:rPr>
          <w:iCs/>
          <w:noProof/>
        </w:rPr>
        <w:t>12</w:t>
      </w:r>
      <w:r w:rsidR="00B55935">
        <w:rPr>
          <w:noProof/>
        </w:rPr>
        <w:t>:</w:t>
      </w:r>
      <w:r w:rsidRPr="00D6412D">
        <w:rPr>
          <w:noProof/>
        </w:rPr>
        <w:t xml:space="preserve"> 5.</w:t>
      </w:r>
    </w:p>
    <w:p w14:paraId="0F383166" w14:textId="77777777" w:rsidR="00D6412D" w:rsidRPr="00D6412D" w:rsidRDefault="00D6412D">
      <w:pPr>
        <w:pStyle w:val="EndNoteBibliography"/>
        <w:rPr>
          <w:noProof/>
        </w:rPr>
      </w:pPr>
      <w:r w:rsidRPr="00D6412D">
        <w:rPr>
          <w:b/>
          <w:noProof/>
        </w:rPr>
        <w:t>Moore, A.</w:t>
      </w:r>
      <w:r w:rsidRPr="00D6412D">
        <w:rPr>
          <w:noProof/>
        </w:rPr>
        <w:t xml:space="preserve"> 2000. Owning genetic information and gene enhancement techniques: why privacy and property rights may undermine social control of the human genome.</w:t>
      </w:r>
      <w:r w:rsidRPr="00C02041">
        <w:rPr>
          <w:i/>
          <w:iCs/>
          <w:noProof/>
        </w:rPr>
        <w:t xml:space="preserve"> Bioethics</w:t>
      </w:r>
      <w:r w:rsidR="00B55935">
        <w:rPr>
          <w:i/>
          <w:noProof/>
        </w:rPr>
        <w:t>,</w:t>
      </w:r>
      <w:r w:rsidRPr="00D6412D">
        <w:rPr>
          <w:i/>
          <w:noProof/>
        </w:rPr>
        <w:t xml:space="preserve"> </w:t>
      </w:r>
      <w:r w:rsidRPr="00C02041">
        <w:rPr>
          <w:iCs/>
          <w:noProof/>
        </w:rPr>
        <w:t>14</w:t>
      </w:r>
      <w:r w:rsidR="00B55935">
        <w:rPr>
          <w:noProof/>
        </w:rPr>
        <w:t>:</w:t>
      </w:r>
      <w:r w:rsidRPr="00D6412D">
        <w:rPr>
          <w:noProof/>
        </w:rPr>
        <w:t xml:space="preserve"> 97</w:t>
      </w:r>
      <w:r w:rsidR="00B55935">
        <w:rPr>
          <w:noProof/>
        </w:rPr>
        <w:t>–</w:t>
      </w:r>
      <w:r w:rsidRPr="00D6412D">
        <w:rPr>
          <w:noProof/>
        </w:rPr>
        <w:t>119.</w:t>
      </w:r>
    </w:p>
    <w:p w14:paraId="79CBE241" w14:textId="77777777" w:rsidR="00D6412D" w:rsidRPr="00D6412D" w:rsidRDefault="00D6412D">
      <w:pPr>
        <w:pStyle w:val="EndNoteBibliography"/>
        <w:rPr>
          <w:noProof/>
        </w:rPr>
      </w:pPr>
      <w:r w:rsidRPr="00D6412D">
        <w:rPr>
          <w:b/>
          <w:noProof/>
        </w:rPr>
        <w:t>Morimoto, J., Simpson, S.J.</w:t>
      </w:r>
      <w:r w:rsidR="00B55935">
        <w:rPr>
          <w:b/>
          <w:noProof/>
        </w:rPr>
        <w:t xml:space="preserve"> &amp;</w:t>
      </w:r>
      <w:r w:rsidRPr="00D6412D">
        <w:rPr>
          <w:b/>
          <w:noProof/>
        </w:rPr>
        <w:t xml:space="preserve"> Ponton, F.</w:t>
      </w:r>
      <w:r w:rsidRPr="00D6412D">
        <w:rPr>
          <w:noProof/>
        </w:rPr>
        <w:t xml:space="preserve"> 2017. Direct and trans-generational effects of male and female gut microbiota in Drosophila melanogaster. </w:t>
      </w:r>
      <w:r w:rsidRPr="00C02041">
        <w:rPr>
          <w:i/>
          <w:iCs/>
          <w:noProof/>
        </w:rPr>
        <w:t>Biol</w:t>
      </w:r>
      <w:r w:rsidR="00B55935">
        <w:rPr>
          <w:i/>
          <w:iCs/>
          <w:noProof/>
        </w:rPr>
        <w:t>.</w:t>
      </w:r>
      <w:r w:rsidRPr="00C02041">
        <w:rPr>
          <w:i/>
          <w:iCs/>
          <w:noProof/>
        </w:rPr>
        <w:t xml:space="preserve"> Lett</w:t>
      </w:r>
      <w:r w:rsidR="00B55935">
        <w:rPr>
          <w:i/>
          <w:noProof/>
        </w:rPr>
        <w:t>.,</w:t>
      </w:r>
      <w:r w:rsidRPr="00D6412D">
        <w:rPr>
          <w:i/>
          <w:noProof/>
        </w:rPr>
        <w:t xml:space="preserve"> </w:t>
      </w:r>
      <w:r w:rsidRPr="00C02041">
        <w:rPr>
          <w:iCs/>
          <w:noProof/>
        </w:rPr>
        <w:t>13</w:t>
      </w:r>
      <w:r w:rsidR="00B55935">
        <w:rPr>
          <w:noProof/>
        </w:rPr>
        <w:t>:</w:t>
      </w:r>
      <w:r w:rsidRPr="00D6412D">
        <w:rPr>
          <w:noProof/>
        </w:rPr>
        <w:t xml:space="preserve"> 20160966.</w:t>
      </w:r>
    </w:p>
    <w:p w14:paraId="1DB3CD67" w14:textId="77777777" w:rsidR="00D6412D" w:rsidRPr="00D6412D" w:rsidRDefault="00D6412D">
      <w:pPr>
        <w:pStyle w:val="EndNoteBibliography"/>
        <w:rPr>
          <w:noProof/>
        </w:rPr>
      </w:pPr>
      <w:r w:rsidRPr="00D6412D">
        <w:rPr>
          <w:b/>
          <w:noProof/>
        </w:rPr>
        <w:t>Morin, P.A., Parsons, K.M., Archer, F.I., Ávila-Arcos, M.C., Barrett-Lennard, L.G., Dalla Rosa, L., Duchêne, S., Durban, J.W., Ellis, G.M., Ferguson, S.H.</w:t>
      </w:r>
      <w:r w:rsidRPr="00D6412D">
        <w:rPr>
          <w:b/>
          <w:i/>
          <w:noProof/>
        </w:rPr>
        <w:t>, et al.</w:t>
      </w:r>
      <w:r w:rsidRPr="00D6412D">
        <w:rPr>
          <w:noProof/>
        </w:rPr>
        <w:t xml:space="preserve"> 2015. Geographic and temporal dynamics of a global radiation and diversification in the killer whale. </w:t>
      </w:r>
      <w:r w:rsidRPr="00C02041">
        <w:rPr>
          <w:i/>
          <w:iCs/>
          <w:noProof/>
        </w:rPr>
        <w:t>Mol</w:t>
      </w:r>
      <w:r w:rsidR="00B55935">
        <w:rPr>
          <w:i/>
          <w:iCs/>
          <w:noProof/>
        </w:rPr>
        <w:t>.</w:t>
      </w:r>
      <w:r w:rsidRPr="00C02041">
        <w:rPr>
          <w:i/>
          <w:iCs/>
          <w:noProof/>
        </w:rPr>
        <w:t xml:space="preserve"> Ecol</w:t>
      </w:r>
      <w:r w:rsidR="00B55935">
        <w:rPr>
          <w:i/>
          <w:iCs/>
          <w:noProof/>
        </w:rPr>
        <w:t>.,</w:t>
      </w:r>
      <w:r w:rsidRPr="00D6412D">
        <w:rPr>
          <w:i/>
          <w:noProof/>
        </w:rPr>
        <w:t xml:space="preserve"> </w:t>
      </w:r>
      <w:r w:rsidRPr="00C02041">
        <w:rPr>
          <w:iCs/>
          <w:noProof/>
        </w:rPr>
        <w:t>24</w:t>
      </w:r>
      <w:r w:rsidR="00B55935">
        <w:rPr>
          <w:noProof/>
        </w:rPr>
        <w:t>:</w:t>
      </w:r>
      <w:r w:rsidRPr="00D6412D">
        <w:rPr>
          <w:noProof/>
        </w:rPr>
        <w:t xml:space="preserve"> 3964</w:t>
      </w:r>
      <w:r w:rsidR="00B55935">
        <w:rPr>
          <w:noProof/>
        </w:rPr>
        <w:t>–</w:t>
      </w:r>
      <w:r w:rsidRPr="00D6412D">
        <w:rPr>
          <w:noProof/>
        </w:rPr>
        <w:t>3979.</w:t>
      </w:r>
    </w:p>
    <w:p w14:paraId="15DBB094" w14:textId="77777777" w:rsidR="00D6412D" w:rsidRPr="00D6412D" w:rsidRDefault="00D6412D">
      <w:pPr>
        <w:pStyle w:val="EndNoteBibliography"/>
        <w:rPr>
          <w:noProof/>
        </w:rPr>
      </w:pPr>
      <w:r w:rsidRPr="00D6412D">
        <w:rPr>
          <w:b/>
          <w:noProof/>
        </w:rPr>
        <w:lastRenderedPageBreak/>
        <w:t>Moriya, Y., Yamada, T., Okuda, S., Nakagawa, Z., Kotera, M., Tokimatsu, T., Kanehisa, M.</w:t>
      </w:r>
      <w:r w:rsidR="00B55935">
        <w:rPr>
          <w:b/>
          <w:noProof/>
        </w:rPr>
        <w:t xml:space="preserve"> &amp;</w:t>
      </w:r>
      <w:r w:rsidRPr="00D6412D">
        <w:rPr>
          <w:b/>
          <w:noProof/>
        </w:rPr>
        <w:t xml:space="preserve"> Goto, S.</w:t>
      </w:r>
      <w:r w:rsidRPr="00D6412D">
        <w:rPr>
          <w:noProof/>
        </w:rPr>
        <w:t xml:space="preserve"> 2016. Identification of Enzyme Genes Using Chemical Structure Alignments of Substrate–Product Pairs. </w:t>
      </w:r>
      <w:r w:rsidRPr="00C02041">
        <w:rPr>
          <w:i/>
          <w:iCs/>
          <w:noProof/>
        </w:rPr>
        <w:t>J</w:t>
      </w:r>
      <w:r w:rsidR="00B55935">
        <w:rPr>
          <w:i/>
          <w:iCs/>
          <w:noProof/>
        </w:rPr>
        <w:t>.</w:t>
      </w:r>
      <w:r w:rsidRPr="00C02041">
        <w:rPr>
          <w:i/>
          <w:iCs/>
          <w:noProof/>
        </w:rPr>
        <w:t xml:space="preserve"> Chem</w:t>
      </w:r>
      <w:r w:rsidR="00B55935">
        <w:rPr>
          <w:i/>
          <w:iCs/>
          <w:noProof/>
        </w:rPr>
        <w:t>.</w:t>
      </w:r>
      <w:r w:rsidRPr="00C02041">
        <w:rPr>
          <w:i/>
          <w:iCs/>
          <w:noProof/>
        </w:rPr>
        <w:t xml:space="preserve"> Inf</w:t>
      </w:r>
      <w:r w:rsidR="00B55935">
        <w:rPr>
          <w:i/>
          <w:iCs/>
          <w:noProof/>
        </w:rPr>
        <w:t>.</w:t>
      </w:r>
      <w:r w:rsidRPr="00C02041">
        <w:rPr>
          <w:i/>
          <w:iCs/>
          <w:noProof/>
        </w:rPr>
        <w:t xml:space="preserve"> Model</w:t>
      </w:r>
      <w:r w:rsidR="00B55935">
        <w:rPr>
          <w:i/>
          <w:iCs/>
          <w:noProof/>
        </w:rPr>
        <w:t>,</w:t>
      </w:r>
      <w:r w:rsidRPr="00D6412D">
        <w:rPr>
          <w:i/>
          <w:noProof/>
        </w:rPr>
        <w:t xml:space="preserve"> </w:t>
      </w:r>
      <w:r w:rsidRPr="00C02041">
        <w:rPr>
          <w:iCs/>
          <w:noProof/>
        </w:rPr>
        <w:t>56</w:t>
      </w:r>
      <w:r w:rsidR="00B55935">
        <w:rPr>
          <w:noProof/>
        </w:rPr>
        <w:t>:</w:t>
      </w:r>
      <w:r w:rsidRPr="00D6412D">
        <w:rPr>
          <w:noProof/>
        </w:rPr>
        <w:t xml:space="preserve"> 510</w:t>
      </w:r>
      <w:r w:rsidR="00B55935">
        <w:rPr>
          <w:noProof/>
        </w:rPr>
        <w:t>–</w:t>
      </w:r>
      <w:r w:rsidRPr="00D6412D">
        <w:rPr>
          <w:noProof/>
        </w:rPr>
        <w:t>516.</w:t>
      </w:r>
    </w:p>
    <w:p w14:paraId="2811CE2C" w14:textId="77777777" w:rsidR="00D6412D" w:rsidRPr="00D6412D" w:rsidRDefault="00D6412D">
      <w:pPr>
        <w:pStyle w:val="EndNoteBibliography"/>
        <w:rPr>
          <w:noProof/>
        </w:rPr>
      </w:pPr>
      <w:r w:rsidRPr="00D6412D">
        <w:rPr>
          <w:b/>
          <w:noProof/>
        </w:rPr>
        <w:t>Motta, E.V.S., Raymann, K.</w:t>
      </w:r>
      <w:r w:rsidR="00B55935">
        <w:rPr>
          <w:b/>
          <w:noProof/>
        </w:rPr>
        <w:t xml:space="preserve"> &amp;</w:t>
      </w:r>
      <w:r w:rsidRPr="00D6412D">
        <w:rPr>
          <w:b/>
          <w:noProof/>
        </w:rPr>
        <w:t xml:space="preserve"> Moran, N.A.</w:t>
      </w:r>
      <w:r w:rsidRPr="00D6412D">
        <w:rPr>
          <w:noProof/>
        </w:rPr>
        <w:t xml:space="preserve"> 2018. Glyphosate perturbs the gut microbiota of honey bees. </w:t>
      </w:r>
      <w:r w:rsidRPr="00C02041">
        <w:rPr>
          <w:i/>
          <w:iCs/>
          <w:noProof/>
        </w:rPr>
        <w:t>Proc</w:t>
      </w:r>
      <w:r w:rsidR="00B55935">
        <w:rPr>
          <w:i/>
          <w:iCs/>
          <w:noProof/>
        </w:rPr>
        <w:t>.</w:t>
      </w:r>
      <w:r w:rsidRPr="00C02041">
        <w:rPr>
          <w:i/>
          <w:iCs/>
          <w:noProof/>
        </w:rPr>
        <w:t xml:space="preserve"> Natl</w:t>
      </w:r>
      <w:r w:rsidR="00B55935">
        <w:rPr>
          <w:i/>
          <w:iCs/>
          <w:noProof/>
        </w:rPr>
        <w:t>.</w:t>
      </w:r>
      <w:r w:rsidRPr="00C02041">
        <w:rPr>
          <w:i/>
          <w:iCs/>
          <w:noProof/>
        </w:rPr>
        <w:t xml:space="preserve"> Acad</w:t>
      </w:r>
      <w:r w:rsidR="00B55935">
        <w:rPr>
          <w:i/>
          <w:iCs/>
          <w:noProof/>
        </w:rPr>
        <w:t>.</w:t>
      </w:r>
      <w:r w:rsidRPr="00C02041">
        <w:rPr>
          <w:i/>
          <w:iCs/>
          <w:noProof/>
        </w:rPr>
        <w:t xml:space="preserve"> Sci</w:t>
      </w:r>
      <w:r w:rsidR="00B55935">
        <w:rPr>
          <w:i/>
          <w:iCs/>
          <w:noProof/>
        </w:rPr>
        <w:t>.</w:t>
      </w:r>
      <w:r w:rsidRPr="00C02041">
        <w:rPr>
          <w:i/>
          <w:iCs/>
          <w:noProof/>
        </w:rPr>
        <w:t xml:space="preserve"> USA</w:t>
      </w:r>
      <w:r w:rsidR="00B55935">
        <w:rPr>
          <w:noProof/>
        </w:rPr>
        <w:t xml:space="preserve">, </w:t>
      </w:r>
      <w:r w:rsidR="00B55935" w:rsidRPr="00B55935">
        <w:rPr>
          <w:noProof/>
        </w:rPr>
        <w:t>115(41)</w:t>
      </w:r>
      <w:r w:rsidR="00B55935">
        <w:rPr>
          <w:noProof/>
        </w:rPr>
        <w:t xml:space="preserve">: </w:t>
      </w:r>
      <w:r w:rsidR="00B55935" w:rsidRPr="00B55935">
        <w:rPr>
          <w:noProof/>
        </w:rPr>
        <w:t>10305</w:t>
      </w:r>
      <w:r w:rsidR="00B55935">
        <w:rPr>
          <w:noProof/>
        </w:rPr>
        <w:t>–</w:t>
      </w:r>
      <w:r w:rsidR="00B55935" w:rsidRPr="00B55935">
        <w:rPr>
          <w:noProof/>
        </w:rPr>
        <w:t>10310</w:t>
      </w:r>
    </w:p>
    <w:p w14:paraId="4E1F2E7F" w14:textId="77777777" w:rsidR="00D6412D" w:rsidRPr="00D6412D" w:rsidRDefault="00D6412D">
      <w:pPr>
        <w:pStyle w:val="EndNoteBibliography"/>
        <w:rPr>
          <w:noProof/>
        </w:rPr>
      </w:pPr>
      <w:r w:rsidRPr="00D6412D">
        <w:rPr>
          <w:b/>
          <w:noProof/>
        </w:rPr>
        <w:t>Mueller, J.M.</w:t>
      </w:r>
      <w:r w:rsidRPr="00D6412D">
        <w:rPr>
          <w:noProof/>
        </w:rPr>
        <w:t xml:space="preserve"> 2003. Public access versus proprietary rights in genomic information: what is the proper role of intellectual property rights? </w:t>
      </w:r>
      <w:r w:rsidRPr="00C02041">
        <w:rPr>
          <w:i/>
          <w:iCs/>
          <w:noProof/>
        </w:rPr>
        <w:t>J</w:t>
      </w:r>
      <w:r w:rsidR="00B55935">
        <w:rPr>
          <w:i/>
          <w:iCs/>
          <w:noProof/>
        </w:rPr>
        <w:t>.</w:t>
      </w:r>
      <w:r w:rsidRPr="00C02041">
        <w:rPr>
          <w:i/>
          <w:iCs/>
          <w:noProof/>
        </w:rPr>
        <w:t xml:space="preserve"> Health Care L</w:t>
      </w:r>
      <w:r w:rsidR="00B55935">
        <w:rPr>
          <w:i/>
          <w:iCs/>
          <w:noProof/>
        </w:rPr>
        <w:t>.</w:t>
      </w:r>
      <w:r w:rsidRPr="00C02041">
        <w:rPr>
          <w:i/>
          <w:iCs/>
          <w:noProof/>
        </w:rPr>
        <w:t xml:space="preserve"> &amp; Pol'y</w:t>
      </w:r>
      <w:r w:rsidR="00B55935">
        <w:rPr>
          <w:i/>
          <w:iCs/>
          <w:noProof/>
        </w:rPr>
        <w:t>.,</w:t>
      </w:r>
      <w:r w:rsidRPr="00381F8F">
        <w:rPr>
          <w:i/>
          <w:iCs/>
          <w:noProof/>
        </w:rPr>
        <w:t xml:space="preserve"> </w:t>
      </w:r>
      <w:r w:rsidRPr="00C02041">
        <w:rPr>
          <w:iCs/>
          <w:noProof/>
        </w:rPr>
        <w:t>222</w:t>
      </w:r>
      <w:r w:rsidR="00B55935">
        <w:rPr>
          <w:noProof/>
        </w:rPr>
        <w:t>:</w:t>
      </w:r>
      <w:r w:rsidRPr="00D6412D">
        <w:rPr>
          <w:noProof/>
        </w:rPr>
        <w:t xml:space="preserve"> 240.</w:t>
      </w:r>
    </w:p>
    <w:p w14:paraId="1D47A70A" w14:textId="77777777" w:rsidR="00D6412D" w:rsidRPr="00D6412D" w:rsidRDefault="00D6412D">
      <w:pPr>
        <w:pStyle w:val="EndNoteBibliography"/>
        <w:rPr>
          <w:noProof/>
        </w:rPr>
      </w:pPr>
      <w:r w:rsidRPr="00D6412D">
        <w:rPr>
          <w:b/>
          <w:noProof/>
        </w:rPr>
        <w:t>Muller, H.J.</w:t>
      </w:r>
      <w:r w:rsidR="00B55935">
        <w:rPr>
          <w:b/>
          <w:noProof/>
        </w:rPr>
        <w:t>&amp;</w:t>
      </w:r>
      <w:r w:rsidRPr="00D6412D">
        <w:rPr>
          <w:b/>
          <w:noProof/>
        </w:rPr>
        <w:t xml:space="preserve"> Prokofyeva, A.A.</w:t>
      </w:r>
      <w:r w:rsidRPr="00D6412D">
        <w:rPr>
          <w:noProof/>
        </w:rPr>
        <w:t xml:space="preserve"> 1935. The individual gene in relation to the chromomere and the chromosome. </w:t>
      </w:r>
      <w:r w:rsidRPr="00C02041">
        <w:rPr>
          <w:i/>
          <w:iCs/>
          <w:noProof/>
        </w:rPr>
        <w:t>Proc</w:t>
      </w:r>
      <w:r w:rsidR="00B55935">
        <w:rPr>
          <w:i/>
          <w:iCs/>
          <w:noProof/>
        </w:rPr>
        <w:t>.</w:t>
      </w:r>
      <w:r w:rsidRPr="00C02041">
        <w:rPr>
          <w:i/>
          <w:iCs/>
          <w:noProof/>
        </w:rPr>
        <w:t xml:space="preserve"> Natl</w:t>
      </w:r>
      <w:r w:rsidR="00B55935">
        <w:rPr>
          <w:i/>
          <w:iCs/>
          <w:noProof/>
        </w:rPr>
        <w:t>.</w:t>
      </w:r>
      <w:r w:rsidRPr="00C02041">
        <w:rPr>
          <w:i/>
          <w:iCs/>
          <w:noProof/>
        </w:rPr>
        <w:t xml:space="preserve"> Acad</w:t>
      </w:r>
      <w:r w:rsidR="00B55935">
        <w:rPr>
          <w:i/>
          <w:iCs/>
          <w:noProof/>
        </w:rPr>
        <w:t>.</w:t>
      </w:r>
      <w:r w:rsidRPr="00C02041">
        <w:rPr>
          <w:i/>
          <w:iCs/>
          <w:noProof/>
        </w:rPr>
        <w:t xml:space="preserve"> Sci</w:t>
      </w:r>
      <w:r w:rsidR="00B55935">
        <w:rPr>
          <w:i/>
          <w:iCs/>
          <w:noProof/>
        </w:rPr>
        <w:t xml:space="preserve">. </w:t>
      </w:r>
      <w:r w:rsidRPr="00C02041">
        <w:rPr>
          <w:i/>
          <w:iCs/>
          <w:noProof/>
        </w:rPr>
        <w:t>USA</w:t>
      </w:r>
      <w:r w:rsidR="00B55935">
        <w:rPr>
          <w:i/>
          <w:iCs/>
          <w:noProof/>
        </w:rPr>
        <w:t>,</w:t>
      </w:r>
      <w:r w:rsidRPr="00D6412D">
        <w:rPr>
          <w:i/>
          <w:noProof/>
        </w:rPr>
        <w:t xml:space="preserve"> </w:t>
      </w:r>
      <w:r w:rsidRPr="00C02041">
        <w:rPr>
          <w:iCs/>
          <w:noProof/>
        </w:rPr>
        <w:t>21</w:t>
      </w:r>
      <w:r w:rsidR="00B55935">
        <w:rPr>
          <w:noProof/>
        </w:rPr>
        <w:t>:</w:t>
      </w:r>
      <w:r w:rsidRPr="00D6412D">
        <w:rPr>
          <w:noProof/>
        </w:rPr>
        <w:t xml:space="preserve"> 16</w:t>
      </w:r>
      <w:r w:rsidR="00B55935">
        <w:rPr>
          <w:noProof/>
        </w:rPr>
        <w:t>–</w:t>
      </w:r>
      <w:r w:rsidRPr="00D6412D">
        <w:rPr>
          <w:noProof/>
        </w:rPr>
        <w:t>26.</w:t>
      </w:r>
    </w:p>
    <w:p w14:paraId="60DFE97F" w14:textId="77777777" w:rsidR="00D6412D" w:rsidRPr="00D6412D" w:rsidRDefault="00D6412D">
      <w:pPr>
        <w:pStyle w:val="EndNoteBibliography"/>
        <w:rPr>
          <w:noProof/>
        </w:rPr>
      </w:pPr>
      <w:r w:rsidRPr="00D6412D">
        <w:rPr>
          <w:b/>
          <w:noProof/>
        </w:rPr>
        <w:t>NAR</w:t>
      </w:r>
      <w:r w:rsidRPr="00D6412D">
        <w:rPr>
          <w:noProof/>
        </w:rPr>
        <w:t xml:space="preserve">. </w:t>
      </w:r>
      <w:r w:rsidRPr="00C02041">
        <w:rPr>
          <w:i/>
          <w:iCs/>
          <w:noProof/>
        </w:rPr>
        <w:t>NAR Database Summary Paper Alphabetic List</w:t>
      </w:r>
      <w:r w:rsidR="00FD337F">
        <w:rPr>
          <w:noProof/>
        </w:rPr>
        <w:t xml:space="preserve"> (</w:t>
      </w:r>
      <w:r w:rsidR="00FD337F" w:rsidRPr="00FD337F">
        <w:rPr>
          <w:noProof/>
        </w:rPr>
        <w:t>available at</w:t>
      </w:r>
      <w:r w:rsidR="00FD337F">
        <w:rPr>
          <w:noProof/>
        </w:rPr>
        <w:t xml:space="preserve"> </w:t>
      </w:r>
      <w:r w:rsidRPr="002C26BB">
        <w:rPr>
          <w:rStyle w:val="Hyperlink"/>
          <w:noProof/>
          <w:sz w:val="24"/>
        </w:rPr>
        <w:t>http://www.oxfordjournals.org/our_journals/nar/database/a/</w:t>
      </w:r>
      <w:r w:rsidRPr="00D6412D">
        <w:rPr>
          <w:noProof/>
        </w:rPr>
        <w:t xml:space="preserve"> </w:t>
      </w:r>
      <w:r w:rsidR="00FD337F">
        <w:rPr>
          <w:noProof/>
        </w:rPr>
        <w:t>a</w:t>
      </w:r>
      <w:r w:rsidRPr="00D6412D">
        <w:rPr>
          <w:noProof/>
        </w:rPr>
        <w:t>ccess</w:t>
      </w:r>
      <w:r w:rsidR="00FD337F">
        <w:rPr>
          <w:noProof/>
        </w:rPr>
        <w:t>ed</w:t>
      </w:r>
      <w:r w:rsidRPr="00D6412D">
        <w:rPr>
          <w:noProof/>
        </w:rPr>
        <w:t xml:space="preserve"> 28 November 2017</w:t>
      </w:r>
      <w:r w:rsidR="00FD337F">
        <w:rPr>
          <w:noProof/>
        </w:rPr>
        <w:t>).</w:t>
      </w:r>
    </w:p>
    <w:p w14:paraId="090D9631" w14:textId="77777777" w:rsidR="00D6412D" w:rsidRPr="00D6412D" w:rsidRDefault="00D6412D">
      <w:pPr>
        <w:pStyle w:val="EndNoteBibliography"/>
        <w:rPr>
          <w:noProof/>
        </w:rPr>
      </w:pPr>
      <w:r w:rsidRPr="00D6412D">
        <w:rPr>
          <w:b/>
          <w:noProof/>
        </w:rPr>
        <w:t>Navarro, S.X.</w:t>
      </w:r>
      <w:r w:rsidRPr="00D6412D">
        <w:rPr>
          <w:noProof/>
        </w:rPr>
        <w:t xml:space="preserve"> 2014. </w:t>
      </w:r>
      <w:r w:rsidRPr="00C02041">
        <w:rPr>
          <w:i/>
          <w:iCs/>
          <w:noProof/>
        </w:rPr>
        <w:t xml:space="preserve">Methods and Compositions for Weed Control Using EPSPS </w:t>
      </w:r>
      <w:r w:rsidR="0046526E" w:rsidRPr="00C02041">
        <w:rPr>
          <w:i/>
          <w:iCs/>
          <w:noProof/>
        </w:rPr>
        <w:t>polynucleotides</w:t>
      </w:r>
      <w:r w:rsidRPr="00D6412D">
        <w:rPr>
          <w:noProof/>
        </w:rPr>
        <w:t>. WO2015108982A8</w:t>
      </w:r>
      <w:r w:rsidR="0046526E">
        <w:rPr>
          <w:noProof/>
        </w:rPr>
        <w:t xml:space="preserve"> (</w:t>
      </w:r>
      <w:r w:rsidR="0046526E" w:rsidRPr="0046526E">
        <w:rPr>
          <w:noProof/>
        </w:rPr>
        <w:t>available at</w:t>
      </w:r>
      <w:r w:rsidR="0046526E">
        <w:rPr>
          <w:noProof/>
        </w:rPr>
        <w:t xml:space="preserve"> </w:t>
      </w:r>
      <w:r w:rsidRPr="002C26BB">
        <w:rPr>
          <w:rStyle w:val="Hyperlink"/>
          <w:noProof/>
          <w:sz w:val="24"/>
        </w:rPr>
        <w:t>https://patents.google.com/patent/US20160330967A1/en</w:t>
      </w:r>
      <w:r w:rsidR="0046526E">
        <w:rPr>
          <w:rStyle w:val="Hyperlink"/>
          <w:noProof/>
          <w:sz w:val="24"/>
        </w:rPr>
        <w:t>\)</w:t>
      </w:r>
      <w:r w:rsidRPr="00D6412D">
        <w:rPr>
          <w:noProof/>
        </w:rPr>
        <w:t>.</w:t>
      </w:r>
    </w:p>
    <w:p w14:paraId="69477C3D" w14:textId="77777777" w:rsidR="00D6412D" w:rsidRPr="00D6412D" w:rsidRDefault="00D6412D">
      <w:pPr>
        <w:pStyle w:val="EndNoteBibliography"/>
        <w:rPr>
          <w:noProof/>
        </w:rPr>
      </w:pPr>
      <w:r w:rsidRPr="00D6412D">
        <w:rPr>
          <w:b/>
          <w:noProof/>
        </w:rPr>
        <w:t>NCB</w:t>
      </w:r>
      <w:r w:rsidRPr="00D6412D">
        <w:rPr>
          <w:noProof/>
        </w:rPr>
        <w:t xml:space="preserve">. 2016. </w:t>
      </w:r>
      <w:r w:rsidRPr="00C02041">
        <w:rPr>
          <w:i/>
          <w:iCs/>
          <w:noProof/>
        </w:rPr>
        <w:t>Genome editing an ethical review</w:t>
      </w:r>
      <w:r w:rsidRPr="00D6412D">
        <w:rPr>
          <w:noProof/>
        </w:rPr>
        <w:t>. Nuffield Council on Bioethics</w:t>
      </w:r>
      <w:r w:rsidR="0046526E">
        <w:rPr>
          <w:noProof/>
        </w:rPr>
        <w:t>.</w:t>
      </w:r>
    </w:p>
    <w:p w14:paraId="767610F7" w14:textId="77777777" w:rsidR="00D6412D" w:rsidRPr="00D6412D" w:rsidRDefault="00D6412D">
      <w:pPr>
        <w:pStyle w:val="EndNoteBibliography"/>
        <w:rPr>
          <w:noProof/>
        </w:rPr>
      </w:pPr>
      <w:r w:rsidRPr="00D6412D">
        <w:rPr>
          <w:b/>
          <w:noProof/>
        </w:rPr>
        <w:t>Neale, D.B.</w:t>
      </w:r>
      <w:r w:rsidR="0046526E">
        <w:rPr>
          <w:b/>
          <w:noProof/>
        </w:rPr>
        <w:t xml:space="preserve"> &amp;</w:t>
      </w:r>
      <w:r w:rsidRPr="00D6412D">
        <w:rPr>
          <w:b/>
          <w:noProof/>
        </w:rPr>
        <w:t xml:space="preserve"> Kremer, A.</w:t>
      </w:r>
      <w:r w:rsidRPr="00D6412D">
        <w:rPr>
          <w:noProof/>
        </w:rPr>
        <w:t xml:space="preserve"> 2011. Forest tree genomics: growing resources and applications. </w:t>
      </w:r>
      <w:r w:rsidRPr="00C02041">
        <w:rPr>
          <w:i/>
          <w:iCs/>
          <w:noProof/>
        </w:rPr>
        <w:t>Nat</w:t>
      </w:r>
      <w:r w:rsidR="0046526E">
        <w:rPr>
          <w:i/>
          <w:iCs/>
          <w:noProof/>
        </w:rPr>
        <w:t>.</w:t>
      </w:r>
      <w:r w:rsidRPr="00C02041">
        <w:rPr>
          <w:i/>
          <w:iCs/>
          <w:noProof/>
        </w:rPr>
        <w:t xml:space="preserve"> Rev</w:t>
      </w:r>
      <w:r w:rsidR="0046526E">
        <w:rPr>
          <w:i/>
          <w:iCs/>
          <w:noProof/>
        </w:rPr>
        <w:t>.</w:t>
      </w:r>
      <w:r w:rsidRPr="00C02041">
        <w:rPr>
          <w:i/>
          <w:iCs/>
          <w:noProof/>
        </w:rPr>
        <w:t xml:space="preserve"> Genet</w:t>
      </w:r>
      <w:r w:rsidR="0046526E">
        <w:rPr>
          <w:i/>
          <w:iCs/>
          <w:noProof/>
        </w:rPr>
        <w:t>.,</w:t>
      </w:r>
      <w:r w:rsidRPr="00381F8F">
        <w:rPr>
          <w:i/>
          <w:iCs/>
          <w:noProof/>
        </w:rPr>
        <w:t xml:space="preserve"> </w:t>
      </w:r>
      <w:r w:rsidRPr="00C02041">
        <w:rPr>
          <w:iCs/>
          <w:noProof/>
        </w:rPr>
        <w:t>12</w:t>
      </w:r>
      <w:r w:rsidR="0046526E">
        <w:rPr>
          <w:noProof/>
        </w:rPr>
        <w:t>:</w:t>
      </w:r>
      <w:r w:rsidRPr="00D6412D">
        <w:rPr>
          <w:noProof/>
        </w:rPr>
        <w:t xml:space="preserve"> 111.</w:t>
      </w:r>
    </w:p>
    <w:p w14:paraId="2A75C7A5" w14:textId="77777777" w:rsidR="00D6412D" w:rsidRPr="00D6412D" w:rsidRDefault="00D6412D">
      <w:pPr>
        <w:pStyle w:val="EndNoteBibliography"/>
        <w:rPr>
          <w:noProof/>
        </w:rPr>
      </w:pPr>
      <w:r w:rsidRPr="00D6412D">
        <w:rPr>
          <w:b/>
          <w:noProof/>
        </w:rPr>
        <w:t>NEB</w:t>
      </w:r>
      <w:r w:rsidRPr="00D6412D">
        <w:rPr>
          <w:noProof/>
        </w:rPr>
        <w:t xml:space="preserve">. </w:t>
      </w:r>
      <w:r w:rsidRPr="00C02041">
        <w:rPr>
          <w:i/>
          <w:iCs/>
          <w:noProof/>
        </w:rPr>
        <w:t>BioBrick Assembly Kit</w:t>
      </w:r>
      <w:r w:rsidR="0046526E" w:rsidRPr="00C02041">
        <w:rPr>
          <w:i/>
          <w:iCs/>
          <w:noProof/>
        </w:rPr>
        <w:t xml:space="preserve"> </w:t>
      </w:r>
      <w:r w:rsidR="0046526E">
        <w:rPr>
          <w:noProof/>
        </w:rPr>
        <w:t>(</w:t>
      </w:r>
      <w:r w:rsidR="0046526E" w:rsidRPr="0046526E">
        <w:rPr>
          <w:noProof/>
        </w:rPr>
        <w:t>available at</w:t>
      </w:r>
      <w:r w:rsidR="0046526E">
        <w:rPr>
          <w:noProof/>
        </w:rPr>
        <w:t xml:space="preserve"> </w:t>
      </w:r>
      <w:r w:rsidRPr="002C26BB">
        <w:rPr>
          <w:rStyle w:val="Hyperlink"/>
          <w:noProof/>
          <w:sz w:val="24"/>
        </w:rPr>
        <w:t>https://www.neb.com/products/e0546-biobrick-assembly-kit - Product%20Information</w:t>
      </w:r>
      <w:r w:rsidRPr="00D6412D">
        <w:rPr>
          <w:noProof/>
        </w:rPr>
        <w:t xml:space="preserve"> </w:t>
      </w:r>
      <w:r w:rsidR="0046526E">
        <w:rPr>
          <w:noProof/>
        </w:rPr>
        <w:t>a</w:t>
      </w:r>
      <w:r w:rsidRPr="00D6412D">
        <w:rPr>
          <w:noProof/>
        </w:rPr>
        <w:t>ccess</w:t>
      </w:r>
      <w:r w:rsidR="0046526E">
        <w:rPr>
          <w:noProof/>
        </w:rPr>
        <w:t>ed</w:t>
      </w:r>
      <w:r w:rsidRPr="00D6412D">
        <w:rPr>
          <w:noProof/>
        </w:rPr>
        <w:t xml:space="preserve"> 29 November 2017</w:t>
      </w:r>
      <w:r w:rsidR="0046526E">
        <w:rPr>
          <w:noProof/>
        </w:rPr>
        <w:t>).</w:t>
      </w:r>
    </w:p>
    <w:p w14:paraId="0378DEC9" w14:textId="77777777" w:rsidR="00AB3257" w:rsidRPr="00C02041" w:rsidRDefault="00AB3257" w:rsidP="00AB3257">
      <w:pPr>
        <w:pStyle w:val="EndNoteBibliography"/>
        <w:rPr>
          <w:noProof/>
        </w:rPr>
      </w:pPr>
      <w:r w:rsidRPr="003576BC">
        <w:rPr>
          <w:b/>
          <w:noProof/>
        </w:rPr>
        <w:t>Neves, M.P. &amp; Druml, C.</w:t>
      </w:r>
      <w:r w:rsidRPr="003576BC">
        <w:rPr>
          <w:noProof/>
        </w:rPr>
        <w:t xml:space="preserve"> 2017. Ethical implications of fighting malaria with CRISPR/Cas9. </w:t>
      </w:r>
      <w:r w:rsidRPr="006A3DA9">
        <w:rPr>
          <w:i/>
          <w:noProof/>
        </w:rPr>
        <w:t>BMJ Glob. Health</w:t>
      </w:r>
      <w:r w:rsidRPr="003576BC">
        <w:rPr>
          <w:noProof/>
        </w:rPr>
        <w:t>,</w:t>
      </w:r>
      <w:r w:rsidRPr="003576BC">
        <w:rPr>
          <w:i/>
          <w:noProof/>
        </w:rPr>
        <w:t xml:space="preserve"> </w:t>
      </w:r>
      <w:r w:rsidRPr="006A3DA9">
        <w:rPr>
          <w:noProof/>
        </w:rPr>
        <w:t>2</w:t>
      </w:r>
      <w:r w:rsidRPr="003576BC">
        <w:rPr>
          <w:noProof/>
        </w:rPr>
        <w:t>: e000396.</w:t>
      </w:r>
    </w:p>
    <w:p w14:paraId="4F077054" w14:textId="77777777" w:rsidR="00D6412D" w:rsidRPr="00D6412D" w:rsidRDefault="00D6412D" w:rsidP="00D6412D">
      <w:pPr>
        <w:pStyle w:val="EndNoteBibliography"/>
        <w:rPr>
          <w:noProof/>
        </w:rPr>
      </w:pPr>
      <w:r w:rsidRPr="00D6412D">
        <w:rPr>
          <w:b/>
          <w:noProof/>
        </w:rPr>
        <w:t>NIFA-NSF</w:t>
      </w:r>
      <w:r w:rsidRPr="00D6412D">
        <w:rPr>
          <w:noProof/>
        </w:rPr>
        <w:t xml:space="preserve">. 2011. </w:t>
      </w:r>
      <w:r w:rsidRPr="00C02041">
        <w:rPr>
          <w:i/>
          <w:iCs/>
          <w:noProof/>
        </w:rPr>
        <w:t>Phenomics: genotype to phenotype</w:t>
      </w:r>
      <w:r w:rsidRPr="00D6412D">
        <w:rPr>
          <w:noProof/>
        </w:rPr>
        <w:t xml:space="preserve">. USDA and NSF </w:t>
      </w:r>
      <w:r w:rsidR="0046526E">
        <w:rPr>
          <w:noProof/>
        </w:rPr>
        <w:t>(</w:t>
      </w:r>
      <w:r w:rsidR="0046526E" w:rsidRPr="0046526E">
        <w:rPr>
          <w:noProof/>
        </w:rPr>
        <w:t>available at</w:t>
      </w:r>
      <w:r w:rsidRPr="00D6412D">
        <w:rPr>
          <w:noProof/>
        </w:rPr>
        <w:t xml:space="preserve"> </w:t>
      </w:r>
      <w:r w:rsidRPr="002C26BB">
        <w:rPr>
          <w:rStyle w:val="Hyperlink"/>
          <w:noProof/>
          <w:sz w:val="24"/>
        </w:rPr>
        <w:t>https://www.nsf.gov/bio/pubs/reports/phenomics_workshop_report.pdf</w:t>
      </w:r>
      <w:r w:rsidR="0046526E">
        <w:rPr>
          <w:rStyle w:val="Hyperlink"/>
          <w:noProof/>
          <w:sz w:val="24"/>
        </w:rPr>
        <w:t>)</w:t>
      </w:r>
      <w:r w:rsidRPr="00D6412D">
        <w:rPr>
          <w:noProof/>
        </w:rPr>
        <w:t>.</w:t>
      </w:r>
    </w:p>
    <w:p w14:paraId="6B6D1FE7" w14:textId="77777777" w:rsidR="00D6412D" w:rsidRPr="00D6412D" w:rsidRDefault="00D6412D">
      <w:pPr>
        <w:pStyle w:val="EndNoteBibliography"/>
        <w:rPr>
          <w:noProof/>
        </w:rPr>
      </w:pPr>
      <w:r w:rsidRPr="00D6412D">
        <w:rPr>
          <w:b/>
          <w:noProof/>
        </w:rPr>
        <w:t>NIH</w:t>
      </w:r>
      <w:r w:rsidRPr="00D6412D">
        <w:rPr>
          <w:noProof/>
        </w:rPr>
        <w:t xml:space="preserve">. </w:t>
      </w:r>
      <w:r w:rsidRPr="00C02041">
        <w:rPr>
          <w:i/>
          <w:iCs/>
          <w:noProof/>
        </w:rPr>
        <w:t>The Cost of Sequencing a Human Genome</w:t>
      </w:r>
      <w:r w:rsidRPr="00D6412D">
        <w:rPr>
          <w:noProof/>
        </w:rPr>
        <w:t xml:space="preserve"> </w:t>
      </w:r>
      <w:r w:rsidR="0046526E">
        <w:rPr>
          <w:noProof/>
        </w:rPr>
        <w:t>(</w:t>
      </w:r>
      <w:r w:rsidR="0046526E" w:rsidRPr="0046526E">
        <w:rPr>
          <w:noProof/>
        </w:rPr>
        <w:t>available at</w:t>
      </w:r>
      <w:r w:rsidR="0046526E" w:rsidRPr="0046526E">
        <w:rPr>
          <w:rStyle w:val="Hyperlink"/>
          <w:noProof/>
          <w:color w:val="auto"/>
          <w:u w:val="none"/>
        </w:rPr>
        <w:t xml:space="preserve"> </w:t>
      </w:r>
      <w:r w:rsidRPr="002C26BB">
        <w:rPr>
          <w:rStyle w:val="Hyperlink"/>
          <w:noProof/>
          <w:sz w:val="24"/>
        </w:rPr>
        <w:t>https://www.genome.gov/sequencingcosts/</w:t>
      </w:r>
      <w:r w:rsidRPr="00D6412D">
        <w:rPr>
          <w:noProof/>
        </w:rPr>
        <w:t xml:space="preserve"> </w:t>
      </w:r>
      <w:r w:rsidR="0046526E">
        <w:rPr>
          <w:noProof/>
        </w:rPr>
        <w:t>a</w:t>
      </w:r>
      <w:r w:rsidRPr="00D6412D">
        <w:rPr>
          <w:noProof/>
        </w:rPr>
        <w:t>ccess</w:t>
      </w:r>
      <w:r w:rsidR="0046526E">
        <w:rPr>
          <w:noProof/>
        </w:rPr>
        <w:t>ed</w:t>
      </w:r>
      <w:r w:rsidRPr="00D6412D">
        <w:rPr>
          <w:noProof/>
        </w:rPr>
        <w:t xml:space="preserve"> 23 November 2017</w:t>
      </w:r>
      <w:r w:rsidR="0046526E">
        <w:rPr>
          <w:noProof/>
        </w:rPr>
        <w:t>).</w:t>
      </w:r>
    </w:p>
    <w:p w14:paraId="546DD581" w14:textId="77777777" w:rsidR="00D6412D" w:rsidRPr="00D6412D" w:rsidRDefault="00D6412D">
      <w:pPr>
        <w:pStyle w:val="EndNoteBibliography"/>
        <w:rPr>
          <w:noProof/>
        </w:rPr>
      </w:pPr>
      <w:r w:rsidRPr="00C02041">
        <w:rPr>
          <w:b/>
          <w:noProof/>
          <w:lang w:val="it-IT"/>
        </w:rPr>
        <w:t xml:space="preserve">Niu, Y., Jin, M., Li, Y., Li, P., Zhou, J., Wang, X., Petersen, B., Huang, X., Kou, Q. </w:t>
      </w:r>
      <w:r w:rsidR="0046526E">
        <w:rPr>
          <w:b/>
          <w:noProof/>
        </w:rPr>
        <w:t>&amp;</w:t>
      </w:r>
      <w:r w:rsidR="0046526E" w:rsidRPr="00D6412D">
        <w:rPr>
          <w:b/>
          <w:noProof/>
        </w:rPr>
        <w:t xml:space="preserve"> </w:t>
      </w:r>
      <w:r w:rsidRPr="00D6412D">
        <w:rPr>
          <w:b/>
          <w:noProof/>
        </w:rPr>
        <w:t xml:space="preserve">Chen, Y. </w:t>
      </w:r>
      <w:r w:rsidRPr="00D6412D">
        <w:rPr>
          <w:noProof/>
        </w:rPr>
        <w:t xml:space="preserve">2017. Biallelic β-carotene oxygenase 2 knockout results in yellow fat in sheep via CRISPR/Cas9. </w:t>
      </w:r>
      <w:r w:rsidRPr="00C02041">
        <w:rPr>
          <w:i/>
          <w:iCs/>
          <w:noProof/>
        </w:rPr>
        <w:t>Anim</w:t>
      </w:r>
      <w:r w:rsidR="0046526E">
        <w:rPr>
          <w:i/>
          <w:iCs/>
          <w:noProof/>
        </w:rPr>
        <w:t>.</w:t>
      </w:r>
      <w:r w:rsidRPr="00C02041">
        <w:rPr>
          <w:i/>
          <w:iCs/>
          <w:noProof/>
        </w:rPr>
        <w:t xml:space="preserve"> Genet</w:t>
      </w:r>
      <w:r w:rsidR="0046526E">
        <w:rPr>
          <w:i/>
          <w:iCs/>
          <w:noProof/>
        </w:rPr>
        <w:t>.,</w:t>
      </w:r>
      <w:r w:rsidRPr="00381F8F">
        <w:rPr>
          <w:i/>
          <w:iCs/>
          <w:noProof/>
        </w:rPr>
        <w:t xml:space="preserve"> </w:t>
      </w:r>
      <w:r w:rsidRPr="00C02041">
        <w:rPr>
          <w:iCs/>
          <w:noProof/>
        </w:rPr>
        <w:t>48</w:t>
      </w:r>
      <w:r w:rsidR="0046526E">
        <w:rPr>
          <w:noProof/>
        </w:rPr>
        <w:t>:</w:t>
      </w:r>
      <w:r w:rsidRPr="00D6412D">
        <w:rPr>
          <w:noProof/>
        </w:rPr>
        <w:t xml:space="preserve"> 242–244.</w:t>
      </w:r>
    </w:p>
    <w:p w14:paraId="14A4A7FB" w14:textId="77777777" w:rsidR="00D6412D" w:rsidRPr="00D6412D" w:rsidRDefault="00D6412D">
      <w:pPr>
        <w:pStyle w:val="EndNoteBibliography"/>
        <w:rPr>
          <w:noProof/>
        </w:rPr>
      </w:pPr>
      <w:r w:rsidRPr="00D6412D">
        <w:rPr>
          <w:b/>
          <w:noProof/>
        </w:rPr>
        <w:t>NLM</w:t>
      </w:r>
      <w:r w:rsidRPr="00D6412D">
        <w:rPr>
          <w:noProof/>
        </w:rPr>
        <w:t>.</w:t>
      </w:r>
      <w:r w:rsidRPr="00C02041">
        <w:rPr>
          <w:i/>
          <w:iCs/>
          <w:noProof/>
        </w:rPr>
        <w:t xml:space="preserve"> Bioinformatics</w:t>
      </w:r>
      <w:r w:rsidRPr="00D6412D">
        <w:rPr>
          <w:noProof/>
        </w:rPr>
        <w:t xml:space="preserve"> </w:t>
      </w:r>
      <w:r w:rsidR="0046526E">
        <w:rPr>
          <w:noProof/>
        </w:rPr>
        <w:t>(</w:t>
      </w:r>
      <w:r w:rsidR="0046526E" w:rsidRPr="0046526E">
        <w:rPr>
          <w:noProof/>
        </w:rPr>
        <w:t>available at</w:t>
      </w:r>
      <w:r w:rsidR="0046526E" w:rsidRPr="0046526E">
        <w:rPr>
          <w:rStyle w:val="Hyperlink"/>
          <w:noProof/>
          <w:color w:val="auto"/>
          <w:u w:val="none"/>
        </w:rPr>
        <w:t xml:space="preserve"> </w:t>
      </w:r>
      <w:r w:rsidRPr="002C26BB">
        <w:rPr>
          <w:rStyle w:val="Hyperlink"/>
          <w:noProof/>
          <w:sz w:val="24"/>
        </w:rPr>
        <w:t>https://www.nlm.nih.gov/tsd/acquisitions/cdm/subjects12.html</w:t>
      </w:r>
      <w:r w:rsidRPr="00D6412D">
        <w:rPr>
          <w:noProof/>
        </w:rPr>
        <w:t xml:space="preserve"> </w:t>
      </w:r>
      <w:r w:rsidR="0046526E">
        <w:rPr>
          <w:noProof/>
        </w:rPr>
        <w:t>a</w:t>
      </w:r>
      <w:r w:rsidRPr="00D6412D">
        <w:rPr>
          <w:noProof/>
        </w:rPr>
        <w:t>ccess</w:t>
      </w:r>
      <w:r w:rsidR="0046526E">
        <w:rPr>
          <w:noProof/>
        </w:rPr>
        <w:t>ed</w:t>
      </w:r>
      <w:r w:rsidRPr="00D6412D">
        <w:rPr>
          <w:noProof/>
        </w:rPr>
        <w:t xml:space="preserve"> 26 November 2017</w:t>
      </w:r>
      <w:r w:rsidR="0046526E">
        <w:rPr>
          <w:noProof/>
        </w:rPr>
        <w:t>).</w:t>
      </w:r>
    </w:p>
    <w:p w14:paraId="0BCD142A" w14:textId="77777777" w:rsidR="00D6412D" w:rsidRPr="00D6412D" w:rsidRDefault="00D6412D">
      <w:pPr>
        <w:pStyle w:val="EndNoteBibliography"/>
        <w:rPr>
          <w:noProof/>
        </w:rPr>
      </w:pPr>
      <w:r w:rsidRPr="00D6412D">
        <w:rPr>
          <w:b/>
          <w:noProof/>
        </w:rPr>
        <w:t>Noor, M.A.F., Zimmerman, K.J.</w:t>
      </w:r>
      <w:r w:rsidR="0046526E">
        <w:rPr>
          <w:b/>
          <w:noProof/>
        </w:rPr>
        <w:t xml:space="preserve"> &amp;</w:t>
      </w:r>
      <w:r w:rsidRPr="00D6412D">
        <w:rPr>
          <w:b/>
          <w:noProof/>
        </w:rPr>
        <w:t xml:space="preserve"> Teeter, K.C.</w:t>
      </w:r>
      <w:r w:rsidRPr="00D6412D">
        <w:rPr>
          <w:noProof/>
        </w:rPr>
        <w:t xml:space="preserve"> 2006. Data Sharing: How Much Doesn't Get Submitted to GenBank?</w:t>
      </w:r>
      <w:r w:rsidRPr="00C02041">
        <w:rPr>
          <w:i/>
          <w:iCs/>
          <w:noProof/>
        </w:rPr>
        <w:t xml:space="preserve"> PLoS Biol</w:t>
      </w:r>
      <w:r w:rsidR="0046526E">
        <w:rPr>
          <w:i/>
          <w:noProof/>
        </w:rPr>
        <w:t>.,</w:t>
      </w:r>
      <w:r w:rsidRPr="00D6412D">
        <w:rPr>
          <w:i/>
          <w:noProof/>
        </w:rPr>
        <w:t xml:space="preserve"> </w:t>
      </w:r>
      <w:r w:rsidRPr="00C02041">
        <w:rPr>
          <w:iCs/>
          <w:noProof/>
        </w:rPr>
        <w:t>4</w:t>
      </w:r>
      <w:r w:rsidR="0046526E">
        <w:rPr>
          <w:noProof/>
        </w:rPr>
        <w:t>:</w:t>
      </w:r>
      <w:r w:rsidRPr="00D6412D">
        <w:rPr>
          <w:noProof/>
        </w:rPr>
        <w:t xml:space="preserve"> e228.</w:t>
      </w:r>
    </w:p>
    <w:p w14:paraId="558B49C7" w14:textId="77777777" w:rsidR="00D6412D" w:rsidRPr="00D6412D" w:rsidRDefault="00D6412D">
      <w:pPr>
        <w:pStyle w:val="EndNoteBibliography"/>
        <w:rPr>
          <w:noProof/>
        </w:rPr>
      </w:pPr>
      <w:r w:rsidRPr="00D6412D">
        <w:rPr>
          <w:b/>
          <w:noProof/>
        </w:rPr>
        <w:t>Norelli, J.L., Wisniewski, M., Fazio, G., Burchard, E., Gutierrez, B., Levin, E.</w:t>
      </w:r>
      <w:r w:rsidR="0046526E">
        <w:rPr>
          <w:b/>
          <w:noProof/>
        </w:rPr>
        <w:t xml:space="preserve"> &amp;</w:t>
      </w:r>
      <w:r w:rsidRPr="00D6412D">
        <w:rPr>
          <w:b/>
          <w:noProof/>
        </w:rPr>
        <w:t xml:space="preserve"> Droby, S.</w:t>
      </w:r>
      <w:r w:rsidRPr="00D6412D">
        <w:rPr>
          <w:noProof/>
        </w:rPr>
        <w:t xml:space="preserve"> 2017. Genotyping-by-sequencing markers facilitate the identification of quantitative trait loci controlling resistance to Penicillium expansum in Malus sieversii. </w:t>
      </w:r>
      <w:r w:rsidRPr="00C02041">
        <w:rPr>
          <w:i/>
          <w:iCs/>
          <w:noProof/>
        </w:rPr>
        <w:t>PLoS One</w:t>
      </w:r>
      <w:r w:rsidR="0046526E">
        <w:rPr>
          <w:i/>
          <w:noProof/>
        </w:rPr>
        <w:t>,</w:t>
      </w:r>
      <w:r w:rsidRPr="00D6412D">
        <w:rPr>
          <w:i/>
          <w:noProof/>
        </w:rPr>
        <w:t xml:space="preserve"> </w:t>
      </w:r>
      <w:r w:rsidRPr="00C02041">
        <w:rPr>
          <w:iCs/>
          <w:noProof/>
        </w:rPr>
        <w:t>12</w:t>
      </w:r>
      <w:r w:rsidR="0046526E">
        <w:rPr>
          <w:noProof/>
        </w:rPr>
        <w:t>:</w:t>
      </w:r>
      <w:r w:rsidRPr="00D6412D">
        <w:rPr>
          <w:noProof/>
        </w:rPr>
        <w:t xml:space="preserve"> e0172949.</w:t>
      </w:r>
    </w:p>
    <w:p w14:paraId="5B9A2BD0" w14:textId="77777777" w:rsidR="00D6412D" w:rsidRPr="00D6412D" w:rsidRDefault="00D6412D">
      <w:pPr>
        <w:pStyle w:val="EndNoteBibliography"/>
        <w:rPr>
          <w:noProof/>
        </w:rPr>
      </w:pPr>
      <w:r w:rsidRPr="00D6412D">
        <w:rPr>
          <w:b/>
          <w:noProof/>
        </w:rPr>
        <w:t>Novick, A.</w:t>
      </w:r>
      <w:r w:rsidR="0046526E">
        <w:rPr>
          <w:b/>
          <w:noProof/>
        </w:rPr>
        <w:t>&amp;</w:t>
      </w:r>
      <w:r w:rsidRPr="00D6412D">
        <w:rPr>
          <w:b/>
          <w:noProof/>
        </w:rPr>
        <w:t xml:space="preserve"> Weiner, M.</w:t>
      </w:r>
      <w:r w:rsidRPr="00D6412D">
        <w:rPr>
          <w:noProof/>
        </w:rPr>
        <w:t xml:space="preserve"> 1957. Enzyme induction as an all-or-none phenomenon. </w:t>
      </w:r>
      <w:r w:rsidRPr="00C02041">
        <w:rPr>
          <w:i/>
          <w:iCs/>
          <w:noProof/>
        </w:rPr>
        <w:t>Proc</w:t>
      </w:r>
      <w:r w:rsidR="0046526E">
        <w:rPr>
          <w:i/>
          <w:iCs/>
          <w:noProof/>
        </w:rPr>
        <w:t>.</w:t>
      </w:r>
      <w:r w:rsidRPr="00C02041">
        <w:rPr>
          <w:i/>
          <w:iCs/>
          <w:noProof/>
        </w:rPr>
        <w:t xml:space="preserve"> Natl</w:t>
      </w:r>
      <w:r w:rsidR="0046526E">
        <w:rPr>
          <w:i/>
          <w:iCs/>
          <w:noProof/>
        </w:rPr>
        <w:t>.</w:t>
      </w:r>
      <w:r w:rsidRPr="00C02041">
        <w:rPr>
          <w:i/>
          <w:iCs/>
          <w:noProof/>
        </w:rPr>
        <w:t xml:space="preserve"> Acad</w:t>
      </w:r>
      <w:r w:rsidR="0046526E">
        <w:rPr>
          <w:i/>
          <w:iCs/>
          <w:noProof/>
        </w:rPr>
        <w:t>.</w:t>
      </w:r>
      <w:r w:rsidRPr="00C02041">
        <w:rPr>
          <w:i/>
          <w:iCs/>
          <w:noProof/>
        </w:rPr>
        <w:t xml:space="preserve"> Sci</w:t>
      </w:r>
      <w:r w:rsidR="0046526E">
        <w:rPr>
          <w:i/>
          <w:iCs/>
          <w:noProof/>
        </w:rPr>
        <w:t>.</w:t>
      </w:r>
      <w:r w:rsidRPr="00C02041">
        <w:rPr>
          <w:i/>
          <w:iCs/>
          <w:noProof/>
        </w:rPr>
        <w:t xml:space="preserve"> USA</w:t>
      </w:r>
      <w:r w:rsidR="0046526E">
        <w:rPr>
          <w:i/>
          <w:iCs/>
          <w:noProof/>
        </w:rPr>
        <w:t>,</w:t>
      </w:r>
      <w:r w:rsidRPr="00D6412D">
        <w:rPr>
          <w:i/>
          <w:noProof/>
        </w:rPr>
        <w:t xml:space="preserve"> </w:t>
      </w:r>
      <w:r w:rsidRPr="00C02041">
        <w:rPr>
          <w:iCs/>
          <w:noProof/>
        </w:rPr>
        <w:t>43</w:t>
      </w:r>
      <w:r w:rsidR="0046526E">
        <w:rPr>
          <w:noProof/>
        </w:rPr>
        <w:t>:</w:t>
      </w:r>
      <w:r w:rsidRPr="00D6412D">
        <w:rPr>
          <w:noProof/>
        </w:rPr>
        <w:t xml:space="preserve"> 553</w:t>
      </w:r>
      <w:r w:rsidR="0046526E">
        <w:rPr>
          <w:noProof/>
        </w:rPr>
        <w:t>–</w:t>
      </w:r>
      <w:r w:rsidRPr="00D6412D">
        <w:rPr>
          <w:noProof/>
        </w:rPr>
        <w:t>566.</w:t>
      </w:r>
    </w:p>
    <w:p w14:paraId="448FA035" w14:textId="77777777" w:rsidR="00AB3257" w:rsidRPr="00E034B1" w:rsidRDefault="00AB3257" w:rsidP="00E034B1">
      <w:pPr>
        <w:pStyle w:val="EndNoteBibliography"/>
        <w:rPr>
          <w:noProof/>
          <w:lang w:val="en-US"/>
        </w:rPr>
      </w:pPr>
      <w:r w:rsidRPr="00E034B1">
        <w:rPr>
          <w:b/>
          <w:iCs/>
          <w:noProof/>
        </w:rPr>
        <w:t>Nucleic Acids Research</w:t>
      </w:r>
      <w:r w:rsidRPr="00381F8F">
        <w:rPr>
          <w:iCs/>
          <w:noProof/>
        </w:rPr>
        <w:t>.</w:t>
      </w:r>
      <w:r w:rsidRPr="003576BC">
        <w:rPr>
          <w:noProof/>
        </w:rPr>
        <w:t xml:space="preserve"> 2017. Database issue. </w:t>
      </w:r>
      <w:r w:rsidRPr="00E034B1">
        <w:rPr>
          <w:noProof/>
          <w:lang w:val="en-US"/>
        </w:rPr>
        <w:t>No.</w:t>
      </w:r>
      <w:r w:rsidRPr="00E034B1">
        <w:rPr>
          <w:i/>
          <w:noProof/>
          <w:lang w:val="en-US"/>
        </w:rPr>
        <w:t xml:space="preserve"> </w:t>
      </w:r>
      <w:r w:rsidR="0046526E">
        <w:rPr>
          <w:noProof/>
          <w:lang w:val="en-US"/>
        </w:rPr>
        <w:t>45 (</w:t>
      </w:r>
      <w:r w:rsidR="0046526E" w:rsidRPr="0046526E">
        <w:rPr>
          <w:noProof/>
          <w:lang w:val="en-US"/>
        </w:rPr>
        <w:t>available at</w:t>
      </w:r>
      <w:r w:rsidRPr="00E034B1">
        <w:rPr>
          <w:noProof/>
          <w:lang w:val="en-US"/>
        </w:rPr>
        <w:t xml:space="preserve"> https://academic.oup.com/nar/issue/45/D1</w:t>
      </w:r>
      <w:r w:rsidR="0046526E">
        <w:rPr>
          <w:noProof/>
          <w:lang w:val="en-US"/>
        </w:rPr>
        <w:t>).</w:t>
      </w:r>
    </w:p>
    <w:p w14:paraId="5501DC55" w14:textId="77777777" w:rsidR="00D6412D" w:rsidRPr="00D6412D" w:rsidRDefault="00D6412D">
      <w:pPr>
        <w:pStyle w:val="EndNoteBibliography"/>
        <w:rPr>
          <w:noProof/>
        </w:rPr>
      </w:pPr>
      <w:r w:rsidRPr="00D6412D">
        <w:rPr>
          <w:b/>
          <w:noProof/>
        </w:rPr>
        <w:t>Ofir, G.</w:t>
      </w:r>
      <w:r w:rsidR="0046526E">
        <w:rPr>
          <w:b/>
          <w:noProof/>
        </w:rPr>
        <w:t xml:space="preserve"> &amp;</w:t>
      </w:r>
      <w:r w:rsidRPr="00D6412D">
        <w:rPr>
          <w:b/>
          <w:noProof/>
        </w:rPr>
        <w:t xml:space="preserve"> Sorek, R.</w:t>
      </w:r>
      <w:r w:rsidRPr="00D6412D">
        <w:rPr>
          <w:noProof/>
        </w:rPr>
        <w:t xml:space="preserve"> 2017. Vesicles spread susceptibility to phages. </w:t>
      </w:r>
      <w:r w:rsidRPr="00C02041">
        <w:rPr>
          <w:i/>
          <w:iCs/>
          <w:noProof/>
        </w:rPr>
        <w:t>Cell</w:t>
      </w:r>
      <w:r w:rsidR="0046526E">
        <w:rPr>
          <w:i/>
          <w:iCs/>
          <w:noProof/>
        </w:rPr>
        <w:t>,</w:t>
      </w:r>
      <w:r w:rsidRPr="00381F8F">
        <w:rPr>
          <w:i/>
          <w:iCs/>
          <w:noProof/>
        </w:rPr>
        <w:t xml:space="preserve"> </w:t>
      </w:r>
      <w:r w:rsidRPr="00C02041">
        <w:rPr>
          <w:iCs/>
          <w:noProof/>
        </w:rPr>
        <w:t>168</w:t>
      </w:r>
      <w:r w:rsidR="0046526E">
        <w:rPr>
          <w:noProof/>
        </w:rPr>
        <w:t>:</w:t>
      </w:r>
      <w:r w:rsidRPr="00D6412D">
        <w:rPr>
          <w:noProof/>
        </w:rPr>
        <w:t xml:space="preserve"> 189</w:t>
      </w:r>
      <w:r w:rsidR="0046526E">
        <w:rPr>
          <w:noProof/>
        </w:rPr>
        <w:t>–</w:t>
      </w:r>
      <w:r w:rsidRPr="00D6412D">
        <w:rPr>
          <w:noProof/>
        </w:rPr>
        <w:t>199.</w:t>
      </w:r>
    </w:p>
    <w:p w14:paraId="436E82DE" w14:textId="77777777" w:rsidR="00D6412D" w:rsidRPr="00D6412D" w:rsidRDefault="00D6412D" w:rsidP="00D6412D">
      <w:pPr>
        <w:pStyle w:val="EndNoteBibliography"/>
        <w:rPr>
          <w:noProof/>
        </w:rPr>
      </w:pPr>
      <w:r w:rsidRPr="00D6412D">
        <w:rPr>
          <w:b/>
          <w:noProof/>
        </w:rPr>
        <w:t>Oldham, P.D.</w:t>
      </w:r>
      <w:r w:rsidRPr="00D6412D">
        <w:rPr>
          <w:noProof/>
        </w:rPr>
        <w:t xml:space="preserve"> 2009. </w:t>
      </w:r>
      <w:r w:rsidRPr="00C02041">
        <w:rPr>
          <w:i/>
          <w:iCs/>
          <w:noProof/>
        </w:rPr>
        <w:t>Global status and trends in intellectual property claims: genomics proteomics and biotechnology</w:t>
      </w:r>
      <w:r w:rsidRPr="00D6412D">
        <w:rPr>
          <w:noProof/>
        </w:rPr>
        <w:t>. SSRN (original date 2004).</w:t>
      </w:r>
    </w:p>
    <w:p w14:paraId="019F5E43" w14:textId="77777777" w:rsidR="00D6412D" w:rsidRPr="00D6412D" w:rsidRDefault="00D6412D">
      <w:pPr>
        <w:pStyle w:val="EndNoteBibliography"/>
        <w:rPr>
          <w:noProof/>
        </w:rPr>
      </w:pPr>
      <w:r w:rsidRPr="00D6412D">
        <w:rPr>
          <w:b/>
          <w:noProof/>
        </w:rPr>
        <w:t>Orwin, K.H., Dickie, I.A., Holdaway, R.</w:t>
      </w:r>
      <w:r w:rsidR="0046526E">
        <w:rPr>
          <w:b/>
          <w:noProof/>
        </w:rPr>
        <w:t>&amp;</w:t>
      </w:r>
      <w:r w:rsidRPr="00D6412D">
        <w:rPr>
          <w:b/>
          <w:noProof/>
        </w:rPr>
        <w:t xml:space="preserve"> Wood, J.R.</w:t>
      </w:r>
      <w:r w:rsidRPr="00D6412D">
        <w:rPr>
          <w:noProof/>
        </w:rPr>
        <w:t xml:space="preserve"> 2018. A comparison of the ability of PLFA and 16S rRNA gene metabarcoding to resolve soil community change and predict ecosystem functions. </w:t>
      </w:r>
      <w:r w:rsidRPr="00C02041">
        <w:rPr>
          <w:i/>
          <w:iCs/>
          <w:noProof/>
        </w:rPr>
        <w:t>Soil Biol</w:t>
      </w:r>
      <w:r w:rsidR="0046526E">
        <w:rPr>
          <w:i/>
          <w:iCs/>
          <w:noProof/>
        </w:rPr>
        <w:t>.</w:t>
      </w:r>
      <w:r w:rsidRPr="00C02041">
        <w:rPr>
          <w:i/>
          <w:iCs/>
          <w:noProof/>
        </w:rPr>
        <w:t xml:space="preserve"> Biochem</w:t>
      </w:r>
      <w:r w:rsidR="0046526E">
        <w:rPr>
          <w:i/>
          <w:iCs/>
          <w:noProof/>
        </w:rPr>
        <w:t>.,</w:t>
      </w:r>
      <w:r w:rsidRPr="00D6412D">
        <w:rPr>
          <w:i/>
          <w:noProof/>
        </w:rPr>
        <w:t xml:space="preserve"> </w:t>
      </w:r>
      <w:r w:rsidRPr="00C02041">
        <w:rPr>
          <w:iCs/>
          <w:noProof/>
        </w:rPr>
        <w:t>117</w:t>
      </w:r>
      <w:r w:rsidR="0046526E">
        <w:rPr>
          <w:noProof/>
        </w:rPr>
        <w:t>:</w:t>
      </w:r>
      <w:r w:rsidRPr="00D6412D">
        <w:rPr>
          <w:noProof/>
        </w:rPr>
        <w:t xml:space="preserve"> 27</w:t>
      </w:r>
      <w:r w:rsidR="0046526E">
        <w:rPr>
          <w:noProof/>
        </w:rPr>
        <w:t>–</w:t>
      </w:r>
      <w:r w:rsidRPr="00D6412D">
        <w:rPr>
          <w:noProof/>
        </w:rPr>
        <w:t>35.</w:t>
      </w:r>
    </w:p>
    <w:p w14:paraId="59EFDB1F" w14:textId="77777777" w:rsidR="00D6412D" w:rsidRPr="00D6412D" w:rsidRDefault="00D6412D">
      <w:pPr>
        <w:pStyle w:val="EndNoteBibliography"/>
        <w:rPr>
          <w:noProof/>
        </w:rPr>
      </w:pPr>
      <w:r w:rsidRPr="00D6412D">
        <w:rPr>
          <w:b/>
          <w:noProof/>
        </w:rPr>
        <w:t>Overall, C.M.</w:t>
      </w:r>
      <w:r w:rsidRPr="00D6412D">
        <w:rPr>
          <w:noProof/>
        </w:rPr>
        <w:t xml:space="preserve"> 2014. Can proteomics fill the gap between genomics and phenotypes? </w:t>
      </w:r>
      <w:r w:rsidRPr="00C02041">
        <w:rPr>
          <w:i/>
          <w:iCs/>
          <w:noProof/>
        </w:rPr>
        <w:t>J</w:t>
      </w:r>
      <w:r w:rsidR="0046526E">
        <w:rPr>
          <w:i/>
          <w:iCs/>
          <w:noProof/>
        </w:rPr>
        <w:t>.</w:t>
      </w:r>
      <w:r w:rsidRPr="00C02041">
        <w:rPr>
          <w:i/>
          <w:iCs/>
          <w:noProof/>
        </w:rPr>
        <w:t xml:space="preserve"> Proteomics</w:t>
      </w:r>
      <w:r w:rsidR="0046526E">
        <w:rPr>
          <w:i/>
          <w:iCs/>
          <w:noProof/>
        </w:rPr>
        <w:t>,</w:t>
      </w:r>
      <w:r w:rsidRPr="00D6412D">
        <w:rPr>
          <w:i/>
          <w:noProof/>
        </w:rPr>
        <w:t xml:space="preserve"> </w:t>
      </w:r>
      <w:r w:rsidRPr="00C02041">
        <w:rPr>
          <w:iCs/>
          <w:noProof/>
        </w:rPr>
        <w:t>100</w:t>
      </w:r>
      <w:r w:rsidR="0046526E">
        <w:rPr>
          <w:noProof/>
        </w:rPr>
        <w:t>:</w:t>
      </w:r>
      <w:r w:rsidRPr="00D6412D">
        <w:rPr>
          <w:noProof/>
        </w:rPr>
        <w:t xml:space="preserve"> 1</w:t>
      </w:r>
      <w:r w:rsidR="0046526E">
        <w:rPr>
          <w:noProof/>
        </w:rPr>
        <w:t>–</w:t>
      </w:r>
      <w:r w:rsidRPr="00D6412D">
        <w:rPr>
          <w:noProof/>
        </w:rPr>
        <w:t>2.</w:t>
      </w:r>
    </w:p>
    <w:p w14:paraId="61B62999" w14:textId="77777777" w:rsidR="00D6412D" w:rsidRPr="00D6412D" w:rsidRDefault="00D6412D">
      <w:pPr>
        <w:pStyle w:val="EndNoteBibliography"/>
        <w:rPr>
          <w:noProof/>
        </w:rPr>
      </w:pPr>
      <w:r w:rsidRPr="00D6412D">
        <w:rPr>
          <w:b/>
          <w:noProof/>
        </w:rPr>
        <w:t>Palminteri, S.</w:t>
      </w:r>
      <w:r w:rsidRPr="00D6412D">
        <w:rPr>
          <w:noProof/>
        </w:rPr>
        <w:t xml:space="preserve"> </w:t>
      </w:r>
      <w:r w:rsidRPr="00C02041">
        <w:rPr>
          <w:i/>
          <w:iCs/>
          <w:noProof/>
        </w:rPr>
        <w:t>Scientists sequence plant DNA in the field to identify species within hours</w:t>
      </w:r>
      <w:r w:rsidRPr="00D6412D">
        <w:rPr>
          <w:noProof/>
        </w:rPr>
        <w:t xml:space="preserve"> </w:t>
      </w:r>
      <w:r w:rsidR="0046526E">
        <w:rPr>
          <w:noProof/>
        </w:rPr>
        <w:t>(</w:t>
      </w:r>
      <w:r w:rsidR="0046526E" w:rsidRPr="0046526E">
        <w:rPr>
          <w:noProof/>
        </w:rPr>
        <w:t>available at</w:t>
      </w:r>
      <w:r w:rsidR="0046526E" w:rsidRPr="0046526E">
        <w:rPr>
          <w:rStyle w:val="Hyperlink"/>
          <w:noProof/>
          <w:color w:val="auto"/>
          <w:u w:val="none"/>
        </w:rPr>
        <w:t xml:space="preserve"> </w:t>
      </w:r>
      <w:r w:rsidRPr="002C26BB">
        <w:rPr>
          <w:rStyle w:val="Hyperlink"/>
          <w:noProof/>
          <w:sz w:val="24"/>
        </w:rPr>
        <w:t>https://news.mongabay.com/wildtech/2017/09/scientists-id-plant-species-in-the-field-within-hours/</w:t>
      </w:r>
      <w:r w:rsidRPr="00D6412D">
        <w:rPr>
          <w:noProof/>
        </w:rPr>
        <w:t xml:space="preserve"> </w:t>
      </w:r>
      <w:r w:rsidR="0046526E">
        <w:rPr>
          <w:noProof/>
        </w:rPr>
        <w:t>a</w:t>
      </w:r>
      <w:r w:rsidRPr="00D6412D">
        <w:rPr>
          <w:noProof/>
        </w:rPr>
        <w:t>ccess</w:t>
      </w:r>
      <w:r w:rsidR="0046526E">
        <w:rPr>
          <w:noProof/>
        </w:rPr>
        <w:t>ed</w:t>
      </w:r>
      <w:r w:rsidRPr="00D6412D">
        <w:rPr>
          <w:noProof/>
        </w:rPr>
        <w:t xml:space="preserve"> 3 February 2018</w:t>
      </w:r>
      <w:r w:rsidR="0046526E">
        <w:rPr>
          <w:noProof/>
        </w:rPr>
        <w:t>).</w:t>
      </w:r>
    </w:p>
    <w:p w14:paraId="2466C91F" w14:textId="77777777" w:rsidR="00D6412D" w:rsidRPr="00C02041" w:rsidRDefault="00D6412D">
      <w:pPr>
        <w:pStyle w:val="EndNoteBibliography"/>
        <w:rPr>
          <w:noProof/>
          <w:lang w:val="it-IT"/>
        </w:rPr>
      </w:pPr>
      <w:r w:rsidRPr="00D6412D">
        <w:rPr>
          <w:b/>
          <w:noProof/>
        </w:rPr>
        <w:t>Pan, J., Wang, B., Pei, Z.-Y., Zhao, W., Gao, J., Mao, J.-F.</w:t>
      </w:r>
      <w:r w:rsidR="0046526E">
        <w:rPr>
          <w:b/>
          <w:noProof/>
        </w:rPr>
        <w:t xml:space="preserve"> &amp;</w:t>
      </w:r>
      <w:r w:rsidRPr="00D6412D">
        <w:rPr>
          <w:b/>
          <w:noProof/>
        </w:rPr>
        <w:t xml:space="preserve"> Wang, X.-R.</w:t>
      </w:r>
      <w:r w:rsidRPr="00D6412D">
        <w:rPr>
          <w:noProof/>
        </w:rPr>
        <w:t xml:space="preserve"> 2015. Optimization of the genotyping-by-sequencing strategy for population genomic analysis in conifers. </w:t>
      </w:r>
      <w:r w:rsidRPr="00C02041">
        <w:rPr>
          <w:i/>
          <w:iCs/>
          <w:noProof/>
          <w:lang w:val="it-IT"/>
        </w:rPr>
        <w:t>Mol</w:t>
      </w:r>
      <w:r w:rsidR="0046526E" w:rsidRPr="00C02041">
        <w:rPr>
          <w:i/>
          <w:iCs/>
          <w:noProof/>
          <w:lang w:val="it-IT"/>
        </w:rPr>
        <w:t>.</w:t>
      </w:r>
      <w:r w:rsidRPr="00C02041">
        <w:rPr>
          <w:i/>
          <w:iCs/>
          <w:noProof/>
          <w:lang w:val="it-IT"/>
        </w:rPr>
        <w:t xml:space="preserve"> Ecol</w:t>
      </w:r>
      <w:r w:rsidR="0046526E" w:rsidRPr="00C02041">
        <w:rPr>
          <w:i/>
          <w:iCs/>
          <w:noProof/>
          <w:lang w:val="it-IT"/>
        </w:rPr>
        <w:t>.</w:t>
      </w:r>
      <w:r w:rsidRPr="00C02041">
        <w:rPr>
          <w:i/>
          <w:iCs/>
          <w:noProof/>
          <w:lang w:val="it-IT"/>
        </w:rPr>
        <w:t xml:space="preserve"> Resour</w:t>
      </w:r>
      <w:r w:rsidR="0046526E" w:rsidRPr="00C02041">
        <w:rPr>
          <w:i/>
          <w:iCs/>
          <w:noProof/>
          <w:lang w:val="it-IT"/>
        </w:rPr>
        <w:t>.,</w:t>
      </w:r>
      <w:r w:rsidRPr="00C02041">
        <w:rPr>
          <w:i/>
          <w:noProof/>
          <w:lang w:val="it-IT"/>
        </w:rPr>
        <w:t xml:space="preserve"> </w:t>
      </w:r>
      <w:r w:rsidRPr="00C02041">
        <w:rPr>
          <w:iCs/>
          <w:noProof/>
          <w:lang w:val="it-IT"/>
        </w:rPr>
        <w:t>15</w:t>
      </w:r>
      <w:r w:rsidR="0046526E" w:rsidRPr="00C02041">
        <w:rPr>
          <w:noProof/>
          <w:lang w:val="it-IT"/>
        </w:rPr>
        <w:t>:</w:t>
      </w:r>
      <w:r w:rsidRPr="00C02041">
        <w:rPr>
          <w:noProof/>
          <w:lang w:val="it-IT"/>
        </w:rPr>
        <w:t xml:space="preserve"> 711</w:t>
      </w:r>
      <w:r w:rsidR="0046526E" w:rsidRPr="00C02041">
        <w:rPr>
          <w:noProof/>
          <w:lang w:val="it-IT"/>
        </w:rPr>
        <w:t>–</w:t>
      </w:r>
      <w:r w:rsidRPr="00C02041">
        <w:rPr>
          <w:noProof/>
          <w:lang w:val="it-IT"/>
        </w:rPr>
        <w:t>722.</w:t>
      </w:r>
    </w:p>
    <w:p w14:paraId="163E6B61" w14:textId="77777777" w:rsidR="00D6412D" w:rsidRPr="00D6412D" w:rsidRDefault="00D6412D">
      <w:pPr>
        <w:pStyle w:val="EndNoteBibliography"/>
        <w:rPr>
          <w:noProof/>
        </w:rPr>
      </w:pPr>
      <w:r w:rsidRPr="00C02041">
        <w:rPr>
          <w:b/>
          <w:noProof/>
          <w:lang w:val="it-IT"/>
        </w:rPr>
        <w:lastRenderedPageBreak/>
        <w:t>Periyannan, S., Bansal, U., Bariana, H., Deal, K., Luo, M.-C., Dvorak, J.</w:t>
      </w:r>
      <w:r w:rsidR="0046526E" w:rsidRPr="00C02041">
        <w:rPr>
          <w:b/>
          <w:noProof/>
          <w:lang w:val="it-IT"/>
        </w:rPr>
        <w:t xml:space="preserve"> </w:t>
      </w:r>
      <w:r w:rsidR="0046526E" w:rsidRPr="00C02041">
        <w:rPr>
          <w:b/>
          <w:noProof/>
          <w:lang w:val="en-US"/>
        </w:rPr>
        <w:t>&amp;</w:t>
      </w:r>
      <w:r w:rsidRPr="00C02041">
        <w:rPr>
          <w:b/>
          <w:noProof/>
          <w:lang w:val="en-US"/>
        </w:rPr>
        <w:t xml:space="preserve"> </w:t>
      </w:r>
      <w:r w:rsidRPr="00D6412D">
        <w:rPr>
          <w:b/>
          <w:noProof/>
        </w:rPr>
        <w:t>Lagudah, E.</w:t>
      </w:r>
      <w:r w:rsidRPr="00D6412D">
        <w:rPr>
          <w:noProof/>
        </w:rPr>
        <w:t xml:space="preserve"> 2014. Identification of a robust molecular marker for the detection of the stem rust resistance gene Sr45 in common wheat. </w:t>
      </w:r>
      <w:r w:rsidRPr="00C02041">
        <w:rPr>
          <w:i/>
          <w:iCs/>
          <w:noProof/>
        </w:rPr>
        <w:t>Theor</w:t>
      </w:r>
      <w:r w:rsidR="0046526E">
        <w:rPr>
          <w:i/>
          <w:iCs/>
          <w:noProof/>
        </w:rPr>
        <w:t>.</w:t>
      </w:r>
      <w:r w:rsidRPr="00C02041">
        <w:rPr>
          <w:i/>
          <w:iCs/>
          <w:noProof/>
        </w:rPr>
        <w:t xml:space="preserve"> Appl</w:t>
      </w:r>
      <w:r w:rsidR="0046526E">
        <w:rPr>
          <w:i/>
          <w:iCs/>
          <w:noProof/>
        </w:rPr>
        <w:t>.</w:t>
      </w:r>
      <w:r w:rsidRPr="00C02041">
        <w:rPr>
          <w:i/>
          <w:iCs/>
          <w:noProof/>
        </w:rPr>
        <w:t xml:space="preserve"> Genet</w:t>
      </w:r>
      <w:r w:rsidR="0046526E">
        <w:rPr>
          <w:i/>
          <w:iCs/>
          <w:noProof/>
        </w:rPr>
        <w:t>.,</w:t>
      </w:r>
      <w:r w:rsidRPr="00D6412D">
        <w:rPr>
          <w:i/>
          <w:noProof/>
        </w:rPr>
        <w:t xml:space="preserve"> </w:t>
      </w:r>
      <w:r w:rsidRPr="00C02041">
        <w:rPr>
          <w:iCs/>
          <w:noProof/>
        </w:rPr>
        <w:t>127</w:t>
      </w:r>
      <w:r w:rsidR="0046526E">
        <w:rPr>
          <w:noProof/>
        </w:rPr>
        <w:t>:</w:t>
      </w:r>
      <w:r w:rsidRPr="00D6412D">
        <w:rPr>
          <w:noProof/>
        </w:rPr>
        <w:t xml:space="preserve"> 947</w:t>
      </w:r>
      <w:r w:rsidR="0046526E">
        <w:rPr>
          <w:noProof/>
        </w:rPr>
        <w:t>–</w:t>
      </w:r>
      <w:r w:rsidRPr="00D6412D">
        <w:rPr>
          <w:noProof/>
        </w:rPr>
        <w:t>955.</w:t>
      </w:r>
    </w:p>
    <w:p w14:paraId="73AA15CB" w14:textId="77777777" w:rsidR="00D6412D" w:rsidRPr="00D6412D" w:rsidRDefault="00D6412D">
      <w:pPr>
        <w:pStyle w:val="EndNoteBibliography"/>
        <w:rPr>
          <w:noProof/>
        </w:rPr>
      </w:pPr>
      <w:r w:rsidRPr="00D6412D">
        <w:rPr>
          <w:b/>
          <w:noProof/>
        </w:rPr>
        <w:t>Perkel, J.M.</w:t>
      </w:r>
      <w:r w:rsidRPr="00D6412D">
        <w:rPr>
          <w:noProof/>
        </w:rPr>
        <w:t xml:space="preserve"> 2017. How to hack the genome. </w:t>
      </w:r>
      <w:r w:rsidRPr="00C02041">
        <w:rPr>
          <w:i/>
          <w:iCs/>
          <w:noProof/>
        </w:rPr>
        <w:t>Nature</w:t>
      </w:r>
      <w:r w:rsidR="0046526E">
        <w:rPr>
          <w:i/>
          <w:noProof/>
        </w:rPr>
        <w:t>,</w:t>
      </w:r>
      <w:r w:rsidRPr="00D6412D">
        <w:rPr>
          <w:i/>
          <w:noProof/>
        </w:rPr>
        <w:t xml:space="preserve"> </w:t>
      </w:r>
      <w:r w:rsidRPr="00C02041">
        <w:rPr>
          <w:iCs/>
          <w:noProof/>
        </w:rPr>
        <w:t>547</w:t>
      </w:r>
      <w:r w:rsidR="0046526E">
        <w:rPr>
          <w:noProof/>
        </w:rPr>
        <w:t>:</w:t>
      </w:r>
      <w:r w:rsidRPr="00D6412D">
        <w:rPr>
          <w:noProof/>
        </w:rPr>
        <w:t xml:space="preserve"> 477</w:t>
      </w:r>
      <w:r w:rsidR="0046526E">
        <w:rPr>
          <w:noProof/>
        </w:rPr>
        <w:t>–</w:t>
      </w:r>
      <w:r w:rsidRPr="00D6412D">
        <w:rPr>
          <w:noProof/>
        </w:rPr>
        <w:t>479.</w:t>
      </w:r>
    </w:p>
    <w:p w14:paraId="5F12F75E" w14:textId="77777777" w:rsidR="00D6412D" w:rsidRPr="00D6412D" w:rsidRDefault="00D6412D">
      <w:pPr>
        <w:pStyle w:val="EndNoteBibliography"/>
        <w:rPr>
          <w:noProof/>
        </w:rPr>
      </w:pPr>
      <w:r w:rsidRPr="00D6412D">
        <w:rPr>
          <w:b/>
          <w:noProof/>
        </w:rPr>
        <w:t>Petrone, J.</w:t>
      </w:r>
      <w:r w:rsidRPr="00D6412D">
        <w:rPr>
          <w:noProof/>
        </w:rPr>
        <w:t xml:space="preserve"> 2016. DNA writers attract investors. </w:t>
      </w:r>
      <w:r w:rsidRPr="00C02041">
        <w:rPr>
          <w:i/>
          <w:iCs/>
          <w:noProof/>
        </w:rPr>
        <w:t>Nat</w:t>
      </w:r>
      <w:r w:rsidR="0046526E">
        <w:rPr>
          <w:i/>
          <w:iCs/>
          <w:noProof/>
        </w:rPr>
        <w:t>.</w:t>
      </w:r>
      <w:r w:rsidRPr="00C02041">
        <w:rPr>
          <w:i/>
          <w:iCs/>
          <w:noProof/>
        </w:rPr>
        <w:t xml:space="preserve"> Biotechnol</w:t>
      </w:r>
      <w:r w:rsidR="0046526E">
        <w:rPr>
          <w:i/>
          <w:iCs/>
          <w:noProof/>
        </w:rPr>
        <w:t>.,</w:t>
      </w:r>
      <w:r w:rsidRPr="00D6412D">
        <w:rPr>
          <w:i/>
          <w:noProof/>
        </w:rPr>
        <w:t xml:space="preserve"> </w:t>
      </w:r>
      <w:r w:rsidRPr="00C02041">
        <w:rPr>
          <w:iCs/>
          <w:noProof/>
        </w:rPr>
        <w:t>34</w:t>
      </w:r>
      <w:r w:rsidR="0046526E">
        <w:rPr>
          <w:noProof/>
        </w:rPr>
        <w:t>:</w:t>
      </w:r>
      <w:r w:rsidRPr="00D6412D">
        <w:rPr>
          <w:noProof/>
        </w:rPr>
        <w:t xml:space="preserve"> 363</w:t>
      </w:r>
      <w:r w:rsidR="0046526E">
        <w:rPr>
          <w:noProof/>
        </w:rPr>
        <w:t>–</w:t>
      </w:r>
      <w:r w:rsidRPr="00D6412D">
        <w:rPr>
          <w:noProof/>
        </w:rPr>
        <w:t>364.</w:t>
      </w:r>
    </w:p>
    <w:p w14:paraId="75A8BD44" w14:textId="77777777" w:rsidR="00D6412D" w:rsidRPr="00D6412D" w:rsidRDefault="00D6412D">
      <w:pPr>
        <w:pStyle w:val="EndNoteBibliography"/>
        <w:rPr>
          <w:noProof/>
        </w:rPr>
      </w:pPr>
      <w:r w:rsidRPr="00D6412D">
        <w:rPr>
          <w:b/>
          <w:noProof/>
        </w:rPr>
        <w:t>Piaggio, A.J., Segelbacher, G., Seddon, P.J., Alphey, L., Bennett, E.L., Carlson, R.H., Friedman, R.M., Kanavy, D., Phelan, R., Redford, K.H.</w:t>
      </w:r>
      <w:r w:rsidRPr="00D6412D">
        <w:rPr>
          <w:b/>
          <w:i/>
          <w:noProof/>
        </w:rPr>
        <w:t>, et al.</w:t>
      </w:r>
      <w:r w:rsidRPr="00D6412D">
        <w:rPr>
          <w:noProof/>
        </w:rPr>
        <w:t xml:space="preserve"> 2017. Is it time for synthetic biodiversity conservation? </w:t>
      </w:r>
      <w:r w:rsidRPr="00C02041">
        <w:rPr>
          <w:i/>
          <w:iCs/>
          <w:noProof/>
        </w:rPr>
        <w:t>Trend Ecol</w:t>
      </w:r>
      <w:r w:rsidR="0046526E">
        <w:rPr>
          <w:i/>
          <w:iCs/>
          <w:noProof/>
        </w:rPr>
        <w:t>.</w:t>
      </w:r>
      <w:r w:rsidRPr="00C02041">
        <w:rPr>
          <w:i/>
          <w:iCs/>
          <w:noProof/>
        </w:rPr>
        <w:t xml:space="preserve"> Evol</w:t>
      </w:r>
      <w:r w:rsidR="0046526E">
        <w:rPr>
          <w:i/>
          <w:iCs/>
          <w:noProof/>
        </w:rPr>
        <w:t>.,</w:t>
      </w:r>
      <w:r w:rsidRPr="00D6412D">
        <w:rPr>
          <w:i/>
          <w:noProof/>
        </w:rPr>
        <w:t xml:space="preserve"> </w:t>
      </w:r>
      <w:r w:rsidRPr="00C02041">
        <w:rPr>
          <w:iCs/>
          <w:noProof/>
        </w:rPr>
        <w:t>32</w:t>
      </w:r>
      <w:r w:rsidR="0046526E">
        <w:rPr>
          <w:noProof/>
        </w:rPr>
        <w:t>:</w:t>
      </w:r>
      <w:r w:rsidRPr="00D6412D">
        <w:rPr>
          <w:noProof/>
        </w:rPr>
        <w:t xml:space="preserve"> 97</w:t>
      </w:r>
      <w:r w:rsidR="0046526E">
        <w:rPr>
          <w:noProof/>
        </w:rPr>
        <w:t>–</w:t>
      </w:r>
      <w:r w:rsidRPr="00D6412D">
        <w:rPr>
          <w:noProof/>
        </w:rPr>
        <w:t>107.</w:t>
      </w:r>
    </w:p>
    <w:p w14:paraId="6571DE06" w14:textId="77777777" w:rsidR="00D6412D" w:rsidRPr="00D6412D" w:rsidRDefault="00D6412D">
      <w:pPr>
        <w:pStyle w:val="EndNoteBibliography"/>
        <w:rPr>
          <w:noProof/>
        </w:rPr>
      </w:pPr>
      <w:r w:rsidRPr="00D6412D">
        <w:rPr>
          <w:b/>
          <w:noProof/>
        </w:rPr>
        <w:t>Pope, L.C., Liggins, L., Keyse, J., Carvalho, S.B.</w:t>
      </w:r>
      <w:r w:rsidR="000C0CE3">
        <w:rPr>
          <w:b/>
          <w:noProof/>
        </w:rPr>
        <w:t xml:space="preserve"> &amp;</w:t>
      </w:r>
      <w:r w:rsidRPr="00D6412D">
        <w:rPr>
          <w:b/>
          <w:noProof/>
        </w:rPr>
        <w:t xml:space="preserve"> Riginos, C.</w:t>
      </w:r>
      <w:r w:rsidRPr="00D6412D">
        <w:rPr>
          <w:noProof/>
        </w:rPr>
        <w:t xml:space="preserve"> 2015. Not the time or the place: the missing spatio-temporal link in publicly available genetic data. </w:t>
      </w:r>
      <w:r w:rsidRPr="00C02041">
        <w:rPr>
          <w:i/>
          <w:iCs/>
          <w:noProof/>
        </w:rPr>
        <w:t>Mol</w:t>
      </w:r>
      <w:r w:rsidR="000C0CE3">
        <w:rPr>
          <w:i/>
          <w:iCs/>
          <w:noProof/>
        </w:rPr>
        <w:t>.</w:t>
      </w:r>
      <w:r w:rsidRPr="00C02041">
        <w:rPr>
          <w:i/>
          <w:iCs/>
          <w:noProof/>
        </w:rPr>
        <w:t xml:space="preserve"> Ecol</w:t>
      </w:r>
      <w:r w:rsidR="000C0CE3">
        <w:rPr>
          <w:i/>
          <w:iCs/>
          <w:noProof/>
        </w:rPr>
        <w:t>.,</w:t>
      </w:r>
      <w:r w:rsidRPr="00D6412D">
        <w:rPr>
          <w:i/>
          <w:noProof/>
        </w:rPr>
        <w:t xml:space="preserve"> </w:t>
      </w:r>
      <w:r w:rsidRPr="00C02041">
        <w:rPr>
          <w:iCs/>
          <w:noProof/>
        </w:rPr>
        <w:t>24</w:t>
      </w:r>
      <w:r w:rsidR="000C0CE3">
        <w:rPr>
          <w:noProof/>
        </w:rPr>
        <w:t>:</w:t>
      </w:r>
      <w:r w:rsidRPr="00D6412D">
        <w:rPr>
          <w:noProof/>
        </w:rPr>
        <w:t xml:space="preserve"> 3802–3809.</w:t>
      </w:r>
    </w:p>
    <w:p w14:paraId="5C5F83FD" w14:textId="77777777" w:rsidR="00D6412D" w:rsidRPr="00D6412D" w:rsidRDefault="00D6412D">
      <w:pPr>
        <w:pStyle w:val="EndNoteBibliography"/>
        <w:rPr>
          <w:noProof/>
        </w:rPr>
      </w:pPr>
      <w:r w:rsidRPr="00D6412D">
        <w:rPr>
          <w:b/>
          <w:noProof/>
        </w:rPr>
        <w:t>Popp, J., Pető, K.</w:t>
      </w:r>
      <w:r w:rsidR="000C0CE3">
        <w:rPr>
          <w:b/>
          <w:noProof/>
        </w:rPr>
        <w:t xml:space="preserve"> &amp;</w:t>
      </w:r>
      <w:r w:rsidRPr="00D6412D">
        <w:rPr>
          <w:b/>
          <w:noProof/>
        </w:rPr>
        <w:t xml:space="preserve"> Nagy, J.</w:t>
      </w:r>
      <w:r w:rsidRPr="00D6412D">
        <w:rPr>
          <w:noProof/>
        </w:rPr>
        <w:t xml:space="preserve"> 2013. Pesticide productivity and food security. A review. </w:t>
      </w:r>
      <w:r w:rsidRPr="00C02041">
        <w:rPr>
          <w:i/>
          <w:iCs/>
          <w:noProof/>
        </w:rPr>
        <w:t>Agron</w:t>
      </w:r>
      <w:r w:rsidR="000C0CE3">
        <w:rPr>
          <w:i/>
          <w:iCs/>
          <w:noProof/>
        </w:rPr>
        <w:t>.</w:t>
      </w:r>
      <w:r w:rsidRPr="00C02041">
        <w:rPr>
          <w:i/>
          <w:iCs/>
          <w:noProof/>
        </w:rPr>
        <w:t xml:space="preserve"> Sustain</w:t>
      </w:r>
      <w:r w:rsidR="000C0CE3">
        <w:rPr>
          <w:i/>
          <w:iCs/>
          <w:noProof/>
        </w:rPr>
        <w:t>.</w:t>
      </w:r>
      <w:r w:rsidRPr="00C02041">
        <w:rPr>
          <w:i/>
          <w:iCs/>
          <w:noProof/>
        </w:rPr>
        <w:t xml:space="preserve"> Dev</w:t>
      </w:r>
      <w:r w:rsidR="000C0CE3">
        <w:rPr>
          <w:i/>
          <w:iCs/>
          <w:noProof/>
        </w:rPr>
        <w:t>.,</w:t>
      </w:r>
      <w:r w:rsidRPr="00D6412D">
        <w:rPr>
          <w:i/>
          <w:noProof/>
        </w:rPr>
        <w:t xml:space="preserve"> </w:t>
      </w:r>
      <w:r w:rsidRPr="00C02041">
        <w:rPr>
          <w:iCs/>
          <w:noProof/>
        </w:rPr>
        <w:t>33</w:t>
      </w:r>
      <w:r w:rsidR="000C0CE3">
        <w:rPr>
          <w:noProof/>
        </w:rPr>
        <w:t>:</w:t>
      </w:r>
      <w:r w:rsidRPr="00D6412D">
        <w:rPr>
          <w:noProof/>
        </w:rPr>
        <w:t xml:space="preserve"> 243</w:t>
      </w:r>
      <w:r w:rsidR="000C0CE3">
        <w:rPr>
          <w:noProof/>
        </w:rPr>
        <w:t>–</w:t>
      </w:r>
      <w:r w:rsidRPr="00D6412D">
        <w:rPr>
          <w:noProof/>
        </w:rPr>
        <w:t>255.</w:t>
      </w:r>
    </w:p>
    <w:p w14:paraId="57576BC2" w14:textId="77777777" w:rsidR="00D6412D" w:rsidRPr="00D6412D" w:rsidRDefault="00D6412D">
      <w:pPr>
        <w:pStyle w:val="EndNoteBibliography"/>
        <w:rPr>
          <w:noProof/>
        </w:rPr>
      </w:pPr>
      <w:r w:rsidRPr="00D6412D">
        <w:rPr>
          <w:b/>
          <w:noProof/>
        </w:rPr>
        <w:t>Prakash, K.</w:t>
      </w:r>
      <w:r w:rsidR="000C0CE3">
        <w:rPr>
          <w:b/>
          <w:noProof/>
        </w:rPr>
        <w:t xml:space="preserve"> &amp;</w:t>
      </w:r>
      <w:r w:rsidRPr="00D6412D">
        <w:rPr>
          <w:b/>
          <w:noProof/>
        </w:rPr>
        <w:t xml:space="preserve"> Fournier, D.</w:t>
      </w:r>
      <w:r w:rsidRPr="00D6412D">
        <w:rPr>
          <w:noProof/>
        </w:rPr>
        <w:t xml:space="preserve"> 2018. Evidence for the implication of the histone code in building the genome structure. </w:t>
      </w:r>
      <w:r w:rsidRPr="00C02041">
        <w:rPr>
          <w:i/>
          <w:iCs/>
          <w:noProof/>
        </w:rPr>
        <w:t>Biosys</w:t>
      </w:r>
      <w:r w:rsidR="000C0CE3">
        <w:rPr>
          <w:i/>
          <w:noProof/>
        </w:rPr>
        <w:t>.,</w:t>
      </w:r>
      <w:r w:rsidRPr="00D6412D">
        <w:rPr>
          <w:i/>
          <w:noProof/>
        </w:rPr>
        <w:t xml:space="preserve"> </w:t>
      </w:r>
      <w:r w:rsidRPr="00C02041">
        <w:rPr>
          <w:iCs/>
          <w:noProof/>
        </w:rPr>
        <w:t>164</w:t>
      </w:r>
      <w:r w:rsidR="000C0CE3">
        <w:rPr>
          <w:noProof/>
        </w:rPr>
        <w:t>:</w:t>
      </w:r>
      <w:r w:rsidRPr="00D6412D">
        <w:rPr>
          <w:noProof/>
        </w:rPr>
        <w:t xml:space="preserve"> 49</w:t>
      </w:r>
      <w:r w:rsidR="000C0CE3">
        <w:rPr>
          <w:noProof/>
        </w:rPr>
        <w:t>–</w:t>
      </w:r>
      <w:r w:rsidRPr="00D6412D">
        <w:rPr>
          <w:noProof/>
        </w:rPr>
        <w:t>59.</w:t>
      </w:r>
    </w:p>
    <w:p w14:paraId="4FCDCC10" w14:textId="77777777" w:rsidR="00D6412D" w:rsidRPr="00D6412D" w:rsidRDefault="00D6412D">
      <w:pPr>
        <w:pStyle w:val="EndNoteBibliography"/>
        <w:rPr>
          <w:noProof/>
        </w:rPr>
      </w:pPr>
      <w:r w:rsidRPr="00D6412D">
        <w:rPr>
          <w:b/>
          <w:noProof/>
        </w:rPr>
        <w:t>Prathapan, K.D., Pethiyagoda, R., Bawa, K.S., Raven, P.H.</w:t>
      </w:r>
      <w:r w:rsidR="000C0CE3">
        <w:rPr>
          <w:b/>
          <w:noProof/>
        </w:rPr>
        <w:t xml:space="preserve"> &amp;</w:t>
      </w:r>
      <w:r w:rsidRPr="00D6412D">
        <w:rPr>
          <w:b/>
          <w:noProof/>
        </w:rPr>
        <w:t xml:space="preserve"> Rajan, P.D.</w:t>
      </w:r>
      <w:r w:rsidRPr="00D6412D">
        <w:rPr>
          <w:noProof/>
        </w:rPr>
        <w:t xml:space="preserve"> 2018. When the cure kills—CBD limits biodiversity research. </w:t>
      </w:r>
      <w:r w:rsidRPr="00C02041">
        <w:rPr>
          <w:i/>
          <w:iCs/>
          <w:noProof/>
        </w:rPr>
        <w:t>Science</w:t>
      </w:r>
      <w:r w:rsidR="000C0CE3">
        <w:rPr>
          <w:i/>
          <w:noProof/>
        </w:rPr>
        <w:t>,</w:t>
      </w:r>
      <w:r w:rsidRPr="00D6412D">
        <w:rPr>
          <w:i/>
          <w:noProof/>
        </w:rPr>
        <w:t xml:space="preserve"> </w:t>
      </w:r>
      <w:r w:rsidRPr="00C02041">
        <w:rPr>
          <w:iCs/>
          <w:noProof/>
        </w:rPr>
        <w:t>360</w:t>
      </w:r>
      <w:r w:rsidR="000C0CE3">
        <w:rPr>
          <w:noProof/>
        </w:rPr>
        <w:t>:</w:t>
      </w:r>
      <w:r w:rsidRPr="00D6412D">
        <w:rPr>
          <w:noProof/>
        </w:rPr>
        <w:t xml:space="preserve"> 1405</w:t>
      </w:r>
      <w:r w:rsidR="000C0CE3">
        <w:rPr>
          <w:noProof/>
        </w:rPr>
        <w:t>–</w:t>
      </w:r>
      <w:r w:rsidRPr="00D6412D">
        <w:rPr>
          <w:noProof/>
        </w:rPr>
        <w:t>1406.</w:t>
      </w:r>
    </w:p>
    <w:p w14:paraId="251A72CE" w14:textId="77777777" w:rsidR="00D6412D" w:rsidRPr="00D6412D" w:rsidRDefault="00D6412D">
      <w:pPr>
        <w:pStyle w:val="EndNoteBibliography"/>
        <w:rPr>
          <w:noProof/>
        </w:rPr>
      </w:pPr>
      <w:r w:rsidRPr="00D6412D">
        <w:rPr>
          <w:b/>
          <w:noProof/>
        </w:rPr>
        <w:t>Ptashne, M., Johnson, A.D.</w:t>
      </w:r>
      <w:r w:rsidR="000C0CE3">
        <w:rPr>
          <w:b/>
          <w:noProof/>
        </w:rPr>
        <w:t xml:space="preserve"> &amp;</w:t>
      </w:r>
      <w:r w:rsidRPr="00D6412D">
        <w:rPr>
          <w:b/>
          <w:noProof/>
        </w:rPr>
        <w:t xml:space="preserve"> Pabo, C.O.</w:t>
      </w:r>
      <w:r w:rsidRPr="00D6412D">
        <w:rPr>
          <w:noProof/>
        </w:rPr>
        <w:t xml:space="preserve"> 1982. A genetic switch in a bacterial virus. </w:t>
      </w:r>
      <w:r w:rsidRPr="00C02041">
        <w:rPr>
          <w:i/>
          <w:iCs/>
          <w:noProof/>
        </w:rPr>
        <w:t>Sci</w:t>
      </w:r>
      <w:r w:rsidR="000C0CE3">
        <w:rPr>
          <w:i/>
          <w:iCs/>
          <w:noProof/>
        </w:rPr>
        <w:t>.</w:t>
      </w:r>
      <w:r w:rsidRPr="00C02041">
        <w:rPr>
          <w:i/>
          <w:iCs/>
          <w:noProof/>
        </w:rPr>
        <w:t xml:space="preserve"> Amer</w:t>
      </w:r>
      <w:r w:rsidR="000C0CE3">
        <w:rPr>
          <w:i/>
          <w:iCs/>
          <w:noProof/>
        </w:rPr>
        <w:t>.,</w:t>
      </w:r>
      <w:r w:rsidRPr="00381F8F">
        <w:rPr>
          <w:i/>
          <w:iCs/>
          <w:noProof/>
        </w:rPr>
        <w:t xml:space="preserve"> </w:t>
      </w:r>
      <w:r w:rsidRPr="00C02041">
        <w:rPr>
          <w:iCs/>
          <w:noProof/>
        </w:rPr>
        <w:t>247</w:t>
      </w:r>
      <w:r w:rsidR="000C0CE3">
        <w:rPr>
          <w:noProof/>
        </w:rPr>
        <w:t>:</w:t>
      </w:r>
      <w:r w:rsidRPr="00D6412D">
        <w:rPr>
          <w:noProof/>
        </w:rPr>
        <w:t xml:space="preserve"> 128</w:t>
      </w:r>
      <w:r w:rsidR="000C0CE3">
        <w:rPr>
          <w:noProof/>
        </w:rPr>
        <w:t>–</w:t>
      </w:r>
      <w:r w:rsidRPr="00D6412D">
        <w:rPr>
          <w:noProof/>
        </w:rPr>
        <w:t>140.</w:t>
      </w:r>
    </w:p>
    <w:p w14:paraId="02B31F62" w14:textId="77777777" w:rsidR="00D6412D" w:rsidRPr="00D6412D" w:rsidRDefault="00D6412D">
      <w:pPr>
        <w:pStyle w:val="EndNoteBibliography"/>
        <w:rPr>
          <w:noProof/>
        </w:rPr>
      </w:pPr>
      <w:r w:rsidRPr="00D6412D">
        <w:rPr>
          <w:b/>
          <w:noProof/>
        </w:rPr>
        <w:t>Rajan, K.</w:t>
      </w:r>
      <w:r w:rsidRPr="00D6412D">
        <w:rPr>
          <w:noProof/>
        </w:rPr>
        <w:t xml:space="preserve"> 2015. Materials informatics: the materials 'gene' and big data. </w:t>
      </w:r>
      <w:r w:rsidRPr="00C02041">
        <w:rPr>
          <w:i/>
          <w:iCs/>
          <w:noProof/>
        </w:rPr>
        <w:t>Annu</w:t>
      </w:r>
      <w:r w:rsidR="009D14A9">
        <w:rPr>
          <w:i/>
          <w:iCs/>
          <w:noProof/>
        </w:rPr>
        <w:t>.</w:t>
      </w:r>
      <w:r w:rsidRPr="00C02041">
        <w:rPr>
          <w:i/>
          <w:iCs/>
          <w:noProof/>
        </w:rPr>
        <w:t xml:space="preserve"> Rev</w:t>
      </w:r>
      <w:r w:rsidR="009D14A9">
        <w:rPr>
          <w:i/>
          <w:iCs/>
          <w:noProof/>
        </w:rPr>
        <w:t>.</w:t>
      </w:r>
      <w:r w:rsidRPr="00C02041">
        <w:rPr>
          <w:i/>
          <w:iCs/>
          <w:noProof/>
        </w:rPr>
        <w:t xml:space="preserve"> Mater</w:t>
      </w:r>
      <w:r w:rsidR="009D14A9">
        <w:rPr>
          <w:i/>
          <w:iCs/>
          <w:noProof/>
        </w:rPr>
        <w:t>.</w:t>
      </w:r>
      <w:r w:rsidRPr="00C02041">
        <w:rPr>
          <w:i/>
          <w:iCs/>
          <w:noProof/>
        </w:rPr>
        <w:t xml:space="preserve"> Res</w:t>
      </w:r>
      <w:r w:rsidR="009D14A9">
        <w:rPr>
          <w:i/>
          <w:iCs/>
          <w:noProof/>
        </w:rPr>
        <w:t>.,</w:t>
      </w:r>
      <w:r w:rsidRPr="00C02041">
        <w:rPr>
          <w:iCs/>
          <w:noProof/>
        </w:rPr>
        <w:t xml:space="preserve"> 45</w:t>
      </w:r>
      <w:r w:rsidR="009D14A9">
        <w:rPr>
          <w:noProof/>
        </w:rPr>
        <w:t>:</w:t>
      </w:r>
      <w:r w:rsidRPr="00D6412D">
        <w:rPr>
          <w:noProof/>
        </w:rPr>
        <w:t xml:space="preserve"> 153</w:t>
      </w:r>
      <w:r w:rsidR="009D14A9">
        <w:rPr>
          <w:noProof/>
        </w:rPr>
        <w:t>–</w:t>
      </w:r>
      <w:r w:rsidRPr="00D6412D">
        <w:rPr>
          <w:noProof/>
        </w:rPr>
        <w:t>169.</w:t>
      </w:r>
    </w:p>
    <w:p w14:paraId="2CC79E36" w14:textId="77777777" w:rsidR="00D6412D" w:rsidRPr="00D6412D" w:rsidRDefault="00D6412D">
      <w:pPr>
        <w:pStyle w:val="EndNoteBibliography"/>
        <w:rPr>
          <w:noProof/>
        </w:rPr>
      </w:pPr>
      <w:r w:rsidRPr="00D6412D">
        <w:rPr>
          <w:b/>
          <w:noProof/>
        </w:rPr>
        <w:t>Rando, O.J.</w:t>
      </w:r>
      <w:r w:rsidRPr="00D6412D">
        <w:rPr>
          <w:noProof/>
        </w:rPr>
        <w:t xml:space="preserve"> 2012. Combinatorial complexity in chromatin structure and function: revisiting the histone code. </w:t>
      </w:r>
      <w:r w:rsidRPr="00C02041">
        <w:rPr>
          <w:i/>
          <w:iCs/>
          <w:noProof/>
        </w:rPr>
        <w:t>Curr</w:t>
      </w:r>
      <w:r w:rsidR="009D14A9">
        <w:rPr>
          <w:i/>
          <w:iCs/>
          <w:noProof/>
        </w:rPr>
        <w:t>.</w:t>
      </w:r>
      <w:r w:rsidRPr="00C02041">
        <w:rPr>
          <w:i/>
          <w:iCs/>
          <w:noProof/>
        </w:rPr>
        <w:t xml:space="preserve"> Opin</w:t>
      </w:r>
      <w:r w:rsidR="009D14A9">
        <w:rPr>
          <w:i/>
          <w:iCs/>
          <w:noProof/>
        </w:rPr>
        <w:t>.</w:t>
      </w:r>
      <w:r w:rsidRPr="00C02041">
        <w:rPr>
          <w:i/>
          <w:iCs/>
          <w:noProof/>
        </w:rPr>
        <w:t xml:space="preserve"> Genet</w:t>
      </w:r>
      <w:r w:rsidR="009D14A9">
        <w:rPr>
          <w:i/>
          <w:iCs/>
          <w:noProof/>
        </w:rPr>
        <w:t>.</w:t>
      </w:r>
      <w:r w:rsidRPr="00C02041">
        <w:rPr>
          <w:i/>
          <w:iCs/>
          <w:noProof/>
        </w:rPr>
        <w:t xml:space="preserve"> Develop</w:t>
      </w:r>
      <w:r w:rsidR="009D14A9">
        <w:rPr>
          <w:i/>
          <w:iCs/>
          <w:noProof/>
        </w:rPr>
        <w:t>.,</w:t>
      </w:r>
      <w:r w:rsidRPr="00D6412D">
        <w:rPr>
          <w:i/>
          <w:noProof/>
        </w:rPr>
        <w:t xml:space="preserve"> </w:t>
      </w:r>
      <w:r w:rsidRPr="00C02041">
        <w:rPr>
          <w:iCs/>
          <w:noProof/>
        </w:rPr>
        <w:t>22</w:t>
      </w:r>
      <w:r w:rsidR="009D14A9">
        <w:rPr>
          <w:noProof/>
        </w:rPr>
        <w:t>:</w:t>
      </w:r>
      <w:r w:rsidRPr="00D6412D">
        <w:rPr>
          <w:noProof/>
        </w:rPr>
        <w:t xml:space="preserve"> 148</w:t>
      </w:r>
      <w:r w:rsidR="009D14A9">
        <w:rPr>
          <w:noProof/>
        </w:rPr>
        <w:t>–</w:t>
      </w:r>
      <w:r w:rsidRPr="00D6412D">
        <w:rPr>
          <w:noProof/>
        </w:rPr>
        <w:t>155.</w:t>
      </w:r>
    </w:p>
    <w:p w14:paraId="010D4C86" w14:textId="77777777" w:rsidR="00D6412D" w:rsidRPr="00D6412D" w:rsidRDefault="00D6412D">
      <w:pPr>
        <w:pStyle w:val="EndNoteBibliography"/>
        <w:rPr>
          <w:noProof/>
        </w:rPr>
      </w:pPr>
      <w:r w:rsidRPr="00D6412D">
        <w:rPr>
          <w:b/>
          <w:noProof/>
        </w:rPr>
        <w:t>Rantsiou, K., Kathariou, S., Winkler, A., Skandamis, P., Saint-Cyr, M.J., Rouzeau-Szynalski, K.</w:t>
      </w:r>
      <w:r w:rsidR="009D14A9">
        <w:rPr>
          <w:b/>
          <w:noProof/>
        </w:rPr>
        <w:t xml:space="preserve"> &amp;</w:t>
      </w:r>
      <w:r w:rsidRPr="00D6412D">
        <w:rPr>
          <w:b/>
          <w:noProof/>
        </w:rPr>
        <w:t xml:space="preserve"> Amézquita, A.</w:t>
      </w:r>
      <w:r w:rsidRPr="00D6412D">
        <w:rPr>
          <w:noProof/>
        </w:rPr>
        <w:t xml:space="preserve"> 2017. Next generation microbiological risk assessment: opportunities of whole genome sequencing (WGS) for foodborne pathogen surveillance, source tracking and risk assessment. </w:t>
      </w:r>
      <w:r w:rsidRPr="00C02041">
        <w:rPr>
          <w:i/>
          <w:iCs/>
          <w:noProof/>
        </w:rPr>
        <w:t>Int</w:t>
      </w:r>
      <w:r w:rsidR="009D14A9">
        <w:rPr>
          <w:i/>
          <w:iCs/>
          <w:noProof/>
        </w:rPr>
        <w:t>.</w:t>
      </w:r>
      <w:r w:rsidRPr="00C02041">
        <w:rPr>
          <w:i/>
          <w:iCs/>
          <w:noProof/>
        </w:rPr>
        <w:t xml:space="preserve"> J</w:t>
      </w:r>
      <w:r w:rsidR="009D14A9">
        <w:rPr>
          <w:i/>
          <w:iCs/>
          <w:noProof/>
        </w:rPr>
        <w:t>.</w:t>
      </w:r>
      <w:r w:rsidRPr="00C02041">
        <w:rPr>
          <w:i/>
          <w:iCs/>
          <w:noProof/>
        </w:rPr>
        <w:t xml:space="preserve"> Food Microbiol</w:t>
      </w:r>
      <w:r w:rsidR="009D14A9">
        <w:rPr>
          <w:i/>
          <w:iCs/>
          <w:noProof/>
        </w:rPr>
        <w:t>.,</w:t>
      </w:r>
      <w:r w:rsidRPr="00D6412D">
        <w:rPr>
          <w:i/>
          <w:noProof/>
        </w:rPr>
        <w:t xml:space="preserve"> </w:t>
      </w:r>
      <w:r w:rsidRPr="00C02041">
        <w:rPr>
          <w:iCs/>
          <w:noProof/>
        </w:rPr>
        <w:t>S0168</w:t>
      </w:r>
      <w:r w:rsidR="009D14A9">
        <w:rPr>
          <w:iCs/>
          <w:noProof/>
        </w:rPr>
        <w:t>–</w:t>
      </w:r>
      <w:r w:rsidRPr="00C02041">
        <w:rPr>
          <w:iCs/>
          <w:noProof/>
        </w:rPr>
        <w:t>1605</w:t>
      </w:r>
      <w:r w:rsidR="009D14A9">
        <w:rPr>
          <w:noProof/>
        </w:rPr>
        <w:t>:</w:t>
      </w:r>
      <w:r w:rsidRPr="00D6412D">
        <w:rPr>
          <w:noProof/>
        </w:rPr>
        <w:t xml:space="preserve"> 30500</w:t>
      </w:r>
      <w:r w:rsidR="009D14A9">
        <w:rPr>
          <w:noProof/>
        </w:rPr>
        <w:t>–</w:t>
      </w:r>
      <w:r w:rsidRPr="00D6412D">
        <w:rPr>
          <w:noProof/>
        </w:rPr>
        <w:t>30507.</w:t>
      </w:r>
    </w:p>
    <w:p w14:paraId="763D5F0F" w14:textId="77777777" w:rsidR="00D6412D" w:rsidRPr="00D6412D" w:rsidRDefault="00D6412D">
      <w:pPr>
        <w:pStyle w:val="EndNoteBibliography"/>
        <w:rPr>
          <w:noProof/>
        </w:rPr>
      </w:pPr>
      <w:r w:rsidRPr="00D6412D">
        <w:rPr>
          <w:b/>
          <w:noProof/>
        </w:rPr>
        <w:t>Rawat, S.</w:t>
      </w:r>
      <w:r w:rsidR="009D14A9">
        <w:rPr>
          <w:b/>
          <w:noProof/>
        </w:rPr>
        <w:t xml:space="preserve"> &amp;</w:t>
      </w:r>
      <w:r w:rsidRPr="00D6412D">
        <w:rPr>
          <w:b/>
          <w:noProof/>
        </w:rPr>
        <w:t xml:space="preserve"> Meena, S.</w:t>
      </w:r>
      <w:r w:rsidRPr="00D6412D">
        <w:rPr>
          <w:noProof/>
        </w:rPr>
        <w:t xml:space="preserve"> 2014. Publish or perish: Where are we heading? </w:t>
      </w:r>
      <w:r w:rsidRPr="00C02041">
        <w:rPr>
          <w:i/>
          <w:iCs/>
          <w:noProof/>
        </w:rPr>
        <w:t>J</w:t>
      </w:r>
      <w:r w:rsidR="009D14A9">
        <w:rPr>
          <w:i/>
          <w:iCs/>
          <w:noProof/>
        </w:rPr>
        <w:t>.</w:t>
      </w:r>
      <w:r w:rsidRPr="00C02041">
        <w:rPr>
          <w:i/>
          <w:iCs/>
          <w:noProof/>
        </w:rPr>
        <w:t xml:space="preserve"> Res</w:t>
      </w:r>
      <w:r w:rsidR="009D14A9">
        <w:rPr>
          <w:i/>
          <w:iCs/>
          <w:noProof/>
        </w:rPr>
        <w:t>.</w:t>
      </w:r>
      <w:r w:rsidRPr="00C02041">
        <w:rPr>
          <w:i/>
          <w:iCs/>
          <w:noProof/>
        </w:rPr>
        <w:t xml:space="preserve"> Med</w:t>
      </w:r>
      <w:r w:rsidR="009D14A9">
        <w:rPr>
          <w:i/>
          <w:iCs/>
          <w:noProof/>
        </w:rPr>
        <w:t>.</w:t>
      </w:r>
      <w:r w:rsidRPr="00C02041">
        <w:rPr>
          <w:i/>
          <w:iCs/>
          <w:noProof/>
        </w:rPr>
        <w:t xml:space="preserve"> Sci</w:t>
      </w:r>
      <w:r w:rsidR="009D14A9">
        <w:rPr>
          <w:i/>
          <w:iCs/>
          <w:noProof/>
        </w:rPr>
        <w:t>.,</w:t>
      </w:r>
      <w:r w:rsidRPr="00381F8F">
        <w:rPr>
          <w:i/>
          <w:iCs/>
          <w:noProof/>
        </w:rPr>
        <w:t xml:space="preserve"> </w:t>
      </w:r>
      <w:r w:rsidRPr="00C02041">
        <w:rPr>
          <w:iCs/>
          <w:noProof/>
        </w:rPr>
        <w:t>19</w:t>
      </w:r>
      <w:r w:rsidR="009D14A9">
        <w:rPr>
          <w:noProof/>
        </w:rPr>
        <w:t>:</w:t>
      </w:r>
      <w:r w:rsidRPr="00D6412D">
        <w:rPr>
          <w:noProof/>
        </w:rPr>
        <w:t xml:space="preserve"> 87</w:t>
      </w:r>
      <w:r w:rsidR="009D14A9">
        <w:rPr>
          <w:noProof/>
        </w:rPr>
        <w:t>–</w:t>
      </w:r>
      <w:r w:rsidRPr="00D6412D">
        <w:rPr>
          <w:noProof/>
        </w:rPr>
        <w:t>89.</w:t>
      </w:r>
    </w:p>
    <w:p w14:paraId="2B74AD00" w14:textId="77777777" w:rsidR="00AB3257" w:rsidRPr="003576BC" w:rsidRDefault="00AB3257" w:rsidP="00AB3257">
      <w:pPr>
        <w:pStyle w:val="EndNoteBibliography"/>
        <w:ind w:left="567" w:hanging="567"/>
        <w:rPr>
          <w:noProof/>
        </w:rPr>
      </w:pPr>
      <w:r w:rsidRPr="003576BC">
        <w:rPr>
          <w:b/>
          <w:noProof/>
        </w:rPr>
        <w:t>Reardon, S.</w:t>
      </w:r>
      <w:r w:rsidRPr="003576BC">
        <w:rPr>
          <w:noProof/>
        </w:rPr>
        <w:t xml:space="preserve"> 2016. Welcome to the CRISPR zoo. </w:t>
      </w:r>
      <w:r w:rsidRPr="006A3DA9">
        <w:rPr>
          <w:i/>
          <w:noProof/>
        </w:rPr>
        <w:t>Nature</w:t>
      </w:r>
      <w:r w:rsidRPr="003576BC">
        <w:rPr>
          <w:noProof/>
        </w:rPr>
        <w:t>,</w:t>
      </w:r>
      <w:r w:rsidRPr="003576BC">
        <w:rPr>
          <w:i/>
          <w:noProof/>
        </w:rPr>
        <w:t xml:space="preserve"> </w:t>
      </w:r>
      <w:r w:rsidRPr="006A3DA9">
        <w:rPr>
          <w:noProof/>
        </w:rPr>
        <w:t>531:</w:t>
      </w:r>
      <w:r w:rsidRPr="003576BC">
        <w:rPr>
          <w:noProof/>
        </w:rPr>
        <w:t xml:space="preserve"> 160–163.</w:t>
      </w:r>
    </w:p>
    <w:p w14:paraId="361DA341" w14:textId="77777777" w:rsidR="00D6412D" w:rsidRPr="00D6412D" w:rsidRDefault="00D6412D">
      <w:pPr>
        <w:pStyle w:val="EndNoteBibliography"/>
        <w:rPr>
          <w:noProof/>
        </w:rPr>
      </w:pPr>
      <w:r w:rsidRPr="00D6412D">
        <w:rPr>
          <w:b/>
          <w:noProof/>
        </w:rPr>
        <w:t>Regalado, A.</w:t>
      </w:r>
      <w:r w:rsidRPr="00D6412D">
        <w:rPr>
          <w:noProof/>
        </w:rPr>
        <w:t xml:space="preserve"> 2016. 23andMe sells data for drug search. In </w:t>
      </w:r>
      <w:r w:rsidRPr="00C02041">
        <w:rPr>
          <w:i/>
          <w:iCs/>
          <w:noProof/>
        </w:rPr>
        <w:t>MIT Technology Review</w:t>
      </w:r>
      <w:r w:rsidRPr="00D6412D">
        <w:rPr>
          <w:noProof/>
        </w:rPr>
        <w:t xml:space="preserve"> </w:t>
      </w:r>
      <w:r w:rsidR="009D14A9">
        <w:rPr>
          <w:noProof/>
        </w:rPr>
        <w:t>(</w:t>
      </w:r>
      <w:r w:rsidR="009D14A9" w:rsidRPr="009D14A9">
        <w:rPr>
          <w:noProof/>
        </w:rPr>
        <w:t>available at</w:t>
      </w:r>
      <w:r w:rsidR="009D14A9" w:rsidRPr="009D14A9">
        <w:rPr>
          <w:rStyle w:val="Hyperlink"/>
          <w:noProof/>
          <w:color w:val="auto"/>
          <w:u w:val="none"/>
        </w:rPr>
        <w:t xml:space="preserve"> </w:t>
      </w:r>
      <w:r w:rsidRPr="002C26BB">
        <w:rPr>
          <w:rStyle w:val="Hyperlink"/>
          <w:noProof/>
          <w:sz w:val="24"/>
        </w:rPr>
        <w:t>https://www.technologyreview.com/s/601506/23andme-sells-data-for-drug-search/</w:t>
      </w:r>
      <w:r w:rsidR="009D14A9">
        <w:rPr>
          <w:rStyle w:val="Hyperlink"/>
          <w:noProof/>
          <w:sz w:val="24"/>
        </w:rPr>
        <w:t>)</w:t>
      </w:r>
      <w:r w:rsidRPr="00D6412D">
        <w:rPr>
          <w:noProof/>
        </w:rPr>
        <w:t>.</w:t>
      </w:r>
    </w:p>
    <w:p w14:paraId="2A0CCEAE" w14:textId="77777777" w:rsidR="00D6412D" w:rsidRPr="00D6412D" w:rsidRDefault="00D6412D">
      <w:pPr>
        <w:pStyle w:val="EndNoteBibliography"/>
        <w:rPr>
          <w:noProof/>
        </w:rPr>
      </w:pPr>
      <w:r w:rsidRPr="00D6412D">
        <w:rPr>
          <w:b/>
          <w:noProof/>
        </w:rPr>
        <w:t>Remington, K.A., Heidelberg, K.</w:t>
      </w:r>
      <w:r w:rsidR="009D14A9">
        <w:rPr>
          <w:b/>
          <w:noProof/>
        </w:rPr>
        <w:t xml:space="preserve"> &amp;</w:t>
      </w:r>
      <w:r w:rsidRPr="00D6412D">
        <w:rPr>
          <w:b/>
          <w:noProof/>
        </w:rPr>
        <w:t xml:space="preserve"> Venter, J.C.</w:t>
      </w:r>
      <w:r w:rsidRPr="00D6412D">
        <w:rPr>
          <w:noProof/>
        </w:rPr>
        <w:t xml:space="preserve"> 2005. Taking metagenomic studies in context. </w:t>
      </w:r>
      <w:r w:rsidRPr="00C02041">
        <w:rPr>
          <w:i/>
          <w:iCs/>
          <w:noProof/>
        </w:rPr>
        <w:t>Trend Microbiol</w:t>
      </w:r>
      <w:r w:rsidR="009D14A9">
        <w:rPr>
          <w:i/>
          <w:iCs/>
          <w:noProof/>
        </w:rPr>
        <w:t>.,</w:t>
      </w:r>
      <w:r w:rsidRPr="00D6412D">
        <w:rPr>
          <w:i/>
          <w:noProof/>
        </w:rPr>
        <w:t xml:space="preserve"> </w:t>
      </w:r>
      <w:r w:rsidRPr="00C02041">
        <w:rPr>
          <w:iCs/>
          <w:noProof/>
        </w:rPr>
        <w:t>13</w:t>
      </w:r>
      <w:r w:rsidR="009D14A9">
        <w:rPr>
          <w:noProof/>
        </w:rPr>
        <w:t>:</w:t>
      </w:r>
      <w:r w:rsidRPr="00D6412D">
        <w:rPr>
          <w:noProof/>
        </w:rPr>
        <w:t xml:space="preserve"> 404.</w:t>
      </w:r>
    </w:p>
    <w:p w14:paraId="4861A96D" w14:textId="77777777" w:rsidR="00D6412D" w:rsidRPr="00D6412D" w:rsidRDefault="00D6412D">
      <w:pPr>
        <w:pStyle w:val="EndNoteBibliography"/>
        <w:rPr>
          <w:noProof/>
        </w:rPr>
      </w:pPr>
      <w:r w:rsidRPr="00D6412D">
        <w:rPr>
          <w:b/>
          <w:noProof/>
        </w:rPr>
        <w:t>ResFinder</w:t>
      </w:r>
      <w:r w:rsidRPr="00D6412D">
        <w:rPr>
          <w:noProof/>
        </w:rPr>
        <w:t xml:space="preserve">. </w:t>
      </w:r>
      <w:r w:rsidRPr="002C26BB">
        <w:rPr>
          <w:rStyle w:val="Hyperlink"/>
          <w:noProof/>
          <w:sz w:val="24"/>
        </w:rPr>
        <w:t>https://cge.cbs.dtu.dk/services/ResFinder/</w:t>
      </w:r>
      <w:r w:rsidRPr="00D6412D">
        <w:rPr>
          <w:noProof/>
        </w:rPr>
        <w:t xml:space="preserve"> </w:t>
      </w:r>
      <w:r w:rsidR="009D14A9">
        <w:rPr>
          <w:noProof/>
        </w:rPr>
        <w:t>a</w:t>
      </w:r>
      <w:r w:rsidRPr="00D6412D">
        <w:rPr>
          <w:noProof/>
        </w:rPr>
        <w:t>ccess</w:t>
      </w:r>
      <w:r w:rsidR="009D14A9">
        <w:rPr>
          <w:noProof/>
        </w:rPr>
        <w:t>ed</w:t>
      </w:r>
      <w:r w:rsidRPr="00D6412D">
        <w:rPr>
          <w:noProof/>
        </w:rPr>
        <w:t xml:space="preserve"> 28 November 2017</w:t>
      </w:r>
      <w:r w:rsidR="009D14A9">
        <w:rPr>
          <w:noProof/>
        </w:rPr>
        <w:t>.</w:t>
      </w:r>
    </w:p>
    <w:p w14:paraId="65AD879F" w14:textId="77777777" w:rsidR="00D6412D" w:rsidRPr="002C26BB" w:rsidRDefault="00D6412D">
      <w:pPr>
        <w:pStyle w:val="EndNoteBibliography"/>
        <w:rPr>
          <w:noProof/>
        </w:rPr>
      </w:pPr>
      <w:r w:rsidRPr="00D6412D">
        <w:rPr>
          <w:b/>
          <w:noProof/>
        </w:rPr>
        <w:t>Revellin, C., Harmann, A., Solanas, S.</w:t>
      </w:r>
      <w:r w:rsidR="009D14A9">
        <w:rPr>
          <w:b/>
          <w:noProof/>
        </w:rPr>
        <w:t xml:space="preserve"> &amp;</w:t>
      </w:r>
      <w:r w:rsidRPr="00D6412D">
        <w:rPr>
          <w:b/>
          <w:noProof/>
        </w:rPr>
        <w:t xml:space="preserve"> Topp, E.</w:t>
      </w:r>
      <w:r w:rsidRPr="00D6412D">
        <w:rPr>
          <w:noProof/>
        </w:rPr>
        <w:t xml:space="preserve"> 2018. Long term exposure of agricultural soil to antibiotics changes the population structure of symbiotic nitrogen-fixing Rhzobacteria occupying nodules of soybeans (Glycine max). </w:t>
      </w:r>
      <w:r w:rsidRPr="00C02041">
        <w:rPr>
          <w:i/>
          <w:iCs/>
          <w:noProof/>
        </w:rPr>
        <w:t>Appl</w:t>
      </w:r>
      <w:r w:rsidR="009D14A9">
        <w:rPr>
          <w:i/>
          <w:iCs/>
          <w:noProof/>
        </w:rPr>
        <w:t>.</w:t>
      </w:r>
      <w:r w:rsidRPr="00C02041">
        <w:rPr>
          <w:i/>
          <w:iCs/>
          <w:noProof/>
        </w:rPr>
        <w:t xml:space="preserve"> Environ</w:t>
      </w:r>
      <w:r w:rsidR="009D14A9">
        <w:rPr>
          <w:i/>
          <w:iCs/>
          <w:noProof/>
        </w:rPr>
        <w:t>.</w:t>
      </w:r>
      <w:r w:rsidRPr="00C02041">
        <w:rPr>
          <w:i/>
          <w:iCs/>
          <w:noProof/>
        </w:rPr>
        <w:t xml:space="preserve"> Microbiol</w:t>
      </w:r>
      <w:r w:rsidR="009D14A9" w:rsidRPr="002C26BB">
        <w:rPr>
          <w:i/>
          <w:iCs/>
          <w:noProof/>
        </w:rPr>
        <w:t>.,</w:t>
      </w:r>
      <w:r w:rsidRPr="00381F8F">
        <w:rPr>
          <w:i/>
          <w:iCs/>
          <w:noProof/>
        </w:rPr>
        <w:t xml:space="preserve"> </w:t>
      </w:r>
      <w:r w:rsidRPr="00C02041">
        <w:rPr>
          <w:iCs/>
          <w:noProof/>
        </w:rPr>
        <w:t>84</w:t>
      </w:r>
      <w:r w:rsidR="009D14A9" w:rsidRPr="002C26BB">
        <w:rPr>
          <w:noProof/>
        </w:rPr>
        <w:t>:</w:t>
      </w:r>
      <w:r w:rsidRPr="002C26BB">
        <w:rPr>
          <w:noProof/>
        </w:rPr>
        <w:t xml:space="preserve"> e00109</w:t>
      </w:r>
      <w:r w:rsidR="009D14A9" w:rsidRPr="002C26BB">
        <w:rPr>
          <w:noProof/>
        </w:rPr>
        <w:t>–</w:t>
      </w:r>
      <w:r w:rsidRPr="002C26BB">
        <w:rPr>
          <w:noProof/>
        </w:rPr>
        <w:t>00118.</w:t>
      </w:r>
    </w:p>
    <w:p w14:paraId="4D38D479" w14:textId="77777777" w:rsidR="00D6412D" w:rsidRPr="00D6412D" w:rsidRDefault="00D6412D">
      <w:pPr>
        <w:pStyle w:val="EndNoteBibliography"/>
        <w:rPr>
          <w:noProof/>
        </w:rPr>
      </w:pPr>
      <w:r w:rsidRPr="002C26BB">
        <w:rPr>
          <w:b/>
          <w:noProof/>
        </w:rPr>
        <w:t>Ribeiro, G.O., Gruninger, R.J., Badhan, A.</w:t>
      </w:r>
      <w:r w:rsidR="009D14A9" w:rsidRPr="002C26BB">
        <w:rPr>
          <w:b/>
          <w:noProof/>
        </w:rPr>
        <w:t xml:space="preserve"> </w:t>
      </w:r>
      <w:r w:rsidR="009D14A9" w:rsidRPr="00C02041">
        <w:rPr>
          <w:b/>
          <w:noProof/>
          <w:lang w:val="en-US"/>
        </w:rPr>
        <w:t>&amp;</w:t>
      </w:r>
      <w:r w:rsidRPr="00C02041">
        <w:rPr>
          <w:b/>
          <w:noProof/>
          <w:lang w:val="en-US"/>
        </w:rPr>
        <w:t xml:space="preserve"> </w:t>
      </w:r>
      <w:r w:rsidRPr="00D6412D">
        <w:rPr>
          <w:b/>
          <w:noProof/>
        </w:rPr>
        <w:t>McAllister, T.A.</w:t>
      </w:r>
      <w:r w:rsidRPr="00D6412D">
        <w:rPr>
          <w:noProof/>
        </w:rPr>
        <w:t xml:space="preserve"> 2016. Mining the rumen for fibrolytic feed enzymes. </w:t>
      </w:r>
      <w:r w:rsidRPr="00C02041">
        <w:rPr>
          <w:i/>
          <w:iCs/>
          <w:noProof/>
        </w:rPr>
        <w:t>Animal Front</w:t>
      </w:r>
      <w:r w:rsidR="009D14A9">
        <w:rPr>
          <w:i/>
          <w:noProof/>
        </w:rPr>
        <w:t>.,</w:t>
      </w:r>
      <w:r w:rsidRPr="00D6412D">
        <w:rPr>
          <w:i/>
          <w:noProof/>
        </w:rPr>
        <w:t xml:space="preserve"> </w:t>
      </w:r>
      <w:r w:rsidRPr="00C02041">
        <w:rPr>
          <w:iCs/>
          <w:noProof/>
        </w:rPr>
        <w:t>6</w:t>
      </w:r>
      <w:r w:rsidR="009D14A9">
        <w:rPr>
          <w:noProof/>
        </w:rPr>
        <w:t>:</w:t>
      </w:r>
      <w:r w:rsidRPr="00D6412D">
        <w:rPr>
          <w:noProof/>
        </w:rPr>
        <w:t xml:space="preserve"> 20</w:t>
      </w:r>
      <w:r w:rsidR="009D14A9">
        <w:rPr>
          <w:noProof/>
        </w:rPr>
        <w:t>–</w:t>
      </w:r>
      <w:r w:rsidRPr="00D6412D">
        <w:rPr>
          <w:noProof/>
        </w:rPr>
        <w:t>26.</w:t>
      </w:r>
    </w:p>
    <w:p w14:paraId="183C0D83" w14:textId="77777777" w:rsidR="00D6412D" w:rsidRPr="00D6412D" w:rsidRDefault="00D6412D">
      <w:pPr>
        <w:pStyle w:val="EndNoteBibliography"/>
        <w:rPr>
          <w:noProof/>
        </w:rPr>
      </w:pPr>
      <w:r w:rsidRPr="00D6412D">
        <w:rPr>
          <w:b/>
          <w:noProof/>
        </w:rPr>
        <w:t>Richards, R.A., Rebetzke, G.J., Watt, M., Condon, A.G., Spielmeyer, W.</w:t>
      </w:r>
      <w:r w:rsidR="009D14A9">
        <w:rPr>
          <w:b/>
          <w:noProof/>
        </w:rPr>
        <w:t xml:space="preserve"> &amp;</w:t>
      </w:r>
      <w:r w:rsidRPr="00D6412D">
        <w:rPr>
          <w:b/>
          <w:noProof/>
        </w:rPr>
        <w:t xml:space="preserve"> Dolferus, R.</w:t>
      </w:r>
      <w:r w:rsidRPr="00D6412D">
        <w:rPr>
          <w:noProof/>
        </w:rPr>
        <w:t xml:space="preserve"> 2010. Breeding for improved water productivity in temperate cereals: phenotyping, quantitative trait loci, markers and the selection environment. </w:t>
      </w:r>
      <w:r w:rsidRPr="00C02041">
        <w:rPr>
          <w:i/>
          <w:iCs/>
          <w:noProof/>
        </w:rPr>
        <w:t>Funct</w:t>
      </w:r>
      <w:r w:rsidR="009D14A9">
        <w:rPr>
          <w:i/>
          <w:iCs/>
          <w:noProof/>
        </w:rPr>
        <w:t>.</w:t>
      </w:r>
      <w:r w:rsidRPr="00C02041">
        <w:rPr>
          <w:i/>
          <w:iCs/>
          <w:noProof/>
        </w:rPr>
        <w:t xml:space="preserve"> Plant Biol</w:t>
      </w:r>
      <w:r w:rsidR="009D14A9">
        <w:rPr>
          <w:i/>
          <w:iCs/>
          <w:noProof/>
        </w:rPr>
        <w:t>.,</w:t>
      </w:r>
      <w:r w:rsidRPr="00D6412D">
        <w:rPr>
          <w:i/>
          <w:noProof/>
        </w:rPr>
        <w:t xml:space="preserve"> </w:t>
      </w:r>
      <w:r w:rsidRPr="00C02041">
        <w:rPr>
          <w:iCs/>
          <w:noProof/>
        </w:rPr>
        <w:t>37</w:t>
      </w:r>
      <w:r w:rsidR="009D14A9">
        <w:rPr>
          <w:noProof/>
        </w:rPr>
        <w:t>:</w:t>
      </w:r>
      <w:r w:rsidRPr="00D6412D">
        <w:rPr>
          <w:noProof/>
        </w:rPr>
        <w:t xml:space="preserve"> 85</w:t>
      </w:r>
      <w:r w:rsidR="009D14A9">
        <w:rPr>
          <w:noProof/>
        </w:rPr>
        <w:t>–</w:t>
      </w:r>
      <w:r w:rsidRPr="00D6412D">
        <w:rPr>
          <w:noProof/>
        </w:rPr>
        <w:t>97.</w:t>
      </w:r>
    </w:p>
    <w:p w14:paraId="52DF0F1D" w14:textId="77777777" w:rsidR="00D6412D" w:rsidRPr="00D6412D" w:rsidRDefault="00D6412D">
      <w:pPr>
        <w:pStyle w:val="EndNoteBibliography"/>
        <w:rPr>
          <w:noProof/>
        </w:rPr>
      </w:pPr>
      <w:r w:rsidRPr="00D6412D">
        <w:rPr>
          <w:b/>
          <w:noProof/>
        </w:rPr>
        <w:t>Richardson, S.M., Mitchell, L.A., Stracquadanio, G., Yang, K., Dymond, J.S., DiCarlo, J.E., Lee, D., Huang, C.L.V., Chandrasegaran, S., Cai, Y.</w:t>
      </w:r>
      <w:r w:rsidRPr="00D6412D">
        <w:rPr>
          <w:b/>
          <w:i/>
          <w:noProof/>
        </w:rPr>
        <w:t>, et al.</w:t>
      </w:r>
      <w:r w:rsidRPr="00D6412D">
        <w:rPr>
          <w:noProof/>
        </w:rPr>
        <w:t xml:space="preserve"> 2017. Design of a synthetic yeast genome. </w:t>
      </w:r>
      <w:r w:rsidRPr="00C02041">
        <w:rPr>
          <w:i/>
          <w:iCs/>
          <w:noProof/>
        </w:rPr>
        <w:t>Science</w:t>
      </w:r>
      <w:r w:rsidR="009D14A9">
        <w:rPr>
          <w:i/>
          <w:iCs/>
          <w:noProof/>
        </w:rPr>
        <w:t>,</w:t>
      </w:r>
      <w:r w:rsidRPr="00381F8F">
        <w:rPr>
          <w:i/>
          <w:iCs/>
          <w:noProof/>
        </w:rPr>
        <w:t xml:space="preserve"> </w:t>
      </w:r>
      <w:r w:rsidRPr="00C02041">
        <w:rPr>
          <w:iCs/>
          <w:noProof/>
        </w:rPr>
        <w:t>355</w:t>
      </w:r>
      <w:r w:rsidR="009D14A9">
        <w:rPr>
          <w:noProof/>
        </w:rPr>
        <w:t>:</w:t>
      </w:r>
      <w:r w:rsidRPr="00D6412D">
        <w:rPr>
          <w:noProof/>
        </w:rPr>
        <w:t xml:space="preserve"> 1040</w:t>
      </w:r>
      <w:r w:rsidR="009D14A9">
        <w:rPr>
          <w:noProof/>
        </w:rPr>
        <w:t>–</w:t>
      </w:r>
      <w:r w:rsidRPr="00D6412D">
        <w:rPr>
          <w:noProof/>
        </w:rPr>
        <w:t>1044.</w:t>
      </w:r>
    </w:p>
    <w:p w14:paraId="5253B209" w14:textId="77777777" w:rsidR="00D6412D" w:rsidRPr="00C02041" w:rsidRDefault="00D6412D">
      <w:pPr>
        <w:pStyle w:val="EndNoteBibliography"/>
        <w:rPr>
          <w:noProof/>
          <w:lang w:val="es-ES"/>
        </w:rPr>
      </w:pPr>
      <w:r w:rsidRPr="00D6412D">
        <w:rPr>
          <w:b/>
          <w:noProof/>
        </w:rPr>
        <w:t>Riedelsheimer, C., Lisec, J., Czedik-Eysenberg, A., Sulpice, R., Flis, A., Grieder, C., Altmann, T., Stitt, M., Willmitzer, L.</w:t>
      </w:r>
      <w:r w:rsidR="009D14A9">
        <w:rPr>
          <w:b/>
          <w:noProof/>
        </w:rPr>
        <w:t xml:space="preserve"> &amp;</w:t>
      </w:r>
      <w:r w:rsidRPr="00D6412D">
        <w:rPr>
          <w:b/>
          <w:noProof/>
        </w:rPr>
        <w:t xml:space="preserve"> Melchinger, A.E.</w:t>
      </w:r>
      <w:r w:rsidRPr="00D6412D">
        <w:rPr>
          <w:noProof/>
        </w:rPr>
        <w:t xml:space="preserve"> 2012. Genome-wide association mapping of leaf metabolic profiles for dissecting complex traits in maize. </w:t>
      </w:r>
      <w:r w:rsidRPr="00C02041">
        <w:rPr>
          <w:i/>
          <w:iCs/>
          <w:noProof/>
          <w:lang w:val="es-ES"/>
        </w:rPr>
        <w:t>Proc</w:t>
      </w:r>
      <w:r w:rsidR="009D14A9" w:rsidRPr="00C02041">
        <w:rPr>
          <w:i/>
          <w:iCs/>
          <w:noProof/>
          <w:lang w:val="es-ES"/>
        </w:rPr>
        <w:t>.</w:t>
      </w:r>
      <w:r w:rsidRPr="00C02041">
        <w:rPr>
          <w:i/>
          <w:iCs/>
          <w:noProof/>
          <w:lang w:val="es-ES"/>
        </w:rPr>
        <w:t xml:space="preserve"> Natl</w:t>
      </w:r>
      <w:r w:rsidR="009D14A9" w:rsidRPr="00C02041">
        <w:rPr>
          <w:i/>
          <w:iCs/>
          <w:noProof/>
          <w:lang w:val="es-ES"/>
        </w:rPr>
        <w:t>.</w:t>
      </w:r>
      <w:r w:rsidRPr="00C02041">
        <w:rPr>
          <w:i/>
          <w:iCs/>
          <w:noProof/>
          <w:lang w:val="es-ES"/>
        </w:rPr>
        <w:t xml:space="preserve"> Acad</w:t>
      </w:r>
      <w:r w:rsidR="009D14A9" w:rsidRPr="00C02041">
        <w:rPr>
          <w:i/>
          <w:iCs/>
          <w:noProof/>
          <w:lang w:val="es-ES"/>
        </w:rPr>
        <w:t>.</w:t>
      </w:r>
      <w:r w:rsidRPr="00C02041">
        <w:rPr>
          <w:i/>
          <w:iCs/>
          <w:noProof/>
          <w:lang w:val="es-ES"/>
        </w:rPr>
        <w:t xml:space="preserve"> Sci</w:t>
      </w:r>
      <w:r w:rsidR="009D14A9" w:rsidRPr="00C02041">
        <w:rPr>
          <w:i/>
          <w:iCs/>
          <w:noProof/>
          <w:lang w:val="es-ES"/>
        </w:rPr>
        <w:t>.</w:t>
      </w:r>
      <w:r w:rsidRPr="00C02041">
        <w:rPr>
          <w:i/>
          <w:iCs/>
          <w:noProof/>
          <w:lang w:val="es-ES"/>
        </w:rPr>
        <w:t xml:space="preserve"> USA</w:t>
      </w:r>
      <w:r w:rsidR="009D14A9" w:rsidRPr="00C02041">
        <w:rPr>
          <w:i/>
          <w:iCs/>
          <w:noProof/>
          <w:lang w:val="es-ES"/>
        </w:rPr>
        <w:t>,</w:t>
      </w:r>
      <w:r w:rsidRPr="00C02041">
        <w:rPr>
          <w:i/>
          <w:iCs/>
          <w:noProof/>
          <w:lang w:val="es-ES"/>
        </w:rPr>
        <w:t xml:space="preserve"> </w:t>
      </w:r>
      <w:r w:rsidRPr="00C02041">
        <w:rPr>
          <w:iCs/>
          <w:noProof/>
          <w:lang w:val="es-ES"/>
        </w:rPr>
        <w:t>109</w:t>
      </w:r>
      <w:r w:rsidR="009D14A9" w:rsidRPr="00C02041">
        <w:rPr>
          <w:noProof/>
          <w:lang w:val="es-ES"/>
        </w:rPr>
        <w:t>:</w:t>
      </w:r>
      <w:r w:rsidRPr="00C02041">
        <w:rPr>
          <w:noProof/>
          <w:lang w:val="es-ES"/>
        </w:rPr>
        <w:t xml:space="preserve"> 8872</w:t>
      </w:r>
      <w:r w:rsidR="009D14A9" w:rsidRPr="00C02041">
        <w:rPr>
          <w:noProof/>
          <w:lang w:val="es-ES"/>
        </w:rPr>
        <w:t>–</w:t>
      </w:r>
      <w:r w:rsidRPr="00C02041">
        <w:rPr>
          <w:noProof/>
          <w:lang w:val="es-ES"/>
        </w:rPr>
        <w:t>8877.</w:t>
      </w:r>
    </w:p>
    <w:p w14:paraId="6FE1EFB0" w14:textId="77777777" w:rsidR="00D6412D" w:rsidRPr="00D6412D" w:rsidRDefault="00D6412D">
      <w:pPr>
        <w:pStyle w:val="EndNoteBibliography"/>
        <w:rPr>
          <w:noProof/>
        </w:rPr>
      </w:pPr>
      <w:r w:rsidRPr="00C02041">
        <w:rPr>
          <w:b/>
          <w:noProof/>
          <w:lang w:val="es-ES"/>
        </w:rPr>
        <w:t>Rodríguez López, C.M.</w:t>
      </w:r>
      <w:r w:rsidR="009D14A9" w:rsidRPr="00C02041">
        <w:rPr>
          <w:b/>
          <w:noProof/>
          <w:lang w:val="es-ES"/>
        </w:rPr>
        <w:t xml:space="preserve"> &amp;</w:t>
      </w:r>
      <w:r w:rsidRPr="00C02041">
        <w:rPr>
          <w:b/>
          <w:noProof/>
          <w:lang w:val="es-ES"/>
        </w:rPr>
        <w:t>Wilkinson, M.J.</w:t>
      </w:r>
      <w:r w:rsidRPr="00C02041">
        <w:rPr>
          <w:noProof/>
          <w:lang w:val="es-ES"/>
        </w:rPr>
        <w:t xml:space="preserve"> 2015. </w:t>
      </w:r>
      <w:r w:rsidRPr="00D6412D">
        <w:rPr>
          <w:noProof/>
        </w:rPr>
        <w:t>Epi-fingerprinting and epi-interventions for improved crop production and food quality.</w:t>
      </w:r>
      <w:r w:rsidRPr="00C02041">
        <w:rPr>
          <w:i/>
          <w:iCs/>
          <w:noProof/>
        </w:rPr>
        <w:t xml:space="preserve"> Front Plant Sci</w:t>
      </w:r>
      <w:r w:rsidR="009D14A9">
        <w:rPr>
          <w:i/>
          <w:iCs/>
          <w:noProof/>
        </w:rPr>
        <w:t>.,</w:t>
      </w:r>
      <w:r w:rsidRPr="00D6412D">
        <w:rPr>
          <w:i/>
          <w:noProof/>
        </w:rPr>
        <w:t xml:space="preserve"> </w:t>
      </w:r>
      <w:r w:rsidRPr="00C02041">
        <w:rPr>
          <w:iCs/>
          <w:noProof/>
        </w:rPr>
        <w:t>6</w:t>
      </w:r>
      <w:r w:rsidRPr="00D6412D">
        <w:rPr>
          <w:noProof/>
        </w:rPr>
        <w:t>.</w:t>
      </w:r>
    </w:p>
    <w:p w14:paraId="49B52CC5" w14:textId="77777777" w:rsidR="00D6412D" w:rsidRPr="0012061B" w:rsidRDefault="00D6412D">
      <w:pPr>
        <w:pStyle w:val="EndNoteBibliography"/>
        <w:rPr>
          <w:noProof/>
          <w:lang w:val="es-AR"/>
        </w:rPr>
      </w:pPr>
      <w:r w:rsidRPr="00D6412D">
        <w:rPr>
          <w:b/>
          <w:noProof/>
        </w:rPr>
        <w:t>Rodríguez-Leal, D., Lemmon, Z.H., Man, J., Bartlett, M.E.</w:t>
      </w:r>
      <w:r w:rsidR="009D14A9">
        <w:rPr>
          <w:b/>
          <w:noProof/>
        </w:rPr>
        <w:t xml:space="preserve"> &amp;</w:t>
      </w:r>
      <w:r w:rsidRPr="00D6412D">
        <w:rPr>
          <w:b/>
          <w:noProof/>
        </w:rPr>
        <w:t xml:space="preserve"> Lippman, Z.B.</w:t>
      </w:r>
      <w:r w:rsidRPr="00D6412D">
        <w:rPr>
          <w:noProof/>
        </w:rPr>
        <w:t xml:space="preserve"> 2017. Engineering quantitative trait variation for crop improvement by genome editing. </w:t>
      </w:r>
      <w:r w:rsidRPr="0012061B">
        <w:rPr>
          <w:i/>
          <w:iCs/>
          <w:noProof/>
          <w:lang w:val="es-AR"/>
        </w:rPr>
        <w:t>Cell</w:t>
      </w:r>
      <w:r w:rsidR="009D14A9" w:rsidRPr="0012061B">
        <w:rPr>
          <w:i/>
          <w:noProof/>
          <w:lang w:val="es-AR"/>
        </w:rPr>
        <w:t>,</w:t>
      </w:r>
      <w:r w:rsidRPr="0012061B">
        <w:rPr>
          <w:i/>
          <w:noProof/>
          <w:lang w:val="es-AR"/>
        </w:rPr>
        <w:t xml:space="preserve"> </w:t>
      </w:r>
      <w:r w:rsidRPr="0012061B">
        <w:rPr>
          <w:iCs/>
          <w:noProof/>
          <w:lang w:val="es-AR"/>
        </w:rPr>
        <w:t>171</w:t>
      </w:r>
      <w:r w:rsidR="009D14A9" w:rsidRPr="0012061B">
        <w:rPr>
          <w:noProof/>
          <w:lang w:val="es-AR"/>
        </w:rPr>
        <w:t>:</w:t>
      </w:r>
      <w:r w:rsidRPr="0012061B">
        <w:rPr>
          <w:noProof/>
          <w:lang w:val="es-AR"/>
        </w:rPr>
        <w:t xml:space="preserve"> 470</w:t>
      </w:r>
      <w:r w:rsidR="009D14A9" w:rsidRPr="0012061B">
        <w:rPr>
          <w:noProof/>
          <w:lang w:val="es-AR"/>
        </w:rPr>
        <w:t>–</w:t>
      </w:r>
      <w:r w:rsidRPr="0012061B">
        <w:rPr>
          <w:noProof/>
          <w:lang w:val="es-AR"/>
        </w:rPr>
        <w:t>480.e478.</w:t>
      </w:r>
    </w:p>
    <w:p w14:paraId="468368E4" w14:textId="77777777" w:rsidR="00D6412D" w:rsidRPr="0012061B" w:rsidRDefault="00D6412D">
      <w:pPr>
        <w:pStyle w:val="EndNoteBibliography"/>
        <w:rPr>
          <w:noProof/>
          <w:lang w:val="es-AR"/>
        </w:rPr>
      </w:pPr>
      <w:r w:rsidRPr="0012061B">
        <w:rPr>
          <w:b/>
          <w:noProof/>
          <w:lang w:val="es-AR"/>
        </w:rPr>
        <w:lastRenderedPageBreak/>
        <w:t>Saes Zobiole, L.H., Kremer, R.J., de Oliveira, R.S., Jr.</w:t>
      </w:r>
      <w:r w:rsidR="009D14A9" w:rsidRPr="0012061B">
        <w:rPr>
          <w:b/>
          <w:noProof/>
          <w:lang w:val="es-AR"/>
        </w:rPr>
        <w:t xml:space="preserve"> &amp;</w:t>
      </w:r>
      <w:r w:rsidRPr="0012061B">
        <w:rPr>
          <w:b/>
          <w:noProof/>
          <w:lang w:val="es-AR"/>
        </w:rPr>
        <w:t xml:space="preserve"> Constantin, J.</w:t>
      </w:r>
      <w:r w:rsidRPr="0012061B">
        <w:rPr>
          <w:noProof/>
          <w:lang w:val="es-AR"/>
        </w:rPr>
        <w:t xml:space="preserve"> 2012. Glyphosate effects on photosynthesis, nutrient accumulation, and nodulation in glyphosate-resistant soybean. </w:t>
      </w:r>
      <w:r w:rsidRPr="0012061B">
        <w:rPr>
          <w:i/>
          <w:iCs/>
          <w:noProof/>
          <w:lang w:val="es-AR"/>
        </w:rPr>
        <w:t>J</w:t>
      </w:r>
      <w:r w:rsidR="009D14A9" w:rsidRPr="0012061B">
        <w:rPr>
          <w:i/>
          <w:iCs/>
          <w:noProof/>
          <w:lang w:val="es-AR"/>
        </w:rPr>
        <w:t>.</w:t>
      </w:r>
      <w:r w:rsidRPr="0012061B">
        <w:rPr>
          <w:i/>
          <w:iCs/>
          <w:noProof/>
          <w:lang w:val="es-AR"/>
        </w:rPr>
        <w:t xml:space="preserve"> Plant Nutr</w:t>
      </w:r>
      <w:r w:rsidR="009D14A9" w:rsidRPr="0012061B">
        <w:rPr>
          <w:i/>
          <w:iCs/>
          <w:noProof/>
          <w:lang w:val="es-AR"/>
        </w:rPr>
        <w:t>.</w:t>
      </w:r>
      <w:r w:rsidRPr="0012061B">
        <w:rPr>
          <w:i/>
          <w:iCs/>
          <w:noProof/>
          <w:lang w:val="es-AR"/>
        </w:rPr>
        <w:t xml:space="preserve"> Soil Sci</w:t>
      </w:r>
      <w:r w:rsidR="009D14A9" w:rsidRPr="0012061B">
        <w:rPr>
          <w:i/>
          <w:iCs/>
          <w:noProof/>
          <w:lang w:val="es-AR"/>
        </w:rPr>
        <w:t>.,</w:t>
      </w:r>
      <w:r w:rsidRPr="0012061B">
        <w:rPr>
          <w:i/>
          <w:noProof/>
          <w:lang w:val="es-AR"/>
        </w:rPr>
        <w:t xml:space="preserve"> </w:t>
      </w:r>
      <w:r w:rsidRPr="0012061B">
        <w:rPr>
          <w:iCs/>
          <w:noProof/>
          <w:lang w:val="es-AR"/>
        </w:rPr>
        <w:t>175</w:t>
      </w:r>
      <w:r w:rsidR="009D14A9" w:rsidRPr="0012061B">
        <w:rPr>
          <w:noProof/>
          <w:lang w:val="es-AR"/>
        </w:rPr>
        <w:t>:</w:t>
      </w:r>
      <w:r w:rsidRPr="0012061B">
        <w:rPr>
          <w:noProof/>
          <w:lang w:val="es-AR"/>
        </w:rPr>
        <w:t xml:space="preserve"> 319</w:t>
      </w:r>
      <w:r w:rsidR="009D14A9" w:rsidRPr="0012061B">
        <w:rPr>
          <w:noProof/>
          <w:lang w:val="es-AR"/>
        </w:rPr>
        <w:t>–</w:t>
      </w:r>
      <w:r w:rsidRPr="0012061B">
        <w:rPr>
          <w:noProof/>
          <w:lang w:val="es-AR"/>
        </w:rPr>
        <w:t>330.</w:t>
      </w:r>
    </w:p>
    <w:p w14:paraId="3A5BDF2D" w14:textId="77777777" w:rsidR="00D6412D" w:rsidRPr="00D6412D" w:rsidRDefault="00D6412D">
      <w:pPr>
        <w:pStyle w:val="EndNoteBibliography"/>
        <w:rPr>
          <w:noProof/>
        </w:rPr>
      </w:pPr>
      <w:r w:rsidRPr="0012061B">
        <w:rPr>
          <w:b/>
          <w:noProof/>
          <w:lang w:val="es-AR"/>
        </w:rPr>
        <w:t>Sainz de Murieta, I.</w:t>
      </w:r>
      <w:r w:rsidR="009D14A9" w:rsidRPr="0012061B">
        <w:rPr>
          <w:b/>
          <w:noProof/>
          <w:lang w:val="es-AR"/>
        </w:rPr>
        <w:t xml:space="preserve"> &amp;</w:t>
      </w:r>
      <w:r w:rsidRPr="0012061B">
        <w:rPr>
          <w:b/>
          <w:noProof/>
          <w:lang w:val="es-AR"/>
        </w:rPr>
        <w:t xml:space="preserve"> Rodríguez-Patón, A.</w:t>
      </w:r>
      <w:r w:rsidRPr="0012061B">
        <w:rPr>
          <w:noProof/>
          <w:lang w:val="es-AR"/>
        </w:rPr>
        <w:t xml:space="preserve"> 2012. </w:t>
      </w:r>
      <w:r w:rsidRPr="00D6412D">
        <w:rPr>
          <w:noProof/>
        </w:rPr>
        <w:t xml:space="preserve">DNA biosensors that reason. </w:t>
      </w:r>
      <w:r w:rsidRPr="00C02041">
        <w:rPr>
          <w:i/>
          <w:iCs/>
          <w:noProof/>
        </w:rPr>
        <w:t>Biosys</w:t>
      </w:r>
      <w:r w:rsidR="009D14A9">
        <w:rPr>
          <w:i/>
          <w:iCs/>
          <w:noProof/>
        </w:rPr>
        <w:t>.,</w:t>
      </w:r>
      <w:r w:rsidRPr="00381F8F">
        <w:rPr>
          <w:i/>
          <w:iCs/>
          <w:noProof/>
        </w:rPr>
        <w:t xml:space="preserve"> </w:t>
      </w:r>
      <w:r w:rsidRPr="00C02041">
        <w:rPr>
          <w:iCs/>
          <w:noProof/>
        </w:rPr>
        <w:t>109</w:t>
      </w:r>
      <w:r w:rsidR="009D14A9">
        <w:rPr>
          <w:noProof/>
        </w:rPr>
        <w:t>:</w:t>
      </w:r>
      <w:r w:rsidRPr="00D6412D">
        <w:rPr>
          <w:noProof/>
        </w:rPr>
        <w:t xml:space="preserve"> 91</w:t>
      </w:r>
      <w:r w:rsidR="009D14A9">
        <w:rPr>
          <w:noProof/>
        </w:rPr>
        <w:t>–</w:t>
      </w:r>
      <w:r w:rsidRPr="00D6412D">
        <w:rPr>
          <w:noProof/>
        </w:rPr>
        <w:t>104.</w:t>
      </w:r>
    </w:p>
    <w:p w14:paraId="718D8DD9" w14:textId="77777777" w:rsidR="00D6412D" w:rsidRPr="00D6412D" w:rsidRDefault="00D6412D">
      <w:pPr>
        <w:pStyle w:val="EndNoteBibliography"/>
        <w:rPr>
          <w:noProof/>
        </w:rPr>
      </w:pPr>
      <w:r w:rsidRPr="00D6412D">
        <w:rPr>
          <w:b/>
          <w:noProof/>
        </w:rPr>
        <w:t>Sammons, R.D., Ivashuta, S., Liu, H., Wang, D., Feng, P.C.C., Kouranov, A.Y.</w:t>
      </w:r>
      <w:r w:rsidR="009D14A9">
        <w:rPr>
          <w:b/>
          <w:noProof/>
        </w:rPr>
        <w:t xml:space="preserve"> &amp;</w:t>
      </w:r>
      <w:r w:rsidRPr="00D6412D">
        <w:rPr>
          <w:b/>
          <w:noProof/>
        </w:rPr>
        <w:t xml:space="preserve"> Andersen, S.E.</w:t>
      </w:r>
      <w:r w:rsidRPr="00D6412D">
        <w:rPr>
          <w:noProof/>
        </w:rPr>
        <w:t xml:space="preserve"> 2015a. </w:t>
      </w:r>
      <w:r w:rsidRPr="00C02041">
        <w:rPr>
          <w:i/>
          <w:iCs/>
          <w:noProof/>
        </w:rPr>
        <w:t xml:space="preserve">Method for controlling herbicide-resistant plants </w:t>
      </w:r>
      <w:r w:rsidR="009D14A9">
        <w:rPr>
          <w:rStyle w:val="Hyperlink"/>
          <w:noProof/>
          <w:sz w:val="24"/>
        </w:rPr>
        <w:t>(</w:t>
      </w:r>
      <w:r w:rsidR="009D14A9" w:rsidRPr="009D14A9">
        <w:rPr>
          <w:rStyle w:val="Hyperlink"/>
          <w:noProof/>
          <w:sz w:val="24"/>
        </w:rPr>
        <w:t xml:space="preserve">available at </w:t>
      </w:r>
      <w:r w:rsidRPr="002C26BB">
        <w:rPr>
          <w:rStyle w:val="Hyperlink"/>
          <w:noProof/>
          <w:sz w:val="24"/>
        </w:rPr>
        <w:t>http://www.google.com/patents/US9121022</w:t>
      </w:r>
      <w:r w:rsidR="0098465F">
        <w:rPr>
          <w:rStyle w:val="Hyperlink"/>
          <w:noProof/>
          <w:sz w:val="24"/>
        </w:rPr>
        <w:t>)</w:t>
      </w:r>
      <w:r w:rsidRPr="00D6412D">
        <w:rPr>
          <w:noProof/>
        </w:rPr>
        <w:t>.</w:t>
      </w:r>
    </w:p>
    <w:p w14:paraId="5E87A921" w14:textId="77777777" w:rsidR="00D6412D" w:rsidRPr="00D6412D" w:rsidRDefault="00D6412D">
      <w:pPr>
        <w:pStyle w:val="EndNoteBibliography"/>
        <w:rPr>
          <w:noProof/>
        </w:rPr>
      </w:pPr>
      <w:r w:rsidRPr="00D6412D">
        <w:rPr>
          <w:b/>
          <w:noProof/>
        </w:rPr>
        <w:t>Sammons, R.D., Ivashuta, S., Liu, H., Wang, D., Feng, P.C.C., Kouranov, A.Y.</w:t>
      </w:r>
      <w:r w:rsidR="0098465F">
        <w:rPr>
          <w:b/>
          <w:noProof/>
        </w:rPr>
        <w:t>&amp;</w:t>
      </w:r>
      <w:r w:rsidRPr="00D6412D">
        <w:rPr>
          <w:b/>
          <w:noProof/>
        </w:rPr>
        <w:t xml:space="preserve"> Andersen, S.E.</w:t>
      </w:r>
      <w:r w:rsidRPr="00D6412D">
        <w:rPr>
          <w:noProof/>
        </w:rPr>
        <w:t xml:space="preserve"> 2015b. </w:t>
      </w:r>
      <w:r w:rsidRPr="00C02041">
        <w:rPr>
          <w:i/>
          <w:iCs/>
          <w:noProof/>
        </w:rPr>
        <w:t>Method for controlling herbicide-resistant plants</w:t>
      </w:r>
      <w:r w:rsidRPr="00D6412D">
        <w:rPr>
          <w:noProof/>
        </w:rPr>
        <w:t>. WO2011112570A1</w:t>
      </w:r>
      <w:r w:rsidR="0098465F">
        <w:rPr>
          <w:noProof/>
        </w:rPr>
        <w:t xml:space="preserve"> (</w:t>
      </w:r>
      <w:r w:rsidR="0098465F" w:rsidRPr="0098465F">
        <w:rPr>
          <w:noProof/>
        </w:rPr>
        <w:t>available at</w:t>
      </w:r>
      <w:r w:rsidR="0098465F">
        <w:rPr>
          <w:noProof/>
        </w:rPr>
        <w:t xml:space="preserve"> </w:t>
      </w:r>
      <w:r w:rsidRPr="002C26BB">
        <w:rPr>
          <w:rStyle w:val="Hyperlink"/>
          <w:noProof/>
          <w:sz w:val="24"/>
        </w:rPr>
        <w:t>https://patents.google.com/patent/WO2011112570A1/en</w:t>
      </w:r>
      <w:r w:rsidR="0098465F">
        <w:rPr>
          <w:rStyle w:val="Hyperlink"/>
          <w:noProof/>
          <w:sz w:val="24"/>
        </w:rPr>
        <w:t>)</w:t>
      </w:r>
      <w:r w:rsidRPr="00D6412D">
        <w:rPr>
          <w:noProof/>
        </w:rPr>
        <w:t>.</w:t>
      </w:r>
    </w:p>
    <w:p w14:paraId="15703507" w14:textId="77777777" w:rsidR="00D6412D" w:rsidRPr="00D6412D" w:rsidRDefault="00D6412D">
      <w:pPr>
        <w:pStyle w:val="EndNoteBibliography"/>
        <w:rPr>
          <w:noProof/>
        </w:rPr>
      </w:pPr>
      <w:r w:rsidRPr="00D6412D">
        <w:rPr>
          <w:b/>
          <w:noProof/>
        </w:rPr>
        <w:t>San Miguel, K.</w:t>
      </w:r>
      <w:r w:rsidR="0098465F">
        <w:rPr>
          <w:b/>
          <w:noProof/>
        </w:rPr>
        <w:t>&amp;</w:t>
      </w:r>
      <w:r w:rsidRPr="00D6412D">
        <w:rPr>
          <w:b/>
          <w:noProof/>
        </w:rPr>
        <w:t xml:space="preserve"> Scott, J.G.</w:t>
      </w:r>
      <w:r w:rsidRPr="00D6412D">
        <w:rPr>
          <w:noProof/>
        </w:rPr>
        <w:t xml:space="preserve"> 2016. The next generation of insecticides: dsRNA is stable as a foliar-applied insecticide. </w:t>
      </w:r>
      <w:r w:rsidRPr="00C02041">
        <w:rPr>
          <w:i/>
          <w:iCs/>
          <w:noProof/>
        </w:rPr>
        <w:t>Pest Manag</w:t>
      </w:r>
      <w:r w:rsidR="0098465F">
        <w:rPr>
          <w:i/>
          <w:iCs/>
          <w:noProof/>
        </w:rPr>
        <w:t>.</w:t>
      </w:r>
      <w:r w:rsidRPr="00C02041">
        <w:rPr>
          <w:i/>
          <w:iCs/>
          <w:noProof/>
        </w:rPr>
        <w:t xml:space="preserve"> Sci</w:t>
      </w:r>
      <w:r w:rsidR="0098465F">
        <w:rPr>
          <w:i/>
          <w:iCs/>
          <w:noProof/>
        </w:rPr>
        <w:t>.,</w:t>
      </w:r>
      <w:r w:rsidRPr="00D6412D">
        <w:rPr>
          <w:i/>
          <w:noProof/>
        </w:rPr>
        <w:t xml:space="preserve"> </w:t>
      </w:r>
      <w:r w:rsidRPr="00C02041">
        <w:rPr>
          <w:iCs/>
          <w:noProof/>
        </w:rPr>
        <w:t>72</w:t>
      </w:r>
      <w:r w:rsidR="0098465F">
        <w:rPr>
          <w:noProof/>
        </w:rPr>
        <w:t>:</w:t>
      </w:r>
      <w:r w:rsidRPr="00D6412D">
        <w:rPr>
          <w:noProof/>
        </w:rPr>
        <w:t xml:space="preserve"> 801</w:t>
      </w:r>
      <w:r w:rsidR="0098465F">
        <w:rPr>
          <w:noProof/>
        </w:rPr>
        <w:t>–</w:t>
      </w:r>
      <w:r w:rsidRPr="00D6412D">
        <w:rPr>
          <w:noProof/>
        </w:rPr>
        <w:t>809.</w:t>
      </w:r>
    </w:p>
    <w:p w14:paraId="0CAEFF73" w14:textId="77777777" w:rsidR="00D6412D" w:rsidRPr="00D6412D" w:rsidRDefault="00D6412D">
      <w:pPr>
        <w:pStyle w:val="EndNoteBibliography"/>
        <w:rPr>
          <w:noProof/>
        </w:rPr>
      </w:pPr>
      <w:r w:rsidRPr="00D6412D">
        <w:rPr>
          <w:b/>
          <w:noProof/>
        </w:rPr>
        <w:t>Schafer, S.</w:t>
      </w:r>
      <w:r w:rsidR="0098465F">
        <w:rPr>
          <w:b/>
          <w:noProof/>
        </w:rPr>
        <w:t xml:space="preserve"> &amp;</w:t>
      </w:r>
      <w:r w:rsidRPr="00D6412D">
        <w:rPr>
          <w:b/>
          <w:noProof/>
        </w:rPr>
        <w:t xml:space="preserve"> Nadeau, J.H.</w:t>
      </w:r>
      <w:r w:rsidRPr="00D6412D">
        <w:rPr>
          <w:noProof/>
        </w:rPr>
        <w:t xml:space="preserve"> 2015. The genetics of epigenetic inheritance: modes, molecules, and mechanisms. </w:t>
      </w:r>
      <w:r w:rsidRPr="00C02041">
        <w:rPr>
          <w:i/>
          <w:iCs/>
          <w:noProof/>
        </w:rPr>
        <w:t>Q</w:t>
      </w:r>
      <w:r w:rsidR="0098465F">
        <w:rPr>
          <w:i/>
          <w:iCs/>
          <w:noProof/>
        </w:rPr>
        <w:t>.</w:t>
      </w:r>
      <w:r w:rsidRPr="00C02041">
        <w:rPr>
          <w:i/>
          <w:iCs/>
          <w:noProof/>
        </w:rPr>
        <w:t xml:space="preserve"> Rev</w:t>
      </w:r>
      <w:r w:rsidR="0098465F">
        <w:rPr>
          <w:i/>
          <w:iCs/>
          <w:noProof/>
        </w:rPr>
        <w:t>.</w:t>
      </w:r>
      <w:r w:rsidRPr="00C02041">
        <w:rPr>
          <w:i/>
          <w:iCs/>
          <w:noProof/>
        </w:rPr>
        <w:t xml:space="preserve"> Biol</w:t>
      </w:r>
      <w:r w:rsidR="0098465F">
        <w:rPr>
          <w:i/>
          <w:iCs/>
          <w:noProof/>
        </w:rPr>
        <w:t>.,</w:t>
      </w:r>
      <w:r w:rsidRPr="00381F8F">
        <w:rPr>
          <w:i/>
          <w:iCs/>
          <w:noProof/>
        </w:rPr>
        <w:t xml:space="preserve"> </w:t>
      </w:r>
      <w:r w:rsidRPr="00C02041">
        <w:rPr>
          <w:noProof/>
        </w:rPr>
        <w:t>90</w:t>
      </w:r>
      <w:r w:rsidR="0098465F">
        <w:rPr>
          <w:noProof/>
        </w:rPr>
        <w:t>:</w:t>
      </w:r>
      <w:r w:rsidRPr="00D6412D">
        <w:rPr>
          <w:noProof/>
        </w:rPr>
        <w:t xml:space="preserve"> 381</w:t>
      </w:r>
      <w:r w:rsidR="0098465F">
        <w:rPr>
          <w:noProof/>
        </w:rPr>
        <w:t>–</w:t>
      </w:r>
      <w:r w:rsidRPr="00D6412D">
        <w:rPr>
          <w:noProof/>
        </w:rPr>
        <w:t>415.</w:t>
      </w:r>
    </w:p>
    <w:p w14:paraId="308A9135" w14:textId="77777777" w:rsidR="00D6412D" w:rsidRPr="00D6412D" w:rsidRDefault="00D6412D">
      <w:pPr>
        <w:pStyle w:val="EndNoteBibliography"/>
        <w:rPr>
          <w:noProof/>
        </w:rPr>
      </w:pPr>
      <w:r w:rsidRPr="00D6412D">
        <w:rPr>
          <w:b/>
          <w:noProof/>
        </w:rPr>
        <w:t>Schomburg, I., Chang, A.</w:t>
      </w:r>
      <w:r w:rsidR="0098465F">
        <w:rPr>
          <w:b/>
          <w:noProof/>
        </w:rPr>
        <w:t xml:space="preserve"> &amp;</w:t>
      </w:r>
      <w:r w:rsidRPr="00D6412D">
        <w:rPr>
          <w:b/>
          <w:noProof/>
        </w:rPr>
        <w:t xml:space="preserve"> Schomburg, D.</w:t>
      </w:r>
      <w:r w:rsidRPr="00D6412D">
        <w:rPr>
          <w:noProof/>
        </w:rPr>
        <w:t xml:space="preserve"> 2002. BRENDA, enzyme data and metabolic information. </w:t>
      </w:r>
      <w:r w:rsidRPr="00C02041">
        <w:rPr>
          <w:i/>
          <w:iCs/>
          <w:noProof/>
        </w:rPr>
        <w:t>Nucleic Acids Res</w:t>
      </w:r>
      <w:r w:rsidR="0098465F">
        <w:rPr>
          <w:i/>
          <w:noProof/>
        </w:rPr>
        <w:t>.,</w:t>
      </w:r>
      <w:r w:rsidRPr="00D6412D">
        <w:rPr>
          <w:i/>
          <w:noProof/>
        </w:rPr>
        <w:t xml:space="preserve"> </w:t>
      </w:r>
      <w:r w:rsidRPr="00C02041">
        <w:rPr>
          <w:iCs/>
          <w:noProof/>
        </w:rPr>
        <w:t>30</w:t>
      </w:r>
      <w:r w:rsidR="0098465F">
        <w:rPr>
          <w:noProof/>
        </w:rPr>
        <w:t>:</w:t>
      </w:r>
      <w:r w:rsidRPr="00D6412D">
        <w:rPr>
          <w:noProof/>
        </w:rPr>
        <w:t xml:space="preserve"> 47</w:t>
      </w:r>
      <w:r w:rsidR="0098465F">
        <w:rPr>
          <w:noProof/>
        </w:rPr>
        <w:t>–</w:t>
      </w:r>
      <w:r w:rsidRPr="00D6412D">
        <w:rPr>
          <w:noProof/>
        </w:rPr>
        <w:t>49.</w:t>
      </w:r>
    </w:p>
    <w:p w14:paraId="4EF15B18" w14:textId="77777777" w:rsidR="00D6412D" w:rsidRPr="00D6412D" w:rsidRDefault="00D6412D">
      <w:pPr>
        <w:pStyle w:val="EndNoteBibliography"/>
        <w:rPr>
          <w:noProof/>
        </w:rPr>
      </w:pPr>
      <w:r w:rsidRPr="00D6412D">
        <w:rPr>
          <w:b/>
          <w:noProof/>
        </w:rPr>
        <w:t>Science</w:t>
      </w:r>
      <w:r w:rsidRPr="00D6412D">
        <w:rPr>
          <w:noProof/>
        </w:rPr>
        <w:t xml:space="preserve">. </w:t>
      </w:r>
      <w:r w:rsidRPr="002C26BB">
        <w:rPr>
          <w:rStyle w:val="Hyperlink"/>
          <w:noProof/>
          <w:sz w:val="24"/>
        </w:rPr>
        <w:t>http://www.sciencemag.org/authors/science-editorial-policies - unpublished-data-and-personal-communications</w:t>
      </w:r>
      <w:r w:rsidRPr="00D6412D">
        <w:rPr>
          <w:noProof/>
        </w:rPr>
        <w:t xml:space="preserve"> </w:t>
      </w:r>
      <w:r w:rsidR="0098465F">
        <w:rPr>
          <w:noProof/>
        </w:rPr>
        <w:t>a</w:t>
      </w:r>
      <w:r w:rsidRPr="00D6412D">
        <w:rPr>
          <w:noProof/>
        </w:rPr>
        <w:t>ccess</w:t>
      </w:r>
      <w:r w:rsidR="0098465F">
        <w:rPr>
          <w:noProof/>
        </w:rPr>
        <w:t>ed</w:t>
      </w:r>
      <w:r w:rsidRPr="00D6412D">
        <w:rPr>
          <w:noProof/>
        </w:rPr>
        <w:t xml:space="preserve"> 7 December 2017</w:t>
      </w:r>
      <w:r w:rsidR="0098465F">
        <w:rPr>
          <w:noProof/>
        </w:rPr>
        <w:t>.</w:t>
      </w:r>
    </w:p>
    <w:p w14:paraId="1C409471" w14:textId="77777777" w:rsidR="00D6412D" w:rsidRPr="00D6412D" w:rsidRDefault="00D6412D">
      <w:pPr>
        <w:pStyle w:val="EndNoteBibliography"/>
        <w:rPr>
          <w:noProof/>
        </w:rPr>
      </w:pPr>
      <w:r w:rsidRPr="00D6412D">
        <w:rPr>
          <w:b/>
          <w:noProof/>
        </w:rPr>
        <w:t>Shaner, D.L.</w:t>
      </w:r>
      <w:r w:rsidR="0098465F">
        <w:rPr>
          <w:b/>
          <w:noProof/>
        </w:rPr>
        <w:t xml:space="preserve"> &amp;</w:t>
      </w:r>
      <w:r w:rsidRPr="00D6412D">
        <w:rPr>
          <w:b/>
          <w:noProof/>
        </w:rPr>
        <w:t xml:space="preserve"> Beckie, H.J.</w:t>
      </w:r>
      <w:r w:rsidRPr="00D6412D">
        <w:rPr>
          <w:noProof/>
        </w:rPr>
        <w:t xml:space="preserve"> 2013. The future for weed control and technology. </w:t>
      </w:r>
      <w:r w:rsidRPr="00C02041">
        <w:rPr>
          <w:i/>
          <w:iCs/>
          <w:noProof/>
        </w:rPr>
        <w:t>Pest Manag</w:t>
      </w:r>
      <w:r w:rsidR="0098465F">
        <w:rPr>
          <w:i/>
          <w:iCs/>
          <w:noProof/>
        </w:rPr>
        <w:t>.</w:t>
      </w:r>
      <w:r w:rsidRPr="00C02041">
        <w:rPr>
          <w:i/>
          <w:iCs/>
          <w:noProof/>
        </w:rPr>
        <w:t xml:space="preserve"> Sci</w:t>
      </w:r>
      <w:r w:rsidR="0098465F">
        <w:rPr>
          <w:i/>
          <w:iCs/>
          <w:noProof/>
        </w:rPr>
        <w:t>.,</w:t>
      </w:r>
      <w:r w:rsidRPr="00381F8F">
        <w:rPr>
          <w:i/>
          <w:iCs/>
          <w:noProof/>
        </w:rPr>
        <w:t xml:space="preserve"> </w:t>
      </w:r>
      <w:r w:rsidRPr="00C02041">
        <w:rPr>
          <w:iCs/>
          <w:noProof/>
        </w:rPr>
        <w:t>70</w:t>
      </w:r>
      <w:r w:rsidR="0098465F">
        <w:rPr>
          <w:noProof/>
        </w:rPr>
        <w:t>:</w:t>
      </w:r>
      <w:r w:rsidRPr="00D6412D">
        <w:rPr>
          <w:noProof/>
        </w:rPr>
        <w:t xml:space="preserve"> 1329</w:t>
      </w:r>
      <w:r w:rsidR="0098465F">
        <w:rPr>
          <w:noProof/>
        </w:rPr>
        <w:t>–</w:t>
      </w:r>
      <w:r w:rsidRPr="00D6412D">
        <w:rPr>
          <w:noProof/>
        </w:rPr>
        <w:t>1339.</w:t>
      </w:r>
    </w:p>
    <w:p w14:paraId="748B7C07" w14:textId="77777777" w:rsidR="00D6412D" w:rsidRPr="00D6412D" w:rsidRDefault="00D6412D">
      <w:pPr>
        <w:pStyle w:val="EndNoteBibliography"/>
        <w:rPr>
          <w:noProof/>
        </w:rPr>
      </w:pPr>
      <w:r w:rsidRPr="00D6412D">
        <w:rPr>
          <w:b/>
          <w:noProof/>
        </w:rPr>
        <w:t>Shu, Y.</w:t>
      </w:r>
      <w:r w:rsidR="0098465F">
        <w:rPr>
          <w:b/>
          <w:noProof/>
        </w:rPr>
        <w:t xml:space="preserve"> &amp;</w:t>
      </w:r>
      <w:r w:rsidRPr="00D6412D">
        <w:rPr>
          <w:b/>
          <w:noProof/>
        </w:rPr>
        <w:t xml:space="preserve"> McCauley, J.</w:t>
      </w:r>
      <w:r w:rsidRPr="00D6412D">
        <w:rPr>
          <w:noProof/>
        </w:rPr>
        <w:t xml:space="preserve"> 2017. GISAID: global initiative on sharing all influenza data - from vision to reality. </w:t>
      </w:r>
      <w:r w:rsidRPr="00C02041">
        <w:rPr>
          <w:i/>
          <w:iCs/>
          <w:noProof/>
        </w:rPr>
        <w:t>Euro</w:t>
      </w:r>
      <w:r w:rsidR="0098465F">
        <w:rPr>
          <w:i/>
          <w:iCs/>
          <w:noProof/>
        </w:rPr>
        <w:t>.</w:t>
      </w:r>
      <w:r w:rsidRPr="00C02041">
        <w:rPr>
          <w:i/>
          <w:iCs/>
          <w:noProof/>
        </w:rPr>
        <w:t xml:space="preserve"> Surveill</w:t>
      </w:r>
      <w:r w:rsidR="0098465F">
        <w:rPr>
          <w:i/>
          <w:iCs/>
          <w:noProof/>
        </w:rPr>
        <w:t>.,</w:t>
      </w:r>
      <w:r w:rsidRPr="00D6412D">
        <w:rPr>
          <w:i/>
          <w:noProof/>
        </w:rPr>
        <w:t xml:space="preserve"> </w:t>
      </w:r>
      <w:r w:rsidRPr="00C02041">
        <w:rPr>
          <w:iCs/>
          <w:noProof/>
        </w:rPr>
        <w:t>22</w:t>
      </w:r>
      <w:r w:rsidR="0098465F">
        <w:rPr>
          <w:noProof/>
        </w:rPr>
        <w:t>:</w:t>
      </w:r>
      <w:r w:rsidRPr="00D6412D">
        <w:rPr>
          <w:noProof/>
        </w:rPr>
        <w:t xml:space="preserve"> 30494.</w:t>
      </w:r>
    </w:p>
    <w:p w14:paraId="2622159A" w14:textId="77777777" w:rsidR="00D6412D" w:rsidRPr="00D6412D" w:rsidRDefault="00D6412D">
      <w:pPr>
        <w:pStyle w:val="EndNoteBibliography"/>
        <w:rPr>
          <w:noProof/>
        </w:rPr>
      </w:pPr>
      <w:r w:rsidRPr="00D6412D">
        <w:rPr>
          <w:b/>
          <w:noProof/>
        </w:rPr>
        <w:t>Sinnino, A.</w:t>
      </w:r>
      <w:r w:rsidRPr="00D6412D">
        <w:rPr>
          <w:noProof/>
        </w:rPr>
        <w:t xml:space="preserve"> 2016. Current and potential application of biotechnology in forestry: a critical review. </w:t>
      </w:r>
      <w:r w:rsidRPr="00C02041">
        <w:rPr>
          <w:i/>
          <w:iCs/>
          <w:noProof/>
        </w:rPr>
        <w:t>Asian Biotechnol</w:t>
      </w:r>
      <w:r w:rsidR="0098465F">
        <w:rPr>
          <w:i/>
          <w:iCs/>
          <w:noProof/>
        </w:rPr>
        <w:t>.</w:t>
      </w:r>
      <w:r w:rsidRPr="00C02041">
        <w:rPr>
          <w:i/>
          <w:iCs/>
          <w:noProof/>
        </w:rPr>
        <w:t xml:space="preserve"> Develop</w:t>
      </w:r>
      <w:r w:rsidR="0098465F">
        <w:rPr>
          <w:i/>
          <w:iCs/>
          <w:noProof/>
        </w:rPr>
        <w:t>.</w:t>
      </w:r>
      <w:r w:rsidRPr="00C02041">
        <w:rPr>
          <w:i/>
          <w:iCs/>
          <w:noProof/>
        </w:rPr>
        <w:t xml:space="preserve"> Rev</w:t>
      </w:r>
      <w:r w:rsidR="0098465F">
        <w:rPr>
          <w:i/>
          <w:iCs/>
          <w:noProof/>
        </w:rPr>
        <w:t>.,</w:t>
      </w:r>
      <w:r w:rsidRPr="00D6412D">
        <w:rPr>
          <w:i/>
          <w:noProof/>
        </w:rPr>
        <w:t xml:space="preserve"> </w:t>
      </w:r>
      <w:r w:rsidRPr="00C02041">
        <w:rPr>
          <w:iCs/>
          <w:noProof/>
        </w:rPr>
        <w:t>18</w:t>
      </w:r>
      <w:r w:rsidR="0098465F">
        <w:rPr>
          <w:noProof/>
        </w:rPr>
        <w:t>:</w:t>
      </w:r>
      <w:r w:rsidRPr="00D6412D">
        <w:rPr>
          <w:noProof/>
        </w:rPr>
        <w:t xml:space="preserve"> 41</w:t>
      </w:r>
      <w:r w:rsidR="0098465F">
        <w:rPr>
          <w:noProof/>
        </w:rPr>
        <w:t>–</w:t>
      </w:r>
      <w:r w:rsidRPr="00D6412D">
        <w:rPr>
          <w:noProof/>
        </w:rPr>
        <w:t>85.</w:t>
      </w:r>
    </w:p>
    <w:p w14:paraId="04A36E92" w14:textId="77777777" w:rsidR="00D6412D" w:rsidRPr="00D6412D" w:rsidRDefault="00D6412D">
      <w:pPr>
        <w:pStyle w:val="EndNoteBibliography"/>
        <w:rPr>
          <w:noProof/>
        </w:rPr>
      </w:pPr>
      <w:r w:rsidRPr="00D6412D">
        <w:rPr>
          <w:b/>
          <w:noProof/>
        </w:rPr>
        <w:t>Songstad, D.D., Petolino, J.F., Voytas, D.F.</w:t>
      </w:r>
      <w:r w:rsidR="0098465F">
        <w:rPr>
          <w:b/>
          <w:noProof/>
        </w:rPr>
        <w:t xml:space="preserve"> &amp;</w:t>
      </w:r>
      <w:r w:rsidRPr="00D6412D">
        <w:rPr>
          <w:b/>
          <w:noProof/>
        </w:rPr>
        <w:t xml:space="preserve"> Reichert, N.A.</w:t>
      </w:r>
      <w:r w:rsidRPr="00D6412D">
        <w:rPr>
          <w:noProof/>
        </w:rPr>
        <w:t xml:space="preserve"> 2017. Genome editing of plants. </w:t>
      </w:r>
      <w:r w:rsidRPr="00C02041">
        <w:rPr>
          <w:i/>
          <w:iCs/>
          <w:noProof/>
        </w:rPr>
        <w:t>Crit</w:t>
      </w:r>
      <w:r w:rsidR="0098465F">
        <w:rPr>
          <w:i/>
          <w:iCs/>
          <w:noProof/>
        </w:rPr>
        <w:t>.</w:t>
      </w:r>
      <w:r w:rsidRPr="00C02041">
        <w:rPr>
          <w:i/>
          <w:iCs/>
          <w:noProof/>
        </w:rPr>
        <w:t xml:space="preserve"> Rev</w:t>
      </w:r>
      <w:r w:rsidR="0098465F">
        <w:rPr>
          <w:i/>
          <w:iCs/>
          <w:noProof/>
        </w:rPr>
        <w:t>.</w:t>
      </w:r>
      <w:r w:rsidRPr="00C02041">
        <w:rPr>
          <w:i/>
          <w:iCs/>
          <w:noProof/>
        </w:rPr>
        <w:t xml:space="preserve"> Pl</w:t>
      </w:r>
      <w:r w:rsidR="0098465F">
        <w:rPr>
          <w:i/>
          <w:iCs/>
          <w:noProof/>
        </w:rPr>
        <w:t>.</w:t>
      </w:r>
      <w:r w:rsidRPr="00C02041">
        <w:rPr>
          <w:i/>
          <w:iCs/>
          <w:noProof/>
        </w:rPr>
        <w:t xml:space="preserve"> Sci</w:t>
      </w:r>
      <w:r w:rsidR="0098465F">
        <w:rPr>
          <w:i/>
          <w:iCs/>
          <w:noProof/>
        </w:rPr>
        <w:t>.,</w:t>
      </w:r>
      <w:r w:rsidRPr="00D6412D">
        <w:rPr>
          <w:i/>
          <w:noProof/>
        </w:rPr>
        <w:t xml:space="preserve"> </w:t>
      </w:r>
      <w:r w:rsidRPr="00C02041">
        <w:rPr>
          <w:iCs/>
          <w:noProof/>
        </w:rPr>
        <w:t>36</w:t>
      </w:r>
      <w:r w:rsidR="0098465F">
        <w:rPr>
          <w:noProof/>
        </w:rPr>
        <w:t>:</w:t>
      </w:r>
      <w:r w:rsidRPr="00D6412D">
        <w:rPr>
          <w:noProof/>
        </w:rPr>
        <w:t xml:space="preserve"> 1</w:t>
      </w:r>
      <w:r w:rsidR="0098465F">
        <w:rPr>
          <w:noProof/>
        </w:rPr>
        <w:t>–</w:t>
      </w:r>
      <w:r w:rsidRPr="00D6412D">
        <w:rPr>
          <w:noProof/>
        </w:rPr>
        <w:t>23.</w:t>
      </w:r>
    </w:p>
    <w:p w14:paraId="0CD57E4E" w14:textId="77777777" w:rsidR="00D6412D" w:rsidRPr="00D6412D" w:rsidRDefault="00D6412D">
      <w:pPr>
        <w:pStyle w:val="EndNoteBibliography"/>
        <w:rPr>
          <w:noProof/>
        </w:rPr>
      </w:pPr>
      <w:r w:rsidRPr="00D6412D">
        <w:rPr>
          <w:b/>
          <w:noProof/>
        </w:rPr>
        <w:t>Sonka, S.</w:t>
      </w:r>
      <w:r w:rsidRPr="00D6412D">
        <w:rPr>
          <w:noProof/>
        </w:rPr>
        <w:t xml:space="preserve"> 2014. Big data and the Ag sector: more than lots of numbers. </w:t>
      </w:r>
      <w:r w:rsidRPr="00C02041">
        <w:rPr>
          <w:i/>
          <w:iCs/>
          <w:noProof/>
        </w:rPr>
        <w:t>Int</w:t>
      </w:r>
      <w:r w:rsidR="0098465F">
        <w:rPr>
          <w:i/>
          <w:iCs/>
          <w:noProof/>
        </w:rPr>
        <w:t>.</w:t>
      </w:r>
      <w:r w:rsidRPr="00C02041">
        <w:rPr>
          <w:i/>
          <w:iCs/>
          <w:noProof/>
        </w:rPr>
        <w:t xml:space="preserve"> Food Agribus</w:t>
      </w:r>
      <w:r w:rsidR="0098465F">
        <w:rPr>
          <w:i/>
          <w:iCs/>
          <w:noProof/>
        </w:rPr>
        <w:t>.</w:t>
      </w:r>
      <w:r w:rsidRPr="00C02041">
        <w:rPr>
          <w:i/>
          <w:iCs/>
          <w:noProof/>
        </w:rPr>
        <w:t xml:space="preserve"> Man</w:t>
      </w:r>
      <w:r w:rsidR="0098465F">
        <w:rPr>
          <w:i/>
          <w:iCs/>
          <w:noProof/>
        </w:rPr>
        <w:t>.,</w:t>
      </w:r>
      <w:r w:rsidRPr="00D6412D">
        <w:rPr>
          <w:i/>
          <w:noProof/>
        </w:rPr>
        <w:t xml:space="preserve"> </w:t>
      </w:r>
      <w:r w:rsidRPr="00C02041">
        <w:rPr>
          <w:iCs/>
          <w:noProof/>
        </w:rPr>
        <w:t>17</w:t>
      </w:r>
      <w:r w:rsidR="0098465F">
        <w:rPr>
          <w:noProof/>
        </w:rPr>
        <w:t>:</w:t>
      </w:r>
      <w:r w:rsidRPr="00D6412D">
        <w:rPr>
          <w:noProof/>
        </w:rPr>
        <w:t xml:space="preserve"> 1</w:t>
      </w:r>
      <w:r w:rsidR="0098465F">
        <w:rPr>
          <w:noProof/>
        </w:rPr>
        <w:t>–</w:t>
      </w:r>
      <w:r w:rsidRPr="00D6412D">
        <w:rPr>
          <w:noProof/>
        </w:rPr>
        <w:t>19.</w:t>
      </w:r>
    </w:p>
    <w:p w14:paraId="755B30B4" w14:textId="77777777" w:rsidR="00D6412D" w:rsidRPr="00D6412D" w:rsidRDefault="00D6412D">
      <w:pPr>
        <w:pStyle w:val="EndNoteBibliography"/>
        <w:rPr>
          <w:noProof/>
        </w:rPr>
      </w:pPr>
      <w:r w:rsidRPr="00D6412D">
        <w:rPr>
          <w:b/>
          <w:noProof/>
        </w:rPr>
        <w:t>Speck-Planche, A., Kleandrova, V.V., Ruso, J.M.</w:t>
      </w:r>
      <w:r w:rsidR="0098465F">
        <w:rPr>
          <w:b/>
          <w:noProof/>
        </w:rPr>
        <w:t xml:space="preserve"> &amp;</w:t>
      </w:r>
      <w:r w:rsidRPr="00D6412D">
        <w:rPr>
          <w:b/>
          <w:noProof/>
        </w:rPr>
        <w:t xml:space="preserve"> D. S. Cordeiro, M.N.</w:t>
      </w:r>
      <w:r w:rsidRPr="00D6412D">
        <w:rPr>
          <w:noProof/>
        </w:rPr>
        <w:t xml:space="preserve"> 2016. First multitarget chemo-bioinformatic model to enable the discovery of antibacterial peptides against multiple Gram-positive pathogens. </w:t>
      </w:r>
      <w:r w:rsidRPr="00C02041">
        <w:rPr>
          <w:i/>
          <w:iCs/>
          <w:noProof/>
        </w:rPr>
        <w:t>J</w:t>
      </w:r>
      <w:r w:rsidR="0098465F">
        <w:rPr>
          <w:i/>
          <w:iCs/>
          <w:noProof/>
        </w:rPr>
        <w:t>.</w:t>
      </w:r>
      <w:r w:rsidRPr="00C02041">
        <w:rPr>
          <w:i/>
          <w:iCs/>
          <w:noProof/>
        </w:rPr>
        <w:t xml:space="preserve"> Chem</w:t>
      </w:r>
      <w:r w:rsidR="0098465F">
        <w:rPr>
          <w:i/>
          <w:iCs/>
          <w:noProof/>
        </w:rPr>
        <w:t>.</w:t>
      </w:r>
      <w:r w:rsidRPr="00C02041">
        <w:rPr>
          <w:i/>
          <w:iCs/>
          <w:noProof/>
        </w:rPr>
        <w:t xml:space="preserve"> Inf</w:t>
      </w:r>
      <w:r w:rsidR="0098465F">
        <w:rPr>
          <w:i/>
          <w:iCs/>
          <w:noProof/>
        </w:rPr>
        <w:t>.</w:t>
      </w:r>
      <w:r w:rsidRPr="00C02041">
        <w:rPr>
          <w:i/>
          <w:iCs/>
          <w:noProof/>
        </w:rPr>
        <w:t xml:space="preserve"> Model</w:t>
      </w:r>
      <w:r w:rsidR="0098465F">
        <w:rPr>
          <w:i/>
          <w:iCs/>
          <w:noProof/>
        </w:rPr>
        <w:t>,</w:t>
      </w:r>
      <w:r w:rsidRPr="00D6412D">
        <w:rPr>
          <w:i/>
          <w:noProof/>
        </w:rPr>
        <w:t xml:space="preserve"> </w:t>
      </w:r>
      <w:r w:rsidRPr="00C02041">
        <w:rPr>
          <w:iCs/>
          <w:noProof/>
        </w:rPr>
        <w:t>56</w:t>
      </w:r>
      <w:r w:rsidR="0098465F">
        <w:rPr>
          <w:noProof/>
        </w:rPr>
        <w:t>:</w:t>
      </w:r>
      <w:r w:rsidRPr="00D6412D">
        <w:rPr>
          <w:noProof/>
        </w:rPr>
        <w:t xml:space="preserve"> 588</w:t>
      </w:r>
      <w:r w:rsidR="0098465F">
        <w:rPr>
          <w:noProof/>
        </w:rPr>
        <w:t>–</w:t>
      </w:r>
      <w:r w:rsidRPr="00D6412D">
        <w:rPr>
          <w:noProof/>
        </w:rPr>
        <w:t>598.</w:t>
      </w:r>
    </w:p>
    <w:p w14:paraId="46685656" w14:textId="77777777" w:rsidR="00D6412D" w:rsidRPr="00D6412D" w:rsidRDefault="00D6412D">
      <w:pPr>
        <w:pStyle w:val="EndNoteBibliography"/>
        <w:rPr>
          <w:noProof/>
        </w:rPr>
      </w:pPr>
      <w:r w:rsidRPr="00D6412D">
        <w:rPr>
          <w:b/>
          <w:noProof/>
        </w:rPr>
        <w:t>Springer, N.M.</w:t>
      </w:r>
      <w:r w:rsidR="0098465F">
        <w:rPr>
          <w:b/>
          <w:noProof/>
        </w:rPr>
        <w:t xml:space="preserve"> &amp;</w:t>
      </w:r>
      <w:r w:rsidRPr="00D6412D">
        <w:rPr>
          <w:b/>
          <w:noProof/>
        </w:rPr>
        <w:t xml:space="preserve"> Schmitz, R.J.</w:t>
      </w:r>
      <w:r w:rsidRPr="00D6412D">
        <w:rPr>
          <w:noProof/>
        </w:rPr>
        <w:t xml:space="preserve"> 2017. Exploiting induced and natural epigenetic variation for crop improvement. </w:t>
      </w:r>
      <w:r w:rsidRPr="00C02041">
        <w:rPr>
          <w:i/>
          <w:iCs/>
          <w:noProof/>
        </w:rPr>
        <w:t>Nat</w:t>
      </w:r>
      <w:r w:rsidR="0098465F">
        <w:rPr>
          <w:i/>
          <w:iCs/>
          <w:noProof/>
        </w:rPr>
        <w:t>.</w:t>
      </w:r>
      <w:r w:rsidRPr="00C02041">
        <w:rPr>
          <w:i/>
          <w:iCs/>
          <w:noProof/>
        </w:rPr>
        <w:t xml:space="preserve"> Rev</w:t>
      </w:r>
      <w:r w:rsidR="0098465F">
        <w:rPr>
          <w:i/>
          <w:iCs/>
          <w:noProof/>
        </w:rPr>
        <w:t>.</w:t>
      </w:r>
      <w:r w:rsidRPr="00C02041">
        <w:rPr>
          <w:i/>
          <w:iCs/>
          <w:noProof/>
        </w:rPr>
        <w:t xml:space="preserve"> Genet</w:t>
      </w:r>
      <w:r w:rsidR="0098465F">
        <w:rPr>
          <w:i/>
          <w:iCs/>
          <w:noProof/>
        </w:rPr>
        <w:t>.,</w:t>
      </w:r>
      <w:r w:rsidRPr="00381F8F">
        <w:rPr>
          <w:i/>
          <w:iCs/>
          <w:noProof/>
        </w:rPr>
        <w:t xml:space="preserve"> </w:t>
      </w:r>
      <w:r w:rsidRPr="00C02041">
        <w:rPr>
          <w:iCs/>
          <w:noProof/>
        </w:rPr>
        <w:t>18</w:t>
      </w:r>
      <w:r w:rsidR="0098465F">
        <w:rPr>
          <w:noProof/>
        </w:rPr>
        <w:t>:</w:t>
      </w:r>
      <w:r w:rsidRPr="00D6412D">
        <w:rPr>
          <w:noProof/>
        </w:rPr>
        <w:t xml:space="preserve"> 563</w:t>
      </w:r>
      <w:r w:rsidR="0098465F">
        <w:rPr>
          <w:noProof/>
        </w:rPr>
        <w:t>–</w:t>
      </w:r>
      <w:r w:rsidRPr="00D6412D">
        <w:rPr>
          <w:noProof/>
        </w:rPr>
        <w:t>575.</w:t>
      </w:r>
    </w:p>
    <w:p w14:paraId="2BC4FF47" w14:textId="77777777" w:rsidR="00D6412D" w:rsidRPr="00D6412D" w:rsidRDefault="00D6412D">
      <w:pPr>
        <w:pStyle w:val="EndNoteBibliography"/>
        <w:rPr>
          <w:noProof/>
        </w:rPr>
      </w:pPr>
      <w:r w:rsidRPr="00D6412D">
        <w:rPr>
          <w:b/>
          <w:noProof/>
        </w:rPr>
        <w:t>Steane, D.A., Potts, B.M., McLean, E., Prober, S.M., Stock, W.D., Vaillancourt, R.E.</w:t>
      </w:r>
      <w:r w:rsidR="0098465F">
        <w:rPr>
          <w:b/>
          <w:noProof/>
        </w:rPr>
        <w:t xml:space="preserve"> &amp;</w:t>
      </w:r>
      <w:r w:rsidRPr="00D6412D">
        <w:rPr>
          <w:b/>
          <w:noProof/>
        </w:rPr>
        <w:t xml:space="preserve"> Byrne, M.</w:t>
      </w:r>
      <w:r w:rsidRPr="00D6412D">
        <w:rPr>
          <w:noProof/>
        </w:rPr>
        <w:t xml:space="preserve"> 2014. Genome-wide scans detect adaptation to aridity in a widespread forest tree species. </w:t>
      </w:r>
      <w:r w:rsidRPr="00C02041">
        <w:rPr>
          <w:i/>
          <w:iCs/>
          <w:noProof/>
        </w:rPr>
        <w:t>Mol</w:t>
      </w:r>
      <w:r w:rsidR="0098465F">
        <w:rPr>
          <w:i/>
          <w:iCs/>
          <w:noProof/>
        </w:rPr>
        <w:t>.</w:t>
      </w:r>
      <w:r w:rsidRPr="00C02041">
        <w:rPr>
          <w:i/>
          <w:iCs/>
          <w:noProof/>
        </w:rPr>
        <w:t xml:space="preserve"> Ecol</w:t>
      </w:r>
      <w:r w:rsidR="0098465F">
        <w:rPr>
          <w:i/>
          <w:iCs/>
          <w:noProof/>
        </w:rPr>
        <w:t>.,</w:t>
      </w:r>
      <w:r w:rsidRPr="00D6412D">
        <w:rPr>
          <w:i/>
          <w:noProof/>
        </w:rPr>
        <w:t xml:space="preserve"> </w:t>
      </w:r>
      <w:r w:rsidRPr="00C02041">
        <w:rPr>
          <w:iCs/>
          <w:noProof/>
        </w:rPr>
        <w:t>23</w:t>
      </w:r>
      <w:r w:rsidR="0098465F">
        <w:rPr>
          <w:noProof/>
        </w:rPr>
        <w:t>:</w:t>
      </w:r>
      <w:r w:rsidRPr="00D6412D">
        <w:rPr>
          <w:noProof/>
        </w:rPr>
        <w:t xml:space="preserve"> 2500</w:t>
      </w:r>
      <w:r w:rsidR="0098465F">
        <w:rPr>
          <w:noProof/>
        </w:rPr>
        <w:t>–</w:t>
      </w:r>
      <w:r w:rsidRPr="00D6412D">
        <w:rPr>
          <w:noProof/>
        </w:rPr>
        <w:t>2513.</w:t>
      </w:r>
    </w:p>
    <w:p w14:paraId="3F821F0F" w14:textId="77777777" w:rsidR="00D6412D" w:rsidRPr="00D6412D" w:rsidRDefault="00D6412D">
      <w:pPr>
        <w:pStyle w:val="EndNoteBibliography"/>
        <w:rPr>
          <w:noProof/>
        </w:rPr>
      </w:pPr>
      <w:r w:rsidRPr="00D6412D">
        <w:rPr>
          <w:b/>
          <w:noProof/>
        </w:rPr>
        <w:t>Stegemann, S.</w:t>
      </w:r>
      <w:r w:rsidR="0098465F">
        <w:rPr>
          <w:b/>
          <w:noProof/>
        </w:rPr>
        <w:t xml:space="preserve"> &amp;</w:t>
      </w:r>
      <w:r w:rsidRPr="00D6412D">
        <w:rPr>
          <w:b/>
          <w:noProof/>
        </w:rPr>
        <w:t xml:space="preserve"> Bock, R.</w:t>
      </w:r>
      <w:r w:rsidRPr="00D6412D">
        <w:rPr>
          <w:noProof/>
        </w:rPr>
        <w:t xml:space="preserve"> 2009. Exchange of genetic material between cells in plant tissue grafts. </w:t>
      </w:r>
      <w:r w:rsidRPr="00C02041">
        <w:rPr>
          <w:i/>
          <w:iCs/>
          <w:noProof/>
        </w:rPr>
        <w:t>Science</w:t>
      </w:r>
      <w:r w:rsidR="0098465F">
        <w:rPr>
          <w:i/>
          <w:noProof/>
        </w:rPr>
        <w:t>,</w:t>
      </w:r>
      <w:r w:rsidRPr="00D6412D">
        <w:rPr>
          <w:i/>
          <w:noProof/>
        </w:rPr>
        <w:t xml:space="preserve"> </w:t>
      </w:r>
      <w:r w:rsidRPr="00C02041">
        <w:rPr>
          <w:iCs/>
          <w:noProof/>
        </w:rPr>
        <w:t>324</w:t>
      </w:r>
      <w:r w:rsidR="0098465F">
        <w:rPr>
          <w:noProof/>
        </w:rPr>
        <w:t>:</w:t>
      </w:r>
      <w:r w:rsidRPr="00D6412D">
        <w:rPr>
          <w:noProof/>
        </w:rPr>
        <w:t xml:space="preserve"> 650</w:t>
      </w:r>
      <w:r w:rsidR="0098465F">
        <w:rPr>
          <w:noProof/>
        </w:rPr>
        <w:t>–</w:t>
      </w:r>
      <w:r w:rsidRPr="00D6412D">
        <w:rPr>
          <w:noProof/>
        </w:rPr>
        <w:t>651.</w:t>
      </w:r>
    </w:p>
    <w:p w14:paraId="7DEE5B3C" w14:textId="77777777" w:rsidR="00D6412D" w:rsidRPr="00D6412D" w:rsidRDefault="00D6412D">
      <w:pPr>
        <w:pStyle w:val="EndNoteBibliography"/>
        <w:rPr>
          <w:noProof/>
        </w:rPr>
      </w:pPr>
      <w:r w:rsidRPr="00D6412D">
        <w:rPr>
          <w:b/>
          <w:noProof/>
        </w:rPr>
        <w:t>Steinfeld, H., Gerber, P., Wassenaar, T., Castel, V., Rosales, M.</w:t>
      </w:r>
      <w:r w:rsidR="0098465F">
        <w:rPr>
          <w:b/>
          <w:noProof/>
        </w:rPr>
        <w:t xml:space="preserve"> &amp;</w:t>
      </w:r>
      <w:r w:rsidRPr="00D6412D">
        <w:rPr>
          <w:b/>
          <w:noProof/>
        </w:rPr>
        <w:t xml:space="preserve"> de Haan, C.</w:t>
      </w:r>
      <w:r w:rsidRPr="00D6412D">
        <w:rPr>
          <w:noProof/>
        </w:rPr>
        <w:t xml:space="preserve"> 2006. </w:t>
      </w:r>
      <w:r w:rsidRPr="00C02041">
        <w:rPr>
          <w:i/>
          <w:iCs/>
          <w:noProof/>
        </w:rPr>
        <w:t>Livestock's long shadow. Environmental issues and options</w:t>
      </w:r>
      <w:r w:rsidRPr="00D6412D">
        <w:rPr>
          <w:noProof/>
        </w:rPr>
        <w:t>. Rome</w:t>
      </w:r>
      <w:r w:rsidR="0098465F">
        <w:rPr>
          <w:noProof/>
        </w:rPr>
        <w:t xml:space="preserve">, </w:t>
      </w:r>
      <w:r w:rsidRPr="00D6412D">
        <w:rPr>
          <w:noProof/>
        </w:rPr>
        <w:t>FAO</w:t>
      </w:r>
      <w:r w:rsidR="0098465F">
        <w:rPr>
          <w:noProof/>
        </w:rPr>
        <w:t>.</w:t>
      </w:r>
      <w:r w:rsidRPr="00D6412D">
        <w:rPr>
          <w:noProof/>
        </w:rPr>
        <w:t xml:space="preserve"> </w:t>
      </w:r>
    </w:p>
    <w:p w14:paraId="3C2F165E" w14:textId="77777777" w:rsidR="00D6412D" w:rsidRPr="00D6412D" w:rsidRDefault="00D6412D">
      <w:pPr>
        <w:pStyle w:val="EndNoteBibliography"/>
        <w:rPr>
          <w:noProof/>
        </w:rPr>
      </w:pPr>
      <w:r w:rsidRPr="00D6412D">
        <w:rPr>
          <w:b/>
          <w:noProof/>
        </w:rPr>
        <w:t>Stephens, Z., Lee, S., Faghri, F., Campbell, R., Zhai, C., Efron, M., Iyer, R., Schatz, M., Sinha, S.</w:t>
      </w:r>
      <w:r w:rsidR="0098465F">
        <w:rPr>
          <w:b/>
          <w:noProof/>
        </w:rPr>
        <w:t xml:space="preserve"> &amp;</w:t>
      </w:r>
      <w:r w:rsidRPr="00D6412D">
        <w:rPr>
          <w:b/>
          <w:noProof/>
        </w:rPr>
        <w:t xml:space="preserve"> Robinson, G.</w:t>
      </w:r>
      <w:r w:rsidRPr="00D6412D">
        <w:rPr>
          <w:noProof/>
        </w:rPr>
        <w:t xml:space="preserve"> 2015. Big data: astronomical or genomical? </w:t>
      </w:r>
      <w:r w:rsidRPr="00C02041">
        <w:rPr>
          <w:i/>
          <w:iCs/>
          <w:noProof/>
        </w:rPr>
        <w:t>PLoS Biol</w:t>
      </w:r>
      <w:r w:rsidR="0098465F">
        <w:rPr>
          <w:i/>
          <w:iCs/>
          <w:noProof/>
        </w:rPr>
        <w:t>.,</w:t>
      </w:r>
      <w:r w:rsidRPr="00381F8F">
        <w:rPr>
          <w:i/>
          <w:iCs/>
          <w:noProof/>
        </w:rPr>
        <w:t xml:space="preserve"> </w:t>
      </w:r>
      <w:r w:rsidRPr="00C02041">
        <w:rPr>
          <w:iCs/>
          <w:noProof/>
        </w:rPr>
        <w:t>13</w:t>
      </w:r>
      <w:r w:rsidR="0098465F">
        <w:rPr>
          <w:noProof/>
        </w:rPr>
        <w:t>:</w:t>
      </w:r>
      <w:r w:rsidRPr="00D6412D">
        <w:rPr>
          <w:noProof/>
        </w:rPr>
        <w:t xml:space="preserve"> e1002195.</w:t>
      </w:r>
    </w:p>
    <w:p w14:paraId="7579DA81" w14:textId="77777777" w:rsidR="00D6412D" w:rsidRPr="00D6412D" w:rsidRDefault="00D6412D">
      <w:pPr>
        <w:pStyle w:val="EndNoteBibliography"/>
        <w:rPr>
          <w:noProof/>
        </w:rPr>
      </w:pPr>
      <w:r w:rsidRPr="00D6412D">
        <w:rPr>
          <w:b/>
          <w:noProof/>
        </w:rPr>
        <w:t>Strohman, R.C.</w:t>
      </w:r>
      <w:r w:rsidRPr="00D6412D">
        <w:rPr>
          <w:noProof/>
        </w:rPr>
        <w:t xml:space="preserve"> 1997. The coming Kuhnian revolution in biology. </w:t>
      </w:r>
      <w:r w:rsidRPr="00C02041">
        <w:rPr>
          <w:i/>
          <w:iCs/>
          <w:noProof/>
        </w:rPr>
        <w:t>Nature Biotech</w:t>
      </w:r>
      <w:r w:rsidR="0098465F">
        <w:rPr>
          <w:i/>
          <w:iCs/>
          <w:noProof/>
        </w:rPr>
        <w:t>.,</w:t>
      </w:r>
      <w:r w:rsidRPr="00D6412D">
        <w:rPr>
          <w:i/>
          <w:noProof/>
        </w:rPr>
        <w:t xml:space="preserve"> </w:t>
      </w:r>
      <w:r w:rsidRPr="00C02041">
        <w:rPr>
          <w:iCs/>
          <w:noProof/>
        </w:rPr>
        <w:t>15</w:t>
      </w:r>
      <w:r w:rsidR="0098465F">
        <w:rPr>
          <w:noProof/>
        </w:rPr>
        <w:t>:</w:t>
      </w:r>
      <w:r w:rsidRPr="00D6412D">
        <w:rPr>
          <w:noProof/>
        </w:rPr>
        <w:t xml:space="preserve"> 194</w:t>
      </w:r>
      <w:r w:rsidR="0098465F">
        <w:rPr>
          <w:noProof/>
        </w:rPr>
        <w:t>–</w:t>
      </w:r>
      <w:r w:rsidRPr="00D6412D">
        <w:rPr>
          <w:noProof/>
        </w:rPr>
        <w:t>200.</w:t>
      </w:r>
    </w:p>
    <w:p w14:paraId="5EC07635" w14:textId="77777777" w:rsidR="00D6412D" w:rsidRPr="00D6412D" w:rsidRDefault="00D6412D">
      <w:pPr>
        <w:pStyle w:val="EndNoteBibliography"/>
        <w:rPr>
          <w:noProof/>
        </w:rPr>
      </w:pPr>
      <w:r w:rsidRPr="00D6412D">
        <w:rPr>
          <w:b/>
          <w:noProof/>
        </w:rPr>
        <w:t>Strzyz, P.</w:t>
      </w:r>
      <w:r w:rsidRPr="00D6412D">
        <w:rPr>
          <w:noProof/>
        </w:rPr>
        <w:t xml:space="preserve"> 2017. Getting instructions from mum. </w:t>
      </w:r>
      <w:r w:rsidRPr="00C02041">
        <w:rPr>
          <w:i/>
          <w:iCs/>
          <w:noProof/>
        </w:rPr>
        <w:t>Nat</w:t>
      </w:r>
      <w:r w:rsidR="0098465F">
        <w:rPr>
          <w:i/>
          <w:iCs/>
          <w:noProof/>
        </w:rPr>
        <w:t>.</w:t>
      </w:r>
      <w:r w:rsidRPr="00C02041">
        <w:rPr>
          <w:i/>
          <w:iCs/>
          <w:noProof/>
        </w:rPr>
        <w:t xml:space="preserve"> Rev</w:t>
      </w:r>
      <w:r w:rsidR="0098465F">
        <w:rPr>
          <w:i/>
          <w:iCs/>
          <w:noProof/>
        </w:rPr>
        <w:t>.</w:t>
      </w:r>
      <w:r w:rsidRPr="00C02041">
        <w:rPr>
          <w:i/>
          <w:iCs/>
          <w:noProof/>
        </w:rPr>
        <w:t xml:space="preserve"> Genet</w:t>
      </w:r>
      <w:r w:rsidR="0098465F">
        <w:rPr>
          <w:i/>
          <w:iCs/>
          <w:noProof/>
        </w:rPr>
        <w:t>.,</w:t>
      </w:r>
      <w:r w:rsidRPr="00381F8F">
        <w:rPr>
          <w:i/>
          <w:iCs/>
          <w:noProof/>
        </w:rPr>
        <w:t xml:space="preserve"> </w:t>
      </w:r>
      <w:r w:rsidRPr="00C02041">
        <w:rPr>
          <w:iCs/>
          <w:noProof/>
        </w:rPr>
        <w:t>18</w:t>
      </w:r>
      <w:r w:rsidR="0098465F">
        <w:rPr>
          <w:noProof/>
        </w:rPr>
        <w:t>:</w:t>
      </w:r>
      <w:r w:rsidRPr="00D6412D">
        <w:rPr>
          <w:noProof/>
        </w:rPr>
        <w:t xml:space="preserve"> 513.</w:t>
      </w:r>
    </w:p>
    <w:p w14:paraId="1883A619" w14:textId="77777777" w:rsidR="00D6412D" w:rsidRPr="00D6412D" w:rsidRDefault="00D6412D">
      <w:pPr>
        <w:pStyle w:val="EndNoteBibliography"/>
        <w:rPr>
          <w:noProof/>
        </w:rPr>
      </w:pPr>
      <w:r w:rsidRPr="00D6412D">
        <w:rPr>
          <w:b/>
          <w:noProof/>
        </w:rPr>
        <w:t>Sultana, S., Ali, M.E., Hossain, M.A.M., Asing, Naquiah, N.</w:t>
      </w:r>
      <w:r w:rsidR="0098465F">
        <w:rPr>
          <w:b/>
          <w:noProof/>
        </w:rPr>
        <w:t xml:space="preserve"> &amp;</w:t>
      </w:r>
      <w:r w:rsidRPr="00D6412D">
        <w:rPr>
          <w:b/>
          <w:noProof/>
        </w:rPr>
        <w:t xml:space="preserve"> Zaidul, I.S.M.</w:t>
      </w:r>
      <w:r w:rsidRPr="00D6412D">
        <w:rPr>
          <w:noProof/>
        </w:rPr>
        <w:t xml:space="preserve"> 2018. Universal mini COI barcode for the identification of fish species in processed products. </w:t>
      </w:r>
      <w:r w:rsidRPr="00C02041">
        <w:rPr>
          <w:i/>
          <w:iCs/>
          <w:noProof/>
        </w:rPr>
        <w:t>Food Res</w:t>
      </w:r>
      <w:r w:rsidR="0098465F">
        <w:rPr>
          <w:i/>
          <w:iCs/>
          <w:noProof/>
        </w:rPr>
        <w:t>.</w:t>
      </w:r>
      <w:r w:rsidRPr="00C02041">
        <w:rPr>
          <w:i/>
          <w:iCs/>
          <w:noProof/>
        </w:rPr>
        <w:t xml:space="preserve"> Internatl</w:t>
      </w:r>
      <w:r w:rsidR="0098465F">
        <w:rPr>
          <w:i/>
          <w:iCs/>
          <w:noProof/>
        </w:rPr>
        <w:t>.,</w:t>
      </w:r>
      <w:r w:rsidRPr="00381F8F">
        <w:rPr>
          <w:i/>
          <w:iCs/>
          <w:noProof/>
        </w:rPr>
        <w:t xml:space="preserve"> </w:t>
      </w:r>
      <w:r w:rsidRPr="00C02041">
        <w:rPr>
          <w:iCs/>
          <w:noProof/>
        </w:rPr>
        <w:t>105</w:t>
      </w:r>
      <w:r w:rsidR="0098465F">
        <w:rPr>
          <w:noProof/>
        </w:rPr>
        <w:t>:</w:t>
      </w:r>
      <w:r w:rsidRPr="00D6412D">
        <w:rPr>
          <w:noProof/>
        </w:rPr>
        <w:t xml:space="preserve"> 19</w:t>
      </w:r>
      <w:r w:rsidR="0098465F">
        <w:rPr>
          <w:noProof/>
        </w:rPr>
        <w:t>–</w:t>
      </w:r>
      <w:r w:rsidRPr="00D6412D">
        <w:rPr>
          <w:noProof/>
        </w:rPr>
        <w:t>28.</w:t>
      </w:r>
    </w:p>
    <w:p w14:paraId="0D87D491" w14:textId="77777777" w:rsidR="00D6412D" w:rsidRPr="00D6412D" w:rsidRDefault="00D6412D">
      <w:pPr>
        <w:pStyle w:val="EndNoteBibliography"/>
        <w:rPr>
          <w:noProof/>
        </w:rPr>
      </w:pPr>
      <w:r w:rsidRPr="00D6412D">
        <w:rPr>
          <w:b/>
          <w:noProof/>
        </w:rPr>
        <w:t>Suni, S.S., Scott, Z., Averill, A.</w:t>
      </w:r>
      <w:r w:rsidR="0098465F">
        <w:rPr>
          <w:b/>
          <w:noProof/>
        </w:rPr>
        <w:t xml:space="preserve"> &amp;</w:t>
      </w:r>
      <w:r w:rsidRPr="00D6412D">
        <w:rPr>
          <w:b/>
          <w:noProof/>
        </w:rPr>
        <w:t xml:space="preserve"> Whiteley, A.</w:t>
      </w:r>
      <w:r w:rsidRPr="00D6412D">
        <w:rPr>
          <w:noProof/>
        </w:rPr>
        <w:t xml:space="preserve"> 2017. Population genetics of wild and managed pollinators: implications for crop pollination and the genetic integrity of wild bees. </w:t>
      </w:r>
      <w:r w:rsidRPr="00C02041">
        <w:rPr>
          <w:i/>
          <w:iCs/>
          <w:noProof/>
        </w:rPr>
        <w:t>Conserv</w:t>
      </w:r>
      <w:r w:rsidR="0098465F">
        <w:rPr>
          <w:i/>
          <w:iCs/>
          <w:noProof/>
        </w:rPr>
        <w:t>.</w:t>
      </w:r>
      <w:r w:rsidRPr="00C02041">
        <w:rPr>
          <w:i/>
          <w:iCs/>
          <w:noProof/>
        </w:rPr>
        <w:t xml:space="preserve"> Genet</w:t>
      </w:r>
      <w:r w:rsidR="0098465F">
        <w:rPr>
          <w:i/>
          <w:iCs/>
          <w:noProof/>
        </w:rPr>
        <w:t>.,</w:t>
      </w:r>
      <w:r w:rsidRPr="00381F8F">
        <w:rPr>
          <w:i/>
          <w:iCs/>
          <w:noProof/>
        </w:rPr>
        <w:t xml:space="preserve"> </w:t>
      </w:r>
      <w:r w:rsidRPr="00C02041">
        <w:rPr>
          <w:iCs/>
          <w:noProof/>
        </w:rPr>
        <w:t>18</w:t>
      </w:r>
      <w:r w:rsidR="0098465F">
        <w:rPr>
          <w:noProof/>
        </w:rPr>
        <w:t>:</w:t>
      </w:r>
      <w:r w:rsidRPr="00D6412D">
        <w:rPr>
          <w:noProof/>
        </w:rPr>
        <w:t xml:space="preserve"> 667</w:t>
      </w:r>
      <w:r w:rsidR="0098465F">
        <w:rPr>
          <w:noProof/>
        </w:rPr>
        <w:t>–</w:t>
      </w:r>
      <w:r w:rsidRPr="00D6412D">
        <w:rPr>
          <w:noProof/>
        </w:rPr>
        <w:t>677.</w:t>
      </w:r>
    </w:p>
    <w:p w14:paraId="2EF27D18" w14:textId="77777777" w:rsidR="00D6412D" w:rsidRPr="00C02041" w:rsidRDefault="00D6412D">
      <w:pPr>
        <w:pStyle w:val="EndNoteBibliography"/>
        <w:rPr>
          <w:noProof/>
          <w:lang w:val="it-IT"/>
        </w:rPr>
      </w:pPr>
      <w:r w:rsidRPr="00D6412D">
        <w:rPr>
          <w:b/>
          <w:noProof/>
        </w:rPr>
        <w:t>Swanson, K.S.</w:t>
      </w:r>
      <w:r w:rsidRPr="00D6412D">
        <w:rPr>
          <w:noProof/>
        </w:rPr>
        <w:t xml:space="preserve"> 2016. Gut microbiota, diet, and health: application to livestock and companion animals. </w:t>
      </w:r>
      <w:r w:rsidRPr="00C02041">
        <w:rPr>
          <w:i/>
          <w:iCs/>
          <w:noProof/>
          <w:lang w:val="it-IT"/>
        </w:rPr>
        <w:t>Animal Front</w:t>
      </w:r>
      <w:r w:rsidR="0098465F" w:rsidRPr="00C02041">
        <w:rPr>
          <w:i/>
          <w:noProof/>
          <w:lang w:val="it-IT"/>
        </w:rPr>
        <w:t>,</w:t>
      </w:r>
      <w:r w:rsidRPr="00C02041">
        <w:rPr>
          <w:i/>
          <w:noProof/>
          <w:lang w:val="it-IT"/>
        </w:rPr>
        <w:t xml:space="preserve"> </w:t>
      </w:r>
      <w:r w:rsidRPr="00C02041">
        <w:rPr>
          <w:iCs/>
          <w:noProof/>
          <w:lang w:val="it-IT"/>
        </w:rPr>
        <w:t>6</w:t>
      </w:r>
      <w:r w:rsidR="0098465F" w:rsidRPr="00C02041">
        <w:rPr>
          <w:noProof/>
          <w:lang w:val="it-IT"/>
        </w:rPr>
        <w:t>:</w:t>
      </w:r>
      <w:r w:rsidRPr="00C02041">
        <w:rPr>
          <w:noProof/>
          <w:lang w:val="it-IT"/>
        </w:rPr>
        <w:t xml:space="preserve"> 4</w:t>
      </w:r>
      <w:r w:rsidR="0098465F">
        <w:rPr>
          <w:noProof/>
          <w:lang w:val="it-IT"/>
        </w:rPr>
        <w:t>–</w:t>
      </w:r>
      <w:r w:rsidRPr="00C02041">
        <w:rPr>
          <w:noProof/>
          <w:lang w:val="it-IT"/>
        </w:rPr>
        <w:t>7.</w:t>
      </w:r>
    </w:p>
    <w:p w14:paraId="27B5C0F6" w14:textId="77777777" w:rsidR="00D6412D" w:rsidRPr="00D85B51" w:rsidRDefault="00D6412D">
      <w:pPr>
        <w:pStyle w:val="EndNoteBibliography"/>
        <w:rPr>
          <w:noProof/>
          <w:lang w:val="en-CA"/>
        </w:rPr>
      </w:pPr>
      <w:r w:rsidRPr="00C02041">
        <w:rPr>
          <w:b/>
          <w:noProof/>
          <w:lang w:val="it-IT"/>
        </w:rPr>
        <w:lastRenderedPageBreak/>
        <w:t>Taberlet, P., Valentini, A., Rezaei, H.R., Naderi, S., Pompanon, F., Negrini, R.</w:t>
      </w:r>
      <w:r w:rsidR="0042465E">
        <w:rPr>
          <w:b/>
          <w:noProof/>
          <w:lang w:val="it-IT"/>
        </w:rPr>
        <w:t xml:space="preserve"> </w:t>
      </w:r>
      <w:r w:rsidR="0042465E" w:rsidRPr="0012061B">
        <w:rPr>
          <w:b/>
          <w:noProof/>
          <w:lang w:val="fr-FR"/>
        </w:rPr>
        <w:t>&amp;</w:t>
      </w:r>
      <w:r w:rsidRPr="0012061B">
        <w:rPr>
          <w:b/>
          <w:noProof/>
          <w:lang w:val="fr-FR"/>
        </w:rPr>
        <w:t xml:space="preserve"> Ajmone-Marsan, P.</w:t>
      </w:r>
      <w:r w:rsidRPr="0012061B">
        <w:rPr>
          <w:noProof/>
          <w:lang w:val="fr-FR"/>
        </w:rPr>
        <w:t xml:space="preserve"> 2008. </w:t>
      </w:r>
      <w:r w:rsidRPr="00D85B51">
        <w:rPr>
          <w:noProof/>
          <w:lang w:val="en-CA"/>
        </w:rPr>
        <w:t xml:space="preserve">Are cattle, sheep, and goats endangered species? </w:t>
      </w:r>
      <w:r w:rsidRPr="00D85B51">
        <w:rPr>
          <w:i/>
          <w:iCs/>
          <w:noProof/>
          <w:lang w:val="en-CA"/>
        </w:rPr>
        <w:t>Mol</w:t>
      </w:r>
      <w:r w:rsidR="0042465E" w:rsidRPr="00D85B51">
        <w:rPr>
          <w:i/>
          <w:iCs/>
          <w:noProof/>
          <w:lang w:val="en-CA"/>
        </w:rPr>
        <w:t>.</w:t>
      </w:r>
      <w:r w:rsidRPr="00D85B51">
        <w:rPr>
          <w:i/>
          <w:iCs/>
          <w:noProof/>
          <w:lang w:val="en-CA"/>
        </w:rPr>
        <w:t xml:space="preserve"> Ecol</w:t>
      </w:r>
      <w:r w:rsidR="0042465E" w:rsidRPr="00D85B51">
        <w:rPr>
          <w:i/>
          <w:iCs/>
          <w:noProof/>
          <w:lang w:val="en-CA"/>
        </w:rPr>
        <w:t>.,</w:t>
      </w:r>
      <w:r w:rsidRPr="00D85B51">
        <w:rPr>
          <w:i/>
          <w:iCs/>
          <w:noProof/>
          <w:lang w:val="en-CA"/>
        </w:rPr>
        <w:t xml:space="preserve"> </w:t>
      </w:r>
      <w:r w:rsidRPr="00D85B51">
        <w:rPr>
          <w:iCs/>
          <w:noProof/>
          <w:lang w:val="en-CA"/>
        </w:rPr>
        <w:t>17</w:t>
      </w:r>
      <w:r w:rsidR="0042465E" w:rsidRPr="00D85B51">
        <w:rPr>
          <w:noProof/>
          <w:lang w:val="en-CA"/>
        </w:rPr>
        <w:t>:</w:t>
      </w:r>
      <w:r w:rsidRPr="00D85B51">
        <w:rPr>
          <w:noProof/>
          <w:lang w:val="en-CA"/>
        </w:rPr>
        <w:t xml:space="preserve"> 275</w:t>
      </w:r>
      <w:r w:rsidR="0042465E" w:rsidRPr="00D85B51">
        <w:rPr>
          <w:noProof/>
          <w:lang w:val="en-CA"/>
        </w:rPr>
        <w:t>–</w:t>
      </w:r>
      <w:r w:rsidRPr="00D85B51">
        <w:rPr>
          <w:noProof/>
          <w:lang w:val="en-CA"/>
        </w:rPr>
        <w:t>284.</w:t>
      </w:r>
    </w:p>
    <w:p w14:paraId="02B85C89" w14:textId="77777777" w:rsidR="00D6412D" w:rsidRPr="00D6412D" w:rsidRDefault="00D6412D">
      <w:pPr>
        <w:pStyle w:val="EndNoteBibliography"/>
        <w:rPr>
          <w:noProof/>
        </w:rPr>
      </w:pPr>
      <w:r w:rsidRPr="00D85B51">
        <w:rPr>
          <w:b/>
          <w:noProof/>
          <w:lang w:val="en-CA"/>
        </w:rPr>
        <w:t>Tamiru, M., Natsume, S., Takagi, H., White, B., Yaegashi, H., Shimizu, M., Yoshida, K., Uemura, A., Oikawa, K., Abe, A.</w:t>
      </w:r>
      <w:r w:rsidRPr="00D85B51">
        <w:rPr>
          <w:b/>
          <w:i/>
          <w:noProof/>
          <w:lang w:val="en-CA"/>
        </w:rPr>
        <w:t>, et al.</w:t>
      </w:r>
      <w:r w:rsidRPr="00D85B51">
        <w:rPr>
          <w:noProof/>
          <w:lang w:val="en-CA"/>
        </w:rPr>
        <w:t xml:space="preserve"> 2017. </w:t>
      </w:r>
      <w:r w:rsidRPr="00D6412D">
        <w:rPr>
          <w:noProof/>
        </w:rPr>
        <w:t xml:space="preserve">Genome sequencing of the staple food crop white Guinea yam enables the development of a molecular marker for sex determination. </w:t>
      </w:r>
      <w:r w:rsidRPr="00C02041">
        <w:rPr>
          <w:i/>
          <w:iCs/>
          <w:noProof/>
        </w:rPr>
        <w:t>BMC Biol</w:t>
      </w:r>
      <w:r w:rsidR="0042465E">
        <w:rPr>
          <w:i/>
          <w:noProof/>
        </w:rPr>
        <w:t>.,</w:t>
      </w:r>
      <w:r w:rsidRPr="00D6412D">
        <w:rPr>
          <w:i/>
          <w:noProof/>
        </w:rPr>
        <w:t xml:space="preserve"> </w:t>
      </w:r>
      <w:r w:rsidRPr="00C02041">
        <w:rPr>
          <w:iCs/>
          <w:noProof/>
        </w:rPr>
        <w:t>15</w:t>
      </w:r>
      <w:r w:rsidR="0042465E">
        <w:rPr>
          <w:noProof/>
        </w:rPr>
        <w:t>:</w:t>
      </w:r>
      <w:r w:rsidRPr="00D6412D">
        <w:rPr>
          <w:noProof/>
        </w:rPr>
        <w:t xml:space="preserve"> 86.</w:t>
      </w:r>
    </w:p>
    <w:p w14:paraId="75C2ABF6" w14:textId="77777777" w:rsidR="00D6412D" w:rsidRPr="00D6412D" w:rsidRDefault="00D6412D">
      <w:pPr>
        <w:pStyle w:val="EndNoteBibliography"/>
        <w:rPr>
          <w:noProof/>
        </w:rPr>
      </w:pPr>
      <w:r w:rsidRPr="00D6412D">
        <w:rPr>
          <w:b/>
          <w:noProof/>
        </w:rPr>
        <w:t>Tao, Z., Shen, L., Gu, X., Wang, Y., Yu, H.</w:t>
      </w:r>
      <w:r w:rsidR="0042465E">
        <w:rPr>
          <w:b/>
          <w:noProof/>
        </w:rPr>
        <w:t>&amp;</w:t>
      </w:r>
      <w:r w:rsidRPr="00D6412D">
        <w:rPr>
          <w:b/>
          <w:noProof/>
        </w:rPr>
        <w:t xml:space="preserve"> He, Y.</w:t>
      </w:r>
      <w:r w:rsidRPr="00D6412D">
        <w:rPr>
          <w:noProof/>
        </w:rPr>
        <w:t xml:space="preserve"> 2017. Embryonic epigenetic reprogramming by a pioneer transcription factor in plants.</w:t>
      </w:r>
      <w:r w:rsidRPr="00C02041">
        <w:rPr>
          <w:i/>
          <w:iCs/>
          <w:noProof/>
        </w:rPr>
        <w:t xml:space="preserve"> Nature</w:t>
      </w:r>
      <w:r w:rsidR="0042465E">
        <w:rPr>
          <w:i/>
          <w:noProof/>
        </w:rPr>
        <w:t>,</w:t>
      </w:r>
      <w:r w:rsidRPr="00D6412D">
        <w:rPr>
          <w:i/>
          <w:noProof/>
        </w:rPr>
        <w:t xml:space="preserve"> </w:t>
      </w:r>
      <w:r w:rsidRPr="00C02041">
        <w:rPr>
          <w:iCs/>
          <w:noProof/>
        </w:rPr>
        <w:t>551</w:t>
      </w:r>
      <w:r w:rsidR="0042465E">
        <w:rPr>
          <w:noProof/>
        </w:rPr>
        <w:t>:</w:t>
      </w:r>
      <w:r w:rsidRPr="00D6412D">
        <w:rPr>
          <w:noProof/>
        </w:rPr>
        <w:t xml:space="preserve"> 124</w:t>
      </w:r>
      <w:r w:rsidR="0042465E">
        <w:rPr>
          <w:noProof/>
        </w:rPr>
        <w:t>–</w:t>
      </w:r>
      <w:r w:rsidRPr="00D6412D">
        <w:rPr>
          <w:noProof/>
        </w:rPr>
        <w:t>128.</w:t>
      </w:r>
    </w:p>
    <w:p w14:paraId="484C056A" w14:textId="77777777" w:rsidR="00D6412D" w:rsidRPr="00D6412D" w:rsidRDefault="00D6412D">
      <w:pPr>
        <w:pStyle w:val="EndNoteBibliography"/>
        <w:rPr>
          <w:noProof/>
        </w:rPr>
      </w:pPr>
      <w:r w:rsidRPr="00D6412D">
        <w:rPr>
          <w:b/>
          <w:noProof/>
        </w:rPr>
        <w:t>Tapio, I., Snelling, T.J., Storzzi, F.</w:t>
      </w:r>
      <w:r w:rsidR="0042465E">
        <w:rPr>
          <w:b/>
          <w:noProof/>
        </w:rPr>
        <w:t xml:space="preserve"> &amp;</w:t>
      </w:r>
      <w:r w:rsidRPr="00D6412D">
        <w:rPr>
          <w:b/>
          <w:noProof/>
        </w:rPr>
        <w:t xml:space="preserve"> Wallace, R.J.</w:t>
      </w:r>
      <w:r w:rsidRPr="00D6412D">
        <w:rPr>
          <w:noProof/>
        </w:rPr>
        <w:t xml:space="preserve"> 2017. The ruminal microbiome associated with methane emissions from ruminant livestock. </w:t>
      </w:r>
      <w:r w:rsidRPr="00C02041">
        <w:rPr>
          <w:i/>
          <w:iCs/>
          <w:noProof/>
        </w:rPr>
        <w:t>J</w:t>
      </w:r>
      <w:r w:rsidR="0042465E">
        <w:rPr>
          <w:i/>
          <w:iCs/>
          <w:noProof/>
        </w:rPr>
        <w:t>.</w:t>
      </w:r>
      <w:r w:rsidRPr="00C02041">
        <w:rPr>
          <w:i/>
          <w:iCs/>
          <w:noProof/>
        </w:rPr>
        <w:t xml:space="preserve"> Anim</w:t>
      </w:r>
      <w:r w:rsidR="0042465E">
        <w:rPr>
          <w:i/>
          <w:iCs/>
          <w:noProof/>
        </w:rPr>
        <w:t>.</w:t>
      </w:r>
      <w:r w:rsidRPr="00C02041">
        <w:rPr>
          <w:i/>
          <w:iCs/>
          <w:noProof/>
        </w:rPr>
        <w:t xml:space="preserve"> Sci</w:t>
      </w:r>
      <w:r w:rsidR="0042465E">
        <w:rPr>
          <w:i/>
          <w:iCs/>
          <w:noProof/>
        </w:rPr>
        <w:t>.</w:t>
      </w:r>
      <w:r w:rsidRPr="00C02041">
        <w:rPr>
          <w:i/>
          <w:iCs/>
          <w:noProof/>
        </w:rPr>
        <w:t xml:space="preserve"> Biotechnol</w:t>
      </w:r>
      <w:r w:rsidR="0042465E">
        <w:rPr>
          <w:i/>
          <w:iCs/>
          <w:noProof/>
        </w:rPr>
        <w:t>.,</w:t>
      </w:r>
      <w:r w:rsidRPr="00D6412D">
        <w:rPr>
          <w:i/>
          <w:noProof/>
        </w:rPr>
        <w:t xml:space="preserve"> 8</w:t>
      </w:r>
      <w:r w:rsidR="0042465E">
        <w:rPr>
          <w:noProof/>
        </w:rPr>
        <w:t>:</w:t>
      </w:r>
      <w:r w:rsidRPr="00D6412D">
        <w:rPr>
          <w:noProof/>
        </w:rPr>
        <w:t xml:space="preserve"> 7.</w:t>
      </w:r>
    </w:p>
    <w:p w14:paraId="27788675" w14:textId="77777777" w:rsidR="00D6412D" w:rsidRPr="00D6412D" w:rsidRDefault="00D6412D" w:rsidP="00D6412D">
      <w:pPr>
        <w:pStyle w:val="EndNoteBibliography"/>
        <w:rPr>
          <w:noProof/>
        </w:rPr>
      </w:pPr>
      <w:r w:rsidRPr="00D6412D">
        <w:rPr>
          <w:b/>
          <w:noProof/>
        </w:rPr>
        <w:t>The Economist</w:t>
      </w:r>
      <w:r w:rsidRPr="00D6412D">
        <w:rPr>
          <w:noProof/>
        </w:rPr>
        <w:t xml:space="preserve">. 2012. Computing with soup. </w:t>
      </w:r>
      <w:r w:rsidRPr="00C02041">
        <w:rPr>
          <w:i/>
          <w:iCs/>
          <w:noProof/>
        </w:rPr>
        <w:t>The Economist</w:t>
      </w:r>
      <w:r w:rsidRPr="00381F8F">
        <w:rPr>
          <w:i/>
          <w:iCs/>
          <w:noProof/>
        </w:rPr>
        <w:t xml:space="preserve"> Q1</w:t>
      </w:r>
      <w:r w:rsidRPr="00D6412D">
        <w:rPr>
          <w:noProof/>
        </w:rPr>
        <w:t>.</w:t>
      </w:r>
    </w:p>
    <w:p w14:paraId="55CAECE7" w14:textId="77777777" w:rsidR="00D6412D" w:rsidRPr="00D6412D" w:rsidRDefault="00D6412D">
      <w:pPr>
        <w:pStyle w:val="EndNoteBibliography"/>
        <w:rPr>
          <w:noProof/>
        </w:rPr>
      </w:pPr>
      <w:r w:rsidRPr="00C02041">
        <w:rPr>
          <w:b/>
          <w:noProof/>
          <w:lang w:val="fr-FR"/>
        </w:rPr>
        <w:t>Tiwari, R., Nain, L., Labrou, N.</w:t>
      </w:r>
      <w:r w:rsidR="0042465E" w:rsidRPr="00C02041">
        <w:rPr>
          <w:b/>
          <w:noProof/>
          <w:lang w:val="fr-FR"/>
        </w:rPr>
        <w:t xml:space="preserve"> </w:t>
      </w:r>
      <w:r w:rsidR="0042465E">
        <w:rPr>
          <w:b/>
          <w:noProof/>
          <w:lang w:val="fr-FR"/>
        </w:rPr>
        <w:t>&amp;</w:t>
      </w:r>
      <w:r w:rsidRPr="00C02041">
        <w:rPr>
          <w:b/>
          <w:noProof/>
          <w:lang w:val="fr-FR"/>
        </w:rPr>
        <w:t xml:space="preserve"> </w:t>
      </w:r>
      <w:r w:rsidRPr="0012061B">
        <w:rPr>
          <w:b/>
          <w:noProof/>
          <w:lang w:val="fr-FR"/>
        </w:rPr>
        <w:t>Shukla, P.</w:t>
      </w:r>
      <w:r w:rsidRPr="0012061B">
        <w:rPr>
          <w:noProof/>
          <w:lang w:val="fr-FR"/>
        </w:rPr>
        <w:t xml:space="preserve"> 2018. </w:t>
      </w:r>
      <w:r w:rsidRPr="00D6412D">
        <w:rPr>
          <w:noProof/>
        </w:rPr>
        <w:t xml:space="preserve">Bioprospecting of functional cellulases from metagenome for second generation biofuel production: a review. </w:t>
      </w:r>
      <w:r w:rsidR="0042465E" w:rsidRPr="00C02041">
        <w:rPr>
          <w:rFonts w:cs="Arial"/>
          <w:i/>
          <w:szCs w:val="22"/>
          <w:u w:color="262626"/>
          <w:lang w:val="en-US" w:eastAsia="en-US"/>
        </w:rPr>
        <w:t>Crit. Rev. Microbiol</w:t>
      </w:r>
      <w:r w:rsidR="0042465E" w:rsidRPr="00C02041">
        <w:rPr>
          <w:rFonts w:cs="Arial"/>
          <w:szCs w:val="22"/>
          <w:u w:color="262626"/>
          <w:lang w:val="en-US" w:eastAsia="en-US"/>
        </w:rPr>
        <w:t>.,</w:t>
      </w:r>
      <w:r w:rsidR="0042465E" w:rsidRPr="0042465E">
        <w:rPr>
          <w:rFonts w:cs="Arial"/>
          <w:szCs w:val="22"/>
          <w:u w:color="262626"/>
          <w:lang w:val="en-US" w:eastAsia="en-US"/>
        </w:rPr>
        <w:t xml:space="preserve"> </w:t>
      </w:r>
      <w:r w:rsidRPr="00C02041">
        <w:rPr>
          <w:noProof/>
        </w:rPr>
        <w:t>44</w:t>
      </w:r>
      <w:r w:rsidR="0042465E">
        <w:rPr>
          <w:noProof/>
        </w:rPr>
        <w:t>:</w:t>
      </w:r>
      <w:r w:rsidRPr="00D6412D">
        <w:rPr>
          <w:noProof/>
        </w:rPr>
        <w:t xml:space="preserve"> 244</w:t>
      </w:r>
      <w:r w:rsidR="0042465E">
        <w:rPr>
          <w:noProof/>
        </w:rPr>
        <w:t>–</w:t>
      </w:r>
      <w:r w:rsidRPr="00D6412D">
        <w:rPr>
          <w:noProof/>
        </w:rPr>
        <w:t>257.</w:t>
      </w:r>
    </w:p>
    <w:p w14:paraId="64EF2ECF" w14:textId="77777777" w:rsidR="00D6412D" w:rsidRPr="00D6412D" w:rsidRDefault="00D6412D">
      <w:pPr>
        <w:pStyle w:val="EndNoteBibliography"/>
        <w:rPr>
          <w:noProof/>
        </w:rPr>
      </w:pPr>
      <w:r w:rsidRPr="00D6412D">
        <w:rPr>
          <w:b/>
          <w:noProof/>
        </w:rPr>
        <w:t>Toombs, J.A., Petri, M., Paul, K.R., Kan, G.Y., Ben-Hur, A.</w:t>
      </w:r>
      <w:r w:rsidR="0042465E">
        <w:rPr>
          <w:b/>
          <w:noProof/>
        </w:rPr>
        <w:t xml:space="preserve"> &amp;</w:t>
      </w:r>
      <w:r w:rsidRPr="00D6412D">
        <w:rPr>
          <w:b/>
          <w:noProof/>
        </w:rPr>
        <w:t xml:space="preserve"> Ross, E.D.</w:t>
      </w:r>
      <w:r w:rsidRPr="00D6412D">
        <w:rPr>
          <w:noProof/>
        </w:rPr>
        <w:t xml:space="preserve"> 2012. De novo design of synthetic prion domains. </w:t>
      </w:r>
      <w:r w:rsidRPr="00C02041">
        <w:rPr>
          <w:i/>
          <w:iCs/>
          <w:noProof/>
        </w:rPr>
        <w:t>Proc</w:t>
      </w:r>
      <w:r w:rsidR="0042465E">
        <w:rPr>
          <w:i/>
          <w:iCs/>
          <w:noProof/>
        </w:rPr>
        <w:t>.</w:t>
      </w:r>
      <w:r w:rsidRPr="00C02041">
        <w:rPr>
          <w:i/>
          <w:iCs/>
          <w:noProof/>
        </w:rPr>
        <w:t xml:space="preserve"> Natl</w:t>
      </w:r>
      <w:r w:rsidR="0042465E">
        <w:rPr>
          <w:i/>
          <w:iCs/>
          <w:noProof/>
        </w:rPr>
        <w:t>.</w:t>
      </w:r>
      <w:r w:rsidRPr="00C02041">
        <w:rPr>
          <w:i/>
          <w:iCs/>
          <w:noProof/>
        </w:rPr>
        <w:t xml:space="preserve"> Acad</w:t>
      </w:r>
      <w:r w:rsidR="0042465E">
        <w:rPr>
          <w:i/>
          <w:iCs/>
          <w:noProof/>
        </w:rPr>
        <w:t>.</w:t>
      </w:r>
      <w:r w:rsidRPr="00C02041">
        <w:rPr>
          <w:i/>
          <w:iCs/>
          <w:noProof/>
        </w:rPr>
        <w:t xml:space="preserve"> Sci</w:t>
      </w:r>
      <w:r w:rsidR="0042465E">
        <w:rPr>
          <w:i/>
          <w:iCs/>
          <w:noProof/>
        </w:rPr>
        <w:t>.</w:t>
      </w:r>
      <w:r w:rsidRPr="00C02041">
        <w:rPr>
          <w:i/>
          <w:iCs/>
          <w:noProof/>
        </w:rPr>
        <w:t xml:space="preserve"> USA</w:t>
      </w:r>
      <w:r w:rsidR="0042465E">
        <w:rPr>
          <w:i/>
          <w:iCs/>
          <w:noProof/>
        </w:rPr>
        <w:t>,</w:t>
      </w:r>
      <w:r w:rsidRPr="00381F8F">
        <w:rPr>
          <w:i/>
          <w:iCs/>
          <w:noProof/>
        </w:rPr>
        <w:t xml:space="preserve"> </w:t>
      </w:r>
      <w:r w:rsidRPr="00C02041">
        <w:rPr>
          <w:iCs/>
          <w:noProof/>
        </w:rPr>
        <w:t>109</w:t>
      </w:r>
      <w:r w:rsidR="0042465E">
        <w:rPr>
          <w:noProof/>
        </w:rPr>
        <w:t>:</w:t>
      </w:r>
      <w:r w:rsidRPr="00D6412D">
        <w:rPr>
          <w:noProof/>
        </w:rPr>
        <w:t xml:space="preserve"> 6519</w:t>
      </w:r>
      <w:r w:rsidR="0042465E">
        <w:rPr>
          <w:noProof/>
        </w:rPr>
        <w:t>–</w:t>
      </w:r>
      <w:r w:rsidRPr="00D6412D">
        <w:rPr>
          <w:noProof/>
        </w:rPr>
        <w:t>6524.</w:t>
      </w:r>
    </w:p>
    <w:p w14:paraId="46E3B3AF" w14:textId="77777777" w:rsidR="00D6412D" w:rsidRPr="00D6412D" w:rsidRDefault="00D6412D">
      <w:pPr>
        <w:pStyle w:val="EndNoteBibliography"/>
        <w:rPr>
          <w:noProof/>
        </w:rPr>
      </w:pPr>
      <w:r w:rsidRPr="00D6412D">
        <w:rPr>
          <w:b/>
          <w:noProof/>
        </w:rPr>
        <w:t>Tuttle, C.</w:t>
      </w:r>
      <w:r w:rsidR="0042465E">
        <w:rPr>
          <w:b/>
          <w:noProof/>
        </w:rPr>
        <w:t xml:space="preserve"> &amp;</w:t>
      </w:r>
      <w:r w:rsidRPr="00D6412D">
        <w:rPr>
          <w:b/>
          <w:noProof/>
        </w:rPr>
        <w:t xml:space="preserve"> Woodfin, L.</w:t>
      </w:r>
      <w:r w:rsidRPr="00D6412D">
        <w:rPr>
          <w:noProof/>
        </w:rPr>
        <w:t xml:space="preserve"> 2014. </w:t>
      </w:r>
      <w:r w:rsidRPr="00C02041">
        <w:rPr>
          <w:i/>
          <w:iCs/>
          <w:noProof/>
        </w:rPr>
        <w:t>Formulations and methods for control of weedy species</w:t>
      </w:r>
      <w:r w:rsidR="0042465E">
        <w:rPr>
          <w:noProof/>
        </w:rPr>
        <w:t xml:space="preserve"> (</w:t>
      </w:r>
      <w:r w:rsidR="0042465E" w:rsidRPr="0042465E">
        <w:rPr>
          <w:noProof/>
        </w:rPr>
        <w:t>available at</w:t>
      </w:r>
      <w:r w:rsidR="0042465E">
        <w:rPr>
          <w:noProof/>
        </w:rPr>
        <w:t xml:space="preserve"> </w:t>
      </w:r>
      <w:r w:rsidRPr="002C26BB">
        <w:rPr>
          <w:rStyle w:val="Hyperlink"/>
          <w:noProof/>
          <w:sz w:val="24"/>
        </w:rPr>
        <w:t>http://www.google.com/patents/WO2014167514A1?cl=en</w:t>
      </w:r>
      <w:r w:rsidR="0042465E">
        <w:rPr>
          <w:rStyle w:val="Hyperlink"/>
          <w:noProof/>
          <w:sz w:val="24"/>
        </w:rPr>
        <w:t>)</w:t>
      </w:r>
      <w:r w:rsidRPr="00D6412D">
        <w:rPr>
          <w:noProof/>
        </w:rPr>
        <w:t>.</w:t>
      </w:r>
    </w:p>
    <w:p w14:paraId="28711D6A" w14:textId="77777777" w:rsidR="00D6412D" w:rsidRPr="00C02041" w:rsidRDefault="00D6412D">
      <w:pPr>
        <w:pStyle w:val="EndNoteBibliography"/>
        <w:rPr>
          <w:i/>
          <w:iCs/>
          <w:noProof/>
        </w:rPr>
      </w:pPr>
      <w:r w:rsidRPr="00D6412D">
        <w:rPr>
          <w:b/>
          <w:noProof/>
        </w:rPr>
        <w:t>Tvedt, M.W.</w:t>
      </w:r>
      <w:r w:rsidR="0042465E">
        <w:rPr>
          <w:b/>
          <w:noProof/>
        </w:rPr>
        <w:t xml:space="preserve"> &amp;</w:t>
      </w:r>
      <w:r w:rsidRPr="00D6412D">
        <w:rPr>
          <w:b/>
          <w:noProof/>
        </w:rPr>
        <w:t xml:space="preserve"> Young, T.</w:t>
      </w:r>
      <w:r w:rsidRPr="00D6412D">
        <w:rPr>
          <w:noProof/>
        </w:rPr>
        <w:t xml:space="preserve"> 2007. </w:t>
      </w:r>
      <w:r w:rsidRPr="00C02041">
        <w:rPr>
          <w:i/>
          <w:iCs/>
          <w:noProof/>
        </w:rPr>
        <w:t>Beyond Access: Exploring Implementation of the</w:t>
      </w:r>
    </w:p>
    <w:p w14:paraId="16822102" w14:textId="77777777" w:rsidR="00D6412D" w:rsidRPr="00D6412D" w:rsidRDefault="00D6412D" w:rsidP="00D6412D">
      <w:pPr>
        <w:pStyle w:val="EndNoteBibliography"/>
        <w:rPr>
          <w:noProof/>
        </w:rPr>
      </w:pPr>
      <w:r w:rsidRPr="00C02041">
        <w:rPr>
          <w:i/>
          <w:iCs/>
          <w:noProof/>
        </w:rPr>
        <w:t>Fair and Equitable Sharing Commitment in the CBD</w:t>
      </w:r>
      <w:r w:rsidRPr="00D6412D">
        <w:rPr>
          <w:noProof/>
        </w:rPr>
        <w:t>. ABS Series IUCN 2</w:t>
      </w:r>
      <w:r w:rsidR="0042465E">
        <w:rPr>
          <w:noProof/>
        </w:rPr>
        <w:t>.</w:t>
      </w:r>
      <w:r w:rsidRPr="00D6412D">
        <w:rPr>
          <w:noProof/>
        </w:rPr>
        <w:t xml:space="preserve"> </w:t>
      </w:r>
    </w:p>
    <w:p w14:paraId="193917BB" w14:textId="77777777" w:rsidR="00D6412D" w:rsidRPr="00D6412D" w:rsidRDefault="00D6412D">
      <w:pPr>
        <w:pStyle w:val="EndNoteBibliography"/>
        <w:rPr>
          <w:noProof/>
        </w:rPr>
      </w:pPr>
      <w:r w:rsidRPr="00D6412D">
        <w:rPr>
          <w:b/>
          <w:noProof/>
        </w:rPr>
        <w:t>Tyagi, A., Kumar, A., Aparna, S.V., Mallappa, R.H., Grover, S.</w:t>
      </w:r>
      <w:r w:rsidR="0042465E">
        <w:rPr>
          <w:b/>
          <w:noProof/>
        </w:rPr>
        <w:t xml:space="preserve"> &amp;</w:t>
      </w:r>
      <w:r w:rsidRPr="00D6412D">
        <w:rPr>
          <w:b/>
          <w:noProof/>
        </w:rPr>
        <w:t xml:space="preserve"> Batish, V.K.</w:t>
      </w:r>
      <w:r w:rsidRPr="00D6412D">
        <w:rPr>
          <w:noProof/>
        </w:rPr>
        <w:t xml:space="preserve"> 2016. Synthetic biology: applications in the food sector. </w:t>
      </w:r>
      <w:r w:rsidRPr="00C02041">
        <w:rPr>
          <w:i/>
          <w:iCs/>
          <w:noProof/>
        </w:rPr>
        <w:t>Crit</w:t>
      </w:r>
      <w:r w:rsidR="0042465E">
        <w:rPr>
          <w:i/>
          <w:iCs/>
          <w:noProof/>
        </w:rPr>
        <w:t>.</w:t>
      </w:r>
      <w:r w:rsidRPr="00C02041">
        <w:rPr>
          <w:i/>
          <w:iCs/>
          <w:noProof/>
        </w:rPr>
        <w:t xml:space="preserve"> Rev</w:t>
      </w:r>
      <w:r w:rsidR="0042465E">
        <w:rPr>
          <w:i/>
          <w:iCs/>
          <w:noProof/>
        </w:rPr>
        <w:t>.</w:t>
      </w:r>
      <w:r w:rsidRPr="00C02041">
        <w:rPr>
          <w:i/>
          <w:iCs/>
          <w:noProof/>
        </w:rPr>
        <w:t xml:space="preserve"> Food Sci</w:t>
      </w:r>
      <w:r w:rsidR="0042465E">
        <w:rPr>
          <w:i/>
          <w:iCs/>
          <w:noProof/>
        </w:rPr>
        <w:t>.</w:t>
      </w:r>
      <w:r w:rsidRPr="00C02041">
        <w:rPr>
          <w:i/>
          <w:iCs/>
          <w:noProof/>
        </w:rPr>
        <w:t xml:space="preserve"> Nutr</w:t>
      </w:r>
      <w:r w:rsidR="0042465E">
        <w:rPr>
          <w:i/>
          <w:iCs/>
          <w:noProof/>
        </w:rPr>
        <w:t>.,</w:t>
      </w:r>
      <w:r w:rsidRPr="00381F8F">
        <w:rPr>
          <w:i/>
          <w:iCs/>
          <w:noProof/>
        </w:rPr>
        <w:t xml:space="preserve"> </w:t>
      </w:r>
      <w:r w:rsidRPr="00C02041">
        <w:rPr>
          <w:iCs/>
          <w:noProof/>
        </w:rPr>
        <w:t>56</w:t>
      </w:r>
      <w:r w:rsidR="0042465E">
        <w:rPr>
          <w:noProof/>
        </w:rPr>
        <w:t>:</w:t>
      </w:r>
      <w:r w:rsidRPr="00D6412D">
        <w:rPr>
          <w:noProof/>
        </w:rPr>
        <w:t xml:space="preserve"> 1777</w:t>
      </w:r>
      <w:r w:rsidR="0042465E">
        <w:rPr>
          <w:noProof/>
        </w:rPr>
        <w:t>–</w:t>
      </w:r>
      <w:r w:rsidRPr="00D6412D">
        <w:rPr>
          <w:noProof/>
        </w:rPr>
        <w:t>1789.</w:t>
      </w:r>
    </w:p>
    <w:p w14:paraId="3E5017C8" w14:textId="77777777" w:rsidR="00D6412D" w:rsidRPr="00D6412D" w:rsidRDefault="00D6412D">
      <w:pPr>
        <w:pStyle w:val="EndNoteBibliography"/>
        <w:rPr>
          <w:noProof/>
        </w:rPr>
      </w:pPr>
      <w:r w:rsidRPr="00D6412D">
        <w:rPr>
          <w:b/>
          <w:noProof/>
        </w:rPr>
        <w:t>UNEP/UNCTAD</w:t>
      </w:r>
      <w:r w:rsidRPr="00D6412D">
        <w:rPr>
          <w:noProof/>
        </w:rPr>
        <w:t xml:space="preserve">. 2008. </w:t>
      </w:r>
      <w:r w:rsidRPr="00C02041">
        <w:rPr>
          <w:i/>
          <w:iCs/>
          <w:noProof/>
        </w:rPr>
        <w:t>Organic Agriculture and Food Security in Africa</w:t>
      </w:r>
      <w:r w:rsidRPr="00D6412D">
        <w:rPr>
          <w:noProof/>
        </w:rPr>
        <w:t>. New York</w:t>
      </w:r>
      <w:r w:rsidR="0042465E">
        <w:rPr>
          <w:noProof/>
        </w:rPr>
        <w:t>, USA</w:t>
      </w:r>
      <w:r w:rsidRPr="00D6412D">
        <w:rPr>
          <w:noProof/>
        </w:rPr>
        <w:t xml:space="preserve"> and Geneva</w:t>
      </w:r>
      <w:r w:rsidR="0042465E">
        <w:rPr>
          <w:noProof/>
        </w:rPr>
        <w:t>, Switzerland.</w:t>
      </w:r>
      <w:r w:rsidRPr="00D6412D">
        <w:rPr>
          <w:noProof/>
        </w:rPr>
        <w:t xml:space="preserve"> UNEP-UNCTAD Capacity-building Task Force on Trade, Environment and Development UNCTAD/DITC/TED/2007/15</w:t>
      </w:r>
      <w:r w:rsidR="0042465E">
        <w:rPr>
          <w:noProof/>
        </w:rPr>
        <w:t>.</w:t>
      </w:r>
      <w:r w:rsidRPr="00D6412D">
        <w:rPr>
          <w:noProof/>
        </w:rPr>
        <w:t xml:space="preserve"> </w:t>
      </w:r>
    </w:p>
    <w:p w14:paraId="21AD2C00" w14:textId="77777777" w:rsidR="00D6412D" w:rsidRPr="00D6412D" w:rsidRDefault="00D6412D">
      <w:pPr>
        <w:pStyle w:val="EndNoteBibliography"/>
        <w:rPr>
          <w:noProof/>
        </w:rPr>
      </w:pPr>
      <w:r w:rsidRPr="00D6412D">
        <w:rPr>
          <w:b/>
          <w:noProof/>
        </w:rPr>
        <w:t>Van, B.E., Kubler, L., Raemaekers, R., Bogaert, T.</w:t>
      </w:r>
      <w:r w:rsidR="0042465E">
        <w:rPr>
          <w:b/>
          <w:noProof/>
        </w:rPr>
        <w:t xml:space="preserve"> &amp;</w:t>
      </w:r>
      <w:r w:rsidRPr="00D6412D">
        <w:rPr>
          <w:b/>
          <w:noProof/>
        </w:rPr>
        <w:t xml:space="preserve"> Plaetinck, G.</w:t>
      </w:r>
      <w:r w:rsidRPr="00D6412D">
        <w:rPr>
          <w:noProof/>
        </w:rPr>
        <w:t xml:space="preserve"> 2011. </w:t>
      </w:r>
      <w:r w:rsidRPr="00C02041">
        <w:rPr>
          <w:i/>
          <w:iCs/>
          <w:noProof/>
        </w:rPr>
        <w:t>Methods for controlling pests using RNAi</w:t>
      </w:r>
      <w:r w:rsidR="0042465E" w:rsidRPr="00C02041">
        <w:rPr>
          <w:i/>
          <w:iCs/>
          <w:noProof/>
        </w:rPr>
        <w:t xml:space="preserve"> </w:t>
      </w:r>
      <w:r w:rsidR="0042465E">
        <w:rPr>
          <w:noProof/>
        </w:rPr>
        <w:t>(</w:t>
      </w:r>
      <w:r w:rsidR="0042465E" w:rsidRPr="0042465E">
        <w:rPr>
          <w:noProof/>
        </w:rPr>
        <w:t>available at</w:t>
      </w:r>
      <w:r w:rsidRPr="00D6412D">
        <w:rPr>
          <w:noProof/>
        </w:rPr>
        <w:t xml:space="preserve"> </w:t>
      </w:r>
      <w:r w:rsidRPr="002C26BB">
        <w:rPr>
          <w:rStyle w:val="Hyperlink"/>
          <w:noProof/>
          <w:sz w:val="24"/>
        </w:rPr>
        <w:t>https://www.google.co.nz/patents/EP2347759A2?cl=en</w:t>
      </w:r>
      <w:r w:rsidR="0042465E">
        <w:rPr>
          <w:rStyle w:val="Hyperlink"/>
          <w:noProof/>
          <w:sz w:val="24"/>
        </w:rPr>
        <w:t>)</w:t>
      </w:r>
      <w:r w:rsidRPr="00D6412D">
        <w:rPr>
          <w:noProof/>
        </w:rPr>
        <w:t>.</w:t>
      </w:r>
    </w:p>
    <w:p w14:paraId="0B7DB566" w14:textId="77777777" w:rsidR="00D6412D" w:rsidRPr="0012061B" w:rsidRDefault="00D6412D">
      <w:pPr>
        <w:pStyle w:val="EndNoteBibliography"/>
        <w:rPr>
          <w:noProof/>
          <w:lang w:val="es-AR"/>
        </w:rPr>
      </w:pPr>
      <w:r w:rsidRPr="00D6412D">
        <w:rPr>
          <w:b/>
          <w:noProof/>
        </w:rPr>
        <w:t>Varshney, R.K., Terauchi, R.</w:t>
      </w:r>
      <w:r w:rsidR="0042465E">
        <w:rPr>
          <w:b/>
          <w:noProof/>
        </w:rPr>
        <w:t xml:space="preserve"> &amp;</w:t>
      </w:r>
      <w:r w:rsidRPr="00D6412D">
        <w:rPr>
          <w:b/>
          <w:noProof/>
        </w:rPr>
        <w:t xml:space="preserve"> McCouch, S.R.</w:t>
      </w:r>
      <w:r w:rsidRPr="00D6412D">
        <w:rPr>
          <w:noProof/>
        </w:rPr>
        <w:t xml:space="preserve"> 2014. Harvesting the promising fruits of genomics: applying genome sequencing technologies to crop breeding. </w:t>
      </w:r>
      <w:r w:rsidRPr="0012061B">
        <w:rPr>
          <w:i/>
          <w:iCs/>
          <w:noProof/>
          <w:lang w:val="es-AR"/>
        </w:rPr>
        <w:t>PLoS Biol</w:t>
      </w:r>
      <w:r w:rsidR="0042465E" w:rsidRPr="0012061B">
        <w:rPr>
          <w:i/>
          <w:noProof/>
          <w:lang w:val="es-AR"/>
        </w:rPr>
        <w:t>.,</w:t>
      </w:r>
      <w:r w:rsidRPr="0012061B">
        <w:rPr>
          <w:i/>
          <w:noProof/>
          <w:lang w:val="es-AR"/>
        </w:rPr>
        <w:t xml:space="preserve"> </w:t>
      </w:r>
      <w:r w:rsidRPr="0012061B">
        <w:rPr>
          <w:iCs/>
          <w:noProof/>
          <w:lang w:val="es-AR"/>
        </w:rPr>
        <w:t>12</w:t>
      </w:r>
      <w:r w:rsidR="0042465E" w:rsidRPr="0012061B">
        <w:rPr>
          <w:noProof/>
          <w:lang w:val="es-AR"/>
        </w:rPr>
        <w:t>:</w:t>
      </w:r>
      <w:r w:rsidRPr="0012061B">
        <w:rPr>
          <w:noProof/>
          <w:lang w:val="es-AR"/>
        </w:rPr>
        <w:t xml:space="preserve"> e1001883.</w:t>
      </w:r>
    </w:p>
    <w:p w14:paraId="70A4C2C6" w14:textId="77777777" w:rsidR="00D6412D" w:rsidRPr="00D6412D" w:rsidRDefault="00D6412D">
      <w:pPr>
        <w:pStyle w:val="EndNoteBibliography"/>
        <w:rPr>
          <w:noProof/>
        </w:rPr>
      </w:pPr>
      <w:r w:rsidRPr="0012061B">
        <w:rPr>
          <w:b/>
          <w:noProof/>
          <w:lang w:val="es-AR"/>
        </w:rPr>
        <w:t>Veresoglou, S.D., Halley, J.M.</w:t>
      </w:r>
      <w:r w:rsidR="0042465E" w:rsidRPr="0012061B">
        <w:rPr>
          <w:b/>
          <w:noProof/>
          <w:lang w:val="es-AR"/>
        </w:rPr>
        <w:t xml:space="preserve"> &amp;</w:t>
      </w:r>
      <w:r w:rsidRPr="0012061B">
        <w:rPr>
          <w:b/>
          <w:noProof/>
          <w:lang w:val="es-AR"/>
        </w:rPr>
        <w:t xml:space="preserve"> Rillig, M.C.</w:t>
      </w:r>
      <w:r w:rsidRPr="0012061B">
        <w:rPr>
          <w:noProof/>
          <w:lang w:val="es-AR"/>
        </w:rPr>
        <w:t xml:space="preserve"> 2015. </w:t>
      </w:r>
      <w:r w:rsidRPr="00D6412D">
        <w:rPr>
          <w:noProof/>
        </w:rPr>
        <w:t xml:space="preserve">Extinction risk of soil biota. </w:t>
      </w:r>
      <w:r w:rsidRPr="00C02041">
        <w:rPr>
          <w:i/>
          <w:iCs/>
          <w:noProof/>
        </w:rPr>
        <w:t>Nat</w:t>
      </w:r>
      <w:r w:rsidR="0042465E">
        <w:rPr>
          <w:i/>
          <w:iCs/>
          <w:noProof/>
        </w:rPr>
        <w:t>.</w:t>
      </w:r>
      <w:r w:rsidRPr="00C02041">
        <w:rPr>
          <w:i/>
          <w:iCs/>
          <w:noProof/>
        </w:rPr>
        <w:t xml:space="preserve"> Commun</w:t>
      </w:r>
      <w:r w:rsidR="0042465E">
        <w:rPr>
          <w:i/>
          <w:iCs/>
          <w:noProof/>
        </w:rPr>
        <w:t>.,</w:t>
      </w:r>
      <w:r w:rsidRPr="00D6412D">
        <w:rPr>
          <w:i/>
          <w:noProof/>
        </w:rPr>
        <w:t xml:space="preserve"> </w:t>
      </w:r>
      <w:r w:rsidRPr="00C02041">
        <w:rPr>
          <w:iCs/>
          <w:noProof/>
        </w:rPr>
        <w:t>6</w:t>
      </w:r>
      <w:r w:rsidR="0042465E">
        <w:rPr>
          <w:noProof/>
        </w:rPr>
        <w:t>:</w:t>
      </w:r>
      <w:r w:rsidRPr="00D6412D">
        <w:rPr>
          <w:noProof/>
        </w:rPr>
        <w:t xml:space="preserve"> 8862.</w:t>
      </w:r>
    </w:p>
    <w:p w14:paraId="7BD11306" w14:textId="77777777" w:rsidR="00D6412D" w:rsidRPr="00D6412D" w:rsidRDefault="00D6412D">
      <w:pPr>
        <w:pStyle w:val="EndNoteBibliography"/>
        <w:rPr>
          <w:noProof/>
        </w:rPr>
      </w:pPr>
      <w:r w:rsidRPr="00D6412D">
        <w:rPr>
          <w:b/>
          <w:noProof/>
        </w:rPr>
        <w:t>Wahaab, F.</w:t>
      </w:r>
      <w:r w:rsidR="0042465E">
        <w:rPr>
          <w:b/>
          <w:noProof/>
        </w:rPr>
        <w:t xml:space="preserve"> &amp;</w:t>
      </w:r>
      <w:r w:rsidRPr="00D6412D">
        <w:rPr>
          <w:b/>
          <w:noProof/>
        </w:rPr>
        <w:t xml:space="preserve"> Subramaniam, K.</w:t>
      </w:r>
      <w:r w:rsidRPr="00D6412D">
        <w:rPr>
          <w:noProof/>
        </w:rPr>
        <w:t xml:space="preserve"> 2018. Bioprospecting marine actinomycetes for multidrug-resistant pathogen control from Rameswaram coastal area, Tamil Nadu, India. </w:t>
      </w:r>
      <w:r w:rsidRPr="00C02041">
        <w:rPr>
          <w:i/>
          <w:iCs/>
          <w:noProof/>
        </w:rPr>
        <w:t>Arch</w:t>
      </w:r>
      <w:r w:rsidR="0042465E">
        <w:rPr>
          <w:i/>
          <w:iCs/>
          <w:noProof/>
        </w:rPr>
        <w:t>.</w:t>
      </w:r>
      <w:r w:rsidRPr="00C02041">
        <w:rPr>
          <w:i/>
          <w:iCs/>
          <w:noProof/>
        </w:rPr>
        <w:t xml:space="preserve"> Microbiol</w:t>
      </w:r>
      <w:r w:rsidR="0042465E">
        <w:rPr>
          <w:i/>
          <w:iCs/>
          <w:noProof/>
        </w:rPr>
        <w:t>.,</w:t>
      </w:r>
      <w:r w:rsidRPr="00381F8F">
        <w:rPr>
          <w:i/>
          <w:iCs/>
          <w:noProof/>
        </w:rPr>
        <w:t xml:space="preserve"> </w:t>
      </w:r>
      <w:r w:rsidRPr="00C02041">
        <w:rPr>
          <w:iCs/>
          <w:noProof/>
        </w:rPr>
        <w:t>200</w:t>
      </w:r>
      <w:r w:rsidR="0042465E">
        <w:rPr>
          <w:noProof/>
        </w:rPr>
        <w:t>:</w:t>
      </w:r>
      <w:r w:rsidRPr="00D6412D">
        <w:rPr>
          <w:noProof/>
        </w:rPr>
        <w:t xml:space="preserve"> 57</w:t>
      </w:r>
      <w:r w:rsidR="0042465E">
        <w:rPr>
          <w:noProof/>
        </w:rPr>
        <w:t>–</w:t>
      </w:r>
      <w:r w:rsidRPr="00D6412D">
        <w:rPr>
          <w:noProof/>
        </w:rPr>
        <w:t>71.</w:t>
      </w:r>
    </w:p>
    <w:p w14:paraId="1ED3B901" w14:textId="77777777" w:rsidR="00D6412D" w:rsidRPr="00D6412D" w:rsidRDefault="00D6412D">
      <w:pPr>
        <w:pStyle w:val="EndNoteBibliography"/>
        <w:rPr>
          <w:noProof/>
        </w:rPr>
      </w:pPr>
      <w:r w:rsidRPr="00D6412D">
        <w:rPr>
          <w:b/>
          <w:noProof/>
        </w:rPr>
        <w:t>Waldrop, M.M.</w:t>
      </w:r>
      <w:r w:rsidRPr="00D6412D">
        <w:rPr>
          <w:noProof/>
        </w:rPr>
        <w:t xml:space="preserve"> 2016. The chips are down for Moore's law. </w:t>
      </w:r>
      <w:r w:rsidRPr="00C02041">
        <w:rPr>
          <w:i/>
          <w:iCs/>
          <w:noProof/>
        </w:rPr>
        <w:t>Nature</w:t>
      </w:r>
      <w:r w:rsidR="0042465E">
        <w:rPr>
          <w:i/>
          <w:noProof/>
        </w:rPr>
        <w:t>,</w:t>
      </w:r>
      <w:r w:rsidRPr="00D6412D">
        <w:rPr>
          <w:i/>
          <w:noProof/>
        </w:rPr>
        <w:t xml:space="preserve"> </w:t>
      </w:r>
      <w:r w:rsidRPr="00C02041">
        <w:rPr>
          <w:iCs/>
          <w:noProof/>
        </w:rPr>
        <w:t>530</w:t>
      </w:r>
      <w:r w:rsidR="0042465E">
        <w:rPr>
          <w:noProof/>
        </w:rPr>
        <w:t>:</w:t>
      </w:r>
      <w:r w:rsidRPr="00D6412D">
        <w:rPr>
          <w:noProof/>
        </w:rPr>
        <w:t xml:space="preserve"> 144</w:t>
      </w:r>
      <w:r w:rsidR="0042465E">
        <w:rPr>
          <w:noProof/>
        </w:rPr>
        <w:t>–</w:t>
      </w:r>
      <w:r w:rsidRPr="00D6412D">
        <w:rPr>
          <w:noProof/>
        </w:rPr>
        <w:t>147.</w:t>
      </w:r>
    </w:p>
    <w:p w14:paraId="3B6D1D87" w14:textId="77777777" w:rsidR="00D6412D" w:rsidRPr="00C02041" w:rsidRDefault="00D6412D">
      <w:pPr>
        <w:pStyle w:val="EndNoteBibliography"/>
        <w:rPr>
          <w:noProof/>
          <w:lang w:val="fr-FR"/>
        </w:rPr>
      </w:pPr>
      <w:r w:rsidRPr="00D6412D">
        <w:rPr>
          <w:b/>
          <w:noProof/>
        </w:rPr>
        <w:t>Wang, M., Shen, W., Yan, L., Wang, X.-H.</w:t>
      </w:r>
      <w:r w:rsidR="0042465E">
        <w:rPr>
          <w:b/>
          <w:noProof/>
        </w:rPr>
        <w:t xml:space="preserve"> &amp;</w:t>
      </w:r>
      <w:r w:rsidRPr="00D6412D">
        <w:rPr>
          <w:b/>
          <w:noProof/>
        </w:rPr>
        <w:t xml:space="preserve"> Xu, H.</w:t>
      </w:r>
      <w:r w:rsidRPr="00D6412D">
        <w:rPr>
          <w:noProof/>
        </w:rPr>
        <w:t xml:space="preserve"> 2017a. Stepwise impact of urban wastewater treatment on the bacterial community structure, antibiotic contents, and prevalence of antimicrobial resistance. </w:t>
      </w:r>
      <w:r w:rsidRPr="00C02041">
        <w:rPr>
          <w:i/>
          <w:iCs/>
          <w:noProof/>
          <w:lang w:val="fr-FR"/>
        </w:rPr>
        <w:t>Environ</w:t>
      </w:r>
      <w:r w:rsidR="0042465E" w:rsidRPr="00C02041">
        <w:rPr>
          <w:i/>
          <w:iCs/>
          <w:noProof/>
          <w:lang w:val="fr-FR"/>
        </w:rPr>
        <w:t>.</w:t>
      </w:r>
      <w:r w:rsidRPr="00C02041">
        <w:rPr>
          <w:i/>
          <w:iCs/>
          <w:noProof/>
          <w:lang w:val="fr-FR"/>
        </w:rPr>
        <w:t xml:space="preserve"> Pollut</w:t>
      </w:r>
      <w:r w:rsidR="0042465E" w:rsidRPr="00C02041">
        <w:rPr>
          <w:i/>
          <w:iCs/>
          <w:noProof/>
          <w:lang w:val="fr-FR"/>
        </w:rPr>
        <w:t>.,</w:t>
      </w:r>
      <w:r w:rsidRPr="00C02041">
        <w:rPr>
          <w:i/>
          <w:noProof/>
          <w:lang w:val="fr-FR"/>
        </w:rPr>
        <w:t xml:space="preserve"> </w:t>
      </w:r>
      <w:r w:rsidRPr="00C02041">
        <w:rPr>
          <w:iCs/>
          <w:noProof/>
          <w:lang w:val="fr-FR"/>
        </w:rPr>
        <w:t>231</w:t>
      </w:r>
      <w:r w:rsidR="0042465E" w:rsidRPr="00C02041">
        <w:rPr>
          <w:noProof/>
          <w:lang w:val="fr-FR"/>
        </w:rPr>
        <w:t>:</w:t>
      </w:r>
      <w:r w:rsidRPr="00C02041">
        <w:rPr>
          <w:noProof/>
          <w:lang w:val="fr-FR"/>
        </w:rPr>
        <w:t xml:space="preserve"> 1578</w:t>
      </w:r>
      <w:r w:rsidR="0042465E" w:rsidRPr="00C02041">
        <w:rPr>
          <w:noProof/>
          <w:lang w:val="fr-FR"/>
        </w:rPr>
        <w:t>–</w:t>
      </w:r>
      <w:r w:rsidRPr="00C02041">
        <w:rPr>
          <w:noProof/>
          <w:lang w:val="fr-FR"/>
        </w:rPr>
        <w:t>1585.</w:t>
      </w:r>
    </w:p>
    <w:p w14:paraId="6412866D" w14:textId="77777777" w:rsidR="00D6412D" w:rsidRPr="00D6412D" w:rsidRDefault="00D6412D">
      <w:pPr>
        <w:pStyle w:val="EndNoteBibliography"/>
        <w:rPr>
          <w:noProof/>
        </w:rPr>
      </w:pPr>
      <w:r w:rsidRPr="00C02041">
        <w:rPr>
          <w:b/>
          <w:noProof/>
          <w:lang w:val="fr-FR"/>
        </w:rPr>
        <w:t>Wang, Y., Cao, X., Zhao, Y., Fei, J., Hu, X.</w:t>
      </w:r>
      <w:r w:rsidR="0042465E" w:rsidRPr="00C02041">
        <w:rPr>
          <w:b/>
          <w:noProof/>
          <w:lang w:val="fr-FR"/>
        </w:rPr>
        <w:t xml:space="preserve"> &amp;</w:t>
      </w:r>
      <w:r w:rsidRPr="00C02041">
        <w:rPr>
          <w:b/>
          <w:noProof/>
          <w:lang w:val="fr-FR"/>
        </w:rPr>
        <w:t xml:space="preserve"> Li, N.</w:t>
      </w:r>
      <w:r w:rsidRPr="00C02041">
        <w:rPr>
          <w:noProof/>
          <w:lang w:val="fr-FR"/>
        </w:rPr>
        <w:t xml:space="preserve"> 2017b. </w:t>
      </w:r>
      <w:r w:rsidRPr="00D6412D">
        <w:rPr>
          <w:noProof/>
        </w:rPr>
        <w:t xml:space="preserve">Optimized double-digest genotyping by sequencing (ddGBS) method with high-density SNP markers and high genotyping accuracy for chickens. </w:t>
      </w:r>
      <w:r w:rsidRPr="00C02041">
        <w:rPr>
          <w:i/>
          <w:iCs/>
          <w:noProof/>
        </w:rPr>
        <w:t>PLoS One</w:t>
      </w:r>
      <w:r w:rsidR="0042465E">
        <w:rPr>
          <w:i/>
          <w:noProof/>
        </w:rPr>
        <w:t>,</w:t>
      </w:r>
      <w:r w:rsidRPr="00D6412D">
        <w:rPr>
          <w:i/>
          <w:noProof/>
        </w:rPr>
        <w:t xml:space="preserve"> </w:t>
      </w:r>
      <w:r w:rsidRPr="00C02041">
        <w:rPr>
          <w:iCs/>
          <w:noProof/>
        </w:rPr>
        <w:t>12</w:t>
      </w:r>
      <w:r w:rsidR="0042465E">
        <w:rPr>
          <w:noProof/>
        </w:rPr>
        <w:t>:</w:t>
      </w:r>
      <w:r w:rsidRPr="00D6412D">
        <w:rPr>
          <w:noProof/>
        </w:rPr>
        <w:t xml:space="preserve"> e0179073.</w:t>
      </w:r>
    </w:p>
    <w:p w14:paraId="35BC0141" w14:textId="77777777" w:rsidR="00D6412D" w:rsidRPr="00D6412D" w:rsidRDefault="00D6412D">
      <w:pPr>
        <w:pStyle w:val="EndNoteBibliography"/>
        <w:rPr>
          <w:noProof/>
        </w:rPr>
      </w:pPr>
      <w:r w:rsidRPr="00D6412D">
        <w:rPr>
          <w:b/>
          <w:noProof/>
        </w:rPr>
        <w:t>Ward, R.D., Holmes, B.H., White, W.T.</w:t>
      </w:r>
      <w:r w:rsidR="0042465E">
        <w:rPr>
          <w:b/>
          <w:noProof/>
        </w:rPr>
        <w:t xml:space="preserve"> &amp;</w:t>
      </w:r>
      <w:r w:rsidRPr="00D6412D">
        <w:rPr>
          <w:b/>
          <w:noProof/>
        </w:rPr>
        <w:t xml:space="preserve"> Last, P.R.</w:t>
      </w:r>
      <w:r w:rsidRPr="00D6412D">
        <w:rPr>
          <w:noProof/>
        </w:rPr>
        <w:t xml:space="preserve"> 2008. DNA barcoding Australasian chondrichthyans: results and potential uses in conservation. </w:t>
      </w:r>
      <w:r w:rsidRPr="00C02041">
        <w:rPr>
          <w:i/>
          <w:iCs/>
          <w:noProof/>
        </w:rPr>
        <w:t>Mar</w:t>
      </w:r>
      <w:r w:rsidR="0042465E">
        <w:rPr>
          <w:i/>
          <w:iCs/>
          <w:noProof/>
        </w:rPr>
        <w:t>.</w:t>
      </w:r>
      <w:r w:rsidRPr="00C02041">
        <w:rPr>
          <w:i/>
          <w:iCs/>
          <w:noProof/>
        </w:rPr>
        <w:t xml:space="preserve"> Freshwater Res</w:t>
      </w:r>
      <w:r w:rsidR="0042465E">
        <w:rPr>
          <w:i/>
          <w:iCs/>
          <w:noProof/>
        </w:rPr>
        <w:t>.,</w:t>
      </w:r>
      <w:r w:rsidRPr="00D6412D">
        <w:rPr>
          <w:i/>
          <w:noProof/>
        </w:rPr>
        <w:t xml:space="preserve"> </w:t>
      </w:r>
      <w:r w:rsidRPr="00C02041">
        <w:rPr>
          <w:iCs/>
          <w:noProof/>
        </w:rPr>
        <w:t>59</w:t>
      </w:r>
      <w:r w:rsidR="0042465E">
        <w:rPr>
          <w:noProof/>
        </w:rPr>
        <w:t>:</w:t>
      </w:r>
      <w:r w:rsidRPr="00D6412D">
        <w:rPr>
          <w:noProof/>
        </w:rPr>
        <w:t xml:space="preserve"> 57–71.</w:t>
      </w:r>
    </w:p>
    <w:p w14:paraId="0888E58C" w14:textId="77777777" w:rsidR="00D6412D" w:rsidRPr="00D6412D" w:rsidRDefault="00D6412D">
      <w:pPr>
        <w:pStyle w:val="EndNoteBibliography"/>
        <w:rPr>
          <w:noProof/>
        </w:rPr>
      </w:pPr>
      <w:r w:rsidRPr="00D6412D">
        <w:rPr>
          <w:b/>
          <w:noProof/>
        </w:rPr>
        <w:t>Watson, J.D., Baker, T.A., Bell, S.P., Gann, A., Levine, M.</w:t>
      </w:r>
      <w:r w:rsidR="00D51070">
        <w:rPr>
          <w:b/>
          <w:noProof/>
        </w:rPr>
        <w:t xml:space="preserve"> &amp;</w:t>
      </w:r>
      <w:r w:rsidRPr="00D6412D">
        <w:rPr>
          <w:b/>
          <w:noProof/>
        </w:rPr>
        <w:t xml:space="preserve"> Losick, R.</w:t>
      </w:r>
      <w:r w:rsidRPr="00D6412D">
        <w:rPr>
          <w:noProof/>
        </w:rPr>
        <w:t xml:space="preserve"> 2014. </w:t>
      </w:r>
      <w:r w:rsidRPr="00C02041">
        <w:rPr>
          <w:i/>
          <w:iCs/>
          <w:noProof/>
        </w:rPr>
        <w:t xml:space="preserve">Molecular </w:t>
      </w:r>
      <w:r w:rsidR="0097022D" w:rsidRPr="00C02041">
        <w:rPr>
          <w:i/>
          <w:iCs/>
          <w:noProof/>
        </w:rPr>
        <w:t xml:space="preserve">biology </w:t>
      </w:r>
      <w:r w:rsidRPr="00C02041">
        <w:rPr>
          <w:i/>
          <w:iCs/>
          <w:noProof/>
        </w:rPr>
        <w:t xml:space="preserve">of the </w:t>
      </w:r>
      <w:r w:rsidR="0097022D" w:rsidRPr="00C02041">
        <w:rPr>
          <w:i/>
          <w:iCs/>
          <w:noProof/>
        </w:rPr>
        <w:t>gene</w:t>
      </w:r>
      <w:r w:rsidRPr="00C02041">
        <w:rPr>
          <w:i/>
          <w:iCs/>
          <w:noProof/>
        </w:rPr>
        <w:t>,</w:t>
      </w:r>
      <w:r w:rsidRPr="00D6412D">
        <w:rPr>
          <w:noProof/>
        </w:rPr>
        <w:t xml:space="preserve"> 7 ed</w:t>
      </w:r>
      <w:r w:rsidR="0097022D">
        <w:rPr>
          <w:noProof/>
        </w:rPr>
        <w:t>.</w:t>
      </w:r>
      <w:r w:rsidRPr="00D6412D">
        <w:rPr>
          <w:noProof/>
        </w:rPr>
        <w:t xml:space="preserve"> Boston</w:t>
      </w:r>
      <w:r w:rsidR="0097022D">
        <w:rPr>
          <w:noProof/>
        </w:rPr>
        <w:t>, USA,</w:t>
      </w:r>
      <w:r w:rsidRPr="00D6412D">
        <w:rPr>
          <w:noProof/>
        </w:rPr>
        <w:t xml:space="preserve"> Pearson and Cold Spring Harbor Laborat</w:t>
      </w:r>
      <w:r w:rsidR="0097022D">
        <w:rPr>
          <w:noProof/>
        </w:rPr>
        <w:t>ort</w:t>
      </w:r>
      <w:r w:rsidRPr="00D6412D">
        <w:rPr>
          <w:noProof/>
        </w:rPr>
        <w:t>y Press</w:t>
      </w:r>
      <w:r w:rsidR="0097022D">
        <w:rPr>
          <w:noProof/>
        </w:rPr>
        <w:t>.</w:t>
      </w:r>
      <w:r w:rsidRPr="00D6412D">
        <w:rPr>
          <w:noProof/>
        </w:rPr>
        <w:t xml:space="preserve"> </w:t>
      </w:r>
    </w:p>
    <w:p w14:paraId="06DAD18D" w14:textId="77777777" w:rsidR="00D6412D" w:rsidRPr="00D6412D" w:rsidRDefault="00D6412D">
      <w:pPr>
        <w:pStyle w:val="EndNoteBibliography"/>
        <w:rPr>
          <w:noProof/>
        </w:rPr>
      </w:pPr>
      <w:r w:rsidRPr="00D6412D">
        <w:rPr>
          <w:b/>
          <w:noProof/>
        </w:rPr>
        <w:t>Watson, J.D.</w:t>
      </w:r>
      <w:r w:rsidR="0097022D">
        <w:rPr>
          <w:b/>
          <w:noProof/>
        </w:rPr>
        <w:t xml:space="preserve"> &amp;</w:t>
      </w:r>
      <w:r w:rsidRPr="00D6412D">
        <w:rPr>
          <w:b/>
          <w:noProof/>
        </w:rPr>
        <w:t xml:space="preserve"> Crick, F.</w:t>
      </w:r>
      <w:r w:rsidRPr="00D6412D">
        <w:rPr>
          <w:noProof/>
        </w:rPr>
        <w:t xml:space="preserve"> 1953. Molecular structure of nucleic acids. </w:t>
      </w:r>
      <w:r w:rsidRPr="00C02041">
        <w:rPr>
          <w:i/>
          <w:iCs/>
          <w:noProof/>
        </w:rPr>
        <w:t>Nature</w:t>
      </w:r>
      <w:r w:rsidR="0097022D">
        <w:rPr>
          <w:i/>
          <w:noProof/>
        </w:rPr>
        <w:t>,</w:t>
      </w:r>
      <w:r w:rsidRPr="00D6412D">
        <w:rPr>
          <w:i/>
          <w:noProof/>
        </w:rPr>
        <w:t xml:space="preserve"> </w:t>
      </w:r>
      <w:r w:rsidRPr="00C02041">
        <w:rPr>
          <w:iCs/>
          <w:noProof/>
        </w:rPr>
        <w:t>171</w:t>
      </w:r>
      <w:r w:rsidR="0097022D">
        <w:rPr>
          <w:noProof/>
        </w:rPr>
        <w:t>:</w:t>
      </w:r>
      <w:r w:rsidRPr="00D6412D">
        <w:rPr>
          <w:noProof/>
        </w:rPr>
        <w:t xml:space="preserve"> 737</w:t>
      </w:r>
      <w:r w:rsidR="0097022D">
        <w:rPr>
          <w:noProof/>
        </w:rPr>
        <w:t>–</w:t>
      </w:r>
      <w:r w:rsidRPr="00D6412D">
        <w:rPr>
          <w:noProof/>
        </w:rPr>
        <w:t>738.</w:t>
      </w:r>
    </w:p>
    <w:p w14:paraId="13A5CFB7" w14:textId="77777777" w:rsidR="00D6412D" w:rsidRPr="00D6412D" w:rsidRDefault="00D6412D">
      <w:pPr>
        <w:pStyle w:val="EndNoteBibliography"/>
        <w:rPr>
          <w:noProof/>
        </w:rPr>
      </w:pPr>
      <w:r w:rsidRPr="00D6412D">
        <w:rPr>
          <w:b/>
          <w:noProof/>
        </w:rPr>
        <w:t>Weigle, J.</w:t>
      </w:r>
      <w:r w:rsidRPr="00D6412D">
        <w:rPr>
          <w:noProof/>
        </w:rPr>
        <w:t xml:space="preserve"> 1966. Assembly of phage Lambda in vitro. </w:t>
      </w:r>
      <w:r w:rsidRPr="00C02041">
        <w:rPr>
          <w:i/>
          <w:iCs/>
          <w:noProof/>
        </w:rPr>
        <w:t>Proc</w:t>
      </w:r>
      <w:r w:rsidR="0097022D">
        <w:rPr>
          <w:i/>
          <w:iCs/>
          <w:noProof/>
        </w:rPr>
        <w:t>.</w:t>
      </w:r>
      <w:r w:rsidRPr="00C02041">
        <w:rPr>
          <w:i/>
          <w:iCs/>
          <w:noProof/>
        </w:rPr>
        <w:t xml:space="preserve"> Natl</w:t>
      </w:r>
      <w:r w:rsidR="0097022D">
        <w:rPr>
          <w:i/>
          <w:iCs/>
          <w:noProof/>
        </w:rPr>
        <w:t>.</w:t>
      </w:r>
      <w:r w:rsidRPr="00C02041">
        <w:rPr>
          <w:i/>
          <w:iCs/>
          <w:noProof/>
        </w:rPr>
        <w:t xml:space="preserve"> Acad</w:t>
      </w:r>
      <w:r w:rsidR="0097022D">
        <w:rPr>
          <w:i/>
          <w:iCs/>
          <w:noProof/>
        </w:rPr>
        <w:t>.</w:t>
      </w:r>
      <w:r w:rsidRPr="00C02041">
        <w:rPr>
          <w:i/>
          <w:iCs/>
          <w:noProof/>
        </w:rPr>
        <w:t xml:space="preserve"> Sci</w:t>
      </w:r>
      <w:r w:rsidR="0097022D">
        <w:rPr>
          <w:i/>
          <w:iCs/>
          <w:noProof/>
        </w:rPr>
        <w:t>.</w:t>
      </w:r>
      <w:r w:rsidRPr="00C02041">
        <w:rPr>
          <w:i/>
          <w:iCs/>
          <w:noProof/>
        </w:rPr>
        <w:t xml:space="preserve"> USA</w:t>
      </w:r>
      <w:r w:rsidR="0097022D">
        <w:rPr>
          <w:i/>
          <w:iCs/>
          <w:noProof/>
        </w:rPr>
        <w:t>,</w:t>
      </w:r>
      <w:r w:rsidRPr="00D6412D">
        <w:rPr>
          <w:i/>
          <w:noProof/>
        </w:rPr>
        <w:t xml:space="preserve"> </w:t>
      </w:r>
      <w:r w:rsidRPr="00C02041">
        <w:rPr>
          <w:iCs/>
          <w:noProof/>
        </w:rPr>
        <w:t>55</w:t>
      </w:r>
      <w:r w:rsidR="0097022D">
        <w:rPr>
          <w:noProof/>
        </w:rPr>
        <w:t>:</w:t>
      </w:r>
      <w:r w:rsidRPr="00D6412D">
        <w:rPr>
          <w:noProof/>
        </w:rPr>
        <w:t xml:space="preserve"> 1462</w:t>
      </w:r>
      <w:r w:rsidR="0097022D">
        <w:rPr>
          <w:noProof/>
        </w:rPr>
        <w:t>–</w:t>
      </w:r>
      <w:r w:rsidRPr="00D6412D">
        <w:rPr>
          <w:noProof/>
        </w:rPr>
        <w:t>1466.</w:t>
      </w:r>
    </w:p>
    <w:p w14:paraId="5B1E4984" w14:textId="77777777" w:rsidR="00D6412D" w:rsidRPr="00D6412D" w:rsidRDefault="00D6412D">
      <w:pPr>
        <w:pStyle w:val="EndNoteBibliography"/>
        <w:rPr>
          <w:noProof/>
        </w:rPr>
      </w:pPr>
      <w:r w:rsidRPr="00D6412D">
        <w:rPr>
          <w:b/>
          <w:noProof/>
        </w:rPr>
        <w:t>Weiss, M.G.</w:t>
      </w:r>
      <w:r w:rsidRPr="00D6412D">
        <w:rPr>
          <w:noProof/>
        </w:rPr>
        <w:t xml:space="preserve"> 1943. Inheritance and physiology of efficiency in iron utilization in soybeans. </w:t>
      </w:r>
      <w:r w:rsidRPr="00C02041">
        <w:rPr>
          <w:i/>
          <w:iCs/>
          <w:noProof/>
        </w:rPr>
        <w:t>Genetics</w:t>
      </w:r>
      <w:r w:rsidR="0097022D">
        <w:rPr>
          <w:i/>
          <w:noProof/>
        </w:rPr>
        <w:t>,</w:t>
      </w:r>
      <w:r w:rsidRPr="00D6412D">
        <w:rPr>
          <w:i/>
          <w:noProof/>
        </w:rPr>
        <w:t xml:space="preserve"> </w:t>
      </w:r>
      <w:r w:rsidRPr="00C02041">
        <w:rPr>
          <w:iCs/>
          <w:noProof/>
        </w:rPr>
        <w:t>28</w:t>
      </w:r>
      <w:r w:rsidR="0097022D">
        <w:rPr>
          <w:noProof/>
        </w:rPr>
        <w:t>:</w:t>
      </w:r>
      <w:r w:rsidRPr="00D6412D">
        <w:rPr>
          <w:noProof/>
        </w:rPr>
        <w:t xml:space="preserve"> 253</w:t>
      </w:r>
      <w:r w:rsidR="0097022D">
        <w:rPr>
          <w:noProof/>
        </w:rPr>
        <w:t>–</w:t>
      </w:r>
      <w:r w:rsidRPr="00D6412D">
        <w:rPr>
          <w:noProof/>
        </w:rPr>
        <w:t>268.</w:t>
      </w:r>
    </w:p>
    <w:p w14:paraId="33F722F9" w14:textId="77777777" w:rsidR="00D6412D" w:rsidRPr="00D6412D" w:rsidRDefault="00D6412D">
      <w:pPr>
        <w:pStyle w:val="EndNoteBibliography"/>
        <w:rPr>
          <w:noProof/>
        </w:rPr>
      </w:pPr>
      <w:r w:rsidRPr="00D6412D">
        <w:rPr>
          <w:b/>
          <w:noProof/>
        </w:rPr>
        <w:t>Welch, E.W., Bagley, M.</w:t>
      </w:r>
      <w:r w:rsidR="0097022D">
        <w:rPr>
          <w:b/>
          <w:noProof/>
        </w:rPr>
        <w:t xml:space="preserve"> &amp;</w:t>
      </w:r>
      <w:r w:rsidRPr="00D6412D">
        <w:rPr>
          <w:b/>
          <w:noProof/>
        </w:rPr>
        <w:t xml:space="preserve"> Kuiken, T.</w:t>
      </w:r>
      <w:r w:rsidRPr="00D6412D">
        <w:rPr>
          <w:noProof/>
        </w:rPr>
        <w:t xml:space="preserve"> 2017. P</w:t>
      </w:r>
      <w:r w:rsidRPr="00C02041">
        <w:rPr>
          <w:i/>
          <w:iCs/>
          <w:noProof/>
        </w:rPr>
        <w:t>otential implications of new synthetic biology and genomic research trajectories on the International Treaty for Plant Genetic Resources for Food and Agriculture (ITPGRFA or ‘Treaty’)</w:t>
      </w:r>
      <w:r w:rsidRPr="00D6412D">
        <w:rPr>
          <w:noProof/>
        </w:rPr>
        <w:t xml:space="preserve">. </w:t>
      </w:r>
      <w:r w:rsidR="0097022D">
        <w:rPr>
          <w:noProof/>
        </w:rPr>
        <w:t xml:space="preserve">Rome, </w:t>
      </w:r>
      <w:r w:rsidRPr="00D6412D">
        <w:rPr>
          <w:noProof/>
        </w:rPr>
        <w:t xml:space="preserve">FAO </w:t>
      </w:r>
      <w:r w:rsidR="0097022D">
        <w:rPr>
          <w:noProof/>
        </w:rPr>
        <w:t>(</w:t>
      </w:r>
      <w:r w:rsidR="0097022D" w:rsidRPr="0097022D">
        <w:rPr>
          <w:noProof/>
        </w:rPr>
        <w:t>available at</w:t>
      </w:r>
      <w:r w:rsidR="0097022D">
        <w:rPr>
          <w:noProof/>
        </w:rPr>
        <w:t xml:space="preserve"> </w:t>
      </w:r>
      <w:r w:rsidRPr="002C26BB">
        <w:rPr>
          <w:rStyle w:val="Hyperlink"/>
          <w:noProof/>
          <w:sz w:val="24"/>
        </w:rPr>
        <w:t>http://www.fao.org/fileadmin/user_upload/faoweb/plant-treaty/GB7/gb7_90.pdf</w:t>
      </w:r>
      <w:r w:rsidR="0097022D">
        <w:rPr>
          <w:rStyle w:val="Hyperlink"/>
          <w:noProof/>
          <w:sz w:val="24"/>
        </w:rPr>
        <w:t>).</w:t>
      </w:r>
      <w:r w:rsidRPr="00D6412D">
        <w:rPr>
          <w:noProof/>
        </w:rPr>
        <w:t xml:space="preserve"> </w:t>
      </w:r>
    </w:p>
    <w:p w14:paraId="2B057204" w14:textId="77777777" w:rsidR="00D6412D" w:rsidRPr="00D6412D" w:rsidRDefault="00D6412D">
      <w:pPr>
        <w:pStyle w:val="EndNoteBibliography"/>
        <w:rPr>
          <w:noProof/>
        </w:rPr>
      </w:pPr>
      <w:r w:rsidRPr="00C02041">
        <w:rPr>
          <w:b/>
          <w:noProof/>
          <w:lang w:val="fr-FR"/>
        </w:rPr>
        <w:lastRenderedPageBreak/>
        <w:t>Weller, J.I., Ezra, E.</w:t>
      </w:r>
      <w:r w:rsidR="0097022D" w:rsidRPr="00C02041">
        <w:rPr>
          <w:b/>
          <w:noProof/>
          <w:lang w:val="fr-FR"/>
        </w:rPr>
        <w:t>&amp;</w:t>
      </w:r>
      <w:r w:rsidRPr="00C02041">
        <w:rPr>
          <w:b/>
          <w:noProof/>
          <w:lang w:val="fr-FR"/>
        </w:rPr>
        <w:t xml:space="preserve"> Ron, M.</w:t>
      </w:r>
      <w:r w:rsidRPr="00C02041">
        <w:rPr>
          <w:noProof/>
          <w:lang w:val="fr-FR"/>
        </w:rPr>
        <w:t xml:space="preserve"> 2017. </w:t>
      </w:r>
      <w:r w:rsidRPr="00D6412D">
        <w:rPr>
          <w:noProof/>
        </w:rPr>
        <w:t xml:space="preserve">A perspective on the future of genomic selection in dairy cattle. </w:t>
      </w:r>
      <w:r w:rsidRPr="00C02041">
        <w:rPr>
          <w:i/>
          <w:iCs/>
          <w:noProof/>
        </w:rPr>
        <w:t>J</w:t>
      </w:r>
      <w:r w:rsidR="0097022D">
        <w:rPr>
          <w:i/>
          <w:iCs/>
          <w:noProof/>
        </w:rPr>
        <w:t>.</w:t>
      </w:r>
      <w:r w:rsidRPr="00C02041">
        <w:rPr>
          <w:i/>
          <w:iCs/>
          <w:noProof/>
        </w:rPr>
        <w:t xml:space="preserve"> Dairy Sci</w:t>
      </w:r>
      <w:r w:rsidR="0097022D">
        <w:rPr>
          <w:i/>
          <w:iCs/>
          <w:noProof/>
        </w:rPr>
        <w:t>.,</w:t>
      </w:r>
      <w:r w:rsidRPr="00D6412D">
        <w:rPr>
          <w:i/>
          <w:noProof/>
        </w:rPr>
        <w:t xml:space="preserve"> </w:t>
      </w:r>
      <w:r w:rsidRPr="00C02041">
        <w:rPr>
          <w:iCs/>
          <w:noProof/>
        </w:rPr>
        <w:t>100</w:t>
      </w:r>
      <w:r w:rsidR="0097022D">
        <w:rPr>
          <w:noProof/>
        </w:rPr>
        <w:t>:</w:t>
      </w:r>
      <w:r w:rsidRPr="00D6412D">
        <w:rPr>
          <w:noProof/>
        </w:rPr>
        <w:t xml:space="preserve"> 8633</w:t>
      </w:r>
      <w:r w:rsidR="0097022D">
        <w:rPr>
          <w:noProof/>
        </w:rPr>
        <w:t>–</w:t>
      </w:r>
      <w:r w:rsidRPr="00D6412D">
        <w:rPr>
          <w:noProof/>
        </w:rPr>
        <w:t>8644.</w:t>
      </w:r>
    </w:p>
    <w:p w14:paraId="0AF3C8D7" w14:textId="77777777" w:rsidR="00D6412D" w:rsidRPr="00D6412D" w:rsidRDefault="00D6412D">
      <w:pPr>
        <w:pStyle w:val="EndNoteBibliography"/>
        <w:rPr>
          <w:noProof/>
        </w:rPr>
      </w:pPr>
      <w:r w:rsidRPr="00D6412D">
        <w:rPr>
          <w:b/>
          <w:noProof/>
        </w:rPr>
        <w:t>WHO</w:t>
      </w:r>
      <w:r w:rsidRPr="00D6412D">
        <w:rPr>
          <w:noProof/>
        </w:rPr>
        <w:t xml:space="preserve">. </w:t>
      </w:r>
      <w:r w:rsidRPr="00C02041">
        <w:rPr>
          <w:i/>
          <w:iCs/>
          <w:noProof/>
        </w:rPr>
        <w:t>Avian and other zoonotic influenza</w:t>
      </w:r>
      <w:r w:rsidR="0097022D">
        <w:rPr>
          <w:noProof/>
        </w:rPr>
        <w:t xml:space="preserve"> (</w:t>
      </w:r>
      <w:r w:rsidR="0097022D" w:rsidRPr="0097022D">
        <w:rPr>
          <w:noProof/>
        </w:rPr>
        <w:t>available at</w:t>
      </w:r>
      <w:r w:rsidR="0097022D">
        <w:rPr>
          <w:noProof/>
        </w:rPr>
        <w:t xml:space="preserve"> </w:t>
      </w:r>
      <w:r w:rsidRPr="002C26BB">
        <w:rPr>
          <w:rStyle w:val="Hyperlink"/>
          <w:noProof/>
          <w:sz w:val="24"/>
        </w:rPr>
        <w:t>http://www.who.int/mediacentre/factsheets/avian_influenza/en/</w:t>
      </w:r>
      <w:r w:rsidRPr="00D6412D">
        <w:rPr>
          <w:noProof/>
        </w:rPr>
        <w:t xml:space="preserve"> </w:t>
      </w:r>
      <w:r w:rsidR="0097022D">
        <w:rPr>
          <w:noProof/>
        </w:rPr>
        <w:t>a</w:t>
      </w:r>
      <w:r w:rsidRPr="00D6412D">
        <w:rPr>
          <w:noProof/>
        </w:rPr>
        <w:t>ccess</w:t>
      </w:r>
      <w:r w:rsidR="0097022D">
        <w:rPr>
          <w:noProof/>
        </w:rPr>
        <w:t>ed</w:t>
      </w:r>
      <w:r w:rsidRPr="00D6412D">
        <w:rPr>
          <w:noProof/>
        </w:rPr>
        <w:t xml:space="preserve"> 28 November 2017</w:t>
      </w:r>
      <w:r w:rsidR="0097022D">
        <w:rPr>
          <w:noProof/>
        </w:rPr>
        <w:t>).</w:t>
      </w:r>
    </w:p>
    <w:p w14:paraId="456C9B39" w14:textId="77777777" w:rsidR="00D6412D" w:rsidRPr="00D6412D" w:rsidRDefault="00D6412D">
      <w:pPr>
        <w:pStyle w:val="EndNoteBibliography"/>
        <w:rPr>
          <w:noProof/>
        </w:rPr>
      </w:pPr>
      <w:r w:rsidRPr="00D6412D">
        <w:rPr>
          <w:b/>
          <w:noProof/>
        </w:rPr>
        <w:t>Wickner, R.B., Edskes, H.K., Roberts, B.T., Baxa, U., Pierce, M.M., Ross, E.D.</w:t>
      </w:r>
      <w:r w:rsidR="0097022D">
        <w:rPr>
          <w:b/>
          <w:noProof/>
        </w:rPr>
        <w:t xml:space="preserve"> &amp; </w:t>
      </w:r>
      <w:r w:rsidRPr="00D6412D">
        <w:rPr>
          <w:b/>
          <w:noProof/>
        </w:rPr>
        <w:t>Brachmann, A.</w:t>
      </w:r>
      <w:r w:rsidRPr="00D6412D">
        <w:rPr>
          <w:noProof/>
        </w:rPr>
        <w:t xml:space="preserve"> 2004. Prions: proteins as genes and infectious entities. </w:t>
      </w:r>
      <w:r w:rsidRPr="00C02041">
        <w:rPr>
          <w:i/>
          <w:iCs/>
          <w:noProof/>
        </w:rPr>
        <w:t>Genes &amp; Develop</w:t>
      </w:r>
      <w:r w:rsidR="0097022D">
        <w:rPr>
          <w:i/>
          <w:noProof/>
        </w:rPr>
        <w:t>.,</w:t>
      </w:r>
      <w:r w:rsidRPr="00D6412D">
        <w:rPr>
          <w:i/>
          <w:noProof/>
        </w:rPr>
        <w:t xml:space="preserve"> </w:t>
      </w:r>
      <w:r w:rsidRPr="00C02041">
        <w:rPr>
          <w:iCs/>
          <w:noProof/>
        </w:rPr>
        <w:t>18</w:t>
      </w:r>
      <w:r w:rsidR="0097022D">
        <w:rPr>
          <w:noProof/>
        </w:rPr>
        <w:t>:</w:t>
      </w:r>
      <w:r w:rsidRPr="00D6412D">
        <w:rPr>
          <w:noProof/>
        </w:rPr>
        <w:t xml:space="preserve"> 470</w:t>
      </w:r>
      <w:r w:rsidR="0097022D">
        <w:rPr>
          <w:noProof/>
        </w:rPr>
        <w:t>–</w:t>
      </w:r>
      <w:r w:rsidRPr="00D6412D">
        <w:rPr>
          <w:noProof/>
        </w:rPr>
        <w:t>485.</w:t>
      </w:r>
    </w:p>
    <w:p w14:paraId="728BBF9B" w14:textId="77777777" w:rsidR="00D6412D" w:rsidRPr="00D6412D" w:rsidRDefault="00D6412D">
      <w:pPr>
        <w:pStyle w:val="EndNoteBibliography"/>
        <w:rPr>
          <w:noProof/>
        </w:rPr>
      </w:pPr>
      <w:r w:rsidRPr="00D6412D">
        <w:rPr>
          <w:b/>
          <w:noProof/>
        </w:rPr>
        <w:t>Wilhelm, M., Schlegl, J., Hahne, H., Gholami, A.M., Lieberenz, M., Savitski, M.M., Ziegler, E., Butzmann, L., Gessulat, S., Marx, H.</w:t>
      </w:r>
      <w:r w:rsidRPr="00D6412D">
        <w:rPr>
          <w:b/>
          <w:i/>
          <w:noProof/>
        </w:rPr>
        <w:t>, et al.</w:t>
      </w:r>
      <w:r w:rsidRPr="00D6412D">
        <w:rPr>
          <w:noProof/>
        </w:rPr>
        <w:t xml:space="preserve"> 2014. Mass-spectrometry-based draft of the human proteome. </w:t>
      </w:r>
      <w:r w:rsidRPr="00C02041">
        <w:rPr>
          <w:i/>
          <w:iCs/>
          <w:noProof/>
        </w:rPr>
        <w:t>Nature</w:t>
      </w:r>
      <w:r w:rsidR="0097022D">
        <w:rPr>
          <w:i/>
          <w:noProof/>
        </w:rPr>
        <w:t>,</w:t>
      </w:r>
      <w:r w:rsidRPr="00D6412D">
        <w:rPr>
          <w:i/>
          <w:noProof/>
        </w:rPr>
        <w:t xml:space="preserve"> </w:t>
      </w:r>
      <w:r w:rsidRPr="00C02041">
        <w:rPr>
          <w:iCs/>
          <w:noProof/>
        </w:rPr>
        <w:t>509</w:t>
      </w:r>
      <w:r w:rsidR="0097022D">
        <w:rPr>
          <w:noProof/>
        </w:rPr>
        <w:t>:</w:t>
      </w:r>
      <w:r w:rsidRPr="00D6412D">
        <w:rPr>
          <w:noProof/>
        </w:rPr>
        <w:t xml:space="preserve"> 582.</w:t>
      </w:r>
    </w:p>
    <w:p w14:paraId="76429EB5" w14:textId="77777777" w:rsidR="00D6412D" w:rsidRPr="00D6412D" w:rsidRDefault="00D6412D">
      <w:pPr>
        <w:pStyle w:val="EndNoteBibliography"/>
        <w:rPr>
          <w:noProof/>
        </w:rPr>
      </w:pPr>
      <w:r w:rsidRPr="00D6412D">
        <w:rPr>
          <w:b/>
          <w:noProof/>
        </w:rPr>
        <w:t>Wimmer, E.</w:t>
      </w:r>
      <w:r w:rsidRPr="00D6412D">
        <w:rPr>
          <w:noProof/>
        </w:rPr>
        <w:t xml:space="preserve"> 2006. The test</w:t>
      </w:r>
      <w:r w:rsidRPr="00D6412D">
        <w:rPr>
          <w:rFonts w:ascii="Adobe Arabic" w:hAnsi="Adobe Arabic" w:cs="Adobe Arabic"/>
          <w:noProof/>
        </w:rPr>
        <w:t>‐</w:t>
      </w:r>
      <w:r w:rsidRPr="00D6412D">
        <w:rPr>
          <w:noProof/>
        </w:rPr>
        <w:t xml:space="preserve">tube synthesis of a chemical called poliovirus. </w:t>
      </w:r>
      <w:r w:rsidRPr="00C02041">
        <w:rPr>
          <w:i/>
          <w:iCs/>
          <w:noProof/>
        </w:rPr>
        <w:t>EMBO Rep</w:t>
      </w:r>
      <w:r w:rsidR="0097022D">
        <w:rPr>
          <w:i/>
          <w:noProof/>
        </w:rPr>
        <w:t>.,</w:t>
      </w:r>
      <w:r w:rsidRPr="00D6412D">
        <w:rPr>
          <w:i/>
          <w:noProof/>
        </w:rPr>
        <w:t xml:space="preserve"> </w:t>
      </w:r>
      <w:r w:rsidRPr="00C02041">
        <w:rPr>
          <w:iCs/>
          <w:noProof/>
        </w:rPr>
        <w:t>7</w:t>
      </w:r>
      <w:r w:rsidR="0097022D">
        <w:rPr>
          <w:noProof/>
        </w:rPr>
        <w:t>:</w:t>
      </w:r>
      <w:r w:rsidRPr="00D6412D">
        <w:rPr>
          <w:noProof/>
        </w:rPr>
        <w:t xml:space="preserve"> S3</w:t>
      </w:r>
      <w:r w:rsidR="0097022D">
        <w:rPr>
          <w:noProof/>
        </w:rPr>
        <w:t>–</w:t>
      </w:r>
      <w:r w:rsidRPr="00D6412D">
        <w:rPr>
          <w:noProof/>
        </w:rPr>
        <w:t>S9.</w:t>
      </w:r>
    </w:p>
    <w:p w14:paraId="74CF7A44" w14:textId="77777777" w:rsidR="00D6412D" w:rsidRPr="00D6412D" w:rsidRDefault="00D6412D">
      <w:pPr>
        <w:pStyle w:val="EndNoteBibliography"/>
        <w:rPr>
          <w:noProof/>
        </w:rPr>
      </w:pPr>
      <w:r w:rsidRPr="00D6412D">
        <w:rPr>
          <w:b/>
          <w:noProof/>
        </w:rPr>
        <w:t>Woolliams, J.A.</w:t>
      </w:r>
      <w:r w:rsidR="0097022D">
        <w:rPr>
          <w:b/>
          <w:noProof/>
        </w:rPr>
        <w:t xml:space="preserve"> &amp;</w:t>
      </w:r>
      <w:r w:rsidRPr="00D6412D">
        <w:rPr>
          <w:b/>
          <w:noProof/>
        </w:rPr>
        <w:t xml:space="preserve"> Oldenbroek, J.K.</w:t>
      </w:r>
      <w:r w:rsidRPr="00D6412D">
        <w:rPr>
          <w:noProof/>
        </w:rPr>
        <w:t xml:space="preserve"> 2017. Genetic diversity issues in animal populations in the genomic era. </w:t>
      </w:r>
      <w:r w:rsidRPr="00C02041">
        <w:rPr>
          <w:i/>
          <w:iCs/>
          <w:noProof/>
        </w:rPr>
        <w:t>In</w:t>
      </w:r>
      <w:r w:rsidRPr="00D6412D">
        <w:rPr>
          <w:noProof/>
        </w:rPr>
        <w:t xml:space="preserve"> </w:t>
      </w:r>
      <w:r w:rsidR="0097022D" w:rsidRPr="00D6412D">
        <w:rPr>
          <w:noProof/>
        </w:rPr>
        <w:t xml:space="preserve">J.K. Oldenbroek, ed. </w:t>
      </w:r>
      <w:r w:rsidRPr="00C02041">
        <w:rPr>
          <w:i/>
          <w:iCs/>
          <w:noProof/>
        </w:rPr>
        <w:t xml:space="preserve">Genomic </w:t>
      </w:r>
      <w:r w:rsidR="0097022D">
        <w:rPr>
          <w:i/>
          <w:iCs/>
          <w:noProof/>
        </w:rPr>
        <w:t>m</w:t>
      </w:r>
      <w:r w:rsidRPr="00C02041">
        <w:rPr>
          <w:i/>
          <w:iCs/>
          <w:noProof/>
        </w:rPr>
        <w:t xml:space="preserve">anagement of </w:t>
      </w:r>
      <w:r w:rsidR="0097022D">
        <w:rPr>
          <w:i/>
          <w:iCs/>
          <w:noProof/>
        </w:rPr>
        <w:t>a</w:t>
      </w:r>
      <w:r w:rsidRPr="00C02041">
        <w:rPr>
          <w:i/>
          <w:iCs/>
          <w:noProof/>
        </w:rPr>
        <w:t xml:space="preserve">nimal </w:t>
      </w:r>
      <w:r w:rsidR="0097022D">
        <w:rPr>
          <w:i/>
          <w:iCs/>
          <w:noProof/>
        </w:rPr>
        <w:t>g</w:t>
      </w:r>
      <w:r w:rsidRPr="00C02041">
        <w:rPr>
          <w:i/>
          <w:iCs/>
          <w:noProof/>
        </w:rPr>
        <w:t xml:space="preserve">enetic </w:t>
      </w:r>
      <w:r w:rsidR="0097022D">
        <w:rPr>
          <w:i/>
          <w:iCs/>
          <w:noProof/>
        </w:rPr>
        <w:t>d</w:t>
      </w:r>
      <w:r w:rsidRPr="00C02041">
        <w:rPr>
          <w:i/>
          <w:iCs/>
          <w:noProof/>
        </w:rPr>
        <w:t>iversity,</w:t>
      </w:r>
      <w:r w:rsidRPr="00D6412D">
        <w:rPr>
          <w:noProof/>
        </w:rPr>
        <w:t xml:space="preserve"> Wageningen</w:t>
      </w:r>
      <w:r w:rsidR="0097022D">
        <w:rPr>
          <w:noProof/>
        </w:rPr>
        <w:t>, Netherlands,</w:t>
      </w:r>
      <w:r w:rsidRPr="00D6412D">
        <w:rPr>
          <w:noProof/>
        </w:rPr>
        <w:t xml:space="preserve"> Wageningen Academic.</w:t>
      </w:r>
    </w:p>
    <w:p w14:paraId="56926DED" w14:textId="77777777" w:rsidR="00D6412D" w:rsidRPr="00C02041" w:rsidRDefault="00D6412D">
      <w:pPr>
        <w:pStyle w:val="EndNoteBibliography"/>
        <w:rPr>
          <w:noProof/>
          <w:lang w:val="fr-FR"/>
        </w:rPr>
      </w:pPr>
      <w:r w:rsidRPr="00D6412D">
        <w:rPr>
          <w:b/>
          <w:noProof/>
        </w:rPr>
        <w:t>Yang, N.</w:t>
      </w:r>
      <w:r w:rsidR="0097022D">
        <w:rPr>
          <w:b/>
          <w:noProof/>
        </w:rPr>
        <w:t xml:space="preserve"> &amp;</w:t>
      </w:r>
      <w:r w:rsidRPr="00D6412D">
        <w:rPr>
          <w:b/>
          <w:noProof/>
        </w:rPr>
        <w:t xml:space="preserve"> Song, F.</w:t>
      </w:r>
      <w:r w:rsidRPr="00D6412D">
        <w:rPr>
          <w:noProof/>
        </w:rPr>
        <w:t xml:space="preserve"> 2018. Bioprospecting of novel and bioactive compounds from marine Actinomycetes isolated from South China Sea sediments. </w:t>
      </w:r>
      <w:r w:rsidRPr="00C02041">
        <w:rPr>
          <w:i/>
          <w:iCs/>
          <w:noProof/>
          <w:lang w:val="fr-FR"/>
        </w:rPr>
        <w:t>Curr</w:t>
      </w:r>
      <w:r w:rsidR="0097022D" w:rsidRPr="00C02041">
        <w:rPr>
          <w:i/>
          <w:iCs/>
          <w:noProof/>
          <w:lang w:val="fr-FR"/>
        </w:rPr>
        <w:t>.</w:t>
      </w:r>
      <w:r w:rsidRPr="00C02041">
        <w:rPr>
          <w:i/>
          <w:iCs/>
          <w:noProof/>
          <w:lang w:val="fr-FR"/>
        </w:rPr>
        <w:t xml:space="preserve"> Microbiol</w:t>
      </w:r>
      <w:r w:rsidR="0097022D" w:rsidRPr="00C02041">
        <w:rPr>
          <w:i/>
          <w:iCs/>
          <w:noProof/>
          <w:lang w:val="fr-FR"/>
        </w:rPr>
        <w:t>.,</w:t>
      </w:r>
      <w:r w:rsidRPr="00C02041">
        <w:rPr>
          <w:i/>
          <w:noProof/>
          <w:lang w:val="fr-FR"/>
        </w:rPr>
        <w:t xml:space="preserve"> </w:t>
      </w:r>
      <w:r w:rsidRPr="00C02041">
        <w:rPr>
          <w:iCs/>
          <w:noProof/>
          <w:lang w:val="fr-FR"/>
        </w:rPr>
        <w:t>75</w:t>
      </w:r>
      <w:r w:rsidR="0097022D" w:rsidRPr="00C02041">
        <w:rPr>
          <w:noProof/>
          <w:lang w:val="fr-FR"/>
        </w:rPr>
        <w:t>:</w:t>
      </w:r>
      <w:r w:rsidRPr="00C02041">
        <w:rPr>
          <w:noProof/>
          <w:lang w:val="fr-FR"/>
        </w:rPr>
        <w:t xml:space="preserve"> 142</w:t>
      </w:r>
      <w:r w:rsidR="0097022D" w:rsidRPr="00C02041">
        <w:rPr>
          <w:noProof/>
          <w:lang w:val="fr-FR"/>
        </w:rPr>
        <w:t>–</w:t>
      </w:r>
      <w:r w:rsidRPr="00C02041">
        <w:rPr>
          <w:noProof/>
          <w:lang w:val="fr-FR"/>
        </w:rPr>
        <w:t>149.</w:t>
      </w:r>
    </w:p>
    <w:p w14:paraId="4A8FF43D" w14:textId="77777777" w:rsidR="00D6412D" w:rsidRPr="00D6412D" w:rsidRDefault="00D6412D">
      <w:pPr>
        <w:pStyle w:val="EndNoteBibliography"/>
        <w:rPr>
          <w:noProof/>
        </w:rPr>
      </w:pPr>
      <w:r w:rsidRPr="00C02041">
        <w:rPr>
          <w:b/>
          <w:noProof/>
          <w:lang w:val="fr-FR"/>
        </w:rPr>
        <w:t>Yang, W., Kang, X., Yang, Q., Lin, Y.</w:t>
      </w:r>
      <w:r w:rsidR="0097022D" w:rsidRPr="00C02041">
        <w:rPr>
          <w:b/>
          <w:noProof/>
          <w:lang w:val="fr-FR"/>
        </w:rPr>
        <w:t xml:space="preserve"> </w:t>
      </w:r>
      <w:r w:rsidR="0097022D" w:rsidRPr="0012061B">
        <w:rPr>
          <w:b/>
          <w:noProof/>
          <w:lang w:val="fr-FR"/>
        </w:rPr>
        <w:t>&amp;</w:t>
      </w:r>
      <w:r w:rsidRPr="0012061B">
        <w:rPr>
          <w:b/>
          <w:noProof/>
          <w:lang w:val="fr-FR"/>
        </w:rPr>
        <w:t xml:space="preserve"> Fang, M.</w:t>
      </w:r>
      <w:r w:rsidRPr="0012061B">
        <w:rPr>
          <w:noProof/>
          <w:lang w:val="fr-FR"/>
        </w:rPr>
        <w:t xml:space="preserve"> 2013. </w:t>
      </w:r>
      <w:r w:rsidRPr="00D6412D">
        <w:rPr>
          <w:noProof/>
        </w:rPr>
        <w:t xml:space="preserve">Review on the development of genotyping methods for assessing farm animal diversity. </w:t>
      </w:r>
      <w:r w:rsidRPr="00C02041">
        <w:rPr>
          <w:i/>
          <w:iCs/>
          <w:noProof/>
        </w:rPr>
        <w:t>J</w:t>
      </w:r>
      <w:r w:rsidR="0097022D">
        <w:rPr>
          <w:i/>
          <w:iCs/>
          <w:noProof/>
        </w:rPr>
        <w:t>.</w:t>
      </w:r>
      <w:r w:rsidRPr="00C02041">
        <w:rPr>
          <w:i/>
          <w:iCs/>
          <w:noProof/>
        </w:rPr>
        <w:t xml:space="preserve"> Anim</w:t>
      </w:r>
      <w:r w:rsidR="0097022D">
        <w:rPr>
          <w:i/>
          <w:iCs/>
          <w:noProof/>
        </w:rPr>
        <w:t>.</w:t>
      </w:r>
      <w:r w:rsidRPr="00C02041">
        <w:rPr>
          <w:i/>
          <w:iCs/>
          <w:noProof/>
        </w:rPr>
        <w:t xml:space="preserve"> Sci</w:t>
      </w:r>
      <w:r w:rsidR="0097022D">
        <w:rPr>
          <w:i/>
          <w:iCs/>
          <w:noProof/>
        </w:rPr>
        <w:t>.</w:t>
      </w:r>
      <w:r w:rsidRPr="00C02041">
        <w:rPr>
          <w:i/>
          <w:iCs/>
          <w:noProof/>
        </w:rPr>
        <w:t xml:space="preserve"> Biotechnol</w:t>
      </w:r>
      <w:r w:rsidR="0097022D">
        <w:rPr>
          <w:i/>
          <w:iCs/>
          <w:noProof/>
        </w:rPr>
        <w:t>.,</w:t>
      </w:r>
      <w:r w:rsidRPr="00D6412D">
        <w:rPr>
          <w:i/>
          <w:noProof/>
        </w:rPr>
        <w:t xml:space="preserve"> </w:t>
      </w:r>
      <w:r w:rsidRPr="00C02041">
        <w:rPr>
          <w:iCs/>
          <w:noProof/>
        </w:rPr>
        <w:t>4</w:t>
      </w:r>
      <w:r w:rsidR="0097022D">
        <w:rPr>
          <w:noProof/>
        </w:rPr>
        <w:t>:</w:t>
      </w:r>
      <w:r w:rsidRPr="00D6412D">
        <w:rPr>
          <w:noProof/>
        </w:rPr>
        <w:t xml:space="preserve"> 2</w:t>
      </w:r>
      <w:r w:rsidR="0097022D">
        <w:rPr>
          <w:noProof/>
        </w:rPr>
        <w:t>–</w:t>
      </w:r>
      <w:r w:rsidRPr="00D6412D">
        <w:rPr>
          <w:noProof/>
        </w:rPr>
        <w:t>2.</w:t>
      </w:r>
    </w:p>
    <w:p w14:paraId="0F99AB85" w14:textId="77777777" w:rsidR="00D6412D" w:rsidRPr="00D6412D" w:rsidRDefault="00D6412D">
      <w:pPr>
        <w:pStyle w:val="EndNoteBibliography"/>
        <w:rPr>
          <w:noProof/>
        </w:rPr>
      </w:pPr>
      <w:r w:rsidRPr="00D6412D">
        <w:rPr>
          <w:b/>
          <w:noProof/>
        </w:rPr>
        <w:t>Yin, J., Zhang, X.-X., Wu, B.</w:t>
      </w:r>
      <w:r w:rsidR="0097022D">
        <w:rPr>
          <w:b/>
          <w:noProof/>
        </w:rPr>
        <w:t xml:space="preserve"> &amp;</w:t>
      </w:r>
      <w:r w:rsidRPr="00D6412D">
        <w:rPr>
          <w:b/>
          <w:noProof/>
        </w:rPr>
        <w:t xml:space="preserve"> Xian, Q.</w:t>
      </w:r>
      <w:r w:rsidRPr="00D6412D">
        <w:rPr>
          <w:noProof/>
        </w:rPr>
        <w:t xml:space="preserve"> 2015. Metagenomic insights into tetracycline effects on microbial community and antibiotic resistance of mouse gut. </w:t>
      </w:r>
      <w:r w:rsidRPr="00C02041">
        <w:rPr>
          <w:i/>
          <w:iCs/>
          <w:noProof/>
        </w:rPr>
        <w:t>Ecotox</w:t>
      </w:r>
      <w:r w:rsidR="0097022D">
        <w:rPr>
          <w:i/>
          <w:iCs/>
          <w:noProof/>
        </w:rPr>
        <w:t>.</w:t>
      </w:r>
      <w:r w:rsidR="0097022D">
        <w:rPr>
          <w:i/>
          <w:noProof/>
        </w:rPr>
        <w:t>,</w:t>
      </w:r>
      <w:r w:rsidRPr="00D6412D">
        <w:rPr>
          <w:i/>
          <w:noProof/>
        </w:rPr>
        <w:t xml:space="preserve"> </w:t>
      </w:r>
      <w:r w:rsidRPr="00C02041">
        <w:rPr>
          <w:iCs/>
          <w:noProof/>
        </w:rPr>
        <w:t>24</w:t>
      </w:r>
      <w:r w:rsidR="0097022D">
        <w:rPr>
          <w:noProof/>
        </w:rPr>
        <w:t>:</w:t>
      </w:r>
      <w:r w:rsidRPr="00D6412D">
        <w:rPr>
          <w:noProof/>
        </w:rPr>
        <w:t xml:space="preserve"> 2125</w:t>
      </w:r>
      <w:r w:rsidR="0097022D">
        <w:rPr>
          <w:noProof/>
        </w:rPr>
        <w:t>–</w:t>
      </w:r>
      <w:r w:rsidRPr="00D6412D">
        <w:rPr>
          <w:noProof/>
        </w:rPr>
        <w:t>2132.</w:t>
      </w:r>
    </w:p>
    <w:p w14:paraId="1555BB40" w14:textId="77777777" w:rsidR="00D6412D" w:rsidRPr="00D6412D" w:rsidRDefault="00D6412D">
      <w:pPr>
        <w:pStyle w:val="EndNoteBibliography"/>
        <w:rPr>
          <w:noProof/>
        </w:rPr>
      </w:pPr>
      <w:r w:rsidRPr="00D6412D">
        <w:rPr>
          <w:b/>
          <w:noProof/>
        </w:rPr>
        <w:t>Yong, E.</w:t>
      </w:r>
      <w:r w:rsidRPr="00D6412D">
        <w:rPr>
          <w:noProof/>
        </w:rPr>
        <w:t xml:space="preserve"> </w:t>
      </w:r>
      <w:r w:rsidRPr="00C02041">
        <w:rPr>
          <w:i/>
          <w:iCs/>
          <w:noProof/>
        </w:rPr>
        <w:t>A DNA sequence in every pocket</w:t>
      </w:r>
      <w:r w:rsidR="0097022D">
        <w:rPr>
          <w:noProof/>
        </w:rPr>
        <w:t xml:space="preserve"> (</w:t>
      </w:r>
      <w:r w:rsidR="0097022D" w:rsidRPr="0097022D">
        <w:rPr>
          <w:noProof/>
        </w:rPr>
        <w:t>available at</w:t>
      </w:r>
      <w:r w:rsidR="0097022D">
        <w:rPr>
          <w:noProof/>
        </w:rPr>
        <w:t xml:space="preserve"> </w:t>
      </w:r>
      <w:r w:rsidRPr="002C26BB">
        <w:rPr>
          <w:rStyle w:val="Hyperlink"/>
          <w:noProof/>
          <w:sz w:val="24"/>
        </w:rPr>
        <w:t>https://www.theatlantic.com/science/archive/2016/04/this-technology-will-allow-anyone-to-sequence-dna-anywhere/479625/</w:t>
      </w:r>
      <w:r w:rsidRPr="00D6412D">
        <w:rPr>
          <w:noProof/>
        </w:rPr>
        <w:t xml:space="preserve"> </w:t>
      </w:r>
      <w:r w:rsidR="0097022D">
        <w:rPr>
          <w:noProof/>
        </w:rPr>
        <w:t>a</w:t>
      </w:r>
      <w:r w:rsidRPr="00D6412D">
        <w:rPr>
          <w:noProof/>
        </w:rPr>
        <w:t>ccess</w:t>
      </w:r>
      <w:r w:rsidR="0097022D">
        <w:rPr>
          <w:noProof/>
        </w:rPr>
        <w:t>ed</w:t>
      </w:r>
      <w:r w:rsidRPr="00D6412D">
        <w:rPr>
          <w:noProof/>
        </w:rPr>
        <w:t xml:space="preserve"> 27 November 2017</w:t>
      </w:r>
      <w:r w:rsidR="0097022D">
        <w:rPr>
          <w:noProof/>
        </w:rPr>
        <w:t>).</w:t>
      </w:r>
    </w:p>
    <w:p w14:paraId="14FD46FE" w14:textId="77777777" w:rsidR="00D6412D" w:rsidRPr="00C02041" w:rsidRDefault="00D6412D">
      <w:pPr>
        <w:pStyle w:val="EndNoteBibliography"/>
        <w:rPr>
          <w:noProof/>
          <w:lang w:val="es-ES"/>
        </w:rPr>
      </w:pPr>
      <w:r w:rsidRPr="00D6412D">
        <w:rPr>
          <w:b/>
          <w:noProof/>
        </w:rPr>
        <w:t>Zamir, D.</w:t>
      </w:r>
      <w:r w:rsidRPr="00D6412D">
        <w:rPr>
          <w:noProof/>
        </w:rPr>
        <w:t xml:space="preserve"> 2013. Where have all the crop phenotypes gone? </w:t>
      </w:r>
      <w:r w:rsidRPr="00C02041">
        <w:rPr>
          <w:i/>
          <w:iCs/>
          <w:noProof/>
          <w:lang w:val="es-ES"/>
        </w:rPr>
        <w:t>PLoS Biol</w:t>
      </w:r>
      <w:r w:rsidR="0097022D">
        <w:rPr>
          <w:i/>
          <w:noProof/>
          <w:lang w:val="es-ES"/>
        </w:rPr>
        <w:t>.,</w:t>
      </w:r>
      <w:r w:rsidRPr="00C02041">
        <w:rPr>
          <w:i/>
          <w:noProof/>
          <w:lang w:val="es-ES"/>
        </w:rPr>
        <w:t xml:space="preserve"> </w:t>
      </w:r>
      <w:r w:rsidRPr="00C02041">
        <w:rPr>
          <w:iCs/>
          <w:noProof/>
          <w:lang w:val="es-ES"/>
        </w:rPr>
        <w:t>11</w:t>
      </w:r>
      <w:r w:rsidR="0097022D">
        <w:rPr>
          <w:noProof/>
          <w:lang w:val="es-ES"/>
        </w:rPr>
        <w:t>:</w:t>
      </w:r>
      <w:r w:rsidRPr="00C02041">
        <w:rPr>
          <w:noProof/>
          <w:lang w:val="es-ES"/>
        </w:rPr>
        <w:t xml:space="preserve"> e1001595.</w:t>
      </w:r>
    </w:p>
    <w:p w14:paraId="53992F5A" w14:textId="77777777" w:rsidR="00D6412D" w:rsidRPr="00D6412D" w:rsidRDefault="00D6412D" w:rsidP="00D6412D">
      <w:pPr>
        <w:pStyle w:val="EndNoteBibliography"/>
        <w:rPr>
          <w:noProof/>
        </w:rPr>
      </w:pPr>
      <w:r w:rsidRPr="00C02041">
        <w:rPr>
          <w:b/>
          <w:noProof/>
          <w:lang w:val="es-ES"/>
        </w:rPr>
        <w:t>Zhang, S.</w:t>
      </w:r>
      <w:r w:rsidRPr="00C02041">
        <w:rPr>
          <w:noProof/>
          <w:lang w:val="es-ES"/>
        </w:rPr>
        <w:t xml:space="preserve"> 2016. </w:t>
      </w:r>
      <w:r w:rsidRPr="00D6412D">
        <w:rPr>
          <w:noProof/>
        </w:rPr>
        <w:t xml:space="preserve">Farmers are manipulating microbiomes to help crops grow. In </w:t>
      </w:r>
      <w:r w:rsidRPr="00C02041">
        <w:rPr>
          <w:i/>
          <w:iCs/>
          <w:noProof/>
        </w:rPr>
        <w:t>Wired</w:t>
      </w:r>
      <w:r w:rsidR="0097022D">
        <w:rPr>
          <w:i/>
          <w:iCs/>
          <w:noProof/>
        </w:rPr>
        <w:t xml:space="preserve"> </w:t>
      </w:r>
      <w:r w:rsidR="0097022D" w:rsidRPr="00C02041">
        <w:rPr>
          <w:noProof/>
        </w:rPr>
        <w:t>(available at</w:t>
      </w:r>
      <w:r w:rsidRPr="00C02041">
        <w:rPr>
          <w:i/>
          <w:iCs/>
          <w:noProof/>
        </w:rPr>
        <w:t xml:space="preserve"> </w:t>
      </w:r>
      <w:r w:rsidRPr="002C26BB">
        <w:rPr>
          <w:rStyle w:val="Hyperlink"/>
          <w:noProof/>
          <w:sz w:val="24"/>
        </w:rPr>
        <w:t>https://www.wired.com/2016/10/farmers-manipulating-microbiomes-help-grow-crops/</w:t>
      </w:r>
      <w:r w:rsidR="0097022D">
        <w:rPr>
          <w:rStyle w:val="Hyperlink"/>
          <w:noProof/>
          <w:sz w:val="24"/>
        </w:rPr>
        <w:t>)</w:t>
      </w:r>
      <w:r w:rsidRPr="00D6412D">
        <w:rPr>
          <w:noProof/>
        </w:rPr>
        <w:t>.</w:t>
      </w:r>
    </w:p>
    <w:p w14:paraId="36BA6890" w14:textId="77777777" w:rsidR="00D6412D" w:rsidRPr="00D6412D" w:rsidRDefault="00D6412D">
      <w:pPr>
        <w:pStyle w:val="EndNoteBibliography"/>
        <w:rPr>
          <w:noProof/>
        </w:rPr>
      </w:pPr>
      <w:r w:rsidRPr="00C02041">
        <w:rPr>
          <w:b/>
          <w:noProof/>
          <w:lang w:val="fr-FR"/>
        </w:rPr>
        <w:t>Zhu, K.Y., Zhang, X.</w:t>
      </w:r>
      <w:r w:rsidR="0097022D" w:rsidRPr="00C02041">
        <w:rPr>
          <w:b/>
          <w:noProof/>
          <w:lang w:val="fr-FR"/>
        </w:rPr>
        <w:t xml:space="preserve"> </w:t>
      </w:r>
      <w:r w:rsidR="0097022D" w:rsidRPr="0012061B">
        <w:rPr>
          <w:b/>
          <w:noProof/>
          <w:lang w:val="fr-FR"/>
        </w:rPr>
        <w:t>&amp;</w:t>
      </w:r>
      <w:r w:rsidRPr="0012061B">
        <w:rPr>
          <w:b/>
          <w:noProof/>
          <w:lang w:val="fr-FR"/>
        </w:rPr>
        <w:t xml:space="preserve"> Zhang, J.</w:t>
      </w:r>
      <w:r w:rsidRPr="0012061B">
        <w:rPr>
          <w:noProof/>
          <w:lang w:val="fr-FR"/>
        </w:rPr>
        <w:t xml:space="preserve"> 2014. </w:t>
      </w:r>
      <w:r w:rsidRPr="00C02041">
        <w:rPr>
          <w:i/>
          <w:iCs/>
          <w:noProof/>
        </w:rPr>
        <w:t>Double-stranded RNA-based nanoparticles for insect gene silencing</w:t>
      </w:r>
      <w:r w:rsidR="0097022D">
        <w:rPr>
          <w:noProof/>
        </w:rPr>
        <w:t xml:space="preserve"> (</w:t>
      </w:r>
      <w:r w:rsidR="0097022D" w:rsidRPr="0097022D">
        <w:rPr>
          <w:noProof/>
        </w:rPr>
        <w:t>available at</w:t>
      </w:r>
      <w:r w:rsidRPr="00D6412D">
        <w:rPr>
          <w:noProof/>
        </w:rPr>
        <w:t xml:space="preserve"> </w:t>
      </w:r>
      <w:r w:rsidRPr="002C26BB">
        <w:rPr>
          <w:rStyle w:val="Hyperlink"/>
          <w:noProof/>
          <w:sz w:val="24"/>
        </w:rPr>
        <w:t>https://www.google.com/patents/US8841272</w:t>
      </w:r>
      <w:r w:rsidR="0097022D">
        <w:rPr>
          <w:rStyle w:val="Hyperlink"/>
          <w:noProof/>
          <w:sz w:val="24"/>
        </w:rPr>
        <w:t>)</w:t>
      </w:r>
      <w:r w:rsidRPr="00D6412D">
        <w:rPr>
          <w:noProof/>
        </w:rPr>
        <w:t>.</w:t>
      </w:r>
    </w:p>
    <w:p w14:paraId="284A2020" w14:textId="77777777" w:rsidR="00D6412D" w:rsidRPr="00D6412D" w:rsidRDefault="00D6412D">
      <w:pPr>
        <w:pStyle w:val="EndNoteBibliography"/>
        <w:rPr>
          <w:noProof/>
        </w:rPr>
      </w:pPr>
      <w:r w:rsidRPr="00D6412D">
        <w:rPr>
          <w:b/>
          <w:noProof/>
        </w:rPr>
        <w:t>Zimkus, B.M.</w:t>
      </w:r>
      <w:r w:rsidR="0097022D">
        <w:rPr>
          <w:b/>
          <w:noProof/>
        </w:rPr>
        <w:t xml:space="preserve"> &amp;</w:t>
      </w:r>
      <w:r w:rsidRPr="00D6412D">
        <w:rPr>
          <w:b/>
          <w:noProof/>
        </w:rPr>
        <w:t xml:space="preserve"> Ford, L.S.</w:t>
      </w:r>
      <w:r w:rsidRPr="00D6412D">
        <w:rPr>
          <w:noProof/>
        </w:rPr>
        <w:t xml:space="preserve"> 2014. Genetic Resource Collections Associated with Natural History Museums: A Survey and Analysis to Establish a Benchmark of Standards. In </w:t>
      </w:r>
      <w:r w:rsidRPr="00C02041">
        <w:rPr>
          <w:i/>
          <w:iCs/>
          <w:noProof/>
        </w:rPr>
        <w:t>DNA Banking for the 21st Century Proceedings of the US Workshop on DNA Banking</w:t>
      </w:r>
      <w:r w:rsidRPr="00D6412D">
        <w:rPr>
          <w:noProof/>
        </w:rPr>
        <w:t>, pp. 9</w:t>
      </w:r>
      <w:r w:rsidR="0097022D">
        <w:rPr>
          <w:noProof/>
        </w:rPr>
        <w:t>–</w:t>
      </w:r>
      <w:r w:rsidRPr="00D6412D">
        <w:rPr>
          <w:noProof/>
        </w:rPr>
        <w:t>44.</w:t>
      </w:r>
    </w:p>
    <w:p w14:paraId="3EBF2DDD" w14:textId="77777777" w:rsidR="004F0757" w:rsidRDefault="004F0757" w:rsidP="003E1202">
      <w:r>
        <w:br w:type="page"/>
      </w:r>
    </w:p>
    <w:p w14:paraId="474F40A4" w14:textId="77777777" w:rsidR="006F7901" w:rsidRPr="00796F66" w:rsidRDefault="006F7901" w:rsidP="00E41E95">
      <w:pPr>
        <w:pStyle w:val="TableEntry"/>
        <w:spacing w:before="120" w:after="120"/>
        <w:jc w:val="center"/>
        <w:rPr>
          <w:rStyle w:val="z-DSTbox"/>
          <w:b/>
          <w:bCs/>
          <w:caps/>
          <w:sz w:val="24"/>
          <w:szCs w:val="24"/>
        </w:rPr>
      </w:pPr>
      <w:r w:rsidRPr="00796F66">
        <w:rPr>
          <w:rStyle w:val="z-DSTbox"/>
          <w:b/>
          <w:bCs/>
          <w:caps/>
          <w:sz w:val="24"/>
          <w:szCs w:val="24"/>
        </w:rPr>
        <w:lastRenderedPageBreak/>
        <w:t>GLOSSARY</w:t>
      </w:r>
    </w:p>
    <w:tbl>
      <w:tblPr>
        <w:tblStyle w:val="TableGrid"/>
        <w:tblW w:w="0" w:type="auto"/>
        <w:tblLook w:val="04A0" w:firstRow="1" w:lastRow="0" w:firstColumn="1" w:lastColumn="0" w:noHBand="0" w:noVBand="1"/>
      </w:tblPr>
      <w:tblGrid>
        <w:gridCol w:w="2414"/>
        <w:gridCol w:w="6193"/>
      </w:tblGrid>
      <w:tr w:rsidR="006F7901" w:rsidRPr="00582928" w14:paraId="39E5E49E" w14:textId="77777777" w:rsidTr="00297B8B">
        <w:tc>
          <w:tcPr>
            <w:tcW w:w="2449" w:type="dxa"/>
          </w:tcPr>
          <w:p w14:paraId="466FA6C0" w14:textId="77777777" w:rsidR="006F7901" w:rsidRPr="006054EE" w:rsidRDefault="006F7901" w:rsidP="006F7901">
            <w:pPr>
              <w:spacing w:after="120"/>
              <w:rPr>
                <w:bCs/>
                <w:sz w:val="22"/>
                <w:szCs w:val="22"/>
              </w:rPr>
            </w:pPr>
            <w:r w:rsidRPr="006054EE">
              <w:rPr>
                <w:bCs/>
                <w:sz w:val="22"/>
                <w:szCs w:val="22"/>
              </w:rPr>
              <w:t xml:space="preserve">Alleles </w:t>
            </w:r>
          </w:p>
        </w:tc>
        <w:tc>
          <w:tcPr>
            <w:tcW w:w="6391" w:type="dxa"/>
          </w:tcPr>
          <w:p w14:paraId="445CDF0E" w14:textId="77777777" w:rsidR="006F7901" w:rsidRPr="006054EE" w:rsidRDefault="006F7901" w:rsidP="006F7901">
            <w:pPr>
              <w:spacing w:after="120"/>
              <w:rPr>
                <w:bCs/>
                <w:sz w:val="22"/>
                <w:szCs w:val="22"/>
              </w:rPr>
            </w:pPr>
            <w:r w:rsidRPr="006054EE">
              <w:rPr>
                <w:bCs/>
                <w:sz w:val="22"/>
                <w:szCs w:val="22"/>
              </w:rPr>
              <w:t>Mutants or variants in the DNA sequence at a single gene or locus.</w:t>
            </w:r>
          </w:p>
        </w:tc>
      </w:tr>
      <w:tr w:rsidR="006F7901" w:rsidRPr="00582928" w14:paraId="7446D263" w14:textId="77777777" w:rsidTr="00297B8B">
        <w:tc>
          <w:tcPr>
            <w:tcW w:w="2449" w:type="dxa"/>
          </w:tcPr>
          <w:p w14:paraId="438054A5" w14:textId="77777777" w:rsidR="006F7901" w:rsidRPr="006054EE" w:rsidRDefault="006F7901" w:rsidP="006F7901">
            <w:pPr>
              <w:spacing w:after="120"/>
              <w:rPr>
                <w:bCs/>
                <w:sz w:val="22"/>
                <w:szCs w:val="22"/>
              </w:rPr>
            </w:pPr>
            <w:r w:rsidRPr="006054EE">
              <w:rPr>
                <w:bCs/>
                <w:sz w:val="22"/>
                <w:szCs w:val="22"/>
              </w:rPr>
              <w:t>Amyloids</w:t>
            </w:r>
          </w:p>
        </w:tc>
        <w:tc>
          <w:tcPr>
            <w:tcW w:w="6391" w:type="dxa"/>
          </w:tcPr>
          <w:p w14:paraId="2D3C1037" w14:textId="77777777" w:rsidR="006F7901" w:rsidRPr="006054EE" w:rsidRDefault="006F7901" w:rsidP="005A7B05">
            <w:pPr>
              <w:spacing w:after="120"/>
              <w:rPr>
                <w:bCs/>
                <w:sz w:val="22"/>
                <w:szCs w:val="22"/>
              </w:rPr>
            </w:pPr>
            <w:r w:rsidRPr="006054EE">
              <w:rPr>
                <w:bCs/>
                <w:sz w:val="22"/>
                <w:szCs w:val="22"/>
              </w:rPr>
              <w:t>Aggregates of certain proteins folded into a shape that allows many copies of that protein to form fibrils.</w:t>
            </w:r>
          </w:p>
        </w:tc>
      </w:tr>
      <w:tr w:rsidR="006F7901" w:rsidRPr="00582928" w14:paraId="3B8038B6" w14:textId="77777777" w:rsidTr="00297B8B">
        <w:tc>
          <w:tcPr>
            <w:tcW w:w="2449" w:type="dxa"/>
          </w:tcPr>
          <w:p w14:paraId="5C0219F2" w14:textId="77777777" w:rsidR="006F7901" w:rsidRPr="006054EE" w:rsidRDefault="006F7901" w:rsidP="006F7901">
            <w:pPr>
              <w:spacing w:after="120"/>
              <w:rPr>
                <w:bCs/>
                <w:sz w:val="22"/>
                <w:szCs w:val="22"/>
              </w:rPr>
            </w:pPr>
            <w:r w:rsidRPr="006054EE">
              <w:rPr>
                <w:bCs/>
                <w:sz w:val="22"/>
                <w:szCs w:val="22"/>
              </w:rPr>
              <w:t>Big data</w:t>
            </w:r>
          </w:p>
        </w:tc>
        <w:tc>
          <w:tcPr>
            <w:tcW w:w="6391" w:type="dxa"/>
          </w:tcPr>
          <w:p w14:paraId="57AA4E07" w14:textId="77777777" w:rsidR="006F7901" w:rsidRPr="006054EE" w:rsidRDefault="006F7901" w:rsidP="006F7901">
            <w:pPr>
              <w:spacing w:after="120"/>
              <w:rPr>
                <w:bCs/>
                <w:sz w:val="22"/>
                <w:szCs w:val="22"/>
              </w:rPr>
            </w:pPr>
            <w:r w:rsidRPr="006054EE">
              <w:rPr>
                <w:bCs/>
                <w:sz w:val="22"/>
                <w:szCs w:val="22"/>
              </w:rPr>
              <w:t>Data of a very large size (structured or unstructured), typically to the extent that its manipulation and management present significant logistical challenges; (also) the branch of computing involving such data.</w:t>
            </w:r>
          </w:p>
        </w:tc>
      </w:tr>
      <w:tr w:rsidR="006F7901" w:rsidRPr="00582928" w14:paraId="6A059F94" w14:textId="77777777" w:rsidTr="00297B8B">
        <w:tc>
          <w:tcPr>
            <w:tcW w:w="2449" w:type="dxa"/>
          </w:tcPr>
          <w:p w14:paraId="410C739C" w14:textId="77777777" w:rsidR="006F7901" w:rsidRPr="006054EE" w:rsidRDefault="006F7901" w:rsidP="006F7901">
            <w:pPr>
              <w:spacing w:after="120"/>
              <w:rPr>
                <w:bCs/>
                <w:sz w:val="22"/>
                <w:szCs w:val="22"/>
              </w:rPr>
            </w:pPr>
            <w:r w:rsidRPr="006054EE">
              <w:rPr>
                <w:bCs/>
                <w:sz w:val="22"/>
                <w:szCs w:val="22"/>
              </w:rPr>
              <w:t>Bioinformatics</w:t>
            </w:r>
          </w:p>
        </w:tc>
        <w:tc>
          <w:tcPr>
            <w:tcW w:w="6391" w:type="dxa"/>
          </w:tcPr>
          <w:p w14:paraId="15BC0B2E" w14:textId="77777777" w:rsidR="006F7901" w:rsidRPr="006054EE" w:rsidRDefault="006F7901" w:rsidP="006F7901">
            <w:pPr>
              <w:spacing w:after="120"/>
              <w:rPr>
                <w:bCs/>
                <w:sz w:val="22"/>
                <w:szCs w:val="22"/>
              </w:rPr>
            </w:pPr>
            <w:r w:rsidRPr="006054EE">
              <w:rPr>
                <w:bCs/>
                <w:sz w:val="22"/>
                <w:szCs w:val="22"/>
              </w:rPr>
              <w:t>The branch of science concerned with information and information flow in biological systems, especially the use of computational methods in genetics and genomics.</w:t>
            </w:r>
          </w:p>
        </w:tc>
      </w:tr>
      <w:tr w:rsidR="006F7901" w:rsidRPr="00582928" w14:paraId="1459C653" w14:textId="77777777" w:rsidTr="00297B8B">
        <w:tc>
          <w:tcPr>
            <w:tcW w:w="2449" w:type="dxa"/>
          </w:tcPr>
          <w:p w14:paraId="74C7CF9F" w14:textId="77777777" w:rsidR="006F7901" w:rsidRPr="006054EE" w:rsidRDefault="006F7901" w:rsidP="006F7901">
            <w:pPr>
              <w:spacing w:after="120"/>
              <w:rPr>
                <w:bCs/>
                <w:sz w:val="22"/>
                <w:szCs w:val="22"/>
              </w:rPr>
            </w:pPr>
            <w:r w:rsidRPr="006054EE">
              <w:rPr>
                <w:bCs/>
                <w:sz w:val="22"/>
                <w:szCs w:val="22"/>
              </w:rPr>
              <w:t>Database</w:t>
            </w:r>
          </w:p>
        </w:tc>
        <w:tc>
          <w:tcPr>
            <w:tcW w:w="6391" w:type="dxa"/>
          </w:tcPr>
          <w:p w14:paraId="30750551" w14:textId="77777777" w:rsidR="006F7901" w:rsidRPr="006054EE" w:rsidRDefault="006F7901" w:rsidP="006F7901">
            <w:pPr>
              <w:spacing w:after="120"/>
              <w:rPr>
                <w:bCs/>
                <w:sz w:val="22"/>
                <w:szCs w:val="22"/>
              </w:rPr>
            </w:pPr>
            <w:r w:rsidRPr="006054EE">
              <w:rPr>
                <w:bCs/>
                <w:sz w:val="22"/>
                <w:szCs w:val="22"/>
              </w:rPr>
              <w:t xml:space="preserve">Usually a set of data held in computer storage and typically accessed or manipulated by means of specialized software. </w:t>
            </w:r>
          </w:p>
        </w:tc>
      </w:tr>
      <w:tr w:rsidR="006F7901" w:rsidRPr="00582928" w14:paraId="39862D70" w14:textId="77777777" w:rsidTr="00297B8B">
        <w:tc>
          <w:tcPr>
            <w:tcW w:w="2449" w:type="dxa"/>
          </w:tcPr>
          <w:p w14:paraId="531A2615" w14:textId="77777777" w:rsidR="006F7901" w:rsidRPr="006054EE" w:rsidRDefault="006F7901" w:rsidP="006F7901">
            <w:pPr>
              <w:spacing w:after="120"/>
              <w:rPr>
                <w:bCs/>
                <w:sz w:val="22"/>
                <w:szCs w:val="22"/>
              </w:rPr>
            </w:pPr>
            <w:r w:rsidRPr="006054EE">
              <w:rPr>
                <w:bCs/>
                <w:sz w:val="22"/>
                <w:szCs w:val="22"/>
              </w:rPr>
              <w:t>Epiallele</w:t>
            </w:r>
          </w:p>
        </w:tc>
        <w:tc>
          <w:tcPr>
            <w:tcW w:w="6391" w:type="dxa"/>
          </w:tcPr>
          <w:p w14:paraId="2D33DBDB" w14:textId="77777777" w:rsidR="006F7901" w:rsidRPr="006054EE" w:rsidRDefault="006F7901" w:rsidP="00945E7D">
            <w:pPr>
              <w:spacing w:after="120"/>
              <w:rPr>
                <w:bCs/>
                <w:sz w:val="22"/>
                <w:szCs w:val="22"/>
              </w:rPr>
            </w:pPr>
            <w:r w:rsidRPr="006054EE">
              <w:rPr>
                <w:bCs/>
                <w:sz w:val="22"/>
                <w:szCs w:val="22"/>
              </w:rPr>
              <w:t>Alleles that are DNA identical (no sequence difference) but present distinct epigenetic profiles due to differences in chromatin marks, such as DNA methylation that may be associated with changes in gene expression depending on the location of the modification.</w:t>
            </w:r>
          </w:p>
        </w:tc>
      </w:tr>
      <w:tr w:rsidR="006F7901" w:rsidRPr="00582928" w14:paraId="02EBDC85" w14:textId="77777777" w:rsidTr="00297B8B">
        <w:tc>
          <w:tcPr>
            <w:tcW w:w="2449" w:type="dxa"/>
          </w:tcPr>
          <w:p w14:paraId="6B89E319" w14:textId="77777777" w:rsidR="006F7901" w:rsidRPr="006054EE" w:rsidRDefault="006F7901" w:rsidP="006F7901">
            <w:pPr>
              <w:spacing w:after="120"/>
              <w:rPr>
                <w:bCs/>
                <w:sz w:val="22"/>
                <w:szCs w:val="22"/>
              </w:rPr>
            </w:pPr>
            <w:r w:rsidRPr="006054EE">
              <w:rPr>
                <w:bCs/>
                <w:sz w:val="22"/>
                <w:szCs w:val="22"/>
              </w:rPr>
              <w:t>Epigenetics</w:t>
            </w:r>
          </w:p>
        </w:tc>
        <w:tc>
          <w:tcPr>
            <w:tcW w:w="6391" w:type="dxa"/>
          </w:tcPr>
          <w:p w14:paraId="23DA25E1" w14:textId="77777777" w:rsidR="006F7901" w:rsidRPr="006054EE" w:rsidRDefault="006F7901" w:rsidP="006F7901">
            <w:pPr>
              <w:spacing w:after="120"/>
              <w:rPr>
                <w:bCs/>
                <w:sz w:val="22"/>
                <w:szCs w:val="22"/>
              </w:rPr>
            </w:pPr>
            <w:r w:rsidRPr="006054EE">
              <w:rPr>
                <w:bCs/>
                <w:sz w:val="22"/>
                <w:szCs w:val="22"/>
              </w:rPr>
              <w:t xml:space="preserve">Heritable states that are not due to a change in DNA sequence. Different molecular mechanisms may apply including: </w:t>
            </w:r>
            <w:r w:rsidR="0019763A">
              <w:rPr>
                <w:bCs/>
                <w:sz w:val="22"/>
                <w:szCs w:val="22"/>
              </w:rPr>
              <w:t>(</w:t>
            </w:r>
            <w:r w:rsidRPr="006054EE">
              <w:rPr>
                <w:bCs/>
                <w:sz w:val="22"/>
                <w:szCs w:val="22"/>
              </w:rPr>
              <w:t>a) covalent modification of DNA such as methylation</w:t>
            </w:r>
            <w:r w:rsidR="008A4BAE">
              <w:rPr>
                <w:bCs/>
                <w:sz w:val="22"/>
                <w:szCs w:val="22"/>
              </w:rPr>
              <w:t>;</w:t>
            </w:r>
            <w:r w:rsidRPr="006054EE">
              <w:rPr>
                <w:bCs/>
                <w:sz w:val="22"/>
                <w:szCs w:val="22"/>
              </w:rPr>
              <w:t xml:space="preserve"> </w:t>
            </w:r>
            <w:r w:rsidR="0019763A">
              <w:rPr>
                <w:bCs/>
                <w:sz w:val="22"/>
                <w:szCs w:val="22"/>
              </w:rPr>
              <w:t>(</w:t>
            </w:r>
            <w:r w:rsidRPr="006054EE">
              <w:rPr>
                <w:bCs/>
                <w:sz w:val="22"/>
                <w:szCs w:val="22"/>
              </w:rPr>
              <w:t>b) covalent modification of DNA binding proteins such as histones whose modification state has a hereditary component</w:t>
            </w:r>
            <w:r w:rsidR="008A4BAE">
              <w:rPr>
                <w:bCs/>
                <w:sz w:val="22"/>
                <w:szCs w:val="22"/>
              </w:rPr>
              <w:t>;</w:t>
            </w:r>
            <w:r w:rsidR="00666526">
              <w:rPr>
                <w:bCs/>
                <w:sz w:val="22"/>
                <w:szCs w:val="22"/>
              </w:rPr>
              <w:t xml:space="preserve"> </w:t>
            </w:r>
            <w:r w:rsidR="008A4BAE">
              <w:rPr>
                <w:bCs/>
                <w:sz w:val="22"/>
                <w:szCs w:val="22"/>
              </w:rPr>
              <w:t>and</w:t>
            </w:r>
            <w:r w:rsidRPr="006054EE">
              <w:rPr>
                <w:bCs/>
                <w:sz w:val="22"/>
                <w:szCs w:val="22"/>
              </w:rPr>
              <w:t xml:space="preserve"> </w:t>
            </w:r>
            <w:r w:rsidR="0019763A">
              <w:rPr>
                <w:bCs/>
                <w:sz w:val="22"/>
                <w:szCs w:val="22"/>
              </w:rPr>
              <w:t>(</w:t>
            </w:r>
            <w:r w:rsidRPr="006054EE">
              <w:rPr>
                <w:bCs/>
                <w:sz w:val="22"/>
                <w:szCs w:val="22"/>
              </w:rPr>
              <w:t>c) genetic switches of stable regulatory states.</w:t>
            </w:r>
          </w:p>
        </w:tc>
      </w:tr>
      <w:tr w:rsidR="006F7901" w:rsidRPr="00582928" w14:paraId="4B59D87D" w14:textId="77777777" w:rsidTr="00297B8B">
        <w:tc>
          <w:tcPr>
            <w:tcW w:w="2449" w:type="dxa"/>
          </w:tcPr>
          <w:p w14:paraId="2D777B23" w14:textId="77777777" w:rsidR="006F7901" w:rsidRPr="006054EE" w:rsidRDefault="006F7901" w:rsidP="006F7901">
            <w:pPr>
              <w:spacing w:after="120"/>
              <w:rPr>
                <w:bCs/>
                <w:sz w:val="22"/>
                <w:szCs w:val="22"/>
              </w:rPr>
            </w:pPr>
            <w:r w:rsidRPr="006054EE">
              <w:rPr>
                <w:bCs/>
                <w:sz w:val="22"/>
                <w:szCs w:val="22"/>
              </w:rPr>
              <w:t>Epigenomics</w:t>
            </w:r>
          </w:p>
        </w:tc>
        <w:tc>
          <w:tcPr>
            <w:tcW w:w="6391" w:type="dxa"/>
          </w:tcPr>
          <w:p w14:paraId="5BBBB69F" w14:textId="77777777" w:rsidR="006F7901" w:rsidRPr="006054EE" w:rsidRDefault="006F7901" w:rsidP="006F7901">
            <w:pPr>
              <w:tabs>
                <w:tab w:val="left" w:pos="451"/>
              </w:tabs>
              <w:spacing w:after="120"/>
              <w:rPr>
                <w:bCs/>
                <w:sz w:val="22"/>
                <w:szCs w:val="22"/>
              </w:rPr>
            </w:pPr>
            <w:r w:rsidRPr="006054EE">
              <w:rPr>
                <w:bCs/>
                <w:sz w:val="22"/>
                <w:szCs w:val="22"/>
              </w:rPr>
              <w:t>A large set of epigenetic information from a single organism.</w:t>
            </w:r>
          </w:p>
        </w:tc>
      </w:tr>
      <w:tr w:rsidR="006F7901" w:rsidRPr="00582928" w14:paraId="3532687C" w14:textId="77777777" w:rsidTr="00297B8B">
        <w:tc>
          <w:tcPr>
            <w:tcW w:w="2449" w:type="dxa"/>
          </w:tcPr>
          <w:p w14:paraId="50D30E5F" w14:textId="77777777" w:rsidR="006F7901" w:rsidRPr="006054EE" w:rsidRDefault="006F7901" w:rsidP="006F7901">
            <w:pPr>
              <w:spacing w:after="120"/>
              <w:rPr>
                <w:bCs/>
                <w:sz w:val="22"/>
                <w:szCs w:val="22"/>
              </w:rPr>
            </w:pPr>
            <w:r w:rsidRPr="006054EE">
              <w:rPr>
                <w:bCs/>
                <w:sz w:val="22"/>
                <w:szCs w:val="22"/>
              </w:rPr>
              <w:t>Gene drive systems</w:t>
            </w:r>
          </w:p>
        </w:tc>
        <w:tc>
          <w:tcPr>
            <w:tcW w:w="6391" w:type="dxa"/>
          </w:tcPr>
          <w:p w14:paraId="4BDB3FFB" w14:textId="77777777" w:rsidR="006F7901" w:rsidRPr="006054EE" w:rsidRDefault="006F7901" w:rsidP="006F7901">
            <w:pPr>
              <w:tabs>
                <w:tab w:val="left" w:pos="451"/>
              </w:tabs>
              <w:spacing w:after="120"/>
              <w:rPr>
                <w:bCs/>
                <w:sz w:val="22"/>
                <w:szCs w:val="22"/>
              </w:rPr>
            </w:pPr>
            <w:r w:rsidRPr="006054EE">
              <w:rPr>
                <w:bCs/>
                <w:sz w:val="22"/>
                <w:szCs w:val="22"/>
              </w:rPr>
              <w:t>Alleles that when they are heterozygous convert the alternative allele into another copy of the gene drive allele.</w:t>
            </w:r>
          </w:p>
        </w:tc>
      </w:tr>
      <w:tr w:rsidR="007C5876" w:rsidRPr="00582928" w14:paraId="2DF824DA" w14:textId="77777777" w:rsidTr="00297B8B">
        <w:tc>
          <w:tcPr>
            <w:tcW w:w="2449" w:type="dxa"/>
          </w:tcPr>
          <w:p w14:paraId="69DF30E4" w14:textId="77777777" w:rsidR="007C5876" w:rsidRPr="006054EE" w:rsidRDefault="007C5876" w:rsidP="006F7901">
            <w:pPr>
              <w:spacing w:after="120"/>
              <w:rPr>
                <w:bCs/>
                <w:sz w:val="22"/>
                <w:szCs w:val="22"/>
              </w:rPr>
            </w:pPr>
            <w:r>
              <w:rPr>
                <w:bCs/>
                <w:sz w:val="22"/>
                <w:szCs w:val="22"/>
              </w:rPr>
              <w:t>Gene silencing</w:t>
            </w:r>
          </w:p>
        </w:tc>
        <w:tc>
          <w:tcPr>
            <w:tcW w:w="6391" w:type="dxa"/>
          </w:tcPr>
          <w:p w14:paraId="32637E7C" w14:textId="77777777" w:rsidR="007C5876" w:rsidRPr="006054EE" w:rsidRDefault="00AD577C" w:rsidP="006F7901">
            <w:pPr>
              <w:tabs>
                <w:tab w:val="left" w:pos="451"/>
              </w:tabs>
              <w:spacing w:after="120"/>
              <w:rPr>
                <w:bCs/>
                <w:sz w:val="22"/>
                <w:szCs w:val="22"/>
              </w:rPr>
            </w:pPr>
            <w:r>
              <w:rPr>
                <w:bCs/>
                <w:sz w:val="22"/>
                <w:szCs w:val="22"/>
              </w:rPr>
              <w:t>RNA or DNA directed biochemical pathway that inhibits either transcription or translation.</w:t>
            </w:r>
          </w:p>
        </w:tc>
      </w:tr>
      <w:tr w:rsidR="006F7901" w:rsidRPr="00582928" w14:paraId="1EA590A5" w14:textId="77777777" w:rsidTr="00297B8B">
        <w:tc>
          <w:tcPr>
            <w:tcW w:w="2449" w:type="dxa"/>
          </w:tcPr>
          <w:p w14:paraId="23AA95D1" w14:textId="77777777" w:rsidR="006F7901" w:rsidRPr="006054EE" w:rsidRDefault="006F7901" w:rsidP="006F7901">
            <w:pPr>
              <w:spacing w:after="120"/>
              <w:rPr>
                <w:bCs/>
                <w:sz w:val="22"/>
                <w:szCs w:val="22"/>
              </w:rPr>
            </w:pPr>
            <w:r w:rsidRPr="006054EE">
              <w:rPr>
                <w:bCs/>
                <w:sz w:val="22"/>
                <w:szCs w:val="22"/>
              </w:rPr>
              <w:t xml:space="preserve">Genomic selection </w:t>
            </w:r>
          </w:p>
        </w:tc>
        <w:tc>
          <w:tcPr>
            <w:tcW w:w="6391" w:type="dxa"/>
          </w:tcPr>
          <w:p w14:paraId="62422580" w14:textId="77777777" w:rsidR="006F7901" w:rsidRPr="006054EE" w:rsidRDefault="006F7901" w:rsidP="006F7901">
            <w:pPr>
              <w:spacing w:after="120"/>
              <w:rPr>
                <w:bCs/>
                <w:sz w:val="22"/>
                <w:szCs w:val="22"/>
              </w:rPr>
            </w:pPr>
            <w:r w:rsidRPr="006054EE">
              <w:rPr>
                <w:bCs/>
                <w:sz w:val="22"/>
                <w:szCs w:val="22"/>
              </w:rPr>
              <w:t>The use of genetic markers that are spread throughout the genome to select individuals with desired predicted breeding values.</w:t>
            </w:r>
          </w:p>
        </w:tc>
      </w:tr>
      <w:tr w:rsidR="006F7901" w:rsidRPr="00582928" w14:paraId="4E9F015C" w14:textId="77777777" w:rsidTr="00297B8B">
        <w:tc>
          <w:tcPr>
            <w:tcW w:w="2449" w:type="dxa"/>
          </w:tcPr>
          <w:p w14:paraId="50AAC80E" w14:textId="77777777" w:rsidR="006F7901" w:rsidRPr="006054EE" w:rsidRDefault="006F7901" w:rsidP="006F7901">
            <w:pPr>
              <w:spacing w:after="120"/>
              <w:rPr>
                <w:bCs/>
                <w:sz w:val="22"/>
                <w:szCs w:val="22"/>
              </w:rPr>
            </w:pPr>
            <w:r w:rsidRPr="006054EE">
              <w:rPr>
                <w:bCs/>
                <w:sz w:val="22"/>
                <w:szCs w:val="22"/>
              </w:rPr>
              <w:t>Histone</w:t>
            </w:r>
          </w:p>
        </w:tc>
        <w:tc>
          <w:tcPr>
            <w:tcW w:w="6391" w:type="dxa"/>
          </w:tcPr>
          <w:p w14:paraId="42C9B12E" w14:textId="77777777" w:rsidR="006F7901" w:rsidRPr="006054EE" w:rsidRDefault="006F7901" w:rsidP="008C629A">
            <w:pPr>
              <w:spacing w:after="120"/>
              <w:rPr>
                <w:bCs/>
                <w:sz w:val="22"/>
                <w:szCs w:val="22"/>
              </w:rPr>
            </w:pPr>
            <w:r w:rsidRPr="006054EE">
              <w:rPr>
                <w:bCs/>
                <w:sz w:val="22"/>
                <w:szCs w:val="22"/>
              </w:rPr>
              <w:t xml:space="preserve">Any of a class of small basic proteins </w:t>
            </w:r>
            <w:r w:rsidR="008C629A">
              <w:rPr>
                <w:bCs/>
                <w:sz w:val="22"/>
                <w:szCs w:val="22"/>
              </w:rPr>
              <w:t>that</w:t>
            </w:r>
            <w:r w:rsidR="008C629A" w:rsidRPr="006054EE">
              <w:rPr>
                <w:bCs/>
                <w:sz w:val="22"/>
                <w:szCs w:val="22"/>
              </w:rPr>
              <w:t xml:space="preserve"> </w:t>
            </w:r>
            <w:r w:rsidRPr="006054EE">
              <w:rPr>
                <w:bCs/>
                <w:sz w:val="22"/>
                <w:szCs w:val="22"/>
              </w:rPr>
              <w:t>are found in association with DNA in chromatin, and play an important role in the regulation of gene activity.</w:t>
            </w:r>
          </w:p>
        </w:tc>
      </w:tr>
      <w:tr w:rsidR="006F7901" w:rsidRPr="00582928" w14:paraId="00FB01C8" w14:textId="77777777" w:rsidTr="00297B8B">
        <w:tc>
          <w:tcPr>
            <w:tcW w:w="2449" w:type="dxa"/>
          </w:tcPr>
          <w:p w14:paraId="4504037C" w14:textId="77777777" w:rsidR="006F7901" w:rsidRPr="006054EE" w:rsidRDefault="006F7901" w:rsidP="006F7901">
            <w:pPr>
              <w:spacing w:after="120"/>
              <w:rPr>
                <w:bCs/>
                <w:sz w:val="22"/>
                <w:szCs w:val="22"/>
              </w:rPr>
            </w:pPr>
            <w:r w:rsidRPr="006054EE">
              <w:rPr>
                <w:bCs/>
                <w:sz w:val="22"/>
                <w:szCs w:val="22"/>
              </w:rPr>
              <w:t>Histone modification</w:t>
            </w:r>
          </w:p>
        </w:tc>
        <w:tc>
          <w:tcPr>
            <w:tcW w:w="6391" w:type="dxa"/>
          </w:tcPr>
          <w:p w14:paraId="46067673" w14:textId="77777777" w:rsidR="006F7901" w:rsidRPr="006054EE" w:rsidRDefault="00F32344" w:rsidP="008C629A">
            <w:pPr>
              <w:spacing w:after="120"/>
              <w:rPr>
                <w:bCs/>
                <w:sz w:val="22"/>
                <w:szCs w:val="22"/>
              </w:rPr>
            </w:pPr>
            <w:r>
              <w:rPr>
                <w:bCs/>
                <w:sz w:val="22"/>
                <w:szCs w:val="22"/>
              </w:rPr>
              <w:t xml:space="preserve">A histone modification </w:t>
            </w:r>
            <w:r w:rsidR="006F7901" w:rsidRPr="006054EE">
              <w:rPr>
                <w:bCs/>
                <w:sz w:val="22"/>
                <w:szCs w:val="22"/>
              </w:rPr>
              <w:t>i</w:t>
            </w:r>
            <w:r>
              <w:rPr>
                <w:bCs/>
                <w:sz w:val="22"/>
                <w:szCs w:val="22"/>
              </w:rPr>
              <w:t xml:space="preserve">s a covalent post-translational modification to histone </w:t>
            </w:r>
            <w:r w:rsidR="006F7901" w:rsidRPr="006054EE">
              <w:rPr>
                <w:bCs/>
                <w:sz w:val="22"/>
                <w:szCs w:val="22"/>
              </w:rPr>
              <w:t xml:space="preserve">proteins </w:t>
            </w:r>
            <w:r w:rsidR="00945E7D">
              <w:rPr>
                <w:bCs/>
                <w:sz w:val="22"/>
                <w:szCs w:val="22"/>
              </w:rPr>
              <w:t>that</w:t>
            </w:r>
            <w:r w:rsidR="00945E7D" w:rsidRPr="006054EE">
              <w:rPr>
                <w:bCs/>
                <w:sz w:val="22"/>
                <w:szCs w:val="22"/>
              </w:rPr>
              <w:t xml:space="preserve"> </w:t>
            </w:r>
            <w:r w:rsidR="006F7901" w:rsidRPr="006054EE">
              <w:rPr>
                <w:bCs/>
                <w:sz w:val="22"/>
                <w:szCs w:val="22"/>
              </w:rPr>
              <w:t>includes methylation, phosphorylation, acetylation, ubiquitylation and sumoylation.</w:t>
            </w:r>
          </w:p>
        </w:tc>
      </w:tr>
      <w:tr w:rsidR="006F7901" w:rsidRPr="00582928" w14:paraId="0BF8AF7A" w14:textId="77777777" w:rsidTr="00297B8B">
        <w:tc>
          <w:tcPr>
            <w:tcW w:w="2449" w:type="dxa"/>
          </w:tcPr>
          <w:p w14:paraId="38800DA1" w14:textId="77777777" w:rsidR="006F7901" w:rsidRPr="006054EE" w:rsidRDefault="006F7901" w:rsidP="006F7901">
            <w:pPr>
              <w:spacing w:after="120"/>
              <w:rPr>
                <w:bCs/>
                <w:sz w:val="22"/>
                <w:szCs w:val="22"/>
              </w:rPr>
            </w:pPr>
            <w:r w:rsidRPr="006054EE">
              <w:rPr>
                <w:bCs/>
                <w:sz w:val="22"/>
                <w:szCs w:val="22"/>
              </w:rPr>
              <w:t>Landscape genomics</w:t>
            </w:r>
          </w:p>
        </w:tc>
        <w:tc>
          <w:tcPr>
            <w:tcW w:w="6391" w:type="dxa"/>
          </w:tcPr>
          <w:p w14:paraId="2397A744" w14:textId="77777777" w:rsidR="006F7901" w:rsidRPr="006054EE" w:rsidRDefault="006F7901" w:rsidP="006F7901">
            <w:pPr>
              <w:spacing w:after="120"/>
              <w:rPr>
                <w:bCs/>
                <w:sz w:val="22"/>
                <w:szCs w:val="22"/>
              </w:rPr>
            </w:pPr>
            <w:r w:rsidRPr="006054EE">
              <w:rPr>
                <w:bCs/>
                <w:sz w:val="22"/>
                <w:szCs w:val="22"/>
              </w:rPr>
              <w:t>The study of genomes and their changes as a function of geography.</w:t>
            </w:r>
          </w:p>
        </w:tc>
      </w:tr>
      <w:tr w:rsidR="00C03F0D" w:rsidRPr="00582928" w14:paraId="7A48FEE3" w14:textId="77777777" w:rsidTr="00297B8B">
        <w:tc>
          <w:tcPr>
            <w:tcW w:w="2449" w:type="dxa"/>
          </w:tcPr>
          <w:p w14:paraId="5E7091A4" w14:textId="77777777" w:rsidR="00C03F0D" w:rsidRPr="006054EE" w:rsidRDefault="00C03F0D" w:rsidP="006F7901">
            <w:pPr>
              <w:spacing w:after="120"/>
              <w:rPr>
                <w:bCs/>
                <w:sz w:val="22"/>
                <w:szCs w:val="22"/>
              </w:rPr>
            </w:pPr>
            <w:r>
              <w:rPr>
                <w:bCs/>
                <w:sz w:val="22"/>
                <w:szCs w:val="22"/>
              </w:rPr>
              <w:t>Material</w:t>
            </w:r>
          </w:p>
        </w:tc>
        <w:tc>
          <w:tcPr>
            <w:tcW w:w="6391" w:type="dxa"/>
          </w:tcPr>
          <w:p w14:paraId="1F9034DE" w14:textId="77777777" w:rsidR="00C03F0D" w:rsidRPr="006054EE" w:rsidRDefault="00C03F0D" w:rsidP="006F7901">
            <w:pPr>
              <w:spacing w:after="120"/>
              <w:rPr>
                <w:bCs/>
                <w:sz w:val="22"/>
                <w:szCs w:val="22"/>
              </w:rPr>
            </w:pPr>
            <w:r>
              <w:rPr>
                <w:bCs/>
                <w:sz w:val="22"/>
                <w:szCs w:val="22"/>
              </w:rPr>
              <w:t>In the context of this report it is physical/chemical, connected to the laws of physics.</w:t>
            </w:r>
          </w:p>
        </w:tc>
      </w:tr>
      <w:tr w:rsidR="006F7901" w:rsidRPr="00582928" w14:paraId="0E49A60E" w14:textId="77777777" w:rsidTr="00297B8B">
        <w:tc>
          <w:tcPr>
            <w:tcW w:w="2449" w:type="dxa"/>
          </w:tcPr>
          <w:p w14:paraId="5D674D4A" w14:textId="77777777" w:rsidR="006F7901" w:rsidRPr="006054EE" w:rsidRDefault="006F7901" w:rsidP="006F7901">
            <w:pPr>
              <w:spacing w:after="120"/>
              <w:rPr>
                <w:bCs/>
                <w:sz w:val="22"/>
                <w:szCs w:val="22"/>
              </w:rPr>
            </w:pPr>
            <w:r w:rsidRPr="006054EE">
              <w:rPr>
                <w:bCs/>
                <w:sz w:val="22"/>
                <w:szCs w:val="22"/>
              </w:rPr>
              <w:t>Metabolomics</w:t>
            </w:r>
          </w:p>
        </w:tc>
        <w:tc>
          <w:tcPr>
            <w:tcW w:w="6391" w:type="dxa"/>
          </w:tcPr>
          <w:p w14:paraId="5F0CEF6A" w14:textId="77777777" w:rsidR="006F7901" w:rsidRPr="006054EE" w:rsidRDefault="006F7901" w:rsidP="006F7901">
            <w:pPr>
              <w:spacing w:after="120"/>
              <w:rPr>
                <w:bCs/>
                <w:sz w:val="22"/>
                <w:szCs w:val="22"/>
              </w:rPr>
            </w:pPr>
            <w:r w:rsidRPr="006054EE">
              <w:rPr>
                <w:bCs/>
                <w:sz w:val="22"/>
                <w:szCs w:val="22"/>
              </w:rPr>
              <w:t>A large set of information about metabolic intermediaries in an organism.</w:t>
            </w:r>
          </w:p>
        </w:tc>
      </w:tr>
      <w:tr w:rsidR="007C5876" w:rsidRPr="00582928" w14:paraId="2B0E0E2A" w14:textId="77777777" w:rsidTr="00297B8B">
        <w:tc>
          <w:tcPr>
            <w:tcW w:w="2449" w:type="dxa"/>
          </w:tcPr>
          <w:p w14:paraId="3A7413D2" w14:textId="77777777" w:rsidR="007C5876" w:rsidRPr="006054EE" w:rsidRDefault="007C5876" w:rsidP="006F7901">
            <w:pPr>
              <w:spacing w:after="120"/>
              <w:rPr>
                <w:bCs/>
                <w:sz w:val="22"/>
                <w:szCs w:val="22"/>
              </w:rPr>
            </w:pPr>
            <w:r>
              <w:rPr>
                <w:bCs/>
                <w:sz w:val="22"/>
                <w:szCs w:val="22"/>
              </w:rPr>
              <w:t>Metagenomics</w:t>
            </w:r>
          </w:p>
        </w:tc>
        <w:tc>
          <w:tcPr>
            <w:tcW w:w="6391" w:type="dxa"/>
          </w:tcPr>
          <w:p w14:paraId="122923A0" w14:textId="77777777" w:rsidR="00AD577C" w:rsidRPr="00AD577C" w:rsidRDefault="00AD577C" w:rsidP="00AD577C">
            <w:pPr>
              <w:spacing w:after="120"/>
              <w:rPr>
                <w:bCs/>
                <w:sz w:val="22"/>
                <w:szCs w:val="22"/>
                <w:lang w:val="mi-NZ"/>
              </w:rPr>
            </w:pPr>
            <w:r>
              <w:rPr>
                <w:bCs/>
                <w:sz w:val="22"/>
                <w:szCs w:val="22"/>
                <w:lang w:val="mi-NZ"/>
              </w:rPr>
              <w:t>T</w:t>
            </w:r>
            <w:r w:rsidRPr="00AD577C">
              <w:rPr>
                <w:bCs/>
                <w:sz w:val="22"/>
                <w:szCs w:val="22"/>
                <w:lang w:val="mi-NZ"/>
              </w:rPr>
              <w:t>he</w:t>
            </w:r>
            <w:r>
              <w:rPr>
                <w:bCs/>
                <w:sz w:val="22"/>
                <w:szCs w:val="22"/>
                <w:lang w:val="mi-NZ"/>
              </w:rPr>
              <w:t xml:space="preserve"> </w:t>
            </w:r>
            <w:r w:rsidRPr="00AD577C">
              <w:rPr>
                <w:bCs/>
                <w:sz w:val="22"/>
                <w:szCs w:val="22"/>
                <w:lang w:val="mi-NZ"/>
              </w:rPr>
              <w:t>culture-independent ge</w:t>
            </w:r>
            <w:r w:rsidR="007604FC">
              <w:rPr>
                <w:bCs/>
                <w:sz w:val="22"/>
                <w:szCs w:val="22"/>
                <w:lang w:val="mi-NZ"/>
              </w:rPr>
              <w:t>nomic analysis of all the micro</w:t>
            </w:r>
            <w:r w:rsidRPr="00AD577C">
              <w:rPr>
                <w:bCs/>
                <w:sz w:val="22"/>
                <w:szCs w:val="22"/>
                <w:lang w:val="mi-NZ"/>
              </w:rPr>
              <w:t>organisms in a particular</w:t>
            </w:r>
            <w:r>
              <w:rPr>
                <w:bCs/>
                <w:sz w:val="22"/>
                <w:szCs w:val="22"/>
                <w:lang w:val="mi-NZ"/>
              </w:rPr>
              <w:t xml:space="preserve"> </w:t>
            </w:r>
            <w:r w:rsidRPr="00AD577C">
              <w:rPr>
                <w:bCs/>
                <w:sz w:val="22"/>
                <w:szCs w:val="22"/>
                <w:lang w:val="mi-NZ"/>
              </w:rPr>
              <w:t>environment</w:t>
            </w:r>
            <w:r>
              <w:rPr>
                <w:bCs/>
                <w:sz w:val="22"/>
                <w:szCs w:val="22"/>
                <w:lang w:val="mi-NZ"/>
              </w:rPr>
              <w:t>al sample.</w:t>
            </w:r>
          </w:p>
          <w:p w14:paraId="4F487DC7" w14:textId="77777777" w:rsidR="007C5876" w:rsidRPr="006054EE" w:rsidRDefault="007C5876" w:rsidP="006F7901">
            <w:pPr>
              <w:spacing w:after="120"/>
              <w:rPr>
                <w:bCs/>
                <w:sz w:val="22"/>
                <w:szCs w:val="22"/>
              </w:rPr>
            </w:pPr>
          </w:p>
        </w:tc>
      </w:tr>
      <w:tr w:rsidR="006F7901" w:rsidRPr="00582928" w14:paraId="7E431267" w14:textId="77777777" w:rsidTr="00297B8B">
        <w:tc>
          <w:tcPr>
            <w:tcW w:w="2449" w:type="dxa"/>
          </w:tcPr>
          <w:p w14:paraId="5542370D" w14:textId="77777777" w:rsidR="006F7901" w:rsidRPr="006054EE" w:rsidRDefault="006F7901" w:rsidP="006F7901">
            <w:pPr>
              <w:spacing w:after="120"/>
              <w:rPr>
                <w:bCs/>
                <w:sz w:val="22"/>
                <w:szCs w:val="22"/>
              </w:rPr>
            </w:pPr>
            <w:r w:rsidRPr="006054EE">
              <w:rPr>
                <w:bCs/>
                <w:sz w:val="22"/>
                <w:szCs w:val="22"/>
              </w:rPr>
              <w:t>Metadata</w:t>
            </w:r>
          </w:p>
        </w:tc>
        <w:tc>
          <w:tcPr>
            <w:tcW w:w="6391" w:type="dxa"/>
          </w:tcPr>
          <w:p w14:paraId="6846C6BC" w14:textId="77777777" w:rsidR="006F7901" w:rsidRPr="006054EE" w:rsidRDefault="006F7901" w:rsidP="006F7901">
            <w:pPr>
              <w:spacing w:after="120"/>
              <w:rPr>
                <w:bCs/>
                <w:sz w:val="22"/>
                <w:szCs w:val="22"/>
              </w:rPr>
            </w:pPr>
            <w:r w:rsidRPr="006054EE">
              <w:rPr>
                <w:bCs/>
                <w:sz w:val="22"/>
                <w:szCs w:val="22"/>
              </w:rPr>
              <w:t xml:space="preserve">Data about other data. </w:t>
            </w:r>
          </w:p>
        </w:tc>
      </w:tr>
      <w:tr w:rsidR="000C41D0" w:rsidRPr="00582928" w14:paraId="2D84AA05" w14:textId="77777777" w:rsidTr="00297B8B">
        <w:tc>
          <w:tcPr>
            <w:tcW w:w="2449" w:type="dxa"/>
          </w:tcPr>
          <w:p w14:paraId="6E260023" w14:textId="77777777" w:rsidR="000C41D0" w:rsidRPr="006054EE" w:rsidRDefault="000C41D0" w:rsidP="006F7901">
            <w:pPr>
              <w:spacing w:after="120"/>
              <w:rPr>
                <w:bCs/>
                <w:sz w:val="22"/>
                <w:szCs w:val="22"/>
              </w:rPr>
            </w:pPr>
            <w:r>
              <w:rPr>
                <w:bCs/>
                <w:sz w:val="22"/>
                <w:szCs w:val="22"/>
              </w:rPr>
              <w:lastRenderedPageBreak/>
              <w:t>Molecular markers</w:t>
            </w:r>
          </w:p>
        </w:tc>
        <w:tc>
          <w:tcPr>
            <w:tcW w:w="6391" w:type="dxa"/>
          </w:tcPr>
          <w:p w14:paraId="42E02F55" w14:textId="77777777" w:rsidR="000C41D0" w:rsidRPr="006054EE" w:rsidRDefault="000C41D0" w:rsidP="000C41D0">
            <w:pPr>
              <w:spacing w:after="120"/>
              <w:rPr>
                <w:bCs/>
                <w:sz w:val="22"/>
                <w:szCs w:val="22"/>
              </w:rPr>
            </w:pPr>
            <w:r>
              <w:rPr>
                <w:bCs/>
                <w:sz w:val="22"/>
                <w:szCs w:val="22"/>
              </w:rPr>
              <w:t xml:space="preserve">DNA sequences mapped to locations in a genome usually used to distinguish between variants of genes. Molecular markers historically have also included isozymes. </w:t>
            </w:r>
          </w:p>
        </w:tc>
      </w:tr>
      <w:tr w:rsidR="003F50DC" w:rsidRPr="00582928" w14:paraId="6E358D01" w14:textId="77777777" w:rsidTr="00297B8B">
        <w:tc>
          <w:tcPr>
            <w:tcW w:w="2449" w:type="dxa"/>
          </w:tcPr>
          <w:p w14:paraId="557B48FF" w14:textId="77777777" w:rsidR="003F50DC" w:rsidRDefault="003F50DC" w:rsidP="006F7901">
            <w:pPr>
              <w:spacing w:after="120"/>
              <w:rPr>
                <w:bCs/>
                <w:sz w:val="22"/>
                <w:szCs w:val="22"/>
              </w:rPr>
            </w:pPr>
            <w:r>
              <w:rPr>
                <w:bCs/>
                <w:sz w:val="22"/>
                <w:szCs w:val="22"/>
              </w:rPr>
              <w:t>N</w:t>
            </w:r>
            <w:r w:rsidRPr="002725D9">
              <w:rPr>
                <w:bCs/>
                <w:sz w:val="20"/>
                <w:szCs w:val="22"/>
                <w:vertAlign w:val="subscript"/>
              </w:rPr>
              <w:t>e</w:t>
            </w:r>
          </w:p>
        </w:tc>
        <w:tc>
          <w:tcPr>
            <w:tcW w:w="6391" w:type="dxa"/>
          </w:tcPr>
          <w:p w14:paraId="75AC4DE7" w14:textId="77777777" w:rsidR="003F50DC" w:rsidRDefault="003F50DC" w:rsidP="00943057">
            <w:pPr>
              <w:spacing w:after="120"/>
              <w:rPr>
                <w:bCs/>
                <w:sz w:val="22"/>
                <w:szCs w:val="22"/>
              </w:rPr>
            </w:pPr>
            <w:r>
              <w:rPr>
                <w:bCs/>
                <w:sz w:val="22"/>
                <w:szCs w:val="22"/>
              </w:rPr>
              <w:t>Effective population size. It is the number of individuals in a hypothetical population that would</w:t>
            </w:r>
            <w:r w:rsidR="00943057">
              <w:rPr>
                <w:bCs/>
                <w:sz w:val="22"/>
                <w:szCs w:val="22"/>
              </w:rPr>
              <w:t xml:space="preserve"> </w:t>
            </w:r>
            <w:r w:rsidR="00943057" w:rsidRPr="00943057">
              <w:rPr>
                <w:bCs/>
                <w:sz w:val="22"/>
                <w:szCs w:val="22"/>
                <w:lang w:val="en-US"/>
              </w:rPr>
              <w:t>match the inbreeding rate (or loss of heterozygosity)</w:t>
            </w:r>
            <w:r>
              <w:rPr>
                <w:bCs/>
                <w:sz w:val="22"/>
                <w:szCs w:val="22"/>
              </w:rPr>
              <w:t xml:space="preserve"> or the same amount of genetic drift as in a real population.</w:t>
            </w:r>
          </w:p>
        </w:tc>
      </w:tr>
      <w:tr w:rsidR="006F7901" w:rsidRPr="00582928" w14:paraId="209AFBB4" w14:textId="77777777" w:rsidTr="00297B8B">
        <w:tc>
          <w:tcPr>
            <w:tcW w:w="2449" w:type="dxa"/>
          </w:tcPr>
          <w:p w14:paraId="176F4365" w14:textId="77777777" w:rsidR="006F7901" w:rsidRPr="006054EE" w:rsidRDefault="00F32344" w:rsidP="006F7901">
            <w:pPr>
              <w:spacing w:after="120"/>
              <w:rPr>
                <w:bCs/>
                <w:sz w:val="22"/>
                <w:szCs w:val="22"/>
              </w:rPr>
            </w:pPr>
            <w:r>
              <w:rPr>
                <w:bCs/>
                <w:sz w:val="22"/>
                <w:szCs w:val="22"/>
              </w:rPr>
              <w:t>omics</w:t>
            </w:r>
          </w:p>
        </w:tc>
        <w:tc>
          <w:tcPr>
            <w:tcW w:w="6391" w:type="dxa"/>
          </w:tcPr>
          <w:p w14:paraId="2279400D" w14:textId="77777777" w:rsidR="006F7901" w:rsidRPr="006054EE" w:rsidRDefault="006F7901" w:rsidP="006F7901">
            <w:pPr>
              <w:spacing w:after="120"/>
              <w:rPr>
                <w:bCs/>
                <w:sz w:val="22"/>
                <w:szCs w:val="22"/>
              </w:rPr>
            </w:pPr>
            <w:r w:rsidRPr="006054EE">
              <w:rPr>
                <w:bCs/>
                <w:sz w:val="22"/>
                <w:szCs w:val="22"/>
              </w:rPr>
              <w:t>Refers to genomics, transcriptomics, proteomics, metabolomics and so on.</w:t>
            </w:r>
          </w:p>
        </w:tc>
      </w:tr>
      <w:tr w:rsidR="006F7901" w:rsidRPr="00582928" w14:paraId="4FA27CCA" w14:textId="77777777" w:rsidTr="00297B8B">
        <w:tc>
          <w:tcPr>
            <w:tcW w:w="2449" w:type="dxa"/>
          </w:tcPr>
          <w:p w14:paraId="74B6FF14" w14:textId="77777777" w:rsidR="006F7901" w:rsidRPr="006054EE" w:rsidRDefault="006F7901" w:rsidP="006F7901">
            <w:pPr>
              <w:spacing w:after="120"/>
              <w:rPr>
                <w:bCs/>
                <w:sz w:val="22"/>
                <w:szCs w:val="22"/>
              </w:rPr>
            </w:pPr>
            <w:r w:rsidRPr="006054EE">
              <w:rPr>
                <w:bCs/>
                <w:sz w:val="22"/>
                <w:szCs w:val="22"/>
              </w:rPr>
              <w:t>Phenomics</w:t>
            </w:r>
          </w:p>
        </w:tc>
        <w:tc>
          <w:tcPr>
            <w:tcW w:w="6391" w:type="dxa"/>
          </w:tcPr>
          <w:p w14:paraId="2B64A88A" w14:textId="77777777" w:rsidR="006F7901" w:rsidRPr="006054EE" w:rsidRDefault="006F7901" w:rsidP="006F7901">
            <w:pPr>
              <w:spacing w:after="120"/>
              <w:rPr>
                <w:bCs/>
                <w:sz w:val="22"/>
                <w:szCs w:val="22"/>
              </w:rPr>
            </w:pPr>
            <w:r w:rsidRPr="006054EE">
              <w:rPr>
                <w:sz w:val="22"/>
                <w:szCs w:val="22"/>
                <w:lang w:val="mi-NZ"/>
              </w:rPr>
              <w:t>The use of large</w:t>
            </w:r>
            <w:r w:rsidR="008C629A">
              <w:rPr>
                <w:sz w:val="22"/>
                <w:szCs w:val="22"/>
                <w:lang w:val="mi-NZ"/>
              </w:rPr>
              <w:t>-</w:t>
            </w:r>
            <w:r w:rsidRPr="006054EE">
              <w:rPr>
                <w:sz w:val="22"/>
                <w:szCs w:val="22"/>
                <w:lang w:val="mi-NZ"/>
              </w:rPr>
              <w:t>scale approaches to study how genetic instructions from a single gene or the whole genome translate into the full set of phenotypic traits of an organism.</w:t>
            </w:r>
          </w:p>
        </w:tc>
      </w:tr>
      <w:tr w:rsidR="006F7901" w:rsidRPr="00582928" w14:paraId="6EBF5F8D" w14:textId="77777777" w:rsidTr="00297B8B">
        <w:tc>
          <w:tcPr>
            <w:tcW w:w="2449" w:type="dxa"/>
          </w:tcPr>
          <w:p w14:paraId="279A363D" w14:textId="77777777" w:rsidR="006F7901" w:rsidRPr="006054EE" w:rsidRDefault="006F7901" w:rsidP="006F7901">
            <w:pPr>
              <w:spacing w:after="120"/>
              <w:rPr>
                <w:bCs/>
                <w:sz w:val="22"/>
                <w:szCs w:val="22"/>
              </w:rPr>
            </w:pPr>
            <w:r w:rsidRPr="006054EE">
              <w:rPr>
                <w:bCs/>
                <w:sz w:val="22"/>
                <w:szCs w:val="22"/>
              </w:rPr>
              <w:t>Prion</w:t>
            </w:r>
          </w:p>
        </w:tc>
        <w:tc>
          <w:tcPr>
            <w:tcW w:w="6391" w:type="dxa"/>
          </w:tcPr>
          <w:p w14:paraId="621F885E" w14:textId="77777777" w:rsidR="006F7901" w:rsidRPr="006054EE" w:rsidRDefault="006F7901" w:rsidP="006F7901">
            <w:pPr>
              <w:spacing w:after="120"/>
              <w:rPr>
                <w:bCs/>
                <w:sz w:val="22"/>
                <w:szCs w:val="22"/>
              </w:rPr>
            </w:pPr>
            <w:r w:rsidRPr="006054EE">
              <w:rPr>
                <w:bCs/>
                <w:sz w:val="22"/>
                <w:szCs w:val="22"/>
              </w:rPr>
              <w:t>A protein with alternative conformations where one conformation is contagious.</w:t>
            </w:r>
          </w:p>
        </w:tc>
      </w:tr>
      <w:tr w:rsidR="006F7901" w:rsidRPr="00582928" w14:paraId="2B4D1FE5" w14:textId="77777777" w:rsidTr="00297B8B">
        <w:tc>
          <w:tcPr>
            <w:tcW w:w="2449" w:type="dxa"/>
          </w:tcPr>
          <w:p w14:paraId="3EC1A985" w14:textId="77777777" w:rsidR="006F7901" w:rsidRPr="006054EE" w:rsidRDefault="006F7901" w:rsidP="006F7901">
            <w:pPr>
              <w:spacing w:after="120"/>
              <w:rPr>
                <w:bCs/>
                <w:sz w:val="22"/>
                <w:szCs w:val="22"/>
              </w:rPr>
            </w:pPr>
            <w:r w:rsidRPr="006054EE">
              <w:rPr>
                <w:bCs/>
                <w:sz w:val="22"/>
                <w:szCs w:val="22"/>
              </w:rPr>
              <w:t>Proteomics</w:t>
            </w:r>
          </w:p>
        </w:tc>
        <w:tc>
          <w:tcPr>
            <w:tcW w:w="6391" w:type="dxa"/>
          </w:tcPr>
          <w:p w14:paraId="2691328D" w14:textId="77777777" w:rsidR="006F7901" w:rsidRPr="006054EE" w:rsidRDefault="006F7901" w:rsidP="006F7901">
            <w:pPr>
              <w:spacing w:after="120"/>
              <w:rPr>
                <w:bCs/>
                <w:sz w:val="22"/>
                <w:szCs w:val="22"/>
              </w:rPr>
            </w:pPr>
            <w:r w:rsidRPr="006054EE">
              <w:rPr>
                <w:bCs/>
                <w:sz w:val="22"/>
                <w:szCs w:val="22"/>
              </w:rPr>
              <w:t>A large set of information about the proteins in an organism.</w:t>
            </w:r>
          </w:p>
        </w:tc>
      </w:tr>
      <w:tr w:rsidR="006F7901" w:rsidRPr="00582928" w14:paraId="5C41D6EC" w14:textId="77777777" w:rsidTr="00297B8B">
        <w:tc>
          <w:tcPr>
            <w:tcW w:w="2449" w:type="dxa"/>
          </w:tcPr>
          <w:p w14:paraId="48CD5168" w14:textId="77777777" w:rsidR="006F7901" w:rsidRPr="006054EE" w:rsidRDefault="006F7901" w:rsidP="006F7901">
            <w:pPr>
              <w:spacing w:after="120"/>
              <w:rPr>
                <w:bCs/>
                <w:sz w:val="22"/>
                <w:szCs w:val="22"/>
              </w:rPr>
            </w:pPr>
            <w:r w:rsidRPr="006054EE">
              <w:rPr>
                <w:bCs/>
                <w:sz w:val="22"/>
                <w:szCs w:val="22"/>
              </w:rPr>
              <w:t>Quantitative trait loci (QTL)</w:t>
            </w:r>
          </w:p>
        </w:tc>
        <w:tc>
          <w:tcPr>
            <w:tcW w:w="6391" w:type="dxa"/>
          </w:tcPr>
          <w:p w14:paraId="07B8EBFC" w14:textId="77777777" w:rsidR="006F7901" w:rsidRPr="006054EE" w:rsidRDefault="006F7901" w:rsidP="006F7901">
            <w:pPr>
              <w:spacing w:after="120"/>
              <w:rPr>
                <w:bCs/>
                <w:sz w:val="22"/>
                <w:szCs w:val="22"/>
              </w:rPr>
            </w:pPr>
            <w:r w:rsidRPr="006054EE">
              <w:rPr>
                <w:bCs/>
                <w:sz w:val="22"/>
                <w:szCs w:val="22"/>
              </w:rPr>
              <w:t>Some traits can vary continuously in a population, for example the size of individuals. These traits are influenced by many different genes, also called genetic loci, with the allelic state of each gene contributing a small amount.</w:t>
            </w:r>
          </w:p>
        </w:tc>
      </w:tr>
      <w:tr w:rsidR="00EC26EB" w:rsidRPr="00582928" w14:paraId="6930DC26" w14:textId="77777777" w:rsidTr="00297B8B">
        <w:tc>
          <w:tcPr>
            <w:tcW w:w="2449" w:type="dxa"/>
          </w:tcPr>
          <w:p w14:paraId="64DEF44C" w14:textId="77777777" w:rsidR="00EC26EB" w:rsidRPr="006054EE" w:rsidRDefault="00EC26EB" w:rsidP="006F7901">
            <w:pPr>
              <w:spacing w:after="120"/>
              <w:rPr>
                <w:bCs/>
                <w:sz w:val="22"/>
                <w:szCs w:val="22"/>
              </w:rPr>
            </w:pPr>
            <w:r>
              <w:rPr>
                <w:bCs/>
                <w:sz w:val="22"/>
                <w:szCs w:val="22"/>
              </w:rPr>
              <w:t>Synthetic biology</w:t>
            </w:r>
          </w:p>
        </w:tc>
        <w:tc>
          <w:tcPr>
            <w:tcW w:w="6391" w:type="dxa"/>
          </w:tcPr>
          <w:p w14:paraId="584EFC46" w14:textId="77777777" w:rsidR="00EC26EB" w:rsidRPr="006054EE" w:rsidRDefault="00EC26EB" w:rsidP="00EC26EB">
            <w:pPr>
              <w:spacing w:after="120"/>
              <w:rPr>
                <w:bCs/>
                <w:sz w:val="22"/>
                <w:szCs w:val="22"/>
              </w:rPr>
            </w:pPr>
            <w:r>
              <w:rPr>
                <w:bCs/>
                <w:sz w:val="22"/>
                <w:szCs w:val="22"/>
                <w:lang w:val="en-US"/>
              </w:rPr>
              <w:t xml:space="preserve">As defined by </w:t>
            </w:r>
            <w:r w:rsidRPr="00EC26EB">
              <w:rPr>
                <w:bCs/>
                <w:sz w:val="22"/>
                <w:szCs w:val="22"/>
                <w:lang w:val="en-US"/>
              </w:rPr>
              <w:t>the Scientific Committees of the European Commission</w:t>
            </w:r>
            <w:r>
              <w:rPr>
                <w:bCs/>
                <w:sz w:val="22"/>
                <w:szCs w:val="22"/>
                <w:lang w:val="en-US"/>
              </w:rPr>
              <w:t xml:space="preserve"> it is the</w:t>
            </w:r>
            <w:r w:rsidRPr="00EC26EB">
              <w:rPr>
                <w:bCs/>
                <w:sz w:val="22"/>
                <w:szCs w:val="22"/>
                <w:lang w:val="en-US"/>
              </w:rPr>
              <w:t xml:space="preserve"> application of science, technology and engineering to facilitate and accelerate the design, manufacture and/or modification of geneti</w:t>
            </w:r>
            <w:r>
              <w:rPr>
                <w:bCs/>
                <w:sz w:val="22"/>
                <w:szCs w:val="22"/>
                <w:lang w:val="en-US"/>
              </w:rPr>
              <w:t>c materials in living organisms</w:t>
            </w:r>
            <w:r w:rsidRPr="00EC26EB">
              <w:rPr>
                <w:bCs/>
                <w:sz w:val="22"/>
                <w:szCs w:val="22"/>
                <w:lang w:val="en-US"/>
              </w:rPr>
              <w:t>.</w:t>
            </w:r>
          </w:p>
        </w:tc>
      </w:tr>
      <w:tr w:rsidR="006F7901" w:rsidRPr="00582928" w14:paraId="6A3CD0AF" w14:textId="77777777" w:rsidTr="00297B8B">
        <w:tc>
          <w:tcPr>
            <w:tcW w:w="2449" w:type="dxa"/>
          </w:tcPr>
          <w:p w14:paraId="127A8C07" w14:textId="77777777" w:rsidR="006F7901" w:rsidRPr="006054EE" w:rsidRDefault="006F7901" w:rsidP="006F7901">
            <w:pPr>
              <w:spacing w:after="120"/>
              <w:rPr>
                <w:bCs/>
                <w:sz w:val="22"/>
                <w:szCs w:val="22"/>
              </w:rPr>
            </w:pPr>
            <w:r w:rsidRPr="006054EE">
              <w:rPr>
                <w:bCs/>
                <w:sz w:val="22"/>
                <w:szCs w:val="22"/>
              </w:rPr>
              <w:t>Transcriptomics</w:t>
            </w:r>
          </w:p>
        </w:tc>
        <w:tc>
          <w:tcPr>
            <w:tcW w:w="6391" w:type="dxa"/>
          </w:tcPr>
          <w:p w14:paraId="025AA371" w14:textId="77777777" w:rsidR="006F7901" w:rsidRPr="006054EE" w:rsidRDefault="006F7901" w:rsidP="006F7901">
            <w:pPr>
              <w:spacing w:after="120"/>
              <w:rPr>
                <w:bCs/>
                <w:sz w:val="22"/>
                <w:szCs w:val="22"/>
              </w:rPr>
            </w:pPr>
            <w:r w:rsidRPr="006054EE">
              <w:rPr>
                <w:bCs/>
                <w:sz w:val="22"/>
                <w:szCs w:val="22"/>
              </w:rPr>
              <w:t>A large set of all RNA in an organism whose informational content originated in a DNA sequence.</w:t>
            </w:r>
          </w:p>
        </w:tc>
      </w:tr>
      <w:tr w:rsidR="006F7901" w:rsidRPr="00582928" w14:paraId="0FD9739C" w14:textId="77777777" w:rsidTr="00297B8B">
        <w:tc>
          <w:tcPr>
            <w:tcW w:w="2449" w:type="dxa"/>
          </w:tcPr>
          <w:p w14:paraId="3A1EB0FA" w14:textId="77777777" w:rsidR="006F7901" w:rsidRPr="006054EE" w:rsidRDefault="006F7901" w:rsidP="006F7901">
            <w:pPr>
              <w:spacing w:after="120"/>
              <w:rPr>
                <w:bCs/>
                <w:sz w:val="22"/>
                <w:szCs w:val="22"/>
              </w:rPr>
            </w:pPr>
            <w:r w:rsidRPr="006054EE">
              <w:rPr>
                <w:bCs/>
                <w:sz w:val="22"/>
                <w:szCs w:val="22"/>
              </w:rPr>
              <w:t>Traits</w:t>
            </w:r>
          </w:p>
        </w:tc>
        <w:tc>
          <w:tcPr>
            <w:tcW w:w="6391" w:type="dxa"/>
          </w:tcPr>
          <w:p w14:paraId="46784AC6" w14:textId="77777777" w:rsidR="006F7901" w:rsidRPr="006054EE" w:rsidRDefault="006F7901" w:rsidP="006F7901">
            <w:pPr>
              <w:spacing w:after="120"/>
              <w:rPr>
                <w:bCs/>
                <w:sz w:val="22"/>
                <w:szCs w:val="22"/>
              </w:rPr>
            </w:pPr>
            <w:r w:rsidRPr="006054EE">
              <w:rPr>
                <w:bCs/>
                <w:sz w:val="22"/>
                <w:szCs w:val="22"/>
              </w:rPr>
              <w:t>Any measurable aspect of an organism, including morphological, biochemical and molecular properties.</w:t>
            </w:r>
          </w:p>
        </w:tc>
      </w:tr>
    </w:tbl>
    <w:p w14:paraId="2434EDCF" w14:textId="77777777" w:rsidR="006F7901" w:rsidRPr="00582928" w:rsidRDefault="006F7901" w:rsidP="006F7901">
      <w:pPr>
        <w:pStyle w:val="TableEntry"/>
        <w:spacing w:before="120" w:after="120"/>
        <w:rPr>
          <w:rStyle w:val="z-DSTbox"/>
          <w:b/>
          <w:bCs/>
          <w:caps/>
        </w:rPr>
      </w:pPr>
    </w:p>
    <w:p w14:paraId="1D93D247" w14:textId="77777777" w:rsidR="006F7901" w:rsidRPr="00582928" w:rsidRDefault="006F7901" w:rsidP="006F7901">
      <w:pPr>
        <w:pStyle w:val="TableEntry"/>
        <w:spacing w:beforeLines="60" w:before="144" w:after="120"/>
      </w:pPr>
    </w:p>
    <w:p w14:paraId="4AF6AA7C" w14:textId="77777777" w:rsidR="00747A44" w:rsidRDefault="00747A44">
      <w:pPr>
        <w:pStyle w:val="TableEntry"/>
        <w:spacing w:beforeLines="60" w:before="144" w:after="120"/>
      </w:pPr>
    </w:p>
    <w:p w14:paraId="73F735D4" w14:textId="77777777" w:rsidR="004F0757" w:rsidRDefault="004F0757">
      <w:pPr>
        <w:pStyle w:val="TableEntry"/>
        <w:spacing w:beforeLines="60" w:before="144" w:after="120"/>
      </w:pPr>
    </w:p>
    <w:p w14:paraId="6DD8FD99" w14:textId="77777777" w:rsidR="004F0757" w:rsidRDefault="004F0757">
      <w:pPr>
        <w:rPr>
          <w:noProof/>
          <w:sz w:val="22"/>
          <w:szCs w:val="22"/>
        </w:rPr>
      </w:pPr>
      <w:r>
        <w:br w:type="page"/>
      </w:r>
    </w:p>
    <w:p w14:paraId="3885D2E4" w14:textId="77777777" w:rsidR="00C94F2D" w:rsidRPr="00796F66" w:rsidRDefault="001B0613" w:rsidP="00E41E95">
      <w:pPr>
        <w:pStyle w:val="TableEntry"/>
        <w:spacing w:before="120" w:after="120"/>
        <w:jc w:val="center"/>
        <w:rPr>
          <w:rStyle w:val="z-DSTbox"/>
          <w:b/>
          <w:bCs/>
          <w:caps/>
          <w:sz w:val="24"/>
          <w:szCs w:val="24"/>
        </w:rPr>
      </w:pPr>
      <w:r w:rsidRPr="00796F66">
        <w:rPr>
          <w:rStyle w:val="z-DSTbox"/>
          <w:b/>
          <w:bCs/>
          <w:caps/>
          <w:sz w:val="24"/>
          <w:szCs w:val="24"/>
        </w:rPr>
        <w:lastRenderedPageBreak/>
        <w:t>ANNEX</w:t>
      </w:r>
    </w:p>
    <w:p w14:paraId="00F8357F" w14:textId="77777777" w:rsidR="00C94F2D" w:rsidRPr="00345F9B" w:rsidRDefault="00C94F2D" w:rsidP="00345F9B">
      <w:pPr>
        <w:pStyle w:val="TableEntry"/>
        <w:spacing w:beforeLines="60" w:before="144" w:after="120"/>
        <w:jc w:val="center"/>
        <w:rPr>
          <w:b/>
          <w:bCs/>
        </w:rPr>
      </w:pPr>
      <w:bookmarkStart w:id="30" w:name="_Toc374968951"/>
      <w:r w:rsidRPr="00345F9B">
        <w:rPr>
          <w:b/>
          <w:bCs/>
        </w:rPr>
        <w:t>Interchangeability of information between media in nature</w:t>
      </w:r>
      <w:bookmarkEnd w:id="30"/>
    </w:p>
    <w:p w14:paraId="4D28F33F" w14:textId="77777777" w:rsidR="00C94F2D" w:rsidRPr="000D4FB5" w:rsidRDefault="00402DB7" w:rsidP="00C94F2D">
      <w:pPr>
        <w:spacing w:after="120"/>
        <w:rPr>
          <w:sz w:val="22"/>
        </w:rPr>
      </w:pPr>
      <w:r w:rsidRPr="000D4FB5">
        <w:rPr>
          <w:noProof/>
          <w:lang w:val="en-CA" w:eastAsia="en-CA"/>
        </w:rPr>
        <w:drawing>
          <wp:anchor distT="0" distB="0" distL="114300" distR="114300" simplePos="0" relativeHeight="251697152" behindDoc="0" locked="0" layoutInCell="1" allowOverlap="1" wp14:anchorId="72720A1C" wp14:editId="1BFACB63">
            <wp:simplePos x="0" y="0"/>
            <wp:positionH relativeFrom="column">
              <wp:posOffset>252730</wp:posOffset>
            </wp:positionH>
            <wp:positionV relativeFrom="paragraph">
              <wp:posOffset>1899285</wp:posOffset>
            </wp:positionV>
            <wp:extent cx="4465955" cy="6315075"/>
            <wp:effectExtent l="0" t="0" r="4445" b="9525"/>
            <wp:wrapTopAndBottom/>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65955" cy="6315075"/>
                    </a:xfrm>
                    <a:prstGeom prst="rect">
                      <a:avLst/>
                    </a:prstGeom>
                    <a:noFill/>
                    <a:ln>
                      <a:noFill/>
                    </a:ln>
                  </pic:spPr>
                </pic:pic>
              </a:graphicData>
            </a:graphic>
            <wp14:sizeRelH relativeFrom="page">
              <wp14:pctWidth>0</wp14:pctWidth>
            </wp14:sizeRelH>
            <wp14:sizeRelV relativeFrom="page">
              <wp14:pctHeight>0</wp14:pctHeight>
            </wp14:sizeRelV>
          </wp:anchor>
        </w:drawing>
      </w:r>
      <w:r w:rsidR="00C94F2D" w:rsidRPr="000D4FB5">
        <w:rPr>
          <w:sz w:val="22"/>
        </w:rPr>
        <w:t>The retrovirus lifecycle illustrates</w:t>
      </w:r>
      <w:r w:rsidR="004F0757">
        <w:rPr>
          <w:sz w:val="22"/>
        </w:rPr>
        <w:t xml:space="preserve"> how information can be </w:t>
      </w:r>
      <w:r w:rsidR="002E6EAE">
        <w:rPr>
          <w:sz w:val="22"/>
        </w:rPr>
        <w:t>“</w:t>
      </w:r>
      <w:r w:rsidR="004F0757">
        <w:rPr>
          <w:sz w:val="22"/>
        </w:rPr>
        <w:t>dematerialized</w:t>
      </w:r>
      <w:r w:rsidR="002E6EAE">
        <w:rPr>
          <w:sz w:val="22"/>
        </w:rPr>
        <w:t>”</w:t>
      </w:r>
      <w:r w:rsidR="004F0757">
        <w:rPr>
          <w:sz w:val="22"/>
        </w:rPr>
        <w:t xml:space="preserve"> from a source biological material. Information is transmissible between different media</w:t>
      </w:r>
      <w:r w:rsidR="00C94F2D" w:rsidRPr="000D4FB5">
        <w:rPr>
          <w:sz w:val="22"/>
        </w:rPr>
        <w:t xml:space="preserve"> (Figure). Retroviruses have genomes built from ribonucleotides (RNA</w:t>
      </w:r>
      <w:r w:rsidR="00791C66">
        <w:rPr>
          <w:sz w:val="22"/>
        </w:rPr>
        <w:t>, shown as molecule with a red backbone</w:t>
      </w:r>
      <w:r w:rsidR="00C94F2D" w:rsidRPr="000D4FB5">
        <w:rPr>
          <w:sz w:val="22"/>
        </w:rPr>
        <w:t>) (Panel A). The order of ribonucleotides guides the construction of a strand of a non-identical deoxyribonucleic acid (DNA</w:t>
      </w:r>
      <w:r w:rsidR="00791C66">
        <w:rPr>
          <w:sz w:val="22"/>
        </w:rPr>
        <w:t>, shown as molecule with a black backbone</w:t>
      </w:r>
      <w:r w:rsidR="00C94F2D" w:rsidRPr="000D4FB5">
        <w:rPr>
          <w:sz w:val="22"/>
        </w:rPr>
        <w:t>) (Panel B). This strand in turn guides the construction of a non-identical second strand of DNA</w:t>
      </w:r>
      <w:r w:rsidR="00791C66">
        <w:rPr>
          <w:sz w:val="22"/>
        </w:rPr>
        <w:t xml:space="preserve"> (shown as molecule with a gray backbone)</w:t>
      </w:r>
      <w:r w:rsidR="00C94F2D">
        <w:rPr>
          <w:sz w:val="22"/>
        </w:rPr>
        <w:t xml:space="preserve"> (Panel C)</w:t>
      </w:r>
      <w:r w:rsidR="00C94F2D" w:rsidRPr="000D4FB5">
        <w:rPr>
          <w:sz w:val="22"/>
        </w:rPr>
        <w:t xml:space="preserve"> to form a double-stranded DNA molecule (Panel </w:t>
      </w:r>
      <w:r w:rsidR="00C94F2D">
        <w:rPr>
          <w:sz w:val="22"/>
        </w:rPr>
        <w:t>D</w:t>
      </w:r>
      <w:r w:rsidR="00C94F2D" w:rsidRPr="000D4FB5">
        <w:rPr>
          <w:sz w:val="22"/>
        </w:rPr>
        <w:t xml:space="preserve">). By this time, the information in the RNA genome has been transferred by biological processes two times resulting in both chemically different molecules and base sequences. The information is sequentially returned to a strand of RNA (Panels </w:t>
      </w:r>
      <w:r w:rsidR="00C94F2D">
        <w:rPr>
          <w:sz w:val="22"/>
        </w:rPr>
        <w:t>E</w:t>
      </w:r>
      <w:r w:rsidR="00C94F2D" w:rsidRPr="000D4FB5">
        <w:rPr>
          <w:sz w:val="22"/>
        </w:rPr>
        <w:t>-F). The descendants of a retrovirus contain no atoms from the RNA molecule of the original infecting virus, but they do inherit the same genes.</w:t>
      </w:r>
    </w:p>
    <w:p w14:paraId="370894E0" w14:textId="77777777" w:rsidR="00C94F2D" w:rsidRPr="000D4FB5" w:rsidRDefault="00C94F2D" w:rsidP="00C94F2D">
      <w:pPr>
        <w:spacing w:after="120"/>
        <w:rPr>
          <w:sz w:val="22"/>
        </w:rPr>
      </w:pPr>
      <w:r w:rsidRPr="000D4FB5">
        <w:rPr>
          <w:sz w:val="22"/>
        </w:rPr>
        <w:t xml:space="preserve">Arguably the conservation of information in the digitized representation of the order of nucleotides in a strand of DNA is no more dramatic a contrast with the strand of DNA itself than </w:t>
      </w:r>
      <w:r w:rsidRPr="000D4FB5">
        <w:rPr>
          <w:sz w:val="22"/>
        </w:rPr>
        <w:lastRenderedPageBreak/>
        <w:t xml:space="preserve">is the conservation of information transferring between two different nucleic acids, as it does in nature. </w:t>
      </w:r>
    </w:p>
    <w:p w14:paraId="5F442446" w14:textId="77777777" w:rsidR="00C94F2D" w:rsidRDefault="00C94F2D" w:rsidP="00C94F2D">
      <w:pPr>
        <w:pStyle w:val="TableEntry"/>
        <w:spacing w:beforeLines="60" w:before="144" w:after="120"/>
      </w:pPr>
      <w:r w:rsidRPr="000D4FB5">
        <w:t>The transfer of information using multi-subunit multi-protein complexes as required by retroviruses would be no easier to design than would</w:t>
      </w:r>
      <w:r>
        <w:t xml:space="preserve"> be</w:t>
      </w:r>
      <w:r w:rsidRPr="000D4FB5">
        <w:t xml:space="preserve"> the</w:t>
      </w:r>
      <w:r>
        <w:t xml:space="preserve"> computer</w:t>
      </w:r>
      <w:r w:rsidRPr="000D4FB5">
        <w:t xml:space="preserve"> transfer</w:t>
      </w:r>
      <w:r>
        <w:t>ring such information</w:t>
      </w:r>
      <w:r w:rsidRPr="000D4FB5">
        <w:t>. Natural systems through which information is conserved through physical transformation of medium are analogous to human</w:t>
      </w:r>
      <w:r w:rsidR="002E6EAE">
        <w:t>-</w:t>
      </w:r>
      <w:r w:rsidRPr="000D4FB5">
        <w:t>built systems that transform the sequence information from chemical to digital, and increasingly</w:t>
      </w:r>
      <w:r>
        <w:t xml:space="preserve"> back through the</w:t>
      </w:r>
      <w:r w:rsidRPr="000D4FB5">
        <w:t xml:space="preserve"> capacity to synthesize a DNA molecule. They serve to highlight the observation that there is growing recognition “that ‘plant genetic resources’, i.e. genetic material of plant origin with actual or potential value for food and agriculture containing ‘functional units of heredity’, are subject to new characterization techniques in genomics that translate both the function and the physical unit into digital data sets” (</w:t>
      </w:r>
      <w:bookmarkStart w:id="31" w:name="__Fieldmark__169_4032909692"/>
      <w:r w:rsidRPr="000D4FB5">
        <w:t>Manzella, 2016)</w:t>
      </w:r>
      <w:bookmarkEnd w:id="31"/>
      <w:r w:rsidRPr="000D4FB5">
        <w:t>.</w:t>
      </w:r>
    </w:p>
    <w:p w14:paraId="54307588" w14:textId="77777777" w:rsidR="001C037C" w:rsidRDefault="00D85B51" w:rsidP="00D85B51">
      <w:pPr>
        <w:pStyle w:val="TableEntry"/>
        <w:spacing w:beforeLines="60" w:before="144" w:after="120"/>
        <w:jc w:val="center"/>
      </w:pPr>
      <w:r>
        <w:t>__________</w:t>
      </w:r>
    </w:p>
    <w:sectPr w:rsidR="001C037C" w:rsidSect="00402DB7">
      <w:headerReference w:type="first" r:id="rId22"/>
      <w:footerReference w:type="first" r:id="rId23"/>
      <w:pgSz w:w="11900" w:h="16840" w:code="9"/>
      <w:pgMar w:top="1440" w:right="1440" w:bottom="1134" w:left="1843" w:header="720" w:footer="720" w:gutter="0"/>
      <w:pgNumType w:start="1"/>
      <w:cols w:space="720"/>
      <w:noEndnote/>
      <w:titlePg/>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BF45D2" w14:textId="77777777" w:rsidR="00F63D94" w:rsidRDefault="00F63D94" w:rsidP="003F2234">
      <w:r>
        <w:separator/>
      </w:r>
    </w:p>
  </w:endnote>
  <w:endnote w:type="continuationSeparator" w:id="0">
    <w:p w14:paraId="707D29C6" w14:textId="77777777" w:rsidR="00F63D94" w:rsidRDefault="00F63D94" w:rsidP="003F2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PS Special 1">
    <w:altName w:val="Wingdings"/>
    <w:charset w:val="02"/>
    <w:family w:val="auto"/>
    <w:pitch w:val="default"/>
    <w:sig w:usb0="00000000" w:usb1="00000000" w:usb2="00000000" w:usb3="00000000" w:csb0="80000000" w:csb1="00000000"/>
  </w:font>
  <w:font w:name="WPS Special 3">
    <w:altName w:val="Symbol"/>
    <w:charset w:val="02"/>
    <w:family w:val="roman"/>
    <w:pitch w:val="default"/>
    <w:sig w:usb0="00000000" w:usb1="0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khbar MT">
    <w:altName w:val="Times New Roman"/>
    <w:charset w:val="B2"/>
    <w:family w:val="auto"/>
    <w:pitch w:val="variable"/>
    <w:sig w:usb0="00002000" w:usb1="00000000" w:usb2="00000000" w:usb3="00000000" w:csb0="00000040" w:csb1="00000000"/>
  </w:font>
  <w:font w:name="Times">
    <w:panose1 w:val="02020603050405020304"/>
    <w:charset w:val="00"/>
    <w:family w:val="roman"/>
    <w:notTrueType/>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Times New Roman Bold">
    <w:altName w:val="Times New Roman"/>
    <w:panose1 w:val="02020803070505020304"/>
    <w:charset w:val="00"/>
    <w:family w:val="auto"/>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Lantinghei TC Heavy">
    <w:altName w:val="Arial Unicode MS"/>
    <w:charset w:val="00"/>
    <w:family w:val="auto"/>
    <w:pitch w:val="variable"/>
    <w:sig w:usb0="00000000" w:usb1="080E0000" w:usb2="00000000" w:usb3="00000000" w:csb0="00100001" w:csb1="00000000"/>
  </w:font>
  <w:font w:name="inherit">
    <w:altName w:val="Times New Roman"/>
    <w:panose1 w:val="00000000000000000000"/>
    <w:charset w:val="00"/>
    <w:family w:val="roman"/>
    <w:notTrueType/>
    <w:pitch w:val="default"/>
  </w:font>
  <w:font w:name="Lantinghei TC Extralight">
    <w:altName w:val="Arial Unicode MS"/>
    <w:charset w:val="00"/>
    <w:family w:val="auto"/>
    <w:pitch w:val="variable"/>
    <w:sig w:usb0="00000000" w:usb1="080E0000" w:usb2="00000000" w:usb3="00000000" w:csb0="00100001" w:csb1="00000000"/>
  </w:font>
  <w:font w:name="Adobe Arabic">
    <w:altName w:val="Cambria Math"/>
    <w:charset w:val="00"/>
    <w:family w:val="auto"/>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Abyssinica SIL">
    <w:altName w:val="Times New Roman"/>
    <w:charset w:val="01"/>
    <w:family w:val="roman"/>
    <w:pitch w:val="variable"/>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8C9269" w14:textId="77777777" w:rsidR="00F63D94" w:rsidRPr="00A90795" w:rsidRDefault="00F63D94" w:rsidP="004655FD">
    <w:pPr>
      <w:pStyle w:val="Note"/>
    </w:pPr>
    <w:r>
      <w:t>This document is printed in limited numbers to minimize the environmental impact of FAO's processes and contribute to climate neutrality. Delegates and observers are kindly requested to bring their copies to meetings and to avoid asking for additional copies. Most FAO meeting documents are available on the Internet at www.fao.org</w:t>
    </w:r>
  </w:p>
  <w:p w14:paraId="60D9A441" w14:textId="77777777" w:rsidR="00F63D94" w:rsidRDefault="00F63D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21DD0A" w14:textId="77777777" w:rsidR="00F63D94" w:rsidRDefault="00F63D94" w:rsidP="003F2234">
      <w:r>
        <w:separator/>
      </w:r>
    </w:p>
  </w:footnote>
  <w:footnote w:type="continuationSeparator" w:id="0">
    <w:p w14:paraId="4DBB1418" w14:textId="77777777" w:rsidR="00F63D94" w:rsidRDefault="00F63D94" w:rsidP="003F2234">
      <w:r>
        <w:continuationSeparator/>
      </w:r>
    </w:p>
  </w:footnote>
  <w:footnote w:id="1">
    <w:p w14:paraId="305F06F8" w14:textId="77777777" w:rsidR="00F63D94" w:rsidRPr="005104B1" w:rsidRDefault="00F63D94" w:rsidP="0039247B">
      <w:pPr>
        <w:pStyle w:val="FootnoteText"/>
        <w:rPr>
          <w:kern w:val="18"/>
          <w:szCs w:val="18"/>
        </w:rPr>
      </w:pPr>
      <w:r w:rsidRPr="005104B1">
        <w:rPr>
          <w:rStyle w:val="FootnoteReference"/>
          <w:kern w:val="18"/>
        </w:rPr>
        <w:t>*</w:t>
      </w:r>
      <w:r w:rsidRPr="005104B1">
        <w:rPr>
          <w:kern w:val="18"/>
          <w:szCs w:val="18"/>
        </w:rPr>
        <w:t xml:space="preserve"> CBD/COP/14/1.</w:t>
      </w:r>
    </w:p>
  </w:footnote>
  <w:footnote w:id="2">
    <w:p w14:paraId="489B30A9" w14:textId="77777777" w:rsidR="00F63D94" w:rsidRPr="00A90795" w:rsidRDefault="00F63D94">
      <w:pPr>
        <w:pStyle w:val="FootnoteText"/>
      </w:pPr>
      <w:r>
        <w:rPr>
          <w:rStyle w:val="FootnoteReference"/>
        </w:rPr>
        <w:footnoteRef/>
      </w:r>
      <w:r>
        <w:t xml:space="preserve"> </w:t>
      </w:r>
      <w:r w:rsidRPr="00C1144B">
        <w:rPr>
          <w:rFonts w:eastAsia="Calibri"/>
          <w:sz w:val="22"/>
          <w:szCs w:val="22"/>
          <w:lang w:val="en-US" w:eastAsia="en-US"/>
        </w:rPr>
        <w:t>School of Biological Sciences, University of Canterbury, Christchurch, New Zealand</w:t>
      </w:r>
    </w:p>
  </w:footnote>
  <w:footnote w:id="3">
    <w:p w14:paraId="04A691B3" w14:textId="77777777" w:rsidR="00F63D94" w:rsidRPr="00A90795" w:rsidRDefault="00F63D94">
      <w:pPr>
        <w:pStyle w:val="FootnoteText"/>
      </w:pPr>
      <w:r>
        <w:rPr>
          <w:rStyle w:val="FootnoteReference"/>
        </w:rPr>
        <w:footnoteRef/>
      </w:r>
      <w:r>
        <w:t xml:space="preserve"> </w:t>
      </w:r>
      <w:r w:rsidRPr="00C1144B">
        <w:rPr>
          <w:rFonts w:eastAsia="Calibri"/>
          <w:bCs/>
          <w:sz w:val="22"/>
          <w:szCs w:val="22"/>
          <w:lang w:val="en-US" w:eastAsia="en-US"/>
        </w:rPr>
        <w:t>Biozentrum, University of Basel, Basel, Switzerland</w:t>
      </w:r>
    </w:p>
  </w:footnote>
  <w:footnote w:id="4">
    <w:p w14:paraId="05302C64" w14:textId="77777777" w:rsidR="00F63D94" w:rsidRPr="00526279" w:rsidRDefault="00F63D94">
      <w:pPr>
        <w:pStyle w:val="FootnoteText"/>
        <w:rPr>
          <w:lang w:val="mi-NZ"/>
        </w:rPr>
      </w:pPr>
      <w:r>
        <w:rPr>
          <w:rStyle w:val="FootnoteReference"/>
        </w:rPr>
        <w:footnoteRef/>
      </w:r>
      <w:r>
        <w:t xml:space="preserve"> </w:t>
      </w:r>
      <w:r>
        <w:rPr>
          <w:lang w:val="mi-NZ"/>
        </w:rPr>
        <w:t>Terrestrial invertebrates used as food or services such as pollination or biological control are included as AGR in this report.</w:t>
      </w:r>
    </w:p>
  </w:footnote>
  <w:footnote w:id="5">
    <w:p w14:paraId="242399D3" w14:textId="77777777" w:rsidR="00F63D94" w:rsidRPr="00526279" w:rsidRDefault="00F63D94">
      <w:pPr>
        <w:pStyle w:val="FootnoteText"/>
        <w:rPr>
          <w:lang w:val="mi-NZ"/>
        </w:rPr>
      </w:pPr>
      <w:r>
        <w:rPr>
          <w:rStyle w:val="FootnoteReference"/>
        </w:rPr>
        <w:footnoteRef/>
      </w:r>
      <w:r>
        <w:t xml:space="preserve"> Aquatic </w:t>
      </w:r>
      <w:r>
        <w:rPr>
          <w:lang w:val="mi-NZ"/>
        </w:rPr>
        <w:t>invertebrates used for food are included in AqGR in this report.</w:t>
      </w:r>
    </w:p>
  </w:footnote>
  <w:footnote w:id="6">
    <w:p w14:paraId="04D0EE8D" w14:textId="77777777" w:rsidR="00F63D94" w:rsidRPr="00EA4CE2" w:rsidRDefault="00F63D94" w:rsidP="00A90795">
      <w:pPr>
        <w:pStyle w:val="FootnoteText"/>
      </w:pPr>
      <w:r w:rsidRPr="002D2B0D">
        <w:rPr>
          <w:rStyle w:val="FootnoteReference"/>
          <w:sz w:val="20"/>
          <w:szCs w:val="20"/>
        </w:rPr>
        <w:footnoteRef/>
      </w:r>
      <w:r w:rsidRPr="002D2B0D">
        <w:t xml:space="preserve"> </w:t>
      </w:r>
      <w:r>
        <w:t xml:space="preserve">It is acknowledged that in this passage a broader description of genetic resources is being used than as defined in the Treaty. However, it is included to illustrate that those working with GRFA, that is, in gene banks and government agricultural agencies, often refer to and treat DNA as a genetic resource </w:t>
      </w:r>
      <w:r w:rsidRPr="00076763">
        <w:rPr>
          <w:i/>
        </w:rPr>
        <w:t>per se</w:t>
      </w:r>
      <w:r>
        <w:t xml:space="preserve">. Tissue, cells and DNA as genetic resources are discussed here: </w:t>
      </w:r>
      <w:hyperlink r:id="rId1" w:history="1">
        <w:r w:rsidRPr="007C4870">
          <w:rPr>
            <w:rStyle w:val="Hyperlink"/>
            <w:lang w:val="en-US"/>
          </w:rPr>
          <w:t>http://www.nies.go.jp/biology/en/aboutus/facility/capsule.html</w:t>
        </w:r>
      </w:hyperlink>
      <w:r>
        <w:rPr>
          <w:lang w:val="en-US"/>
        </w:rPr>
        <w:t>. DNA as a genetic resource is discussed here:</w:t>
      </w:r>
      <w:r w:rsidRPr="002D2B0D">
        <w:t xml:space="preserve"> “</w:t>
      </w:r>
      <w:r w:rsidRPr="002D2B0D">
        <w:rPr>
          <w:lang w:val="en-US"/>
        </w:rPr>
        <w:t>There is a fifth type of genetic resource that differs from the other four types because it cannot be used to regenerate an organism and usually is not held in genebanks:</w:t>
      </w:r>
      <w:r>
        <w:rPr>
          <w:lang w:val="en-US"/>
        </w:rPr>
        <w:t xml:space="preserve"> </w:t>
      </w:r>
      <w:r w:rsidRPr="002D2B0D">
        <w:rPr>
          <w:b/>
          <w:bCs/>
          <w:lang w:val="en-US"/>
        </w:rPr>
        <w:t xml:space="preserve">Cloned DNA sequences, </w:t>
      </w:r>
      <w:r w:rsidRPr="002D2B0D">
        <w:rPr>
          <w:lang w:val="en-US"/>
        </w:rPr>
        <w:t xml:space="preserve">or genetic material from other organisms incorporated into crops by molecular techniques (for example, a gene from the bacteria </w:t>
      </w:r>
      <w:r w:rsidRPr="002D2B0D">
        <w:rPr>
          <w:i/>
          <w:iCs/>
          <w:lang w:val="en-US"/>
        </w:rPr>
        <w:t xml:space="preserve">Bacillus thuringiensis </w:t>
      </w:r>
      <w:r>
        <w:rPr>
          <w:lang w:val="en-US"/>
        </w:rPr>
        <w:t>used for resistance to insects</w:t>
      </w:r>
      <w:r>
        <w:t>” (</w:t>
      </w:r>
      <w:r w:rsidRPr="00E034B1">
        <w:rPr>
          <w:noProof/>
          <w:lang w:val="en-US"/>
        </w:rPr>
        <w:t xml:space="preserve">Heisey and Rubenstein, </w:t>
      </w:r>
      <w:r w:rsidRPr="00381F8F">
        <w:rPr>
          <w:noProof/>
          <w:lang w:val="en-US"/>
        </w:rPr>
        <w:t>2015</w:t>
      </w:r>
      <w:r>
        <w:rPr>
          <w:noProof/>
          <w:lang w:val="en-US"/>
        </w:rPr>
        <w:t>)</w:t>
      </w:r>
      <w:r w:rsidRPr="00381F8F">
        <w:rPr>
          <w:noProof/>
          <w:lang w:val="en-US"/>
        </w:rPr>
        <w:t>.</w:t>
      </w:r>
    </w:p>
  </w:footnote>
  <w:footnote w:id="7">
    <w:p w14:paraId="5E5C41DB" w14:textId="77777777" w:rsidR="00F63D94" w:rsidRPr="00D03FE0" w:rsidRDefault="00F63D94" w:rsidP="00BB2198">
      <w:pPr>
        <w:pStyle w:val="FootnoteText"/>
        <w:rPr>
          <w:lang w:val="mi-NZ"/>
        </w:rPr>
      </w:pPr>
      <w:r>
        <w:rPr>
          <w:rStyle w:val="FootnoteReference"/>
        </w:rPr>
        <w:footnoteRef/>
      </w:r>
      <w:r>
        <w:t xml:space="preserve"> </w:t>
      </w:r>
      <w:r w:rsidRPr="00CC0903">
        <w:rPr>
          <w:lang w:val="mi-NZ"/>
        </w:rPr>
        <w:t>The</w:t>
      </w:r>
      <w:r>
        <w:rPr>
          <w:lang w:val="mi-NZ"/>
        </w:rPr>
        <w:t xml:space="preserve"> authors understand that the phrase “dematerialized genetic resources” is a reference to the more precise phrase “dematerialized </w:t>
      </w:r>
      <w:r w:rsidRPr="009E17C3">
        <w:rPr>
          <w:u w:val="single"/>
          <w:lang w:val="mi-NZ"/>
        </w:rPr>
        <w:t>use of</w:t>
      </w:r>
      <w:r>
        <w:rPr>
          <w:lang w:val="mi-NZ"/>
        </w:rPr>
        <w:t xml:space="preserve"> genetic resources” and therefore is an economic concept unrelated to whether or not information is tangible. For example, the dematerialization of wood during the industrial revolution was not the act of making wood non-physical, but instead the act of dematerializing (changing the material basis of) the energy economy from wood to fossil fuels (</w:t>
      </w:r>
      <w:r>
        <w:rPr>
          <w:lang w:val="mi-NZ"/>
        </w:rPr>
        <w:fldChar w:fldCharType="begin"/>
      </w:r>
      <w:r>
        <w:rPr>
          <w:lang w:val="mi-NZ"/>
        </w:rPr>
        <w:instrText xml:space="preserve"> ADDIN EN.CITE &lt;EndNote&gt;&lt;Cite&gt;&lt;Author&gt;Iriarte-Goñi&lt;/Author&gt;&lt;Year&gt;2012&lt;/Year&gt;&lt;RecNum&gt;377&lt;/RecNum&gt;&lt;DisplayText&gt;&lt;style face="bold"&gt;Iriarte-Goñi, I., and Ayuda, M.-I.&lt;/style&gt; 2012. Not only subterranean forests: Wood consumption and economic development in Britain (1850–1938). Ecol Econ&lt;style face="italic"&gt; 77&lt;/style&gt;, 176-184.&lt;/DisplayText&gt;&lt;record&gt;&lt;rec-number&gt;377&lt;/rec-number&gt;&lt;foreign-keys&gt;&lt;key app="EN" db-id="vav00vdrjedrwre5xsc5vxpsx0fp9arstrrf" timestamp="1538337934"&gt;377&lt;/key&gt;&lt;/foreign-keys&gt;&lt;ref-type name="Journal Article"&gt;17&lt;/ref-type&gt;&lt;contributors&gt;&lt;authors&gt;&lt;author&gt;Iriarte-Goñi, Iñaki&lt;/author&gt;&lt;author&gt;Ayuda, María-Isabel&lt;/author&gt;&lt;/authors&gt;&lt;/contributors&gt;&lt;titles&gt;&lt;title&gt;Not only subterranean forests: Wood consumption and economic development in Britain (1850–1938)&lt;/title&gt;&lt;secondary-title&gt;Ecological Economics&lt;/secondary-title&gt;&lt;alt-title&gt;Ecol Econ&lt;/alt-title&gt;&lt;/titles&gt;&lt;periodical&gt;&lt;full-title&gt;Ecological Economics&lt;/full-title&gt;&lt;/periodical&gt;&lt;pages&gt;176-184&lt;/pages&gt;&lt;volume&gt;77&lt;/volume&gt;&lt;keywords&gt;&lt;keyword&gt;Wood&lt;/keyword&gt;&lt;keyword&gt;Forest history&lt;/keyword&gt;&lt;keyword&gt;Industrialization&lt;/keyword&gt;&lt;keyword&gt;Consumption function&lt;/keyword&gt;&lt;/keywords&gt;&lt;dates&gt;&lt;year&gt;2012&lt;/year&gt;&lt;pub-dates&gt;&lt;date&gt;2012/05/01/&lt;/date&gt;&lt;/pub-dates&gt;&lt;/dates&gt;&lt;isbn&gt;0921-8009&lt;/isbn&gt;&lt;urls&gt;&lt;related-urls&gt;&lt;url&gt;http://www.sciencedirect.com/science/article/pii/S0921800912000936&lt;/url&gt;&lt;/related-urls&gt;&lt;/urls&gt;&lt;electronic-resource-num&gt;https://doi.org/10.1016/j.ecolecon.2012.02.029&lt;/electronic-resource-num&gt;&lt;/record&gt;&lt;/Cite&gt;&lt;/EndNote&gt;</w:instrText>
      </w:r>
      <w:r>
        <w:rPr>
          <w:lang w:val="mi-NZ"/>
        </w:rPr>
        <w:fldChar w:fldCharType="separate"/>
      </w:r>
      <w:r w:rsidRPr="00E034B1">
        <w:rPr>
          <w:bCs/>
          <w:noProof/>
          <w:lang w:val="mi-NZ"/>
        </w:rPr>
        <w:t xml:space="preserve">Iriarte-Goñi and Ayuda, </w:t>
      </w:r>
      <w:r w:rsidRPr="00381F8F">
        <w:rPr>
          <w:bCs/>
          <w:noProof/>
          <w:lang w:val="mi-NZ"/>
        </w:rPr>
        <w:t>2012</w:t>
      </w:r>
      <w:r>
        <w:rPr>
          <w:bCs/>
          <w:noProof/>
          <w:lang w:val="mi-NZ"/>
        </w:rPr>
        <w:t>)</w:t>
      </w:r>
      <w:r w:rsidRPr="00381F8F">
        <w:rPr>
          <w:bCs/>
          <w:noProof/>
          <w:lang w:val="mi-NZ"/>
        </w:rPr>
        <w:t>.</w:t>
      </w:r>
      <w:r>
        <w:rPr>
          <w:lang w:val="mi-NZ"/>
        </w:rPr>
        <w:fldChar w:fldCharType="end"/>
      </w:r>
      <w:r>
        <w:rPr>
          <w:lang w:val="mi-NZ"/>
        </w:rPr>
        <w:t xml:space="preserve"> The Study uncovered no scientific foundation for dematerialization of information in the sense of converting something into a hypothetical non-physical/non-material state (for definition of material, see Glossary); that is, information of the kind described in this report may be transferred between different materials but does not exist separately from at least one physical form during storage, transmition or use. The word “dematerialized” has unfortunately caused confusion by implying that information has no material/physical basis allowing it to be traded or in other ways create value. In the context of this report, interchangeability of information refers to the various physical forms of material in which information may be held for storage, exchange and use. Information</w:t>
      </w:r>
      <w:r w:rsidRPr="0049559D">
        <w:rPr>
          <w:lang w:val="mi-NZ"/>
        </w:rPr>
        <w:t xml:space="preserve"> </w:t>
      </w:r>
      <w:r>
        <w:rPr>
          <w:lang w:val="mi-NZ"/>
        </w:rPr>
        <w:t xml:space="preserve">in a molecule (e.g. DNA) can be copied to other material such as computer-readable media, sound waves, electrical current or light (e.g. transmitted on a fibre cable). Whereas in these forms sequence information is literarally intangible, this quality is not unique to electronic materials but is also a quality of genetic material or some kinds of GRFA because a molecule of DNA, a cell (e.g. the GRFA yeast </w:t>
      </w:r>
      <w:r w:rsidRPr="00D03FE0">
        <w:rPr>
          <w:i/>
          <w:lang w:val="mi-NZ"/>
        </w:rPr>
        <w:t>Saccharomyces cerevisiae</w:t>
      </w:r>
      <w:r>
        <w:rPr>
          <w:lang w:val="mi-NZ"/>
        </w:rPr>
        <w:t>), and even seeds and animals below a certain size, cannot be perceived by human touch.</w:t>
      </w:r>
    </w:p>
  </w:footnote>
  <w:footnote w:id="8">
    <w:p w14:paraId="145755F6" w14:textId="77777777" w:rsidR="00F63D94" w:rsidRPr="008D0183" w:rsidRDefault="00F63D94" w:rsidP="009E796C">
      <w:pPr>
        <w:pStyle w:val="FootnoteText"/>
        <w:rPr>
          <w:lang w:val="en-US"/>
        </w:rPr>
      </w:pPr>
      <w:r>
        <w:rPr>
          <w:rStyle w:val="FootnoteReference"/>
        </w:rPr>
        <w:footnoteRef/>
      </w:r>
      <w:r>
        <w:t xml:space="preserve"> </w:t>
      </w:r>
      <w:r>
        <w:rPr>
          <w:lang w:val="mi-NZ"/>
        </w:rPr>
        <w:t>“</w:t>
      </w:r>
      <w:r>
        <w:rPr>
          <w:lang w:val="en-US"/>
        </w:rPr>
        <w:t xml:space="preserve">[T]he primary </w:t>
      </w:r>
      <w:r w:rsidRPr="0089754A">
        <w:rPr>
          <w:lang w:val="en-US"/>
        </w:rPr>
        <w:t>problem in any legislative document that uses</w:t>
      </w:r>
      <w:r>
        <w:rPr>
          <w:lang w:val="en-US"/>
        </w:rPr>
        <w:t xml:space="preserve"> </w:t>
      </w:r>
      <w:r w:rsidRPr="0089754A">
        <w:rPr>
          <w:lang w:val="en-US"/>
        </w:rPr>
        <w:t>technical terminology – determining how that term is</w:t>
      </w:r>
      <w:r>
        <w:rPr>
          <w:lang w:val="en-US"/>
        </w:rPr>
        <w:t xml:space="preserve"> </w:t>
      </w:r>
      <w:r w:rsidRPr="0089754A">
        <w:rPr>
          <w:lang w:val="en-US"/>
        </w:rPr>
        <w:t>understood, and by whom. Where the document’s</w:t>
      </w:r>
      <w:r>
        <w:rPr>
          <w:lang w:val="en-US"/>
        </w:rPr>
        <w:t xml:space="preserve"> </w:t>
      </w:r>
      <w:r w:rsidRPr="0089754A">
        <w:rPr>
          <w:lang w:val="en-US"/>
        </w:rPr>
        <w:t>target audience is technical (technical experts and regulators)</w:t>
      </w:r>
      <w:r>
        <w:rPr>
          <w:lang w:val="en-US"/>
        </w:rPr>
        <w:t xml:space="preserve"> </w:t>
      </w:r>
      <w:r w:rsidRPr="0089754A">
        <w:rPr>
          <w:lang w:val="en-US"/>
        </w:rPr>
        <w:t>then the term will be understood and applied</w:t>
      </w:r>
      <w:r>
        <w:rPr>
          <w:lang w:val="en-US"/>
        </w:rPr>
        <w:t xml:space="preserve"> </w:t>
      </w:r>
      <w:r w:rsidRPr="0089754A">
        <w:rPr>
          <w:lang w:val="en-US"/>
        </w:rPr>
        <w:t>technically. Regulations will be developed citing particular</w:t>
      </w:r>
      <w:r>
        <w:rPr>
          <w:lang w:val="en-US"/>
        </w:rPr>
        <w:t xml:space="preserve"> </w:t>
      </w:r>
      <w:r w:rsidRPr="0089754A">
        <w:rPr>
          <w:lang w:val="en-US"/>
        </w:rPr>
        <w:t>scientific texts or statistics that will give a precise</w:t>
      </w:r>
      <w:r>
        <w:rPr>
          <w:lang w:val="en-US"/>
        </w:rPr>
        <w:t xml:space="preserve"> </w:t>
      </w:r>
      <w:r w:rsidRPr="0089754A">
        <w:rPr>
          <w:lang w:val="en-US"/>
        </w:rPr>
        <w:t>definition of the element and a standard for its</w:t>
      </w:r>
      <w:r>
        <w:rPr>
          <w:lang w:val="en-US"/>
        </w:rPr>
        <w:t xml:space="preserve"> </w:t>
      </w:r>
      <w:r w:rsidRPr="0089754A">
        <w:rPr>
          <w:lang w:val="en-US"/>
        </w:rPr>
        <w:t>measurement. Where the target audience is not</w:t>
      </w:r>
      <w:r>
        <w:rPr>
          <w:lang w:val="en-US"/>
        </w:rPr>
        <w:t xml:space="preserve"> </w:t>
      </w:r>
      <w:r w:rsidRPr="0089754A">
        <w:rPr>
          <w:lang w:val="en-US"/>
        </w:rPr>
        <w:t>highly technical, however, use of a technical term can</w:t>
      </w:r>
      <w:r>
        <w:rPr>
          <w:lang w:val="en-US"/>
        </w:rPr>
        <w:t xml:space="preserve"> </w:t>
      </w:r>
      <w:r w:rsidRPr="0089754A">
        <w:rPr>
          <w:lang w:val="en-US"/>
        </w:rPr>
        <w:t xml:space="preserve">be problematic, since </w:t>
      </w:r>
      <w:r>
        <w:rPr>
          <w:lang w:val="en-US"/>
        </w:rPr>
        <w:t>it may mean different things to different audiences</w:t>
      </w:r>
      <w:r>
        <w:rPr>
          <w:lang w:val="mi-NZ"/>
        </w:rPr>
        <w:t>” (</w:t>
      </w:r>
      <w:r>
        <w:rPr>
          <w:lang w:val="mi-NZ"/>
        </w:rPr>
        <w:fldChar w:fldCharType="begin"/>
      </w:r>
      <w:r>
        <w:rPr>
          <w:lang w:val="mi-NZ"/>
        </w:rPr>
        <w:instrText xml:space="preserve"> ADDIN EN.CITE &lt;EndNote&gt;&lt;Cite&gt;&lt;Author&gt;Tvedt&lt;/Author&gt;&lt;Year&gt;2007&lt;/Year&gt;&lt;RecNum&gt;303&lt;/RecNum&gt;&lt;DisplayText&gt;&lt;style face="bold"&gt;Tvedt, M.W., and Young, T.&lt;/style&gt; 2007. Beyond Access: Exploring Implementation of the&amp;#xD;Fair and Equitable Sharing Commitment in the CBD. ABS Series IUCN 2 &lt;/DisplayText&gt;&lt;record&gt;&lt;rec-number&gt;303&lt;/rec-number&gt;&lt;foreign-keys&gt;&lt;key app="EN" db-id="vav00vdrjedrwre5xsc5vxpsx0fp9arstrrf" timestamp="1516859489"&gt;303&lt;/key&gt;&lt;/foreign-keys&gt;&lt;ref-type name="Report"&gt;27&lt;/ref-type&gt;&lt;contributors&gt;&lt;authors&gt;&lt;author&gt;Tvedt, M.W.&lt;/author&gt;&lt;author&gt;Young, T.&lt;/author&gt;&lt;/authors&gt;&lt;/contributors&gt;&lt;titles&gt;&lt;title&gt;Beyond Access: Exploring Implementation of the&amp;#xD;Fair and Equitable Sharing Commitment in the CBD&lt;/title&gt;&lt;secondary-title&gt;ABS Series &lt;/secondary-title&gt;&lt;/titles&gt;&lt;dates&gt;&lt;year&gt;2007&lt;/year&gt;&lt;/dates&gt;&lt;publisher&gt;IUCN&lt;/publisher&gt;&lt;isbn&gt;2&lt;/isbn&gt;&lt;urls&gt;&lt;/urls&gt;&lt;/record&gt;&lt;/Cite&gt;&lt;/EndNote&gt;</w:instrText>
      </w:r>
      <w:r>
        <w:rPr>
          <w:lang w:val="mi-NZ"/>
        </w:rPr>
        <w:fldChar w:fldCharType="separate"/>
      </w:r>
      <w:r w:rsidRPr="009015E6">
        <w:rPr>
          <w:bCs/>
          <w:noProof/>
          <w:lang w:val="mi-NZ"/>
        </w:rPr>
        <w:t xml:space="preserve">Tvedt and Young, </w:t>
      </w:r>
      <w:r>
        <w:rPr>
          <w:noProof/>
          <w:lang w:val="mi-NZ"/>
        </w:rPr>
        <w:t>2007).</w:t>
      </w:r>
      <w:r>
        <w:rPr>
          <w:lang w:val="mi-NZ"/>
        </w:rPr>
        <w:fldChar w:fldCharType="end"/>
      </w:r>
    </w:p>
  </w:footnote>
  <w:footnote w:id="9">
    <w:p w14:paraId="75898B51" w14:textId="77777777" w:rsidR="00F63D94" w:rsidRPr="00C759C6" w:rsidRDefault="00F63D94" w:rsidP="00346BC6">
      <w:pPr>
        <w:pStyle w:val="FootnoteText"/>
        <w:rPr>
          <w:lang w:val="mi-NZ"/>
        </w:rPr>
      </w:pPr>
      <w:r>
        <w:rPr>
          <w:rStyle w:val="FootnoteReference"/>
        </w:rPr>
        <w:footnoteRef/>
      </w:r>
      <w:r>
        <w:t xml:space="preserve"> </w:t>
      </w:r>
      <w:r w:rsidRPr="001C7495">
        <w:rPr>
          <w:lang w:val="en-US"/>
        </w:rPr>
        <w:t xml:space="preserve"> “In farm animals, several traits are caused by CNV affecting genes or gene regions. For example, the </w:t>
      </w:r>
      <w:r w:rsidRPr="001C7495">
        <w:rPr>
          <w:i/>
          <w:lang w:val="en-US"/>
        </w:rPr>
        <w:t>Dominant white</w:t>
      </w:r>
      <w:r w:rsidRPr="001C7495">
        <w:rPr>
          <w:lang w:val="en-US"/>
        </w:rPr>
        <w:t xml:space="preserve"> locus in pigs includes alleles determined by duplications of the KIT gene. CNV also affects the </w:t>
      </w:r>
      <w:r w:rsidRPr="001C7495">
        <w:rPr>
          <w:i/>
          <w:lang w:val="en-US"/>
        </w:rPr>
        <w:t>Agouti</w:t>
      </w:r>
      <w:r w:rsidRPr="001C7495">
        <w:rPr>
          <w:lang w:val="en-US"/>
        </w:rPr>
        <w:t xml:space="preserve"> locus in sheep and goats and contributes to the variability of coat colour in these two species. CNV in intron 1 of the </w:t>
      </w:r>
      <w:r w:rsidRPr="001C7495">
        <w:rPr>
          <w:i/>
          <w:lang w:val="en-US"/>
        </w:rPr>
        <w:t>SOX5</w:t>
      </w:r>
      <w:r w:rsidRPr="001C7495">
        <w:rPr>
          <w:lang w:val="en-US"/>
        </w:rPr>
        <w:t xml:space="preserve"> gene causes the pea-comb phenotype in chicken and the late feathering locus in this avian species includes a partial duplication of the </w:t>
      </w:r>
      <w:r w:rsidRPr="001C7495">
        <w:rPr>
          <w:i/>
          <w:lang w:val="en-US"/>
        </w:rPr>
        <w:t>PRLR</w:t>
      </w:r>
      <w:r w:rsidRPr="001C7495">
        <w:rPr>
          <w:lang w:val="en-US"/>
        </w:rPr>
        <w:t xml:space="preserve"> and </w:t>
      </w:r>
      <w:r w:rsidRPr="001C7495">
        <w:rPr>
          <w:i/>
          <w:lang w:val="en-US"/>
        </w:rPr>
        <w:t>SPEF2</w:t>
      </w:r>
      <w:r w:rsidRPr="001C7495">
        <w:rPr>
          <w:lang w:val="en-US"/>
        </w:rPr>
        <w:t xml:space="preserve"> genes” </w:t>
      </w:r>
      <w:r>
        <w:rPr>
          <w:lang w:val="en-US"/>
        </w:rPr>
        <w:t>(</w:t>
      </w:r>
      <w:r>
        <w:rPr>
          <w:lang w:val="en-US"/>
        </w:rPr>
        <w:fldChar w:fldCharType="begin"/>
      </w:r>
      <w:r>
        <w:rPr>
          <w:lang w:val="en-US"/>
        </w:rPr>
        <w:instrText xml:space="preserve"> ADDIN EN.CITE &lt;EndNote&gt;&lt;Cite&gt;&lt;Author&gt;Fontanesi&lt;/Author&gt;&lt;Year&gt;2010&lt;/Year&gt;&lt;RecNum&gt;326&lt;/RecNum&gt;&lt;DisplayText&gt;&lt;style face="bold"&gt;Fontanesi, L., Martelli, P.L., Beretti, F., Riggio, V., Dall&amp;apos;Olio, S., Colombo, M., Casadio, R., Russo, V., and Portolano, B.&lt;/style&gt; 2010. An initial comparative map of copy number variations in the goat (Capra hircus) genome. BMC Genomics&lt;style face="italic"&gt; 11&lt;/style&gt;, 639.&lt;/DisplayText&gt;&lt;record&gt;&lt;rec-number&gt;326&lt;/rec-number&gt;&lt;foreign-keys&gt;&lt;key app="EN" db-id="vav00vdrjedrwre5xsc5vxpsx0fp9arstrrf" timestamp="1518319396"&gt;326&lt;/key&gt;&lt;/foreign-keys&gt;&lt;ref-type name="Journal Article"&gt;17&lt;/ref-type&gt;&lt;contributors&gt;&lt;authors&gt;&lt;author&gt;Fontanesi, Luca&lt;/author&gt;&lt;author&gt;Martelli, Pier Luigi&lt;/author&gt;&lt;author&gt;Beretti, Francesca&lt;/author&gt;&lt;author&gt;Riggio, Valentina&lt;/author&gt;&lt;author&gt;Dall&amp;apos;Olio, Stefania&lt;/author&gt;&lt;author&gt;Colombo, Michela&lt;/author&gt;&lt;author&gt;Casadio, Rita&lt;/author&gt;&lt;author&gt;Russo, Vincenzo&lt;/author&gt;&lt;author&gt;Portolano, Baldassare&lt;/author&gt;&lt;/authors&gt;&lt;/contributors&gt;&lt;titles&gt;&lt;title&gt;An initial comparative map of copy number variations in the goat (Capra hircus) genome&lt;/title&gt;&lt;secondary-title&gt;BMC Genomics&lt;/secondary-title&gt;&lt;alt-title&gt;BMC Genomics&lt;/alt-title&gt;&lt;/titles&gt;&lt;periodical&gt;&lt;full-title&gt;BMC Genomics&lt;/full-title&gt;&lt;/periodical&gt;&lt;alt-periodical&gt;&lt;full-title&gt;BMC Genomics&lt;/full-title&gt;&lt;/alt-periodical&gt;&lt;pages&gt;639&lt;/pages&gt;&lt;volume&gt;11&lt;/volume&gt;&lt;number&gt;1&lt;/number&gt;&lt;dates&gt;&lt;year&gt;2010&lt;/year&gt;&lt;pub-dates&gt;&lt;date&gt;November 17&lt;/date&gt;&lt;/pub-dates&gt;&lt;/dates&gt;&lt;isbn&gt;1471-2164&lt;/isbn&gt;&lt;label&gt;Fontanesi2010&lt;/label&gt;&lt;work-type&gt;journal article&lt;/work-type&gt;&lt;urls&gt;&lt;related-urls&gt;&lt;url&gt;https://doi.org/10.1186/1471-2164-11-639&lt;/url&gt;&lt;/related-urls&gt;&lt;/urls&gt;&lt;electronic-resource-num&gt;10.1186/1471-2164-11-639&lt;/electronic-resource-num&gt;&lt;/record&gt;&lt;/Cite&gt;&lt;/EndNote&gt;</w:instrText>
      </w:r>
      <w:r>
        <w:rPr>
          <w:lang w:val="en-US"/>
        </w:rPr>
        <w:fldChar w:fldCharType="separate"/>
      </w:r>
      <w:r w:rsidRPr="00E034B1">
        <w:rPr>
          <w:bCs/>
          <w:noProof/>
          <w:lang w:val="en-US"/>
        </w:rPr>
        <w:t>Fontanesi</w:t>
      </w:r>
      <w:r>
        <w:rPr>
          <w:bCs/>
          <w:noProof/>
          <w:lang w:val="en-US"/>
        </w:rPr>
        <w:t xml:space="preserve"> </w:t>
      </w:r>
      <w:r w:rsidRPr="00346BC6">
        <w:rPr>
          <w:bCs/>
          <w:i/>
          <w:iCs/>
          <w:noProof/>
          <w:lang w:val="en-US"/>
        </w:rPr>
        <w:t>et al.,</w:t>
      </w:r>
      <w:r>
        <w:rPr>
          <w:bCs/>
          <w:i/>
          <w:iCs/>
          <w:noProof/>
          <w:lang w:val="en-US"/>
        </w:rPr>
        <w:t xml:space="preserve"> </w:t>
      </w:r>
      <w:r>
        <w:rPr>
          <w:noProof/>
          <w:lang w:val="en-US"/>
        </w:rPr>
        <w:t xml:space="preserve">2010). </w:t>
      </w:r>
      <w:r>
        <w:rPr>
          <w:lang w:val="en-US"/>
        </w:rPr>
        <w:fldChar w:fldCharType="end"/>
      </w:r>
    </w:p>
  </w:footnote>
  <w:footnote w:id="10">
    <w:p w14:paraId="38B2912C" w14:textId="77777777" w:rsidR="00F63D94" w:rsidRPr="00B619FC" w:rsidRDefault="00F63D94" w:rsidP="00871CD0">
      <w:pPr>
        <w:pStyle w:val="FootnoteText"/>
        <w:rPr>
          <w:lang w:val="mi-NZ"/>
        </w:rPr>
      </w:pPr>
      <w:r w:rsidRPr="00B619FC">
        <w:rPr>
          <w:rStyle w:val="FootnoteReference"/>
          <w:sz w:val="20"/>
          <w:szCs w:val="20"/>
        </w:rPr>
        <w:footnoteRef/>
      </w:r>
      <w:r w:rsidRPr="00B619FC">
        <w:t xml:space="preserve"> This is not to say that paper would be insufficient as a medium to </w:t>
      </w:r>
      <w:r>
        <w:t>achieve</w:t>
      </w:r>
      <w:r w:rsidRPr="00B619FC">
        <w:t xml:space="preserve"> the sophistication </w:t>
      </w:r>
      <w:r>
        <w:t>of</w:t>
      </w:r>
      <w:r w:rsidRPr="00B619FC">
        <w:t xml:space="preserve"> </w:t>
      </w:r>
      <w:r>
        <w:t>some kind of</w:t>
      </w:r>
      <w:r w:rsidRPr="00B619FC">
        <w:t xml:space="preserve"> </w:t>
      </w:r>
      <w:r>
        <w:t>“</w:t>
      </w:r>
      <w:r w:rsidRPr="00B619FC">
        <w:t>electronic</w:t>
      </w:r>
      <w:r>
        <w:t>”</w:t>
      </w:r>
      <w:r w:rsidRPr="00B619FC">
        <w:t xml:space="preserve"> database.</w:t>
      </w:r>
      <w:r>
        <w:t xml:space="preserve"> The comparison being drawn is to</w:t>
      </w:r>
      <w:r w:rsidRPr="00B619FC">
        <w:t xml:space="preserve"> a series</w:t>
      </w:r>
      <w:r>
        <w:t xml:space="preserve"> of letters</w:t>
      </w:r>
      <w:r w:rsidRPr="00B619FC">
        <w:t xml:space="preserve"> on a piece of paper </w:t>
      </w:r>
      <w:r>
        <w:t>and</w:t>
      </w:r>
      <w:r w:rsidRPr="00B619FC">
        <w:t xml:space="preserve"> what is required for the same utility being routinely provided now by electronic databases.</w:t>
      </w:r>
    </w:p>
  </w:footnote>
  <w:footnote w:id="11">
    <w:p w14:paraId="35780A72" w14:textId="77777777" w:rsidR="00F63D94" w:rsidRPr="00960AA3" w:rsidRDefault="00F63D94" w:rsidP="00576281">
      <w:pPr>
        <w:pStyle w:val="FootnoteText"/>
        <w:rPr>
          <w:lang w:val="mi-NZ"/>
        </w:rPr>
      </w:pPr>
      <w:r w:rsidRPr="00960AA3">
        <w:rPr>
          <w:rStyle w:val="FootnoteReference"/>
          <w:sz w:val="20"/>
          <w:szCs w:val="20"/>
        </w:rPr>
        <w:footnoteRef/>
      </w:r>
      <w:r w:rsidRPr="00960AA3">
        <w:t xml:space="preserve"> https://translate.google.com</w:t>
      </w:r>
    </w:p>
  </w:footnote>
  <w:footnote w:id="12">
    <w:p w14:paraId="59357980" w14:textId="77777777" w:rsidR="00F63D94" w:rsidRPr="00DC22E2" w:rsidRDefault="00F63D94">
      <w:pPr>
        <w:pStyle w:val="FootnoteText"/>
        <w:rPr>
          <w:lang w:val="mi-NZ"/>
        </w:rPr>
      </w:pPr>
      <w:r>
        <w:rPr>
          <w:rStyle w:val="FootnoteReference"/>
        </w:rPr>
        <w:footnoteRef/>
      </w:r>
      <w:r>
        <w:t xml:space="preserve"> </w:t>
      </w:r>
      <w:r>
        <w:rPr>
          <w:lang w:val="mi-NZ"/>
        </w:rPr>
        <w:t>This is part of what might be done with synthetic biology.</w:t>
      </w:r>
    </w:p>
  </w:footnote>
  <w:footnote w:id="13">
    <w:p w14:paraId="73830547" w14:textId="77777777" w:rsidR="00F63D94" w:rsidRPr="00944565" w:rsidRDefault="00F63D94" w:rsidP="00D37E63">
      <w:pPr>
        <w:pStyle w:val="FootnoteText"/>
        <w:rPr>
          <w:lang w:val="mi-NZ"/>
        </w:rPr>
      </w:pPr>
      <w:r w:rsidRPr="00944565">
        <w:rPr>
          <w:rStyle w:val="FootnoteReference"/>
          <w:sz w:val="20"/>
          <w:szCs w:val="20"/>
        </w:rPr>
        <w:footnoteRef/>
      </w:r>
      <w:r w:rsidRPr="00944565">
        <w:t xml:space="preserve"> </w:t>
      </w:r>
      <w:r w:rsidRPr="00944565">
        <w:rPr>
          <w:lang w:val="mi-NZ"/>
        </w:rPr>
        <w:t>For a</w:t>
      </w:r>
      <w:r>
        <w:rPr>
          <w:lang w:val="mi-NZ"/>
        </w:rPr>
        <w:t xml:space="preserve"> user-friendly and</w:t>
      </w:r>
      <w:r w:rsidRPr="00944565">
        <w:rPr>
          <w:lang w:val="mi-NZ"/>
        </w:rPr>
        <w:t xml:space="preserve"> brief introduction, see https://www.mun.ca/biology/scarr/DNA_Chips.html.</w:t>
      </w:r>
    </w:p>
  </w:footnote>
  <w:footnote w:id="14">
    <w:p w14:paraId="046E7693" w14:textId="77777777" w:rsidR="00F63D94" w:rsidRPr="0041377F" w:rsidRDefault="00F63D94">
      <w:pPr>
        <w:pStyle w:val="FootnoteText"/>
        <w:rPr>
          <w:lang w:val="mi-NZ"/>
        </w:rPr>
      </w:pPr>
      <w:r>
        <w:rPr>
          <w:rStyle w:val="FootnoteReference"/>
        </w:rPr>
        <w:footnoteRef/>
      </w:r>
      <w:r>
        <w:t xml:space="preserve"> The p</w:t>
      </w:r>
      <w:r w:rsidRPr="0041377F">
        <w:t>henotype</w:t>
      </w:r>
      <w:r>
        <w:t xml:space="preserve"> to genotype approach</w:t>
      </w:r>
      <w:r w:rsidRPr="0041377F">
        <w:t xml:space="preserve"> </w:t>
      </w:r>
      <w:r>
        <w:t>associates phenotypes</w:t>
      </w:r>
      <w:r w:rsidRPr="0041377F">
        <w:t xml:space="preserve"> with genetic markers that are converted to DNA sequence information and used to screen o</w:t>
      </w:r>
      <w:r>
        <w:t>ffspring with desired genotypes</w:t>
      </w:r>
      <w:r w:rsidRPr="0041377F">
        <w:t xml:space="preserve"> for further breeding.</w:t>
      </w:r>
      <w:r>
        <w:t xml:space="preserve"> In the emerging genotype to phenotype approach, g</w:t>
      </w:r>
      <w:r w:rsidRPr="0041377F">
        <w:t>enomes are sequenced and analysed for predicted phenotypes, or they are synthesized based on predicted phenotypes, selecting genomes that match</w:t>
      </w:r>
      <w:r>
        <w:t>.</w:t>
      </w:r>
    </w:p>
  </w:footnote>
  <w:footnote w:id="15">
    <w:p w14:paraId="1CC78998" w14:textId="77777777" w:rsidR="00F63D94" w:rsidRPr="001E5042" w:rsidRDefault="00F63D94" w:rsidP="008F78E3">
      <w:pPr>
        <w:pStyle w:val="FootnoteText"/>
        <w:rPr>
          <w:lang w:val="mi-NZ"/>
        </w:rPr>
      </w:pPr>
      <w:r>
        <w:rPr>
          <w:rStyle w:val="FootnoteReference"/>
        </w:rPr>
        <w:footnoteRef/>
      </w:r>
      <w:r>
        <w:t xml:space="preserve"> For example, the gene editing technique CRISPR/Cas9, which uses DNA molecules synthesized from DSI, can be used in both </w:t>
      </w:r>
      <w:r w:rsidRPr="001E5042">
        <w:rPr>
          <w:i/>
        </w:rPr>
        <w:t>E. coli</w:t>
      </w:r>
      <w:r>
        <w:t xml:space="preserve"> and elephants. </w:t>
      </w:r>
      <w:r>
        <w:rPr>
          <w:lang w:val="mi-NZ"/>
        </w:rPr>
        <w:t>“</w:t>
      </w:r>
      <w:r w:rsidRPr="004E32C7">
        <w:rPr>
          <w:lang w:val="mi-NZ"/>
        </w:rPr>
        <w:t xml:space="preserve">The plan sounds wild </w:t>
      </w:r>
      <w:r>
        <w:rPr>
          <w:lang w:val="mi-NZ"/>
        </w:rPr>
        <w:t>–</w:t>
      </w:r>
      <w:r w:rsidRPr="004E32C7">
        <w:rPr>
          <w:lang w:val="mi-NZ"/>
        </w:rPr>
        <w:t xml:space="preserve"> but efforts to make mammals more mammoth-like have been going on for a while.</w:t>
      </w:r>
      <w:r>
        <w:rPr>
          <w:lang w:val="mi-NZ"/>
        </w:rPr>
        <w:t>...</w:t>
      </w:r>
      <w:r w:rsidRPr="004E32C7">
        <w:rPr>
          <w:lang w:val="mi-NZ"/>
        </w:rPr>
        <w:t>Church says that he has </w:t>
      </w:r>
      <w:r w:rsidRPr="000E04B6">
        <w:rPr>
          <w:lang w:val="mi-NZ"/>
        </w:rPr>
        <w:t>edited about 14 such genes in elephant embryos</w:t>
      </w:r>
      <w:r>
        <w:rPr>
          <w:lang w:val="mi-NZ"/>
        </w:rPr>
        <w:t>” (</w:t>
      </w:r>
      <w:r>
        <w:rPr>
          <w:lang w:val="mi-NZ"/>
        </w:rPr>
        <w:fldChar w:fldCharType="begin"/>
      </w:r>
      <w:r>
        <w:rPr>
          <w:lang w:val="mi-NZ"/>
        </w:rPr>
        <w:instrText xml:space="preserve"> ADDIN EN.CITE &lt;EndNote&gt;&lt;Cite&gt;&lt;Author&gt;Reardon&lt;/Author&gt;&lt;Year&gt;2016&lt;/Year&gt;&lt;RecNum&gt;337&lt;/RecNum&gt;&lt;DisplayText&gt;&lt;style face="bold"&gt;Reardon, S.&lt;/style&gt; 2016. Welcome to the CRISPR zoo. Nature&lt;style face="italic"&gt; 531&lt;/style&gt;, 160-163.&lt;/DisplayText&gt;&lt;record&gt;&lt;rec-number&gt;337&lt;/rec-number&gt;&lt;foreign-keys&gt;&lt;key app="EN" db-id="vav00vdrjedrwre5xsc5vxpsx0fp9arstrrf" timestamp="1518635531"&gt;337&lt;/key&gt;&lt;/foreign-keys&gt;&lt;ref-type name="Journal Article"&gt;17&lt;/ref-type&gt;&lt;contributors&gt;&lt;authors&gt;&lt;author&gt;Reardon, S.&lt;/author&gt;&lt;/authors&gt;&lt;/contributors&gt;&lt;titles&gt;&lt;title&gt;Welcome to the CRISPR zoo&lt;/title&gt;&lt;secondary-title&gt;Nature&lt;/secondary-title&gt;&lt;alt-title&gt;Nature&lt;/alt-title&gt;&lt;/titles&gt;&lt;periodical&gt;&lt;full-title&gt;Nature&lt;/full-title&gt;&lt;/periodical&gt;&lt;alt-periodical&gt;&lt;full-title&gt;Nature&lt;/full-title&gt;&lt;/alt-periodical&gt;&lt;pages&gt;160-163&lt;/pages&gt;&lt;volume&gt;531&lt;/volume&gt;&lt;dates&gt;&lt;year&gt;2016&lt;/year&gt;&lt;/dates&gt;&lt;urls&gt;&lt;/urls&gt;&lt;/record&gt;&lt;/Cite&gt;&lt;/EndNote&gt;</w:instrText>
      </w:r>
      <w:r>
        <w:rPr>
          <w:lang w:val="mi-NZ"/>
        </w:rPr>
        <w:fldChar w:fldCharType="separate"/>
      </w:r>
      <w:r w:rsidRPr="002F7805">
        <w:rPr>
          <w:bCs/>
          <w:noProof/>
          <w:lang w:val="mi-NZ"/>
        </w:rPr>
        <w:t xml:space="preserve">Reardon, </w:t>
      </w:r>
      <w:r>
        <w:rPr>
          <w:noProof/>
          <w:lang w:val="mi-NZ"/>
        </w:rPr>
        <w:t>2016).</w:t>
      </w:r>
      <w:r>
        <w:rPr>
          <w:lang w:val="mi-NZ"/>
        </w:rPr>
        <w:fldChar w:fldCharType="end"/>
      </w:r>
    </w:p>
  </w:footnote>
  <w:footnote w:id="16">
    <w:p w14:paraId="2DF65BCB" w14:textId="77777777" w:rsidR="00F63D94" w:rsidRPr="001E5042" w:rsidRDefault="00F63D94">
      <w:pPr>
        <w:pStyle w:val="FootnoteText"/>
        <w:rPr>
          <w:lang w:val="mi-NZ"/>
        </w:rPr>
      </w:pPr>
      <w:r>
        <w:rPr>
          <w:rStyle w:val="FootnoteReference"/>
        </w:rPr>
        <w:footnoteRef/>
      </w:r>
      <w:r>
        <w:t xml:space="preserve"> </w:t>
      </w:r>
      <w:r>
        <w:rPr>
          <w:lang w:val="mi-NZ"/>
        </w:rPr>
        <w:t>This is due to different codon preferences for the same amino acid in the different organisms.</w:t>
      </w:r>
    </w:p>
  </w:footnote>
  <w:footnote w:id="17">
    <w:p w14:paraId="5F2C50D6" w14:textId="77777777" w:rsidR="00F63D94" w:rsidRPr="00547C42" w:rsidRDefault="00F63D94" w:rsidP="008F78E3">
      <w:pPr>
        <w:pStyle w:val="FootnoteText"/>
      </w:pPr>
      <w:r>
        <w:rPr>
          <w:rStyle w:val="FootnoteReference"/>
        </w:rPr>
        <w:footnoteRef/>
      </w:r>
      <w:r>
        <w:t xml:space="preserve"> </w:t>
      </w:r>
      <w:r w:rsidRPr="00AF0466">
        <w:rPr>
          <w:lang w:val="mi-NZ"/>
        </w:rPr>
        <w:t>R</w:t>
      </w:r>
      <w:r>
        <w:rPr>
          <w:lang w:val="mi-NZ"/>
        </w:rPr>
        <w:t xml:space="preserve">eading is defined as the use of </w:t>
      </w:r>
      <w:r w:rsidRPr="00AF0466">
        <w:rPr>
          <w:lang w:val="mi-NZ"/>
        </w:rPr>
        <w:t>massively parallel sequencing technologies to decipher nucleotide order and writing as the use of either genome-editing tools or DNA synthesis to make changes in DNA molecules</w:t>
      </w:r>
      <w:r>
        <w:rPr>
          <w:lang w:val="mi-NZ"/>
        </w:rPr>
        <w:t xml:space="preserve"> (</w:t>
      </w:r>
      <w:r>
        <w:rPr>
          <w:lang w:val="mi-NZ"/>
        </w:rPr>
        <w:fldChar w:fldCharType="begin"/>
      </w:r>
      <w:r>
        <w:rPr>
          <w:lang w:val="mi-NZ"/>
        </w:rPr>
        <w:instrText xml:space="preserve"> ADDIN EN.CITE &lt;EndNote&gt;&lt;Cite&gt;&lt;Author&gt;Chari&lt;/Author&gt;&lt;Year&gt;2017&lt;/Year&gt;&lt;RecNum&gt;34&lt;/RecNum&gt;&lt;DisplayText&gt;&lt;style face="bold"&gt;Chari, R., and Church, G.M.&lt;/style&gt; 2017. Beyond editing to writing large genomes. Nat Rev Genet.&lt;/DisplayText&gt;&lt;record&gt;&lt;rec-number&gt;34&lt;/rec-number&gt;&lt;foreign-keys&gt;&lt;key app="EN" db-id="vav00vdrjedrwre5xsc5vxpsx0fp9arstrrf" timestamp="1509063493"&gt;34&lt;/key&gt;&lt;/foreign-keys&gt;&lt;ref-type name="Journal Article"&gt;17&lt;/ref-type&gt;&lt;contributors&gt;&lt;authors&gt;&lt;author&gt;Chari, R.&lt;/author&gt;&lt;author&gt;Church, G. M.&lt;/author&gt;&lt;/authors&gt;&lt;/contributors&gt;&lt;titles&gt;&lt;title&gt;Beyond editing to writing large genomes&lt;/title&gt;&lt;secondary-title&gt;Nature Reviews Genetics&lt;/secondary-title&gt;&lt;alt-title&gt;Nat Rev Genet&lt;/alt-title&gt;&lt;/titles&gt;&lt;periodical&gt;&lt;full-title&gt;Nature Reviews Genetics&lt;/full-title&gt;&lt;abbr-1&gt;Nat Rev Genet&lt;/abbr-1&gt;&lt;/periodical&gt;&lt;alt-periodical&gt;&lt;full-title&gt;Nature Reviews Genetics&lt;/full-title&gt;&lt;abbr-1&gt;Nat Rev Genet&lt;/abbr-1&gt;&lt;/alt-periodical&gt;&lt;dates&gt;&lt;year&gt;2017&lt;/year&gt;&lt;/dates&gt;&lt;urls&gt;&lt;/urls&gt;&lt;electronic-resource-num&gt;10.1038/nrg.2017.59.&lt;/electronic-resource-num&gt;&lt;/record&gt;&lt;/Cite&gt;&lt;/EndNote&gt;</w:instrText>
      </w:r>
      <w:r>
        <w:rPr>
          <w:lang w:val="mi-NZ"/>
        </w:rPr>
        <w:fldChar w:fldCharType="separate"/>
      </w:r>
      <w:r w:rsidRPr="009015E6">
        <w:rPr>
          <w:bCs/>
          <w:noProof/>
          <w:lang w:val="mi-NZ"/>
        </w:rPr>
        <w:t xml:space="preserve">Chari and Church, </w:t>
      </w:r>
      <w:r w:rsidRPr="00381F8F">
        <w:rPr>
          <w:bCs/>
          <w:noProof/>
          <w:lang w:val="mi-NZ"/>
        </w:rPr>
        <w:t>2</w:t>
      </w:r>
      <w:r>
        <w:rPr>
          <w:noProof/>
          <w:lang w:val="mi-NZ"/>
        </w:rPr>
        <w:t>017).</w:t>
      </w:r>
      <w:r>
        <w:rPr>
          <w:lang w:val="mi-NZ"/>
        </w:rPr>
        <w:fldChar w:fldCharType="end"/>
      </w:r>
    </w:p>
  </w:footnote>
  <w:footnote w:id="18">
    <w:p w14:paraId="422616A1" w14:textId="77777777" w:rsidR="00F63D94" w:rsidRPr="00B00308" w:rsidRDefault="00F63D94">
      <w:pPr>
        <w:pStyle w:val="FootnoteText"/>
      </w:pPr>
      <w:r>
        <w:rPr>
          <w:rStyle w:val="FootnoteReference"/>
        </w:rPr>
        <w:footnoteRef/>
      </w:r>
      <w:r>
        <w:t xml:space="preserve"> </w:t>
      </w:r>
      <w:r w:rsidRPr="00461904">
        <w:rPr>
          <w:lang w:val="mi-NZ"/>
        </w:rPr>
        <w:t xml:space="preserve">A unit of information equal to </w:t>
      </w:r>
      <w:r>
        <w:rPr>
          <w:lang w:val="mi-NZ"/>
        </w:rPr>
        <w:t>a</w:t>
      </w:r>
      <w:r w:rsidRPr="00461904">
        <w:rPr>
          <w:lang w:val="mi-NZ"/>
        </w:rPr>
        <w:t xml:space="preserve"> quintillion (10</w:t>
      </w:r>
      <w:r w:rsidRPr="00461904">
        <w:rPr>
          <w:vertAlign w:val="superscript"/>
          <w:lang w:val="mi-NZ"/>
        </w:rPr>
        <w:t>18</w:t>
      </w:r>
      <w:r w:rsidRPr="00461904">
        <w:rPr>
          <w:lang w:val="mi-NZ"/>
        </w:rPr>
        <w:t>).</w:t>
      </w:r>
    </w:p>
  </w:footnote>
  <w:footnote w:id="19">
    <w:p w14:paraId="4A3F061D" w14:textId="77777777" w:rsidR="00F63D94" w:rsidRPr="00667094" w:rsidRDefault="00F63D94">
      <w:pPr>
        <w:pStyle w:val="FootnoteText"/>
      </w:pPr>
      <w:r>
        <w:rPr>
          <w:rStyle w:val="FootnoteReference"/>
        </w:rPr>
        <w:footnoteRef/>
      </w:r>
      <w:r>
        <w:t xml:space="preserve"> </w:t>
      </w:r>
      <w:r w:rsidRPr="00F847BE">
        <w:rPr>
          <w:szCs w:val="22"/>
          <w:lang w:val="mi-NZ"/>
        </w:rPr>
        <w:t>For example, in the retrovirus lifecycle</w:t>
      </w:r>
      <w:r>
        <w:rPr>
          <w:szCs w:val="22"/>
          <w:lang w:val="mi-NZ"/>
        </w:rPr>
        <w:t xml:space="preserve"> (see Annex</w:t>
      </w:r>
      <w:r w:rsidRPr="00C94F2D">
        <w:rPr>
          <w:szCs w:val="22"/>
          <w:lang w:val="mi-NZ"/>
        </w:rPr>
        <w:t>)</w:t>
      </w:r>
      <w:r w:rsidRPr="00F847BE">
        <w:rPr>
          <w:szCs w:val="22"/>
          <w:lang w:val="mi-NZ"/>
        </w:rPr>
        <w:t>.</w:t>
      </w:r>
    </w:p>
  </w:footnote>
  <w:footnote w:id="20">
    <w:p w14:paraId="6EDA6864" w14:textId="77777777" w:rsidR="00F63D94" w:rsidRPr="009746F7" w:rsidRDefault="00F63D94" w:rsidP="00E231A6">
      <w:pPr>
        <w:pStyle w:val="FootnoteText"/>
        <w:rPr>
          <w:lang w:val="mi-NZ"/>
        </w:rPr>
      </w:pPr>
      <w:r>
        <w:rPr>
          <w:rStyle w:val="FootnoteReference"/>
        </w:rPr>
        <w:footnoteRef/>
      </w:r>
      <w:r>
        <w:t xml:space="preserve"> “</w:t>
      </w:r>
      <w:r w:rsidRPr="00664314">
        <w:rPr>
          <w:lang w:val="mi-NZ"/>
        </w:rPr>
        <w:t>In one application of this embodiment, one or more nucleotide sequences of the present invention can be recorded on computer r</w:t>
      </w:r>
      <w:r>
        <w:rPr>
          <w:lang w:val="mi-NZ"/>
        </w:rPr>
        <w:t>eadable media. As used herein, ‘computer readable media’</w:t>
      </w:r>
      <w:r w:rsidRPr="00664314">
        <w:rPr>
          <w:lang w:val="mi-NZ"/>
        </w:rPr>
        <w:t xml:space="preserve"> refers to any medium that can be read and accessed directly by a computer. Such media include, but are not limited to: magnetic storage media, such as floppy discs, hard disc storage medium, and magnetic tape; optical storage media such as CD-ROM; electrical storage media such as RAM and ROM; and hybrids of these categories such as magnetic/optical storage media. A skilled artisan can readily appreciate how any of the presently known computer readable mediums can be used to create a manufacture comprising computer readable medium having recorded thereon a nucleotide sequence of the present invention</w:t>
      </w:r>
      <w:r>
        <w:rPr>
          <w:lang w:val="mi-NZ"/>
        </w:rPr>
        <w:t>” (</w:t>
      </w:r>
      <w:r>
        <w:rPr>
          <w:lang w:val="mi-NZ"/>
        </w:rPr>
        <w:fldChar w:fldCharType="begin"/>
      </w:r>
      <w:r>
        <w:rPr>
          <w:lang w:val="mi-NZ"/>
        </w:rPr>
        <w:instrText xml:space="preserve"> ADDIN EN.CITE &lt;EndNote&gt;&lt;Cite&gt;&lt;Author&gt;Dillon&lt;/Author&gt;&lt;Year&gt;2004&lt;/Year&gt;&lt;RecNum&gt;181&lt;/RecNum&gt;&lt;DisplayText&gt;&lt;style face="bold"&gt;Dillon, P., Choi, G., and Welch, R.&lt;/style&gt; 2004. Nucleotide sequence of Escherichia coli pathogenicity islands. https://www.google.com/patents/US6787643.&lt;/DisplayText&gt;&lt;record&gt;&lt;rec-number&gt;181&lt;/rec-number&gt;&lt;foreign-keys&gt;&lt;key app="EN" db-id="vav00vdrjedrwre5xsc5vxpsx0fp9arstrrf" timestamp="1511823156"&gt;181&lt;/key&gt;&lt;/foreign-keys&gt;&lt;ref-type name="Patent"&gt;25&lt;/ref-type&gt;&lt;contributors&gt;&lt;authors&gt;&lt;author&gt;Dillon, P.&lt;/author&gt;&lt;author&gt;Choi, G.&lt;/author&gt;&lt;author&gt;Welch, R.&lt;/author&gt;&lt;/authors&gt;&lt;/contributors&gt;&lt;titles&gt;&lt;title&gt;Nucleotide sequence of Escherichia coli pathogenicity islands&lt;/title&gt;&lt;/titles&gt;&lt;volume&gt;US 6787643 B2&lt;/volume&gt;&lt;number&gt;US 09/956,004&lt;/number&gt;&lt;dates&gt;&lt;year&gt;2004&lt;/year&gt;&lt;/dates&gt;&lt;publisher&gt;Human Genome Sciences, Inc.&lt;/publisher&gt;&lt;urls&gt;&lt;related-urls&gt;&lt;url&gt;https://www.google.com/patents/US6787643&lt;/url&gt;&lt;/related-urls&gt;&lt;/urls&gt;&lt;/record&gt;&lt;/Cite&gt;&lt;/EndNote&gt;</w:instrText>
      </w:r>
      <w:r>
        <w:rPr>
          <w:lang w:val="mi-NZ"/>
        </w:rPr>
        <w:fldChar w:fldCharType="separate"/>
      </w:r>
      <w:r w:rsidRPr="002F7805">
        <w:rPr>
          <w:bCs/>
          <w:noProof/>
          <w:lang w:val="mi-NZ"/>
        </w:rPr>
        <w:t>Dillon</w:t>
      </w:r>
      <w:r>
        <w:rPr>
          <w:bCs/>
          <w:noProof/>
          <w:lang w:val="mi-NZ"/>
        </w:rPr>
        <w:t xml:space="preserve"> </w:t>
      </w:r>
      <w:r w:rsidRPr="002F7805">
        <w:rPr>
          <w:bCs/>
          <w:i/>
          <w:iCs/>
          <w:noProof/>
          <w:lang w:val="mi-NZ"/>
        </w:rPr>
        <w:t xml:space="preserve">et al., </w:t>
      </w:r>
      <w:r>
        <w:rPr>
          <w:noProof/>
          <w:lang w:val="mi-NZ"/>
        </w:rPr>
        <w:t>2004).</w:t>
      </w:r>
      <w:r>
        <w:rPr>
          <w:lang w:val="mi-NZ"/>
        </w:rPr>
        <w:fldChar w:fldCharType="end"/>
      </w:r>
    </w:p>
  </w:footnote>
  <w:footnote w:id="21">
    <w:p w14:paraId="4BE3A6B5" w14:textId="77777777" w:rsidR="00F63D94" w:rsidRPr="00667094" w:rsidRDefault="00F63D94">
      <w:pPr>
        <w:pStyle w:val="FootnoteText"/>
      </w:pPr>
      <w:r>
        <w:rPr>
          <w:rStyle w:val="FootnoteReference"/>
        </w:rPr>
        <w:footnoteRef/>
      </w:r>
      <w:r>
        <w:t xml:space="preserve"> </w:t>
      </w:r>
      <w:r w:rsidRPr="00F847BE">
        <w:rPr>
          <w:szCs w:val="22"/>
        </w:rPr>
        <w:t>Of course this is not to say that only when information can be commoditized does it have actual or potential value</w:t>
      </w:r>
      <w:r>
        <w:rPr>
          <w:szCs w:val="22"/>
        </w:rPr>
        <w:t>.</w:t>
      </w:r>
    </w:p>
  </w:footnote>
  <w:footnote w:id="22">
    <w:p w14:paraId="777F5A9F" w14:textId="77777777" w:rsidR="00F63D94" w:rsidRPr="00621291" w:rsidRDefault="00F63D94" w:rsidP="00860F26">
      <w:pPr>
        <w:pStyle w:val="FootnoteText"/>
      </w:pPr>
      <w:r>
        <w:rPr>
          <w:rStyle w:val="FootnoteReference"/>
        </w:rPr>
        <w:footnoteRef/>
      </w:r>
      <w:r>
        <w:t xml:space="preserve"> The journal provides a Web link to the databas</w:t>
      </w:r>
      <w:r w:rsidRPr="003C5C2A">
        <w:t xml:space="preserve">es </w:t>
      </w:r>
      <w:r>
        <w:fldChar w:fldCharType="begin"/>
      </w:r>
      <w:r>
        <w:instrText xml:space="preserve"> ADDIN EN.CITE &lt;EndNote&gt;&lt;Cite ExcludeYear="1"&gt;&lt;Author&gt;NAR&lt;/Author&gt;&lt;RecNum&gt;176&lt;/RecNum&gt;&lt;DisplayText&gt;&lt;style face="bold"&gt;NAR&lt;/style&gt;. NAR Database Summary Paper Alphabetic List. http://www.oxfordjournals.org/our_journals/nar/database/a/. Access date, 28 November 2017&lt;/DisplayText&gt;&lt;record&gt;&lt;rec-number&gt;176&lt;/rec-number&gt;&lt;foreign-keys&gt;&lt;key app="EN" db-id="vav00vdrjedrwre5xsc5vxpsx0fp9arstrrf" timestamp="1511815980"&gt;176&lt;/key&gt;&lt;/foreign-keys&gt;&lt;ref-type name="Web Page"&gt;12&lt;/ref-type&gt;&lt;contributors&gt;&lt;authors&gt;&lt;author&gt;NAR&lt;/author&gt;&lt;/authors&gt;&lt;/contributors&gt;&lt;titles&gt;&lt;title&gt;NAR Database Summary Paper Alphabetic List&lt;/title&gt;&lt;/titles&gt;&lt;number&gt;28 November 2017&lt;/number&gt;&lt;dates&gt;&lt;/dates&gt;&lt;urls&gt;&lt;related-urls&gt;&lt;url&gt;http://www.oxfordjournals.org/our_journals/nar/database/a/&lt;/url&gt;&lt;/related-urls&gt;&lt;/urls&gt;&lt;/record&gt;&lt;/Cite&gt;&lt;/EndNote&gt;</w:instrText>
      </w:r>
      <w:r>
        <w:fldChar w:fldCharType="separate"/>
      </w:r>
      <w:r w:rsidRPr="001C037C">
        <w:rPr>
          <w:b/>
          <w:noProof/>
        </w:rPr>
        <w:t>NAR</w:t>
      </w:r>
      <w:r>
        <w:rPr>
          <w:noProof/>
        </w:rPr>
        <w:t>. NAR Database Summary Paper Alphabetic List. http://www.oxfordjournals.org/our_journals/nar/database/a/. Accessed 28 November 2017</w:t>
      </w:r>
      <w:r>
        <w:fldChar w:fldCharType="end"/>
      </w:r>
      <w:r w:rsidRPr="003C5C2A">
        <w:t>.</w:t>
      </w:r>
    </w:p>
  </w:footnote>
  <w:footnote w:id="23">
    <w:p w14:paraId="6BC4830A" w14:textId="77777777" w:rsidR="00F63D94" w:rsidRPr="00EE70A0" w:rsidRDefault="00F63D94" w:rsidP="00371817">
      <w:pPr>
        <w:pStyle w:val="FootnoteText"/>
        <w:rPr>
          <w:lang w:val="mi-NZ"/>
        </w:rPr>
      </w:pPr>
      <w:r>
        <w:rPr>
          <w:rStyle w:val="FootnoteReference"/>
        </w:rPr>
        <w:footnoteRef/>
      </w:r>
      <w:r>
        <w:t xml:space="preserve"> </w:t>
      </w:r>
      <w:r>
        <w:rPr>
          <w:lang w:val="mi-NZ"/>
        </w:rPr>
        <w:t>Another example is the Ecobiomics Project (</w:t>
      </w:r>
      <w:r>
        <w:rPr>
          <w:lang w:val="mi-NZ"/>
        </w:rPr>
        <w:fldChar w:fldCharType="begin"/>
      </w:r>
      <w:r>
        <w:rPr>
          <w:lang w:val="mi-NZ"/>
        </w:rPr>
        <w:instrText xml:space="preserve"> ADDIN EN.CITE &lt;EndNote&gt;&lt;Cite&gt;&lt;Author&gt;CBD&lt;/Author&gt;&lt;Year&gt;2018&lt;/Year&gt;&lt;RecNum&gt;336&lt;/RecNum&gt;&lt;DisplayText&gt;&lt;style face="bold"&gt;CBD&lt;/style&gt;. 2018. Synthesis of views and information on the potential implications of the use of digital sequence information on genetic resources for the three objectives of the Convention and the objective of the Nagoya Protocol. AHTEG on Digital Sequence Information on Genetic Resources (Montreal)CBD/DSI/AHTEG/2018/1/2/Add.1 &lt;/DisplayText&gt;&lt;record&gt;&lt;rec-number&gt;336&lt;/rec-number&gt;&lt;foreign-keys&gt;&lt;key app="EN" db-id="vav00vdrjedrwre5xsc5vxpsx0fp9arstrrf" timestamp="1518634912"&gt;336&lt;/key&gt;&lt;/foreign-keys&gt;&lt;ref-type name="Report"&gt;27&lt;/ref-type&gt;&lt;contributors&gt;&lt;authors&gt;&lt;author&gt;CBD&lt;/author&gt;&lt;/authors&gt;&lt;/contributors&gt;&lt;titles&gt;&lt;title&gt;Synthesis of views and information on the potential implications of the use of digital sequence information on genetic resources for the three objectives of the Convention and the objective of the Nagoya Protocol&lt;/title&gt;&lt;secondary-title&gt;AHTEG on Digital Sequence Information on Genetic Resources&lt;/secondary-title&gt;&lt;/titles&gt;&lt;dates&gt;&lt;year&gt;2018&lt;/year&gt;&lt;/dates&gt;&lt;pub-location&gt;Montreal&lt;/pub-location&gt;&lt;isbn&gt;CBD/DSI/AHTEG/2018/1/2/Add.1&lt;/isbn&gt;&lt;urls&gt;&lt;/urls&gt;&lt;/record&gt;&lt;/Cite&gt;&lt;/EndNote&gt;</w:instrText>
      </w:r>
      <w:r>
        <w:rPr>
          <w:lang w:val="mi-NZ"/>
        </w:rPr>
        <w:fldChar w:fldCharType="separate"/>
      </w:r>
      <w:r w:rsidRPr="002F7805">
        <w:rPr>
          <w:bCs/>
          <w:noProof/>
          <w:lang w:val="mi-NZ"/>
        </w:rPr>
        <w:t>CBD</w:t>
      </w:r>
      <w:r>
        <w:rPr>
          <w:noProof/>
          <w:lang w:val="mi-NZ"/>
        </w:rPr>
        <w:t>, 2018).</w:t>
      </w:r>
      <w:r w:rsidDel="00371817">
        <w:rPr>
          <w:noProof/>
          <w:lang w:val="mi-NZ"/>
        </w:rPr>
        <w:t xml:space="preserve"> </w:t>
      </w:r>
      <w:r>
        <w:rPr>
          <w:lang w:val="mi-NZ"/>
        </w:rPr>
        <w:fldChar w:fldCharType="end"/>
      </w:r>
    </w:p>
  </w:footnote>
  <w:footnote w:id="24">
    <w:p w14:paraId="6CE40B72" w14:textId="77777777" w:rsidR="00F63D94" w:rsidRPr="006152CB" w:rsidRDefault="00F63D94" w:rsidP="008800F9">
      <w:pPr>
        <w:pStyle w:val="FootnoteText"/>
        <w:rPr>
          <w:lang w:val="mi-NZ"/>
        </w:rPr>
      </w:pPr>
      <w:r w:rsidRPr="006152CB">
        <w:rPr>
          <w:rStyle w:val="FootnoteReference"/>
        </w:rPr>
        <w:footnoteRef/>
      </w:r>
      <w:r w:rsidRPr="006152CB">
        <w:t xml:space="preserve"> </w:t>
      </w:r>
      <w:r>
        <w:t>This is aspirational and controversial. See: (</w:t>
      </w:r>
      <w:r>
        <w:fldChar w:fldCharType="begin">
          <w:fldData xml:space="preserve">PEVuZE5vdGU+PENpdGU+PEF1dGhvcj5GSUZSQTwvQXV0aG9yPjxZZWFyPjIwMTQ8L1llYXI+PFJl
Y051bT42NjwvUmVjTnVtPjxEaXNwbGF5VGV4dD48c3R5bGUgZmFjZT0iYm9sZCI+SGVpbmVtYW5u
LCBKLkEuLCBBZ2FwaXRvLVRlbmZlbiwgUy5aLiwgYW5kIENhcm1hbiwgSi5BLjwvc3R5bGU+IDIw
MTMuIEEgY29tcGFyYXRpdmUgZXZhbHVhdGlvbiBvZiB0aGUgcmVndWxhdGlvbiBvZiBHTSBjcm9w
cyBvciBwcm9kdWN0cyBjb250YWluaW5nIGRzUk5BIGFuZCBzdWdnZXN0ZWQgaW1wcm92ZW1lbnRz
IHRvIHJpc2sgYXNzZXNzbWVudHMuIEVudmlyb24gSW50PHN0eWxlIGZhY2U9Iml0YWxpYyI+IDU1
PC9zdHlsZT4sIDQzLTU1LCA8c3R5bGUgZmFjZT0iYm9sZCI+RklGUkE8L3N0eWxlPi4gMjAxNC4g
Uk5BaSBUZWNobm9sb2d5IGFzIGEgUGVzdGljaWRlOiBQcm9ncmFtIEZvcm11bGF0aW9uIGZvciBI
dW1hbiBIZWFsdGggYW5kIEVjb2xvZ2ljYWwgUmlzayBBc3Nlc3NtZW50LiAgIFVuaXRlZCBTdGF0
ZXMgRW52aXJvbm1lbnRhbCBQcm90ZWN0aW9uIEFnZW5jeSAgaHR0cDovL3d3dy5lcGEuZ292L3Nj
aXBvbHkvc2FwL21lZXRpbmdzLzIwMTQvamFudWFyeS8wMTI4MTRtaW51dGVzLnBkZi48L0Rpc3Bs
YXlUZXh0PjxyZWNvcmQ+PHJlYy1udW1iZXI+NjY8L3JlYy1udW1iZXI+PGZvcmVpZ24ta2V5cz48
a2V5IGFwcD0iRU4iIGRiLWlkPSJ2YXYwMHZkcmplZHJ3cmU1eHNjNXZ4cHN4MGZwOWFyc3RycmYi
IHRpbWVzdGFtcD0iMTUxMDYwMTEyMSI+NjY8L2tleT48L2ZvcmVpZ24ta2V5cz48cmVmLXR5cGUg
bmFtZT0iUmVwb3J0Ij4yNzwvcmVmLXR5cGU+PGNvbnRyaWJ1dG9ycz48YXV0aG9ycz48YXV0aG9y
PkZJRlJBPC9hdXRob3I+PC9hdXRob3JzPjwvY29udHJpYnV0b3JzPjx0aXRsZXM+PHRpdGxlPlJO
QWkgVGVjaG5vbG9neSBhcyBhIFBlc3RpY2lkZTogUHJvZ3JhbSBGb3JtdWxhdGlvbiBmb3IgSHVt
YW4gSGVhbHRoIGFuZCBFY29sb2dpY2FsIFJpc2sgQXNzZXNzbWVudDwvdGl0bGU+PC90aXRsZXM+
PG51bWJlcj5TQVAgTWludXRlcyBOby4gMjAxNC0wMjwvbnVtYmVyPjxkYXRlcz48eWVhcj4yMDE0
PC95ZWFyPjwvZGF0ZXM+PHB1Ymxpc2hlcj5Vbml0ZWQgU3RhdGVzIEVudmlyb25tZW50YWwgUHJv
dGVjdGlvbiBBZ2VuY3k8L3B1Ymxpc2hlcj48dXJscz48cmVsYXRlZC11cmxzPjx1cmw+aHR0cDov
L3d3dy5lcGEuZ292L3NjaXBvbHkvc2FwL21lZXRpbmdzLzIwMTQvamFudWFyeS8wMTI4MTRtaW51
dGVzLnBkZjwvdXJsPjwvcmVsYXRlZC11cmxzPjwvdXJscz48L3JlY29yZD48L0NpdGU+PENpdGU+
PEF1dGhvcj5IZWluZW1hbm48L0F1dGhvcj48WWVhcj4yMDEzPC9ZZWFyPjxSZWNOdW0+MTc8L1Jl
Y051bT48cmVjb3JkPjxyZWMtbnVtYmVyPjE3PC9yZWMtbnVtYmVyPjxmb3JlaWduLWtleXM+PGtl
eSBhcHA9IkVOIiBkYi1pZD0idmF2MDB2ZHJqZWRyd3JlNXhzYzV2eHBzeDBmcDlhcnN0cnJmIiB0
aW1lc3RhbXA9IjE1MDg5MTAxMDYiPjE3PC9rZXk+PC9mb3JlaWduLWtleXM+PHJlZi10eXBlIG5h
bWU9IkpvdXJuYWwgQXJ0aWNsZSI+MTc8L3JlZi10eXBlPjxjb250cmlidXRvcnM+PGF1dGhvcnM+
PGF1dGhvcj5IZWluZW1hbm4sIEouQS48L2F1dGhvcj48YXV0aG9yPkFnYXBpdG8tVGVuZmVuLCBT
LlouPC9hdXRob3I+PGF1dGhvcj5DYXJtYW4sIEouQS48L2F1dGhvcj48L2F1dGhvcnM+PC9jb250
cmlidXRvcnM+PHRpdGxlcz48dGl0bGU+QSBjb21wYXJhdGl2ZSBldmFsdWF0aW9uIG9mIHRoZSBy
ZWd1bGF0aW9uIG9mIEdNIGNyb3BzIG9yIHByb2R1Y3RzIGNvbnRhaW5pbmcgZHNSTkEgYW5kIHN1
Z2dlc3RlZCBpbXByb3ZlbWVudHMgdG8gcmlzayBhc3Nlc3NtZW50czwvdGl0bGU+PHNlY29uZGFy
eS10aXRsZT5FbnZpcm9ubWVudCBJbnRlcm5hdGlvbmFsPC9zZWNvbmRhcnktdGl0bGU+PGFsdC10
aXRsZT5FbnZpcm9uIEludDwvYWx0LXRpdGxlPjwvdGl0bGVzPjxwZXJpb2RpY2FsPjxmdWxsLXRp
dGxlPkVudmlyb25tZW50IEludGVybmF0aW9uYWw8L2Z1bGwtdGl0bGU+PGFiYnItMT5FbnZpcm9u
IEludDwvYWJici0xPjwvcGVyaW9kaWNhbD48YWx0LXBlcmlvZGljYWw+PGZ1bGwtdGl0bGU+RW52
aXJvbm1lbnQgSW50ZXJuYXRpb25hbDwvZnVsbC10aXRsZT48YWJici0xPkVudmlyb24gSW50PC9h
YmJyLTE+PC9hbHQtcGVyaW9kaWNhbD48cGFnZXM+NDMtNTU8L3BhZ2VzPjx2b2x1bWU+NTU8L3Zv
bHVtZT48ZGF0ZXM+PHllYXI+MjAxMzwveWVhcj48L2RhdGVzPjx1cmxzPjwvdXJscz48ZWxlY3Ry
b25pYy1yZXNvdXJjZS1udW0+MTAuMTAxNi9qLmVudmludC4yMDEzLjAyLjAxMDwvZWxlY3Ryb25p
Yy1yZXNvdXJjZS1udW0+PC9yZWNvcmQ+PC9DaXRlPjwvRW5kTm90ZT5=
</w:fldData>
        </w:fldChar>
      </w:r>
      <w:r>
        <w:instrText xml:space="preserve"> ADDIN EN.CITE </w:instrText>
      </w:r>
      <w:r>
        <w:fldChar w:fldCharType="begin">
          <w:fldData xml:space="preserve">PEVuZE5vdGU+PENpdGU+PEF1dGhvcj5GSUZSQTwvQXV0aG9yPjxZZWFyPjIwMTQ8L1llYXI+PFJl
Y051bT42NjwvUmVjTnVtPjxEaXNwbGF5VGV4dD48c3R5bGUgZmFjZT0iYm9sZCI+SGVpbmVtYW5u
LCBKLkEuLCBBZ2FwaXRvLVRlbmZlbiwgUy5aLiwgYW5kIENhcm1hbiwgSi5BLjwvc3R5bGU+IDIw
MTMuIEEgY29tcGFyYXRpdmUgZXZhbHVhdGlvbiBvZiB0aGUgcmVndWxhdGlvbiBvZiBHTSBjcm9w
cyBvciBwcm9kdWN0cyBjb250YWluaW5nIGRzUk5BIGFuZCBzdWdnZXN0ZWQgaW1wcm92ZW1lbnRz
IHRvIHJpc2sgYXNzZXNzbWVudHMuIEVudmlyb24gSW50PHN0eWxlIGZhY2U9Iml0YWxpYyI+IDU1
PC9zdHlsZT4sIDQzLTU1LCA8c3R5bGUgZmFjZT0iYm9sZCI+RklGUkE8L3N0eWxlPi4gMjAxNC4g
Uk5BaSBUZWNobm9sb2d5IGFzIGEgUGVzdGljaWRlOiBQcm9ncmFtIEZvcm11bGF0aW9uIGZvciBI
dW1hbiBIZWFsdGggYW5kIEVjb2xvZ2ljYWwgUmlzayBBc3Nlc3NtZW50LiAgIFVuaXRlZCBTdGF0
ZXMgRW52aXJvbm1lbnRhbCBQcm90ZWN0aW9uIEFnZW5jeSAgaHR0cDovL3d3dy5lcGEuZ292L3Nj
aXBvbHkvc2FwL21lZXRpbmdzLzIwMTQvamFudWFyeS8wMTI4MTRtaW51dGVzLnBkZi48L0Rpc3Bs
YXlUZXh0PjxyZWNvcmQ+PHJlYy1udW1iZXI+NjY8L3JlYy1udW1iZXI+PGZvcmVpZ24ta2V5cz48
a2V5IGFwcD0iRU4iIGRiLWlkPSJ2YXYwMHZkcmplZHJ3cmU1eHNjNXZ4cHN4MGZwOWFyc3RycmYi
IHRpbWVzdGFtcD0iMTUxMDYwMTEyMSI+NjY8L2tleT48L2ZvcmVpZ24ta2V5cz48cmVmLXR5cGUg
bmFtZT0iUmVwb3J0Ij4yNzwvcmVmLXR5cGU+PGNvbnRyaWJ1dG9ycz48YXV0aG9ycz48YXV0aG9y
PkZJRlJBPC9hdXRob3I+PC9hdXRob3JzPjwvY29udHJpYnV0b3JzPjx0aXRsZXM+PHRpdGxlPlJO
QWkgVGVjaG5vbG9neSBhcyBhIFBlc3RpY2lkZTogUHJvZ3JhbSBGb3JtdWxhdGlvbiBmb3IgSHVt
YW4gSGVhbHRoIGFuZCBFY29sb2dpY2FsIFJpc2sgQXNzZXNzbWVudDwvdGl0bGU+PC90aXRsZXM+
PG51bWJlcj5TQVAgTWludXRlcyBOby4gMjAxNC0wMjwvbnVtYmVyPjxkYXRlcz48eWVhcj4yMDE0
PC95ZWFyPjwvZGF0ZXM+PHB1Ymxpc2hlcj5Vbml0ZWQgU3RhdGVzIEVudmlyb25tZW50YWwgUHJv
dGVjdGlvbiBBZ2VuY3k8L3B1Ymxpc2hlcj48dXJscz48cmVsYXRlZC11cmxzPjx1cmw+aHR0cDov
L3d3dy5lcGEuZ292L3NjaXBvbHkvc2FwL21lZXRpbmdzLzIwMTQvamFudWFyeS8wMTI4MTRtaW51
dGVzLnBkZjwvdXJsPjwvcmVsYXRlZC11cmxzPjwvdXJscz48L3JlY29yZD48L0NpdGU+PENpdGU+
PEF1dGhvcj5IZWluZW1hbm48L0F1dGhvcj48WWVhcj4yMDEzPC9ZZWFyPjxSZWNOdW0+MTc8L1Jl
Y051bT48cmVjb3JkPjxyZWMtbnVtYmVyPjE3PC9yZWMtbnVtYmVyPjxmb3JlaWduLWtleXM+PGtl
eSBhcHA9IkVOIiBkYi1pZD0idmF2MDB2ZHJqZWRyd3JlNXhzYzV2eHBzeDBmcDlhcnN0cnJmIiB0
aW1lc3RhbXA9IjE1MDg5MTAxMDYiPjE3PC9rZXk+PC9mb3JlaWduLWtleXM+PHJlZi10eXBlIG5h
bWU9IkpvdXJuYWwgQXJ0aWNsZSI+MTc8L3JlZi10eXBlPjxjb250cmlidXRvcnM+PGF1dGhvcnM+
PGF1dGhvcj5IZWluZW1hbm4sIEouQS48L2F1dGhvcj48YXV0aG9yPkFnYXBpdG8tVGVuZmVuLCBT
LlouPC9hdXRob3I+PGF1dGhvcj5DYXJtYW4sIEouQS48L2F1dGhvcj48L2F1dGhvcnM+PC9jb250
cmlidXRvcnM+PHRpdGxlcz48dGl0bGU+QSBjb21wYXJhdGl2ZSBldmFsdWF0aW9uIG9mIHRoZSBy
ZWd1bGF0aW9uIG9mIEdNIGNyb3BzIG9yIHByb2R1Y3RzIGNvbnRhaW5pbmcgZHNSTkEgYW5kIHN1
Z2dlc3RlZCBpbXByb3ZlbWVudHMgdG8gcmlzayBhc3Nlc3NtZW50czwvdGl0bGU+PHNlY29uZGFy
eS10aXRsZT5FbnZpcm9ubWVudCBJbnRlcm5hdGlvbmFsPC9zZWNvbmRhcnktdGl0bGU+PGFsdC10
aXRsZT5FbnZpcm9uIEludDwvYWx0LXRpdGxlPjwvdGl0bGVzPjxwZXJpb2RpY2FsPjxmdWxsLXRp
dGxlPkVudmlyb25tZW50IEludGVybmF0aW9uYWw8L2Z1bGwtdGl0bGU+PGFiYnItMT5FbnZpcm9u
IEludDwvYWJici0xPjwvcGVyaW9kaWNhbD48YWx0LXBlcmlvZGljYWw+PGZ1bGwtdGl0bGU+RW52
aXJvbm1lbnQgSW50ZXJuYXRpb25hbDwvZnVsbC10aXRsZT48YWJici0xPkVudmlyb24gSW50PC9h
YmJyLTE+PC9hbHQtcGVyaW9kaWNhbD48cGFnZXM+NDMtNTU8L3BhZ2VzPjx2b2x1bWU+NTU8L3Zv
bHVtZT48ZGF0ZXM+PHllYXI+MjAxMzwveWVhcj48L2RhdGVzPjx1cmxzPjwvdXJscz48ZWxlY3Ry
b25pYy1yZXNvdXJjZS1udW0+MTAuMTAxNi9qLmVudmludC4yMDEzLjAyLjAxMDwvZWxlY3Ryb25p
Yy1yZXNvdXJjZS1udW0+PC9yZWNvcmQ+PC9DaXRlPjwvRW5kTm90ZT5=
</w:fldData>
        </w:fldChar>
      </w:r>
      <w:r>
        <w:instrText xml:space="preserve"> ADDIN EN.CITE.DATA </w:instrText>
      </w:r>
      <w:r>
        <w:fldChar w:fldCharType="end"/>
      </w:r>
      <w:r>
        <w:fldChar w:fldCharType="separate"/>
      </w:r>
      <w:r w:rsidRPr="009015E6">
        <w:rPr>
          <w:bCs/>
          <w:noProof/>
        </w:rPr>
        <w:t>Heinemann</w:t>
      </w:r>
      <w:r>
        <w:rPr>
          <w:bCs/>
          <w:noProof/>
        </w:rPr>
        <w:t xml:space="preserve"> </w:t>
      </w:r>
      <w:r w:rsidRPr="009015E6">
        <w:rPr>
          <w:bCs/>
          <w:i/>
          <w:iCs/>
          <w:noProof/>
        </w:rPr>
        <w:t>et al.,</w:t>
      </w:r>
      <w:r>
        <w:rPr>
          <w:noProof/>
        </w:rPr>
        <w:t xml:space="preserve"> 2013; </w:t>
      </w:r>
      <w:r w:rsidRPr="009015E6">
        <w:rPr>
          <w:bCs/>
          <w:noProof/>
        </w:rPr>
        <w:t>FIFRA</w:t>
      </w:r>
      <w:r>
        <w:rPr>
          <w:bCs/>
          <w:noProof/>
        </w:rPr>
        <w:t>,</w:t>
      </w:r>
      <w:r>
        <w:rPr>
          <w:noProof/>
        </w:rPr>
        <w:t xml:space="preserve"> 2014).</w:t>
      </w:r>
      <w:r>
        <w:fldChar w:fldCharType="end"/>
      </w:r>
    </w:p>
  </w:footnote>
  <w:footnote w:id="25">
    <w:p w14:paraId="0397F527" w14:textId="77777777" w:rsidR="00F63D94" w:rsidRPr="000A4A6F" w:rsidRDefault="00F63D94" w:rsidP="008800F9">
      <w:pPr>
        <w:pStyle w:val="FootnoteText"/>
        <w:rPr>
          <w:lang w:val="mi-NZ"/>
        </w:rPr>
      </w:pPr>
      <w:r>
        <w:rPr>
          <w:rStyle w:val="FootnoteReference"/>
        </w:rPr>
        <w:footnoteRef/>
      </w:r>
      <w:r>
        <w:t xml:space="preserve"> “</w:t>
      </w:r>
      <w:r w:rsidRPr="00395A4B">
        <w:rPr>
          <w:lang w:val="mi-NZ"/>
        </w:rPr>
        <w:t xml:space="preserve">Transgenic crops with one or more herbicide tolerances may need specialized methods of management to control weeds and volunteer crop plants. The method enables the targeting of a transgene for herbicide tolerance to permit the treated plants to become sensitive to the herbicide. For example, an EPSPS DNA contained in a transgenic crop event can be a target for trigger molecules in order to render the transgenic crop sensitive to application of the corresponding </w:t>
      </w:r>
      <w:r>
        <w:rPr>
          <w:lang w:val="mi-NZ"/>
        </w:rPr>
        <w:t>glyphosate containing herbicide” (</w:t>
      </w:r>
      <w:r>
        <w:rPr>
          <w:lang w:val="mi-NZ"/>
        </w:rPr>
        <w:fldChar w:fldCharType="begin"/>
      </w:r>
      <w:r>
        <w:rPr>
          <w:lang w:val="mi-NZ"/>
        </w:rPr>
        <w:instrText xml:space="preserve"> ADDIN EN.CITE &lt;EndNote&gt;&lt;Cite&gt;&lt;Author&gt;Ader&lt;/Author&gt;&lt;Year&gt;2011&lt;/Year&gt;&lt;RecNum&gt;325&lt;/RecNum&gt;&lt;DisplayText&gt;&lt;style face="bold"&gt;Ader, D., Li, Z., Shah, H.R., Tao, M., Wang, D., and Yang, H.&lt;/style&gt; 2011. Methods and compositions for weed control. https://patents.google.com/patent/US20130288895A1/en.&lt;/DisplayText&gt;&lt;record&gt;&lt;rec-number&gt;325&lt;/rec-number&gt;&lt;foreign-keys&gt;&lt;key app="EN" db-id="vav00vdrjedrwre5xsc5vxpsx0fp9arstrrf" timestamp="1517720540"&gt;325&lt;/key&gt;&lt;/foreign-keys&gt;&lt;ref-type name="Patent"&gt;25&lt;/ref-type&gt;&lt;contributors&gt;&lt;authors&gt;&lt;author&gt;Ader, D.&lt;/author&gt;&lt;author&gt;Li, Z.&lt;/author&gt;&lt;author&gt;Shah, H.R.&lt;/author&gt;&lt;author&gt;Tao, M.&lt;/author&gt;&lt;author&gt;Wang, D.&lt;/author&gt;&lt;author&gt;Yang, H.&lt;/author&gt;&lt;/authors&gt;&lt;/contributors&gt;&lt;titles&gt;&lt;title&gt;Methods and compositions for weed control&lt;/title&gt;&lt;/titles&gt;&lt;number&gt;US20130288895A1&lt;/number&gt;&lt;dates&gt;&lt;year&gt;2011&lt;/year&gt;&lt;/dates&gt;&lt;publisher&gt;Monsanto Technology LLC &lt;/publisher&gt;&lt;urls&gt;&lt;related-urls&gt;&lt;url&gt;https://patents.google.com/patent/US20130288895A1/en&lt;/url&gt;&lt;/related-urls&gt;&lt;/urls&gt;&lt;/record&gt;&lt;/Cite&gt;&lt;/EndNote&gt;</w:instrText>
      </w:r>
      <w:r>
        <w:rPr>
          <w:lang w:val="mi-NZ"/>
        </w:rPr>
        <w:fldChar w:fldCharType="separate"/>
      </w:r>
      <w:r w:rsidRPr="009015E6">
        <w:rPr>
          <w:bCs/>
          <w:noProof/>
          <w:lang w:val="mi-NZ"/>
        </w:rPr>
        <w:t>Ader</w:t>
      </w:r>
      <w:r>
        <w:rPr>
          <w:bCs/>
          <w:noProof/>
          <w:lang w:val="mi-NZ"/>
        </w:rPr>
        <w:t xml:space="preserve"> et al.,</w:t>
      </w:r>
      <w:r w:rsidRPr="009015E6">
        <w:rPr>
          <w:bCs/>
          <w:noProof/>
          <w:lang w:val="mi-NZ"/>
        </w:rPr>
        <w:t xml:space="preserve"> </w:t>
      </w:r>
      <w:r>
        <w:rPr>
          <w:noProof/>
          <w:lang w:val="mi-NZ"/>
        </w:rPr>
        <w:t>2011).</w:t>
      </w:r>
      <w:r>
        <w:rPr>
          <w:lang w:val="mi-NZ"/>
        </w:rPr>
        <w:fldChar w:fldCharType="end"/>
      </w:r>
    </w:p>
    <w:p w14:paraId="77A47976" w14:textId="77777777" w:rsidR="00F63D94" w:rsidRPr="00DC3DEE" w:rsidRDefault="00F63D94" w:rsidP="00DC3DEE">
      <w:pPr>
        <w:pStyle w:val="FootnoteText"/>
      </w:pPr>
    </w:p>
  </w:footnote>
  <w:footnote w:id="26">
    <w:p w14:paraId="7BD488B8" w14:textId="77777777" w:rsidR="00F63D94" w:rsidRPr="00912F6D" w:rsidRDefault="00F63D94" w:rsidP="008D66E1">
      <w:pPr>
        <w:pStyle w:val="FootnoteText"/>
        <w:rPr>
          <w:lang w:val="mi-NZ"/>
        </w:rPr>
      </w:pPr>
      <w:r>
        <w:rPr>
          <w:rStyle w:val="FootnoteReference"/>
        </w:rPr>
        <w:footnoteRef/>
      </w:r>
      <w:r>
        <w:t xml:space="preserve"> </w:t>
      </w:r>
      <w:r>
        <w:rPr>
          <w:lang w:val="mi-NZ"/>
        </w:rPr>
        <w:t>Gene drive systems are being developed in tested in many different kinds of organisms, including mammals. The controversial systems are discussed for use as prest and predator control (</w:t>
      </w:r>
      <w:r>
        <w:rPr>
          <w:lang w:val="mi-NZ"/>
        </w:rPr>
        <w:fldChar w:fldCharType="begin"/>
      </w:r>
      <w:r>
        <w:rPr>
          <w:lang w:val="mi-NZ"/>
        </w:rPr>
        <w:instrText xml:space="preserve"> ADDIN EN.CITE &lt;EndNote&gt;&lt;Cite&gt;&lt;Author&gt;Esvelt&lt;/Author&gt;&lt;Year&gt;2017&lt;/Year&gt;&lt;RecNum&gt;201&lt;/RecNum&gt;&lt;DisplayText&gt;&lt;style face="bold"&gt;Esvelt, K.M., and Gemmell, N.J.&lt;/style&gt; 2017. Conservation demands safe gene drive. PLoS Biol&lt;style face="italic"&gt; 15&lt;/style&gt;, e2003850, &lt;style face="bold"&gt;Neves, M.P., and Druml, C.&lt;/style&gt; 2017. Ethical implications of fighting malaria with CRISPR/Cas9. BMJ Glob Health&lt;style face="italic"&gt; 2&lt;/style&gt;, e000396.&lt;/DisplayText&gt;&lt;record&gt;&lt;rec-number&gt;201&lt;/rec-number&gt;&lt;foreign-keys&gt;&lt;key app="EN" db-id="vav00vdrjedrwre5xsc5vxpsx0fp9arstrrf" timestamp="1511909834"&gt;201&lt;/key&gt;&lt;/foreign-keys&gt;&lt;ref-type name="Journal Article"&gt;17&lt;/ref-type&gt;&lt;contributors&gt;&lt;authors&gt;&lt;author&gt;Esvelt, K.M.&lt;/author&gt;&lt;author&gt;Gemmell, N.J.&lt;/author&gt;&lt;/authors&gt;&lt;/contributors&gt;&lt;titles&gt;&lt;title&gt;Conservation demands safe gene drive&lt;/title&gt;&lt;secondary-title&gt;PLoS Biol&lt;/secondary-title&gt;&lt;alt-title&gt;PLoS Biol&lt;/alt-title&gt;&lt;/titles&gt;&lt;periodical&gt;&lt;full-title&gt;PLoS Biol&lt;/full-title&gt;&lt;abbr-1&gt;PLoS Biol&lt;/abbr-1&gt;&lt;/periodical&gt;&lt;alt-periodical&gt;&lt;full-title&gt;PLoS Biol&lt;/full-title&gt;&lt;abbr-1&gt;PLoS Biol&lt;/abbr-1&gt;&lt;/alt-periodical&gt;&lt;pages&gt;e2003850&lt;/pages&gt;&lt;volume&gt;15&lt;/volume&gt;&lt;dates&gt;&lt;year&gt;2017&lt;/year&gt;&lt;/dates&gt;&lt;urls&gt;&lt;/urls&gt;&lt;/record&gt;&lt;/Cite&gt;&lt;Cite&gt;&lt;Author&gt;Neves&lt;/Author&gt;&lt;Year&gt;2017&lt;/Year&gt;&lt;RecNum&gt;338&lt;/RecNum&gt;&lt;record&gt;&lt;rec-number&gt;338&lt;/rec-number&gt;&lt;foreign-keys&gt;&lt;key app="EN" db-id="vav00vdrjedrwre5xsc5vxpsx0fp9arstrrf" timestamp="1518645260"&gt;338&lt;/key&gt;&lt;/foreign-keys&gt;&lt;ref-type name="Journal Article"&gt;17&lt;/ref-type&gt;&lt;contributors&gt;&lt;authors&gt;&lt;author&gt;Neves, M.P.&lt;/author&gt;&lt;author&gt;Druml, C.&lt;/author&gt;&lt;/authors&gt;&lt;/contributors&gt;&lt;titles&gt;&lt;title&gt;Ethical implications of fighting malaria with CRISPR/Cas9&lt;/title&gt;&lt;secondary-title&gt;BMJ Global Health&lt;/secondary-title&gt;&lt;alt-title&gt;BMJ Glob Health&lt;/alt-title&gt;&lt;/titles&gt;&lt;periodical&gt;&lt;full-title&gt;BMJ Global Health&lt;/full-title&gt;&lt;abbr-1&gt;BMJ Glob Health&lt;/abbr-1&gt;&lt;/periodical&gt;&lt;alt-periodical&gt;&lt;full-title&gt;BMJ Global Health&lt;/full-title&gt;&lt;abbr-1&gt;BMJ Glob Health&lt;/abbr-1&gt;&lt;/alt-periodical&gt;&lt;pages&gt;e000396&lt;/pages&gt;&lt;volume&gt;2&lt;/volume&gt;&lt;dates&gt;&lt;year&gt;2017&lt;/year&gt;&lt;/dates&gt;&lt;urls&gt;&lt;/urls&gt;&lt;/record&gt;&lt;/Cite&gt;&lt;/EndNote&gt;</w:instrText>
      </w:r>
      <w:r>
        <w:rPr>
          <w:lang w:val="mi-NZ"/>
        </w:rPr>
        <w:fldChar w:fldCharType="separate"/>
      </w:r>
      <w:r w:rsidRPr="009015E6">
        <w:rPr>
          <w:bCs/>
          <w:noProof/>
          <w:lang w:val="mi-NZ"/>
        </w:rPr>
        <w:t>Esvelt</w:t>
      </w:r>
      <w:r>
        <w:rPr>
          <w:bCs/>
          <w:noProof/>
          <w:lang w:val="mi-NZ"/>
        </w:rPr>
        <w:t xml:space="preserve"> </w:t>
      </w:r>
      <w:r w:rsidRPr="009015E6">
        <w:rPr>
          <w:bCs/>
          <w:noProof/>
          <w:lang w:val="mi-NZ"/>
        </w:rPr>
        <w:t xml:space="preserve">and Gemmell, </w:t>
      </w:r>
      <w:r w:rsidRPr="00381F8F">
        <w:rPr>
          <w:bCs/>
          <w:noProof/>
          <w:lang w:val="mi-NZ"/>
        </w:rPr>
        <w:t>2017</w:t>
      </w:r>
      <w:r>
        <w:rPr>
          <w:bCs/>
          <w:noProof/>
          <w:lang w:val="mi-NZ"/>
        </w:rPr>
        <w:t xml:space="preserve">; </w:t>
      </w:r>
      <w:r w:rsidRPr="009015E6">
        <w:rPr>
          <w:bCs/>
          <w:noProof/>
          <w:lang w:val="mi-NZ"/>
        </w:rPr>
        <w:t xml:space="preserve">Neves and Druml, </w:t>
      </w:r>
      <w:r w:rsidRPr="00381F8F">
        <w:rPr>
          <w:bCs/>
          <w:noProof/>
          <w:lang w:val="mi-NZ"/>
        </w:rPr>
        <w:t>2017</w:t>
      </w:r>
      <w:r>
        <w:rPr>
          <w:bCs/>
          <w:noProof/>
          <w:lang w:val="mi-NZ"/>
        </w:rPr>
        <w:t>)</w:t>
      </w:r>
      <w:r w:rsidRPr="00381F8F">
        <w:rPr>
          <w:bCs/>
          <w:noProof/>
          <w:lang w:val="mi-NZ"/>
        </w:rPr>
        <w:t>.</w:t>
      </w:r>
      <w:r>
        <w:rPr>
          <w:lang w:val="mi-NZ"/>
        </w:rPr>
        <w:fldChar w:fldCharType="end"/>
      </w:r>
    </w:p>
  </w:footnote>
  <w:footnote w:id="27">
    <w:p w14:paraId="238DE791" w14:textId="77777777" w:rsidR="00F63D94" w:rsidRPr="005A35CE" w:rsidRDefault="00F63D94" w:rsidP="004B7895">
      <w:pPr>
        <w:pStyle w:val="FootnoteText"/>
        <w:rPr>
          <w:lang w:val="mi-NZ"/>
        </w:rPr>
      </w:pPr>
      <w:r>
        <w:rPr>
          <w:rStyle w:val="FootnoteReference"/>
        </w:rPr>
        <w:footnoteRef/>
      </w:r>
      <w:r>
        <w:t xml:space="preserve"> </w:t>
      </w:r>
      <w:r w:rsidRPr="005A35CE">
        <w:t xml:space="preserve">Tissue, cells and DNA as genetic resources: </w:t>
      </w:r>
      <w:hyperlink r:id="rId2" w:history="1">
        <w:r w:rsidRPr="005A35CE">
          <w:rPr>
            <w:rStyle w:val="Hyperlink"/>
            <w:lang w:val="en-US"/>
          </w:rPr>
          <w:t>http://www.nies.go.jp/biology/en/aboutus/facility/capsule.html</w:t>
        </w:r>
      </w:hyperlink>
      <w:r w:rsidRPr="005A35CE">
        <w:rPr>
          <w:lang w:val="en-US"/>
        </w:rPr>
        <w:t>. DNA as a genetic resource:</w:t>
      </w:r>
      <w:r w:rsidRPr="005A35CE">
        <w:t xml:space="preserve"> “</w:t>
      </w:r>
      <w:r w:rsidRPr="005A35CE">
        <w:rPr>
          <w:lang w:val="en-US"/>
        </w:rPr>
        <w:t xml:space="preserve">There is a fifth type of genetic resource that differs from the other four types because it cannot be used to regenerate an organism and usually is not held in genebanks: </w:t>
      </w:r>
      <w:r w:rsidRPr="005A35CE">
        <w:rPr>
          <w:b/>
          <w:bCs/>
          <w:lang w:val="en-US"/>
        </w:rPr>
        <w:t xml:space="preserve">Cloned DNA sequences, </w:t>
      </w:r>
      <w:r w:rsidRPr="005A35CE">
        <w:rPr>
          <w:lang w:val="en-US"/>
        </w:rPr>
        <w:t xml:space="preserve">or genetic material from other organisms incorporated into crops by molecular techniques (for example, a gene from the bacteria </w:t>
      </w:r>
      <w:r w:rsidRPr="005A35CE">
        <w:rPr>
          <w:i/>
          <w:iCs/>
          <w:lang w:val="en-US"/>
        </w:rPr>
        <w:t xml:space="preserve">Bacillus thuringiensis </w:t>
      </w:r>
      <w:r w:rsidRPr="005A35CE">
        <w:rPr>
          <w:lang w:val="en-US"/>
        </w:rPr>
        <w:t>used for resistance to insects.)</w:t>
      </w:r>
      <w:r w:rsidRPr="005A35CE">
        <w:t xml:space="preserve">” </w:t>
      </w:r>
      <w:r>
        <w:t>(</w:t>
      </w:r>
      <w:r>
        <w:rPr>
          <w:bCs/>
          <w:lang w:val="en-US"/>
        </w:rPr>
        <w:fldChar w:fldCharType="begin"/>
      </w:r>
      <w:r>
        <w:rPr>
          <w:bCs/>
          <w:lang w:val="en-US"/>
        </w:rPr>
        <w:instrText xml:space="preserve"> ADDIN EN.CITE &lt;EndNote&gt;&lt;Cite&gt;&lt;Author&gt;Heisey&lt;/Author&gt;&lt;Year&gt;2015&lt;/Year&gt;&lt;RecNum&gt;293&lt;/RecNum&gt;&lt;DisplayText&gt;&lt;style face="bold"&gt;Heisey, P.W., and Rubenstein, K.D.&lt;/style&gt; 2015. Using Crop Genetic Resources to Help Agriculture Adapt to Climate Change: Economics and Policy.   USDA EIB-139 www.ers.usda.gov/publications/eib-economic-information-bulletin/eib139.&lt;/DisplayText&gt;&lt;record&gt;&lt;rec-number&gt;293&lt;/rec-number&gt;&lt;foreign-keys&gt;&lt;key app="EN" db-id="vav00vdrjedrwre5xsc5vxpsx0fp9arstrrf" timestamp="1516822596"&gt;293&lt;/key&gt;&lt;/foreign-keys&gt;&lt;ref-type name="Report"&gt;27&lt;/ref-type&gt;&lt;contributors&gt;&lt;authors&gt;&lt;author&gt;Heisey, P.W.&lt;/author&gt;&lt;author&gt;Rubenstein, K.D.&lt;/author&gt;&lt;/authors&gt;&lt;secondary-authors&gt;&lt;author&gt;ERS&lt;/author&gt;&lt;/secondary-authors&gt;&lt;/contributors&gt;&lt;titles&gt;&lt;title&gt;Using Crop Genetic Resources to Help Agriculture Adapt to Climate Change: Economics and Policy&lt;/title&gt;&lt;/titles&gt;&lt;dates&gt;&lt;year&gt;2015&lt;/year&gt;&lt;/dates&gt;&lt;publisher&gt;USDA&lt;/publisher&gt;&lt;isbn&gt;EIB-139&lt;/isbn&gt;&lt;urls&gt;&lt;related-urls&gt;&lt;url&gt;www.ers.usda.gov/publications/eib-economic-information-bulletin/eib139&lt;/url&gt;&lt;/related-urls&gt;&lt;/urls&gt;&lt;/record&gt;&lt;/Cite&gt;&lt;/EndNote&gt;</w:instrText>
      </w:r>
      <w:r>
        <w:rPr>
          <w:bCs/>
          <w:lang w:val="en-US"/>
        </w:rPr>
        <w:fldChar w:fldCharType="separate"/>
      </w:r>
      <w:r w:rsidRPr="00C02041">
        <w:rPr>
          <w:noProof/>
          <w:lang w:val="en-US"/>
        </w:rPr>
        <w:t xml:space="preserve">Heisey and Rubenstein, </w:t>
      </w:r>
      <w:r w:rsidRPr="00381F8F">
        <w:rPr>
          <w:noProof/>
          <w:lang w:val="en-US"/>
        </w:rPr>
        <w:t>2</w:t>
      </w:r>
      <w:r>
        <w:rPr>
          <w:bCs/>
          <w:noProof/>
          <w:lang w:val="en-US"/>
        </w:rPr>
        <w:t>015).</w:t>
      </w:r>
      <w:r w:rsidDel="004B7895">
        <w:rPr>
          <w:bCs/>
          <w:noProof/>
          <w:lang w:val="en-US"/>
        </w:rPr>
        <w:t xml:space="preserve"> </w:t>
      </w:r>
      <w:r>
        <w:rPr>
          <w:bCs/>
          <w:lang w:val="en-US"/>
        </w:rPr>
        <w:fldChar w:fldCharType="end"/>
      </w:r>
    </w:p>
  </w:footnote>
  <w:footnote w:id="28">
    <w:p w14:paraId="15F96EBC" w14:textId="77777777" w:rsidR="00F63D94" w:rsidRPr="00B7125E" w:rsidRDefault="00F63D94" w:rsidP="00B7125E">
      <w:pPr>
        <w:pStyle w:val="FootnoteText"/>
        <w:rPr>
          <w:color w:val="000000"/>
          <w:lang w:val="mi-NZ"/>
        </w:rPr>
      </w:pPr>
      <w:r w:rsidRPr="00B7125E">
        <w:rPr>
          <w:rStyle w:val="FootnoteReference"/>
          <w:color w:val="000000"/>
        </w:rPr>
        <w:footnoteRef/>
      </w:r>
      <w:r w:rsidRPr="00B7125E">
        <w:rPr>
          <w:color w:val="000000"/>
        </w:rPr>
        <w:t xml:space="preserve"> </w:t>
      </w:r>
      <w:r w:rsidRPr="00B7125E">
        <w:rPr>
          <w:rFonts w:ascii="Abyssinica SIL" w:hAnsi="Abyssinica SIL"/>
          <w:color w:val="000000"/>
        </w:rPr>
        <w:t xml:space="preserve"> “Specifically, no use restrictions or licensing requirements will be included in any sequence data records, and no restrictions or licensing fees will be placed on the redistribution or use of the database by any party.” </w:t>
      </w:r>
      <w:hyperlink r:id="rId3">
        <w:r w:rsidRPr="00B7125E">
          <w:rPr>
            <w:rStyle w:val="Hyperlink"/>
            <w:rFonts w:ascii="Abyssinica SIL" w:hAnsi="Abyssinica SIL"/>
            <w:color w:val="000000"/>
          </w:rPr>
          <w:t>http://www.insdc.org/policy.html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347C12" w14:textId="77777777" w:rsidR="00F63D94" w:rsidRPr="0069054D" w:rsidRDefault="00F63D94" w:rsidP="001E6CB6">
    <w:pPr>
      <w:pBdr>
        <w:bottom w:val="single" w:sz="2" w:space="1" w:color="auto"/>
      </w:pBdr>
      <w:tabs>
        <w:tab w:val="right" w:pos="8647"/>
      </w:tabs>
      <w:rPr>
        <w:sz w:val="22"/>
        <w:szCs w:val="22"/>
      </w:rPr>
    </w:pPr>
    <w:r w:rsidRPr="0069054D">
      <w:rPr>
        <w:sz w:val="22"/>
        <w:szCs w:val="22"/>
      </w:rPr>
      <w:fldChar w:fldCharType="begin"/>
    </w:r>
    <w:r w:rsidRPr="0069054D">
      <w:rPr>
        <w:sz w:val="22"/>
        <w:szCs w:val="22"/>
      </w:rPr>
      <w:instrText xml:space="preserve">PAGE  </w:instrText>
    </w:r>
    <w:r w:rsidRPr="0069054D">
      <w:rPr>
        <w:sz w:val="22"/>
        <w:szCs w:val="22"/>
      </w:rPr>
      <w:fldChar w:fldCharType="separate"/>
    </w:r>
    <w:r w:rsidR="00087C93">
      <w:rPr>
        <w:noProof/>
        <w:sz w:val="22"/>
        <w:szCs w:val="22"/>
      </w:rPr>
      <w:t>86</w:t>
    </w:r>
    <w:r w:rsidRPr="0069054D">
      <w:rPr>
        <w:sz w:val="22"/>
        <w:szCs w:val="22"/>
      </w:rPr>
      <w:fldChar w:fldCharType="end"/>
    </w:r>
    <w:r w:rsidRPr="0069054D">
      <w:rPr>
        <w:sz w:val="22"/>
        <w:szCs w:val="22"/>
      </w:rPr>
      <w:tab/>
    </w:r>
    <w:r>
      <w:t>BACKGROUND STUDY PAPER NO. 68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90695A" w14:textId="77777777" w:rsidR="00F63D94" w:rsidRPr="00DF4677" w:rsidRDefault="00F63D94" w:rsidP="007B33A1">
    <w:pPr>
      <w:pBdr>
        <w:bottom w:val="single" w:sz="2" w:space="1" w:color="auto"/>
      </w:pBdr>
      <w:tabs>
        <w:tab w:val="right" w:pos="8647"/>
      </w:tabs>
      <w:rPr>
        <w:sz w:val="22"/>
        <w:szCs w:val="22"/>
      </w:rPr>
    </w:pPr>
    <w:r>
      <w:t>BACKGROUND STUDY PAPER NO. 68</w:t>
    </w:r>
    <w:r w:rsidRPr="0069054D">
      <w:rPr>
        <w:sz w:val="22"/>
        <w:szCs w:val="22"/>
      </w:rPr>
      <w:tab/>
    </w:r>
    <w:r w:rsidRPr="0069054D">
      <w:rPr>
        <w:sz w:val="22"/>
        <w:szCs w:val="22"/>
      </w:rPr>
      <w:fldChar w:fldCharType="begin"/>
    </w:r>
    <w:r w:rsidRPr="0069054D">
      <w:rPr>
        <w:sz w:val="22"/>
        <w:szCs w:val="22"/>
      </w:rPr>
      <w:instrText xml:space="preserve">PAGE  </w:instrText>
    </w:r>
    <w:r w:rsidRPr="0069054D">
      <w:rPr>
        <w:sz w:val="22"/>
        <w:szCs w:val="22"/>
      </w:rPr>
      <w:fldChar w:fldCharType="separate"/>
    </w:r>
    <w:r w:rsidR="00087C93">
      <w:rPr>
        <w:noProof/>
        <w:sz w:val="22"/>
        <w:szCs w:val="22"/>
      </w:rPr>
      <w:t>85</w:t>
    </w:r>
    <w:r w:rsidRPr="0069054D">
      <w:rPr>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571821" w14:textId="77777777" w:rsidR="00F63D94" w:rsidRPr="009064DD" w:rsidRDefault="00F63D94" w:rsidP="00DF520D">
    <w:pPr>
      <w:pStyle w:val="DocTitle"/>
      <w:spacing w:before="12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7A3B57" w14:textId="77777777" w:rsidR="00F63D94" w:rsidRDefault="00F63D94" w:rsidP="00F65AD1">
    <w:pPr>
      <w:framePr w:hSpace="181" w:wrap="around" w:vAnchor="page" w:hAnchor="page" w:xAlign="right" w:y="709"/>
    </w:pPr>
    <w:r w:rsidRPr="00865B9C">
      <w:rPr>
        <w:b/>
        <w:bCs/>
        <w:sz w:val="56"/>
        <w:szCs w:val="56"/>
      </w:rPr>
      <w:t>E</w:t>
    </w:r>
  </w:p>
  <w:p w14:paraId="05437870" w14:textId="77777777" w:rsidR="00F63D94" w:rsidRPr="001652E6" w:rsidRDefault="00F63D94" w:rsidP="00C2483A">
    <w:pPr>
      <w:pStyle w:val="Footer"/>
      <w:pBdr>
        <w:bottom w:val="single" w:sz="12" w:space="1" w:color="auto"/>
      </w:pBdr>
      <w:tabs>
        <w:tab w:val="clear" w:pos="9072"/>
        <w:tab w:val="left" w:pos="4395"/>
        <w:tab w:val="right" w:pos="8647"/>
      </w:tabs>
      <w:rPr>
        <w:rFonts w:cs="Times New Roman Bold"/>
        <w:bCs/>
        <w:sz w:val="22"/>
        <w:szCs w:val="22"/>
      </w:rPr>
    </w:pPr>
    <w:r>
      <w:rPr>
        <w:rFonts w:cs="Times New Roman Bold"/>
        <w:bCs/>
        <w:sz w:val="22"/>
        <w:szCs w:val="22"/>
      </w:rPr>
      <w:t>November 2018</w:t>
    </w:r>
    <w:r>
      <w:rPr>
        <w:rFonts w:cs="Times New Roman Bold"/>
        <w:bCs/>
        <w:sz w:val="22"/>
        <w:szCs w:val="22"/>
      </w:rPr>
      <w:tab/>
      <w:t xml:space="preserve"> </w:t>
    </w:r>
    <w:r>
      <w:t>BACKGROUND STUDY PAPER NO. 68</w:t>
    </w:r>
  </w:p>
  <w:p w14:paraId="08700FAC" w14:textId="77777777" w:rsidR="00F63D94" w:rsidRPr="009064DD" w:rsidRDefault="00F63D94" w:rsidP="00DF520D">
    <w:pPr>
      <w:pStyle w:val="DocTitle"/>
      <w:spacing w:before="120"/>
      <w:jc w:val="left"/>
    </w:pPr>
    <w:r>
      <w:rPr>
        <w:noProof/>
        <w:lang w:val="en-CA" w:eastAsia="en-CA"/>
      </w:rPr>
      <w:drawing>
        <wp:inline distT="0" distB="0" distL="0" distR="0" wp14:anchorId="281C1715" wp14:editId="58AE4377">
          <wp:extent cx="5471795" cy="754626"/>
          <wp:effectExtent l="0" t="0" r="0" b="7620"/>
          <wp:docPr id="47" name="Picture 47"/>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
                    <a:extLst>
                      <a:ext uri="{28A0092B-C50C-407E-A947-70E740481C1C}">
                        <a14:useLocalDpi xmlns:a14="http://schemas.microsoft.com/office/drawing/2010/main" val="0"/>
                      </a:ext>
                    </a:extLst>
                  </a:blip>
                  <a:stretch>
                    <a:fillRect/>
                  </a:stretch>
                </pic:blipFill>
                <pic:spPr>
                  <a:xfrm>
                    <a:off x="0" y="0"/>
                    <a:ext cx="5471795" cy="75462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hybridMultilevel"/>
    <w:tmpl w:val="8F60B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PS Special 1" w:hAnsi="WPS Special 1" w:hint="default"/>
      </w:rPr>
    </w:lvl>
    <w:lvl w:ilvl="3" w:tplc="04090001" w:tentative="1">
      <w:start w:val="1"/>
      <w:numFmt w:val="bullet"/>
      <w:lvlText w:val=""/>
      <w:lvlJc w:val="left"/>
      <w:pPr>
        <w:ind w:left="2880" w:hanging="360"/>
      </w:pPr>
      <w:rPr>
        <w:rFonts w:ascii="WPS Special 3" w:hAnsi="WPS Special 3"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PS Special 1" w:hAnsi="WPS Special 1" w:hint="default"/>
      </w:rPr>
    </w:lvl>
    <w:lvl w:ilvl="6" w:tplc="04090001" w:tentative="1">
      <w:start w:val="1"/>
      <w:numFmt w:val="bullet"/>
      <w:lvlText w:val=""/>
      <w:lvlJc w:val="left"/>
      <w:pPr>
        <w:ind w:left="5040" w:hanging="360"/>
      </w:pPr>
      <w:rPr>
        <w:rFonts w:ascii="WPS Special 3" w:hAnsi="WPS Special 3"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PS Special 1" w:hAnsi="WPS Special 1" w:hint="default"/>
      </w:rPr>
    </w:lvl>
  </w:abstractNum>
  <w:abstractNum w:abstractNumId="1" w15:restartNumberingAfterBreak="0">
    <w:nsid w:val="05720FF2"/>
    <w:multiLevelType w:val="hybridMultilevel"/>
    <w:tmpl w:val="DA2EAC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D23CAC"/>
    <w:multiLevelType w:val="multilevel"/>
    <w:tmpl w:val="460A6064"/>
    <w:lvl w:ilvl="0">
      <w:start w:val="1"/>
      <w:numFmt w:val="upperRoman"/>
      <w:lvlText w:val="%1."/>
      <w:lvlJc w:val="left"/>
      <w:pPr>
        <w:ind w:left="1080" w:hanging="720"/>
      </w:pPr>
      <w:rPr>
        <w:rFonts w:hint="default"/>
      </w:rPr>
    </w:lvl>
    <w:lvl w:ilvl="1">
      <w:start w:val="1"/>
      <w:numFmt w:val="decimal"/>
      <w:isLgl/>
      <w:lvlText w:val="%1.%2"/>
      <w:lvlJc w:val="left"/>
      <w:pPr>
        <w:ind w:left="860" w:hanging="5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B6F4F75"/>
    <w:multiLevelType w:val="multilevel"/>
    <w:tmpl w:val="FD0085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0C277820"/>
    <w:multiLevelType w:val="hybridMultilevel"/>
    <w:tmpl w:val="FECC6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901D13"/>
    <w:multiLevelType w:val="multilevel"/>
    <w:tmpl w:val="460A6064"/>
    <w:lvl w:ilvl="0">
      <w:start w:val="1"/>
      <w:numFmt w:val="upperRoman"/>
      <w:lvlText w:val="%1."/>
      <w:lvlJc w:val="left"/>
      <w:pPr>
        <w:ind w:left="1080" w:hanging="720"/>
      </w:pPr>
      <w:rPr>
        <w:rFonts w:hint="default"/>
      </w:rPr>
    </w:lvl>
    <w:lvl w:ilvl="1">
      <w:start w:val="1"/>
      <w:numFmt w:val="decimal"/>
      <w:isLgl/>
      <w:lvlText w:val="%1.%2"/>
      <w:lvlJc w:val="left"/>
      <w:pPr>
        <w:ind w:left="860" w:hanging="5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2B6C79B8"/>
    <w:multiLevelType w:val="multilevel"/>
    <w:tmpl w:val="5520FD22"/>
    <w:lvl w:ilvl="0">
      <w:start w:val="3"/>
      <w:numFmt w:val="decimal"/>
      <w:lvlText w:val="%1."/>
      <w:lvlJc w:val="left"/>
      <w:pPr>
        <w:ind w:left="1080" w:hanging="720"/>
      </w:pPr>
      <w:rPr>
        <w:rFonts w:hint="default"/>
      </w:rPr>
    </w:lvl>
    <w:lvl w:ilvl="1">
      <w:start w:val="2"/>
      <w:numFmt w:val="decimal"/>
      <w:isLgl/>
      <w:lvlText w:val="%1.%2"/>
      <w:lvlJc w:val="left"/>
      <w:pPr>
        <w:ind w:left="860" w:hanging="5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36B44AB9"/>
    <w:multiLevelType w:val="hybridMultilevel"/>
    <w:tmpl w:val="E4F087C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7C82054"/>
    <w:multiLevelType w:val="multilevel"/>
    <w:tmpl w:val="B5F87BE2"/>
    <w:lvl w:ilvl="0">
      <w:start w:val="1"/>
      <w:numFmt w:val="upperRoman"/>
      <w:lvlText w:val="%1."/>
      <w:lvlJc w:val="left"/>
      <w:pPr>
        <w:ind w:left="1146" w:hanging="720"/>
      </w:pPr>
      <w:rPr>
        <w:rFonts w:hint="default"/>
        <w:b/>
        <w:bCs/>
      </w:rPr>
    </w:lvl>
    <w:lvl w:ilvl="1">
      <w:start w:val="5"/>
      <w:numFmt w:val="decimal"/>
      <w:isLgl/>
      <w:lvlText w:val="%1.%2"/>
      <w:lvlJc w:val="left"/>
      <w:pPr>
        <w:ind w:left="981" w:hanging="615"/>
      </w:pPr>
      <w:rPr>
        <w:rFonts w:hint="default"/>
      </w:rPr>
    </w:lvl>
    <w:lvl w:ilvl="2">
      <w:start w:val="1"/>
      <w:numFmt w:val="decimal"/>
      <w:isLgl/>
      <w:lvlText w:val="%1.%2.%3"/>
      <w:lvlJc w:val="left"/>
      <w:pPr>
        <w:ind w:left="1806" w:hanging="720"/>
      </w:pPr>
      <w:rPr>
        <w:rFonts w:hint="default"/>
      </w:rPr>
    </w:lvl>
    <w:lvl w:ilvl="3">
      <w:start w:val="1"/>
      <w:numFmt w:val="decimal"/>
      <w:isLgl/>
      <w:lvlText w:val="%1.%2.%3.%4"/>
      <w:lvlJc w:val="left"/>
      <w:pPr>
        <w:ind w:left="2526" w:hanging="720"/>
      </w:pPr>
      <w:rPr>
        <w:rFonts w:hint="default"/>
      </w:rPr>
    </w:lvl>
    <w:lvl w:ilvl="4">
      <w:start w:val="1"/>
      <w:numFmt w:val="decimal"/>
      <w:isLgl/>
      <w:lvlText w:val="%1.%2.%3.%4.%5"/>
      <w:lvlJc w:val="left"/>
      <w:pPr>
        <w:ind w:left="3606" w:hanging="1080"/>
      </w:pPr>
      <w:rPr>
        <w:rFonts w:hint="default"/>
      </w:rPr>
    </w:lvl>
    <w:lvl w:ilvl="5">
      <w:start w:val="1"/>
      <w:numFmt w:val="decimal"/>
      <w:isLgl/>
      <w:lvlText w:val="%1.%2.%3.%4.%5.%6"/>
      <w:lvlJc w:val="left"/>
      <w:pPr>
        <w:ind w:left="4326" w:hanging="1080"/>
      </w:pPr>
      <w:rPr>
        <w:rFonts w:hint="default"/>
      </w:rPr>
    </w:lvl>
    <w:lvl w:ilvl="6">
      <w:start w:val="1"/>
      <w:numFmt w:val="decimal"/>
      <w:isLgl/>
      <w:lvlText w:val="%1.%2.%3.%4.%5.%6.%7"/>
      <w:lvlJc w:val="left"/>
      <w:pPr>
        <w:ind w:left="5406" w:hanging="1440"/>
      </w:pPr>
      <w:rPr>
        <w:rFonts w:hint="default"/>
      </w:rPr>
    </w:lvl>
    <w:lvl w:ilvl="7">
      <w:start w:val="1"/>
      <w:numFmt w:val="decimal"/>
      <w:isLgl/>
      <w:lvlText w:val="%1.%2.%3.%4.%5.%6.%7.%8"/>
      <w:lvlJc w:val="left"/>
      <w:pPr>
        <w:ind w:left="6126" w:hanging="1440"/>
      </w:pPr>
      <w:rPr>
        <w:rFonts w:hint="default"/>
      </w:rPr>
    </w:lvl>
    <w:lvl w:ilvl="8">
      <w:start w:val="1"/>
      <w:numFmt w:val="decimal"/>
      <w:isLgl/>
      <w:lvlText w:val="%1.%2.%3.%4.%5.%6.%7.%8.%9"/>
      <w:lvlJc w:val="left"/>
      <w:pPr>
        <w:ind w:left="6846" w:hanging="1440"/>
      </w:pPr>
      <w:rPr>
        <w:rFonts w:hint="default"/>
      </w:rPr>
    </w:lvl>
  </w:abstractNum>
  <w:abstractNum w:abstractNumId="9" w15:restartNumberingAfterBreak="0">
    <w:nsid w:val="44E54213"/>
    <w:multiLevelType w:val="hybridMultilevel"/>
    <w:tmpl w:val="11266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FF1860"/>
    <w:multiLevelType w:val="multilevel"/>
    <w:tmpl w:val="5520FD22"/>
    <w:lvl w:ilvl="0">
      <w:start w:val="3"/>
      <w:numFmt w:val="decimal"/>
      <w:lvlText w:val="%1."/>
      <w:lvlJc w:val="left"/>
      <w:pPr>
        <w:ind w:left="1080" w:hanging="720"/>
      </w:pPr>
      <w:rPr>
        <w:rFonts w:hint="default"/>
      </w:rPr>
    </w:lvl>
    <w:lvl w:ilvl="1">
      <w:start w:val="2"/>
      <w:numFmt w:val="decimal"/>
      <w:isLgl/>
      <w:lvlText w:val="%1.%2"/>
      <w:lvlJc w:val="left"/>
      <w:pPr>
        <w:ind w:left="860" w:hanging="5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4A555EE3"/>
    <w:multiLevelType w:val="multilevel"/>
    <w:tmpl w:val="5520FD22"/>
    <w:lvl w:ilvl="0">
      <w:start w:val="3"/>
      <w:numFmt w:val="decimal"/>
      <w:lvlText w:val="%1."/>
      <w:lvlJc w:val="left"/>
      <w:pPr>
        <w:ind w:left="1080" w:hanging="720"/>
      </w:pPr>
      <w:rPr>
        <w:rFonts w:hint="default"/>
      </w:rPr>
    </w:lvl>
    <w:lvl w:ilvl="1">
      <w:start w:val="2"/>
      <w:numFmt w:val="decimal"/>
      <w:isLgl/>
      <w:lvlText w:val="%1.%2"/>
      <w:lvlJc w:val="left"/>
      <w:pPr>
        <w:ind w:left="860" w:hanging="5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4F617F8D"/>
    <w:multiLevelType w:val="multilevel"/>
    <w:tmpl w:val="28547E1A"/>
    <w:lvl w:ilvl="0">
      <w:start w:val="3"/>
      <w:numFmt w:val="decimal"/>
      <w:lvlText w:val="%1."/>
      <w:lvlJc w:val="left"/>
      <w:pPr>
        <w:ind w:left="1080" w:hanging="720"/>
      </w:pPr>
      <w:rPr>
        <w:rFonts w:hint="default"/>
      </w:rPr>
    </w:lvl>
    <w:lvl w:ilvl="1">
      <w:start w:val="1"/>
      <w:numFmt w:val="decimal"/>
      <w:isLgl/>
      <w:lvlText w:val="%1.%2"/>
      <w:lvlJc w:val="left"/>
      <w:pPr>
        <w:ind w:left="860" w:hanging="5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51706C56"/>
    <w:multiLevelType w:val="hybridMultilevel"/>
    <w:tmpl w:val="EA92AA8C"/>
    <w:lvl w:ilvl="0" w:tplc="08090001">
      <w:start w:val="1"/>
      <w:numFmt w:val="bullet"/>
      <w:lvlText w:val=""/>
      <w:lvlJc w:val="left"/>
      <w:pPr>
        <w:ind w:left="720" w:hanging="360"/>
      </w:pPr>
      <w:rPr>
        <w:rFonts w:ascii="Symbol" w:hAnsi="Symbol" w:hint="default"/>
        <w:b w:val="0"/>
        <w:bCs/>
        <w:i w:val="0"/>
        <w:iCs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6D57E55"/>
    <w:multiLevelType w:val="hybridMultilevel"/>
    <w:tmpl w:val="BB0A0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0E1E14"/>
    <w:multiLevelType w:val="multilevel"/>
    <w:tmpl w:val="050AD25A"/>
    <w:lvl w:ilvl="0">
      <w:start w:val="3"/>
      <w:numFmt w:val="decimal"/>
      <w:lvlText w:val="%1."/>
      <w:lvlJc w:val="left"/>
      <w:pPr>
        <w:ind w:left="1080" w:hanging="720"/>
      </w:pPr>
      <w:rPr>
        <w:rFonts w:hint="default"/>
      </w:rPr>
    </w:lvl>
    <w:lvl w:ilvl="1">
      <w:start w:val="3"/>
      <w:numFmt w:val="decimal"/>
      <w:isLgl/>
      <w:lvlText w:val="%1.%2"/>
      <w:lvlJc w:val="left"/>
      <w:pPr>
        <w:ind w:left="860" w:hanging="5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63AF08E3"/>
    <w:multiLevelType w:val="hybridMultilevel"/>
    <w:tmpl w:val="4808C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2548FE"/>
    <w:multiLevelType w:val="hybridMultilevel"/>
    <w:tmpl w:val="0C823412"/>
    <w:lvl w:ilvl="0" w:tplc="08090001">
      <w:start w:val="1"/>
      <w:numFmt w:val="bullet"/>
      <w:lvlText w:val=""/>
      <w:lvlJc w:val="left"/>
      <w:pPr>
        <w:ind w:left="720" w:hanging="360"/>
      </w:pPr>
      <w:rPr>
        <w:rFonts w:ascii="Symbol" w:hAnsi="Symbol" w:hint="default"/>
        <w:b w:val="0"/>
        <w:bCs/>
        <w:i w:val="0"/>
        <w:iCs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A1F07D3"/>
    <w:multiLevelType w:val="hybridMultilevel"/>
    <w:tmpl w:val="D91C8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B5315B"/>
    <w:multiLevelType w:val="multilevel"/>
    <w:tmpl w:val="050AD25A"/>
    <w:lvl w:ilvl="0">
      <w:start w:val="3"/>
      <w:numFmt w:val="decimal"/>
      <w:lvlText w:val="%1."/>
      <w:lvlJc w:val="left"/>
      <w:pPr>
        <w:ind w:left="1080" w:hanging="720"/>
      </w:pPr>
      <w:rPr>
        <w:rFonts w:hint="default"/>
      </w:rPr>
    </w:lvl>
    <w:lvl w:ilvl="1">
      <w:start w:val="3"/>
      <w:numFmt w:val="decimal"/>
      <w:isLgl/>
      <w:lvlText w:val="%1.%2"/>
      <w:lvlJc w:val="left"/>
      <w:pPr>
        <w:ind w:left="860" w:hanging="5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76794F35"/>
    <w:multiLevelType w:val="multilevel"/>
    <w:tmpl w:val="460A6064"/>
    <w:lvl w:ilvl="0">
      <w:start w:val="1"/>
      <w:numFmt w:val="upperRoman"/>
      <w:lvlText w:val="%1."/>
      <w:lvlJc w:val="left"/>
      <w:pPr>
        <w:ind w:left="1080" w:hanging="720"/>
      </w:pPr>
      <w:rPr>
        <w:rFonts w:hint="default"/>
      </w:rPr>
    </w:lvl>
    <w:lvl w:ilvl="1">
      <w:start w:val="1"/>
      <w:numFmt w:val="decimal"/>
      <w:isLgl/>
      <w:lvlText w:val="%1.%2"/>
      <w:lvlJc w:val="left"/>
      <w:pPr>
        <w:ind w:left="860" w:hanging="5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78FD62E8"/>
    <w:multiLevelType w:val="multilevel"/>
    <w:tmpl w:val="050AD25A"/>
    <w:lvl w:ilvl="0">
      <w:start w:val="3"/>
      <w:numFmt w:val="decimal"/>
      <w:lvlText w:val="%1."/>
      <w:lvlJc w:val="left"/>
      <w:pPr>
        <w:ind w:left="1080" w:hanging="720"/>
      </w:pPr>
      <w:rPr>
        <w:rFonts w:hint="default"/>
      </w:rPr>
    </w:lvl>
    <w:lvl w:ilvl="1">
      <w:start w:val="3"/>
      <w:numFmt w:val="decimal"/>
      <w:isLgl/>
      <w:lvlText w:val="%1.%2"/>
      <w:lvlJc w:val="left"/>
      <w:pPr>
        <w:ind w:left="860" w:hanging="5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8"/>
  </w:num>
  <w:num w:numId="2">
    <w:abstractNumId w:val="17"/>
  </w:num>
  <w:num w:numId="3">
    <w:abstractNumId w:val="13"/>
  </w:num>
  <w:num w:numId="4">
    <w:abstractNumId w:val="4"/>
  </w:num>
  <w:num w:numId="5">
    <w:abstractNumId w:val="5"/>
  </w:num>
  <w:num w:numId="6">
    <w:abstractNumId w:val="16"/>
  </w:num>
  <w:num w:numId="7">
    <w:abstractNumId w:val="14"/>
  </w:num>
  <w:num w:numId="8">
    <w:abstractNumId w:val="0"/>
  </w:num>
  <w:num w:numId="9">
    <w:abstractNumId w:val="1"/>
  </w:num>
  <w:num w:numId="10">
    <w:abstractNumId w:val="18"/>
  </w:num>
  <w:num w:numId="11">
    <w:abstractNumId w:val="9"/>
  </w:num>
  <w:num w:numId="12">
    <w:abstractNumId w:val="20"/>
  </w:num>
  <w:num w:numId="13">
    <w:abstractNumId w:val="2"/>
  </w:num>
  <w:num w:numId="14">
    <w:abstractNumId w:val="11"/>
  </w:num>
  <w:num w:numId="15">
    <w:abstractNumId w:val="12"/>
  </w:num>
  <w:num w:numId="16">
    <w:abstractNumId w:val="10"/>
  </w:num>
  <w:num w:numId="17">
    <w:abstractNumId w:val="6"/>
  </w:num>
  <w:num w:numId="18">
    <w:abstractNumId w:val="15"/>
  </w:num>
  <w:num w:numId="19">
    <w:abstractNumId w:val="21"/>
  </w:num>
  <w:num w:numId="20">
    <w:abstractNumId w:val="19"/>
  </w:num>
  <w:num w:numId="21">
    <w:abstractNumId w:val="3"/>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characterSpacingControl w:val="doNotCompress"/>
  <w:doNotValidateAgainstSchema/>
  <w:doNotDemarcateInvalidXml/>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Cell&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av00vdrjedrwre5xsc5vxpsx0fp9arstrrf&quot;&gt;FAO DSI library-Saved&lt;record-ids&gt;&lt;item&gt;1&lt;/item&gt;&lt;item&gt;3&lt;/item&gt;&lt;item&gt;6&lt;/item&gt;&lt;item&gt;9&lt;/item&gt;&lt;item&gt;11&lt;/item&gt;&lt;item&gt;17&lt;/item&gt;&lt;item&gt;18&lt;/item&gt;&lt;item&gt;19&lt;/item&gt;&lt;item&gt;20&lt;/item&gt;&lt;item&gt;21&lt;/item&gt;&lt;item&gt;22&lt;/item&gt;&lt;item&gt;24&lt;/item&gt;&lt;item&gt;32&lt;/item&gt;&lt;item&gt;34&lt;/item&gt;&lt;item&gt;35&lt;/item&gt;&lt;item&gt;36&lt;/item&gt;&lt;item&gt;37&lt;/item&gt;&lt;item&gt;38&lt;/item&gt;&lt;item&gt;39&lt;/item&gt;&lt;item&gt;40&lt;/item&gt;&lt;item&gt;41&lt;/item&gt;&lt;item&gt;42&lt;/item&gt;&lt;item&gt;43&lt;/item&gt;&lt;item&gt;46&lt;/item&gt;&lt;item&gt;47&lt;/item&gt;&lt;item&gt;48&lt;/item&gt;&lt;item&gt;49&lt;/item&gt;&lt;item&gt;53&lt;/item&gt;&lt;item&gt;54&lt;/item&gt;&lt;item&gt;55&lt;/item&gt;&lt;item&gt;56&lt;/item&gt;&lt;item&gt;57&lt;/item&gt;&lt;item&gt;58&lt;/item&gt;&lt;item&gt;59&lt;/item&gt;&lt;item&gt;60&lt;/item&gt;&lt;item&gt;62&lt;/item&gt;&lt;item&gt;63&lt;/item&gt;&lt;item&gt;65&lt;/item&gt;&lt;item&gt;66&lt;/item&gt;&lt;item&gt;67&lt;/item&gt;&lt;item&gt;68&lt;/item&gt;&lt;item&gt;101&lt;/item&gt;&lt;item&gt;102&lt;/item&gt;&lt;item&gt;103&lt;/item&gt;&lt;item&gt;104&lt;/item&gt;&lt;item&gt;105&lt;/item&gt;&lt;item&gt;106&lt;/item&gt;&lt;item&gt;107&lt;/item&gt;&lt;item&gt;108&lt;/item&gt;&lt;item&gt;109&lt;/item&gt;&lt;item&gt;110&lt;/item&gt;&lt;item&gt;111&lt;/item&gt;&lt;item&gt;112&lt;/item&gt;&lt;item&gt;113&lt;/item&gt;&lt;item&gt;117&lt;/item&gt;&lt;item&gt;118&lt;/item&gt;&lt;item&gt;119&lt;/item&gt;&lt;item&gt;121&lt;/item&gt;&lt;item&gt;122&lt;/item&gt;&lt;item&gt;123&lt;/item&gt;&lt;item&gt;126&lt;/item&gt;&lt;item&gt;127&lt;/item&gt;&lt;item&gt;128&lt;/item&gt;&lt;item&gt;129&lt;/item&gt;&lt;item&gt;130&lt;/item&gt;&lt;item&gt;133&lt;/item&gt;&lt;item&gt;134&lt;/item&gt;&lt;item&gt;135&lt;/item&gt;&lt;item&gt;136&lt;/item&gt;&lt;item&gt;137&lt;/item&gt;&lt;item&gt;138&lt;/item&gt;&lt;item&gt;139&lt;/item&gt;&lt;item&gt;140&lt;/item&gt;&lt;item&gt;141&lt;/item&gt;&lt;item&gt;142&lt;/item&gt;&lt;item&gt;143&lt;/item&gt;&lt;item&gt;144&lt;/item&gt;&lt;item&gt;145&lt;/item&gt;&lt;item&gt;146&lt;/item&gt;&lt;item&gt;147&lt;/item&gt;&lt;item&gt;150&lt;/item&gt;&lt;item&gt;151&lt;/item&gt;&lt;item&gt;152&lt;/item&gt;&lt;item&gt;154&lt;/item&gt;&lt;item&gt;155&lt;/item&gt;&lt;item&gt;157&lt;/item&gt;&lt;item&gt;158&lt;/item&gt;&lt;item&gt;159&lt;/item&gt;&lt;item&gt;160&lt;/item&gt;&lt;item&gt;162&lt;/item&gt;&lt;item&gt;163&lt;/item&gt;&lt;item&gt;164&lt;/item&gt;&lt;item&gt;165&lt;/item&gt;&lt;item&gt;166&lt;/item&gt;&lt;item&gt;169&lt;/item&gt;&lt;item&gt;170&lt;/item&gt;&lt;item&gt;171&lt;/item&gt;&lt;item&gt;172&lt;/item&gt;&lt;item&gt;173&lt;/item&gt;&lt;item&gt;174&lt;/item&gt;&lt;item&gt;175&lt;/item&gt;&lt;item&gt;176&lt;/item&gt;&lt;item&gt;177&lt;/item&gt;&lt;item&gt;179&lt;/item&gt;&lt;item&gt;180&lt;/item&gt;&lt;item&gt;181&lt;/item&gt;&lt;item&gt;185&lt;/item&gt;&lt;item&gt;186&lt;/item&gt;&lt;item&gt;187&lt;/item&gt;&lt;item&gt;188&lt;/item&gt;&lt;item&gt;189&lt;/item&gt;&lt;item&gt;190&lt;/item&gt;&lt;item&gt;191&lt;/item&gt;&lt;item&gt;193&lt;/item&gt;&lt;item&gt;194&lt;/item&gt;&lt;item&gt;195&lt;/item&gt;&lt;item&gt;196&lt;/item&gt;&lt;item&gt;197&lt;/item&gt;&lt;item&gt;198&lt;/item&gt;&lt;item&gt;199&lt;/item&gt;&lt;item&gt;201&lt;/item&gt;&lt;item&gt;204&lt;/item&gt;&lt;item&gt;205&lt;/item&gt;&lt;item&gt;206&lt;/item&gt;&lt;item&gt;209&lt;/item&gt;&lt;item&gt;210&lt;/item&gt;&lt;item&gt;212&lt;/item&gt;&lt;item&gt;213&lt;/item&gt;&lt;item&gt;214&lt;/item&gt;&lt;item&gt;216&lt;/item&gt;&lt;item&gt;217&lt;/item&gt;&lt;item&gt;218&lt;/item&gt;&lt;item&gt;220&lt;/item&gt;&lt;item&gt;221&lt;/item&gt;&lt;item&gt;222&lt;/item&gt;&lt;item&gt;224&lt;/item&gt;&lt;item&gt;225&lt;/item&gt;&lt;item&gt;226&lt;/item&gt;&lt;item&gt;227&lt;/item&gt;&lt;item&gt;229&lt;/item&gt;&lt;item&gt;230&lt;/item&gt;&lt;item&gt;231&lt;/item&gt;&lt;item&gt;232&lt;/item&gt;&lt;item&gt;233&lt;/item&gt;&lt;item&gt;234&lt;/item&gt;&lt;item&gt;237&lt;/item&gt;&lt;item&gt;238&lt;/item&gt;&lt;item&gt;239&lt;/item&gt;&lt;item&gt;240&lt;/item&gt;&lt;item&gt;241&lt;/item&gt;&lt;item&gt;242&lt;/item&gt;&lt;item&gt;243&lt;/item&gt;&lt;item&gt;244&lt;/item&gt;&lt;item&gt;245&lt;/item&gt;&lt;item&gt;246&lt;/item&gt;&lt;item&gt;247&lt;/item&gt;&lt;item&gt;248&lt;/item&gt;&lt;item&gt;249&lt;/item&gt;&lt;item&gt;250&lt;/item&gt;&lt;item&gt;252&lt;/item&gt;&lt;item&gt;253&lt;/item&gt;&lt;item&gt;254&lt;/item&gt;&lt;item&gt;255&lt;/item&gt;&lt;item&gt;256&lt;/item&gt;&lt;item&gt;257&lt;/item&gt;&lt;item&gt;258&lt;/item&gt;&lt;item&gt;259&lt;/item&gt;&lt;item&gt;260&lt;/item&gt;&lt;item&gt;262&lt;/item&gt;&lt;item&gt;263&lt;/item&gt;&lt;item&gt;264&lt;/item&gt;&lt;item&gt;268&lt;/item&gt;&lt;item&gt;269&lt;/item&gt;&lt;item&gt;271&lt;/item&gt;&lt;item&gt;272&lt;/item&gt;&lt;item&gt;273&lt;/item&gt;&lt;item&gt;274&lt;/item&gt;&lt;item&gt;277&lt;/item&gt;&lt;item&gt;278&lt;/item&gt;&lt;item&gt;279&lt;/item&gt;&lt;item&gt;280&lt;/item&gt;&lt;item&gt;281&lt;/item&gt;&lt;item&gt;284&lt;/item&gt;&lt;item&gt;285&lt;/item&gt;&lt;item&gt;286&lt;/item&gt;&lt;item&gt;287&lt;/item&gt;&lt;item&gt;288&lt;/item&gt;&lt;item&gt;290&lt;/item&gt;&lt;item&gt;291&lt;/item&gt;&lt;item&gt;292&lt;/item&gt;&lt;item&gt;293&lt;/item&gt;&lt;item&gt;294&lt;/item&gt;&lt;item&gt;295&lt;/item&gt;&lt;item&gt;296&lt;/item&gt;&lt;item&gt;297&lt;/item&gt;&lt;item&gt;298&lt;/item&gt;&lt;item&gt;299&lt;/item&gt;&lt;item&gt;300&lt;/item&gt;&lt;item&gt;301&lt;/item&gt;&lt;item&gt;302&lt;/item&gt;&lt;item&gt;303&lt;/item&gt;&lt;item&gt;305&lt;/item&gt;&lt;item&gt;306&lt;/item&gt;&lt;item&gt;307&lt;/item&gt;&lt;item&gt;308&lt;/item&gt;&lt;item&gt;310&lt;/item&gt;&lt;item&gt;312&lt;/item&gt;&lt;item&gt;313&lt;/item&gt;&lt;item&gt;314&lt;/item&gt;&lt;item&gt;315&lt;/item&gt;&lt;item&gt;316&lt;/item&gt;&lt;item&gt;318&lt;/item&gt;&lt;item&gt;319&lt;/item&gt;&lt;item&gt;321&lt;/item&gt;&lt;item&gt;322&lt;/item&gt;&lt;item&gt;323&lt;/item&gt;&lt;item&gt;324&lt;/item&gt;&lt;item&gt;325&lt;/item&gt;&lt;item&gt;326&lt;/item&gt;&lt;item&gt;327&lt;/item&gt;&lt;item&gt;328&lt;/item&gt;&lt;item&gt;329&lt;/item&gt;&lt;item&gt;330&lt;/item&gt;&lt;item&gt;332&lt;/item&gt;&lt;item&gt;333&lt;/item&gt;&lt;item&gt;334&lt;/item&gt;&lt;item&gt;335&lt;/item&gt;&lt;item&gt;336&lt;/item&gt;&lt;item&gt;337&lt;/item&gt;&lt;item&gt;338&lt;/item&gt;&lt;item&gt;339&lt;/item&gt;&lt;item&gt;340&lt;/item&gt;&lt;item&gt;341&lt;/item&gt;&lt;item&gt;343&lt;/item&gt;&lt;item&gt;344&lt;/item&gt;&lt;item&gt;345&lt;/item&gt;&lt;item&gt;347&lt;/item&gt;&lt;item&gt;348&lt;/item&gt;&lt;item&gt;349&lt;/item&gt;&lt;item&gt;352&lt;/item&gt;&lt;item&gt;353&lt;/item&gt;&lt;item&gt;354&lt;/item&gt;&lt;item&gt;355&lt;/item&gt;&lt;item&gt;356&lt;/item&gt;&lt;item&gt;357&lt;/item&gt;&lt;item&gt;358&lt;/item&gt;&lt;item&gt;359&lt;/item&gt;&lt;item&gt;360&lt;/item&gt;&lt;item&gt;361&lt;/item&gt;&lt;item&gt;362&lt;/item&gt;&lt;item&gt;363&lt;/item&gt;&lt;item&gt;364&lt;/item&gt;&lt;item&gt;365&lt;/item&gt;&lt;item&gt;366&lt;/item&gt;&lt;item&gt;368&lt;/item&gt;&lt;item&gt;369&lt;/item&gt;&lt;item&gt;370&lt;/item&gt;&lt;item&gt;371&lt;/item&gt;&lt;item&gt;372&lt;/item&gt;&lt;item&gt;373&lt;/item&gt;&lt;item&gt;374&lt;/item&gt;&lt;item&gt;375&lt;/item&gt;&lt;item&gt;376&lt;/item&gt;&lt;item&gt;377&lt;/item&gt;&lt;item&gt;378&lt;/item&gt;&lt;item&gt;379&lt;/item&gt;&lt;item&gt;380&lt;/item&gt;&lt;item&gt;381&lt;/item&gt;&lt;item&gt;382&lt;/item&gt;&lt;item&gt;384&lt;/item&gt;&lt;item&gt;385&lt;/item&gt;&lt;item&gt;386&lt;/item&gt;&lt;item&gt;387&lt;/item&gt;&lt;item&gt;388&lt;/item&gt;&lt;/record-ids&gt;&lt;/item&gt;&lt;/Libraries&gt;"/>
  </w:docVars>
  <w:rsids>
    <w:rsidRoot w:val="00CD7C1C"/>
    <w:rsid w:val="0000070F"/>
    <w:rsid w:val="00002029"/>
    <w:rsid w:val="000025E9"/>
    <w:rsid w:val="00003FFD"/>
    <w:rsid w:val="00005175"/>
    <w:rsid w:val="00006BC7"/>
    <w:rsid w:val="00006EC0"/>
    <w:rsid w:val="00007CFC"/>
    <w:rsid w:val="00010E8A"/>
    <w:rsid w:val="000116CF"/>
    <w:rsid w:val="00011AAC"/>
    <w:rsid w:val="00011E28"/>
    <w:rsid w:val="00017369"/>
    <w:rsid w:val="00017CCF"/>
    <w:rsid w:val="00017F3B"/>
    <w:rsid w:val="000210A8"/>
    <w:rsid w:val="00021941"/>
    <w:rsid w:val="00021DE7"/>
    <w:rsid w:val="00024856"/>
    <w:rsid w:val="00025D6C"/>
    <w:rsid w:val="00032069"/>
    <w:rsid w:val="000330CE"/>
    <w:rsid w:val="00033157"/>
    <w:rsid w:val="0003443B"/>
    <w:rsid w:val="00034B57"/>
    <w:rsid w:val="0003520C"/>
    <w:rsid w:val="00037AFF"/>
    <w:rsid w:val="00037E7B"/>
    <w:rsid w:val="0004041E"/>
    <w:rsid w:val="0004262D"/>
    <w:rsid w:val="00042856"/>
    <w:rsid w:val="00045734"/>
    <w:rsid w:val="00046DCA"/>
    <w:rsid w:val="00047CA4"/>
    <w:rsid w:val="00047D59"/>
    <w:rsid w:val="0005168B"/>
    <w:rsid w:val="00054ABD"/>
    <w:rsid w:val="00054D9F"/>
    <w:rsid w:val="000551AF"/>
    <w:rsid w:val="000615EA"/>
    <w:rsid w:val="00063404"/>
    <w:rsid w:val="00064636"/>
    <w:rsid w:val="0006497C"/>
    <w:rsid w:val="0006519D"/>
    <w:rsid w:val="000704A7"/>
    <w:rsid w:val="000711B1"/>
    <w:rsid w:val="00071228"/>
    <w:rsid w:val="000716F2"/>
    <w:rsid w:val="000722FF"/>
    <w:rsid w:val="00072482"/>
    <w:rsid w:val="000755D1"/>
    <w:rsid w:val="00076763"/>
    <w:rsid w:val="0007725F"/>
    <w:rsid w:val="00077BB6"/>
    <w:rsid w:val="00077E98"/>
    <w:rsid w:val="00080368"/>
    <w:rsid w:val="00081957"/>
    <w:rsid w:val="000823C6"/>
    <w:rsid w:val="00082787"/>
    <w:rsid w:val="00082866"/>
    <w:rsid w:val="00083AC7"/>
    <w:rsid w:val="000849FC"/>
    <w:rsid w:val="00087C93"/>
    <w:rsid w:val="00091594"/>
    <w:rsid w:val="00091A06"/>
    <w:rsid w:val="00091FAB"/>
    <w:rsid w:val="000923DB"/>
    <w:rsid w:val="000927C4"/>
    <w:rsid w:val="0009786E"/>
    <w:rsid w:val="00097E02"/>
    <w:rsid w:val="000A10B0"/>
    <w:rsid w:val="000A2492"/>
    <w:rsid w:val="000A446C"/>
    <w:rsid w:val="000A4A6F"/>
    <w:rsid w:val="000A5A6A"/>
    <w:rsid w:val="000B0B26"/>
    <w:rsid w:val="000B10C5"/>
    <w:rsid w:val="000B16D4"/>
    <w:rsid w:val="000B1F0E"/>
    <w:rsid w:val="000B2033"/>
    <w:rsid w:val="000B3CEB"/>
    <w:rsid w:val="000B404D"/>
    <w:rsid w:val="000B773A"/>
    <w:rsid w:val="000C0456"/>
    <w:rsid w:val="000C0C91"/>
    <w:rsid w:val="000C0CE3"/>
    <w:rsid w:val="000C350C"/>
    <w:rsid w:val="000C3517"/>
    <w:rsid w:val="000C41D0"/>
    <w:rsid w:val="000C6F81"/>
    <w:rsid w:val="000D180D"/>
    <w:rsid w:val="000D1A95"/>
    <w:rsid w:val="000D54EB"/>
    <w:rsid w:val="000E04B6"/>
    <w:rsid w:val="000E16E5"/>
    <w:rsid w:val="000E31C3"/>
    <w:rsid w:val="000E599C"/>
    <w:rsid w:val="000E6952"/>
    <w:rsid w:val="000E7C49"/>
    <w:rsid w:val="000F1B65"/>
    <w:rsid w:val="000F1E2D"/>
    <w:rsid w:val="000F2053"/>
    <w:rsid w:val="000F20FB"/>
    <w:rsid w:val="000F2CFF"/>
    <w:rsid w:val="000F32E2"/>
    <w:rsid w:val="000F3311"/>
    <w:rsid w:val="000F4DD3"/>
    <w:rsid w:val="000F5252"/>
    <w:rsid w:val="000F5615"/>
    <w:rsid w:val="000F6453"/>
    <w:rsid w:val="000F6C50"/>
    <w:rsid w:val="000F6CF8"/>
    <w:rsid w:val="000F7330"/>
    <w:rsid w:val="000F7A46"/>
    <w:rsid w:val="00101045"/>
    <w:rsid w:val="001018B6"/>
    <w:rsid w:val="00102724"/>
    <w:rsid w:val="001054A8"/>
    <w:rsid w:val="0010556C"/>
    <w:rsid w:val="00105DE3"/>
    <w:rsid w:val="00106412"/>
    <w:rsid w:val="00106717"/>
    <w:rsid w:val="00106DAE"/>
    <w:rsid w:val="00107064"/>
    <w:rsid w:val="00107B52"/>
    <w:rsid w:val="00107B78"/>
    <w:rsid w:val="00111D2C"/>
    <w:rsid w:val="00112C55"/>
    <w:rsid w:val="00112F4F"/>
    <w:rsid w:val="001144DA"/>
    <w:rsid w:val="00117934"/>
    <w:rsid w:val="00117E56"/>
    <w:rsid w:val="0012061B"/>
    <w:rsid w:val="00120F41"/>
    <w:rsid w:val="0012187C"/>
    <w:rsid w:val="001225A4"/>
    <w:rsid w:val="001234FF"/>
    <w:rsid w:val="001270BF"/>
    <w:rsid w:val="00127252"/>
    <w:rsid w:val="00130C39"/>
    <w:rsid w:val="00131B72"/>
    <w:rsid w:val="001344C5"/>
    <w:rsid w:val="00136B24"/>
    <w:rsid w:val="00137F20"/>
    <w:rsid w:val="00141556"/>
    <w:rsid w:val="00142710"/>
    <w:rsid w:val="001444DC"/>
    <w:rsid w:val="00151A43"/>
    <w:rsid w:val="00152A50"/>
    <w:rsid w:val="00153663"/>
    <w:rsid w:val="00153790"/>
    <w:rsid w:val="00155023"/>
    <w:rsid w:val="00155E82"/>
    <w:rsid w:val="00156B3A"/>
    <w:rsid w:val="001606C9"/>
    <w:rsid w:val="00160B06"/>
    <w:rsid w:val="00163872"/>
    <w:rsid w:val="001640BC"/>
    <w:rsid w:val="00164872"/>
    <w:rsid w:val="00164DA6"/>
    <w:rsid w:val="0016511C"/>
    <w:rsid w:val="001652E6"/>
    <w:rsid w:val="0016554D"/>
    <w:rsid w:val="00165D19"/>
    <w:rsid w:val="0016625D"/>
    <w:rsid w:val="001675D5"/>
    <w:rsid w:val="00171ACF"/>
    <w:rsid w:val="00173B2E"/>
    <w:rsid w:val="00173BA8"/>
    <w:rsid w:val="00177086"/>
    <w:rsid w:val="001805D6"/>
    <w:rsid w:val="00180844"/>
    <w:rsid w:val="001818AC"/>
    <w:rsid w:val="00184C9B"/>
    <w:rsid w:val="001854E8"/>
    <w:rsid w:val="00185E42"/>
    <w:rsid w:val="00187A52"/>
    <w:rsid w:val="00194464"/>
    <w:rsid w:val="00194ECB"/>
    <w:rsid w:val="00195522"/>
    <w:rsid w:val="001959F0"/>
    <w:rsid w:val="00195CC5"/>
    <w:rsid w:val="0019763A"/>
    <w:rsid w:val="001976D3"/>
    <w:rsid w:val="001A01F1"/>
    <w:rsid w:val="001A0BB9"/>
    <w:rsid w:val="001A0BE0"/>
    <w:rsid w:val="001A186C"/>
    <w:rsid w:val="001A55A6"/>
    <w:rsid w:val="001A62E9"/>
    <w:rsid w:val="001B0613"/>
    <w:rsid w:val="001B073D"/>
    <w:rsid w:val="001B125D"/>
    <w:rsid w:val="001B2A76"/>
    <w:rsid w:val="001B4B8F"/>
    <w:rsid w:val="001B4BDA"/>
    <w:rsid w:val="001B55C7"/>
    <w:rsid w:val="001B654C"/>
    <w:rsid w:val="001B6A09"/>
    <w:rsid w:val="001B7B13"/>
    <w:rsid w:val="001C037C"/>
    <w:rsid w:val="001C2100"/>
    <w:rsid w:val="001C3308"/>
    <w:rsid w:val="001C3335"/>
    <w:rsid w:val="001C39A8"/>
    <w:rsid w:val="001C5119"/>
    <w:rsid w:val="001C6124"/>
    <w:rsid w:val="001C6C18"/>
    <w:rsid w:val="001C71E8"/>
    <w:rsid w:val="001C7495"/>
    <w:rsid w:val="001C7B5C"/>
    <w:rsid w:val="001D2B6D"/>
    <w:rsid w:val="001D4C59"/>
    <w:rsid w:val="001D4E7C"/>
    <w:rsid w:val="001D619F"/>
    <w:rsid w:val="001D6522"/>
    <w:rsid w:val="001D79B4"/>
    <w:rsid w:val="001D7EEE"/>
    <w:rsid w:val="001E1CA1"/>
    <w:rsid w:val="001E2BED"/>
    <w:rsid w:val="001E39A5"/>
    <w:rsid w:val="001E3BA2"/>
    <w:rsid w:val="001E4334"/>
    <w:rsid w:val="001E5042"/>
    <w:rsid w:val="001E68D6"/>
    <w:rsid w:val="001E6CB6"/>
    <w:rsid w:val="001F004C"/>
    <w:rsid w:val="001F11F2"/>
    <w:rsid w:val="001F1EF4"/>
    <w:rsid w:val="001F2258"/>
    <w:rsid w:val="001F2E09"/>
    <w:rsid w:val="001F6238"/>
    <w:rsid w:val="001F7464"/>
    <w:rsid w:val="00201C17"/>
    <w:rsid w:val="00201E47"/>
    <w:rsid w:val="002047A4"/>
    <w:rsid w:val="0020628C"/>
    <w:rsid w:val="00206A9D"/>
    <w:rsid w:val="00207DBF"/>
    <w:rsid w:val="002104D2"/>
    <w:rsid w:val="002132E1"/>
    <w:rsid w:val="002134FD"/>
    <w:rsid w:val="00215677"/>
    <w:rsid w:val="00215A93"/>
    <w:rsid w:val="00215B6B"/>
    <w:rsid w:val="00215E5F"/>
    <w:rsid w:val="00216279"/>
    <w:rsid w:val="002207FF"/>
    <w:rsid w:val="002225B5"/>
    <w:rsid w:val="00223BEB"/>
    <w:rsid w:val="0022440A"/>
    <w:rsid w:val="00224A98"/>
    <w:rsid w:val="00225324"/>
    <w:rsid w:val="00226B1A"/>
    <w:rsid w:val="00226ECC"/>
    <w:rsid w:val="002273F2"/>
    <w:rsid w:val="00230B22"/>
    <w:rsid w:val="00233B4C"/>
    <w:rsid w:val="0023459C"/>
    <w:rsid w:val="002366F2"/>
    <w:rsid w:val="00241E3A"/>
    <w:rsid w:val="00242DDD"/>
    <w:rsid w:val="00243DE9"/>
    <w:rsid w:val="00250D06"/>
    <w:rsid w:val="00254351"/>
    <w:rsid w:val="00254B9F"/>
    <w:rsid w:val="00256654"/>
    <w:rsid w:val="00256D3E"/>
    <w:rsid w:val="00257080"/>
    <w:rsid w:val="00260C56"/>
    <w:rsid w:val="002623C3"/>
    <w:rsid w:val="0026282A"/>
    <w:rsid w:val="0026293E"/>
    <w:rsid w:val="00263B27"/>
    <w:rsid w:val="00263D11"/>
    <w:rsid w:val="00263D75"/>
    <w:rsid w:val="00263FE0"/>
    <w:rsid w:val="0026608E"/>
    <w:rsid w:val="00267710"/>
    <w:rsid w:val="00267FB8"/>
    <w:rsid w:val="00270541"/>
    <w:rsid w:val="00271BA9"/>
    <w:rsid w:val="002725D9"/>
    <w:rsid w:val="0027351F"/>
    <w:rsid w:val="00274AD0"/>
    <w:rsid w:val="00275590"/>
    <w:rsid w:val="002755D5"/>
    <w:rsid w:val="0027614E"/>
    <w:rsid w:val="002778EC"/>
    <w:rsid w:val="00277CCE"/>
    <w:rsid w:val="00277EAE"/>
    <w:rsid w:val="00281717"/>
    <w:rsid w:val="002819F9"/>
    <w:rsid w:val="00281EFA"/>
    <w:rsid w:val="00282CC3"/>
    <w:rsid w:val="00284311"/>
    <w:rsid w:val="00286C23"/>
    <w:rsid w:val="002937CF"/>
    <w:rsid w:val="00293B0E"/>
    <w:rsid w:val="0029421E"/>
    <w:rsid w:val="002943B6"/>
    <w:rsid w:val="002952F7"/>
    <w:rsid w:val="00296569"/>
    <w:rsid w:val="00296C1F"/>
    <w:rsid w:val="00296EEA"/>
    <w:rsid w:val="00297925"/>
    <w:rsid w:val="00297B8B"/>
    <w:rsid w:val="002A0F9A"/>
    <w:rsid w:val="002A1D3E"/>
    <w:rsid w:val="002A33CB"/>
    <w:rsid w:val="002A4805"/>
    <w:rsid w:val="002A4D11"/>
    <w:rsid w:val="002A5545"/>
    <w:rsid w:val="002A5DE9"/>
    <w:rsid w:val="002B0A41"/>
    <w:rsid w:val="002B0A5C"/>
    <w:rsid w:val="002B121B"/>
    <w:rsid w:val="002B1301"/>
    <w:rsid w:val="002B26B3"/>
    <w:rsid w:val="002B3364"/>
    <w:rsid w:val="002B5BB1"/>
    <w:rsid w:val="002B6274"/>
    <w:rsid w:val="002B635E"/>
    <w:rsid w:val="002B7EBD"/>
    <w:rsid w:val="002C00E8"/>
    <w:rsid w:val="002C0C38"/>
    <w:rsid w:val="002C0CF3"/>
    <w:rsid w:val="002C16AF"/>
    <w:rsid w:val="002C1BCC"/>
    <w:rsid w:val="002C1C38"/>
    <w:rsid w:val="002C1D29"/>
    <w:rsid w:val="002C26BB"/>
    <w:rsid w:val="002C3B33"/>
    <w:rsid w:val="002C4B7F"/>
    <w:rsid w:val="002C5FC1"/>
    <w:rsid w:val="002C68EC"/>
    <w:rsid w:val="002C6D0E"/>
    <w:rsid w:val="002D21CE"/>
    <w:rsid w:val="002D2B0D"/>
    <w:rsid w:val="002D3F37"/>
    <w:rsid w:val="002D4001"/>
    <w:rsid w:val="002D4277"/>
    <w:rsid w:val="002D47EA"/>
    <w:rsid w:val="002D71D8"/>
    <w:rsid w:val="002D7EBD"/>
    <w:rsid w:val="002E2A7A"/>
    <w:rsid w:val="002E4DDB"/>
    <w:rsid w:val="002E5D4D"/>
    <w:rsid w:val="002E6EAE"/>
    <w:rsid w:val="002F2003"/>
    <w:rsid w:val="002F227B"/>
    <w:rsid w:val="002F32C1"/>
    <w:rsid w:val="002F3E37"/>
    <w:rsid w:val="002F3FBE"/>
    <w:rsid w:val="002F600C"/>
    <w:rsid w:val="002F6AFD"/>
    <w:rsid w:val="002F7805"/>
    <w:rsid w:val="00301D12"/>
    <w:rsid w:val="00302058"/>
    <w:rsid w:val="003040CB"/>
    <w:rsid w:val="003046AC"/>
    <w:rsid w:val="003058C2"/>
    <w:rsid w:val="00305EB7"/>
    <w:rsid w:val="003066B0"/>
    <w:rsid w:val="003070CE"/>
    <w:rsid w:val="00307C49"/>
    <w:rsid w:val="003107C6"/>
    <w:rsid w:val="00311DCD"/>
    <w:rsid w:val="003121CA"/>
    <w:rsid w:val="003127B1"/>
    <w:rsid w:val="003136FD"/>
    <w:rsid w:val="0031385F"/>
    <w:rsid w:val="003149D2"/>
    <w:rsid w:val="00315480"/>
    <w:rsid w:val="00315A59"/>
    <w:rsid w:val="00317CD1"/>
    <w:rsid w:val="00321972"/>
    <w:rsid w:val="0032202B"/>
    <w:rsid w:val="00322848"/>
    <w:rsid w:val="00322BED"/>
    <w:rsid w:val="00323606"/>
    <w:rsid w:val="00330399"/>
    <w:rsid w:val="00330D35"/>
    <w:rsid w:val="00330E46"/>
    <w:rsid w:val="00333487"/>
    <w:rsid w:val="00333F94"/>
    <w:rsid w:val="0033663F"/>
    <w:rsid w:val="003371E5"/>
    <w:rsid w:val="003405ED"/>
    <w:rsid w:val="003407D8"/>
    <w:rsid w:val="00341851"/>
    <w:rsid w:val="00343516"/>
    <w:rsid w:val="00344A2E"/>
    <w:rsid w:val="00345B9B"/>
    <w:rsid w:val="00345F9B"/>
    <w:rsid w:val="00346BC6"/>
    <w:rsid w:val="00346DEC"/>
    <w:rsid w:val="00347530"/>
    <w:rsid w:val="00347C01"/>
    <w:rsid w:val="003521D4"/>
    <w:rsid w:val="00352259"/>
    <w:rsid w:val="0035401D"/>
    <w:rsid w:val="003540C8"/>
    <w:rsid w:val="00354592"/>
    <w:rsid w:val="00356429"/>
    <w:rsid w:val="00356614"/>
    <w:rsid w:val="00360B56"/>
    <w:rsid w:val="003623E1"/>
    <w:rsid w:val="0036256E"/>
    <w:rsid w:val="00362627"/>
    <w:rsid w:val="0036263D"/>
    <w:rsid w:val="00362812"/>
    <w:rsid w:val="00363D2D"/>
    <w:rsid w:val="00363D3E"/>
    <w:rsid w:val="003642A4"/>
    <w:rsid w:val="00371627"/>
    <w:rsid w:val="00371817"/>
    <w:rsid w:val="00372269"/>
    <w:rsid w:val="00372F3F"/>
    <w:rsid w:val="00374D11"/>
    <w:rsid w:val="00374F32"/>
    <w:rsid w:val="00375449"/>
    <w:rsid w:val="003811BD"/>
    <w:rsid w:val="00381F8F"/>
    <w:rsid w:val="0038226D"/>
    <w:rsid w:val="00383C20"/>
    <w:rsid w:val="0038444D"/>
    <w:rsid w:val="00384A69"/>
    <w:rsid w:val="00387CB9"/>
    <w:rsid w:val="00390E92"/>
    <w:rsid w:val="0039247B"/>
    <w:rsid w:val="0039411A"/>
    <w:rsid w:val="00395A4B"/>
    <w:rsid w:val="00396F8C"/>
    <w:rsid w:val="003971B7"/>
    <w:rsid w:val="003A098A"/>
    <w:rsid w:val="003A1AFF"/>
    <w:rsid w:val="003A1BF3"/>
    <w:rsid w:val="003A26D8"/>
    <w:rsid w:val="003A33DA"/>
    <w:rsid w:val="003A4E98"/>
    <w:rsid w:val="003A586E"/>
    <w:rsid w:val="003A757D"/>
    <w:rsid w:val="003B063A"/>
    <w:rsid w:val="003B0BE7"/>
    <w:rsid w:val="003B0FEA"/>
    <w:rsid w:val="003B2FFF"/>
    <w:rsid w:val="003B400B"/>
    <w:rsid w:val="003B4113"/>
    <w:rsid w:val="003B4C9F"/>
    <w:rsid w:val="003B5D40"/>
    <w:rsid w:val="003B6DEE"/>
    <w:rsid w:val="003B7D0A"/>
    <w:rsid w:val="003C254C"/>
    <w:rsid w:val="003C268C"/>
    <w:rsid w:val="003C2DF4"/>
    <w:rsid w:val="003C3AAF"/>
    <w:rsid w:val="003C3B41"/>
    <w:rsid w:val="003C517F"/>
    <w:rsid w:val="003C5C72"/>
    <w:rsid w:val="003C6202"/>
    <w:rsid w:val="003D1452"/>
    <w:rsid w:val="003D3465"/>
    <w:rsid w:val="003D37B5"/>
    <w:rsid w:val="003D58E6"/>
    <w:rsid w:val="003D7707"/>
    <w:rsid w:val="003D7E6E"/>
    <w:rsid w:val="003E1202"/>
    <w:rsid w:val="003E1FBA"/>
    <w:rsid w:val="003E2D6A"/>
    <w:rsid w:val="003E31E4"/>
    <w:rsid w:val="003E362E"/>
    <w:rsid w:val="003E3F9B"/>
    <w:rsid w:val="003E473E"/>
    <w:rsid w:val="003E5801"/>
    <w:rsid w:val="003E5ACC"/>
    <w:rsid w:val="003F0A39"/>
    <w:rsid w:val="003F1202"/>
    <w:rsid w:val="003F1A10"/>
    <w:rsid w:val="003F1A67"/>
    <w:rsid w:val="003F2234"/>
    <w:rsid w:val="003F50DC"/>
    <w:rsid w:val="003F524D"/>
    <w:rsid w:val="003F6C34"/>
    <w:rsid w:val="003F7358"/>
    <w:rsid w:val="003F7A07"/>
    <w:rsid w:val="0040079D"/>
    <w:rsid w:val="00400EE3"/>
    <w:rsid w:val="00402DB7"/>
    <w:rsid w:val="00403E2C"/>
    <w:rsid w:val="004059E9"/>
    <w:rsid w:val="00407052"/>
    <w:rsid w:val="00407653"/>
    <w:rsid w:val="00410021"/>
    <w:rsid w:val="00410D43"/>
    <w:rsid w:val="004112B1"/>
    <w:rsid w:val="00412626"/>
    <w:rsid w:val="00412AFD"/>
    <w:rsid w:val="00412D32"/>
    <w:rsid w:val="00413637"/>
    <w:rsid w:val="0041377F"/>
    <w:rsid w:val="00414235"/>
    <w:rsid w:val="00416DE7"/>
    <w:rsid w:val="004200A5"/>
    <w:rsid w:val="004220C2"/>
    <w:rsid w:val="00422E9C"/>
    <w:rsid w:val="00423791"/>
    <w:rsid w:val="00423DD6"/>
    <w:rsid w:val="0042465E"/>
    <w:rsid w:val="00424B11"/>
    <w:rsid w:val="0042549D"/>
    <w:rsid w:val="00425741"/>
    <w:rsid w:val="0042623C"/>
    <w:rsid w:val="00426578"/>
    <w:rsid w:val="00426654"/>
    <w:rsid w:val="00427709"/>
    <w:rsid w:val="00427FBD"/>
    <w:rsid w:val="004307A2"/>
    <w:rsid w:val="00436213"/>
    <w:rsid w:val="00437458"/>
    <w:rsid w:val="00437A96"/>
    <w:rsid w:val="004405B0"/>
    <w:rsid w:val="00440EB6"/>
    <w:rsid w:val="004413A3"/>
    <w:rsid w:val="0044584A"/>
    <w:rsid w:val="0044648F"/>
    <w:rsid w:val="00452764"/>
    <w:rsid w:val="004532A5"/>
    <w:rsid w:val="00455124"/>
    <w:rsid w:val="00457FF6"/>
    <w:rsid w:val="0046116D"/>
    <w:rsid w:val="0046124F"/>
    <w:rsid w:val="00461BB8"/>
    <w:rsid w:val="00462021"/>
    <w:rsid w:val="00462100"/>
    <w:rsid w:val="0046487B"/>
    <w:rsid w:val="0046526E"/>
    <w:rsid w:val="004655FD"/>
    <w:rsid w:val="00465BB9"/>
    <w:rsid w:val="004662CF"/>
    <w:rsid w:val="004668B7"/>
    <w:rsid w:val="00467101"/>
    <w:rsid w:val="00467DB1"/>
    <w:rsid w:val="004716DF"/>
    <w:rsid w:val="00471BB6"/>
    <w:rsid w:val="00471D47"/>
    <w:rsid w:val="00473CC7"/>
    <w:rsid w:val="00475C47"/>
    <w:rsid w:val="004762A4"/>
    <w:rsid w:val="0047637B"/>
    <w:rsid w:val="004777C4"/>
    <w:rsid w:val="004815AB"/>
    <w:rsid w:val="00481A21"/>
    <w:rsid w:val="004824B5"/>
    <w:rsid w:val="00483D79"/>
    <w:rsid w:val="00484736"/>
    <w:rsid w:val="00485AE3"/>
    <w:rsid w:val="00485D89"/>
    <w:rsid w:val="004878F8"/>
    <w:rsid w:val="004901BC"/>
    <w:rsid w:val="0049062A"/>
    <w:rsid w:val="00494F19"/>
    <w:rsid w:val="0049559D"/>
    <w:rsid w:val="004958A7"/>
    <w:rsid w:val="00497833"/>
    <w:rsid w:val="00497CEE"/>
    <w:rsid w:val="004A4319"/>
    <w:rsid w:val="004A4F2C"/>
    <w:rsid w:val="004A54C3"/>
    <w:rsid w:val="004A791F"/>
    <w:rsid w:val="004A7A34"/>
    <w:rsid w:val="004A7DB6"/>
    <w:rsid w:val="004B2549"/>
    <w:rsid w:val="004B50EC"/>
    <w:rsid w:val="004B5516"/>
    <w:rsid w:val="004B593F"/>
    <w:rsid w:val="004B5F1F"/>
    <w:rsid w:val="004B644C"/>
    <w:rsid w:val="004B6903"/>
    <w:rsid w:val="004B692C"/>
    <w:rsid w:val="004B7895"/>
    <w:rsid w:val="004C014A"/>
    <w:rsid w:val="004C1D56"/>
    <w:rsid w:val="004C2935"/>
    <w:rsid w:val="004C2FE3"/>
    <w:rsid w:val="004C52DB"/>
    <w:rsid w:val="004C7BDD"/>
    <w:rsid w:val="004C7D6B"/>
    <w:rsid w:val="004D3093"/>
    <w:rsid w:val="004D3EC5"/>
    <w:rsid w:val="004D504F"/>
    <w:rsid w:val="004D54E1"/>
    <w:rsid w:val="004D590A"/>
    <w:rsid w:val="004D5EC4"/>
    <w:rsid w:val="004D703C"/>
    <w:rsid w:val="004D71E0"/>
    <w:rsid w:val="004D7A19"/>
    <w:rsid w:val="004D7D5D"/>
    <w:rsid w:val="004E05C5"/>
    <w:rsid w:val="004E09CE"/>
    <w:rsid w:val="004E0B79"/>
    <w:rsid w:val="004E29B7"/>
    <w:rsid w:val="004E32C7"/>
    <w:rsid w:val="004E53CE"/>
    <w:rsid w:val="004E66FD"/>
    <w:rsid w:val="004E6EE8"/>
    <w:rsid w:val="004E74F4"/>
    <w:rsid w:val="004F0757"/>
    <w:rsid w:val="004F1A06"/>
    <w:rsid w:val="004F40A2"/>
    <w:rsid w:val="00500C30"/>
    <w:rsid w:val="00502110"/>
    <w:rsid w:val="00502C91"/>
    <w:rsid w:val="0050360F"/>
    <w:rsid w:val="005043CD"/>
    <w:rsid w:val="005066E1"/>
    <w:rsid w:val="00506A75"/>
    <w:rsid w:val="00511DAD"/>
    <w:rsid w:val="00514DCB"/>
    <w:rsid w:val="005155F7"/>
    <w:rsid w:val="00515B1F"/>
    <w:rsid w:val="00515E1C"/>
    <w:rsid w:val="00516C35"/>
    <w:rsid w:val="00516C73"/>
    <w:rsid w:val="00516F76"/>
    <w:rsid w:val="0052027D"/>
    <w:rsid w:val="00520441"/>
    <w:rsid w:val="00520AE6"/>
    <w:rsid w:val="005214A9"/>
    <w:rsid w:val="0052150F"/>
    <w:rsid w:val="00521B6A"/>
    <w:rsid w:val="0052524D"/>
    <w:rsid w:val="00525648"/>
    <w:rsid w:val="00525D1F"/>
    <w:rsid w:val="00526279"/>
    <w:rsid w:val="0052781A"/>
    <w:rsid w:val="005314E4"/>
    <w:rsid w:val="00532555"/>
    <w:rsid w:val="005341BC"/>
    <w:rsid w:val="00534E9B"/>
    <w:rsid w:val="00534ED5"/>
    <w:rsid w:val="00535556"/>
    <w:rsid w:val="00535C14"/>
    <w:rsid w:val="005362A6"/>
    <w:rsid w:val="00536388"/>
    <w:rsid w:val="005421FA"/>
    <w:rsid w:val="00547C42"/>
    <w:rsid w:val="005500D4"/>
    <w:rsid w:val="0055079F"/>
    <w:rsid w:val="005510D3"/>
    <w:rsid w:val="005523DA"/>
    <w:rsid w:val="00555357"/>
    <w:rsid w:val="00556E01"/>
    <w:rsid w:val="00557765"/>
    <w:rsid w:val="00557A10"/>
    <w:rsid w:val="00560813"/>
    <w:rsid w:val="005618F8"/>
    <w:rsid w:val="00563EFE"/>
    <w:rsid w:val="0056485A"/>
    <w:rsid w:val="005665C0"/>
    <w:rsid w:val="00570B87"/>
    <w:rsid w:val="0057168C"/>
    <w:rsid w:val="0057243B"/>
    <w:rsid w:val="00572EE7"/>
    <w:rsid w:val="0057379B"/>
    <w:rsid w:val="00573B0E"/>
    <w:rsid w:val="00576281"/>
    <w:rsid w:val="00576813"/>
    <w:rsid w:val="00577371"/>
    <w:rsid w:val="00580F0C"/>
    <w:rsid w:val="00582928"/>
    <w:rsid w:val="00582A40"/>
    <w:rsid w:val="0058464D"/>
    <w:rsid w:val="00584961"/>
    <w:rsid w:val="00586999"/>
    <w:rsid w:val="00586AD4"/>
    <w:rsid w:val="00590280"/>
    <w:rsid w:val="005903EA"/>
    <w:rsid w:val="00590FC1"/>
    <w:rsid w:val="00592797"/>
    <w:rsid w:val="005951B3"/>
    <w:rsid w:val="005959AD"/>
    <w:rsid w:val="00595ACB"/>
    <w:rsid w:val="005968E4"/>
    <w:rsid w:val="00596DE3"/>
    <w:rsid w:val="00597CC3"/>
    <w:rsid w:val="005A155F"/>
    <w:rsid w:val="005A239C"/>
    <w:rsid w:val="005A27CC"/>
    <w:rsid w:val="005A3240"/>
    <w:rsid w:val="005A35CE"/>
    <w:rsid w:val="005A7778"/>
    <w:rsid w:val="005A7B05"/>
    <w:rsid w:val="005B0B84"/>
    <w:rsid w:val="005B16D7"/>
    <w:rsid w:val="005B192F"/>
    <w:rsid w:val="005B2CA4"/>
    <w:rsid w:val="005B43F1"/>
    <w:rsid w:val="005B4468"/>
    <w:rsid w:val="005B51A3"/>
    <w:rsid w:val="005B7DA2"/>
    <w:rsid w:val="005C0726"/>
    <w:rsid w:val="005C3F30"/>
    <w:rsid w:val="005C548B"/>
    <w:rsid w:val="005C6850"/>
    <w:rsid w:val="005C758C"/>
    <w:rsid w:val="005C774E"/>
    <w:rsid w:val="005C7A82"/>
    <w:rsid w:val="005D1116"/>
    <w:rsid w:val="005D13DC"/>
    <w:rsid w:val="005D2BA9"/>
    <w:rsid w:val="005D5961"/>
    <w:rsid w:val="005D665F"/>
    <w:rsid w:val="005D7CCC"/>
    <w:rsid w:val="005E3524"/>
    <w:rsid w:val="005E3528"/>
    <w:rsid w:val="005E414B"/>
    <w:rsid w:val="005E7255"/>
    <w:rsid w:val="005F0F3C"/>
    <w:rsid w:val="005F0F48"/>
    <w:rsid w:val="005F2445"/>
    <w:rsid w:val="005F2F74"/>
    <w:rsid w:val="005F3592"/>
    <w:rsid w:val="005F376E"/>
    <w:rsid w:val="005F3895"/>
    <w:rsid w:val="005F4213"/>
    <w:rsid w:val="005F4BC8"/>
    <w:rsid w:val="005F4CF5"/>
    <w:rsid w:val="005F4DBC"/>
    <w:rsid w:val="005F7362"/>
    <w:rsid w:val="006032CE"/>
    <w:rsid w:val="00603E1A"/>
    <w:rsid w:val="00605063"/>
    <w:rsid w:val="006054EE"/>
    <w:rsid w:val="006059FD"/>
    <w:rsid w:val="00606013"/>
    <w:rsid w:val="0060643A"/>
    <w:rsid w:val="00614385"/>
    <w:rsid w:val="006148CC"/>
    <w:rsid w:val="00615841"/>
    <w:rsid w:val="00616E70"/>
    <w:rsid w:val="00616F72"/>
    <w:rsid w:val="0062120B"/>
    <w:rsid w:val="00621291"/>
    <w:rsid w:val="00621B10"/>
    <w:rsid w:val="00622431"/>
    <w:rsid w:val="006239F0"/>
    <w:rsid w:val="00623A29"/>
    <w:rsid w:val="006255EE"/>
    <w:rsid w:val="00625933"/>
    <w:rsid w:val="006274A8"/>
    <w:rsid w:val="00630048"/>
    <w:rsid w:val="00631421"/>
    <w:rsid w:val="00633BCF"/>
    <w:rsid w:val="006343C3"/>
    <w:rsid w:val="0063509A"/>
    <w:rsid w:val="006357FA"/>
    <w:rsid w:val="00640722"/>
    <w:rsid w:val="00640C99"/>
    <w:rsid w:val="006423AC"/>
    <w:rsid w:val="0065315F"/>
    <w:rsid w:val="00653B3B"/>
    <w:rsid w:val="00655632"/>
    <w:rsid w:val="006556EC"/>
    <w:rsid w:val="00656B38"/>
    <w:rsid w:val="00662615"/>
    <w:rsid w:val="00664314"/>
    <w:rsid w:val="006647C3"/>
    <w:rsid w:val="00664D51"/>
    <w:rsid w:val="0066574C"/>
    <w:rsid w:val="00666258"/>
    <w:rsid w:val="00666526"/>
    <w:rsid w:val="00667094"/>
    <w:rsid w:val="00670880"/>
    <w:rsid w:val="00670897"/>
    <w:rsid w:val="00671386"/>
    <w:rsid w:val="006714EE"/>
    <w:rsid w:val="00671DE9"/>
    <w:rsid w:val="00673707"/>
    <w:rsid w:val="00673F18"/>
    <w:rsid w:val="00674EAF"/>
    <w:rsid w:val="006764EE"/>
    <w:rsid w:val="0067663D"/>
    <w:rsid w:val="00676925"/>
    <w:rsid w:val="006772A1"/>
    <w:rsid w:val="006775AF"/>
    <w:rsid w:val="00680020"/>
    <w:rsid w:val="00683382"/>
    <w:rsid w:val="00684BF6"/>
    <w:rsid w:val="00685493"/>
    <w:rsid w:val="006867F1"/>
    <w:rsid w:val="00687A0D"/>
    <w:rsid w:val="00687F70"/>
    <w:rsid w:val="0069054D"/>
    <w:rsid w:val="00692620"/>
    <w:rsid w:val="00697FD2"/>
    <w:rsid w:val="006A0941"/>
    <w:rsid w:val="006A0F0C"/>
    <w:rsid w:val="006A2004"/>
    <w:rsid w:val="006A431C"/>
    <w:rsid w:val="006A4582"/>
    <w:rsid w:val="006A4A69"/>
    <w:rsid w:val="006A54DD"/>
    <w:rsid w:val="006A6C37"/>
    <w:rsid w:val="006A7EDD"/>
    <w:rsid w:val="006B05FC"/>
    <w:rsid w:val="006B0CD7"/>
    <w:rsid w:val="006B14D4"/>
    <w:rsid w:val="006B3595"/>
    <w:rsid w:val="006B391F"/>
    <w:rsid w:val="006B55F6"/>
    <w:rsid w:val="006B5A94"/>
    <w:rsid w:val="006B6267"/>
    <w:rsid w:val="006B675E"/>
    <w:rsid w:val="006B7D95"/>
    <w:rsid w:val="006C05BB"/>
    <w:rsid w:val="006C1A04"/>
    <w:rsid w:val="006C368F"/>
    <w:rsid w:val="006C4452"/>
    <w:rsid w:val="006C650B"/>
    <w:rsid w:val="006C7295"/>
    <w:rsid w:val="006D0478"/>
    <w:rsid w:val="006D22B0"/>
    <w:rsid w:val="006D35D1"/>
    <w:rsid w:val="006D418A"/>
    <w:rsid w:val="006D662B"/>
    <w:rsid w:val="006D6F34"/>
    <w:rsid w:val="006D7215"/>
    <w:rsid w:val="006D793C"/>
    <w:rsid w:val="006E121F"/>
    <w:rsid w:val="006E1DED"/>
    <w:rsid w:val="006E28E6"/>
    <w:rsid w:val="006F4730"/>
    <w:rsid w:val="006F55F0"/>
    <w:rsid w:val="006F5A15"/>
    <w:rsid w:val="006F6678"/>
    <w:rsid w:val="006F7901"/>
    <w:rsid w:val="006F7C77"/>
    <w:rsid w:val="0070055A"/>
    <w:rsid w:val="00701691"/>
    <w:rsid w:val="00705DAE"/>
    <w:rsid w:val="00707353"/>
    <w:rsid w:val="0071102B"/>
    <w:rsid w:val="00712E21"/>
    <w:rsid w:val="007202B2"/>
    <w:rsid w:val="00722D15"/>
    <w:rsid w:val="00722EA9"/>
    <w:rsid w:val="00723202"/>
    <w:rsid w:val="0072322C"/>
    <w:rsid w:val="007251AF"/>
    <w:rsid w:val="00726ACE"/>
    <w:rsid w:val="00727E8D"/>
    <w:rsid w:val="0073264F"/>
    <w:rsid w:val="00732D9B"/>
    <w:rsid w:val="00734273"/>
    <w:rsid w:val="00734706"/>
    <w:rsid w:val="007359D8"/>
    <w:rsid w:val="00743539"/>
    <w:rsid w:val="0074358C"/>
    <w:rsid w:val="00743683"/>
    <w:rsid w:val="00744D2E"/>
    <w:rsid w:val="0074657F"/>
    <w:rsid w:val="007477C6"/>
    <w:rsid w:val="00747A44"/>
    <w:rsid w:val="00747D06"/>
    <w:rsid w:val="00755767"/>
    <w:rsid w:val="0075718A"/>
    <w:rsid w:val="00757FD7"/>
    <w:rsid w:val="007601C7"/>
    <w:rsid w:val="007604FC"/>
    <w:rsid w:val="0076194C"/>
    <w:rsid w:val="00762307"/>
    <w:rsid w:val="00762A52"/>
    <w:rsid w:val="00763163"/>
    <w:rsid w:val="00763A2E"/>
    <w:rsid w:val="00764144"/>
    <w:rsid w:val="00765763"/>
    <w:rsid w:val="00765807"/>
    <w:rsid w:val="00766BB9"/>
    <w:rsid w:val="00766BC5"/>
    <w:rsid w:val="0077010A"/>
    <w:rsid w:val="00771093"/>
    <w:rsid w:val="00773953"/>
    <w:rsid w:val="007763E3"/>
    <w:rsid w:val="00776821"/>
    <w:rsid w:val="007778B7"/>
    <w:rsid w:val="00780380"/>
    <w:rsid w:val="007804B2"/>
    <w:rsid w:val="00780BE0"/>
    <w:rsid w:val="0078333E"/>
    <w:rsid w:val="00783BFD"/>
    <w:rsid w:val="0078696F"/>
    <w:rsid w:val="0079016A"/>
    <w:rsid w:val="0079091B"/>
    <w:rsid w:val="00791C66"/>
    <w:rsid w:val="00791F6A"/>
    <w:rsid w:val="00792A66"/>
    <w:rsid w:val="00793C7B"/>
    <w:rsid w:val="00794355"/>
    <w:rsid w:val="00794778"/>
    <w:rsid w:val="00796D87"/>
    <w:rsid w:val="00796F66"/>
    <w:rsid w:val="007A2694"/>
    <w:rsid w:val="007A3682"/>
    <w:rsid w:val="007A3C99"/>
    <w:rsid w:val="007A4193"/>
    <w:rsid w:val="007A419E"/>
    <w:rsid w:val="007A4DAA"/>
    <w:rsid w:val="007B0F77"/>
    <w:rsid w:val="007B1230"/>
    <w:rsid w:val="007B33A1"/>
    <w:rsid w:val="007B4F48"/>
    <w:rsid w:val="007B52F9"/>
    <w:rsid w:val="007B5650"/>
    <w:rsid w:val="007B6E57"/>
    <w:rsid w:val="007B76EB"/>
    <w:rsid w:val="007B7D6C"/>
    <w:rsid w:val="007C01A6"/>
    <w:rsid w:val="007C01C4"/>
    <w:rsid w:val="007C1063"/>
    <w:rsid w:val="007C19A4"/>
    <w:rsid w:val="007C35A7"/>
    <w:rsid w:val="007C3EDD"/>
    <w:rsid w:val="007C5266"/>
    <w:rsid w:val="007C5876"/>
    <w:rsid w:val="007C7235"/>
    <w:rsid w:val="007D1C0F"/>
    <w:rsid w:val="007D25D1"/>
    <w:rsid w:val="007D291D"/>
    <w:rsid w:val="007D4942"/>
    <w:rsid w:val="007D5296"/>
    <w:rsid w:val="007E196F"/>
    <w:rsid w:val="007E2FFA"/>
    <w:rsid w:val="007E3294"/>
    <w:rsid w:val="007E32E6"/>
    <w:rsid w:val="007E6618"/>
    <w:rsid w:val="007E7B1B"/>
    <w:rsid w:val="007F003C"/>
    <w:rsid w:val="007F03C3"/>
    <w:rsid w:val="007F1F35"/>
    <w:rsid w:val="007F29C7"/>
    <w:rsid w:val="007F37FD"/>
    <w:rsid w:val="007F551F"/>
    <w:rsid w:val="007F7A61"/>
    <w:rsid w:val="00801D78"/>
    <w:rsid w:val="008020DF"/>
    <w:rsid w:val="0080686E"/>
    <w:rsid w:val="00807111"/>
    <w:rsid w:val="008072EC"/>
    <w:rsid w:val="008079FE"/>
    <w:rsid w:val="00810B0E"/>
    <w:rsid w:val="008113D8"/>
    <w:rsid w:val="00811E5D"/>
    <w:rsid w:val="00812323"/>
    <w:rsid w:val="0081316A"/>
    <w:rsid w:val="0081482E"/>
    <w:rsid w:val="0081677D"/>
    <w:rsid w:val="00816D2B"/>
    <w:rsid w:val="008230D2"/>
    <w:rsid w:val="00823942"/>
    <w:rsid w:val="00824B97"/>
    <w:rsid w:val="00825021"/>
    <w:rsid w:val="00825662"/>
    <w:rsid w:val="00825B12"/>
    <w:rsid w:val="008262EE"/>
    <w:rsid w:val="008301B4"/>
    <w:rsid w:val="00837577"/>
    <w:rsid w:val="008408D9"/>
    <w:rsid w:val="00841CB4"/>
    <w:rsid w:val="00842949"/>
    <w:rsid w:val="008449D9"/>
    <w:rsid w:val="00846EF6"/>
    <w:rsid w:val="00850843"/>
    <w:rsid w:val="00851C34"/>
    <w:rsid w:val="0085281E"/>
    <w:rsid w:val="00853F44"/>
    <w:rsid w:val="008540C6"/>
    <w:rsid w:val="008562F1"/>
    <w:rsid w:val="008566A2"/>
    <w:rsid w:val="008571D9"/>
    <w:rsid w:val="00860F26"/>
    <w:rsid w:val="008615E7"/>
    <w:rsid w:val="0086184A"/>
    <w:rsid w:val="00863315"/>
    <w:rsid w:val="00864408"/>
    <w:rsid w:val="00865663"/>
    <w:rsid w:val="00865B9C"/>
    <w:rsid w:val="00865E23"/>
    <w:rsid w:val="00866F2E"/>
    <w:rsid w:val="008679C7"/>
    <w:rsid w:val="00870A3D"/>
    <w:rsid w:val="00871CD0"/>
    <w:rsid w:val="00872ABA"/>
    <w:rsid w:val="00872E82"/>
    <w:rsid w:val="008732F6"/>
    <w:rsid w:val="00875246"/>
    <w:rsid w:val="008800F9"/>
    <w:rsid w:val="00880CD0"/>
    <w:rsid w:val="0088277E"/>
    <w:rsid w:val="008835C8"/>
    <w:rsid w:val="00883A44"/>
    <w:rsid w:val="008849D9"/>
    <w:rsid w:val="00890A04"/>
    <w:rsid w:val="00891307"/>
    <w:rsid w:val="00891986"/>
    <w:rsid w:val="008926C1"/>
    <w:rsid w:val="00893294"/>
    <w:rsid w:val="00893DDD"/>
    <w:rsid w:val="00893E2F"/>
    <w:rsid w:val="008958E3"/>
    <w:rsid w:val="00896CB7"/>
    <w:rsid w:val="0089754A"/>
    <w:rsid w:val="008A0CBD"/>
    <w:rsid w:val="008A17D0"/>
    <w:rsid w:val="008A2061"/>
    <w:rsid w:val="008A218E"/>
    <w:rsid w:val="008A44C8"/>
    <w:rsid w:val="008A4BAE"/>
    <w:rsid w:val="008A522A"/>
    <w:rsid w:val="008A5316"/>
    <w:rsid w:val="008A5931"/>
    <w:rsid w:val="008B1EF4"/>
    <w:rsid w:val="008B29DC"/>
    <w:rsid w:val="008B345A"/>
    <w:rsid w:val="008B431A"/>
    <w:rsid w:val="008B6884"/>
    <w:rsid w:val="008B6BB1"/>
    <w:rsid w:val="008B6DE3"/>
    <w:rsid w:val="008C18A7"/>
    <w:rsid w:val="008C21D6"/>
    <w:rsid w:val="008C629A"/>
    <w:rsid w:val="008D0183"/>
    <w:rsid w:val="008D11AE"/>
    <w:rsid w:val="008D547A"/>
    <w:rsid w:val="008D66E1"/>
    <w:rsid w:val="008D733D"/>
    <w:rsid w:val="008E3E75"/>
    <w:rsid w:val="008E655B"/>
    <w:rsid w:val="008E792D"/>
    <w:rsid w:val="008F003C"/>
    <w:rsid w:val="008F23D1"/>
    <w:rsid w:val="008F3EE6"/>
    <w:rsid w:val="008F43E7"/>
    <w:rsid w:val="008F5FAC"/>
    <w:rsid w:val="008F6C31"/>
    <w:rsid w:val="008F78E3"/>
    <w:rsid w:val="0090047D"/>
    <w:rsid w:val="00900F14"/>
    <w:rsid w:val="009011B0"/>
    <w:rsid w:val="009015E6"/>
    <w:rsid w:val="00901E81"/>
    <w:rsid w:val="00902B5F"/>
    <w:rsid w:val="009050BC"/>
    <w:rsid w:val="0090739F"/>
    <w:rsid w:val="00907432"/>
    <w:rsid w:val="00907D7C"/>
    <w:rsid w:val="00910BC0"/>
    <w:rsid w:val="0091193A"/>
    <w:rsid w:val="00912425"/>
    <w:rsid w:val="00912F6D"/>
    <w:rsid w:val="00915B23"/>
    <w:rsid w:val="00916240"/>
    <w:rsid w:val="00916F73"/>
    <w:rsid w:val="00917222"/>
    <w:rsid w:val="0092079A"/>
    <w:rsid w:val="00920803"/>
    <w:rsid w:val="009238A5"/>
    <w:rsid w:val="00924CF3"/>
    <w:rsid w:val="0092514C"/>
    <w:rsid w:val="00925182"/>
    <w:rsid w:val="009252DE"/>
    <w:rsid w:val="00926F93"/>
    <w:rsid w:val="009272A4"/>
    <w:rsid w:val="009301B6"/>
    <w:rsid w:val="00930F30"/>
    <w:rsid w:val="0093180D"/>
    <w:rsid w:val="00933B4B"/>
    <w:rsid w:val="00934E34"/>
    <w:rsid w:val="0093581C"/>
    <w:rsid w:val="00940091"/>
    <w:rsid w:val="00940617"/>
    <w:rsid w:val="00943057"/>
    <w:rsid w:val="00944565"/>
    <w:rsid w:val="0094536F"/>
    <w:rsid w:val="00945675"/>
    <w:rsid w:val="00945E7D"/>
    <w:rsid w:val="00950EFB"/>
    <w:rsid w:val="00951497"/>
    <w:rsid w:val="00951740"/>
    <w:rsid w:val="00952151"/>
    <w:rsid w:val="00952D6A"/>
    <w:rsid w:val="00953669"/>
    <w:rsid w:val="009537FB"/>
    <w:rsid w:val="00953BB1"/>
    <w:rsid w:val="00953C33"/>
    <w:rsid w:val="00955324"/>
    <w:rsid w:val="00956291"/>
    <w:rsid w:val="0095676B"/>
    <w:rsid w:val="00956CA7"/>
    <w:rsid w:val="00960AA3"/>
    <w:rsid w:val="00960AC0"/>
    <w:rsid w:val="00961DAC"/>
    <w:rsid w:val="00962727"/>
    <w:rsid w:val="00966539"/>
    <w:rsid w:val="009667A9"/>
    <w:rsid w:val="009670E8"/>
    <w:rsid w:val="009675D6"/>
    <w:rsid w:val="0096786F"/>
    <w:rsid w:val="0097022D"/>
    <w:rsid w:val="009746F7"/>
    <w:rsid w:val="0097473A"/>
    <w:rsid w:val="00974E96"/>
    <w:rsid w:val="009776C3"/>
    <w:rsid w:val="009776CD"/>
    <w:rsid w:val="0098004F"/>
    <w:rsid w:val="00980658"/>
    <w:rsid w:val="00983760"/>
    <w:rsid w:val="0098462E"/>
    <w:rsid w:val="0098465F"/>
    <w:rsid w:val="00984A85"/>
    <w:rsid w:val="00984DD2"/>
    <w:rsid w:val="00985C51"/>
    <w:rsid w:val="009933A8"/>
    <w:rsid w:val="009939D0"/>
    <w:rsid w:val="00993CEF"/>
    <w:rsid w:val="009956C8"/>
    <w:rsid w:val="00995B4C"/>
    <w:rsid w:val="009961D8"/>
    <w:rsid w:val="009964E6"/>
    <w:rsid w:val="00997AFA"/>
    <w:rsid w:val="009A02B4"/>
    <w:rsid w:val="009A1184"/>
    <w:rsid w:val="009A3759"/>
    <w:rsid w:val="009A3B34"/>
    <w:rsid w:val="009A581C"/>
    <w:rsid w:val="009A6D48"/>
    <w:rsid w:val="009A6F01"/>
    <w:rsid w:val="009A7C9B"/>
    <w:rsid w:val="009A7FA4"/>
    <w:rsid w:val="009B0396"/>
    <w:rsid w:val="009B0EAE"/>
    <w:rsid w:val="009B3B9A"/>
    <w:rsid w:val="009B4173"/>
    <w:rsid w:val="009B49C6"/>
    <w:rsid w:val="009B6970"/>
    <w:rsid w:val="009C390E"/>
    <w:rsid w:val="009C6146"/>
    <w:rsid w:val="009C6309"/>
    <w:rsid w:val="009D14A9"/>
    <w:rsid w:val="009D5DB7"/>
    <w:rsid w:val="009D70D5"/>
    <w:rsid w:val="009E0037"/>
    <w:rsid w:val="009E1332"/>
    <w:rsid w:val="009E1700"/>
    <w:rsid w:val="009E17C3"/>
    <w:rsid w:val="009E490F"/>
    <w:rsid w:val="009E4BDC"/>
    <w:rsid w:val="009E4CC0"/>
    <w:rsid w:val="009E4EF1"/>
    <w:rsid w:val="009E6914"/>
    <w:rsid w:val="009E796C"/>
    <w:rsid w:val="009F125F"/>
    <w:rsid w:val="009F580D"/>
    <w:rsid w:val="009F58BF"/>
    <w:rsid w:val="009F678A"/>
    <w:rsid w:val="009F786F"/>
    <w:rsid w:val="009F7920"/>
    <w:rsid w:val="00A00EB1"/>
    <w:rsid w:val="00A014D4"/>
    <w:rsid w:val="00A02F6C"/>
    <w:rsid w:val="00A0373E"/>
    <w:rsid w:val="00A05060"/>
    <w:rsid w:val="00A0596F"/>
    <w:rsid w:val="00A066A9"/>
    <w:rsid w:val="00A06F7B"/>
    <w:rsid w:val="00A07947"/>
    <w:rsid w:val="00A111B3"/>
    <w:rsid w:val="00A11A09"/>
    <w:rsid w:val="00A15959"/>
    <w:rsid w:val="00A15F0B"/>
    <w:rsid w:val="00A20603"/>
    <w:rsid w:val="00A211B4"/>
    <w:rsid w:val="00A2249F"/>
    <w:rsid w:val="00A254B0"/>
    <w:rsid w:val="00A27B69"/>
    <w:rsid w:val="00A30071"/>
    <w:rsid w:val="00A30AAE"/>
    <w:rsid w:val="00A30E4C"/>
    <w:rsid w:val="00A33011"/>
    <w:rsid w:val="00A34400"/>
    <w:rsid w:val="00A34D14"/>
    <w:rsid w:val="00A408A1"/>
    <w:rsid w:val="00A40B16"/>
    <w:rsid w:val="00A4104E"/>
    <w:rsid w:val="00A41CFC"/>
    <w:rsid w:val="00A42525"/>
    <w:rsid w:val="00A43161"/>
    <w:rsid w:val="00A441DA"/>
    <w:rsid w:val="00A462FE"/>
    <w:rsid w:val="00A47288"/>
    <w:rsid w:val="00A50B78"/>
    <w:rsid w:val="00A52734"/>
    <w:rsid w:val="00A53721"/>
    <w:rsid w:val="00A538DB"/>
    <w:rsid w:val="00A545F8"/>
    <w:rsid w:val="00A54607"/>
    <w:rsid w:val="00A547D8"/>
    <w:rsid w:val="00A54FDC"/>
    <w:rsid w:val="00A56E28"/>
    <w:rsid w:val="00A57EB1"/>
    <w:rsid w:val="00A605CB"/>
    <w:rsid w:val="00A60C91"/>
    <w:rsid w:val="00A6167F"/>
    <w:rsid w:val="00A61D8E"/>
    <w:rsid w:val="00A6393D"/>
    <w:rsid w:val="00A6409A"/>
    <w:rsid w:val="00A64E6A"/>
    <w:rsid w:val="00A67644"/>
    <w:rsid w:val="00A67743"/>
    <w:rsid w:val="00A70544"/>
    <w:rsid w:val="00A71353"/>
    <w:rsid w:val="00A73AD8"/>
    <w:rsid w:val="00A751C6"/>
    <w:rsid w:val="00A767F9"/>
    <w:rsid w:val="00A76F09"/>
    <w:rsid w:val="00A76FE5"/>
    <w:rsid w:val="00A77B96"/>
    <w:rsid w:val="00A82418"/>
    <w:rsid w:val="00A83369"/>
    <w:rsid w:val="00A83FB5"/>
    <w:rsid w:val="00A84C5A"/>
    <w:rsid w:val="00A87F76"/>
    <w:rsid w:val="00A90795"/>
    <w:rsid w:val="00A929AB"/>
    <w:rsid w:val="00A9412C"/>
    <w:rsid w:val="00A949EC"/>
    <w:rsid w:val="00A94E9A"/>
    <w:rsid w:val="00A950B1"/>
    <w:rsid w:val="00A9585C"/>
    <w:rsid w:val="00A95D30"/>
    <w:rsid w:val="00A96755"/>
    <w:rsid w:val="00AA0D5E"/>
    <w:rsid w:val="00AA579F"/>
    <w:rsid w:val="00AA5AE5"/>
    <w:rsid w:val="00AA6180"/>
    <w:rsid w:val="00AA66CE"/>
    <w:rsid w:val="00AA7491"/>
    <w:rsid w:val="00AA7F06"/>
    <w:rsid w:val="00AB2EAD"/>
    <w:rsid w:val="00AB2F4D"/>
    <w:rsid w:val="00AB3257"/>
    <w:rsid w:val="00AB56E0"/>
    <w:rsid w:val="00AB5B1B"/>
    <w:rsid w:val="00AB5DDC"/>
    <w:rsid w:val="00AB6CF0"/>
    <w:rsid w:val="00AC0529"/>
    <w:rsid w:val="00AC08E6"/>
    <w:rsid w:val="00AC13B0"/>
    <w:rsid w:val="00AC1978"/>
    <w:rsid w:val="00AC1C63"/>
    <w:rsid w:val="00AC5FB4"/>
    <w:rsid w:val="00AC7159"/>
    <w:rsid w:val="00AC7A35"/>
    <w:rsid w:val="00AD17A1"/>
    <w:rsid w:val="00AD1EFB"/>
    <w:rsid w:val="00AD4353"/>
    <w:rsid w:val="00AD577C"/>
    <w:rsid w:val="00AD62D6"/>
    <w:rsid w:val="00AD68C9"/>
    <w:rsid w:val="00AD7ADC"/>
    <w:rsid w:val="00AE1A51"/>
    <w:rsid w:val="00AE386E"/>
    <w:rsid w:val="00AE4F9C"/>
    <w:rsid w:val="00AE615C"/>
    <w:rsid w:val="00AE681F"/>
    <w:rsid w:val="00AE6EBA"/>
    <w:rsid w:val="00AF184A"/>
    <w:rsid w:val="00AF2E38"/>
    <w:rsid w:val="00AF3E33"/>
    <w:rsid w:val="00AF5DC4"/>
    <w:rsid w:val="00AF7026"/>
    <w:rsid w:val="00AF7D31"/>
    <w:rsid w:val="00B00308"/>
    <w:rsid w:val="00B0053D"/>
    <w:rsid w:val="00B02FB2"/>
    <w:rsid w:val="00B05B0F"/>
    <w:rsid w:val="00B05ECC"/>
    <w:rsid w:val="00B05F1A"/>
    <w:rsid w:val="00B05F3E"/>
    <w:rsid w:val="00B06AA3"/>
    <w:rsid w:val="00B077FF"/>
    <w:rsid w:val="00B10546"/>
    <w:rsid w:val="00B14484"/>
    <w:rsid w:val="00B14C3E"/>
    <w:rsid w:val="00B157B7"/>
    <w:rsid w:val="00B1771F"/>
    <w:rsid w:val="00B17964"/>
    <w:rsid w:val="00B17A81"/>
    <w:rsid w:val="00B21239"/>
    <w:rsid w:val="00B21B0F"/>
    <w:rsid w:val="00B2422A"/>
    <w:rsid w:val="00B24FA8"/>
    <w:rsid w:val="00B265ED"/>
    <w:rsid w:val="00B26BC6"/>
    <w:rsid w:val="00B26DCD"/>
    <w:rsid w:val="00B3016A"/>
    <w:rsid w:val="00B31C79"/>
    <w:rsid w:val="00B32094"/>
    <w:rsid w:val="00B33567"/>
    <w:rsid w:val="00B3679E"/>
    <w:rsid w:val="00B373A7"/>
    <w:rsid w:val="00B37854"/>
    <w:rsid w:val="00B43B26"/>
    <w:rsid w:val="00B454C2"/>
    <w:rsid w:val="00B457EC"/>
    <w:rsid w:val="00B50044"/>
    <w:rsid w:val="00B5202E"/>
    <w:rsid w:val="00B54F50"/>
    <w:rsid w:val="00B556CB"/>
    <w:rsid w:val="00B55883"/>
    <w:rsid w:val="00B55935"/>
    <w:rsid w:val="00B57264"/>
    <w:rsid w:val="00B60A69"/>
    <w:rsid w:val="00B619FC"/>
    <w:rsid w:val="00B6310A"/>
    <w:rsid w:val="00B63A01"/>
    <w:rsid w:val="00B6426F"/>
    <w:rsid w:val="00B676C7"/>
    <w:rsid w:val="00B678E5"/>
    <w:rsid w:val="00B7125E"/>
    <w:rsid w:val="00B723F4"/>
    <w:rsid w:val="00B732A9"/>
    <w:rsid w:val="00B73A2A"/>
    <w:rsid w:val="00B73D1E"/>
    <w:rsid w:val="00B74EBD"/>
    <w:rsid w:val="00B74F82"/>
    <w:rsid w:val="00B7776C"/>
    <w:rsid w:val="00B7787D"/>
    <w:rsid w:val="00B81A6D"/>
    <w:rsid w:val="00B81F39"/>
    <w:rsid w:val="00B8206F"/>
    <w:rsid w:val="00B8388B"/>
    <w:rsid w:val="00B84FA2"/>
    <w:rsid w:val="00B851A0"/>
    <w:rsid w:val="00B871D1"/>
    <w:rsid w:val="00B876A4"/>
    <w:rsid w:val="00B877F1"/>
    <w:rsid w:val="00B90047"/>
    <w:rsid w:val="00B90D1D"/>
    <w:rsid w:val="00B92646"/>
    <w:rsid w:val="00B93AEE"/>
    <w:rsid w:val="00B942B9"/>
    <w:rsid w:val="00B94460"/>
    <w:rsid w:val="00B946F5"/>
    <w:rsid w:val="00B950EF"/>
    <w:rsid w:val="00B95FE1"/>
    <w:rsid w:val="00B96F4A"/>
    <w:rsid w:val="00BA5012"/>
    <w:rsid w:val="00BA68C7"/>
    <w:rsid w:val="00BB2198"/>
    <w:rsid w:val="00BB32BD"/>
    <w:rsid w:val="00BB37F0"/>
    <w:rsid w:val="00BB4296"/>
    <w:rsid w:val="00BB430C"/>
    <w:rsid w:val="00BB45F0"/>
    <w:rsid w:val="00BB669D"/>
    <w:rsid w:val="00BB73BA"/>
    <w:rsid w:val="00BB7F47"/>
    <w:rsid w:val="00BC005C"/>
    <w:rsid w:val="00BC517D"/>
    <w:rsid w:val="00BC5699"/>
    <w:rsid w:val="00BC7AE8"/>
    <w:rsid w:val="00BD021E"/>
    <w:rsid w:val="00BD0D23"/>
    <w:rsid w:val="00BD20AE"/>
    <w:rsid w:val="00BD3D1A"/>
    <w:rsid w:val="00BD3F2B"/>
    <w:rsid w:val="00BD4C57"/>
    <w:rsid w:val="00BD5FB5"/>
    <w:rsid w:val="00BD648C"/>
    <w:rsid w:val="00BD705C"/>
    <w:rsid w:val="00BE038F"/>
    <w:rsid w:val="00BE21CF"/>
    <w:rsid w:val="00BE358B"/>
    <w:rsid w:val="00BE37CA"/>
    <w:rsid w:val="00BE3A22"/>
    <w:rsid w:val="00BE3B01"/>
    <w:rsid w:val="00BE4370"/>
    <w:rsid w:val="00BE5596"/>
    <w:rsid w:val="00BE56D5"/>
    <w:rsid w:val="00BE5A62"/>
    <w:rsid w:val="00BE68EE"/>
    <w:rsid w:val="00BE69AA"/>
    <w:rsid w:val="00BF0CF5"/>
    <w:rsid w:val="00BF0F65"/>
    <w:rsid w:val="00BF262B"/>
    <w:rsid w:val="00BF3316"/>
    <w:rsid w:val="00BF3B73"/>
    <w:rsid w:val="00BF4FBA"/>
    <w:rsid w:val="00BF544B"/>
    <w:rsid w:val="00BF560D"/>
    <w:rsid w:val="00BF6107"/>
    <w:rsid w:val="00BF7E67"/>
    <w:rsid w:val="00BF7EB3"/>
    <w:rsid w:val="00C02041"/>
    <w:rsid w:val="00C03F0D"/>
    <w:rsid w:val="00C0462D"/>
    <w:rsid w:val="00C04B32"/>
    <w:rsid w:val="00C04CBE"/>
    <w:rsid w:val="00C05470"/>
    <w:rsid w:val="00C066DD"/>
    <w:rsid w:val="00C07805"/>
    <w:rsid w:val="00C07BC6"/>
    <w:rsid w:val="00C1144B"/>
    <w:rsid w:val="00C11B27"/>
    <w:rsid w:val="00C12138"/>
    <w:rsid w:val="00C12C36"/>
    <w:rsid w:val="00C231B2"/>
    <w:rsid w:val="00C2472C"/>
    <w:rsid w:val="00C2483A"/>
    <w:rsid w:val="00C261A5"/>
    <w:rsid w:val="00C26E73"/>
    <w:rsid w:val="00C307A2"/>
    <w:rsid w:val="00C338EB"/>
    <w:rsid w:val="00C34817"/>
    <w:rsid w:val="00C34CCE"/>
    <w:rsid w:val="00C40C3D"/>
    <w:rsid w:val="00C40F31"/>
    <w:rsid w:val="00C4156E"/>
    <w:rsid w:val="00C41646"/>
    <w:rsid w:val="00C44B19"/>
    <w:rsid w:val="00C44C58"/>
    <w:rsid w:val="00C44EE2"/>
    <w:rsid w:val="00C45086"/>
    <w:rsid w:val="00C4616A"/>
    <w:rsid w:val="00C51CCA"/>
    <w:rsid w:val="00C52FF6"/>
    <w:rsid w:val="00C54725"/>
    <w:rsid w:val="00C60ACF"/>
    <w:rsid w:val="00C616BC"/>
    <w:rsid w:val="00C62DA1"/>
    <w:rsid w:val="00C64009"/>
    <w:rsid w:val="00C65E98"/>
    <w:rsid w:val="00C6613E"/>
    <w:rsid w:val="00C7072A"/>
    <w:rsid w:val="00C7278B"/>
    <w:rsid w:val="00C738B1"/>
    <w:rsid w:val="00C75663"/>
    <w:rsid w:val="00C759C6"/>
    <w:rsid w:val="00C760F7"/>
    <w:rsid w:val="00C763E1"/>
    <w:rsid w:val="00C769D1"/>
    <w:rsid w:val="00C771C3"/>
    <w:rsid w:val="00C776B5"/>
    <w:rsid w:val="00C77A4A"/>
    <w:rsid w:val="00C77CE7"/>
    <w:rsid w:val="00C828E8"/>
    <w:rsid w:val="00C85D9B"/>
    <w:rsid w:val="00C85F21"/>
    <w:rsid w:val="00C9186C"/>
    <w:rsid w:val="00C92630"/>
    <w:rsid w:val="00C92661"/>
    <w:rsid w:val="00C92C39"/>
    <w:rsid w:val="00C932F5"/>
    <w:rsid w:val="00C9445D"/>
    <w:rsid w:val="00C94C95"/>
    <w:rsid w:val="00C94EB9"/>
    <w:rsid w:val="00C94F2D"/>
    <w:rsid w:val="00C951E7"/>
    <w:rsid w:val="00C969D2"/>
    <w:rsid w:val="00C96AE1"/>
    <w:rsid w:val="00CA14A0"/>
    <w:rsid w:val="00CA1760"/>
    <w:rsid w:val="00CA1B40"/>
    <w:rsid w:val="00CA245D"/>
    <w:rsid w:val="00CA2B1B"/>
    <w:rsid w:val="00CA399A"/>
    <w:rsid w:val="00CA3B72"/>
    <w:rsid w:val="00CA4331"/>
    <w:rsid w:val="00CA4925"/>
    <w:rsid w:val="00CA4A44"/>
    <w:rsid w:val="00CA4EE9"/>
    <w:rsid w:val="00CA6CE9"/>
    <w:rsid w:val="00CA7A4D"/>
    <w:rsid w:val="00CA7E34"/>
    <w:rsid w:val="00CB1E38"/>
    <w:rsid w:val="00CB2049"/>
    <w:rsid w:val="00CB21F9"/>
    <w:rsid w:val="00CB31E8"/>
    <w:rsid w:val="00CB338D"/>
    <w:rsid w:val="00CB42BF"/>
    <w:rsid w:val="00CB4C67"/>
    <w:rsid w:val="00CB57FD"/>
    <w:rsid w:val="00CB5832"/>
    <w:rsid w:val="00CB58E7"/>
    <w:rsid w:val="00CB5F93"/>
    <w:rsid w:val="00CC0903"/>
    <w:rsid w:val="00CC0A17"/>
    <w:rsid w:val="00CC0A3D"/>
    <w:rsid w:val="00CC12FE"/>
    <w:rsid w:val="00CC16D3"/>
    <w:rsid w:val="00CC2A46"/>
    <w:rsid w:val="00CC2DF6"/>
    <w:rsid w:val="00CC3CF1"/>
    <w:rsid w:val="00CC3F59"/>
    <w:rsid w:val="00CC41E3"/>
    <w:rsid w:val="00CC54E3"/>
    <w:rsid w:val="00CC5C0E"/>
    <w:rsid w:val="00CD0880"/>
    <w:rsid w:val="00CD1FD5"/>
    <w:rsid w:val="00CD3E01"/>
    <w:rsid w:val="00CD7C1C"/>
    <w:rsid w:val="00CE2B70"/>
    <w:rsid w:val="00CE2BCF"/>
    <w:rsid w:val="00CE43F6"/>
    <w:rsid w:val="00CE4C79"/>
    <w:rsid w:val="00CE5506"/>
    <w:rsid w:val="00CE642F"/>
    <w:rsid w:val="00CF00A8"/>
    <w:rsid w:val="00CF16DD"/>
    <w:rsid w:val="00CF2327"/>
    <w:rsid w:val="00CF48DB"/>
    <w:rsid w:val="00CF575D"/>
    <w:rsid w:val="00CF5B0A"/>
    <w:rsid w:val="00D00FC2"/>
    <w:rsid w:val="00D03FE0"/>
    <w:rsid w:val="00D04489"/>
    <w:rsid w:val="00D0449F"/>
    <w:rsid w:val="00D058ED"/>
    <w:rsid w:val="00D05A25"/>
    <w:rsid w:val="00D0715A"/>
    <w:rsid w:val="00D07C3B"/>
    <w:rsid w:val="00D10C86"/>
    <w:rsid w:val="00D10DFF"/>
    <w:rsid w:val="00D10E16"/>
    <w:rsid w:val="00D1228E"/>
    <w:rsid w:val="00D1394F"/>
    <w:rsid w:val="00D13D28"/>
    <w:rsid w:val="00D14B04"/>
    <w:rsid w:val="00D15D65"/>
    <w:rsid w:val="00D17580"/>
    <w:rsid w:val="00D17A7A"/>
    <w:rsid w:val="00D17BFD"/>
    <w:rsid w:val="00D20049"/>
    <w:rsid w:val="00D20EE0"/>
    <w:rsid w:val="00D224C0"/>
    <w:rsid w:val="00D22DB4"/>
    <w:rsid w:val="00D243D3"/>
    <w:rsid w:val="00D2599A"/>
    <w:rsid w:val="00D261B9"/>
    <w:rsid w:val="00D31DC8"/>
    <w:rsid w:val="00D323BA"/>
    <w:rsid w:val="00D337C0"/>
    <w:rsid w:val="00D33BC4"/>
    <w:rsid w:val="00D33CE3"/>
    <w:rsid w:val="00D34C5F"/>
    <w:rsid w:val="00D34EE8"/>
    <w:rsid w:val="00D35212"/>
    <w:rsid w:val="00D35EEB"/>
    <w:rsid w:val="00D363EF"/>
    <w:rsid w:val="00D36F20"/>
    <w:rsid w:val="00D37140"/>
    <w:rsid w:val="00D37E63"/>
    <w:rsid w:val="00D40750"/>
    <w:rsid w:val="00D42EFD"/>
    <w:rsid w:val="00D431DE"/>
    <w:rsid w:val="00D459C6"/>
    <w:rsid w:val="00D472EA"/>
    <w:rsid w:val="00D47742"/>
    <w:rsid w:val="00D51070"/>
    <w:rsid w:val="00D51289"/>
    <w:rsid w:val="00D54A19"/>
    <w:rsid w:val="00D55EA9"/>
    <w:rsid w:val="00D5763F"/>
    <w:rsid w:val="00D57B24"/>
    <w:rsid w:val="00D60CEE"/>
    <w:rsid w:val="00D61418"/>
    <w:rsid w:val="00D62594"/>
    <w:rsid w:val="00D6275F"/>
    <w:rsid w:val="00D62A22"/>
    <w:rsid w:val="00D62A85"/>
    <w:rsid w:val="00D62CD3"/>
    <w:rsid w:val="00D6412D"/>
    <w:rsid w:val="00D64144"/>
    <w:rsid w:val="00D64E75"/>
    <w:rsid w:val="00D6647C"/>
    <w:rsid w:val="00D66DDD"/>
    <w:rsid w:val="00D72865"/>
    <w:rsid w:val="00D72B42"/>
    <w:rsid w:val="00D72F27"/>
    <w:rsid w:val="00D7371C"/>
    <w:rsid w:val="00D73AD2"/>
    <w:rsid w:val="00D74A94"/>
    <w:rsid w:val="00D764BB"/>
    <w:rsid w:val="00D76BBD"/>
    <w:rsid w:val="00D774D7"/>
    <w:rsid w:val="00D81782"/>
    <w:rsid w:val="00D8190B"/>
    <w:rsid w:val="00D822EC"/>
    <w:rsid w:val="00D823CD"/>
    <w:rsid w:val="00D83476"/>
    <w:rsid w:val="00D8350F"/>
    <w:rsid w:val="00D84C0C"/>
    <w:rsid w:val="00D85B51"/>
    <w:rsid w:val="00D8680C"/>
    <w:rsid w:val="00D876F9"/>
    <w:rsid w:val="00D878CC"/>
    <w:rsid w:val="00D90FC8"/>
    <w:rsid w:val="00D9466F"/>
    <w:rsid w:val="00D94FA8"/>
    <w:rsid w:val="00D976ED"/>
    <w:rsid w:val="00DA06D0"/>
    <w:rsid w:val="00DA1E37"/>
    <w:rsid w:val="00DA2546"/>
    <w:rsid w:val="00DA477C"/>
    <w:rsid w:val="00DA51FF"/>
    <w:rsid w:val="00DA57E1"/>
    <w:rsid w:val="00DA5A45"/>
    <w:rsid w:val="00DB04CA"/>
    <w:rsid w:val="00DB0F89"/>
    <w:rsid w:val="00DB509D"/>
    <w:rsid w:val="00DB61B0"/>
    <w:rsid w:val="00DB7BDA"/>
    <w:rsid w:val="00DC0042"/>
    <w:rsid w:val="00DC0C4D"/>
    <w:rsid w:val="00DC22E2"/>
    <w:rsid w:val="00DC237B"/>
    <w:rsid w:val="00DC3DEE"/>
    <w:rsid w:val="00DC6CB3"/>
    <w:rsid w:val="00DC76E9"/>
    <w:rsid w:val="00DD1A27"/>
    <w:rsid w:val="00DD1FE1"/>
    <w:rsid w:val="00DD3031"/>
    <w:rsid w:val="00DD39E2"/>
    <w:rsid w:val="00DD3C0E"/>
    <w:rsid w:val="00DD408C"/>
    <w:rsid w:val="00DD6A6B"/>
    <w:rsid w:val="00DE0686"/>
    <w:rsid w:val="00DE0C6D"/>
    <w:rsid w:val="00DE20B6"/>
    <w:rsid w:val="00DE5C15"/>
    <w:rsid w:val="00DE795E"/>
    <w:rsid w:val="00DF035B"/>
    <w:rsid w:val="00DF156D"/>
    <w:rsid w:val="00DF4677"/>
    <w:rsid w:val="00DF520D"/>
    <w:rsid w:val="00DF6804"/>
    <w:rsid w:val="00DF7C25"/>
    <w:rsid w:val="00E0138C"/>
    <w:rsid w:val="00E018C6"/>
    <w:rsid w:val="00E01C81"/>
    <w:rsid w:val="00E01F19"/>
    <w:rsid w:val="00E02102"/>
    <w:rsid w:val="00E023D1"/>
    <w:rsid w:val="00E02F78"/>
    <w:rsid w:val="00E034B1"/>
    <w:rsid w:val="00E04CF0"/>
    <w:rsid w:val="00E060AE"/>
    <w:rsid w:val="00E07180"/>
    <w:rsid w:val="00E075D6"/>
    <w:rsid w:val="00E07DBB"/>
    <w:rsid w:val="00E12737"/>
    <w:rsid w:val="00E1299F"/>
    <w:rsid w:val="00E1580F"/>
    <w:rsid w:val="00E15BAC"/>
    <w:rsid w:val="00E16360"/>
    <w:rsid w:val="00E166FE"/>
    <w:rsid w:val="00E168F7"/>
    <w:rsid w:val="00E170DC"/>
    <w:rsid w:val="00E17D4B"/>
    <w:rsid w:val="00E211EB"/>
    <w:rsid w:val="00E21E5A"/>
    <w:rsid w:val="00E231A6"/>
    <w:rsid w:val="00E23735"/>
    <w:rsid w:val="00E239B2"/>
    <w:rsid w:val="00E24026"/>
    <w:rsid w:val="00E2586A"/>
    <w:rsid w:val="00E2600C"/>
    <w:rsid w:val="00E26D3A"/>
    <w:rsid w:val="00E27FBA"/>
    <w:rsid w:val="00E31A0C"/>
    <w:rsid w:val="00E33061"/>
    <w:rsid w:val="00E3306E"/>
    <w:rsid w:val="00E333D6"/>
    <w:rsid w:val="00E335EB"/>
    <w:rsid w:val="00E3387C"/>
    <w:rsid w:val="00E338D9"/>
    <w:rsid w:val="00E33CBE"/>
    <w:rsid w:val="00E35D87"/>
    <w:rsid w:val="00E37139"/>
    <w:rsid w:val="00E403DE"/>
    <w:rsid w:val="00E41597"/>
    <w:rsid w:val="00E41AB0"/>
    <w:rsid w:val="00E41E95"/>
    <w:rsid w:val="00E431EC"/>
    <w:rsid w:val="00E44098"/>
    <w:rsid w:val="00E443E3"/>
    <w:rsid w:val="00E45707"/>
    <w:rsid w:val="00E50979"/>
    <w:rsid w:val="00E518F3"/>
    <w:rsid w:val="00E53F22"/>
    <w:rsid w:val="00E54D46"/>
    <w:rsid w:val="00E5538D"/>
    <w:rsid w:val="00E56647"/>
    <w:rsid w:val="00E573D2"/>
    <w:rsid w:val="00E5795A"/>
    <w:rsid w:val="00E6234D"/>
    <w:rsid w:val="00E63624"/>
    <w:rsid w:val="00E64111"/>
    <w:rsid w:val="00E701E9"/>
    <w:rsid w:val="00E715B6"/>
    <w:rsid w:val="00E718CC"/>
    <w:rsid w:val="00E7227E"/>
    <w:rsid w:val="00E7285F"/>
    <w:rsid w:val="00E72A37"/>
    <w:rsid w:val="00E7569D"/>
    <w:rsid w:val="00E75805"/>
    <w:rsid w:val="00E75C68"/>
    <w:rsid w:val="00E76929"/>
    <w:rsid w:val="00E80180"/>
    <w:rsid w:val="00E80F7A"/>
    <w:rsid w:val="00E8204D"/>
    <w:rsid w:val="00E855A7"/>
    <w:rsid w:val="00E86013"/>
    <w:rsid w:val="00E8615A"/>
    <w:rsid w:val="00E8695E"/>
    <w:rsid w:val="00E86DB6"/>
    <w:rsid w:val="00E86F7B"/>
    <w:rsid w:val="00E907AB"/>
    <w:rsid w:val="00E908AC"/>
    <w:rsid w:val="00E928E7"/>
    <w:rsid w:val="00E939DE"/>
    <w:rsid w:val="00E94B47"/>
    <w:rsid w:val="00E95943"/>
    <w:rsid w:val="00E95A67"/>
    <w:rsid w:val="00E97747"/>
    <w:rsid w:val="00E97E21"/>
    <w:rsid w:val="00EA1840"/>
    <w:rsid w:val="00EA1A53"/>
    <w:rsid w:val="00EA4409"/>
    <w:rsid w:val="00EA4A65"/>
    <w:rsid w:val="00EA4CE2"/>
    <w:rsid w:val="00EA4DDD"/>
    <w:rsid w:val="00EA5DBC"/>
    <w:rsid w:val="00EB158F"/>
    <w:rsid w:val="00EB1DDA"/>
    <w:rsid w:val="00EB36D5"/>
    <w:rsid w:val="00EB426C"/>
    <w:rsid w:val="00EB60FA"/>
    <w:rsid w:val="00EB63A9"/>
    <w:rsid w:val="00EC0C1C"/>
    <w:rsid w:val="00EC23F8"/>
    <w:rsid w:val="00EC26EB"/>
    <w:rsid w:val="00EC343C"/>
    <w:rsid w:val="00EC3A5B"/>
    <w:rsid w:val="00EC4CE6"/>
    <w:rsid w:val="00EC65AC"/>
    <w:rsid w:val="00EC6C60"/>
    <w:rsid w:val="00EC70F2"/>
    <w:rsid w:val="00EC7B8A"/>
    <w:rsid w:val="00ED0A72"/>
    <w:rsid w:val="00ED0D65"/>
    <w:rsid w:val="00ED39C4"/>
    <w:rsid w:val="00ED406C"/>
    <w:rsid w:val="00ED58F6"/>
    <w:rsid w:val="00ED7017"/>
    <w:rsid w:val="00ED7531"/>
    <w:rsid w:val="00EE2062"/>
    <w:rsid w:val="00EE2E97"/>
    <w:rsid w:val="00EE31D9"/>
    <w:rsid w:val="00EE6074"/>
    <w:rsid w:val="00EE70A0"/>
    <w:rsid w:val="00EF0CF3"/>
    <w:rsid w:val="00EF2911"/>
    <w:rsid w:val="00EF4977"/>
    <w:rsid w:val="00F00AAE"/>
    <w:rsid w:val="00F0242F"/>
    <w:rsid w:val="00F032EB"/>
    <w:rsid w:val="00F0454C"/>
    <w:rsid w:val="00F05553"/>
    <w:rsid w:val="00F0599E"/>
    <w:rsid w:val="00F0655F"/>
    <w:rsid w:val="00F066B6"/>
    <w:rsid w:val="00F06CAC"/>
    <w:rsid w:val="00F13B61"/>
    <w:rsid w:val="00F172E3"/>
    <w:rsid w:val="00F17455"/>
    <w:rsid w:val="00F203B1"/>
    <w:rsid w:val="00F21C48"/>
    <w:rsid w:val="00F22194"/>
    <w:rsid w:val="00F22409"/>
    <w:rsid w:val="00F23127"/>
    <w:rsid w:val="00F269E4"/>
    <w:rsid w:val="00F27F5F"/>
    <w:rsid w:val="00F315AA"/>
    <w:rsid w:val="00F32344"/>
    <w:rsid w:val="00F33CEC"/>
    <w:rsid w:val="00F3437F"/>
    <w:rsid w:val="00F34C5B"/>
    <w:rsid w:val="00F37571"/>
    <w:rsid w:val="00F40D79"/>
    <w:rsid w:val="00F4368D"/>
    <w:rsid w:val="00F464F1"/>
    <w:rsid w:val="00F46732"/>
    <w:rsid w:val="00F50CC0"/>
    <w:rsid w:val="00F50FA0"/>
    <w:rsid w:val="00F53918"/>
    <w:rsid w:val="00F57791"/>
    <w:rsid w:val="00F623D7"/>
    <w:rsid w:val="00F63D94"/>
    <w:rsid w:val="00F65528"/>
    <w:rsid w:val="00F65AD1"/>
    <w:rsid w:val="00F65B95"/>
    <w:rsid w:val="00F70685"/>
    <w:rsid w:val="00F70E00"/>
    <w:rsid w:val="00F710D5"/>
    <w:rsid w:val="00F71351"/>
    <w:rsid w:val="00F71647"/>
    <w:rsid w:val="00F71A29"/>
    <w:rsid w:val="00F7325E"/>
    <w:rsid w:val="00F75BC5"/>
    <w:rsid w:val="00F76BD2"/>
    <w:rsid w:val="00F76F31"/>
    <w:rsid w:val="00F8020D"/>
    <w:rsid w:val="00F80750"/>
    <w:rsid w:val="00F81401"/>
    <w:rsid w:val="00F81960"/>
    <w:rsid w:val="00F81BC0"/>
    <w:rsid w:val="00F81E37"/>
    <w:rsid w:val="00F858B1"/>
    <w:rsid w:val="00F87540"/>
    <w:rsid w:val="00F90C01"/>
    <w:rsid w:val="00F91A49"/>
    <w:rsid w:val="00F92700"/>
    <w:rsid w:val="00F9552D"/>
    <w:rsid w:val="00F95BC6"/>
    <w:rsid w:val="00F95C79"/>
    <w:rsid w:val="00F95E01"/>
    <w:rsid w:val="00FA0FCC"/>
    <w:rsid w:val="00FA1074"/>
    <w:rsid w:val="00FA2034"/>
    <w:rsid w:val="00FA22FC"/>
    <w:rsid w:val="00FA434B"/>
    <w:rsid w:val="00FA4649"/>
    <w:rsid w:val="00FB3575"/>
    <w:rsid w:val="00FB6735"/>
    <w:rsid w:val="00FB6C91"/>
    <w:rsid w:val="00FB77D3"/>
    <w:rsid w:val="00FC00E5"/>
    <w:rsid w:val="00FC5F82"/>
    <w:rsid w:val="00FC6152"/>
    <w:rsid w:val="00FC7134"/>
    <w:rsid w:val="00FC733E"/>
    <w:rsid w:val="00FD2D5C"/>
    <w:rsid w:val="00FD337F"/>
    <w:rsid w:val="00FD37E2"/>
    <w:rsid w:val="00FD4E8A"/>
    <w:rsid w:val="00FD4EF8"/>
    <w:rsid w:val="00FD59E4"/>
    <w:rsid w:val="00FD6CFD"/>
    <w:rsid w:val="00FD7D82"/>
    <w:rsid w:val="00FE08DF"/>
    <w:rsid w:val="00FE1CBA"/>
    <w:rsid w:val="00FE470B"/>
    <w:rsid w:val="00FE4BAA"/>
    <w:rsid w:val="00FE78B7"/>
    <w:rsid w:val="00FF2361"/>
    <w:rsid w:val="00FF36E4"/>
    <w:rsid w:val="00FF47EB"/>
    <w:rsid w:val="00FF5C50"/>
    <w:rsid w:val="00FF67AF"/>
    <w:rsid w:val="00FF6F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4A8F3853"/>
  <w15:docId w15:val="{B1F23F2B-EB2E-46A6-B0B4-037172285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1F35"/>
    <w:rPr>
      <w:sz w:val="24"/>
      <w:szCs w:val="24"/>
      <w:lang w:val="en-GB" w:eastAsia="en-GB"/>
    </w:rPr>
  </w:style>
  <w:style w:type="paragraph" w:styleId="Heading1">
    <w:name w:val="heading 1"/>
    <w:aliases w:val="Part"/>
    <w:basedOn w:val="Normal"/>
    <w:next w:val="Heading2"/>
    <w:link w:val="Heading1Char"/>
    <w:uiPriority w:val="99"/>
    <w:qFormat/>
    <w:rsid w:val="00605063"/>
    <w:pPr>
      <w:keepNext/>
      <w:spacing w:before="240"/>
      <w:jc w:val="center"/>
      <w:outlineLvl w:val="0"/>
    </w:pPr>
    <w:rPr>
      <w:b/>
      <w:bCs/>
      <w:noProof/>
      <w:sz w:val="28"/>
      <w:szCs w:val="28"/>
    </w:rPr>
  </w:style>
  <w:style w:type="paragraph" w:styleId="Heading2">
    <w:name w:val="heading 2"/>
    <w:basedOn w:val="Normal"/>
    <w:next w:val="Normal"/>
    <w:link w:val="Heading2Char"/>
    <w:uiPriority w:val="99"/>
    <w:qFormat/>
    <w:rsid w:val="0060506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unhideWhenUsed/>
    <w:qFormat/>
    <w:rsid w:val="00F05553"/>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BD705C"/>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A61D8E"/>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t Char"/>
    <w:basedOn w:val="DefaultParagraphFont"/>
    <w:link w:val="Heading1"/>
    <w:uiPriority w:val="9"/>
    <w:rsid w:val="0007457E"/>
    <w:rPr>
      <w:rFonts w:asciiTheme="majorHAnsi" w:eastAsiaTheme="majorEastAsia" w:hAnsiTheme="majorHAnsi" w:cstheme="majorBidi"/>
      <w:b/>
      <w:bCs/>
      <w:kern w:val="32"/>
      <w:sz w:val="32"/>
      <w:szCs w:val="32"/>
      <w:lang w:val="en-GB" w:eastAsia="en-GB"/>
    </w:rPr>
  </w:style>
  <w:style w:type="character" w:customStyle="1" w:styleId="Heading2Char">
    <w:name w:val="Heading 2 Char"/>
    <w:basedOn w:val="DefaultParagraphFont"/>
    <w:link w:val="Heading2"/>
    <w:uiPriority w:val="9"/>
    <w:semiHidden/>
    <w:rsid w:val="0007457E"/>
    <w:rPr>
      <w:rFonts w:asciiTheme="majorHAnsi" w:eastAsiaTheme="majorEastAsia" w:hAnsiTheme="majorHAnsi" w:cstheme="majorBidi"/>
      <w:b/>
      <w:bCs/>
      <w:i/>
      <w:iCs/>
      <w:sz w:val="28"/>
      <w:szCs w:val="28"/>
      <w:lang w:val="en-GB" w:eastAsia="en-GB"/>
    </w:rPr>
  </w:style>
  <w:style w:type="paragraph" w:styleId="Header">
    <w:name w:val="header"/>
    <w:basedOn w:val="Normal"/>
    <w:link w:val="HeaderChar"/>
    <w:uiPriority w:val="99"/>
    <w:rsid w:val="007F1F35"/>
    <w:pPr>
      <w:tabs>
        <w:tab w:val="center" w:pos="4536"/>
        <w:tab w:val="right" w:pos="9072"/>
      </w:tabs>
    </w:pPr>
  </w:style>
  <w:style w:type="character" w:customStyle="1" w:styleId="HeaderChar">
    <w:name w:val="Header Char"/>
    <w:basedOn w:val="DefaultParagraphFont"/>
    <w:link w:val="Header"/>
    <w:uiPriority w:val="99"/>
    <w:semiHidden/>
    <w:rsid w:val="0007457E"/>
    <w:rPr>
      <w:sz w:val="24"/>
      <w:szCs w:val="24"/>
      <w:lang w:val="en-GB" w:eastAsia="en-GB"/>
    </w:rPr>
  </w:style>
  <w:style w:type="paragraph" w:styleId="Footer">
    <w:name w:val="footer"/>
    <w:basedOn w:val="Normal"/>
    <w:link w:val="FooterChar"/>
    <w:uiPriority w:val="99"/>
    <w:rsid w:val="007F1F35"/>
    <w:pPr>
      <w:tabs>
        <w:tab w:val="center" w:pos="4536"/>
        <w:tab w:val="right" w:pos="9072"/>
      </w:tabs>
    </w:pPr>
  </w:style>
  <w:style w:type="character" w:customStyle="1" w:styleId="FooterChar">
    <w:name w:val="Footer Char"/>
    <w:basedOn w:val="DefaultParagraphFont"/>
    <w:link w:val="Footer"/>
    <w:uiPriority w:val="99"/>
    <w:rsid w:val="0007457E"/>
    <w:rPr>
      <w:sz w:val="24"/>
      <w:szCs w:val="24"/>
      <w:lang w:val="en-GB" w:eastAsia="en-GB"/>
    </w:rPr>
  </w:style>
  <w:style w:type="paragraph" w:customStyle="1" w:styleId="MeetingInfo">
    <w:name w:val="MeetingInfo"/>
    <w:basedOn w:val="Normal"/>
    <w:link w:val="MeetingInfoChar"/>
    <w:qFormat/>
    <w:rsid w:val="007F1F35"/>
    <w:pPr>
      <w:pBdr>
        <w:top w:val="single" w:sz="12" w:space="6" w:color="auto"/>
        <w:left w:val="single" w:sz="12" w:space="6" w:color="auto"/>
        <w:bottom w:val="single" w:sz="12" w:space="6" w:color="auto"/>
        <w:right w:val="single" w:sz="12" w:space="6" w:color="auto"/>
        <w:between w:val="single" w:sz="12" w:space="6" w:color="auto"/>
      </w:pBdr>
      <w:spacing w:before="120" w:after="120"/>
      <w:jc w:val="center"/>
    </w:pPr>
    <w:rPr>
      <w:b/>
      <w:bCs/>
      <w:noProof/>
      <w:sz w:val="28"/>
      <w:szCs w:val="28"/>
    </w:rPr>
  </w:style>
  <w:style w:type="character" w:customStyle="1" w:styleId="Bold">
    <w:name w:val="Bold"/>
    <w:basedOn w:val="DefaultParagraphFont"/>
    <w:rsid w:val="007F1F35"/>
    <w:rPr>
      <w:b/>
      <w:bCs/>
    </w:rPr>
  </w:style>
  <w:style w:type="paragraph" w:customStyle="1" w:styleId="TableEntry">
    <w:name w:val="TableEntry"/>
    <w:basedOn w:val="Normal"/>
    <w:rsid w:val="007F1F35"/>
    <w:pPr>
      <w:spacing w:before="60" w:after="20"/>
    </w:pPr>
    <w:rPr>
      <w:noProof/>
      <w:sz w:val="22"/>
      <w:szCs w:val="22"/>
    </w:rPr>
  </w:style>
  <w:style w:type="character" w:customStyle="1" w:styleId="z-DSTbox">
    <w:name w:val="z-DSTbox"/>
    <w:basedOn w:val="DefaultParagraphFont"/>
    <w:uiPriority w:val="99"/>
    <w:rsid w:val="007F1F35"/>
  </w:style>
  <w:style w:type="paragraph" w:styleId="BodyText3">
    <w:name w:val="Body Text 3"/>
    <w:basedOn w:val="Normal"/>
    <w:link w:val="BodyText3Char"/>
    <w:uiPriority w:val="99"/>
    <w:rsid w:val="007F1F35"/>
    <w:pPr>
      <w:pBdr>
        <w:top w:val="single" w:sz="4" w:space="1" w:color="auto"/>
        <w:left w:val="single" w:sz="4" w:space="4" w:color="auto"/>
        <w:bottom w:val="single" w:sz="4" w:space="1" w:color="auto"/>
        <w:right w:val="single" w:sz="4" w:space="4" w:color="auto"/>
      </w:pBdr>
      <w:tabs>
        <w:tab w:val="left" w:pos="0"/>
        <w:tab w:val="left" w:pos="487"/>
        <w:tab w:val="left" w:pos="635"/>
        <w:tab w:val="left" w:pos="827"/>
        <w:tab w:val="left" w:pos="965"/>
        <w:tab w:val="left" w:pos="1425"/>
        <w:tab w:val="left" w:pos="1653"/>
        <w:tab w:val="left" w:pos="1963"/>
        <w:tab w:val="left" w:pos="2268"/>
        <w:tab w:val="left" w:pos="2834"/>
        <w:tab w:val="left" w:pos="3402"/>
        <w:tab w:val="left" w:pos="4535"/>
        <w:tab w:val="left" w:pos="5102"/>
        <w:tab w:val="left" w:pos="5669"/>
        <w:tab w:val="left" w:pos="6236"/>
        <w:tab w:val="left" w:pos="6803"/>
        <w:tab w:val="left" w:pos="7370"/>
        <w:tab w:val="left" w:pos="7937"/>
        <w:tab w:val="left" w:pos="8504"/>
        <w:tab w:val="left" w:pos="9071"/>
        <w:tab w:val="left" w:pos="9637"/>
      </w:tabs>
      <w:suppressAutoHyphens/>
    </w:pPr>
    <w:rPr>
      <w:spacing w:val="-2"/>
      <w:sz w:val="22"/>
      <w:szCs w:val="22"/>
    </w:rPr>
  </w:style>
  <w:style w:type="character" w:customStyle="1" w:styleId="BodyText3Char">
    <w:name w:val="Body Text 3 Char"/>
    <w:basedOn w:val="DefaultParagraphFont"/>
    <w:link w:val="BodyText3"/>
    <w:uiPriority w:val="99"/>
    <w:semiHidden/>
    <w:rsid w:val="0007457E"/>
    <w:rPr>
      <w:sz w:val="16"/>
      <w:szCs w:val="16"/>
      <w:lang w:val="en-GB" w:eastAsia="en-GB"/>
    </w:rPr>
  </w:style>
  <w:style w:type="paragraph" w:styleId="BodyText2">
    <w:name w:val="Body Text 2"/>
    <w:basedOn w:val="Normal"/>
    <w:link w:val="BodyText2Char"/>
    <w:uiPriority w:val="99"/>
    <w:rsid w:val="007F1F35"/>
    <w:pPr>
      <w:tabs>
        <w:tab w:val="left" w:pos="0"/>
        <w:tab w:val="left" w:pos="567"/>
        <w:tab w:val="left" w:pos="709"/>
        <w:tab w:val="left" w:pos="965"/>
        <w:tab w:val="left" w:pos="1425"/>
        <w:tab w:val="left" w:pos="1653"/>
        <w:tab w:val="left" w:pos="1963"/>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s>
      <w:suppressAutoHyphens/>
      <w:spacing w:before="120"/>
      <w:jc w:val="both"/>
    </w:pPr>
    <w:rPr>
      <w:spacing w:val="-2"/>
      <w:sz w:val="22"/>
      <w:szCs w:val="22"/>
    </w:rPr>
  </w:style>
  <w:style w:type="character" w:customStyle="1" w:styleId="BodyText2Char">
    <w:name w:val="Body Text 2 Char"/>
    <w:basedOn w:val="DefaultParagraphFont"/>
    <w:link w:val="BodyText2"/>
    <w:uiPriority w:val="99"/>
    <w:semiHidden/>
    <w:rsid w:val="0007457E"/>
    <w:rPr>
      <w:sz w:val="24"/>
      <w:szCs w:val="24"/>
      <w:lang w:val="en-GB" w:eastAsia="en-GB"/>
    </w:rPr>
  </w:style>
  <w:style w:type="character" w:styleId="FootnoteReference">
    <w:name w:val="footnote reference"/>
    <w:aliases w:val="16 Point,Superscript 6 Point,Referencia nota al pie,EN Footnote Reference,Times 10 Point,Exposant 3 Point,Footnote symbol,Footnote reference number,note TESI,stylish,SUPERS,number,no...,Footnote,Footnote Reference/,Ref,de nota al pie"/>
    <w:basedOn w:val="DefaultParagraphFont"/>
    <w:qFormat/>
    <w:rsid w:val="007F1F35"/>
    <w:rPr>
      <w:sz w:val="18"/>
      <w:szCs w:val="18"/>
      <w:vertAlign w:val="superscript"/>
    </w:rPr>
  </w:style>
  <w:style w:type="paragraph" w:styleId="BalloonText">
    <w:name w:val="Balloon Text"/>
    <w:basedOn w:val="Normal"/>
    <w:link w:val="BalloonTextChar"/>
    <w:uiPriority w:val="99"/>
    <w:semiHidden/>
    <w:rsid w:val="00B84FA2"/>
    <w:rPr>
      <w:rFonts w:ascii="Tahoma" w:hAnsi="Tahoma" w:cs="Tahoma"/>
      <w:sz w:val="16"/>
      <w:szCs w:val="16"/>
    </w:rPr>
  </w:style>
  <w:style w:type="character" w:customStyle="1" w:styleId="BalloonTextChar">
    <w:name w:val="Balloon Text Char"/>
    <w:basedOn w:val="DefaultParagraphFont"/>
    <w:link w:val="BalloonText"/>
    <w:uiPriority w:val="99"/>
    <w:semiHidden/>
    <w:rsid w:val="0007457E"/>
    <w:rPr>
      <w:sz w:val="0"/>
      <w:szCs w:val="0"/>
      <w:lang w:val="en-GB" w:eastAsia="en-GB"/>
    </w:rPr>
  </w:style>
  <w:style w:type="character" w:styleId="Emphasis">
    <w:name w:val="Emphasis"/>
    <w:basedOn w:val="DefaultParagraphFont"/>
    <w:uiPriority w:val="20"/>
    <w:qFormat/>
    <w:rsid w:val="004E53CE"/>
    <w:rPr>
      <w:i/>
      <w:iCs/>
    </w:rPr>
  </w:style>
  <w:style w:type="table" w:styleId="TableGrid">
    <w:name w:val="Table Grid"/>
    <w:basedOn w:val="TableNormal"/>
    <w:uiPriority w:val="59"/>
    <w:rsid w:val="00B74F8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74F82"/>
    <w:pPr>
      <w:autoSpaceDE w:val="0"/>
      <w:autoSpaceDN w:val="0"/>
      <w:adjustRightInd w:val="0"/>
    </w:pPr>
    <w:rPr>
      <w:color w:val="000000"/>
      <w:sz w:val="24"/>
      <w:szCs w:val="24"/>
      <w:lang w:val="en-GB" w:eastAsia="en-GB"/>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OOTNOTES,f,ft"/>
    <w:basedOn w:val="Normal"/>
    <w:link w:val="FootnoteTextChar"/>
    <w:uiPriority w:val="99"/>
    <w:rsid w:val="00B74F82"/>
    <w:rPr>
      <w:sz w:val="20"/>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07457E"/>
    <w:rPr>
      <w:sz w:val="20"/>
      <w:szCs w:val="20"/>
      <w:lang w:val="en-GB" w:eastAsia="en-GB"/>
    </w:rPr>
  </w:style>
  <w:style w:type="paragraph" w:customStyle="1" w:styleId="Znak">
    <w:name w:val="Znak"/>
    <w:basedOn w:val="Normal"/>
    <w:uiPriority w:val="99"/>
    <w:rsid w:val="00B851A0"/>
    <w:rPr>
      <w:lang w:val="pl-PL" w:eastAsia="pl-PL"/>
    </w:rPr>
  </w:style>
  <w:style w:type="paragraph" w:customStyle="1" w:styleId="NewPara">
    <w:name w:val="NewPara"/>
    <w:basedOn w:val="Normal"/>
    <w:next w:val="Normal"/>
    <w:link w:val="NewParaChar"/>
    <w:qFormat/>
    <w:rsid w:val="00605063"/>
    <w:pPr>
      <w:tabs>
        <w:tab w:val="left" w:pos="709"/>
      </w:tabs>
      <w:spacing w:before="160" w:after="20"/>
    </w:pPr>
    <w:rPr>
      <w:noProof/>
      <w:sz w:val="22"/>
      <w:szCs w:val="22"/>
    </w:rPr>
  </w:style>
  <w:style w:type="character" w:customStyle="1" w:styleId="Italic">
    <w:name w:val="Italic"/>
    <w:basedOn w:val="DefaultParagraphFont"/>
    <w:uiPriority w:val="99"/>
    <w:rsid w:val="00605063"/>
    <w:rPr>
      <w:i/>
      <w:iCs/>
      <w:sz w:val="24"/>
      <w:szCs w:val="24"/>
      <w:lang w:val="pl-PL" w:eastAsia="pl-PL"/>
    </w:rPr>
  </w:style>
  <w:style w:type="character" w:customStyle="1" w:styleId="NroPara">
    <w:name w:val="NroPara"/>
    <w:basedOn w:val="DefaultParagraphFont"/>
    <w:rsid w:val="00605063"/>
    <w:rPr>
      <w:sz w:val="24"/>
      <w:szCs w:val="24"/>
      <w:lang w:val="pl-PL" w:eastAsia="pl-PL"/>
    </w:rPr>
  </w:style>
  <w:style w:type="paragraph" w:styleId="ListParagraph">
    <w:name w:val="List Paragraph"/>
    <w:basedOn w:val="Normal"/>
    <w:link w:val="ListParagraphChar"/>
    <w:uiPriority w:val="34"/>
    <w:qFormat/>
    <w:rsid w:val="003F2234"/>
    <w:pPr>
      <w:ind w:left="720"/>
      <w:contextualSpacing/>
    </w:pPr>
  </w:style>
  <w:style w:type="character" w:styleId="Hyperlink">
    <w:name w:val="Hyperlink"/>
    <w:basedOn w:val="DefaultParagraphFont"/>
    <w:uiPriority w:val="99"/>
    <w:rsid w:val="008D11AE"/>
    <w:rPr>
      <w:color w:val="0000FF"/>
      <w:u w:val="single"/>
    </w:rPr>
  </w:style>
  <w:style w:type="paragraph" w:customStyle="1" w:styleId="Znak1">
    <w:name w:val="Znak1"/>
    <w:basedOn w:val="Normal"/>
    <w:uiPriority w:val="99"/>
    <w:rsid w:val="0038444D"/>
    <w:rPr>
      <w:lang w:val="pl-PL" w:eastAsia="pl-PL"/>
    </w:rPr>
  </w:style>
  <w:style w:type="character" w:customStyle="1" w:styleId="NewParaChar">
    <w:name w:val="NewPara Char"/>
    <w:basedOn w:val="DefaultParagraphFont"/>
    <w:link w:val="NewPara"/>
    <w:rsid w:val="00E168F7"/>
    <w:rPr>
      <w:noProof/>
      <w:lang w:val="en-GB" w:eastAsia="en-GB"/>
    </w:rPr>
  </w:style>
  <w:style w:type="paragraph" w:customStyle="1" w:styleId="DocTitle">
    <w:name w:val="DocTitle"/>
    <w:basedOn w:val="Normal"/>
    <w:link w:val="DocTitleChar"/>
    <w:qFormat/>
    <w:rsid w:val="002C00E8"/>
    <w:pPr>
      <w:spacing w:before="240" w:after="360"/>
      <w:jc w:val="center"/>
    </w:pPr>
    <w:rPr>
      <w:rFonts w:eastAsiaTheme="minorHAnsi" w:cs="Akhbar MT"/>
      <w:bCs/>
      <w:color w:val="7F7F7F" w:themeColor="text1" w:themeTint="80"/>
      <w:sz w:val="56"/>
      <w:szCs w:val="72"/>
      <w:lang w:eastAsia="en-US"/>
    </w:rPr>
  </w:style>
  <w:style w:type="character" w:customStyle="1" w:styleId="DocTitleChar">
    <w:name w:val="DocTitle Char"/>
    <w:basedOn w:val="DefaultParagraphFont"/>
    <w:link w:val="DocTitle"/>
    <w:rsid w:val="002C00E8"/>
    <w:rPr>
      <w:rFonts w:eastAsiaTheme="minorHAnsi" w:cs="Akhbar MT"/>
      <w:bCs/>
      <w:color w:val="7F7F7F" w:themeColor="text1" w:themeTint="80"/>
      <w:sz w:val="56"/>
      <w:szCs w:val="72"/>
      <w:lang w:val="en-GB"/>
    </w:rPr>
  </w:style>
  <w:style w:type="character" w:styleId="CommentReference">
    <w:name w:val="annotation reference"/>
    <w:basedOn w:val="DefaultParagraphFont"/>
    <w:uiPriority w:val="99"/>
    <w:semiHidden/>
    <w:unhideWhenUsed/>
    <w:rsid w:val="0027614E"/>
    <w:rPr>
      <w:sz w:val="16"/>
      <w:szCs w:val="16"/>
    </w:rPr>
  </w:style>
  <w:style w:type="paragraph" w:styleId="CommentText">
    <w:name w:val="annotation text"/>
    <w:basedOn w:val="Normal"/>
    <w:link w:val="CommentTextChar"/>
    <w:uiPriority w:val="99"/>
    <w:unhideWhenUsed/>
    <w:rsid w:val="0027614E"/>
    <w:pPr>
      <w:spacing w:before="120"/>
    </w:pPr>
    <w:rPr>
      <w:rFonts w:eastAsiaTheme="minorHAnsi" w:cs="Akhbar MT"/>
      <w:sz w:val="20"/>
      <w:szCs w:val="20"/>
      <w:lang w:eastAsia="en-US"/>
    </w:rPr>
  </w:style>
  <w:style w:type="character" w:customStyle="1" w:styleId="CommentTextChar">
    <w:name w:val="Comment Text Char"/>
    <w:basedOn w:val="DefaultParagraphFont"/>
    <w:link w:val="CommentText"/>
    <w:uiPriority w:val="99"/>
    <w:rsid w:val="0027614E"/>
    <w:rPr>
      <w:rFonts w:eastAsiaTheme="minorHAnsi" w:cs="Akhbar MT"/>
      <w:sz w:val="20"/>
      <w:szCs w:val="20"/>
      <w:lang w:val="en-GB"/>
    </w:rPr>
  </w:style>
  <w:style w:type="character" w:customStyle="1" w:styleId="ListParagraphChar">
    <w:name w:val="List Paragraph Char"/>
    <w:basedOn w:val="DefaultParagraphFont"/>
    <w:link w:val="ListParagraph"/>
    <w:uiPriority w:val="34"/>
    <w:rsid w:val="0027614E"/>
    <w:rPr>
      <w:sz w:val="24"/>
      <w:szCs w:val="24"/>
      <w:lang w:val="en-GB" w:eastAsia="en-GB"/>
    </w:rPr>
  </w:style>
  <w:style w:type="paragraph" w:styleId="Revision">
    <w:name w:val="Revision"/>
    <w:hidden/>
    <w:uiPriority w:val="99"/>
    <w:semiHidden/>
    <w:rsid w:val="0027614E"/>
    <w:rPr>
      <w:sz w:val="24"/>
      <w:szCs w:val="24"/>
      <w:lang w:val="en-GB" w:eastAsia="en-GB"/>
    </w:rPr>
  </w:style>
  <w:style w:type="paragraph" w:styleId="NormalWeb">
    <w:name w:val="Normal (Web)"/>
    <w:basedOn w:val="Normal"/>
    <w:uiPriority w:val="99"/>
    <w:unhideWhenUsed/>
    <w:rsid w:val="00BD4C57"/>
    <w:pPr>
      <w:spacing w:before="100" w:beforeAutospacing="1" w:after="100" w:afterAutospacing="1"/>
    </w:pPr>
    <w:rPr>
      <w:rFonts w:ascii="Times" w:hAnsi="Times"/>
      <w:sz w:val="20"/>
      <w:szCs w:val="20"/>
      <w:lang w:eastAsia="en-US"/>
    </w:rPr>
  </w:style>
  <w:style w:type="paragraph" w:styleId="PlainText">
    <w:name w:val="Plain Text"/>
    <w:basedOn w:val="Normal"/>
    <w:link w:val="PlainTextChar"/>
    <w:uiPriority w:val="99"/>
    <w:semiHidden/>
    <w:unhideWhenUsed/>
    <w:rsid w:val="006B55F6"/>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semiHidden/>
    <w:rsid w:val="006B55F6"/>
    <w:rPr>
      <w:rFonts w:ascii="Calibri" w:eastAsiaTheme="minorHAnsi" w:hAnsi="Calibri" w:cstheme="minorBidi"/>
      <w:szCs w:val="21"/>
      <w:lang w:val="en-GB"/>
    </w:rPr>
  </w:style>
  <w:style w:type="paragraph" w:styleId="CommentSubject">
    <w:name w:val="annotation subject"/>
    <w:basedOn w:val="CommentText"/>
    <w:next w:val="CommentText"/>
    <w:link w:val="CommentSubjectChar"/>
    <w:uiPriority w:val="99"/>
    <w:semiHidden/>
    <w:unhideWhenUsed/>
    <w:rsid w:val="001018B6"/>
    <w:pPr>
      <w:spacing w:before="0"/>
    </w:pPr>
    <w:rPr>
      <w:rFonts w:eastAsia="Times New Roman" w:cs="Times New Roman"/>
      <w:b/>
      <w:bCs/>
      <w:lang w:eastAsia="en-GB"/>
    </w:rPr>
  </w:style>
  <w:style w:type="character" w:customStyle="1" w:styleId="CommentSubjectChar">
    <w:name w:val="Comment Subject Char"/>
    <w:basedOn w:val="CommentTextChar"/>
    <w:link w:val="CommentSubject"/>
    <w:uiPriority w:val="99"/>
    <w:semiHidden/>
    <w:rsid w:val="001018B6"/>
    <w:rPr>
      <w:rFonts w:eastAsiaTheme="minorHAnsi" w:cs="Akhbar MT"/>
      <w:b/>
      <w:bCs/>
      <w:sz w:val="20"/>
      <w:szCs w:val="20"/>
      <w:lang w:val="en-GB" w:eastAsia="en-GB"/>
    </w:rPr>
  </w:style>
  <w:style w:type="paragraph" w:styleId="EndnoteText">
    <w:name w:val="endnote text"/>
    <w:basedOn w:val="Normal"/>
    <w:link w:val="EndnoteTextChar"/>
    <w:uiPriority w:val="99"/>
    <w:semiHidden/>
    <w:unhideWhenUsed/>
    <w:rsid w:val="00AB6CF0"/>
    <w:rPr>
      <w:sz w:val="20"/>
      <w:szCs w:val="20"/>
    </w:rPr>
  </w:style>
  <w:style w:type="character" w:customStyle="1" w:styleId="EndnoteTextChar">
    <w:name w:val="Endnote Text Char"/>
    <w:basedOn w:val="DefaultParagraphFont"/>
    <w:link w:val="EndnoteText"/>
    <w:uiPriority w:val="99"/>
    <w:semiHidden/>
    <w:rsid w:val="00AB6CF0"/>
    <w:rPr>
      <w:sz w:val="20"/>
      <w:szCs w:val="20"/>
      <w:lang w:val="en-GB" w:eastAsia="en-GB"/>
    </w:rPr>
  </w:style>
  <w:style w:type="character" w:styleId="EndnoteReference">
    <w:name w:val="endnote reference"/>
    <w:basedOn w:val="DefaultParagraphFont"/>
    <w:uiPriority w:val="99"/>
    <w:semiHidden/>
    <w:unhideWhenUsed/>
    <w:rsid w:val="00AB6CF0"/>
    <w:rPr>
      <w:vertAlign w:val="superscript"/>
    </w:rPr>
  </w:style>
  <w:style w:type="character" w:customStyle="1" w:styleId="Heading5Char">
    <w:name w:val="Heading 5 Char"/>
    <w:basedOn w:val="DefaultParagraphFont"/>
    <w:link w:val="Heading5"/>
    <w:uiPriority w:val="9"/>
    <w:rsid w:val="00A61D8E"/>
    <w:rPr>
      <w:rFonts w:asciiTheme="majorHAnsi" w:eastAsiaTheme="majorEastAsia" w:hAnsiTheme="majorHAnsi" w:cstheme="majorBidi"/>
      <w:color w:val="365F91" w:themeColor="accent1" w:themeShade="BF"/>
      <w:sz w:val="24"/>
      <w:szCs w:val="24"/>
      <w:lang w:val="en-GB" w:eastAsia="en-GB"/>
    </w:rPr>
  </w:style>
  <w:style w:type="character" w:customStyle="1" w:styleId="Heading3Char">
    <w:name w:val="Heading 3 Char"/>
    <w:basedOn w:val="DefaultParagraphFont"/>
    <w:link w:val="Heading3"/>
    <w:uiPriority w:val="9"/>
    <w:rsid w:val="00F05553"/>
    <w:rPr>
      <w:rFonts w:asciiTheme="majorHAnsi" w:eastAsiaTheme="majorEastAsia" w:hAnsiTheme="majorHAnsi" w:cstheme="majorBidi"/>
      <w:color w:val="243F60" w:themeColor="accent1" w:themeShade="7F"/>
      <w:sz w:val="24"/>
      <w:szCs w:val="24"/>
      <w:lang w:val="en-GB" w:eastAsia="en-GB"/>
    </w:rPr>
  </w:style>
  <w:style w:type="character" w:customStyle="1" w:styleId="Heading4Char">
    <w:name w:val="Heading 4 Char"/>
    <w:basedOn w:val="DefaultParagraphFont"/>
    <w:link w:val="Heading4"/>
    <w:uiPriority w:val="9"/>
    <w:rsid w:val="00BD705C"/>
    <w:rPr>
      <w:rFonts w:asciiTheme="majorHAnsi" w:eastAsiaTheme="majorEastAsia" w:hAnsiTheme="majorHAnsi" w:cstheme="majorBidi"/>
      <w:i/>
      <w:iCs/>
      <w:color w:val="365F91" w:themeColor="accent1" w:themeShade="BF"/>
      <w:sz w:val="24"/>
      <w:szCs w:val="24"/>
      <w:lang w:val="en-GB" w:eastAsia="en-GB"/>
    </w:rPr>
  </w:style>
  <w:style w:type="character" w:styleId="SubtleEmphasis">
    <w:name w:val="Subtle Emphasis"/>
    <w:basedOn w:val="DefaultParagraphFont"/>
    <w:uiPriority w:val="19"/>
    <w:qFormat/>
    <w:rsid w:val="00BD705C"/>
    <w:rPr>
      <w:i/>
      <w:iCs/>
      <w:color w:val="808080" w:themeColor="text1" w:themeTint="7F"/>
    </w:rPr>
  </w:style>
  <w:style w:type="paragraph" w:styleId="TOC2">
    <w:name w:val="toc 2"/>
    <w:basedOn w:val="Normal"/>
    <w:next w:val="Normal"/>
    <w:autoRedefine/>
    <w:uiPriority w:val="39"/>
    <w:unhideWhenUsed/>
    <w:rsid w:val="00780BE0"/>
    <w:pPr>
      <w:ind w:left="240"/>
    </w:pPr>
    <w:rPr>
      <w:rFonts w:eastAsiaTheme="minorHAnsi"/>
      <w:lang w:val="en-US" w:eastAsia="en-US"/>
    </w:rPr>
  </w:style>
  <w:style w:type="paragraph" w:customStyle="1" w:styleId="EndNoteBibliographyTitle">
    <w:name w:val="EndNote Bibliography Title"/>
    <w:basedOn w:val="Normal"/>
    <w:rsid w:val="002225B5"/>
    <w:pPr>
      <w:jc w:val="center"/>
    </w:pPr>
    <w:rPr>
      <w:sz w:val="22"/>
    </w:rPr>
  </w:style>
  <w:style w:type="paragraph" w:customStyle="1" w:styleId="EndNoteBibliography">
    <w:name w:val="EndNote Bibliography"/>
    <w:basedOn w:val="Normal"/>
    <w:rsid w:val="002225B5"/>
    <w:rPr>
      <w:sz w:val="22"/>
    </w:rPr>
  </w:style>
  <w:style w:type="character" w:customStyle="1" w:styleId="apple-converted-space">
    <w:name w:val="apple-converted-space"/>
    <w:basedOn w:val="DefaultParagraphFont"/>
    <w:rsid w:val="0040079D"/>
  </w:style>
  <w:style w:type="character" w:customStyle="1" w:styleId="citationref">
    <w:name w:val="citationref"/>
    <w:basedOn w:val="DefaultParagraphFont"/>
    <w:rsid w:val="0040079D"/>
  </w:style>
  <w:style w:type="paragraph" w:styleId="HTMLPreformatted">
    <w:name w:val="HTML Preformatted"/>
    <w:basedOn w:val="Normal"/>
    <w:link w:val="HTMLPreformattedChar"/>
    <w:uiPriority w:val="99"/>
    <w:unhideWhenUsed/>
    <w:rsid w:val="00801D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lang w:val="mi-NZ" w:eastAsia="en-US"/>
    </w:rPr>
  </w:style>
  <w:style w:type="character" w:customStyle="1" w:styleId="HTMLPreformattedChar">
    <w:name w:val="HTML Preformatted Char"/>
    <w:basedOn w:val="DefaultParagraphFont"/>
    <w:link w:val="HTMLPreformatted"/>
    <w:uiPriority w:val="99"/>
    <w:rsid w:val="00801D78"/>
    <w:rPr>
      <w:rFonts w:ascii="Courier" w:hAnsi="Courier" w:cs="Courier"/>
      <w:sz w:val="20"/>
      <w:szCs w:val="20"/>
      <w:lang w:val="mi-NZ"/>
    </w:rPr>
  </w:style>
  <w:style w:type="character" w:customStyle="1" w:styleId="MeetingInfoChar">
    <w:name w:val="MeetingInfo Char"/>
    <w:basedOn w:val="DefaultParagraphFont"/>
    <w:link w:val="MeetingInfo"/>
    <w:rsid w:val="00AC5FB4"/>
    <w:rPr>
      <w:b/>
      <w:bCs/>
      <w:noProof/>
      <w:sz w:val="28"/>
      <w:szCs w:val="28"/>
      <w:lang w:val="en-GB" w:eastAsia="en-GB"/>
    </w:rPr>
  </w:style>
  <w:style w:type="character" w:styleId="FollowedHyperlink">
    <w:name w:val="FollowedHyperlink"/>
    <w:basedOn w:val="DefaultParagraphFont"/>
    <w:uiPriority w:val="99"/>
    <w:semiHidden/>
    <w:unhideWhenUsed/>
    <w:rsid w:val="00CF16DD"/>
    <w:rPr>
      <w:color w:val="800080" w:themeColor="followedHyperlink"/>
      <w:u w:val="single"/>
    </w:rPr>
  </w:style>
  <w:style w:type="paragraph" w:customStyle="1" w:styleId="LanguageSymbol">
    <w:name w:val="LanguageSymbol"/>
    <w:basedOn w:val="Normal"/>
    <w:link w:val="LanguageSymbolChar"/>
    <w:qFormat/>
    <w:rsid w:val="00E86013"/>
    <w:pPr>
      <w:framePr w:h="655" w:hRule="exact" w:hSpace="181" w:wrap="around" w:vAnchor="page" w:hAnchor="page" w:x="10667" w:y="899"/>
      <w:spacing w:before="120"/>
    </w:pPr>
    <w:rPr>
      <w:rFonts w:eastAsia="Calibri" w:cs="Akhbar MT"/>
      <w:b/>
      <w:color w:val="808080"/>
      <w:sz w:val="56"/>
      <w:szCs w:val="56"/>
      <w:lang w:eastAsia="en-US"/>
    </w:rPr>
  </w:style>
  <w:style w:type="character" w:customStyle="1" w:styleId="LanguageSymbolChar">
    <w:name w:val="LanguageSymbol Char"/>
    <w:basedOn w:val="DefaultParagraphFont"/>
    <w:link w:val="LanguageSymbol"/>
    <w:rsid w:val="00E86013"/>
    <w:rPr>
      <w:rFonts w:eastAsia="Calibri" w:cs="Akhbar MT"/>
      <w:b/>
      <w:color w:val="808080"/>
      <w:sz w:val="56"/>
      <w:szCs w:val="56"/>
      <w:lang w:val="en-GB"/>
    </w:rPr>
  </w:style>
  <w:style w:type="paragraph" w:customStyle="1" w:styleId="Note">
    <w:name w:val="Note"/>
    <w:basedOn w:val="Normal"/>
    <w:link w:val="NoteChar"/>
    <w:autoRedefine/>
    <w:qFormat/>
    <w:rsid w:val="00E8695E"/>
    <w:pPr>
      <w:pBdr>
        <w:top w:val="single" w:sz="4" w:space="1" w:color="auto"/>
      </w:pBdr>
      <w:spacing w:before="120"/>
      <w:jc w:val="center"/>
    </w:pPr>
    <w:rPr>
      <w:rFonts w:eastAsia="Calibri" w:cs="Akhbar MT"/>
      <w:i/>
      <w:sz w:val="20"/>
      <w:szCs w:val="28"/>
      <w:lang w:eastAsia="en-US"/>
    </w:rPr>
  </w:style>
  <w:style w:type="character" w:customStyle="1" w:styleId="NoteChar">
    <w:name w:val="Note Char"/>
    <w:basedOn w:val="DefaultParagraphFont"/>
    <w:link w:val="Note"/>
    <w:rsid w:val="00E8695E"/>
    <w:rPr>
      <w:rFonts w:eastAsia="Calibri" w:cs="Akhbar MT"/>
      <w:i/>
      <w:sz w:val="20"/>
      <w:szCs w:val="28"/>
      <w:lang w:val="en-GB"/>
    </w:rPr>
  </w:style>
  <w:style w:type="paragraph" w:customStyle="1" w:styleId="Cornernotation">
    <w:name w:val="Corner notation"/>
    <w:basedOn w:val="Normal"/>
    <w:rsid w:val="004655FD"/>
    <w:pPr>
      <w:ind w:left="170" w:right="3119" w:hanging="170"/>
    </w:pPr>
    <w:rPr>
      <w:sz w:val="22"/>
      <w:lang w:eastAsia="en-US"/>
    </w:rPr>
  </w:style>
  <w:style w:type="paragraph" w:customStyle="1" w:styleId="Para1">
    <w:name w:val="Para1"/>
    <w:basedOn w:val="Normal"/>
    <w:link w:val="Para1Char"/>
    <w:rsid w:val="004655FD"/>
    <w:pPr>
      <w:spacing w:before="120" w:after="120"/>
      <w:jc w:val="both"/>
    </w:pPr>
    <w:rPr>
      <w:snapToGrid w:val="0"/>
      <w:sz w:val="22"/>
      <w:szCs w:val="18"/>
      <w:lang w:eastAsia="en-US"/>
    </w:rPr>
  </w:style>
  <w:style w:type="character" w:customStyle="1" w:styleId="Para1Char">
    <w:name w:val="Para1 Char"/>
    <w:link w:val="Para1"/>
    <w:locked/>
    <w:rsid w:val="004655FD"/>
    <w:rPr>
      <w:snapToGrid w:val="0"/>
      <w:szCs w:val="18"/>
      <w:lang w:val="en-GB"/>
    </w:rPr>
  </w:style>
  <w:style w:type="character" w:styleId="PlaceholderText">
    <w:name w:val="Placeholder Text"/>
    <w:basedOn w:val="DefaultParagraphFont"/>
    <w:uiPriority w:val="99"/>
    <w:semiHidden/>
    <w:rsid w:val="004655F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68961">
      <w:bodyDiv w:val="1"/>
      <w:marLeft w:val="0"/>
      <w:marRight w:val="0"/>
      <w:marTop w:val="0"/>
      <w:marBottom w:val="0"/>
      <w:divBdr>
        <w:top w:val="none" w:sz="0" w:space="0" w:color="auto"/>
        <w:left w:val="none" w:sz="0" w:space="0" w:color="auto"/>
        <w:bottom w:val="none" w:sz="0" w:space="0" w:color="auto"/>
        <w:right w:val="none" w:sz="0" w:space="0" w:color="auto"/>
      </w:divBdr>
    </w:div>
    <w:div w:id="46150452">
      <w:bodyDiv w:val="1"/>
      <w:marLeft w:val="0"/>
      <w:marRight w:val="0"/>
      <w:marTop w:val="0"/>
      <w:marBottom w:val="0"/>
      <w:divBdr>
        <w:top w:val="none" w:sz="0" w:space="0" w:color="auto"/>
        <w:left w:val="none" w:sz="0" w:space="0" w:color="auto"/>
        <w:bottom w:val="none" w:sz="0" w:space="0" w:color="auto"/>
        <w:right w:val="none" w:sz="0" w:space="0" w:color="auto"/>
      </w:divBdr>
    </w:div>
    <w:div w:id="50618813">
      <w:bodyDiv w:val="1"/>
      <w:marLeft w:val="0"/>
      <w:marRight w:val="0"/>
      <w:marTop w:val="0"/>
      <w:marBottom w:val="0"/>
      <w:divBdr>
        <w:top w:val="none" w:sz="0" w:space="0" w:color="auto"/>
        <w:left w:val="none" w:sz="0" w:space="0" w:color="auto"/>
        <w:bottom w:val="none" w:sz="0" w:space="0" w:color="auto"/>
        <w:right w:val="none" w:sz="0" w:space="0" w:color="auto"/>
      </w:divBdr>
    </w:div>
    <w:div w:id="63601750">
      <w:bodyDiv w:val="1"/>
      <w:marLeft w:val="0"/>
      <w:marRight w:val="0"/>
      <w:marTop w:val="0"/>
      <w:marBottom w:val="0"/>
      <w:divBdr>
        <w:top w:val="none" w:sz="0" w:space="0" w:color="auto"/>
        <w:left w:val="none" w:sz="0" w:space="0" w:color="auto"/>
        <w:bottom w:val="none" w:sz="0" w:space="0" w:color="auto"/>
        <w:right w:val="none" w:sz="0" w:space="0" w:color="auto"/>
      </w:divBdr>
    </w:div>
    <w:div w:id="86004862">
      <w:bodyDiv w:val="1"/>
      <w:marLeft w:val="0"/>
      <w:marRight w:val="0"/>
      <w:marTop w:val="0"/>
      <w:marBottom w:val="0"/>
      <w:divBdr>
        <w:top w:val="none" w:sz="0" w:space="0" w:color="auto"/>
        <w:left w:val="none" w:sz="0" w:space="0" w:color="auto"/>
        <w:bottom w:val="none" w:sz="0" w:space="0" w:color="auto"/>
        <w:right w:val="none" w:sz="0" w:space="0" w:color="auto"/>
      </w:divBdr>
    </w:div>
    <w:div w:id="121727699">
      <w:bodyDiv w:val="1"/>
      <w:marLeft w:val="0"/>
      <w:marRight w:val="0"/>
      <w:marTop w:val="0"/>
      <w:marBottom w:val="0"/>
      <w:divBdr>
        <w:top w:val="none" w:sz="0" w:space="0" w:color="auto"/>
        <w:left w:val="none" w:sz="0" w:space="0" w:color="auto"/>
        <w:bottom w:val="none" w:sz="0" w:space="0" w:color="auto"/>
        <w:right w:val="none" w:sz="0" w:space="0" w:color="auto"/>
      </w:divBdr>
    </w:div>
    <w:div w:id="126359771">
      <w:bodyDiv w:val="1"/>
      <w:marLeft w:val="0"/>
      <w:marRight w:val="0"/>
      <w:marTop w:val="0"/>
      <w:marBottom w:val="0"/>
      <w:divBdr>
        <w:top w:val="none" w:sz="0" w:space="0" w:color="auto"/>
        <w:left w:val="none" w:sz="0" w:space="0" w:color="auto"/>
        <w:bottom w:val="none" w:sz="0" w:space="0" w:color="auto"/>
        <w:right w:val="none" w:sz="0" w:space="0" w:color="auto"/>
      </w:divBdr>
    </w:div>
    <w:div w:id="138428766">
      <w:bodyDiv w:val="1"/>
      <w:marLeft w:val="0"/>
      <w:marRight w:val="0"/>
      <w:marTop w:val="0"/>
      <w:marBottom w:val="0"/>
      <w:divBdr>
        <w:top w:val="none" w:sz="0" w:space="0" w:color="auto"/>
        <w:left w:val="none" w:sz="0" w:space="0" w:color="auto"/>
        <w:bottom w:val="none" w:sz="0" w:space="0" w:color="auto"/>
        <w:right w:val="none" w:sz="0" w:space="0" w:color="auto"/>
      </w:divBdr>
    </w:div>
    <w:div w:id="157625065">
      <w:bodyDiv w:val="1"/>
      <w:marLeft w:val="0"/>
      <w:marRight w:val="0"/>
      <w:marTop w:val="0"/>
      <w:marBottom w:val="0"/>
      <w:divBdr>
        <w:top w:val="none" w:sz="0" w:space="0" w:color="auto"/>
        <w:left w:val="none" w:sz="0" w:space="0" w:color="auto"/>
        <w:bottom w:val="none" w:sz="0" w:space="0" w:color="auto"/>
        <w:right w:val="none" w:sz="0" w:space="0" w:color="auto"/>
      </w:divBdr>
    </w:div>
    <w:div w:id="167988560">
      <w:bodyDiv w:val="1"/>
      <w:marLeft w:val="0"/>
      <w:marRight w:val="0"/>
      <w:marTop w:val="0"/>
      <w:marBottom w:val="0"/>
      <w:divBdr>
        <w:top w:val="none" w:sz="0" w:space="0" w:color="auto"/>
        <w:left w:val="none" w:sz="0" w:space="0" w:color="auto"/>
        <w:bottom w:val="none" w:sz="0" w:space="0" w:color="auto"/>
        <w:right w:val="none" w:sz="0" w:space="0" w:color="auto"/>
      </w:divBdr>
      <w:divsChild>
        <w:div w:id="1345129410">
          <w:marLeft w:val="0"/>
          <w:marRight w:val="0"/>
          <w:marTop w:val="0"/>
          <w:marBottom w:val="0"/>
          <w:divBdr>
            <w:top w:val="none" w:sz="0" w:space="0" w:color="auto"/>
            <w:left w:val="none" w:sz="0" w:space="0" w:color="auto"/>
            <w:bottom w:val="none" w:sz="0" w:space="0" w:color="auto"/>
            <w:right w:val="none" w:sz="0" w:space="0" w:color="auto"/>
          </w:divBdr>
        </w:div>
        <w:div w:id="607011850">
          <w:marLeft w:val="0"/>
          <w:marRight w:val="0"/>
          <w:marTop w:val="0"/>
          <w:marBottom w:val="0"/>
          <w:divBdr>
            <w:top w:val="none" w:sz="0" w:space="0" w:color="auto"/>
            <w:left w:val="none" w:sz="0" w:space="0" w:color="auto"/>
            <w:bottom w:val="none" w:sz="0" w:space="0" w:color="auto"/>
            <w:right w:val="none" w:sz="0" w:space="0" w:color="auto"/>
          </w:divBdr>
        </w:div>
        <w:div w:id="1411997047">
          <w:marLeft w:val="0"/>
          <w:marRight w:val="0"/>
          <w:marTop w:val="0"/>
          <w:marBottom w:val="0"/>
          <w:divBdr>
            <w:top w:val="none" w:sz="0" w:space="0" w:color="auto"/>
            <w:left w:val="none" w:sz="0" w:space="0" w:color="auto"/>
            <w:bottom w:val="none" w:sz="0" w:space="0" w:color="auto"/>
            <w:right w:val="none" w:sz="0" w:space="0" w:color="auto"/>
          </w:divBdr>
        </w:div>
        <w:div w:id="1359506072">
          <w:marLeft w:val="0"/>
          <w:marRight w:val="0"/>
          <w:marTop w:val="0"/>
          <w:marBottom w:val="0"/>
          <w:divBdr>
            <w:top w:val="none" w:sz="0" w:space="0" w:color="auto"/>
            <w:left w:val="none" w:sz="0" w:space="0" w:color="auto"/>
            <w:bottom w:val="none" w:sz="0" w:space="0" w:color="auto"/>
            <w:right w:val="none" w:sz="0" w:space="0" w:color="auto"/>
          </w:divBdr>
        </w:div>
        <w:div w:id="1790392060">
          <w:marLeft w:val="0"/>
          <w:marRight w:val="0"/>
          <w:marTop w:val="0"/>
          <w:marBottom w:val="0"/>
          <w:divBdr>
            <w:top w:val="none" w:sz="0" w:space="0" w:color="auto"/>
            <w:left w:val="none" w:sz="0" w:space="0" w:color="auto"/>
            <w:bottom w:val="none" w:sz="0" w:space="0" w:color="auto"/>
            <w:right w:val="none" w:sz="0" w:space="0" w:color="auto"/>
          </w:divBdr>
        </w:div>
        <w:div w:id="55905236">
          <w:marLeft w:val="0"/>
          <w:marRight w:val="0"/>
          <w:marTop w:val="0"/>
          <w:marBottom w:val="0"/>
          <w:divBdr>
            <w:top w:val="none" w:sz="0" w:space="0" w:color="auto"/>
            <w:left w:val="none" w:sz="0" w:space="0" w:color="auto"/>
            <w:bottom w:val="none" w:sz="0" w:space="0" w:color="auto"/>
            <w:right w:val="none" w:sz="0" w:space="0" w:color="auto"/>
          </w:divBdr>
        </w:div>
        <w:div w:id="1560634315">
          <w:marLeft w:val="0"/>
          <w:marRight w:val="0"/>
          <w:marTop w:val="0"/>
          <w:marBottom w:val="0"/>
          <w:divBdr>
            <w:top w:val="none" w:sz="0" w:space="0" w:color="auto"/>
            <w:left w:val="none" w:sz="0" w:space="0" w:color="auto"/>
            <w:bottom w:val="none" w:sz="0" w:space="0" w:color="auto"/>
            <w:right w:val="none" w:sz="0" w:space="0" w:color="auto"/>
          </w:divBdr>
        </w:div>
        <w:div w:id="64954120">
          <w:marLeft w:val="0"/>
          <w:marRight w:val="0"/>
          <w:marTop w:val="0"/>
          <w:marBottom w:val="0"/>
          <w:divBdr>
            <w:top w:val="none" w:sz="0" w:space="0" w:color="auto"/>
            <w:left w:val="none" w:sz="0" w:space="0" w:color="auto"/>
            <w:bottom w:val="none" w:sz="0" w:space="0" w:color="auto"/>
            <w:right w:val="none" w:sz="0" w:space="0" w:color="auto"/>
          </w:divBdr>
        </w:div>
        <w:div w:id="2014643947">
          <w:marLeft w:val="0"/>
          <w:marRight w:val="0"/>
          <w:marTop w:val="0"/>
          <w:marBottom w:val="0"/>
          <w:divBdr>
            <w:top w:val="none" w:sz="0" w:space="0" w:color="auto"/>
            <w:left w:val="none" w:sz="0" w:space="0" w:color="auto"/>
            <w:bottom w:val="none" w:sz="0" w:space="0" w:color="auto"/>
            <w:right w:val="none" w:sz="0" w:space="0" w:color="auto"/>
          </w:divBdr>
        </w:div>
        <w:div w:id="1620842415">
          <w:marLeft w:val="0"/>
          <w:marRight w:val="0"/>
          <w:marTop w:val="0"/>
          <w:marBottom w:val="0"/>
          <w:divBdr>
            <w:top w:val="none" w:sz="0" w:space="0" w:color="auto"/>
            <w:left w:val="none" w:sz="0" w:space="0" w:color="auto"/>
            <w:bottom w:val="none" w:sz="0" w:space="0" w:color="auto"/>
            <w:right w:val="none" w:sz="0" w:space="0" w:color="auto"/>
          </w:divBdr>
        </w:div>
        <w:div w:id="426459375">
          <w:marLeft w:val="0"/>
          <w:marRight w:val="0"/>
          <w:marTop w:val="0"/>
          <w:marBottom w:val="0"/>
          <w:divBdr>
            <w:top w:val="none" w:sz="0" w:space="0" w:color="auto"/>
            <w:left w:val="none" w:sz="0" w:space="0" w:color="auto"/>
            <w:bottom w:val="none" w:sz="0" w:space="0" w:color="auto"/>
            <w:right w:val="none" w:sz="0" w:space="0" w:color="auto"/>
          </w:divBdr>
        </w:div>
        <w:div w:id="920018212">
          <w:marLeft w:val="0"/>
          <w:marRight w:val="0"/>
          <w:marTop w:val="0"/>
          <w:marBottom w:val="0"/>
          <w:divBdr>
            <w:top w:val="none" w:sz="0" w:space="0" w:color="auto"/>
            <w:left w:val="none" w:sz="0" w:space="0" w:color="auto"/>
            <w:bottom w:val="none" w:sz="0" w:space="0" w:color="auto"/>
            <w:right w:val="none" w:sz="0" w:space="0" w:color="auto"/>
          </w:divBdr>
        </w:div>
        <w:div w:id="1319848518">
          <w:marLeft w:val="0"/>
          <w:marRight w:val="0"/>
          <w:marTop w:val="0"/>
          <w:marBottom w:val="0"/>
          <w:divBdr>
            <w:top w:val="none" w:sz="0" w:space="0" w:color="auto"/>
            <w:left w:val="none" w:sz="0" w:space="0" w:color="auto"/>
            <w:bottom w:val="none" w:sz="0" w:space="0" w:color="auto"/>
            <w:right w:val="none" w:sz="0" w:space="0" w:color="auto"/>
          </w:divBdr>
        </w:div>
        <w:div w:id="1947033329">
          <w:marLeft w:val="0"/>
          <w:marRight w:val="0"/>
          <w:marTop w:val="0"/>
          <w:marBottom w:val="0"/>
          <w:divBdr>
            <w:top w:val="none" w:sz="0" w:space="0" w:color="auto"/>
            <w:left w:val="none" w:sz="0" w:space="0" w:color="auto"/>
            <w:bottom w:val="none" w:sz="0" w:space="0" w:color="auto"/>
            <w:right w:val="none" w:sz="0" w:space="0" w:color="auto"/>
          </w:divBdr>
        </w:div>
        <w:div w:id="1953245854">
          <w:marLeft w:val="0"/>
          <w:marRight w:val="0"/>
          <w:marTop w:val="0"/>
          <w:marBottom w:val="0"/>
          <w:divBdr>
            <w:top w:val="none" w:sz="0" w:space="0" w:color="auto"/>
            <w:left w:val="none" w:sz="0" w:space="0" w:color="auto"/>
            <w:bottom w:val="none" w:sz="0" w:space="0" w:color="auto"/>
            <w:right w:val="none" w:sz="0" w:space="0" w:color="auto"/>
          </w:divBdr>
        </w:div>
      </w:divsChild>
    </w:div>
    <w:div w:id="181436052">
      <w:bodyDiv w:val="1"/>
      <w:marLeft w:val="0"/>
      <w:marRight w:val="0"/>
      <w:marTop w:val="0"/>
      <w:marBottom w:val="0"/>
      <w:divBdr>
        <w:top w:val="none" w:sz="0" w:space="0" w:color="auto"/>
        <w:left w:val="none" w:sz="0" w:space="0" w:color="auto"/>
        <w:bottom w:val="none" w:sz="0" w:space="0" w:color="auto"/>
        <w:right w:val="none" w:sz="0" w:space="0" w:color="auto"/>
      </w:divBdr>
    </w:div>
    <w:div w:id="190849204">
      <w:bodyDiv w:val="1"/>
      <w:marLeft w:val="0"/>
      <w:marRight w:val="0"/>
      <w:marTop w:val="0"/>
      <w:marBottom w:val="0"/>
      <w:divBdr>
        <w:top w:val="none" w:sz="0" w:space="0" w:color="auto"/>
        <w:left w:val="none" w:sz="0" w:space="0" w:color="auto"/>
        <w:bottom w:val="none" w:sz="0" w:space="0" w:color="auto"/>
        <w:right w:val="none" w:sz="0" w:space="0" w:color="auto"/>
      </w:divBdr>
    </w:div>
    <w:div w:id="215164255">
      <w:bodyDiv w:val="1"/>
      <w:marLeft w:val="0"/>
      <w:marRight w:val="0"/>
      <w:marTop w:val="0"/>
      <w:marBottom w:val="0"/>
      <w:divBdr>
        <w:top w:val="none" w:sz="0" w:space="0" w:color="auto"/>
        <w:left w:val="none" w:sz="0" w:space="0" w:color="auto"/>
        <w:bottom w:val="none" w:sz="0" w:space="0" w:color="auto"/>
        <w:right w:val="none" w:sz="0" w:space="0" w:color="auto"/>
      </w:divBdr>
    </w:div>
    <w:div w:id="230774683">
      <w:bodyDiv w:val="1"/>
      <w:marLeft w:val="0"/>
      <w:marRight w:val="0"/>
      <w:marTop w:val="0"/>
      <w:marBottom w:val="0"/>
      <w:divBdr>
        <w:top w:val="none" w:sz="0" w:space="0" w:color="auto"/>
        <w:left w:val="none" w:sz="0" w:space="0" w:color="auto"/>
        <w:bottom w:val="none" w:sz="0" w:space="0" w:color="auto"/>
        <w:right w:val="none" w:sz="0" w:space="0" w:color="auto"/>
      </w:divBdr>
    </w:div>
    <w:div w:id="238178526">
      <w:bodyDiv w:val="1"/>
      <w:marLeft w:val="0"/>
      <w:marRight w:val="0"/>
      <w:marTop w:val="0"/>
      <w:marBottom w:val="0"/>
      <w:divBdr>
        <w:top w:val="none" w:sz="0" w:space="0" w:color="auto"/>
        <w:left w:val="none" w:sz="0" w:space="0" w:color="auto"/>
        <w:bottom w:val="none" w:sz="0" w:space="0" w:color="auto"/>
        <w:right w:val="none" w:sz="0" w:space="0" w:color="auto"/>
      </w:divBdr>
    </w:div>
    <w:div w:id="238710929">
      <w:bodyDiv w:val="1"/>
      <w:marLeft w:val="0"/>
      <w:marRight w:val="0"/>
      <w:marTop w:val="0"/>
      <w:marBottom w:val="0"/>
      <w:divBdr>
        <w:top w:val="none" w:sz="0" w:space="0" w:color="auto"/>
        <w:left w:val="none" w:sz="0" w:space="0" w:color="auto"/>
        <w:bottom w:val="none" w:sz="0" w:space="0" w:color="auto"/>
        <w:right w:val="none" w:sz="0" w:space="0" w:color="auto"/>
      </w:divBdr>
    </w:div>
    <w:div w:id="256252875">
      <w:bodyDiv w:val="1"/>
      <w:marLeft w:val="0"/>
      <w:marRight w:val="0"/>
      <w:marTop w:val="0"/>
      <w:marBottom w:val="0"/>
      <w:divBdr>
        <w:top w:val="none" w:sz="0" w:space="0" w:color="auto"/>
        <w:left w:val="none" w:sz="0" w:space="0" w:color="auto"/>
        <w:bottom w:val="none" w:sz="0" w:space="0" w:color="auto"/>
        <w:right w:val="none" w:sz="0" w:space="0" w:color="auto"/>
      </w:divBdr>
    </w:div>
    <w:div w:id="262998554">
      <w:bodyDiv w:val="1"/>
      <w:marLeft w:val="0"/>
      <w:marRight w:val="0"/>
      <w:marTop w:val="0"/>
      <w:marBottom w:val="0"/>
      <w:divBdr>
        <w:top w:val="none" w:sz="0" w:space="0" w:color="auto"/>
        <w:left w:val="none" w:sz="0" w:space="0" w:color="auto"/>
        <w:bottom w:val="none" w:sz="0" w:space="0" w:color="auto"/>
        <w:right w:val="none" w:sz="0" w:space="0" w:color="auto"/>
      </w:divBdr>
      <w:divsChild>
        <w:div w:id="1370766296">
          <w:marLeft w:val="0"/>
          <w:marRight w:val="0"/>
          <w:marTop w:val="0"/>
          <w:marBottom w:val="0"/>
          <w:divBdr>
            <w:top w:val="none" w:sz="0" w:space="0" w:color="auto"/>
            <w:left w:val="none" w:sz="0" w:space="0" w:color="auto"/>
            <w:bottom w:val="none" w:sz="0" w:space="0" w:color="auto"/>
            <w:right w:val="none" w:sz="0" w:space="0" w:color="auto"/>
          </w:divBdr>
        </w:div>
        <w:div w:id="1835410662">
          <w:marLeft w:val="0"/>
          <w:marRight w:val="0"/>
          <w:marTop w:val="0"/>
          <w:marBottom w:val="0"/>
          <w:divBdr>
            <w:top w:val="none" w:sz="0" w:space="0" w:color="auto"/>
            <w:left w:val="none" w:sz="0" w:space="0" w:color="auto"/>
            <w:bottom w:val="none" w:sz="0" w:space="0" w:color="auto"/>
            <w:right w:val="none" w:sz="0" w:space="0" w:color="auto"/>
          </w:divBdr>
        </w:div>
        <w:div w:id="441346945">
          <w:marLeft w:val="0"/>
          <w:marRight w:val="0"/>
          <w:marTop w:val="0"/>
          <w:marBottom w:val="0"/>
          <w:divBdr>
            <w:top w:val="none" w:sz="0" w:space="0" w:color="auto"/>
            <w:left w:val="none" w:sz="0" w:space="0" w:color="auto"/>
            <w:bottom w:val="none" w:sz="0" w:space="0" w:color="auto"/>
            <w:right w:val="none" w:sz="0" w:space="0" w:color="auto"/>
          </w:divBdr>
        </w:div>
        <w:div w:id="1289974840">
          <w:marLeft w:val="0"/>
          <w:marRight w:val="0"/>
          <w:marTop w:val="0"/>
          <w:marBottom w:val="0"/>
          <w:divBdr>
            <w:top w:val="none" w:sz="0" w:space="0" w:color="auto"/>
            <w:left w:val="none" w:sz="0" w:space="0" w:color="auto"/>
            <w:bottom w:val="none" w:sz="0" w:space="0" w:color="auto"/>
            <w:right w:val="none" w:sz="0" w:space="0" w:color="auto"/>
          </w:divBdr>
        </w:div>
        <w:div w:id="1143083338">
          <w:marLeft w:val="0"/>
          <w:marRight w:val="0"/>
          <w:marTop w:val="0"/>
          <w:marBottom w:val="0"/>
          <w:divBdr>
            <w:top w:val="none" w:sz="0" w:space="0" w:color="auto"/>
            <w:left w:val="none" w:sz="0" w:space="0" w:color="auto"/>
            <w:bottom w:val="none" w:sz="0" w:space="0" w:color="auto"/>
            <w:right w:val="none" w:sz="0" w:space="0" w:color="auto"/>
          </w:divBdr>
        </w:div>
        <w:div w:id="1133984022">
          <w:marLeft w:val="0"/>
          <w:marRight w:val="0"/>
          <w:marTop w:val="0"/>
          <w:marBottom w:val="0"/>
          <w:divBdr>
            <w:top w:val="none" w:sz="0" w:space="0" w:color="auto"/>
            <w:left w:val="none" w:sz="0" w:space="0" w:color="auto"/>
            <w:bottom w:val="none" w:sz="0" w:space="0" w:color="auto"/>
            <w:right w:val="none" w:sz="0" w:space="0" w:color="auto"/>
          </w:divBdr>
        </w:div>
        <w:div w:id="140581493">
          <w:marLeft w:val="0"/>
          <w:marRight w:val="0"/>
          <w:marTop w:val="0"/>
          <w:marBottom w:val="0"/>
          <w:divBdr>
            <w:top w:val="none" w:sz="0" w:space="0" w:color="auto"/>
            <w:left w:val="none" w:sz="0" w:space="0" w:color="auto"/>
            <w:bottom w:val="none" w:sz="0" w:space="0" w:color="auto"/>
            <w:right w:val="none" w:sz="0" w:space="0" w:color="auto"/>
          </w:divBdr>
        </w:div>
        <w:div w:id="368576774">
          <w:marLeft w:val="0"/>
          <w:marRight w:val="0"/>
          <w:marTop w:val="0"/>
          <w:marBottom w:val="0"/>
          <w:divBdr>
            <w:top w:val="none" w:sz="0" w:space="0" w:color="auto"/>
            <w:left w:val="none" w:sz="0" w:space="0" w:color="auto"/>
            <w:bottom w:val="none" w:sz="0" w:space="0" w:color="auto"/>
            <w:right w:val="none" w:sz="0" w:space="0" w:color="auto"/>
          </w:divBdr>
        </w:div>
        <w:div w:id="671878766">
          <w:marLeft w:val="0"/>
          <w:marRight w:val="0"/>
          <w:marTop w:val="0"/>
          <w:marBottom w:val="0"/>
          <w:divBdr>
            <w:top w:val="none" w:sz="0" w:space="0" w:color="auto"/>
            <w:left w:val="none" w:sz="0" w:space="0" w:color="auto"/>
            <w:bottom w:val="none" w:sz="0" w:space="0" w:color="auto"/>
            <w:right w:val="none" w:sz="0" w:space="0" w:color="auto"/>
          </w:divBdr>
        </w:div>
        <w:div w:id="663821489">
          <w:marLeft w:val="0"/>
          <w:marRight w:val="0"/>
          <w:marTop w:val="0"/>
          <w:marBottom w:val="0"/>
          <w:divBdr>
            <w:top w:val="none" w:sz="0" w:space="0" w:color="auto"/>
            <w:left w:val="none" w:sz="0" w:space="0" w:color="auto"/>
            <w:bottom w:val="none" w:sz="0" w:space="0" w:color="auto"/>
            <w:right w:val="none" w:sz="0" w:space="0" w:color="auto"/>
          </w:divBdr>
        </w:div>
        <w:div w:id="1308778895">
          <w:marLeft w:val="0"/>
          <w:marRight w:val="0"/>
          <w:marTop w:val="0"/>
          <w:marBottom w:val="0"/>
          <w:divBdr>
            <w:top w:val="none" w:sz="0" w:space="0" w:color="auto"/>
            <w:left w:val="none" w:sz="0" w:space="0" w:color="auto"/>
            <w:bottom w:val="none" w:sz="0" w:space="0" w:color="auto"/>
            <w:right w:val="none" w:sz="0" w:space="0" w:color="auto"/>
          </w:divBdr>
        </w:div>
        <w:div w:id="1438718344">
          <w:marLeft w:val="0"/>
          <w:marRight w:val="0"/>
          <w:marTop w:val="0"/>
          <w:marBottom w:val="0"/>
          <w:divBdr>
            <w:top w:val="none" w:sz="0" w:space="0" w:color="auto"/>
            <w:left w:val="none" w:sz="0" w:space="0" w:color="auto"/>
            <w:bottom w:val="none" w:sz="0" w:space="0" w:color="auto"/>
            <w:right w:val="none" w:sz="0" w:space="0" w:color="auto"/>
          </w:divBdr>
        </w:div>
        <w:div w:id="21130696">
          <w:marLeft w:val="0"/>
          <w:marRight w:val="0"/>
          <w:marTop w:val="0"/>
          <w:marBottom w:val="0"/>
          <w:divBdr>
            <w:top w:val="none" w:sz="0" w:space="0" w:color="auto"/>
            <w:left w:val="none" w:sz="0" w:space="0" w:color="auto"/>
            <w:bottom w:val="none" w:sz="0" w:space="0" w:color="auto"/>
            <w:right w:val="none" w:sz="0" w:space="0" w:color="auto"/>
          </w:divBdr>
        </w:div>
        <w:div w:id="1002052363">
          <w:marLeft w:val="0"/>
          <w:marRight w:val="0"/>
          <w:marTop w:val="0"/>
          <w:marBottom w:val="0"/>
          <w:divBdr>
            <w:top w:val="none" w:sz="0" w:space="0" w:color="auto"/>
            <w:left w:val="none" w:sz="0" w:space="0" w:color="auto"/>
            <w:bottom w:val="none" w:sz="0" w:space="0" w:color="auto"/>
            <w:right w:val="none" w:sz="0" w:space="0" w:color="auto"/>
          </w:divBdr>
        </w:div>
        <w:div w:id="16586765">
          <w:marLeft w:val="0"/>
          <w:marRight w:val="0"/>
          <w:marTop w:val="0"/>
          <w:marBottom w:val="0"/>
          <w:divBdr>
            <w:top w:val="none" w:sz="0" w:space="0" w:color="auto"/>
            <w:left w:val="none" w:sz="0" w:space="0" w:color="auto"/>
            <w:bottom w:val="none" w:sz="0" w:space="0" w:color="auto"/>
            <w:right w:val="none" w:sz="0" w:space="0" w:color="auto"/>
          </w:divBdr>
        </w:div>
      </w:divsChild>
    </w:div>
    <w:div w:id="273681966">
      <w:bodyDiv w:val="1"/>
      <w:marLeft w:val="0"/>
      <w:marRight w:val="0"/>
      <w:marTop w:val="0"/>
      <w:marBottom w:val="0"/>
      <w:divBdr>
        <w:top w:val="none" w:sz="0" w:space="0" w:color="auto"/>
        <w:left w:val="none" w:sz="0" w:space="0" w:color="auto"/>
        <w:bottom w:val="none" w:sz="0" w:space="0" w:color="auto"/>
        <w:right w:val="none" w:sz="0" w:space="0" w:color="auto"/>
      </w:divBdr>
    </w:div>
    <w:div w:id="283586604">
      <w:bodyDiv w:val="1"/>
      <w:marLeft w:val="0"/>
      <w:marRight w:val="0"/>
      <w:marTop w:val="0"/>
      <w:marBottom w:val="0"/>
      <w:divBdr>
        <w:top w:val="none" w:sz="0" w:space="0" w:color="auto"/>
        <w:left w:val="none" w:sz="0" w:space="0" w:color="auto"/>
        <w:bottom w:val="none" w:sz="0" w:space="0" w:color="auto"/>
        <w:right w:val="none" w:sz="0" w:space="0" w:color="auto"/>
      </w:divBdr>
    </w:div>
    <w:div w:id="287778857">
      <w:bodyDiv w:val="1"/>
      <w:marLeft w:val="0"/>
      <w:marRight w:val="0"/>
      <w:marTop w:val="0"/>
      <w:marBottom w:val="0"/>
      <w:divBdr>
        <w:top w:val="none" w:sz="0" w:space="0" w:color="auto"/>
        <w:left w:val="none" w:sz="0" w:space="0" w:color="auto"/>
        <w:bottom w:val="none" w:sz="0" w:space="0" w:color="auto"/>
        <w:right w:val="none" w:sz="0" w:space="0" w:color="auto"/>
      </w:divBdr>
      <w:divsChild>
        <w:div w:id="1445491650">
          <w:marLeft w:val="0"/>
          <w:marRight w:val="0"/>
          <w:marTop w:val="0"/>
          <w:marBottom w:val="0"/>
          <w:divBdr>
            <w:top w:val="none" w:sz="0" w:space="0" w:color="auto"/>
            <w:left w:val="none" w:sz="0" w:space="0" w:color="auto"/>
            <w:bottom w:val="none" w:sz="0" w:space="0" w:color="auto"/>
            <w:right w:val="none" w:sz="0" w:space="0" w:color="auto"/>
          </w:divBdr>
        </w:div>
        <w:div w:id="185098237">
          <w:marLeft w:val="0"/>
          <w:marRight w:val="0"/>
          <w:marTop w:val="0"/>
          <w:marBottom w:val="0"/>
          <w:divBdr>
            <w:top w:val="none" w:sz="0" w:space="0" w:color="auto"/>
            <w:left w:val="none" w:sz="0" w:space="0" w:color="auto"/>
            <w:bottom w:val="none" w:sz="0" w:space="0" w:color="auto"/>
            <w:right w:val="none" w:sz="0" w:space="0" w:color="auto"/>
          </w:divBdr>
        </w:div>
        <w:div w:id="405883602">
          <w:marLeft w:val="0"/>
          <w:marRight w:val="0"/>
          <w:marTop w:val="0"/>
          <w:marBottom w:val="0"/>
          <w:divBdr>
            <w:top w:val="none" w:sz="0" w:space="0" w:color="auto"/>
            <w:left w:val="none" w:sz="0" w:space="0" w:color="auto"/>
            <w:bottom w:val="none" w:sz="0" w:space="0" w:color="auto"/>
            <w:right w:val="none" w:sz="0" w:space="0" w:color="auto"/>
          </w:divBdr>
        </w:div>
        <w:div w:id="7175389">
          <w:marLeft w:val="0"/>
          <w:marRight w:val="0"/>
          <w:marTop w:val="0"/>
          <w:marBottom w:val="0"/>
          <w:divBdr>
            <w:top w:val="none" w:sz="0" w:space="0" w:color="auto"/>
            <w:left w:val="none" w:sz="0" w:space="0" w:color="auto"/>
            <w:bottom w:val="none" w:sz="0" w:space="0" w:color="auto"/>
            <w:right w:val="none" w:sz="0" w:space="0" w:color="auto"/>
          </w:divBdr>
        </w:div>
        <w:div w:id="1204171078">
          <w:marLeft w:val="0"/>
          <w:marRight w:val="0"/>
          <w:marTop w:val="0"/>
          <w:marBottom w:val="0"/>
          <w:divBdr>
            <w:top w:val="none" w:sz="0" w:space="0" w:color="auto"/>
            <w:left w:val="none" w:sz="0" w:space="0" w:color="auto"/>
            <w:bottom w:val="none" w:sz="0" w:space="0" w:color="auto"/>
            <w:right w:val="none" w:sz="0" w:space="0" w:color="auto"/>
          </w:divBdr>
        </w:div>
        <w:div w:id="1930306446">
          <w:marLeft w:val="0"/>
          <w:marRight w:val="0"/>
          <w:marTop w:val="0"/>
          <w:marBottom w:val="0"/>
          <w:divBdr>
            <w:top w:val="none" w:sz="0" w:space="0" w:color="auto"/>
            <w:left w:val="none" w:sz="0" w:space="0" w:color="auto"/>
            <w:bottom w:val="none" w:sz="0" w:space="0" w:color="auto"/>
            <w:right w:val="none" w:sz="0" w:space="0" w:color="auto"/>
          </w:divBdr>
        </w:div>
        <w:div w:id="163514185">
          <w:marLeft w:val="0"/>
          <w:marRight w:val="0"/>
          <w:marTop w:val="0"/>
          <w:marBottom w:val="0"/>
          <w:divBdr>
            <w:top w:val="none" w:sz="0" w:space="0" w:color="auto"/>
            <w:left w:val="none" w:sz="0" w:space="0" w:color="auto"/>
            <w:bottom w:val="none" w:sz="0" w:space="0" w:color="auto"/>
            <w:right w:val="none" w:sz="0" w:space="0" w:color="auto"/>
          </w:divBdr>
        </w:div>
      </w:divsChild>
    </w:div>
    <w:div w:id="335771894">
      <w:bodyDiv w:val="1"/>
      <w:marLeft w:val="0"/>
      <w:marRight w:val="0"/>
      <w:marTop w:val="0"/>
      <w:marBottom w:val="0"/>
      <w:divBdr>
        <w:top w:val="none" w:sz="0" w:space="0" w:color="auto"/>
        <w:left w:val="none" w:sz="0" w:space="0" w:color="auto"/>
        <w:bottom w:val="none" w:sz="0" w:space="0" w:color="auto"/>
        <w:right w:val="none" w:sz="0" w:space="0" w:color="auto"/>
      </w:divBdr>
      <w:divsChild>
        <w:div w:id="393091688">
          <w:marLeft w:val="0"/>
          <w:marRight w:val="0"/>
          <w:marTop w:val="0"/>
          <w:marBottom w:val="0"/>
          <w:divBdr>
            <w:top w:val="none" w:sz="0" w:space="0" w:color="auto"/>
            <w:left w:val="none" w:sz="0" w:space="0" w:color="auto"/>
            <w:bottom w:val="none" w:sz="0" w:space="0" w:color="auto"/>
            <w:right w:val="none" w:sz="0" w:space="0" w:color="auto"/>
          </w:divBdr>
          <w:divsChild>
            <w:div w:id="444544591">
              <w:marLeft w:val="0"/>
              <w:marRight w:val="0"/>
              <w:marTop w:val="0"/>
              <w:marBottom w:val="0"/>
              <w:divBdr>
                <w:top w:val="none" w:sz="0" w:space="0" w:color="auto"/>
                <w:left w:val="none" w:sz="0" w:space="0" w:color="auto"/>
                <w:bottom w:val="none" w:sz="0" w:space="0" w:color="auto"/>
                <w:right w:val="none" w:sz="0" w:space="0" w:color="auto"/>
              </w:divBdr>
              <w:divsChild>
                <w:div w:id="160290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484997">
      <w:bodyDiv w:val="1"/>
      <w:marLeft w:val="0"/>
      <w:marRight w:val="0"/>
      <w:marTop w:val="0"/>
      <w:marBottom w:val="0"/>
      <w:divBdr>
        <w:top w:val="none" w:sz="0" w:space="0" w:color="auto"/>
        <w:left w:val="none" w:sz="0" w:space="0" w:color="auto"/>
        <w:bottom w:val="none" w:sz="0" w:space="0" w:color="auto"/>
        <w:right w:val="none" w:sz="0" w:space="0" w:color="auto"/>
      </w:divBdr>
    </w:div>
    <w:div w:id="363412054">
      <w:bodyDiv w:val="1"/>
      <w:marLeft w:val="0"/>
      <w:marRight w:val="0"/>
      <w:marTop w:val="0"/>
      <w:marBottom w:val="0"/>
      <w:divBdr>
        <w:top w:val="none" w:sz="0" w:space="0" w:color="auto"/>
        <w:left w:val="none" w:sz="0" w:space="0" w:color="auto"/>
        <w:bottom w:val="none" w:sz="0" w:space="0" w:color="auto"/>
        <w:right w:val="none" w:sz="0" w:space="0" w:color="auto"/>
      </w:divBdr>
    </w:div>
    <w:div w:id="372079186">
      <w:bodyDiv w:val="1"/>
      <w:marLeft w:val="0"/>
      <w:marRight w:val="0"/>
      <w:marTop w:val="0"/>
      <w:marBottom w:val="0"/>
      <w:divBdr>
        <w:top w:val="none" w:sz="0" w:space="0" w:color="auto"/>
        <w:left w:val="none" w:sz="0" w:space="0" w:color="auto"/>
        <w:bottom w:val="none" w:sz="0" w:space="0" w:color="auto"/>
        <w:right w:val="none" w:sz="0" w:space="0" w:color="auto"/>
      </w:divBdr>
    </w:div>
    <w:div w:id="375005328">
      <w:bodyDiv w:val="1"/>
      <w:marLeft w:val="0"/>
      <w:marRight w:val="0"/>
      <w:marTop w:val="0"/>
      <w:marBottom w:val="0"/>
      <w:divBdr>
        <w:top w:val="none" w:sz="0" w:space="0" w:color="auto"/>
        <w:left w:val="none" w:sz="0" w:space="0" w:color="auto"/>
        <w:bottom w:val="none" w:sz="0" w:space="0" w:color="auto"/>
        <w:right w:val="none" w:sz="0" w:space="0" w:color="auto"/>
      </w:divBdr>
    </w:div>
    <w:div w:id="399063429">
      <w:bodyDiv w:val="1"/>
      <w:marLeft w:val="0"/>
      <w:marRight w:val="0"/>
      <w:marTop w:val="0"/>
      <w:marBottom w:val="0"/>
      <w:divBdr>
        <w:top w:val="none" w:sz="0" w:space="0" w:color="auto"/>
        <w:left w:val="none" w:sz="0" w:space="0" w:color="auto"/>
        <w:bottom w:val="none" w:sz="0" w:space="0" w:color="auto"/>
        <w:right w:val="none" w:sz="0" w:space="0" w:color="auto"/>
      </w:divBdr>
    </w:div>
    <w:div w:id="409012396">
      <w:bodyDiv w:val="1"/>
      <w:marLeft w:val="0"/>
      <w:marRight w:val="0"/>
      <w:marTop w:val="0"/>
      <w:marBottom w:val="0"/>
      <w:divBdr>
        <w:top w:val="none" w:sz="0" w:space="0" w:color="auto"/>
        <w:left w:val="none" w:sz="0" w:space="0" w:color="auto"/>
        <w:bottom w:val="none" w:sz="0" w:space="0" w:color="auto"/>
        <w:right w:val="none" w:sz="0" w:space="0" w:color="auto"/>
      </w:divBdr>
    </w:div>
    <w:div w:id="413824848">
      <w:bodyDiv w:val="1"/>
      <w:marLeft w:val="0"/>
      <w:marRight w:val="0"/>
      <w:marTop w:val="0"/>
      <w:marBottom w:val="0"/>
      <w:divBdr>
        <w:top w:val="none" w:sz="0" w:space="0" w:color="auto"/>
        <w:left w:val="none" w:sz="0" w:space="0" w:color="auto"/>
        <w:bottom w:val="none" w:sz="0" w:space="0" w:color="auto"/>
        <w:right w:val="none" w:sz="0" w:space="0" w:color="auto"/>
      </w:divBdr>
    </w:div>
    <w:div w:id="416483934">
      <w:bodyDiv w:val="1"/>
      <w:marLeft w:val="0"/>
      <w:marRight w:val="0"/>
      <w:marTop w:val="0"/>
      <w:marBottom w:val="0"/>
      <w:divBdr>
        <w:top w:val="none" w:sz="0" w:space="0" w:color="auto"/>
        <w:left w:val="none" w:sz="0" w:space="0" w:color="auto"/>
        <w:bottom w:val="none" w:sz="0" w:space="0" w:color="auto"/>
        <w:right w:val="none" w:sz="0" w:space="0" w:color="auto"/>
      </w:divBdr>
    </w:div>
    <w:div w:id="421069200">
      <w:bodyDiv w:val="1"/>
      <w:marLeft w:val="0"/>
      <w:marRight w:val="0"/>
      <w:marTop w:val="0"/>
      <w:marBottom w:val="0"/>
      <w:divBdr>
        <w:top w:val="none" w:sz="0" w:space="0" w:color="auto"/>
        <w:left w:val="none" w:sz="0" w:space="0" w:color="auto"/>
        <w:bottom w:val="none" w:sz="0" w:space="0" w:color="auto"/>
        <w:right w:val="none" w:sz="0" w:space="0" w:color="auto"/>
      </w:divBdr>
    </w:div>
    <w:div w:id="424152726">
      <w:bodyDiv w:val="1"/>
      <w:marLeft w:val="0"/>
      <w:marRight w:val="0"/>
      <w:marTop w:val="0"/>
      <w:marBottom w:val="0"/>
      <w:divBdr>
        <w:top w:val="none" w:sz="0" w:space="0" w:color="auto"/>
        <w:left w:val="none" w:sz="0" w:space="0" w:color="auto"/>
        <w:bottom w:val="none" w:sz="0" w:space="0" w:color="auto"/>
        <w:right w:val="none" w:sz="0" w:space="0" w:color="auto"/>
      </w:divBdr>
    </w:div>
    <w:div w:id="458305402">
      <w:bodyDiv w:val="1"/>
      <w:marLeft w:val="0"/>
      <w:marRight w:val="0"/>
      <w:marTop w:val="0"/>
      <w:marBottom w:val="0"/>
      <w:divBdr>
        <w:top w:val="none" w:sz="0" w:space="0" w:color="auto"/>
        <w:left w:val="none" w:sz="0" w:space="0" w:color="auto"/>
        <w:bottom w:val="none" w:sz="0" w:space="0" w:color="auto"/>
        <w:right w:val="none" w:sz="0" w:space="0" w:color="auto"/>
      </w:divBdr>
    </w:div>
    <w:div w:id="464391304">
      <w:bodyDiv w:val="1"/>
      <w:marLeft w:val="0"/>
      <w:marRight w:val="0"/>
      <w:marTop w:val="0"/>
      <w:marBottom w:val="0"/>
      <w:divBdr>
        <w:top w:val="none" w:sz="0" w:space="0" w:color="auto"/>
        <w:left w:val="none" w:sz="0" w:space="0" w:color="auto"/>
        <w:bottom w:val="none" w:sz="0" w:space="0" w:color="auto"/>
        <w:right w:val="none" w:sz="0" w:space="0" w:color="auto"/>
      </w:divBdr>
    </w:div>
    <w:div w:id="479466906">
      <w:bodyDiv w:val="1"/>
      <w:marLeft w:val="0"/>
      <w:marRight w:val="0"/>
      <w:marTop w:val="0"/>
      <w:marBottom w:val="0"/>
      <w:divBdr>
        <w:top w:val="none" w:sz="0" w:space="0" w:color="auto"/>
        <w:left w:val="none" w:sz="0" w:space="0" w:color="auto"/>
        <w:bottom w:val="none" w:sz="0" w:space="0" w:color="auto"/>
        <w:right w:val="none" w:sz="0" w:space="0" w:color="auto"/>
      </w:divBdr>
    </w:div>
    <w:div w:id="479882414">
      <w:bodyDiv w:val="1"/>
      <w:marLeft w:val="0"/>
      <w:marRight w:val="0"/>
      <w:marTop w:val="0"/>
      <w:marBottom w:val="0"/>
      <w:divBdr>
        <w:top w:val="none" w:sz="0" w:space="0" w:color="auto"/>
        <w:left w:val="none" w:sz="0" w:space="0" w:color="auto"/>
        <w:bottom w:val="none" w:sz="0" w:space="0" w:color="auto"/>
        <w:right w:val="none" w:sz="0" w:space="0" w:color="auto"/>
      </w:divBdr>
    </w:div>
    <w:div w:id="495195286">
      <w:bodyDiv w:val="1"/>
      <w:marLeft w:val="0"/>
      <w:marRight w:val="0"/>
      <w:marTop w:val="0"/>
      <w:marBottom w:val="0"/>
      <w:divBdr>
        <w:top w:val="none" w:sz="0" w:space="0" w:color="auto"/>
        <w:left w:val="none" w:sz="0" w:space="0" w:color="auto"/>
        <w:bottom w:val="none" w:sz="0" w:space="0" w:color="auto"/>
        <w:right w:val="none" w:sz="0" w:space="0" w:color="auto"/>
      </w:divBdr>
    </w:div>
    <w:div w:id="504592967">
      <w:bodyDiv w:val="1"/>
      <w:marLeft w:val="0"/>
      <w:marRight w:val="0"/>
      <w:marTop w:val="0"/>
      <w:marBottom w:val="0"/>
      <w:divBdr>
        <w:top w:val="none" w:sz="0" w:space="0" w:color="auto"/>
        <w:left w:val="none" w:sz="0" w:space="0" w:color="auto"/>
        <w:bottom w:val="none" w:sz="0" w:space="0" w:color="auto"/>
        <w:right w:val="none" w:sz="0" w:space="0" w:color="auto"/>
      </w:divBdr>
    </w:div>
    <w:div w:id="525875995">
      <w:bodyDiv w:val="1"/>
      <w:marLeft w:val="0"/>
      <w:marRight w:val="0"/>
      <w:marTop w:val="0"/>
      <w:marBottom w:val="0"/>
      <w:divBdr>
        <w:top w:val="none" w:sz="0" w:space="0" w:color="auto"/>
        <w:left w:val="none" w:sz="0" w:space="0" w:color="auto"/>
        <w:bottom w:val="none" w:sz="0" w:space="0" w:color="auto"/>
        <w:right w:val="none" w:sz="0" w:space="0" w:color="auto"/>
      </w:divBdr>
      <w:divsChild>
        <w:div w:id="64188501">
          <w:marLeft w:val="0"/>
          <w:marRight w:val="0"/>
          <w:marTop w:val="0"/>
          <w:marBottom w:val="0"/>
          <w:divBdr>
            <w:top w:val="none" w:sz="0" w:space="0" w:color="auto"/>
            <w:left w:val="none" w:sz="0" w:space="0" w:color="auto"/>
            <w:bottom w:val="none" w:sz="0" w:space="0" w:color="auto"/>
            <w:right w:val="none" w:sz="0" w:space="0" w:color="auto"/>
          </w:divBdr>
          <w:divsChild>
            <w:div w:id="75323691">
              <w:marLeft w:val="0"/>
              <w:marRight w:val="0"/>
              <w:marTop w:val="0"/>
              <w:marBottom w:val="0"/>
              <w:divBdr>
                <w:top w:val="none" w:sz="0" w:space="0" w:color="auto"/>
                <w:left w:val="none" w:sz="0" w:space="0" w:color="auto"/>
                <w:bottom w:val="none" w:sz="0" w:space="0" w:color="auto"/>
                <w:right w:val="none" w:sz="0" w:space="0" w:color="auto"/>
              </w:divBdr>
              <w:divsChild>
                <w:div w:id="1299720862">
                  <w:marLeft w:val="0"/>
                  <w:marRight w:val="0"/>
                  <w:marTop w:val="0"/>
                  <w:marBottom w:val="0"/>
                  <w:divBdr>
                    <w:top w:val="none" w:sz="0" w:space="0" w:color="auto"/>
                    <w:left w:val="none" w:sz="0" w:space="0" w:color="auto"/>
                    <w:bottom w:val="none" w:sz="0" w:space="0" w:color="auto"/>
                    <w:right w:val="none" w:sz="0" w:space="0" w:color="auto"/>
                  </w:divBdr>
                </w:div>
              </w:divsChild>
            </w:div>
            <w:div w:id="683436623">
              <w:marLeft w:val="0"/>
              <w:marRight w:val="0"/>
              <w:marTop w:val="0"/>
              <w:marBottom w:val="0"/>
              <w:divBdr>
                <w:top w:val="none" w:sz="0" w:space="0" w:color="auto"/>
                <w:left w:val="none" w:sz="0" w:space="0" w:color="auto"/>
                <w:bottom w:val="none" w:sz="0" w:space="0" w:color="auto"/>
                <w:right w:val="none" w:sz="0" w:space="0" w:color="auto"/>
              </w:divBdr>
              <w:divsChild>
                <w:div w:id="1603225809">
                  <w:marLeft w:val="0"/>
                  <w:marRight w:val="0"/>
                  <w:marTop w:val="0"/>
                  <w:marBottom w:val="0"/>
                  <w:divBdr>
                    <w:top w:val="none" w:sz="0" w:space="0" w:color="auto"/>
                    <w:left w:val="none" w:sz="0" w:space="0" w:color="auto"/>
                    <w:bottom w:val="none" w:sz="0" w:space="0" w:color="auto"/>
                    <w:right w:val="none" w:sz="0" w:space="0" w:color="auto"/>
                  </w:divBdr>
                </w:div>
              </w:divsChild>
            </w:div>
            <w:div w:id="139539587">
              <w:marLeft w:val="0"/>
              <w:marRight w:val="0"/>
              <w:marTop w:val="0"/>
              <w:marBottom w:val="0"/>
              <w:divBdr>
                <w:top w:val="none" w:sz="0" w:space="0" w:color="auto"/>
                <w:left w:val="none" w:sz="0" w:space="0" w:color="auto"/>
                <w:bottom w:val="none" w:sz="0" w:space="0" w:color="auto"/>
                <w:right w:val="none" w:sz="0" w:space="0" w:color="auto"/>
              </w:divBdr>
              <w:divsChild>
                <w:div w:id="892931056">
                  <w:marLeft w:val="0"/>
                  <w:marRight w:val="0"/>
                  <w:marTop w:val="0"/>
                  <w:marBottom w:val="0"/>
                  <w:divBdr>
                    <w:top w:val="none" w:sz="0" w:space="0" w:color="auto"/>
                    <w:left w:val="none" w:sz="0" w:space="0" w:color="auto"/>
                    <w:bottom w:val="none" w:sz="0" w:space="0" w:color="auto"/>
                    <w:right w:val="none" w:sz="0" w:space="0" w:color="auto"/>
                  </w:divBdr>
                </w:div>
              </w:divsChild>
            </w:div>
            <w:div w:id="1826163903">
              <w:marLeft w:val="0"/>
              <w:marRight w:val="0"/>
              <w:marTop w:val="0"/>
              <w:marBottom w:val="0"/>
              <w:divBdr>
                <w:top w:val="none" w:sz="0" w:space="0" w:color="auto"/>
                <w:left w:val="none" w:sz="0" w:space="0" w:color="auto"/>
                <w:bottom w:val="none" w:sz="0" w:space="0" w:color="auto"/>
                <w:right w:val="none" w:sz="0" w:space="0" w:color="auto"/>
              </w:divBdr>
              <w:divsChild>
                <w:div w:id="325403822">
                  <w:marLeft w:val="0"/>
                  <w:marRight w:val="0"/>
                  <w:marTop w:val="0"/>
                  <w:marBottom w:val="0"/>
                  <w:divBdr>
                    <w:top w:val="none" w:sz="0" w:space="0" w:color="auto"/>
                    <w:left w:val="none" w:sz="0" w:space="0" w:color="auto"/>
                    <w:bottom w:val="none" w:sz="0" w:space="0" w:color="auto"/>
                    <w:right w:val="none" w:sz="0" w:space="0" w:color="auto"/>
                  </w:divBdr>
                </w:div>
              </w:divsChild>
            </w:div>
            <w:div w:id="725840083">
              <w:marLeft w:val="0"/>
              <w:marRight w:val="0"/>
              <w:marTop w:val="0"/>
              <w:marBottom w:val="0"/>
              <w:divBdr>
                <w:top w:val="none" w:sz="0" w:space="0" w:color="auto"/>
                <w:left w:val="none" w:sz="0" w:space="0" w:color="auto"/>
                <w:bottom w:val="none" w:sz="0" w:space="0" w:color="auto"/>
                <w:right w:val="none" w:sz="0" w:space="0" w:color="auto"/>
              </w:divBdr>
              <w:divsChild>
                <w:div w:id="1332755738">
                  <w:marLeft w:val="0"/>
                  <w:marRight w:val="0"/>
                  <w:marTop w:val="0"/>
                  <w:marBottom w:val="0"/>
                  <w:divBdr>
                    <w:top w:val="none" w:sz="0" w:space="0" w:color="auto"/>
                    <w:left w:val="none" w:sz="0" w:space="0" w:color="auto"/>
                    <w:bottom w:val="none" w:sz="0" w:space="0" w:color="auto"/>
                    <w:right w:val="none" w:sz="0" w:space="0" w:color="auto"/>
                  </w:divBdr>
                </w:div>
              </w:divsChild>
            </w:div>
            <w:div w:id="892690967">
              <w:marLeft w:val="0"/>
              <w:marRight w:val="0"/>
              <w:marTop w:val="0"/>
              <w:marBottom w:val="0"/>
              <w:divBdr>
                <w:top w:val="none" w:sz="0" w:space="0" w:color="auto"/>
                <w:left w:val="none" w:sz="0" w:space="0" w:color="auto"/>
                <w:bottom w:val="none" w:sz="0" w:space="0" w:color="auto"/>
                <w:right w:val="none" w:sz="0" w:space="0" w:color="auto"/>
              </w:divBdr>
              <w:divsChild>
                <w:div w:id="869876325">
                  <w:marLeft w:val="0"/>
                  <w:marRight w:val="0"/>
                  <w:marTop w:val="0"/>
                  <w:marBottom w:val="0"/>
                  <w:divBdr>
                    <w:top w:val="none" w:sz="0" w:space="0" w:color="auto"/>
                    <w:left w:val="none" w:sz="0" w:space="0" w:color="auto"/>
                    <w:bottom w:val="none" w:sz="0" w:space="0" w:color="auto"/>
                    <w:right w:val="none" w:sz="0" w:space="0" w:color="auto"/>
                  </w:divBdr>
                </w:div>
              </w:divsChild>
            </w:div>
            <w:div w:id="1192648103">
              <w:marLeft w:val="0"/>
              <w:marRight w:val="0"/>
              <w:marTop w:val="0"/>
              <w:marBottom w:val="0"/>
              <w:divBdr>
                <w:top w:val="none" w:sz="0" w:space="0" w:color="auto"/>
                <w:left w:val="none" w:sz="0" w:space="0" w:color="auto"/>
                <w:bottom w:val="none" w:sz="0" w:space="0" w:color="auto"/>
                <w:right w:val="none" w:sz="0" w:space="0" w:color="auto"/>
              </w:divBdr>
              <w:divsChild>
                <w:div w:id="965962641">
                  <w:marLeft w:val="0"/>
                  <w:marRight w:val="0"/>
                  <w:marTop w:val="0"/>
                  <w:marBottom w:val="0"/>
                  <w:divBdr>
                    <w:top w:val="none" w:sz="0" w:space="0" w:color="auto"/>
                    <w:left w:val="none" w:sz="0" w:space="0" w:color="auto"/>
                    <w:bottom w:val="none" w:sz="0" w:space="0" w:color="auto"/>
                    <w:right w:val="none" w:sz="0" w:space="0" w:color="auto"/>
                  </w:divBdr>
                </w:div>
              </w:divsChild>
            </w:div>
            <w:div w:id="880484495">
              <w:marLeft w:val="0"/>
              <w:marRight w:val="0"/>
              <w:marTop w:val="0"/>
              <w:marBottom w:val="0"/>
              <w:divBdr>
                <w:top w:val="none" w:sz="0" w:space="0" w:color="auto"/>
                <w:left w:val="none" w:sz="0" w:space="0" w:color="auto"/>
                <w:bottom w:val="none" w:sz="0" w:space="0" w:color="auto"/>
                <w:right w:val="none" w:sz="0" w:space="0" w:color="auto"/>
              </w:divBdr>
              <w:divsChild>
                <w:div w:id="28070999">
                  <w:marLeft w:val="0"/>
                  <w:marRight w:val="0"/>
                  <w:marTop w:val="0"/>
                  <w:marBottom w:val="0"/>
                  <w:divBdr>
                    <w:top w:val="none" w:sz="0" w:space="0" w:color="auto"/>
                    <w:left w:val="none" w:sz="0" w:space="0" w:color="auto"/>
                    <w:bottom w:val="none" w:sz="0" w:space="0" w:color="auto"/>
                    <w:right w:val="none" w:sz="0" w:space="0" w:color="auto"/>
                  </w:divBdr>
                </w:div>
              </w:divsChild>
            </w:div>
            <w:div w:id="777483489">
              <w:marLeft w:val="0"/>
              <w:marRight w:val="0"/>
              <w:marTop w:val="0"/>
              <w:marBottom w:val="0"/>
              <w:divBdr>
                <w:top w:val="none" w:sz="0" w:space="0" w:color="auto"/>
                <w:left w:val="none" w:sz="0" w:space="0" w:color="auto"/>
                <w:bottom w:val="none" w:sz="0" w:space="0" w:color="auto"/>
                <w:right w:val="none" w:sz="0" w:space="0" w:color="auto"/>
              </w:divBdr>
              <w:divsChild>
                <w:div w:id="818687714">
                  <w:marLeft w:val="0"/>
                  <w:marRight w:val="0"/>
                  <w:marTop w:val="0"/>
                  <w:marBottom w:val="0"/>
                  <w:divBdr>
                    <w:top w:val="none" w:sz="0" w:space="0" w:color="auto"/>
                    <w:left w:val="none" w:sz="0" w:space="0" w:color="auto"/>
                    <w:bottom w:val="none" w:sz="0" w:space="0" w:color="auto"/>
                    <w:right w:val="none" w:sz="0" w:space="0" w:color="auto"/>
                  </w:divBdr>
                </w:div>
              </w:divsChild>
            </w:div>
            <w:div w:id="403265787">
              <w:marLeft w:val="0"/>
              <w:marRight w:val="0"/>
              <w:marTop w:val="0"/>
              <w:marBottom w:val="0"/>
              <w:divBdr>
                <w:top w:val="none" w:sz="0" w:space="0" w:color="auto"/>
                <w:left w:val="none" w:sz="0" w:space="0" w:color="auto"/>
                <w:bottom w:val="none" w:sz="0" w:space="0" w:color="auto"/>
                <w:right w:val="none" w:sz="0" w:space="0" w:color="auto"/>
              </w:divBdr>
              <w:divsChild>
                <w:div w:id="51649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649149">
      <w:bodyDiv w:val="1"/>
      <w:marLeft w:val="0"/>
      <w:marRight w:val="0"/>
      <w:marTop w:val="0"/>
      <w:marBottom w:val="0"/>
      <w:divBdr>
        <w:top w:val="none" w:sz="0" w:space="0" w:color="auto"/>
        <w:left w:val="none" w:sz="0" w:space="0" w:color="auto"/>
        <w:bottom w:val="none" w:sz="0" w:space="0" w:color="auto"/>
        <w:right w:val="none" w:sz="0" w:space="0" w:color="auto"/>
      </w:divBdr>
      <w:divsChild>
        <w:div w:id="868568577">
          <w:marLeft w:val="0"/>
          <w:marRight w:val="0"/>
          <w:marTop w:val="0"/>
          <w:marBottom w:val="0"/>
          <w:divBdr>
            <w:top w:val="none" w:sz="0" w:space="0" w:color="auto"/>
            <w:left w:val="none" w:sz="0" w:space="0" w:color="auto"/>
            <w:bottom w:val="none" w:sz="0" w:space="0" w:color="auto"/>
            <w:right w:val="none" w:sz="0" w:space="0" w:color="auto"/>
          </w:divBdr>
          <w:divsChild>
            <w:div w:id="612785433">
              <w:marLeft w:val="0"/>
              <w:marRight w:val="0"/>
              <w:marTop w:val="0"/>
              <w:marBottom w:val="0"/>
              <w:divBdr>
                <w:top w:val="none" w:sz="0" w:space="0" w:color="auto"/>
                <w:left w:val="none" w:sz="0" w:space="0" w:color="auto"/>
                <w:bottom w:val="none" w:sz="0" w:space="0" w:color="auto"/>
                <w:right w:val="none" w:sz="0" w:space="0" w:color="auto"/>
              </w:divBdr>
              <w:divsChild>
                <w:div w:id="61841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474440">
      <w:bodyDiv w:val="1"/>
      <w:marLeft w:val="0"/>
      <w:marRight w:val="0"/>
      <w:marTop w:val="0"/>
      <w:marBottom w:val="0"/>
      <w:divBdr>
        <w:top w:val="none" w:sz="0" w:space="0" w:color="auto"/>
        <w:left w:val="none" w:sz="0" w:space="0" w:color="auto"/>
        <w:bottom w:val="none" w:sz="0" w:space="0" w:color="auto"/>
        <w:right w:val="none" w:sz="0" w:space="0" w:color="auto"/>
      </w:divBdr>
    </w:div>
    <w:div w:id="595212205">
      <w:bodyDiv w:val="1"/>
      <w:marLeft w:val="0"/>
      <w:marRight w:val="0"/>
      <w:marTop w:val="0"/>
      <w:marBottom w:val="0"/>
      <w:divBdr>
        <w:top w:val="none" w:sz="0" w:space="0" w:color="auto"/>
        <w:left w:val="none" w:sz="0" w:space="0" w:color="auto"/>
        <w:bottom w:val="none" w:sz="0" w:space="0" w:color="auto"/>
        <w:right w:val="none" w:sz="0" w:space="0" w:color="auto"/>
      </w:divBdr>
    </w:div>
    <w:div w:id="597105482">
      <w:bodyDiv w:val="1"/>
      <w:marLeft w:val="0"/>
      <w:marRight w:val="0"/>
      <w:marTop w:val="0"/>
      <w:marBottom w:val="0"/>
      <w:divBdr>
        <w:top w:val="none" w:sz="0" w:space="0" w:color="auto"/>
        <w:left w:val="none" w:sz="0" w:space="0" w:color="auto"/>
        <w:bottom w:val="none" w:sz="0" w:space="0" w:color="auto"/>
        <w:right w:val="none" w:sz="0" w:space="0" w:color="auto"/>
      </w:divBdr>
    </w:div>
    <w:div w:id="605161455">
      <w:bodyDiv w:val="1"/>
      <w:marLeft w:val="0"/>
      <w:marRight w:val="0"/>
      <w:marTop w:val="0"/>
      <w:marBottom w:val="0"/>
      <w:divBdr>
        <w:top w:val="none" w:sz="0" w:space="0" w:color="auto"/>
        <w:left w:val="none" w:sz="0" w:space="0" w:color="auto"/>
        <w:bottom w:val="none" w:sz="0" w:space="0" w:color="auto"/>
        <w:right w:val="none" w:sz="0" w:space="0" w:color="auto"/>
      </w:divBdr>
    </w:div>
    <w:div w:id="618340973">
      <w:bodyDiv w:val="1"/>
      <w:marLeft w:val="0"/>
      <w:marRight w:val="0"/>
      <w:marTop w:val="0"/>
      <w:marBottom w:val="0"/>
      <w:divBdr>
        <w:top w:val="none" w:sz="0" w:space="0" w:color="auto"/>
        <w:left w:val="none" w:sz="0" w:space="0" w:color="auto"/>
        <w:bottom w:val="none" w:sz="0" w:space="0" w:color="auto"/>
        <w:right w:val="none" w:sz="0" w:space="0" w:color="auto"/>
      </w:divBdr>
    </w:div>
    <w:div w:id="637488960">
      <w:bodyDiv w:val="1"/>
      <w:marLeft w:val="0"/>
      <w:marRight w:val="0"/>
      <w:marTop w:val="0"/>
      <w:marBottom w:val="0"/>
      <w:divBdr>
        <w:top w:val="none" w:sz="0" w:space="0" w:color="auto"/>
        <w:left w:val="none" w:sz="0" w:space="0" w:color="auto"/>
        <w:bottom w:val="none" w:sz="0" w:space="0" w:color="auto"/>
        <w:right w:val="none" w:sz="0" w:space="0" w:color="auto"/>
      </w:divBdr>
      <w:divsChild>
        <w:div w:id="1699961967">
          <w:marLeft w:val="0"/>
          <w:marRight w:val="0"/>
          <w:marTop w:val="75"/>
          <w:marBottom w:val="0"/>
          <w:divBdr>
            <w:top w:val="none" w:sz="0" w:space="0" w:color="auto"/>
            <w:left w:val="none" w:sz="0" w:space="0" w:color="auto"/>
            <w:bottom w:val="none" w:sz="0" w:space="0" w:color="auto"/>
            <w:right w:val="none" w:sz="0" w:space="0" w:color="auto"/>
          </w:divBdr>
        </w:div>
      </w:divsChild>
    </w:div>
    <w:div w:id="662245544">
      <w:bodyDiv w:val="1"/>
      <w:marLeft w:val="0"/>
      <w:marRight w:val="0"/>
      <w:marTop w:val="0"/>
      <w:marBottom w:val="0"/>
      <w:divBdr>
        <w:top w:val="none" w:sz="0" w:space="0" w:color="auto"/>
        <w:left w:val="none" w:sz="0" w:space="0" w:color="auto"/>
        <w:bottom w:val="none" w:sz="0" w:space="0" w:color="auto"/>
        <w:right w:val="none" w:sz="0" w:space="0" w:color="auto"/>
      </w:divBdr>
      <w:divsChild>
        <w:div w:id="1107693747">
          <w:marLeft w:val="0"/>
          <w:marRight w:val="0"/>
          <w:marTop w:val="0"/>
          <w:marBottom w:val="0"/>
          <w:divBdr>
            <w:top w:val="none" w:sz="0" w:space="0" w:color="auto"/>
            <w:left w:val="none" w:sz="0" w:space="0" w:color="auto"/>
            <w:bottom w:val="none" w:sz="0" w:space="0" w:color="auto"/>
            <w:right w:val="none" w:sz="0" w:space="0" w:color="auto"/>
          </w:divBdr>
          <w:divsChild>
            <w:div w:id="1446652639">
              <w:marLeft w:val="0"/>
              <w:marRight w:val="0"/>
              <w:marTop w:val="0"/>
              <w:marBottom w:val="0"/>
              <w:divBdr>
                <w:top w:val="none" w:sz="0" w:space="0" w:color="auto"/>
                <w:left w:val="none" w:sz="0" w:space="0" w:color="auto"/>
                <w:bottom w:val="none" w:sz="0" w:space="0" w:color="auto"/>
                <w:right w:val="none" w:sz="0" w:space="0" w:color="auto"/>
              </w:divBdr>
              <w:divsChild>
                <w:div w:id="53477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509385">
      <w:bodyDiv w:val="1"/>
      <w:marLeft w:val="0"/>
      <w:marRight w:val="0"/>
      <w:marTop w:val="0"/>
      <w:marBottom w:val="0"/>
      <w:divBdr>
        <w:top w:val="none" w:sz="0" w:space="0" w:color="auto"/>
        <w:left w:val="none" w:sz="0" w:space="0" w:color="auto"/>
        <w:bottom w:val="none" w:sz="0" w:space="0" w:color="auto"/>
        <w:right w:val="none" w:sz="0" w:space="0" w:color="auto"/>
      </w:divBdr>
      <w:divsChild>
        <w:div w:id="1128596308">
          <w:marLeft w:val="0"/>
          <w:marRight w:val="0"/>
          <w:marTop w:val="0"/>
          <w:marBottom w:val="0"/>
          <w:divBdr>
            <w:top w:val="none" w:sz="0" w:space="0" w:color="auto"/>
            <w:left w:val="none" w:sz="0" w:space="0" w:color="auto"/>
            <w:bottom w:val="none" w:sz="0" w:space="0" w:color="auto"/>
            <w:right w:val="none" w:sz="0" w:space="0" w:color="auto"/>
          </w:divBdr>
          <w:divsChild>
            <w:div w:id="501549522">
              <w:marLeft w:val="0"/>
              <w:marRight w:val="0"/>
              <w:marTop w:val="0"/>
              <w:marBottom w:val="0"/>
              <w:divBdr>
                <w:top w:val="none" w:sz="0" w:space="0" w:color="auto"/>
                <w:left w:val="none" w:sz="0" w:space="0" w:color="auto"/>
                <w:bottom w:val="none" w:sz="0" w:space="0" w:color="auto"/>
                <w:right w:val="none" w:sz="0" w:space="0" w:color="auto"/>
              </w:divBdr>
              <w:divsChild>
                <w:div w:id="104687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446538">
      <w:bodyDiv w:val="1"/>
      <w:marLeft w:val="0"/>
      <w:marRight w:val="0"/>
      <w:marTop w:val="0"/>
      <w:marBottom w:val="0"/>
      <w:divBdr>
        <w:top w:val="none" w:sz="0" w:space="0" w:color="auto"/>
        <w:left w:val="none" w:sz="0" w:space="0" w:color="auto"/>
        <w:bottom w:val="none" w:sz="0" w:space="0" w:color="auto"/>
        <w:right w:val="none" w:sz="0" w:space="0" w:color="auto"/>
      </w:divBdr>
    </w:div>
    <w:div w:id="675616198">
      <w:bodyDiv w:val="1"/>
      <w:marLeft w:val="0"/>
      <w:marRight w:val="0"/>
      <w:marTop w:val="0"/>
      <w:marBottom w:val="0"/>
      <w:divBdr>
        <w:top w:val="none" w:sz="0" w:space="0" w:color="auto"/>
        <w:left w:val="none" w:sz="0" w:space="0" w:color="auto"/>
        <w:bottom w:val="none" w:sz="0" w:space="0" w:color="auto"/>
        <w:right w:val="none" w:sz="0" w:space="0" w:color="auto"/>
      </w:divBdr>
    </w:div>
    <w:div w:id="676468150">
      <w:bodyDiv w:val="1"/>
      <w:marLeft w:val="0"/>
      <w:marRight w:val="0"/>
      <w:marTop w:val="0"/>
      <w:marBottom w:val="0"/>
      <w:divBdr>
        <w:top w:val="none" w:sz="0" w:space="0" w:color="auto"/>
        <w:left w:val="none" w:sz="0" w:space="0" w:color="auto"/>
        <w:bottom w:val="none" w:sz="0" w:space="0" w:color="auto"/>
        <w:right w:val="none" w:sz="0" w:space="0" w:color="auto"/>
      </w:divBdr>
    </w:div>
    <w:div w:id="684598006">
      <w:bodyDiv w:val="1"/>
      <w:marLeft w:val="0"/>
      <w:marRight w:val="0"/>
      <w:marTop w:val="0"/>
      <w:marBottom w:val="0"/>
      <w:divBdr>
        <w:top w:val="none" w:sz="0" w:space="0" w:color="auto"/>
        <w:left w:val="none" w:sz="0" w:space="0" w:color="auto"/>
        <w:bottom w:val="none" w:sz="0" w:space="0" w:color="auto"/>
        <w:right w:val="none" w:sz="0" w:space="0" w:color="auto"/>
      </w:divBdr>
    </w:div>
    <w:div w:id="703097892">
      <w:bodyDiv w:val="1"/>
      <w:marLeft w:val="0"/>
      <w:marRight w:val="0"/>
      <w:marTop w:val="0"/>
      <w:marBottom w:val="0"/>
      <w:divBdr>
        <w:top w:val="none" w:sz="0" w:space="0" w:color="auto"/>
        <w:left w:val="none" w:sz="0" w:space="0" w:color="auto"/>
        <w:bottom w:val="none" w:sz="0" w:space="0" w:color="auto"/>
        <w:right w:val="none" w:sz="0" w:space="0" w:color="auto"/>
      </w:divBdr>
    </w:div>
    <w:div w:id="705373872">
      <w:bodyDiv w:val="1"/>
      <w:marLeft w:val="0"/>
      <w:marRight w:val="0"/>
      <w:marTop w:val="0"/>
      <w:marBottom w:val="0"/>
      <w:divBdr>
        <w:top w:val="none" w:sz="0" w:space="0" w:color="auto"/>
        <w:left w:val="none" w:sz="0" w:space="0" w:color="auto"/>
        <w:bottom w:val="none" w:sz="0" w:space="0" w:color="auto"/>
        <w:right w:val="none" w:sz="0" w:space="0" w:color="auto"/>
      </w:divBdr>
      <w:divsChild>
        <w:div w:id="692540261">
          <w:marLeft w:val="0"/>
          <w:marRight w:val="0"/>
          <w:marTop w:val="0"/>
          <w:marBottom w:val="0"/>
          <w:divBdr>
            <w:top w:val="none" w:sz="0" w:space="0" w:color="auto"/>
            <w:left w:val="none" w:sz="0" w:space="0" w:color="auto"/>
            <w:bottom w:val="none" w:sz="0" w:space="0" w:color="auto"/>
            <w:right w:val="none" w:sz="0" w:space="0" w:color="auto"/>
          </w:divBdr>
        </w:div>
        <w:div w:id="1737318072">
          <w:marLeft w:val="0"/>
          <w:marRight w:val="0"/>
          <w:marTop w:val="0"/>
          <w:marBottom w:val="0"/>
          <w:divBdr>
            <w:top w:val="none" w:sz="0" w:space="0" w:color="auto"/>
            <w:left w:val="none" w:sz="0" w:space="0" w:color="auto"/>
            <w:bottom w:val="none" w:sz="0" w:space="0" w:color="auto"/>
            <w:right w:val="none" w:sz="0" w:space="0" w:color="auto"/>
          </w:divBdr>
        </w:div>
        <w:div w:id="1570076531">
          <w:marLeft w:val="0"/>
          <w:marRight w:val="0"/>
          <w:marTop w:val="0"/>
          <w:marBottom w:val="0"/>
          <w:divBdr>
            <w:top w:val="none" w:sz="0" w:space="0" w:color="auto"/>
            <w:left w:val="none" w:sz="0" w:space="0" w:color="auto"/>
            <w:bottom w:val="none" w:sz="0" w:space="0" w:color="auto"/>
            <w:right w:val="none" w:sz="0" w:space="0" w:color="auto"/>
          </w:divBdr>
        </w:div>
        <w:div w:id="410390540">
          <w:marLeft w:val="0"/>
          <w:marRight w:val="0"/>
          <w:marTop w:val="0"/>
          <w:marBottom w:val="0"/>
          <w:divBdr>
            <w:top w:val="none" w:sz="0" w:space="0" w:color="auto"/>
            <w:left w:val="none" w:sz="0" w:space="0" w:color="auto"/>
            <w:bottom w:val="none" w:sz="0" w:space="0" w:color="auto"/>
            <w:right w:val="none" w:sz="0" w:space="0" w:color="auto"/>
          </w:divBdr>
        </w:div>
        <w:div w:id="841310408">
          <w:marLeft w:val="0"/>
          <w:marRight w:val="0"/>
          <w:marTop w:val="0"/>
          <w:marBottom w:val="0"/>
          <w:divBdr>
            <w:top w:val="none" w:sz="0" w:space="0" w:color="auto"/>
            <w:left w:val="none" w:sz="0" w:space="0" w:color="auto"/>
            <w:bottom w:val="none" w:sz="0" w:space="0" w:color="auto"/>
            <w:right w:val="none" w:sz="0" w:space="0" w:color="auto"/>
          </w:divBdr>
        </w:div>
        <w:div w:id="209921518">
          <w:marLeft w:val="0"/>
          <w:marRight w:val="0"/>
          <w:marTop w:val="0"/>
          <w:marBottom w:val="0"/>
          <w:divBdr>
            <w:top w:val="none" w:sz="0" w:space="0" w:color="auto"/>
            <w:left w:val="none" w:sz="0" w:space="0" w:color="auto"/>
            <w:bottom w:val="none" w:sz="0" w:space="0" w:color="auto"/>
            <w:right w:val="none" w:sz="0" w:space="0" w:color="auto"/>
          </w:divBdr>
        </w:div>
        <w:div w:id="798498561">
          <w:marLeft w:val="0"/>
          <w:marRight w:val="0"/>
          <w:marTop w:val="0"/>
          <w:marBottom w:val="0"/>
          <w:divBdr>
            <w:top w:val="none" w:sz="0" w:space="0" w:color="auto"/>
            <w:left w:val="none" w:sz="0" w:space="0" w:color="auto"/>
            <w:bottom w:val="none" w:sz="0" w:space="0" w:color="auto"/>
            <w:right w:val="none" w:sz="0" w:space="0" w:color="auto"/>
          </w:divBdr>
        </w:div>
        <w:div w:id="137039358">
          <w:marLeft w:val="0"/>
          <w:marRight w:val="0"/>
          <w:marTop w:val="0"/>
          <w:marBottom w:val="0"/>
          <w:divBdr>
            <w:top w:val="none" w:sz="0" w:space="0" w:color="auto"/>
            <w:left w:val="none" w:sz="0" w:space="0" w:color="auto"/>
            <w:bottom w:val="none" w:sz="0" w:space="0" w:color="auto"/>
            <w:right w:val="none" w:sz="0" w:space="0" w:color="auto"/>
          </w:divBdr>
        </w:div>
        <w:div w:id="1147236649">
          <w:marLeft w:val="0"/>
          <w:marRight w:val="0"/>
          <w:marTop w:val="0"/>
          <w:marBottom w:val="0"/>
          <w:divBdr>
            <w:top w:val="none" w:sz="0" w:space="0" w:color="auto"/>
            <w:left w:val="none" w:sz="0" w:space="0" w:color="auto"/>
            <w:bottom w:val="none" w:sz="0" w:space="0" w:color="auto"/>
            <w:right w:val="none" w:sz="0" w:space="0" w:color="auto"/>
          </w:divBdr>
        </w:div>
        <w:div w:id="1811241354">
          <w:marLeft w:val="0"/>
          <w:marRight w:val="0"/>
          <w:marTop w:val="0"/>
          <w:marBottom w:val="0"/>
          <w:divBdr>
            <w:top w:val="none" w:sz="0" w:space="0" w:color="auto"/>
            <w:left w:val="none" w:sz="0" w:space="0" w:color="auto"/>
            <w:bottom w:val="none" w:sz="0" w:space="0" w:color="auto"/>
            <w:right w:val="none" w:sz="0" w:space="0" w:color="auto"/>
          </w:divBdr>
        </w:div>
        <w:div w:id="499733251">
          <w:marLeft w:val="0"/>
          <w:marRight w:val="0"/>
          <w:marTop w:val="0"/>
          <w:marBottom w:val="0"/>
          <w:divBdr>
            <w:top w:val="none" w:sz="0" w:space="0" w:color="auto"/>
            <w:left w:val="none" w:sz="0" w:space="0" w:color="auto"/>
            <w:bottom w:val="none" w:sz="0" w:space="0" w:color="auto"/>
            <w:right w:val="none" w:sz="0" w:space="0" w:color="auto"/>
          </w:divBdr>
        </w:div>
        <w:div w:id="1179274541">
          <w:marLeft w:val="0"/>
          <w:marRight w:val="0"/>
          <w:marTop w:val="0"/>
          <w:marBottom w:val="0"/>
          <w:divBdr>
            <w:top w:val="none" w:sz="0" w:space="0" w:color="auto"/>
            <w:left w:val="none" w:sz="0" w:space="0" w:color="auto"/>
            <w:bottom w:val="none" w:sz="0" w:space="0" w:color="auto"/>
            <w:right w:val="none" w:sz="0" w:space="0" w:color="auto"/>
          </w:divBdr>
        </w:div>
        <w:div w:id="1194424303">
          <w:marLeft w:val="0"/>
          <w:marRight w:val="0"/>
          <w:marTop w:val="0"/>
          <w:marBottom w:val="0"/>
          <w:divBdr>
            <w:top w:val="none" w:sz="0" w:space="0" w:color="auto"/>
            <w:left w:val="none" w:sz="0" w:space="0" w:color="auto"/>
            <w:bottom w:val="none" w:sz="0" w:space="0" w:color="auto"/>
            <w:right w:val="none" w:sz="0" w:space="0" w:color="auto"/>
          </w:divBdr>
        </w:div>
        <w:div w:id="1218663060">
          <w:marLeft w:val="0"/>
          <w:marRight w:val="0"/>
          <w:marTop w:val="0"/>
          <w:marBottom w:val="0"/>
          <w:divBdr>
            <w:top w:val="none" w:sz="0" w:space="0" w:color="auto"/>
            <w:left w:val="none" w:sz="0" w:space="0" w:color="auto"/>
            <w:bottom w:val="none" w:sz="0" w:space="0" w:color="auto"/>
            <w:right w:val="none" w:sz="0" w:space="0" w:color="auto"/>
          </w:divBdr>
        </w:div>
        <w:div w:id="342632226">
          <w:marLeft w:val="0"/>
          <w:marRight w:val="0"/>
          <w:marTop w:val="0"/>
          <w:marBottom w:val="0"/>
          <w:divBdr>
            <w:top w:val="none" w:sz="0" w:space="0" w:color="auto"/>
            <w:left w:val="none" w:sz="0" w:space="0" w:color="auto"/>
            <w:bottom w:val="none" w:sz="0" w:space="0" w:color="auto"/>
            <w:right w:val="none" w:sz="0" w:space="0" w:color="auto"/>
          </w:divBdr>
        </w:div>
      </w:divsChild>
    </w:div>
    <w:div w:id="714888114">
      <w:bodyDiv w:val="1"/>
      <w:marLeft w:val="0"/>
      <w:marRight w:val="0"/>
      <w:marTop w:val="0"/>
      <w:marBottom w:val="0"/>
      <w:divBdr>
        <w:top w:val="none" w:sz="0" w:space="0" w:color="auto"/>
        <w:left w:val="none" w:sz="0" w:space="0" w:color="auto"/>
        <w:bottom w:val="none" w:sz="0" w:space="0" w:color="auto"/>
        <w:right w:val="none" w:sz="0" w:space="0" w:color="auto"/>
      </w:divBdr>
    </w:div>
    <w:div w:id="724791400">
      <w:bodyDiv w:val="1"/>
      <w:marLeft w:val="0"/>
      <w:marRight w:val="0"/>
      <w:marTop w:val="0"/>
      <w:marBottom w:val="0"/>
      <w:divBdr>
        <w:top w:val="none" w:sz="0" w:space="0" w:color="auto"/>
        <w:left w:val="none" w:sz="0" w:space="0" w:color="auto"/>
        <w:bottom w:val="none" w:sz="0" w:space="0" w:color="auto"/>
        <w:right w:val="none" w:sz="0" w:space="0" w:color="auto"/>
      </w:divBdr>
    </w:div>
    <w:div w:id="728964215">
      <w:bodyDiv w:val="1"/>
      <w:marLeft w:val="0"/>
      <w:marRight w:val="0"/>
      <w:marTop w:val="0"/>
      <w:marBottom w:val="0"/>
      <w:divBdr>
        <w:top w:val="none" w:sz="0" w:space="0" w:color="auto"/>
        <w:left w:val="none" w:sz="0" w:space="0" w:color="auto"/>
        <w:bottom w:val="none" w:sz="0" w:space="0" w:color="auto"/>
        <w:right w:val="none" w:sz="0" w:space="0" w:color="auto"/>
      </w:divBdr>
    </w:div>
    <w:div w:id="739131766">
      <w:bodyDiv w:val="1"/>
      <w:marLeft w:val="0"/>
      <w:marRight w:val="0"/>
      <w:marTop w:val="0"/>
      <w:marBottom w:val="0"/>
      <w:divBdr>
        <w:top w:val="none" w:sz="0" w:space="0" w:color="auto"/>
        <w:left w:val="none" w:sz="0" w:space="0" w:color="auto"/>
        <w:bottom w:val="none" w:sz="0" w:space="0" w:color="auto"/>
        <w:right w:val="none" w:sz="0" w:space="0" w:color="auto"/>
      </w:divBdr>
    </w:div>
    <w:div w:id="752044299">
      <w:bodyDiv w:val="1"/>
      <w:marLeft w:val="0"/>
      <w:marRight w:val="0"/>
      <w:marTop w:val="0"/>
      <w:marBottom w:val="0"/>
      <w:divBdr>
        <w:top w:val="none" w:sz="0" w:space="0" w:color="auto"/>
        <w:left w:val="none" w:sz="0" w:space="0" w:color="auto"/>
        <w:bottom w:val="none" w:sz="0" w:space="0" w:color="auto"/>
        <w:right w:val="none" w:sz="0" w:space="0" w:color="auto"/>
      </w:divBdr>
    </w:div>
    <w:div w:id="754668120">
      <w:bodyDiv w:val="1"/>
      <w:marLeft w:val="0"/>
      <w:marRight w:val="0"/>
      <w:marTop w:val="0"/>
      <w:marBottom w:val="0"/>
      <w:divBdr>
        <w:top w:val="none" w:sz="0" w:space="0" w:color="auto"/>
        <w:left w:val="none" w:sz="0" w:space="0" w:color="auto"/>
        <w:bottom w:val="none" w:sz="0" w:space="0" w:color="auto"/>
        <w:right w:val="none" w:sz="0" w:space="0" w:color="auto"/>
      </w:divBdr>
      <w:divsChild>
        <w:div w:id="153302152">
          <w:marLeft w:val="446"/>
          <w:marRight w:val="0"/>
          <w:marTop w:val="0"/>
          <w:marBottom w:val="0"/>
          <w:divBdr>
            <w:top w:val="none" w:sz="0" w:space="0" w:color="auto"/>
            <w:left w:val="none" w:sz="0" w:space="0" w:color="auto"/>
            <w:bottom w:val="none" w:sz="0" w:space="0" w:color="auto"/>
            <w:right w:val="none" w:sz="0" w:space="0" w:color="auto"/>
          </w:divBdr>
        </w:div>
        <w:div w:id="992097482">
          <w:marLeft w:val="446"/>
          <w:marRight w:val="0"/>
          <w:marTop w:val="0"/>
          <w:marBottom w:val="0"/>
          <w:divBdr>
            <w:top w:val="none" w:sz="0" w:space="0" w:color="auto"/>
            <w:left w:val="none" w:sz="0" w:space="0" w:color="auto"/>
            <w:bottom w:val="none" w:sz="0" w:space="0" w:color="auto"/>
            <w:right w:val="none" w:sz="0" w:space="0" w:color="auto"/>
          </w:divBdr>
        </w:div>
        <w:div w:id="1404330549">
          <w:marLeft w:val="1166"/>
          <w:marRight w:val="0"/>
          <w:marTop w:val="0"/>
          <w:marBottom w:val="0"/>
          <w:divBdr>
            <w:top w:val="none" w:sz="0" w:space="0" w:color="auto"/>
            <w:left w:val="none" w:sz="0" w:space="0" w:color="auto"/>
            <w:bottom w:val="none" w:sz="0" w:space="0" w:color="auto"/>
            <w:right w:val="none" w:sz="0" w:space="0" w:color="auto"/>
          </w:divBdr>
        </w:div>
      </w:divsChild>
    </w:div>
    <w:div w:id="768815662">
      <w:bodyDiv w:val="1"/>
      <w:marLeft w:val="0"/>
      <w:marRight w:val="0"/>
      <w:marTop w:val="0"/>
      <w:marBottom w:val="0"/>
      <w:divBdr>
        <w:top w:val="none" w:sz="0" w:space="0" w:color="auto"/>
        <w:left w:val="none" w:sz="0" w:space="0" w:color="auto"/>
        <w:bottom w:val="none" w:sz="0" w:space="0" w:color="auto"/>
        <w:right w:val="none" w:sz="0" w:space="0" w:color="auto"/>
      </w:divBdr>
      <w:divsChild>
        <w:div w:id="691148194">
          <w:marLeft w:val="0"/>
          <w:marRight w:val="0"/>
          <w:marTop w:val="0"/>
          <w:marBottom w:val="0"/>
          <w:divBdr>
            <w:top w:val="none" w:sz="0" w:space="0" w:color="auto"/>
            <w:left w:val="none" w:sz="0" w:space="0" w:color="auto"/>
            <w:bottom w:val="none" w:sz="0" w:space="0" w:color="auto"/>
            <w:right w:val="none" w:sz="0" w:space="0" w:color="auto"/>
          </w:divBdr>
        </w:div>
        <w:div w:id="1720325970">
          <w:marLeft w:val="0"/>
          <w:marRight w:val="0"/>
          <w:marTop w:val="0"/>
          <w:marBottom w:val="0"/>
          <w:divBdr>
            <w:top w:val="none" w:sz="0" w:space="0" w:color="auto"/>
            <w:left w:val="none" w:sz="0" w:space="0" w:color="auto"/>
            <w:bottom w:val="none" w:sz="0" w:space="0" w:color="auto"/>
            <w:right w:val="none" w:sz="0" w:space="0" w:color="auto"/>
          </w:divBdr>
        </w:div>
        <w:div w:id="703821816">
          <w:marLeft w:val="0"/>
          <w:marRight w:val="0"/>
          <w:marTop w:val="0"/>
          <w:marBottom w:val="0"/>
          <w:divBdr>
            <w:top w:val="none" w:sz="0" w:space="0" w:color="auto"/>
            <w:left w:val="none" w:sz="0" w:space="0" w:color="auto"/>
            <w:bottom w:val="none" w:sz="0" w:space="0" w:color="auto"/>
            <w:right w:val="none" w:sz="0" w:space="0" w:color="auto"/>
          </w:divBdr>
        </w:div>
        <w:div w:id="309360362">
          <w:marLeft w:val="0"/>
          <w:marRight w:val="0"/>
          <w:marTop w:val="0"/>
          <w:marBottom w:val="0"/>
          <w:divBdr>
            <w:top w:val="none" w:sz="0" w:space="0" w:color="auto"/>
            <w:left w:val="none" w:sz="0" w:space="0" w:color="auto"/>
            <w:bottom w:val="none" w:sz="0" w:space="0" w:color="auto"/>
            <w:right w:val="none" w:sz="0" w:space="0" w:color="auto"/>
          </w:divBdr>
        </w:div>
        <w:div w:id="242297783">
          <w:marLeft w:val="0"/>
          <w:marRight w:val="0"/>
          <w:marTop w:val="0"/>
          <w:marBottom w:val="0"/>
          <w:divBdr>
            <w:top w:val="none" w:sz="0" w:space="0" w:color="auto"/>
            <w:left w:val="none" w:sz="0" w:space="0" w:color="auto"/>
            <w:bottom w:val="none" w:sz="0" w:space="0" w:color="auto"/>
            <w:right w:val="none" w:sz="0" w:space="0" w:color="auto"/>
          </w:divBdr>
        </w:div>
        <w:div w:id="259485057">
          <w:marLeft w:val="0"/>
          <w:marRight w:val="0"/>
          <w:marTop w:val="0"/>
          <w:marBottom w:val="0"/>
          <w:divBdr>
            <w:top w:val="none" w:sz="0" w:space="0" w:color="auto"/>
            <w:left w:val="none" w:sz="0" w:space="0" w:color="auto"/>
            <w:bottom w:val="none" w:sz="0" w:space="0" w:color="auto"/>
            <w:right w:val="none" w:sz="0" w:space="0" w:color="auto"/>
          </w:divBdr>
        </w:div>
        <w:div w:id="651643607">
          <w:marLeft w:val="0"/>
          <w:marRight w:val="0"/>
          <w:marTop w:val="0"/>
          <w:marBottom w:val="0"/>
          <w:divBdr>
            <w:top w:val="none" w:sz="0" w:space="0" w:color="auto"/>
            <w:left w:val="none" w:sz="0" w:space="0" w:color="auto"/>
            <w:bottom w:val="none" w:sz="0" w:space="0" w:color="auto"/>
            <w:right w:val="none" w:sz="0" w:space="0" w:color="auto"/>
          </w:divBdr>
        </w:div>
        <w:div w:id="1060665352">
          <w:marLeft w:val="0"/>
          <w:marRight w:val="0"/>
          <w:marTop w:val="0"/>
          <w:marBottom w:val="0"/>
          <w:divBdr>
            <w:top w:val="none" w:sz="0" w:space="0" w:color="auto"/>
            <w:left w:val="none" w:sz="0" w:space="0" w:color="auto"/>
            <w:bottom w:val="none" w:sz="0" w:space="0" w:color="auto"/>
            <w:right w:val="none" w:sz="0" w:space="0" w:color="auto"/>
          </w:divBdr>
        </w:div>
        <w:div w:id="2096899487">
          <w:marLeft w:val="0"/>
          <w:marRight w:val="0"/>
          <w:marTop w:val="0"/>
          <w:marBottom w:val="0"/>
          <w:divBdr>
            <w:top w:val="none" w:sz="0" w:space="0" w:color="auto"/>
            <w:left w:val="none" w:sz="0" w:space="0" w:color="auto"/>
            <w:bottom w:val="none" w:sz="0" w:space="0" w:color="auto"/>
            <w:right w:val="none" w:sz="0" w:space="0" w:color="auto"/>
          </w:divBdr>
        </w:div>
        <w:div w:id="1665283595">
          <w:marLeft w:val="0"/>
          <w:marRight w:val="0"/>
          <w:marTop w:val="0"/>
          <w:marBottom w:val="0"/>
          <w:divBdr>
            <w:top w:val="none" w:sz="0" w:space="0" w:color="auto"/>
            <w:left w:val="none" w:sz="0" w:space="0" w:color="auto"/>
            <w:bottom w:val="none" w:sz="0" w:space="0" w:color="auto"/>
            <w:right w:val="none" w:sz="0" w:space="0" w:color="auto"/>
          </w:divBdr>
        </w:div>
        <w:div w:id="1533378114">
          <w:marLeft w:val="0"/>
          <w:marRight w:val="0"/>
          <w:marTop w:val="0"/>
          <w:marBottom w:val="0"/>
          <w:divBdr>
            <w:top w:val="none" w:sz="0" w:space="0" w:color="auto"/>
            <w:left w:val="none" w:sz="0" w:space="0" w:color="auto"/>
            <w:bottom w:val="none" w:sz="0" w:space="0" w:color="auto"/>
            <w:right w:val="none" w:sz="0" w:space="0" w:color="auto"/>
          </w:divBdr>
        </w:div>
        <w:div w:id="1441680712">
          <w:marLeft w:val="0"/>
          <w:marRight w:val="0"/>
          <w:marTop w:val="0"/>
          <w:marBottom w:val="0"/>
          <w:divBdr>
            <w:top w:val="none" w:sz="0" w:space="0" w:color="auto"/>
            <w:left w:val="none" w:sz="0" w:space="0" w:color="auto"/>
            <w:bottom w:val="none" w:sz="0" w:space="0" w:color="auto"/>
            <w:right w:val="none" w:sz="0" w:space="0" w:color="auto"/>
          </w:divBdr>
        </w:div>
        <w:div w:id="1893929822">
          <w:marLeft w:val="0"/>
          <w:marRight w:val="0"/>
          <w:marTop w:val="0"/>
          <w:marBottom w:val="0"/>
          <w:divBdr>
            <w:top w:val="none" w:sz="0" w:space="0" w:color="auto"/>
            <w:left w:val="none" w:sz="0" w:space="0" w:color="auto"/>
            <w:bottom w:val="none" w:sz="0" w:space="0" w:color="auto"/>
            <w:right w:val="none" w:sz="0" w:space="0" w:color="auto"/>
          </w:divBdr>
        </w:div>
        <w:div w:id="390270581">
          <w:marLeft w:val="0"/>
          <w:marRight w:val="0"/>
          <w:marTop w:val="0"/>
          <w:marBottom w:val="0"/>
          <w:divBdr>
            <w:top w:val="none" w:sz="0" w:space="0" w:color="auto"/>
            <w:left w:val="none" w:sz="0" w:space="0" w:color="auto"/>
            <w:bottom w:val="none" w:sz="0" w:space="0" w:color="auto"/>
            <w:right w:val="none" w:sz="0" w:space="0" w:color="auto"/>
          </w:divBdr>
        </w:div>
        <w:div w:id="945576082">
          <w:marLeft w:val="0"/>
          <w:marRight w:val="0"/>
          <w:marTop w:val="0"/>
          <w:marBottom w:val="0"/>
          <w:divBdr>
            <w:top w:val="none" w:sz="0" w:space="0" w:color="auto"/>
            <w:left w:val="none" w:sz="0" w:space="0" w:color="auto"/>
            <w:bottom w:val="none" w:sz="0" w:space="0" w:color="auto"/>
            <w:right w:val="none" w:sz="0" w:space="0" w:color="auto"/>
          </w:divBdr>
        </w:div>
        <w:div w:id="1949701603">
          <w:marLeft w:val="0"/>
          <w:marRight w:val="0"/>
          <w:marTop w:val="0"/>
          <w:marBottom w:val="0"/>
          <w:divBdr>
            <w:top w:val="none" w:sz="0" w:space="0" w:color="auto"/>
            <w:left w:val="none" w:sz="0" w:space="0" w:color="auto"/>
            <w:bottom w:val="none" w:sz="0" w:space="0" w:color="auto"/>
            <w:right w:val="none" w:sz="0" w:space="0" w:color="auto"/>
          </w:divBdr>
        </w:div>
      </w:divsChild>
    </w:div>
    <w:div w:id="782262992">
      <w:bodyDiv w:val="1"/>
      <w:marLeft w:val="0"/>
      <w:marRight w:val="0"/>
      <w:marTop w:val="0"/>
      <w:marBottom w:val="0"/>
      <w:divBdr>
        <w:top w:val="none" w:sz="0" w:space="0" w:color="auto"/>
        <w:left w:val="none" w:sz="0" w:space="0" w:color="auto"/>
        <w:bottom w:val="none" w:sz="0" w:space="0" w:color="auto"/>
        <w:right w:val="none" w:sz="0" w:space="0" w:color="auto"/>
      </w:divBdr>
    </w:div>
    <w:div w:id="790246217">
      <w:marLeft w:val="0"/>
      <w:marRight w:val="0"/>
      <w:marTop w:val="0"/>
      <w:marBottom w:val="0"/>
      <w:divBdr>
        <w:top w:val="none" w:sz="0" w:space="0" w:color="auto"/>
        <w:left w:val="none" w:sz="0" w:space="0" w:color="auto"/>
        <w:bottom w:val="none" w:sz="0" w:space="0" w:color="auto"/>
        <w:right w:val="none" w:sz="0" w:space="0" w:color="auto"/>
      </w:divBdr>
    </w:div>
    <w:div w:id="790246223">
      <w:marLeft w:val="0"/>
      <w:marRight w:val="0"/>
      <w:marTop w:val="0"/>
      <w:marBottom w:val="0"/>
      <w:divBdr>
        <w:top w:val="none" w:sz="0" w:space="0" w:color="auto"/>
        <w:left w:val="none" w:sz="0" w:space="0" w:color="auto"/>
        <w:bottom w:val="none" w:sz="0" w:space="0" w:color="auto"/>
        <w:right w:val="none" w:sz="0" w:space="0" w:color="auto"/>
      </w:divBdr>
      <w:divsChild>
        <w:div w:id="790246222">
          <w:marLeft w:val="0"/>
          <w:marRight w:val="0"/>
          <w:marTop w:val="0"/>
          <w:marBottom w:val="0"/>
          <w:divBdr>
            <w:top w:val="none" w:sz="0" w:space="0" w:color="auto"/>
            <w:left w:val="none" w:sz="0" w:space="0" w:color="auto"/>
            <w:bottom w:val="none" w:sz="0" w:space="0" w:color="auto"/>
            <w:right w:val="none" w:sz="0" w:space="0" w:color="auto"/>
          </w:divBdr>
          <w:divsChild>
            <w:div w:id="79024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246225">
      <w:marLeft w:val="0"/>
      <w:marRight w:val="0"/>
      <w:marTop w:val="0"/>
      <w:marBottom w:val="0"/>
      <w:divBdr>
        <w:top w:val="none" w:sz="0" w:space="0" w:color="auto"/>
        <w:left w:val="none" w:sz="0" w:space="0" w:color="auto"/>
        <w:bottom w:val="none" w:sz="0" w:space="0" w:color="auto"/>
        <w:right w:val="none" w:sz="0" w:space="0" w:color="auto"/>
      </w:divBdr>
      <w:divsChild>
        <w:div w:id="790246221">
          <w:marLeft w:val="0"/>
          <w:marRight w:val="0"/>
          <w:marTop w:val="0"/>
          <w:marBottom w:val="0"/>
          <w:divBdr>
            <w:top w:val="none" w:sz="0" w:space="0" w:color="auto"/>
            <w:left w:val="none" w:sz="0" w:space="0" w:color="auto"/>
            <w:bottom w:val="none" w:sz="0" w:space="0" w:color="auto"/>
            <w:right w:val="none" w:sz="0" w:space="0" w:color="auto"/>
          </w:divBdr>
          <w:divsChild>
            <w:div w:id="79024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246226">
      <w:marLeft w:val="0"/>
      <w:marRight w:val="0"/>
      <w:marTop w:val="0"/>
      <w:marBottom w:val="0"/>
      <w:divBdr>
        <w:top w:val="none" w:sz="0" w:space="0" w:color="auto"/>
        <w:left w:val="none" w:sz="0" w:space="0" w:color="auto"/>
        <w:bottom w:val="none" w:sz="0" w:space="0" w:color="auto"/>
        <w:right w:val="none" w:sz="0" w:space="0" w:color="auto"/>
      </w:divBdr>
      <w:divsChild>
        <w:div w:id="790246224">
          <w:marLeft w:val="0"/>
          <w:marRight w:val="0"/>
          <w:marTop w:val="0"/>
          <w:marBottom w:val="0"/>
          <w:divBdr>
            <w:top w:val="none" w:sz="0" w:space="0" w:color="auto"/>
            <w:left w:val="none" w:sz="0" w:space="0" w:color="auto"/>
            <w:bottom w:val="none" w:sz="0" w:space="0" w:color="auto"/>
            <w:right w:val="none" w:sz="0" w:space="0" w:color="auto"/>
          </w:divBdr>
          <w:divsChild>
            <w:div w:id="79024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246227">
      <w:marLeft w:val="0"/>
      <w:marRight w:val="0"/>
      <w:marTop w:val="0"/>
      <w:marBottom w:val="0"/>
      <w:divBdr>
        <w:top w:val="none" w:sz="0" w:space="0" w:color="auto"/>
        <w:left w:val="none" w:sz="0" w:space="0" w:color="auto"/>
        <w:bottom w:val="none" w:sz="0" w:space="0" w:color="auto"/>
        <w:right w:val="none" w:sz="0" w:space="0" w:color="auto"/>
      </w:divBdr>
      <w:divsChild>
        <w:div w:id="790246228">
          <w:marLeft w:val="0"/>
          <w:marRight w:val="0"/>
          <w:marTop w:val="0"/>
          <w:marBottom w:val="0"/>
          <w:divBdr>
            <w:top w:val="none" w:sz="0" w:space="0" w:color="auto"/>
            <w:left w:val="none" w:sz="0" w:space="0" w:color="auto"/>
            <w:bottom w:val="none" w:sz="0" w:space="0" w:color="auto"/>
            <w:right w:val="none" w:sz="0" w:space="0" w:color="auto"/>
          </w:divBdr>
          <w:divsChild>
            <w:div w:id="79024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632041">
      <w:bodyDiv w:val="1"/>
      <w:marLeft w:val="0"/>
      <w:marRight w:val="0"/>
      <w:marTop w:val="0"/>
      <w:marBottom w:val="0"/>
      <w:divBdr>
        <w:top w:val="none" w:sz="0" w:space="0" w:color="auto"/>
        <w:left w:val="none" w:sz="0" w:space="0" w:color="auto"/>
        <w:bottom w:val="none" w:sz="0" w:space="0" w:color="auto"/>
        <w:right w:val="none" w:sz="0" w:space="0" w:color="auto"/>
      </w:divBdr>
    </w:div>
    <w:div w:id="832795638">
      <w:bodyDiv w:val="1"/>
      <w:marLeft w:val="0"/>
      <w:marRight w:val="0"/>
      <w:marTop w:val="0"/>
      <w:marBottom w:val="0"/>
      <w:divBdr>
        <w:top w:val="none" w:sz="0" w:space="0" w:color="auto"/>
        <w:left w:val="none" w:sz="0" w:space="0" w:color="auto"/>
        <w:bottom w:val="none" w:sz="0" w:space="0" w:color="auto"/>
        <w:right w:val="none" w:sz="0" w:space="0" w:color="auto"/>
      </w:divBdr>
    </w:div>
    <w:div w:id="842008096">
      <w:bodyDiv w:val="1"/>
      <w:marLeft w:val="0"/>
      <w:marRight w:val="0"/>
      <w:marTop w:val="0"/>
      <w:marBottom w:val="0"/>
      <w:divBdr>
        <w:top w:val="none" w:sz="0" w:space="0" w:color="auto"/>
        <w:left w:val="none" w:sz="0" w:space="0" w:color="auto"/>
        <w:bottom w:val="none" w:sz="0" w:space="0" w:color="auto"/>
        <w:right w:val="none" w:sz="0" w:space="0" w:color="auto"/>
      </w:divBdr>
    </w:div>
    <w:div w:id="850994511">
      <w:bodyDiv w:val="1"/>
      <w:marLeft w:val="0"/>
      <w:marRight w:val="0"/>
      <w:marTop w:val="0"/>
      <w:marBottom w:val="0"/>
      <w:divBdr>
        <w:top w:val="none" w:sz="0" w:space="0" w:color="auto"/>
        <w:left w:val="none" w:sz="0" w:space="0" w:color="auto"/>
        <w:bottom w:val="none" w:sz="0" w:space="0" w:color="auto"/>
        <w:right w:val="none" w:sz="0" w:space="0" w:color="auto"/>
      </w:divBdr>
    </w:div>
    <w:div w:id="855919777">
      <w:bodyDiv w:val="1"/>
      <w:marLeft w:val="0"/>
      <w:marRight w:val="0"/>
      <w:marTop w:val="0"/>
      <w:marBottom w:val="0"/>
      <w:divBdr>
        <w:top w:val="none" w:sz="0" w:space="0" w:color="auto"/>
        <w:left w:val="none" w:sz="0" w:space="0" w:color="auto"/>
        <w:bottom w:val="none" w:sz="0" w:space="0" w:color="auto"/>
        <w:right w:val="none" w:sz="0" w:space="0" w:color="auto"/>
      </w:divBdr>
    </w:div>
    <w:div w:id="863249376">
      <w:bodyDiv w:val="1"/>
      <w:marLeft w:val="0"/>
      <w:marRight w:val="0"/>
      <w:marTop w:val="0"/>
      <w:marBottom w:val="0"/>
      <w:divBdr>
        <w:top w:val="none" w:sz="0" w:space="0" w:color="auto"/>
        <w:left w:val="none" w:sz="0" w:space="0" w:color="auto"/>
        <w:bottom w:val="none" w:sz="0" w:space="0" w:color="auto"/>
        <w:right w:val="none" w:sz="0" w:space="0" w:color="auto"/>
      </w:divBdr>
    </w:div>
    <w:div w:id="891960576">
      <w:bodyDiv w:val="1"/>
      <w:marLeft w:val="0"/>
      <w:marRight w:val="0"/>
      <w:marTop w:val="0"/>
      <w:marBottom w:val="0"/>
      <w:divBdr>
        <w:top w:val="none" w:sz="0" w:space="0" w:color="auto"/>
        <w:left w:val="none" w:sz="0" w:space="0" w:color="auto"/>
        <w:bottom w:val="none" w:sz="0" w:space="0" w:color="auto"/>
        <w:right w:val="none" w:sz="0" w:space="0" w:color="auto"/>
      </w:divBdr>
    </w:div>
    <w:div w:id="910503844">
      <w:bodyDiv w:val="1"/>
      <w:marLeft w:val="0"/>
      <w:marRight w:val="0"/>
      <w:marTop w:val="0"/>
      <w:marBottom w:val="0"/>
      <w:divBdr>
        <w:top w:val="none" w:sz="0" w:space="0" w:color="auto"/>
        <w:left w:val="none" w:sz="0" w:space="0" w:color="auto"/>
        <w:bottom w:val="none" w:sz="0" w:space="0" w:color="auto"/>
        <w:right w:val="none" w:sz="0" w:space="0" w:color="auto"/>
      </w:divBdr>
    </w:div>
    <w:div w:id="934938405">
      <w:bodyDiv w:val="1"/>
      <w:marLeft w:val="0"/>
      <w:marRight w:val="0"/>
      <w:marTop w:val="0"/>
      <w:marBottom w:val="0"/>
      <w:divBdr>
        <w:top w:val="none" w:sz="0" w:space="0" w:color="auto"/>
        <w:left w:val="none" w:sz="0" w:space="0" w:color="auto"/>
        <w:bottom w:val="none" w:sz="0" w:space="0" w:color="auto"/>
        <w:right w:val="none" w:sz="0" w:space="0" w:color="auto"/>
      </w:divBdr>
    </w:div>
    <w:div w:id="935137358">
      <w:bodyDiv w:val="1"/>
      <w:marLeft w:val="0"/>
      <w:marRight w:val="0"/>
      <w:marTop w:val="0"/>
      <w:marBottom w:val="0"/>
      <w:divBdr>
        <w:top w:val="none" w:sz="0" w:space="0" w:color="auto"/>
        <w:left w:val="none" w:sz="0" w:space="0" w:color="auto"/>
        <w:bottom w:val="none" w:sz="0" w:space="0" w:color="auto"/>
        <w:right w:val="none" w:sz="0" w:space="0" w:color="auto"/>
      </w:divBdr>
    </w:div>
    <w:div w:id="937300120">
      <w:bodyDiv w:val="1"/>
      <w:marLeft w:val="0"/>
      <w:marRight w:val="0"/>
      <w:marTop w:val="0"/>
      <w:marBottom w:val="0"/>
      <w:divBdr>
        <w:top w:val="none" w:sz="0" w:space="0" w:color="auto"/>
        <w:left w:val="none" w:sz="0" w:space="0" w:color="auto"/>
        <w:bottom w:val="none" w:sz="0" w:space="0" w:color="auto"/>
        <w:right w:val="none" w:sz="0" w:space="0" w:color="auto"/>
      </w:divBdr>
    </w:div>
    <w:div w:id="938682308">
      <w:bodyDiv w:val="1"/>
      <w:marLeft w:val="0"/>
      <w:marRight w:val="0"/>
      <w:marTop w:val="0"/>
      <w:marBottom w:val="0"/>
      <w:divBdr>
        <w:top w:val="none" w:sz="0" w:space="0" w:color="auto"/>
        <w:left w:val="none" w:sz="0" w:space="0" w:color="auto"/>
        <w:bottom w:val="none" w:sz="0" w:space="0" w:color="auto"/>
        <w:right w:val="none" w:sz="0" w:space="0" w:color="auto"/>
      </w:divBdr>
      <w:divsChild>
        <w:div w:id="766772414">
          <w:marLeft w:val="0"/>
          <w:marRight w:val="0"/>
          <w:marTop w:val="0"/>
          <w:marBottom w:val="0"/>
          <w:divBdr>
            <w:top w:val="none" w:sz="0" w:space="0" w:color="auto"/>
            <w:left w:val="none" w:sz="0" w:space="0" w:color="auto"/>
            <w:bottom w:val="none" w:sz="0" w:space="0" w:color="auto"/>
            <w:right w:val="none" w:sz="0" w:space="0" w:color="auto"/>
          </w:divBdr>
        </w:div>
        <w:div w:id="1979459359">
          <w:marLeft w:val="0"/>
          <w:marRight w:val="0"/>
          <w:marTop w:val="0"/>
          <w:marBottom w:val="0"/>
          <w:divBdr>
            <w:top w:val="none" w:sz="0" w:space="0" w:color="auto"/>
            <w:left w:val="none" w:sz="0" w:space="0" w:color="auto"/>
            <w:bottom w:val="none" w:sz="0" w:space="0" w:color="auto"/>
            <w:right w:val="none" w:sz="0" w:space="0" w:color="auto"/>
          </w:divBdr>
        </w:div>
        <w:div w:id="1867477793">
          <w:marLeft w:val="0"/>
          <w:marRight w:val="0"/>
          <w:marTop w:val="0"/>
          <w:marBottom w:val="0"/>
          <w:divBdr>
            <w:top w:val="none" w:sz="0" w:space="0" w:color="auto"/>
            <w:left w:val="none" w:sz="0" w:space="0" w:color="auto"/>
            <w:bottom w:val="none" w:sz="0" w:space="0" w:color="auto"/>
            <w:right w:val="none" w:sz="0" w:space="0" w:color="auto"/>
          </w:divBdr>
        </w:div>
        <w:div w:id="1463310300">
          <w:marLeft w:val="0"/>
          <w:marRight w:val="0"/>
          <w:marTop w:val="0"/>
          <w:marBottom w:val="0"/>
          <w:divBdr>
            <w:top w:val="none" w:sz="0" w:space="0" w:color="auto"/>
            <w:left w:val="none" w:sz="0" w:space="0" w:color="auto"/>
            <w:bottom w:val="none" w:sz="0" w:space="0" w:color="auto"/>
            <w:right w:val="none" w:sz="0" w:space="0" w:color="auto"/>
          </w:divBdr>
        </w:div>
        <w:div w:id="698970369">
          <w:marLeft w:val="0"/>
          <w:marRight w:val="0"/>
          <w:marTop w:val="0"/>
          <w:marBottom w:val="0"/>
          <w:divBdr>
            <w:top w:val="none" w:sz="0" w:space="0" w:color="auto"/>
            <w:left w:val="none" w:sz="0" w:space="0" w:color="auto"/>
            <w:bottom w:val="none" w:sz="0" w:space="0" w:color="auto"/>
            <w:right w:val="none" w:sz="0" w:space="0" w:color="auto"/>
          </w:divBdr>
        </w:div>
        <w:div w:id="1255556392">
          <w:marLeft w:val="0"/>
          <w:marRight w:val="0"/>
          <w:marTop w:val="0"/>
          <w:marBottom w:val="0"/>
          <w:divBdr>
            <w:top w:val="none" w:sz="0" w:space="0" w:color="auto"/>
            <w:left w:val="none" w:sz="0" w:space="0" w:color="auto"/>
            <w:bottom w:val="none" w:sz="0" w:space="0" w:color="auto"/>
            <w:right w:val="none" w:sz="0" w:space="0" w:color="auto"/>
          </w:divBdr>
        </w:div>
        <w:div w:id="748964603">
          <w:marLeft w:val="0"/>
          <w:marRight w:val="0"/>
          <w:marTop w:val="0"/>
          <w:marBottom w:val="0"/>
          <w:divBdr>
            <w:top w:val="none" w:sz="0" w:space="0" w:color="auto"/>
            <w:left w:val="none" w:sz="0" w:space="0" w:color="auto"/>
            <w:bottom w:val="none" w:sz="0" w:space="0" w:color="auto"/>
            <w:right w:val="none" w:sz="0" w:space="0" w:color="auto"/>
          </w:divBdr>
        </w:div>
        <w:div w:id="557782663">
          <w:marLeft w:val="0"/>
          <w:marRight w:val="0"/>
          <w:marTop w:val="0"/>
          <w:marBottom w:val="0"/>
          <w:divBdr>
            <w:top w:val="none" w:sz="0" w:space="0" w:color="auto"/>
            <w:left w:val="none" w:sz="0" w:space="0" w:color="auto"/>
            <w:bottom w:val="none" w:sz="0" w:space="0" w:color="auto"/>
            <w:right w:val="none" w:sz="0" w:space="0" w:color="auto"/>
          </w:divBdr>
        </w:div>
        <w:div w:id="905604833">
          <w:marLeft w:val="0"/>
          <w:marRight w:val="0"/>
          <w:marTop w:val="0"/>
          <w:marBottom w:val="0"/>
          <w:divBdr>
            <w:top w:val="none" w:sz="0" w:space="0" w:color="auto"/>
            <w:left w:val="none" w:sz="0" w:space="0" w:color="auto"/>
            <w:bottom w:val="none" w:sz="0" w:space="0" w:color="auto"/>
            <w:right w:val="none" w:sz="0" w:space="0" w:color="auto"/>
          </w:divBdr>
        </w:div>
        <w:div w:id="1157914186">
          <w:marLeft w:val="0"/>
          <w:marRight w:val="0"/>
          <w:marTop w:val="0"/>
          <w:marBottom w:val="0"/>
          <w:divBdr>
            <w:top w:val="none" w:sz="0" w:space="0" w:color="auto"/>
            <w:left w:val="none" w:sz="0" w:space="0" w:color="auto"/>
            <w:bottom w:val="none" w:sz="0" w:space="0" w:color="auto"/>
            <w:right w:val="none" w:sz="0" w:space="0" w:color="auto"/>
          </w:divBdr>
        </w:div>
        <w:div w:id="1915578738">
          <w:marLeft w:val="0"/>
          <w:marRight w:val="0"/>
          <w:marTop w:val="0"/>
          <w:marBottom w:val="0"/>
          <w:divBdr>
            <w:top w:val="none" w:sz="0" w:space="0" w:color="auto"/>
            <w:left w:val="none" w:sz="0" w:space="0" w:color="auto"/>
            <w:bottom w:val="none" w:sz="0" w:space="0" w:color="auto"/>
            <w:right w:val="none" w:sz="0" w:space="0" w:color="auto"/>
          </w:divBdr>
        </w:div>
        <w:div w:id="1620145601">
          <w:marLeft w:val="0"/>
          <w:marRight w:val="0"/>
          <w:marTop w:val="0"/>
          <w:marBottom w:val="0"/>
          <w:divBdr>
            <w:top w:val="none" w:sz="0" w:space="0" w:color="auto"/>
            <w:left w:val="none" w:sz="0" w:space="0" w:color="auto"/>
            <w:bottom w:val="none" w:sz="0" w:space="0" w:color="auto"/>
            <w:right w:val="none" w:sz="0" w:space="0" w:color="auto"/>
          </w:divBdr>
        </w:div>
        <w:div w:id="589698674">
          <w:marLeft w:val="0"/>
          <w:marRight w:val="0"/>
          <w:marTop w:val="0"/>
          <w:marBottom w:val="0"/>
          <w:divBdr>
            <w:top w:val="none" w:sz="0" w:space="0" w:color="auto"/>
            <w:left w:val="none" w:sz="0" w:space="0" w:color="auto"/>
            <w:bottom w:val="none" w:sz="0" w:space="0" w:color="auto"/>
            <w:right w:val="none" w:sz="0" w:space="0" w:color="auto"/>
          </w:divBdr>
        </w:div>
        <w:div w:id="522864536">
          <w:marLeft w:val="0"/>
          <w:marRight w:val="0"/>
          <w:marTop w:val="0"/>
          <w:marBottom w:val="0"/>
          <w:divBdr>
            <w:top w:val="none" w:sz="0" w:space="0" w:color="auto"/>
            <w:left w:val="none" w:sz="0" w:space="0" w:color="auto"/>
            <w:bottom w:val="none" w:sz="0" w:space="0" w:color="auto"/>
            <w:right w:val="none" w:sz="0" w:space="0" w:color="auto"/>
          </w:divBdr>
        </w:div>
        <w:div w:id="823162408">
          <w:marLeft w:val="0"/>
          <w:marRight w:val="0"/>
          <w:marTop w:val="0"/>
          <w:marBottom w:val="0"/>
          <w:divBdr>
            <w:top w:val="none" w:sz="0" w:space="0" w:color="auto"/>
            <w:left w:val="none" w:sz="0" w:space="0" w:color="auto"/>
            <w:bottom w:val="none" w:sz="0" w:space="0" w:color="auto"/>
            <w:right w:val="none" w:sz="0" w:space="0" w:color="auto"/>
          </w:divBdr>
        </w:div>
      </w:divsChild>
    </w:div>
    <w:div w:id="945238956">
      <w:bodyDiv w:val="1"/>
      <w:marLeft w:val="0"/>
      <w:marRight w:val="0"/>
      <w:marTop w:val="0"/>
      <w:marBottom w:val="0"/>
      <w:divBdr>
        <w:top w:val="none" w:sz="0" w:space="0" w:color="auto"/>
        <w:left w:val="none" w:sz="0" w:space="0" w:color="auto"/>
        <w:bottom w:val="none" w:sz="0" w:space="0" w:color="auto"/>
        <w:right w:val="none" w:sz="0" w:space="0" w:color="auto"/>
      </w:divBdr>
    </w:div>
    <w:div w:id="961348427">
      <w:bodyDiv w:val="1"/>
      <w:marLeft w:val="0"/>
      <w:marRight w:val="0"/>
      <w:marTop w:val="0"/>
      <w:marBottom w:val="0"/>
      <w:divBdr>
        <w:top w:val="none" w:sz="0" w:space="0" w:color="auto"/>
        <w:left w:val="none" w:sz="0" w:space="0" w:color="auto"/>
        <w:bottom w:val="none" w:sz="0" w:space="0" w:color="auto"/>
        <w:right w:val="none" w:sz="0" w:space="0" w:color="auto"/>
      </w:divBdr>
    </w:div>
    <w:div w:id="966739616">
      <w:bodyDiv w:val="1"/>
      <w:marLeft w:val="0"/>
      <w:marRight w:val="0"/>
      <w:marTop w:val="0"/>
      <w:marBottom w:val="0"/>
      <w:divBdr>
        <w:top w:val="none" w:sz="0" w:space="0" w:color="auto"/>
        <w:left w:val="none" w:sz="0" w:space="0" w:color="auto"/>
        <w:bottom w:val="none" w:sz="0" w:space="0" w:color="auto"/>
        <w:right w:val="none" w:sz="0" w:space="0" w:color="auto"/>
      </w:divBdr>
    </w:div>
    <w:div w:id="970090756">
      <w:bodyDiv w:val="1"/>
      <w:marLeft w:val="0"/>
      <w:marRight w:val="0"/>
      <w:marTop w:val="0"/>
      <w:marBottom w:val="0"/>
      <w:divBdr>
        <w:top w:val="none" w:sz="0" w:space="0" w:color="auto"/>
        <w:left w:val="none" w:sz="0" w:space="0" w:color="auto"/>
        <w:bottom w:val="none" w:sz="0" w:space="0" w:color="auto"/>
        <w:right w:val="none" w:sz="0" w:space="0" w:color="auto"/>
      </w:divBdr>
    </w:div>
    <w:div w:id="970549805">
      <w:bodyDiv w:val="1"/>
      <w:marLeft w:val="0"/>
      <w:marRight w:val="0"/>
      <w:marTop w:val="0"/>
      <w:marBottom w:val="0"/>
      <w:divBdr>
        <w:top w:val="none" w:sz="0" w:space="0" w:color="auto"/>
        <w:left w:val="none" w:sz="0" w:space="0" w:color="auto"/>
        <w:bottom w:val="none" w:sz="0" w:space="0" w:color="auto"/>
        <w:right w:val="none" w:sz="0" w:space="0" w:color="auto"/>
      </w:divBdr>
    </w:div>
    <w:div w:id="986856315">
      <w:bodyDiv w:val="1"/>
      <w:marLeft w:val="0"/>
      <w:marRight w:val="0"/>
      <w:marTop w:val="0"/>
      <w:marBottom w:val="0"/>
      <w:divBdr>
        <w:top w:val="none" w:sz="0" w:space="0" w:color="auto"/>
        <w:left w:val="none" w:sz="0" w:space="0" w:color="auto"/>
        <w:bottom w:val="none" w:sz="0" w:space="0" w:color="auto"/>
        <w:right w:val="none" w:sz="0" w:space="0" w:color="auto"/>
      </w:divBdr>
      <w:divsChild>
        <w:div w:id="1805851713">
          <w:marLeft w:val="0"/>
          <w:marRight w:val="0"/>
          <w:marTop w:val="0"/>
          <w:marBottom w:val="0"/>
          <w:divBdr>
            <w:top w:val="none" w:sz="0" w:space="0" w:color="auto"/>
            <w:left w:val="none" w:sz="0" w:space="0" w:color="auto"/>
            <w:bottom w:val="none" w:sz="0" w:space="0" w:color="auto"/>
            <w:right w:val="none" w:sz="0" w:space="0" w:color="auto"/>
          </w:divBdr>
        </w:div>
        <w:div w:id="1921406283">
          <w:marLeft w:val="0"/>
          <w:marRight w:val="0"/>
          <w:marTop w:val="0"/>
          <w:marBottom w:val="0"/>
          <w:divBdr>
            <w:top w:val="none" w:sz="0" w:space="0" w:color="auto"/>
            <w:left w:val="none" w:sz="0" w:space="0" w:color="auto"/>
            <w:bottom w:val="none" w:sz="0" w:space="0" w:color="auto"/>
            <w:right w:val="none" w:sz="0" w:space="0" w:color="auto"/>
          </w:divBdr>
        </w:div>
        <w:div w:id="1093429564">
          <w:marLeft w:val="0"/>
          <w:marRight w:val="0"/>
          <w:marTop w:val="0"/>
          <w:marBottom w:val="0"/>
          <w:divBdr>
            <w:top w:val="none" w:sz="0" w:space="0" w:color="auto"/>
            <w:left w:val="none" w:sz="0" w:space="0" w:color="auto"/>
            <w:bottom w:val="none" w:sz="0" w:space="0" w:color="auto"/>
            <w:right w:val="none" w:sz="0" w:space="0" w:color="auto"/>
          </w:divBdr>
        </w:div>
        <w:div w:id="1277366422">
          <w:marLeft w:val="0"/>
          <w:marRight w:val="0"/>
          <w:marTop w:val="0"/>
          <w:marBottom w:val="0"/>
          <w:divBdr>
            <w:top w:val="none" w:sz="0" w:space="0" w:color="auto"/>
            <w:left w:val="none" w:sz="0" w:space="0" w:color="auto"/>
            <w:bottom w:val="none" w:sz="0" w:space="0" w:color="auto"/>
            <w:right w:val="none" w:sz="0" w:space="0" w:color="auto"/>
          </w:divBdr>
        </w:div>
        <w:div w:id="1681270735">
          <w:marLeft w:val="0"/>
          <w:marRight w:val="0"/>
          <w:marTop w:val="0"/>
          <w:marBottom w:val="0"/>
          <w:divBdr>
            <w:top w:val="none" w:sz="0" w:space="0" w:color="auto"/>
            <w:left w:val="none" w:sz="0" w:space="0" w:color="auto"/>
            <w:bottom w:val="none" w:sz="0" w:space="0" w:color="auto"/>
            <w:right w:val="none" w:sz="0" w:space="0" w:color="auto"/>
          </w:divBdr>
        </w:div>
        <w:div w:id="1060523192">
          <w:marLeft w:val="0"/>
          <w:marRight w:val="0"/>
          <w:marTop w:val="0"/>
          <w:marBottom w:val="0"/>
          <w:divBdr>
            <w:top w:val="none" w:sz="0" w:space="0" w:color="auto"/>
            <w:left w:val="none" w:sz="0" w:space="0" w:color="auto"/>
            <w:bottom w:val="none" w:sz="0" w:space="0" w:color="auto"/>
            <w:right w:val="none" w:sz="0" w:space="0" w:color="auto"/>
          </w:divBdr>
        </w:div>
        <w:div w:id="1499493151">
          <w:marLeft w:val="0"/>
          <w:marRight w:val="0"/>
          <w:marTop w:val="0"/>
          <w:marBottom w:val="0"/>
          <w:divBdr>
            <w:top w:val="none" w:sz="0" w:space="0" w:color="auto"/>
            <w:left w:val="none" w:sz="0" w:space="0" w:color="auto"/>
            <w:bottom w:val="none" w:sz="0" w:space="0" w:color="auto"/>
            <w:right w:val="none" w:sz="0" w:space="0" w:color="auto"/>
          </w:divBdr>
        </w:div>
        <w:div w:id="473303695">
          <w:marLeft w:val="0"/>
          <w:marRight w:val="0"/>
          <w:marTop w:val="0"/>
          <w:marBottom w:val="0"/>
          <w:divBdr>
            <w:top w:val="none" w:sz="0" w:space="0" w:color="auto"/>
            <w:left w:val="none" w:sz="0" w:space="0" w:color="auto"/>
            <w:bottom w:val="none" w:sz="0" w:space="0" w:color="auto"/>
            <w:right w:val="none" w:sz="0" w:space="0" w:color="auto"/>
          </w:divBdr>
        </w:div>
        <w:div w:id="601450054">
          <w:marLeft w:val="0"/>
          <w:marRight w:val="0"/>
          <w:marTop w:val="0"/>
          <w:marBottom w:val="0"/>
          <w:divBdr>
            <w:top w:val="none" w:sz="0" w:space="0" w:color="auto"/>
            <w:left w:val="none" w:sz="0" w:space="0" w:color="auto"/>
            <w:bottom w:val="none" w:sz="0" w:space="0" w:color="auto"/>
            <w:right w:val="none" w:sz="0" w:space="0" w:color="auto"/>
          </w:divBdr>
        </w:div>
        <w:div w:id="1027097096">
          <w:marLeft w:val="0"/>
          <w:marRight w:val="0"/>
          <w:marTop w:val="0"/>
          <w:marBottom w:val="0"/>
          <w:divBdr>
            <w:top w:val="none" w:sz="0" w:space="0" w:color="auto"/>
            <w:left w:val="none" w:sz="0" w:space="0" w:color="auto"/>
            <w:bottom w:val="none" w:sz="0" w:space="0" w:color="auto"/>
            <w:right w:val="none" w:sz="0" w:space="0" w:color="auto"/>
          </w:divBdr>
        </w:div>
        <w:div w:id="927734882">
          <w:marLeft w:val="0"/>
          <w:marRight w:val="0"/>
          <w:marTop w:val="0"/>
          <w:marBottom w:val="0"/>
          <w:divBdr>
            <w:top w:val="none" w:sz="0" w:space="0" w:color="auto"/>
            <w:left w:val="none" w:sz="0" w:space="0" w:color="auto"/>
            <w:bottom w:val="none" w:sz="0" w:space="0" w:color="auto"/>
            <w:right w:val="none" w:sz="0" w:space="0" w:color="auto"/>
          </w:divBdr>
        </w:div>
        <w:div w:id="1537353922">
          <w:marLeft w:val="0"/>
          <w:marRight w:val="0"/>
          <w:marTop w:val="0"/>
          <w:marBottom w:val="0"/>
          <w:divBdr>
            <w:top w:val="none" w:sz="0" w:space="0" w:color="auto"/>
            <w:left w:val="none" w:sz="0" w:space="0" w:color="auto"/>
            <w:bottom w:val="none" w:sz="0" w:space="0" w:color="auto"/>
            <w:right w:val="none" w:sz="0" w:space="0" w:color="auto"/>
          </w:divBdr>
        </w:div>
        <w:div w:id="534150276">
          <w:marLeft w:val="0"/>
          <w:marRight w:val="0"/>
          <w:marTop w:val="0"/>
          <w:marBottom w:val="0"/>
          <w:divBdr>
            <w:top w:val="none" w:sz="0" w:space="0" w:color="auto"/>
            <w:left w:val="none" w:sz="0" w:space="0" w:color="auto"/>
            <w:bottom w:val="none" w:sz="0" w:space="0" w:color="auto"/>
            <w:right w:val="none" w:sz="0" w:space="0" w:color="auto"/>
          </w:divBdr>
        </w:div>
        <w:div w:id="273027259">
          <w:marLeft w:val="0"/>
          <w:marRight w:val="0"/>
          <w:marTop w:val="0"/>
          <w:marBottom w:val="0"/>
          <w:divBdr>
            <w:top w:val="none" w:sz="0" w:space="0" w:color="auto"/>
            <w:left w:val="none" w:sz="0" w:space="0" w:color="auto"/>
            <w:bottom w:val="none" w:sz="0" w:space="0" w:color="auto"/>
            <w:right w:val="none" w:sz="0" w:space="0" w:color="auto"/>
          </w:divBdr>
        </w:div>
        <w:div w:id="1654487449">
          <w:marLeft w:val="0"/>
          <w:marRight w:val="0"/>
          <w:marTop w:val="0"/>
          <w:marBottom w:val="0"/>
          <w:divBdr>
            <w:top w:val="none" w:sz="0" w:space="0" w:color="auto"/>
            <w:left w:val="none" w:sz="0" w:space="0" w:color="auto"/>
            <w:bottom w:val="none" w:sz="0" w:space="0" w:color="auto"/>
            <w:right w:val="none" w:sz="0" w:space="0" w:color="auto"/>
          </w:divBdr>
        </w:div>
      </w:divsChild>
    </w:div>
    <w:div w:id="987051284">
      <w:bodyDiv w:val="1"/>
      <w:marLeft w:val="0"/>
      <w:marRight w:val="0"/>
      <w:marTop w:val="0"/>
      <w:marBottom w:val="0"/>
      <w:divBdr>
        <w:top w:val="none" w:sz="0" w:space="0" w:color="auto"/>
        <w:left w:val="none" w:sz="0" w:space="0" w:color="auto"/>
        <w:bottom w:val="none" w:sz="0" w:space="0" w:color="auto"/>
        <w:right w:val="none" w:sz="0" w:space="0" w:color="auto"/>
      </w:divBdr>
    </w:div>
    <w:div w:id="993752841">
      <w:bodyDiv w:val="1"/>
      <w:marLeft w:val="0"/>
      <w:marRight w:val="0"/>
      <w:marTop w:val="0"/>
      <w:marBottom w:val="0"/>
      <w:divBdr>
        <w:top w:val="none" w:sz="0" w:space="0" w:color="auto"/>
        <w:left w:val="none" w:sz="0" w:space="0" w:color="auto"/>
        <w:bottom w:val="none" w:sz="0" w:space="0" w:color="auto"/>
        <w:right w:val="none" w:sz="0" w:space="0" w:color="auto"/>
      </w:divBdr>
    </w:div>
    <w:div w:id="999581517">
      <w:bodyDiv w:val="1"/>
      <w:marLeft w:val="0"/>
      <w:marRight w:val="0"/>
      <w:marTop w:val="0"/>
      <w:marBottom w:val="0"/>
      <w:divBdr>
        <w:top w:val="none" w:sz="0" w:space="0" w:color="auto"/>
        <w:left w:val="none" w:sz="0" w:space="0" w:color="auto"/>
        <w:bottom w:val="none" w:sz="0" w:space="0" w:color="auto"/>
        <w:right w:val="none" w:sz="0" w:space="0" w:color="auto"/>
      </w:divBdr>
    </w:div>
    <w:div w:id="1033577360">
      <w:bodyDiv w:val="1"/>
      <w:marLeft w:val="0"/>
      <w:marRight w:val="0"/>
      <w:marTop w:val="0"/>
      <w:marBottom w:val="0"/>
      <w:divBdr>
        <w:top w:val="none" w:sz="0" w:space="0" w:color="auto"/>
        <w:left w:val="none" w:sz="0" w:space="0" w:color="auto"/>
        <w:bottom w:val="none" w:sz="0" w:space="0" w:color="auto"/>
        <w:right w:val="none" w:sz="0" w:space="0" w:color="auto"/>
      </w:divBdr>
    </w:div>
    <w:div w:id="1064522966">
      <w:bodyDiv w:val="1"/>
      <w:marLeft w:val="0"/>
      <w:marRight w:val="0"/>
      <w:marTop w:val="0"/>
      <w:marBottom w:val="0"/>
      <w:divBdr>
        <w:top w:val="none" w:sz="0" w:space="0" w:color="auto"/>
        <w:left w:val="none" w:sz="0" w:space="0" w:color="auto"/>
        <w:bottom w:val="none" w:sz="0" w:space="0" w:color="auto"/>
        <w:right w:val="none" w:sz="0" w:space="0" w:color="auto"/>
      </w:divBdr>
      <w:divsChild>
        <w:div w:id="642849138">
          <w:marLeft w:val="0"/>
          <w:marRight w:val="0"/>
          <w:marTop w:val="0"/>
          <w:marBottom w:val="0"/>
          <w:divBdr>
            <w:top w:val="none" w:sz="0" w:space="0" w:color="auto"/>
            <w:left w:val="none" w:sz="0" w:space="0" w:color="auto"/>
            <w:bottom w:val="none" w:sz="0" w:space="0" w:color="auto"/>
            <w:right w:val="none" w:sz="0" w:space="0" w:color="auto"/>
          </w:divBdr>
          <w:divsChild>
            <w:div w:id="2030720904">
              <w:marLeft w:val="0"/>
              <w:marRight w:val="0"/>
              <w:marTop w:val="0"/>
              <w:marBottom w:val="0"/>
              <w:divBdr>
                <w:top w:val="none" w:sz="0" w:space="0" w:color="auto"/>
                <w:left w:val="none" w:sz="0" w:space="0" w:color="auto"/>
                <w:bottom w:val="none" w:sz="0" w:space="0" w:color="auto"/>
                <w:right w:val="none" w:sz="0" w:space="0" w:color="auto"/>
              </w:divBdr>
              <w:divsChild>
                <w:div w:id="155033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381652">
      <w:bodyDiv w:val="1"/>
      <w:marLeft w:val="0"/>
      <w:marRight w:val="0"/>
      <w:marTop w:val="0"/>
      <w:marBottom w:val="0"/>
      <w:divBdr>
        <w:top w:val="none" w:sz="0" w:space="0" w:color="auto"/>
        <w:left w:val="none" w:sz="0" w:space="0" w:color="auto"/>
        <w:bottom w:val="none" w:sz="0" w:space="0" w:color="auto"/>
        <w:right w:val="none" w:sz="0" w:space="0" w:color="auto"/>
      </w:divBdr>
    </w:div>
    <w:div w:id="1080981618">
      <w:bodyDiv w:val="1"/>
      <w:marLeft w:val="0"/>
      <w:marRight w:val="0"/>
      <w:marTop w:val="0"/>
      <w:marBottom w:val="0"/>
      <w:divBdr>
        <w:top w:val="none" w:sz="0" w:space="0" w:color="auto"/>
        <w:left w:val="none" w:sz="0" w:space="0" w:color="auto"/>
        <w:bottom w:val="none" w:sz="0" w:space="0" w:color="auto"/>
        <w:right w:val="none" w:sz="0" w:space="0" w:color="auto"/>
      </w:divBdr>
    </w:div>
    <w:div w:id="1081410245">
      <w:bodyDiv w:val="1"/>
      <w:marLeft w:val="0"/>
      <w:marRight w:val="0"/>
      <w:marTop w:val="0"/>
      <w:marBottom w:val="0"/>
      <w:divBdr>
        <w:top w:val="none" w:sz="0" w:space="0" w:color="auto"/>
        <w:left w:val="none" w:sz="0" w:space="0" w:color="auto"/>
        <w:bottom w:val="none" w:sz="0" w:space="0" w:color="auto"/>
        <w:right w:val="none" w:sz="0" w:space="0" w:color="auto"/>
      </w:divBdr>
    </w:div>
    <w:div w:id="1112211769">
      <w:bodyDiv w:val="1"/>
      <w:marLeft w:val="0"/>
      <w:marRight w:val="0"/>
      <w:marTop w:val="0"/>
      <w:marBottom w:val="0"/>
      <w:divBdr>
        <w:top w:val="none" w:sz="0" w:space="0" w:color="auto"/>
        <w:left w:val="none" w:sz="0" w:space="0" w:color="auto"/>
        <w:bottom w:val="none" w:sz="0" w:space="0" w:color="auto"/>
        <w:right w:val="none" w:sz="0" w:space="0" w:color="auto"/>
      </w:divBdr>
      <w:divsChild>
        <w:div w:id="146634625">
          <w:marLeft w:val="547"/>
          <w:marRight w:val="0"/>
          <w:marTop w:val="0"/>
          <w:marBottom w:val="120"/>
          <w:divBdr>
            <w:top w:val="none" w:sz="0" w:space="0" w:color="auto"/>
            <w:left w:val="none" w:sz="0" w:space="0" w:color="auto"/>
            <w:bottom w:val="none" w:sz="0" w:space="0" w:color="auto"/>
            <w:right w:val="none" w:sz="0" w:space="0" w:color="auto"/>
          </w:divBdr>
        </w:div>
        <w:div w:id="458840964">
          <w:marLeft w:val="547"/>
          <w:marRight w:val="0"/>
          <w:marTop w:val="0"/>
          <w:marBottom w:val="120"/>
          <w:divBdr>
            <w:top w:val="none" w:sz="0" w:space="0" w:color="auto"/>
            <w:left w:val="none" w:sz="0" w:space="0" w:color="auto"/>
            <w:bottom w:val="none" w:sz="0" w:space="0" w:color="auto"/>
            <w:right w:val="none" w:sz="0" w:space="0" w:color="auto"/>
          </w:divBdr>
        </w:div>
        <w:div w:id="805781554">
          <w:marLeft w:val="547"/>
          <w:marRight w:val="0"/>
          <w:marTop w:val="0"/>
          <w:marBottom w:val="120"/>
          <w:divBdr>
            <w:top w:val="none" w:sz="0" w:space="0" w:color="auto"/>
            <w:left w:val="none" w:sz="0" w:space="0" w:color="auto"/>
            <w:bottom w:val="none" w:sz="0" w:space="0" w:color="auto"/>
            <w:right w:val="none" w:sz="0" w:space="0" w:color="auto"/>
          </w:divBdr>
        </w:div>
        <w:div w:id="133108832">
          <w:marLeft w:val="547"/>
          <w:marRight w:val="0"/>
          <w:marTop w:val="0"/>
          <w:marBottom w:val="120"/>
          <w:divBdr>
            <w:top w:val="none" w:sz="0" w:space="0" w:color="auto"/>
            <w:left w:val="none" w:sz="0" w:space="0" w:color="auto"/>
            <w:bottom w:val="none" w:sz="0" w:space="0" w:color="auto"/>
            <w:right w:val="none" w:sz="0" w:space="0" w:color="auto"/>
          </w:divBdr>
        </w:div>
        <w:div w:id="394819891">
          <w:marLeft w:val="547"/>
          <w:marRight w:val="0"/>
          <w:marTop w:val="0"/>
          <w:marBottom w:val="120"/>
          <w:divBdr>
            <w:top w:val="none" w:sz="0" w:space="0" w:color="auto"/>
            <w:left w:val="none" w:sz="0" w:space="0" w:color="auto"/>
            <w:bottom w:val="none" w:sz="0" w:space="0" w:color="auto"/>
            <w:right w:val="none" w:sz="0" w:space="0" w:color="auto"/>
          </w:divBdr>
        </w:div>
      </w:divsChild>
    </w:div>
    <w:div w:id="1113206794">
      <w:bodyDiv w:val="1"/>
      <w:marLeft w:val="0"/>
      <w:marRight w:val="0"/>
      <w:marTop w:val="0"/>
      <w:marBottom w:val="0"/>
      <w:divBdr>
        <w:top w:val="none" w:sz="0" w:space="0" w:color="auto"/>
        <w:left w:val="none" w:sz="0" w:space="0" w:color="auto"/>
        <w:bottom w:val="none" w:sz="0" w:space="0" w:color="auto"/>
        <w:right w:val="none" w:sz="0" w:space="0" w:color="auto"/>
      </w:divBdr>
    </w:div>
    <w:div w:id="1149324188">
      <w:bodyDiv w:val="1"/>
      <w:marLeft w:val="0"/>
      <w:marRight w:val="0"/>
      <w:marTop w:val="0"/>
      <w:marBottom w:val="0"/>
      <w:divBdr>
        <w:top w:val="none" w:sz="0" w:space="0" w:color="auto"/>
        <w:left w:val="none" w:sz="0" w:space="0" w:color="auto"/>
        <w:bottom w:val="none" w:sz="0" w:space="0" w:color="auto"/>
        <w:right w:val="none" w:sz="0" w:space="0" w:color="auto"/>
      </w:divBdr>
    </w:div>
    <w:div w:id="1153986251">
      <w:bodyDiv w:val="1"/>
      <w:marLeft w:val="0"/>
      <w:marRight w:val="0"/>
      <w:marTop w:val="0"/>
      <w:marBottom w:val="0"/>
      <w:divBdr>
        <w:top w:val="none" w:sz="0" w:space="0" w:color="auto"/>
        <w:left w:val="none" w:sz="0" w:space="0" w:color="auto"/>
        <w:bottom w:val="none" w:sz="0" w:space="0" w:color="auto"/>
        <w:right w:val="none" w:sz="0" w:space="0" w:color="auto"/>
      </w:divBdr>
    </w:div>
    <w:div w:id="1162743139">
      <w:bodyDiv w:val="1"/>
      <w:marLeft w:val="0"/>
      <w:marRight w:val="0"/>
      <w:marTop w:val="0"/>
      <w:marBottom w:val="0"/>
      <w:divBdr>
        <w:top w:val="none" w:sz="0" w:space="0" w:color="auto"/>
        <w:left w:val="none" w:sz="0" w:space="0" w:color="auto"/>
        <w:bottom w:val="none" w:sz="0" w:space="0" w:color="auto"/>
        <w:right w:val="none" w:sz="0" w:space="0" w:color="auto"/>
      </w:divBdr>
    </w:div>
    <w:div w:id="1183864764">
      <w:bodyDiv w:val="1"/>
      <w:marLeft w:val="0"/>
      <w:marRight w:val="0"/>
      <w:marTop w:val="0"/>
      <w:marBottom w:val="0"/>
      <w:divBdr>
        <w:top w:val="none" w:sz="0" w:space="0" w:color="auto"/>
        <w:left w:val="none" w:sz="0" w:space="0" w:color="auto"/>
        <w:bottom w:val="none" w:sz="0" w:space="0" w:color="auto"/>
        <w:right w:val="none" w:sz="0" w:space="0" w:color="auto"/>
      </w:divBdr>
    </w:div>
    <w:div w:id="1186795616">
      <w:bodyDiv w:val="1"/>
      <w:marLeft w:val="0"/>
      <w:marRight w:val="0"/>
      <w:marTop w:val="0"/>
      <w:marBottom w:val="0"/>
      <w:divBdr>
        <w:top w:val="none" w:sz="0" w:space="0" w:color="auto"/>
        <w:left w:val="none" w:sz="0" w:space="0" w:color="auto"/>
        <w:bottom w:val="none" w:sz="0" w:space="0" w:color="auto"/>
        <w:right w:val="none" w:sz="0" w:space="0" w:color="auto"/>
      </w:divBdr>
    </w:div>
    <w:div w:id="1215580939">
      <w:bodyDiv w:val="1"/>
      <w:marLeft w:val="0"/>
      <w:marRight w:val="0"/>
      <w:marTop w:val="0"/>
      <w:marBottom w:val="0"/>
      <w:divBdr>
        <w:top w:val="none" w:sz="0" w:space="0" w:color="auto"/>
        <w:left w:val="none" w:sz="0" w:space="0" w:color="auto"/>
        <w:bottom w:val="none" w:sz="0" w:space="0" w:color="auto"/>
        <w:right w:val="none" w:sz="0" w:space="0" w:color="auto"/>
      </w:divBdr>
    </w:div>
    <w:div w:id="1246300718">
      <w:bodyDiv w:val="1"/>
      <w:marLeft w:val="0"/>
      <w:marRight w:val="0"/>
      <w:marTop w:val="0"/>
      <w:marBottom w:val="0"/>
      <w:divBdr>
        <w:top w:val="none" w:sz="0" w:space="0" w:color="auto"/>
        <w:left w:val="none" w:sz="0" w:space="0" w:color="auto"/>
        <w:bottom w:val="none" w:sz="0" w:space="0" w:color="auto"/>
        <w:right w:val="none" w:sz="0" w:space="0" w:color="auto"/>
      </w:divBdr>
      <w:divsChild>
        <w:div w:id="480736816">
          <w:marLeft w:val="0"/>
          <w:marRight w:val="0"/>
          <w:marTop w:val="0"/>
          <w:marBottom w:val="0"/>
          <w:divBdr>
            <w:top w:val="none" w:sz="0" w:space="0" w:color="auto"/>
            <w:left w:val="none" w:sz="0" w:space="0" w:color="auto"/>
            <w:bottom w:val="none" w:sz="0" w:space="0" w:color="auto"/>
            <w:right w:val="none" w:sz="0" w:space="0" w:color="auto"/>
          </w:divBdr>
          <w:divsChild>
            <w:div w:id="1843158857">
              <w:marLeft w:val="0"/>
              <w:marRight w:val="0"/>
              <w:marTop w:val="0"/>
              <w:marBottom w:val="0"/>
              <w:divBdr>
                <w:top w:val="none" w:sz="0" w:space="0" w:color="auto"/>
                <w:left w:val="none" w:sz="0" w:space="0" w:color="auto"/>
                <w:bottom w:val="none" w:sz="0" w:space="0" w:color="auto"/>
                <w:right w:val="none" w:sz="0" w:space="0" w:color="auto"/>
              </w:divBdr>
              <w:divsChild>
                <w:div w:id="76238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497534">
      <w:bodyDiv w:val="1"/>
      <w:marLeft w:val="0"/>
      <w:marRight w:val="0"/>
      <w:marTop w:val="0"/>
      <w:marBottom w:val="0"/>
      <w:divBdr>
        <w:top w:val="none" w:sz="0" w:space="0" w:color="auto"/>
        <w:left w:val="none" w:sz="0" w:space="0" w:color="auto"/>
        <w:bottom w:val="none" w:sz="0" w:space="0" w:color="auto"/>
        <w:right w:val="none" w:sz="0" w:space="0" w:color="auto"/>
      </w:divBdr>
    </w:div>
    <w:div w:id="1275140695">
      <w:bodyDiv w:val="1"/>
      <w:marLeft w:val="0"/>
      <w:marRight w:val="0"/>
      <w:marTop w:val="0"/>
      <w:marBottom w:val="0"/>
      <w:divBdr>
        <w:top w:val="none" w:sz="0" w:space="0" w:color="auto"/>
        <w:left w:val="none" w:sz="0" w:space="0" w:color="auto"/>
        <w:bottom w:val="none" w:sz="0" w:space="0" w:color="auto"/>
        <w:right w:val="none" w:sz="0" w:space="0" w:color="auto"/>
      </w:divBdr>
    </w:div>
    <w:div w:id="1277251791">
      <w:bodyDiv w:val="1"/>
      <w:marLeft w:val="0"/>
      <w:marRight w:val="0"/>
      <w:marTop w:val="0"/>
      <w:marBottom w:val="0"/>
      <w:divBdr>
        <w:top w:val="none" w:sz="0" w:space="0" w:color="auto"/>
        <w:left w:val="none" w:sz="0" w:space="0" w:color="auto"/>
        <w:bottom w:val="none" w:sz="0" w:space="0" w:color="auto"/>
        <w:right w:val="none" w:sz="0" w:space="0" w:color="auto"/>
      </w:divBdr>
      <w:divsChild>
        <w:div w:id="617876653">
          <w:marLeft w:val="0"/>
          <w:marRight w:val="0"/>
          <w:marTop w:val="0"/>
          <w:marBottom w:val="0"/>
          <w:divBdr>
            <w:top w:val="none" w:sz="0" w:space="0" w:color="auto"/>
            <w:left w:val="none" w:sz="0" w:space="0" w:color="auto"/>
            <w:bottom w:val="none" w:sz="0" w:space="0" w:color="auto"/>
            <w:right w:val="none" w:sz="0" w:space="0" w:color="auto"/>
          </w:divBdr>
          <w:divsChild>
            <w:div w:id="377710453">
              <w:marLeft w:val="0"/>
              <w:marRight w:val="0"/>
              <w:marTop w:val="0"/>
              <w:marBottom w:val="0"/>
              <w:divBdr>
                <w:top w:val="none" w:sz="0" w:space="0" w:color="auto"/>
                <w:left w:val="none" w:sz="0" w:space="0" w:color="auto"/>
                <w:bottom w:val="none" w:sz="0" w:space="0" w:color="auto"/>
                <w:right w:val="none" w:sz="0" w:space="0" w:color="auto"/>
              </w:divBdr>
              <w:divsChild>
                <w:div w:id="11017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302384">
      <w:bodyDiv w:val="1"/>
      <w:marLeft w:val="0"/>
      <w:marRight w:val="0"/>
      <w:marTop w:val="0"/>
      <w:marBottom w:val="0"/>
      <w:divBdr>
        <w:top w:val="none" w:sz="0" w:space="0" w:color="auto"/>
        <w:left w:val="none" w:sz="0" w:space="0" w:color="auto"/>
        <w:bottom w:val="none" w:sz="0" w:space="0" w:color="auto"/>
        <w:right w:val="none" w:sz="0" w:space="0" w:color="auto"/>
      </w:divBdr>
    </w:div>
    <w:div w:id="1291210042">
      <w:bodyDiv w:val="1"/>
      <w:marLeft w:val="0"/>
      <w:marRight w:val="0"/>
      <w:marTop w:val="0"/>
      <w:marBottom w:val="0"/>
      <w:divBdr>
        <w:top w:val="none" w:sz="0" w:space="0" w:color="auto"/>
        <w:left w:val="none" w:sz="0" w:space="0" w:color="auto"/>
        <w:bottom w:val="none" w:sz="0" w:space="0" w:color="auto"/>
        <w:right w:val="none" w:sz="0" w:space="0" w:color="auto"/>
      </w:divBdr>
      <w:divsChild>
        <w:div w:id="1456099736">
          <w:marLeft w:val="0"/>
          <w:marRight w:val="0"/>
          <w:marTop w:val="0"/>
          <w:marBottom w:val="0"/>
          <w:divBdr>
            <w:top w:val="none" w:sz="0" w:space="0" w:color="auto"/>
            <w:left w:val="none" w:sz="0" w:space="0" w:color="auto"/>
            <w:bottom w:val="none" w:sz="0" w:space="0" w:color="auto"/>
            <w:right w:val="none" w:sz="0" w:space="0" w:color="auto"/>
          </w:divBdr>
          <w:divsChild>
            <w:div w:id="2132623206">
              <w:marLeft w:val="0"/>
              <w:marRight w:val="0"/>
              <w:marTop w:val="0"/>
              <w:marBottom w:val="0"/>
              <w:divBdr>
                <w:top w:val="none" w:sz="0" w:space="0" w:color="auto"/>
                <w:left w:val="none" w:sz="0" w:space="0" w:color="auto"/>
                <w:bottom w:val="none" w:sz="0" w:space="0" w:color="auto"/>
                <w:right w:val="none" w:sz="0" w:space="0" w:color="auto"/>
              </w:divBdr>
              <w:divsChild>
                <w:div w:id="156016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878456">
      <w:bodyDiv w:val="1"/>
      <w:marLeft w:val="0"/>
      <w:marRight w:val="0"/>
      <w:marTop w:val="0"/>
      <w:marBottom w:val="0"/>
      <w:divBdr>
        <w:top w:val="none" w:sz="0" w:space="0" w:color="auto"/>
        <w:left w:val="none" w:sz="0" w:space="0" w:color="auto"/>
        <w:bottom w:val="none" w:sz="0" w:space="0" w:color="auto"/>
        <w:right w:val="none" w:sz="0" w:space="0" w:color="auto"/>
      </w:divBdr>
    </w:div>
    <w:div w:id="1315571728">
      <w:bodyDiv w:val="1"/>
      <w:marLeft w:val="0"/>
      <w:marRight w:val="0"/>
      <w:marTop w:val="0"/>
      <w:marBottom w:val="0"/>
      <w:divBdr>
        <w:top w:val="none" w:sz="0" w:space="0" w:color="auto"/>
        <w:left w:val="none" w:sz="0" w:space="0" w:color="auto"/>
        <w:bottom w:val="none" w:sz="0" w:space="0" w:color="auto"/>
        <w:right w:val="none" w:sz="0" w:space="0" w:color="auto"/>
      </w:divBdr>
    </w:div>
    <w:div w:id="1337000994">
      <w:bodyDiv w:val="1"/>
      <w:marLeft w:val="0"/>
      <w:marRight w:val="0"/>
      <w:marTop w:val="0"/>
      <w:marBottom w:val="0"/>
      <w:divBdr>
        <w:top w:val="none" w:sz="0" w:space="0" w:color="auto"/>
        <w:left w:val="none" w:sz="0" w:space="0" w:color="auto"/>
        <w:bottom w:val="none" w:sz="0" w:space="0" w:color="auto"/>
        <w:right w:val="none" w:sz="0" w:space="0" w:color="auto"/>
      </w:divBdr>
    </w:div>
    <w:div w:id="1347946372">
      <w:bodyDiv w:val="1"/>
      <w:marLeft w:val="0"/>
      <w:marRight w:val="0"/>
      <w:marTop w:val="0"/>
      <w:marBottom w:val="0"/>
      <w:divBdr>
        <w:top w:val="none" w:sz="0" w:space="0" w:color="auto"/>
        <w:left w:val="none" w:sz="0" w:space="0" w:color="auto"/>
        <w:bottom w:val="none" w:sz="0" w:space="0" w:color="auto"/>
        <w:right w:val="none" w:sz="0" w:space="0" w:color="auto"/>
      </w:divBdr>
    </w:div>
    <w:div w:id="1356811427">
      <w:bodyDiv w:val="1"/>
      <w:marLeft w:val="0"/>
      <w:marRight w:val="0"/>
      <w:marTop w:val="0"/>
      <w:marBottom w:val="0"/>
      <w:divBdr>
        <w:top w:val="none" w:sz="0" w:space="0" w:color="auto"/>
        <w:left w:val="none" w:sz="0" w:space="0" w:color="auto"/>
        <w:bottom w:val="none" w:sz="0" w:space="0" w:color="auto"/>
        <w:right w:val="none" w:sz="0" w:space="0" w:color="auto"/>
      </w:divBdr>
    </w:div>
    <w:div w:id="1370454306">
      <w:bodyDiv w:val="1"/>
      <w:marLeft w:val="0"/>
      <w:marRight w:val="0"/>
      <w:marTop w:val="0"/>
      <w:marBottom w:val="0"/>
      <w:divBdr>
        <w:top w:val="none" w:sz="0" w:space="0" w:color="auto"/>
        <w:left w:val="none" w:sz="0" w:space="0" w:color="auto"/>
        <w:bottom w:val="none" w:sz="0" w:space="0" w:color="auto"/>
        <w:right w:val="none" w:sz="0" w:space="0" w:color="auto"/>
      </w:divBdr>
    </w:div>
    <w:div w:id="1382173355">
      <w:bodyDiv w:val="1"/>
      <w:marLeft w:val="0"/>
      <w:marRight w:val="0"/>
      <w:marTop w:val="0"/>
      <w:marBottom w:val="0"/>
      <w:divBdr>
        <w:top w:val="none" w:sz="0" w:space="0" w:color="auto"/>
        <w:left w:val="none" w:sz="0" w:space="0" w:color="auto"/>
        <w:bottom w:val="none" w:sz="0" w:space="0" w:color="auto"/>
        <w:right w:val="none" w:sz="0" w:space="0" w:color="auto"/>
      </w:divBdr>
      <w:divsChild>
        <w:div w:id="746345890">
          <w:marLeft w:val="0"/>
          <w:marRight w:val="0"/>
          <w:marTop w:val="0"/>
          <w:marBottom w:val="0"/>
          <w:divBdr>
            <w:top w:val="none" w:sz="0" w:space="0" w:color="auto"/>
            <w:left w:val="none" w:sz="0" w:space="0" w:color="auto"/>
            <w:bottom w:val="none" w:sz="0" w:space="0" w:color="auto"/>
            <w:right w:val="none" w:sz="0" w:space="0" w:color="auto"/>
          </w:divBdr>
          <w:divsChild>
            <w:div w:id="1230728107">
              <w:marLeft w:val="0"/>
              <w:marRight w:val="0"/>
              <w:marTop w:val="0"/>
              <w:marBottom w:val="0"/>
              <w:divBdr>
                <w:top w:val="none" w:sz="0" w:space="0" w:color="auto"/>
                <w:left w:val="none" w:sz="0" w:space="0" w:color="auto"/>
                <w:bottom w:val="none" w:sz="0" w:space="0" w:color="auto"/>
                <w:right w:val="none" w:sz="0" w:space="0" w:color="auto"/>
              </w:divBdr>
              <w:divsChild>
                <w:div w:id="63445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605004">
      <w:bodyDiv w:val="1"/>
      <w:marLeft w:val="0"/>
      <w:marRight w:val="0"/>
      <w:marTop w:val="0"/>
      <w:marBottom w:val="0"/>
      <w:divBdr>
        <w:top w:val="none" w:sz="0" w:space="0" w:color="auto"/>
        <w:left w:val="none" w:sz="0" w:space="0" w:color="auto"/>
        <w:bottom w:val="none" w:sz="0" w:space="0" w:color="auto"/>
        <w:right w:val="none" w:sz="0" w:space="0" w:color="auto"/>
      </w:divBdr>
    </w:div>
    <w:div w:id="1402680592">
      <w:bodyDiv w:val="1"/>
      <w:marLeft w:val="0"/>
      <w:marRight w:val="0"/>
      <w:marTop w:val="0"/>
      <w:marBottom w:val="0"/>
      <w:divBdr>
        <w:top w:val="none" w:sz="0" w:space="0" w:color="auto"/>
        <w:left w:val="none" w:sz="0" w:space="0" w:color="auto"/>
        <w:bottom w:val="none" w:sz="0" w:space="0" w:color="auto"/>
        <w:right w:val="none" w:sz="0" w:space="0" w:color="auto"/>
      </w:divBdr>
    </w:div>
    <w:div w:id="1403913328">
      <w:bodyDiv w:val="1"/>
      <w:marLeft w:val="0"/>
      <w:marRight w:val="0"/>
      <w:marTop w:val="0"/>
      <w:marBottom w:val="0"/>
      <w:divBdr>
        <w:top w:val="none" w:sz="0" w:space="0" w:color="auto"/>
        <w:left w:val="none" w:sz="0" w:space="0" w:color="auto"/>
        <w:bottom w:val="none" w:sz="0" w:space="0" w:color="auto"/>
        <w:right w:val="none" w:sz="0" w:space="0" w:color="auto"/>
      </w:divBdr>
    </w:div>
    <w:div w:id="1416829449">
      <w:bodyDiv w:val="1"/>
      <w:marLeft w:val="0"/>
      <w:marRight w:val="0"/>
      <w:marTop w:val="0"/>
      <w:marBottom w:val="0"/>
      <w:divBdr>
        <w:top w:val="none" w:sz="0" w:space="0" w:color="auto"/>
        <w:left w:val="none" w:sz="0" w:space="0" w:color="auto"/>
        <w:bottom w:val="none" w:sz="0" w:space="0" w:color="auto"/>
        <w:right w:val="none" w:sz="0" w:space="0" w:color="auto"/>
      </w:divBdr>
    </w:div>
    <w:div w:id="1423573166">
      <w:bodyDiv w:val="1"/>
      <w:marLeft w:val="0"/>
      <w:marRight w:val="0"/>
      <w:marTop w:val="0"/>
      <w:marBottom w:val="0"/>
      <w:divBdr>
        <w:top w:val="none" w:sz="0" w:space="0" w:color="auto"/>
        <w:left w:val="none" w:sz="0" w:space="0" w:color="auto"/>
        <w:bottom w:val="none" w:sz="0" w:space="0" w:color="auto"/>
        <w:right w:val="none" w:sz="0" w:space="0" w:color="auto"/>
      </w:divBdr>
    </w:div>
    <w:div w:id="1428424325">
      <w:bodyDiv w:val="1"/>
      <w:marLeft w:val="0"/>
      <w:marRight w:val="0"/>
      <w:marTop w:val="0"/>
      <w:marBottom w:val="0"/>
      <w:divBdr>
        <w:top w:val="none" w:sz="0" w:space="0" w:color="auto"/>
        <w:left w:val="none" w:sz="0" w:space="0" w:color="auto"/>
        <w:bottom w:val="none" w:sz="0" w:space="0" w:color="auto"/>
        <w:right w:val="none" w:sz="0" w:space="0" w:color="auto"/>
      </w:divBdr>
    </w:div>
    <w:div w:id="1467969177">
      <w:bodyDiv w:val="1"/>
      <w:marLeft w:val="0"/>
      <w:marRight w:val="0"/>
      <w:marTop w:val="0"/>
      <w:marBottom w:val="0"/>
      <w:divBdr>
        <w:top w:val="none" w:sz="0" w:space="0" w:color="auto"/>
        <w:left w:val="none" w:sz="0" w:space="0" w:color="auto"/>
        <w:bottom w:val="none" w:sz="0" w:space="0" w:color="auto"/>
        <w:right w:val="none" w:sz="0" w:space="0" w:color="auto"/>
      </w:divBdr>
    </w:div>
    <w:div w:id="1470437067">
      <w:bodyDiv w:val="1"/>
      <w:marLeft w:val="0"/>
      <w:marRight w:val="0"/>
      <w:marTop w:val="0"/>
      <w:marBottom w:val="0"/>
      <w:divBdr>
        <w:top w:val="none" w:sz="0" w:space="0" w:color="auto"/>
        <w:left w:val="none" w:sz="0" w:space="0" w:color="auto"/>
        <w:bottom w:val="none" w:sz="0" w:space="0" w:color="auto"/>
        <w:right w:val="none" w:sz="0" w:space="0" w:color="auto"/>
      </w:divBdr>
    </w:div>
    <w:div w:id="1482190183">
      <w:bodyDiv w:val="1"/>
      <w:marLeft w:val="0"/>
      <w:marRight w:val="0"/>
      <w:marTop w:val="0"/>
      <w:marBottom w:val="0"/>
      <w:divBdr>
        <w:top w:val="none" w:sz="0" w:space="0" w:color="auto"/>
        <w:left w:val="none" w:sz="0" w:space="0" w:color="auto"/>
        <w:bottom w:val="none" w:sz="0" w:space="0" w:color="auto"/>
        <w:right w:val="none" w:sz="0" w:space="0" w:color="auto"/>
      </w:divBdr>
      <w:divsChild>
        <w:div w:id="828716281">
          <w:marLeft w:val="0"/>
          <w:marRight w:val="0"/>
          <w:marTop w:val="0"/>
          <w:marBottom w:val="0"/>
          <w:divBdr>
            <w:top w:val="none" w:sz="0" w:space="0" w:color="auto"/>
            <w:left w:val="none" w:sz="0" w:space="0" w:color="auto"/>
            <w:bottom w:val="none" w:sz="0" w:space="0" w:color="auto"/>
            <w:right w:val="none" w:sz="0" w:space="0" w:color="auto"/>
          </w:divBdr>
          <w:divsChild>
            <w:div w:id="193469853">
              <w:marLeft w:val="0"/>
              <w:marRight w:val="0"/>
              <w:marTop w:val="0"/>
              <w:marBottom w:val="0"/>
              <w:divBdr>
                <w:top w:val="none" w:sz="0" w:space="0" w:color="auto"/>
                <w:left w:val="none" w:sz="0" w:space="0" w:color="auto"/>
                <w:bottom w:val="none" w:sz="0" w:space="0" w:color="auto"/>
                <w:right w:val="none" w:sz="0" w:space="0" w:color="auto"/>
              </w:divBdr>
              <w:divsChild>
                <w:div w:id="725377251">
                  <w:marLeft w:val="0"/>
                  <w:marRight w:val="0"/>
                  <w:marTop w:val="0"/>
                  <w:marBottom w:val="0"/>
                  <w:divBdr>
                    <w:top w:val="none" w:sz="0" w:space="0" w:color="auto"/>
                    <w:left w:val="none" w:sz="0" w:space="0" w:color="auto"/>
                    <w:bottom w:val="none" w:sz="0" w:space="0" w:color="auto"/>
                    <w:right w:val="none" w:sz="0" w:space="0" w:color="auto"/>
                  </w:divBdr>
                  <w:divsChild>
                    <w:div w:id="1905410521">
                      <w:marLeft w:val="0"/>
                      <w:marRight w:val="0"/>
                      <w:marTop w:val="450"/>
                      <w:marBottom w:val="0"/>
                      <w:divBdr>
                        <w:top w:val="none" w:sz="0" w:space="0" w:color="auto"/>
                        <w:left w:val="none" w:sz="0" w:space="0" w:color="auto"/>
                        <w:bottom w:val="none" w:sz="0" w:space="0" w:color="auto"/>
                        <w:right w:val="none" w:sz="0" w:space="0" w:color="auto"/>
                      </w:divBdr>
                      <w:divsChild>
                        <w:div w:id="1296764281">
                          <w:marLeft w:val="0"/>
                          <w:marRight w:val="0"/>
                          <w:marTop w:val="150"/>
                          <w:marBottom w:val="0"/>
                          <w:divBdr>
                            <w:top w:val="none" w:sz="0" w:space="0" w:color="auto"/>
                            <w:left w:val="none" w:sz="0" w:space="0" w:color="auto"/>
                            <w:bottom w:val="single" w:sz="6" w:space="8" w:color="D0D0D0"/>
                            <w:right w:val="none" w:sz="0" w:space="0" w:color="auto"/>
                          </w:divBdr>
                          <w:divsChild>
                            <w:div w:id="1924681316">
                              <w:marLeft w:val="0"/>
                              <w:marRight w:val="0"/>
                              <w:marTop w:val="0"/>
                              <w:marBottom w:val="0"/>
                              <w:divBdr>
                                <w:top w:val="none" w:sz="0" w:space="0" w:color="auto"/>
                                <w:left w:val="none" w:sz="0" w:space="0" w:color="auto"/>
                                <w:bottom w:val="none" w:sz="0" w:space="0" w:color="auto"/>
                                <w:right w:val="none" w:sz="0" w:space="0" w:color="auto"/>
                              </w:divBdr>
                            </w:div>
                            <w:div w:id="5984822">
                              <w:marLeft w:val="0"/>
                              <w:marRight w:val="0"/>
                              <w:marTop w:val="0"/>
                              <w:marBottom w:val="0"/>
                              <w:divBdr>
                                <w:top w:val="none" w:sz="0" w:space="0" w:color="auto"/>
                                <w:left w:val="none" w:sz="0" w:space="0" w:color="auto"/>
                                <w:bottom w:val="none" w:sz="0" w:space="0" w:color="auto"/>
                                <w:right w:val="none" w:sz="0" w:space="0" w:color="auto"/>
                              </w:divBdr>
                            </w:div>
                            <w:div w:id="1977759340">
                              <w:marLeft w:val="0"/>
                              <w:marRight w:val="0"/>
                              <w:marTop w:val="0"/>
                              <w:marBottom w:val="0"/>
                              <w:divBdr>
                                <w:top w:val="none" w:sz="0" w:space="0" w:color="auto"/>
                                <w:left w:val="none" w:sz="0" w:space="0" w:color="auto"/>
                                <w:bottom w:val="none" w:sz="0" w:space="0" w:color="auto"/>
                                <w:right w:val="none" w:sz="0" w:space="0" w:color="auto"/>
                              </w:divBdr>
                            </w:div>
                            <w:div w:id="1596012311">
                              <w:marLeft w:val="0"/>
                              <w:marRight w:val="0"/>
                              <w:marTop w:val="0"/>
                              <w:marBottom w:val="0"/>
                              <w:divBdr>
                                <w:top w:val="none" w:sz="0" w:space="0" w:color="auto"/>
                                <w:left w:val="none" w:sz="0" w:space="0" w:color="auto"/>
                                <w:bottom w:val="none" w:sz="0" w:space="0" w:color="auto"/>
                                <w:right w:val="none" w:sz="0" w:space="0" w:color="auto"/>
                              </w:divBdr>
                            </w:div>
                            <w:div w:id="19824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1166324">
      <w:bodyDiv w:val="1"/>
      <w:marLeft w:val="0"/>
      <w:marRight w:val="0"/>
      <w:marTop w:val="0"/>
      <w:marBottom w:val="0"/>
      <w:divBdr>
        <w:top w:val="none" w:sz="0" w:space="0" w:color="auto"/>
        <w:left w:val="none" w:sz="0" w:space="0" w:color="auto"/>
        <w:bottom w:val="none" w:sz="0" w:space="0" w:color="auto"/>
        <w:right w:val="none" w:sz="0" w:space="0" w:color="auto"/>
      </w:divBdr>
    </w:div>
    <w:div w:id="1543441364">
      <w:bodyDiv w:val="1"/>
      <w:marLeft w:val="0"/>
      <w:marRight w:val="0"/>
      <w:marTop w:val="0"/>
      <w:marBottom w:val="0"/>
      <w:divBdr>
        <w:top w:val="none" w:sz="0" w:space="0" w:color="auto"/>
        <w:left w:val="none" w:sz="0" w:space="0" w:color="auto"/>
        <w:bottom w:val="none" w:sz="0" w:space="0" w:color="auto"/>
        <w:right w:val="none" w:sz="0" w:space="0" w:color="auto"/>
      </w:divBdr>
      <w:divsChild>
        <w:div w:id="1360663879">
          <w:marLeft w:val="0"/>
          <w:marRight w:val="0"/>
          <w:marTop w:val="0"/>
          <w:marBottom w:val="0"/>
          <w:divBdr>
            <w:top w:val="none" w:sz="0" w:space="0" w:color="auto"/>
            <w:left w:val="none" w:sz="0" w:space="0" w:color="auto"/>
            <w:bottom w:val="none" w:sz="0" w:space="0" w:color="auto"/>
            <w:right w:val="none" w:sz="0" w:space="0" w:color="auto"/>
          </w:divBdr>
          <w:divsChild>
            <w:div w:id="47338575">
              <w:marLeft w:val="0"/>
              <w:marRight w:val="0"/>
              <w:marTop w:val="0"/>
              <w:marBottom w:val="0"/>
              <w:divBdr>
                <w:top w:val="none" w:sz="0" w:space="0" w:color="auto"/>
                <w:left w:val="none" w:sz="0" w:space="0" w:color="auto"/>
                <w:bottom w:val="none" w:sz="0" w:space="0" w:color="auto"/>
                <w:right w:val="none" w:sz="0" w:space="0" w:color="auto"/>
              </w:divBdr>
              <w:divsChild>
                <w:div w:id="884298788">
                  <w:marLeft w:val="0"/>
                  <w:marRight w:val="0"/>
                  <w:marTop w:val="0"/>
                  <w:marBottom w:val="0"/>
                  <w:divBdr>
                    <w:top w:val="none" w:sz="0" w:space="0" w:color="auto"/>
                    <w:left w:val="none" w:sz="0" w:space="0" w:color="auto"/>
                    <w:bottom w:val="none" w:sz="0" w:space="0" w:color="auto"/>
                    <w:right w:val="none" w:sz="0" w:space="0" w:color="auto"/>
                  </w:divBdr>
                </w:div>
              </w:divsChild>
            </w:div>
            <w:div w:id="480119857">
              <w:marLeft w:val="0"/>
              <w:marRight w:val="0"/>
              <w:marTop w:val="0"/>
              <w:marBottom w:val="0"/>
              <w:divBdr>
                <w:top w:val="none" w:sz="0" w:space="0" w:color="auto"/>
                <w:left w:val="none" w:sz="0" w:space="0" w:color="auto"/>
                <w:bottom w:val="none" w:sz="0" w:space="0" w:color="auto"/>
                <w:right w:val="none" w:sz="0" w:space="0" w:color="auto"/>
              </w:divBdr>
              <w:divsChild>
                <w:div w:id="7432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017008">
      <w:bodyDiv w:val="1"/>
      <w:marLeft w:val="0"/>
      <w:marRight w:val="0"/>
      <w:marTop w:val="0"/>
      <w:marBottom w:val="0"/>
      <w:divBdr>
        <w:top w:val="none" w:sz="0" w:space="0" w:color="auto"/>
        <w:left w:val="none" w:sz="0" w:space="0" w:color="auto"/>
        <w:bottom w:val="none" w:sz="0" w:space="0" w:color="auto"/>
        <w:right w:val="none" w:sz="0" w:space="0" w:color="auto"/>
      </w:divBdr>
    </w:div>
    <w:div w:id="1583176744">
      <w:bodyDiv w:val="1"/>
      <w:marLeft w:val="0"/>
      <w:marRight w:val="0"/>
      <w:marTop w:val="0"/>
      <w:marBottom w:val="0"/>
      <w:divBdr>
        <w:top w:val="none" w:sz="0" w:space="0" w:color="auto"/>
        <w:left w:val="none" w:sz="0" w:space="0" w:color="auto"/>
        <w:bottom w:val="none" w:sz="0" w:space="0" w:color="auto"/>
        <w:right w:val="none" w:sz="0" w:space="0" w:color="auto"/>
      </w:divBdr>
    </w:div>
    <w:div w:id="1599481467">
      <w:bodyDiv w:val="1"/>
      <w:marLeft w:val="0"/>
      <w:marRight w:val="0"/>
      <w:marTop w:val="0"/>
      <w:marBottom w:val="0"/>
      <w:divBdr>
        <w:top w:val="none" w:sz="0" w:space="0" w:color="auto"/>
        <w:left w:val="none" w:sz="0" w:space="0" w:color="auto"/>
        <w:bottom w:val="none" w:sz="0" w:space="0" w:color="auto"/>
        <w:right w:val="none" w:sz="0" w:space="0" w:color="auto"/>
      </w:divBdr>
    </w:div>
    <w:div w:id="1635258133">
      <w:bodyDiv w:val="1"/>
      <w:marLeft w:val="0"/>
      <w:marRight w:val="0"/>
      <w:marTop w:val="0"/>
      <w:marBottom w:val="0"/>
      <w:divBdr>
        <w:top w:val="none" w:sz="0" w:space="0" w:color="auto"/>
        <w:left w:val="none" w:sz="0" w:space="0" w:color="auto"/>
        <w:bottom w:val="none" w:sz="0" w:space="0" w:color="auto"/>
        <w:right w:val="none" w:sz="0" w:space="0" w:color="auto"/>
      </w:divBdr>
    </w:div>
    <w:div w:id="1645308295">
      <w:bodyDiv w:val="1"/>
      <w:marLeft w:val="0"/>
      <w:marRight w:val="0"/>
      <w:marTop w:val="0"/>
      <w:marBottom w:val="0"/>
      <w:divBdr>
        <w:top w:val="none" w:sz="0" w:space="0" w:color="auto"/>
        <w:left w:val="none" w:sz="0" w:space="0" w:color="auto"/>
        <w:bottom w:val="none" w:sz="0" w:space="0" w:color="auto"/>
        <w:right w:val="none" w:sz="0" w:space="0" w:color="auto"/>
      </w:divBdr>
    </w:div>
    <w:div w:id="1653634510">
      <w:bodyDiv w:val="1"/>
      <w:marLeft w:val="0"/>
      <w:marRight w:val="0"/>
      <w:marTop w:val="0"/>
      <w:marBottom w:val="0"/>
      <w:divBdr>
        <w:top w:val="none" w:sz="0" w:space="0" w:color="auto"/>
        <w:left w:val="none" w:sz="0" w:space="0" w:color="auto"/>
        <w:bottom w:val="none" w:sz="0" w:space="0" w:color="auto"/>
        <w:right w:val="none" w:sz="0" w:space="0" w:color="auto"/>
      </w:divBdr>
    </w:div>
    <w:div w:id="1684044942">
      <w:bodyDiv w:val="1"/>
      <w:marLeft w:val="0"/>
      <w:marRight w:val="0"/>
      <w:marTop w:val="0"/>
      <w:marBottom w:val="0"/>
      <w:divBdr>
        <w:top w:val="none" w:sz="0" w:space="0" w:color="auto"/>
        <w:left w:val="none" w:sz="0" w:space="0" w:color="auto"/>
        <w:bottom w:val="none" w:sz="0" w:space="0" w:color="auto"/>
        <w:right w:val="none" w:sz="0" w:space="0" w:color="auto"/>
      </w:divBdr>
      <w:divsChild>
        <w:div w:id="1637486612">
          <w:marLeft w:val="0"/>
          <w:marRight w:val="0"/>
          <w:marTop w:val="0"/>
          <w:marBottom w:val="0"/>
          <w:divBdr>
            <w:top w:val="none" w:sz="0" w:space="0" w:color="auto"/>
            <w:left w:val="none" w:sz="0" w:space="0" w:color="auto"/>
            <w:bottom w:val="none" w:sz="0" w:space="0" w:color="auto"/>
            <w:right w:val="none" w:sz="0" w:space="0" w:color="auto"/>
          </w:divBdr>
          <w:divsChild>
            <w:div w:id="740836196">
              <w:marLeft w:val="0"/>
              <w:marRight w:val="0"/>
              <w:marTop w:val="0"/>
              <w:marBottom w:val="0"/>
              <w:divBdr>
                <w:top w:val="none" w:sz="0" w:space="0" w:color="auto"/>
                <w:left w:val="none" w:sz="0" w:space="0" w:color="auto"/>
                <w:bottom w:val="none" w:sz="0" w:space="0" w:color="auto"/>
                <w:right w:val="none" w:sz="0" w:space="0" w:color="auto"/>
              </w:divBdr>
              <w:divsChild>
                <w:div w:id="149352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118552">
      <w:bodyDiv w:val="1"/>
      <w:marLeft w:val="0"/>
      <w:marRight w:val="0"/>
      <w:marTop w:val="0"/>
      <w:marBottom w:val="0"/>
      <w:divBdr>
        <w:top w:val="none" w:sz="0" w:space="0" w:color="auto"/>
        <w:left w:val="none" w:sz="0" w:space="0" w:color="auto"/>
        <w:bottom w:val="none" w:sz="0" w:space="0" w:color="auto"/>
        <w:right w:val="none" w:sz="0" w:space="0" w:color="auto"/>
      </w:divBdr>
    </w:div>
    <w:div w:id="1712074271">
      <w:bodyDiv w:val="1"/>
      <w:marLeft w:val="0"/>
      <w:marRight w:val="0"/>
      <w:marTop w:val="0"/>
      <w:marBottom w:val="0"/>
      <w:divBdr>
        <w:top w:val="none" w:sz="0" w:space="0" w:color="auto"/>
        <w:left w:val="none" w:sz="0" w:space="0" w:color="auto"/>
        <w:bottom w:val="none" w:sz="0" w:space="0" w:color="auto"/>
        <w:right w:val="none" w:sz="0" w:space="0" w:color="auto"/>
      </w:divBdr>
      <w:divsChild>
        <w:div w:id="2132286011">
          <w:marLeft w:val="0"/>
          <w:marRight w:val="0"/>
          <w:marTop w:val="0"/>
          <w:marBottom w:val="0"/>
          <w:divBdr>
            <w:top w:val="none" w:sz="0" w:space="0" w:color="auto"/>
            <w:left w:val="none" w:sz="0" w:space="0" w:color="auto"/>
            <w:bottom w:val="none" w:sz="0" w:space="0" w:color="auto"/>
            <w:right w:val="none" w:sz="0" w:space="0" w:color="auto"/>
          </w:divBdr>
          <w:divsChild>
            <w:div w:id="132337022">
              <w:marLeft w:val="0"/>
              <w:marRight w:val="0"/>
              <w:marTop w:val="0"/>
              <w:marBottom w:val="0"/>
              <w:divBdr>
                <w:top w:val="none" w:sz="0" w:space="0" w:color="auto"/>
                <w:left w:val="none" w:sz="0" w:space="0" w:color="auto"/>
                <w:bottom w:val="none" w:sz="0" w:space="0" w:color="auto"/>
                <w:right w:val="none" w:sz="0" w:space="0" w:color="auto"/>
              </w:divBdr>
              <w:divsChild>
                <w:div w:id="85427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838775">
      <w:bodyDiv w:val="1"/>
      <w:marLeft w:val="0"/>
      <w:marRight w:val="0"/>
      <w:marTop w:val="0"/>
      <w:marBottom w:val="0"/>
      <w:divBdr>
        <w:top w:val="none" w:sz="0" w:space="0" w:color="auto"/>
        <w:left w:val="none" w:sz="0" w:space="0" w:color="auto"/>
        <w:bottom w:val="none" w:sz="0" w:space="0" w:color="auto"/>
        <w:right w:val="none" w:sz="0" w:space="0" w:color="auto"/>
      </w:divBdr>
    </w:div>
    <w:div w:id="1762726233">
      <w:bodyDiv w:val="1"/>
      <w:marLeft w:val="0"/>
      <w:marRight w:val="0"/>
      <w:marTop w:val="0"/>
      <w:marBottom w:val="0"/>
      <w:divBdr>
        <w:top w:val="none" w:sz="0" w:space="0" w:color="auto"/>
        <w:left w:val="none" w:sz="0" w:space="0" w:color="auto"/>
        <w:bottom w:val="none" w:sz="0" w:space="0" w:color="auto"/>
        <w:right w:val="none" w:sz="0" w:space="0" w:color="auto"/>
      </w:divBdr>
    </w:div>
    <w:div w:id="1769233627">
      <w:bodyDiv w:val="1"/>
      <w:marLeft w:val="0"/>
      <w:marRight w:val="0"/>
      <w:marTop w:val="0"/>
      <w:marBottom w:val="0"/>
      <w:divBdr>
        <w:top w:val="none" w:sz="0" w:space="0" w:color="auto"/>
        <w:left w:val="none" w:sz="0" w:space="0" w:color="auto"/>
        <w:bottom w:val="none" w:sz="0" w:space="0" w:color="auto"/>
        <w:right w:val="none" w:sz="0" w:space="0" w:color="auto"/>
      </w:divBdr>
    </w:div>
    <w:div w:id="1803882734">
      <w:bodyDiv w:val="1"/>
      <w:marLeft w:val="0"/>
      <w:marRight w:val="0"/>
      <w:marTop w:val="0"/>
      <w:marBottom w:val="0"/>
      <w:divBdr>
        <w:top w:val="none" w:sz="0" w:space="0" w:color="auto"/>
        <w:left w:val="none" w:sz="0" w:space="0" w:color="auto"/>
        <w:bottom w:val="none" w:sz="0" w:space="0" w:color="auto"/>
        <w:right w:val="none" w:sz="0" w:space="0" w:color="auto"/>
      </w:divBdr>
      <w:divsChild>
        <w:div w:id="299965451">
          <w:marLeft w:val="0"/>
          <w:marRight w:val="0"/>
          <w:marTop w:val="0"/>
          <w:marBottom w:val="0"/>
          <w:divBdr>
            <w:top w:val="none" w:sz="0" w:space="0" w:color="auto"/>
            <w:left w:val="none" w:sz="0" w:space="0" w:color="auto"/>
            <w:bottom w:val="none" w:sz="0" w:space="0" w:color="auto"/>
            <w:right w:val="none" w:sz="0" w:space="0" w:color="auto"/>
          </w:divBdr>
          <w:divsChild>
            <w:div w:id="1534810285">
              <w:marLeft w:val="0"/>
              <w:marRight w:val="0"/>
              <w:marTop w:val="0"/>
              <w:marBottom w:val="0"/>
              <w:divBdr>
                <w:top w:val="none" w:sz="0" w:space="0" w:color="auto"/>
                <w:left w:val="none" w:sz="0" w:space="0" w:color="auto"/>
                <w:bottom w:val="none" w:sz="0" w:space="0" w:color="auto"/>
                <w:right w:val="none" w:sz="0" w:space="0" w:color="auto"/>
              </w:divBdr>
              <w:divsChild>
                <w:div w:id="40437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275620">
      <w:bodyDiv w:val="1"/>
      <w:marLeft w:val="0"/>
      <w:marRight w:val="0"/>
      <w:marTop w:val="0"/>
      <w:marBottom w:val="0"/>
      <w:divBdr>
        <w:top w:val="none" w:sz="0" w:space="0" w:color="auto"/>
        <w:left w:val="none" w:sz="0" w:space="0" w:color="auto"/>
        <w:bottom w:val="none" w:sz="0" w:space="0" w:color="auto"/>
        <w:right w:val="none" w:sz="0" w:space="0" w:color="auto"/>
      </w:divBdr>
      <w:divsChild>
        <w:div w:id="1341927966">
          <w:marLeft w:val="0"/>
          <w:marRight w:val="0"/>
          <w:marTop w:val="0"/>
          <w:marBottom w:val="0"/>
          <w:divBdr>
            <w:top w:val="none" w:sz="0" w:space="0" w:color="auto"/>
            <w:left w:val="none" w:sz="0" w:space="0" w:color="auto"/>
            <w:bottom w:val="none" w:sz="0" w:space="0" w:color="auto"/>
            <w:right w:val="none" w:sz="0" w:space="0" w:color="auto"/>
          </w:divBdr>
        </w:div>
        <w:div w:id="977339172">
          <w:marLeft w:val="0"/>
          <w:marRight w:val="0"/>
          <w:marTop w:val="0"/>
          <w:marBottom w:val="0"/>
          <w:divBdr>
            <w:top w:val="none" w:sz="0" w:space="0" w:color="auto"/>
            <w:left w:val="none" w:sz="0" w:space="0" w:color="auto"/>
            <w:bottom w:val="none" w:sz="0" w:space="0" w:color="auto"/>
            <w:right w:val="none" w:sz="0" w:space="0" w:color="auto"/>
          </w:divBdr>
        </w:div>
        <w:div w:id="102964354">
          <w:marLeft w:val="0"/>
          <w:marRight w:val="0"/>
          <w:marTop w:val="0"/>
          <w:marBottom w:val="0"/>
          <w:divBdr>
            <w:top w:val="none" w:sz="0" w:space="0" w:color="auto"/>
            <w:left w:val="none" w:sz="0" w:space="0" w:color="auto"/>
            <w:bottom w:val="none" w:sz="0" w:space="0" w:color="auto"/>
            <w:right w:val="none" w:sz="0" w:space="0" w:color="auto"/>
          </w:divBdr>
        </w:div>
        <w:div w:id="876552642">
          <w:marLeft w:val="0"/>
          <w:marRight w:val="0"/>
          <w:marTop w:val="0"/>
          <w:marBottom w:val="0"/>
          <w:divBdr>
            <w:top w:val="none" w:sz="0" w:space="0" w:color="auto"/>
            <w:left w:val="none" w:sz="0" w:space="0" w:color="auto"/>
            <w:bottom w:val="none" w:sz="0" w:space="0" w:color="auto"/>
            <w:right w:val="none" w:sz="0" w:space="0" w:color="auto"/>
          </w:divBdr>
        </w:div>
        <w:div w:id="737440179">
          <w:marLeft w:val="0"/>
          <w:marRight w:val="0"/>
          <w:marTop w:val="0"/>
          <w:marBottom w:val="0"/>
          <w:divBdr>
            <w:top w:val="none" w:sz="0" w:space="0" w:color="auto"/>
            <w:left w:val="none" w:sz="0" w:space="0" w:color="auto"/>
            <w:bottom w:val="none" w:sz="0" w:space="0" w:color="auto"/>
            <w:right w:val="none" w:sz="0" w:space="0" w:color="auto"/>
          </w:divBdr>
        </w:div>
        <w:div w:id="2101564152">
          <w:marLeft w:val="0"/>
          <w:marRight w:val="0"/>
          <w:marTop w:val="0"/>
          <w:marBottom w:val="0"/>
          <w:divBdr>
            <w:top w:val="none" w:sz="0" w:space="0" w:color="auto"/>
            <w:left w:val="none" w:sz="0" w:space="0" w:color="auto"/>
            <w:bottom w:val="none" w:sz="0" w:space="0" w:color="auto"/>
            <w:right w:val="none" w:sz="0" w:space="0" w:color="auto"/>
          </w:divBdr>
        </w:div>
        <w:div w:id="340161000">
          <w:marLeft w:val="0"/>
          <w:marRight w:val="0"/>
          <w:marTop w:val="0"/>
          <w:marBottom w:val="0"/>
          <w:divBdr>
            <w:top w:val="none" w:sz="0" w:space="0" w:color="auto"/>
            <w:left w:val="none" w:sz="0" w:space="0" w:color="auto"/>
            <w:bottom w:val="none" w:sz="0" w:space="0" w:color="auto"/>
            <w:right w:val="none" w:sz="0" w:space="0" w:color="auto"/>
          </w:divBdr>
        </w:div>
        <w:div w:id="99298587">
          <w:marLeft w:val="0"/>
          <w:marRight w:val="0"/>
          <w:marTop w:val="0"/>
          <w:marBottom w:val="0"/>
          <w:divBdr>
            <w:top w:val="none" w:sz="0" w:space="0" w:color="auto"/>
            <w:left w:val="none" w:sz="0" w:space="0" w:color="auto"/>
            <w:bottom w:val="none" w:sz="0" w:space="0" w:color="auto"/>
            <w:right w:val="none" w:sz="0" w:space="0" w:color="auto"/>
          </w:divBdr>
        </w:div>
        <w:div w:id="2085953174">
          <w:marLeft w:val="0"/>
          <w:marRight w:val="0"/>
          <w:marTop w:val="0"/>
          <w:marBottom w:val="0"/>
          <w:divBdr>
            <w:top w:val="none" w:sz="0" w:space="0" w:color="auto"/>
            <w:left w:val="none" w:sz="0" w:space="0" w:color="auto"/>
            <w:bottom w:val="none" w:sz="0" w:space="0" w:color="auto"/>
            <w:right w:val="none" w:sz="0" w:space="0" w:color="auto"/>
          </w:divBdr>
        </w:div>
        <w:div w:id="1862039154">
          <w:marLeft w:val="0"/>
          <w:marRight w:val="0"/>
          <w:marTop w:val="0"/>
          <w:marBottom w:val="0"/>
          <w:divBdr>
            <w:top w:val="none" w:sz="0" w:space="0" w:color="auto"/>
            <w:left w:val="none" w:sz="0" w:space="0" w:color="auto"/>
            <w:bottom w:val="none" w:sz="0" w:space="0" w:color="auto"/>
            <w:right w:val="none" w:sz="0" w:space="0" w:color="auto"/>
          </w:divBdr>
        </w:div>
        <w:div w:id="831483724">
          <w:marLeft w:val="0"/>
          <w:marRight w:val="0"/>
          <w:marTop w:val="0"/>
          <w:marBottom w:val="0"/>
          <w:divBdr>
            <w:top w:val="none" w:sz="0" w:space="0" w:color="auto"/>
            <w:left w:val="none" w:sz="0" w:space="0" w:color="auto"/>
            <w:bottom w:val="none" w:sz="0" w:space="0" w:color="auto"/>
            <w:right w:val="none" w:sz="0" w:space="0" w:color="auto"/>
          </w:divBdr>
        </w:div>
        <w:div w:id="1777402622">
          <w:marLeft w:val="0"/>
          <w:marRight w:val="0"/>
          <w:marTop w:val="0"/>
          <w:marBottom w:val="0"/>
          <w:divBdr>
            <w:top w:val="none" w:sz="0" w:space="0" w:color="auto"/>
            <w:left w:val="none" w:sz="0" w:space="0" w:color="auto"/>
            <w:bottom w:val="none" w:sz="0" w:space="0" w:color="auto"/>
            <w:right w:val="none" w:sz="0" w:space="0" w:color="auto"/>
          </w:divBdr>
        </w:div>
        <w:div w:id="1551456833">
          <w:marLeft w:val="0"/>
          <w:marRight w:val="0"/>
          <w:marTop w:val="0"/>
          <w:marBottom w:val="0"/>
          <w:divBdr>
            <w:top w:val="none" w:sz="0" w:space="0" w:color="auto"/>
            <w:left w:val="none" w:sz="0" w:space="0" w:color="auto"/>
            <w:bottom w:val="none" w:sz="0" w:space="0" w:color="auto"/>
            <w:right w:val="none" w:sz="0" w:space="0" w:color="auto"/>
          </w:divBdr>
        </w:div>
        <w:div w:id="582766892">
          <w:marLeft w:val="0"/>
          <w:marRight w:val="0"/>
          <w:marTop w:val="0"/>
          <w:marBottom w:val="0"/>
          <w:divBdr>
            <w:top w:val="none" w:sz="0" w:space="0" w:color="auto"/>
            <w:left w:val="none" w:sz="0" w:space="0" w:color="auto"/>
            <w:bottom w:val="none" w:sz="0" w:space="0" w:color="auto"/>
            <w:right w:val="none" w:sz="0" w:space="0" w:color="auto"/>
          </w:divBdr>
        </w:div>
        <w:div w:id="780760223">
          <w:marLeft w:val="0"/>
          <w:marRight w:val="0"/>
          <w:marTop w:val="0"/>
          <w:marBottom w:val="0"/>
          <w:divBdr>
            <w:top w:val="none" w:sz="0" w:space="0" w:color="auto"/>
            <w:left w:val="none" w:sz="0" w:space="0" w:color="auto"/>
            <w:bottom w:val="none" w:sz="0" w:space="0" w:color="auto"/>
            <w:right w:val="none" w:sz="0" w:space="0" w:color="auto"/>
          </w:divBdr>
        </w:div>
      </w:divsChild>
    </w:div>
    <w:div w:id="1852209979">
      <w:bodyDiv w:val="1"/>
      <w:marLeft w:val="0"/>
      <w:marRight w:val="0"/>
      <w:marTop w:val="0"/>
      <w:marBottom w:val="0"/>
      <w:divBdr>
        <w:top w:val="none" w:sz="0" w:space="0" w:color="auto"/>
        <w:left w:val="none" w:sz="0" w:space="0" w:color="auto"/>
        <w:bottom w:val="none" w:sz="0" w:space="0" w:color="auto"/>
        <w:right w:val="none" w:sz="0" w:space="0" w:color="auto"/>
      </w:divBdr>
    </w:div>
    <w:div w:id="1857959526">
      <w:bodyDiv w:val="1"/>
      <w:marLeft w:val="0"/>
      <w:marRight w:val="0"/>
      <w:marTop w:val="0"/>
      <w:marBottom w:val="0"/>
      <w:divBdr>
        <w:top w:val="none" w:sz="0" w:space="0" w:color="auto"/>
        <w:left w:val="none" w:sz="0" w:space="0" w:color="auto"/>
        <w:bottom w:val="none" w:sz="0" w:space="0" w:color="auto"/>
        <w:right w:val="none" w:sz="0" w:space="0" w:color="auto"/>
      </w:divBdr>
    </w:div>
    <w:div w:id="1866600502">
      <w:bodyDiv w:val="1"/>
      <w:marLeft w:val="0"/>
      <w:marRight w:val="0"/>
      <w:marTop w:val="0"/>
      <w:marBottom w:val="0"/>
      <w:divBdr>
        <w:top w:val="none" w:sz="0" w:space="0" w:color="auto"/>
        <w:left w:val="none" w:sz="0" w:space="0" w:color="auto"/>
        <w:bottom w:val="none" w:sz="0" w:space="0" w:color="auto"/>
        <w:right w:val="none" w:sz="0" w:space="0" w:color="auto"/>
      </w:divBdr>
    </w:div>
    <w:div w:id="1876649211">
      <w:bodyDiv w:val="1"/>
      <w:marLeft w:val="0"/>
      <w:marRight w:val="0"/>
      <w:marTop w:val="0"/>
      <w:marBottom w:val="0"/>
      <w:divBdr>
        <w:top w:val="none" w:sz="0" w:space="0" w:color="auto"/>
        <w:left w:val="none" w:sz="0" w:space="0" w:color="auto"/>
        <w:bottom w:val="none" w:sz="0" w:space="0" w:color="auto"/>
        <w:right w:val="none" w:sz="0" w:space="0" w:color="auto"/>
      </w:divBdr>
    </w:div>
    <w:div w:id="1882550981">
      <w:bodyDiv w:val="1"/>
      <w:marLeft w:val="0"/>
      <w:marRight w:val="0"/>
      <w:marTop w:val="0"/>
      <w:marBottom w:val="0"/>
      <w:divBdr>
        <w:top w:val="none" w:sz="0" w:space="0" w:color="auto"/>
        <w:left w:val="none" w:sz="0" w:space="0" w:color="auto"/>
        <w:bottom w:val="none" w:sz="0" w:space="0" w:color="auto"/>
        <w:right w:val="none" w:sz="0" w:space="0" w:color="auto"/>
      </w:divBdr>
    </w:div>
    <w:div w:id="1903834578">
      <w:bodyDiv w:val="1"/>
      <w:marLeft w:val="0"/>
      <w:marRight w:val="0"/>
      <w:marTop w:val="0"/>
      <w:marBottom w:val="0"/>
      <w:divBdr>
        <w:top w:val="none" w:sz="0" w:space="0" w:color="auto"/>
        <w:left w:val="none" w:sz="0" w:space="0" w:color="auto"/>
        <w:bottom w:val="none" w:sz="0" w:space="0" w:color="auto"/>
        <w:right w:val="none" w:sz="0" w:space="0" w:color="auto"/>
      </w:divBdr>
    </w:div>
    <w:div w:id="1904875009">
      <w:bodyDiv w:val="1"/>
      <w:marLeft w:val="0"/>
      <w:marRight w:val="0"/>
      <w:marTop w:val="0"/>
      <w:marBottom w:val="0"/>
      <w:divBdr>
        <w:top w:val="none" w:sz="0" w:space="0" w:color="auto"/>
        <w:left w:val="none" w:sz="0" w:space="0" w:color="auto"/>
        <w:bottom w:val="none" w:sz="0" w:space="0" w:color="auto"/>
        <w:right w:val="none" w:sz="0" w:space="0" w:color="auto"/>
      </w:divBdr>
      <w:divsChild>
        <w:div w:id="1892571355">
          <w:marLeft w:val="0"/>
          <w:marRight w:val="0"/>
          <w:marTop w:val="0"/>
          <w:marBottom w:val="0"/>
          <w:divBdr>
            <w:top w:val="none" w:sz="0" w:space="0" w:color="auto"/>
            <w:left w:val="none" w:sz="0" w:space="0" w:color="auto"/>
            <w:bottom w:val="none" w:sz="0" w:space="0" w:color="auto"/>
            <w:right w:val="none" w:sz="0" w:space="0" w:color="auto"/>
          </w:divBdr>
          <w:divsChild>
            <w:div w:id="1534492654">
              <w:marLeft w:val="0"/>
              <w:marRight w:val="0"/>
              <w:marTop w:val="0"/>
              <w:marBottom w:val="0"/>
              <w:divBdr>
                <w:top w:val="none" w:sz="0" w:space="0" w:color="auto"/>
                <w:left w:val="none" w:sz="0" w:space="0" w:color="auto"/>
                <w:bottom w:val="none" w:sz="0" w:space="0" w:color="auto"/>
                <w:right w:val="none" w:sz="0" w:space="0" w:color="auto"/>
              </w:divBdr>
              <w:divsChild>
                <w:div w:id="28261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303890">
      <w:bodyDiv w:val="1"/>
      <w:marLeft w:val="0"/>
      <w:marRight w:val="0"/>
      <w:marTop w:val="0"/>
      <w:marBottom w:val="0"/>
      <w:divBdr>
        <w:top w:val="none" w:sz="0" w:space="0" w:color="auto"/>
        <w:left w:val="none" w:sz="0" w:space="0" w:color="auto"/>
        <w:bottom w:val="none" w:sz="0" w:space="0" w:color="auto"/>
        <w:right w:val="none" w:sz="0" w:space="0" w:color="auto"/>
      </w:divBdr>
    </w:div>
    <w:div w:id="1916818572">
      <w:bodyDiv w:val="1"/>
      <w:marLeft w:val="0"/>
      <w:marRight w:val="0"/>
      <w:marTop w:val="0"/>
      <w:marBottom w:val="0"/>
      <w:divBdr>
        <w:top w:val="none" w:sz="0" w:space="0" w:color="auto"/>
        <w:left w:val="none" w:sz="0" w:space="0" w:color="auto"/>
        <w:bottom w:val="none" w:sz="0" w:space="0" w:color="auto"/>
        <w:right w:val="none" w:sz="0" w:space="0" w:color="auto"/>
      </w:divBdr>
    </w:div>
    <w:div w:id="1920795712">
      <w:bodyDiv w:val="1"/>
      <w:marLeft w:val="0"/>
      <w:marRight w:val="0"/>
      <w:marTop w:val="0"/>
      <w:marBottom w:val="0"/>
      <w:divBdr>
        <w:top w:val="none" w:sz="0" w:space="0" w:color="auto"/>
        <w:left w:val="none" w:sz="0" w:space="0" w:color="auto"/>
        <w:bottom w:val="none" w:sz="0" w:space="0" w:color="auto"/>
        <w:right w:val="none" w:sz="0" w:space="0" w:color="auto"/>
      </w:divBdr>
    </w:div>
    <w:div w:id="1945112645">
      <w:bodyDiv w:val="1"/>
      <w:marLeft w:val="0"/>
      <w:marRight w:val="0"/>
      <w:marTop w:val="0"/>
      <w:marBottom w:val="0"/>
      <w:divBdr>
        <w:top w:val="none" w:sz="0" w:space="0" w:color="auto"/>
        <w:left w:val="none" w:sz="0" w:space="0" w:color="auto"/>
        <w:bottom w:val="none" w:sz="0" w:space="0" w:color="auto"/>
        <w:right w:val="none" w:sz="0" w:space="0" w:color="auto"/>
      </w:divBdr>
    </w:div>
    <w:div w:id="1964580613">
      <w:bodyDiv w:val="1"/>
      <w:marLeft w:val="0"/>
      <w:marRight w:val="0"/>
      <w:marTop w:val="0"/>
      <w:marBottom w:val="0"/>
      <w:divBdr>
        <w:top w:val="none" w:sz="0" w:space="0" w:color="auto"/>
        <w:left w:val="none" w:sz="0" w:space="0" w:color="auto"/>
        <w:bottom w:val="none" w:sz="0" w:space="0" w:color="auto"/>
        <w:right w:val="none" w:sz="0" w:space="0" w:color="auto"/>
      </w:divBdr>
    </w:div>
    <w:div w:id="2015181348">
      <w:bodyDiv w:val="1"/>
      <w:marLeft w:val="0"/>
      <w:marRight w:val="0"/>
      <w:marTop w:val="0"/>
      <w:marBottom w:val="0"/>
      <w:divBdr>
        <w:top w:val="none" w:sz="0" w:space="0" w:color="auto"/>
        <w:left w:val="none" w:sz="0" w:space="0" w:color="auto"/>
        <w:bottom w:val="none" w:sz="0" w:space="0" w:color="auto"/>
        <w:right w:val="none" w:sz="0" w:space="0" w:color="auto"/>
      </w:divBdr>
    </w:div>
    <w:div w:id="2028481125">
      <w:bodyDiv w:val="1"/>
      <w:marLeft w:val="0"/>
      <w:marRight w:val="0"/>
      <w:marTop w:val="0"/>
      <w:marBottom w:val="0"/>
      <w:divBdr>
        <w:top w:val="none" w:sz="0" w:space="0" w:color="auto"/>
        <w:left w:val="none" w:sz="0" w:space="0" w:color="auto"/>
        <w:bottom w:val="none" w:sz="0" w:space="0" w:color="auto"/>
        <w:right w:val="none" w:sz="0" w:space="0" w:color="auto"/>
      </w:divBdr>
    </w:div>
    <w:div w:id="2035500123">
      <w:bodyDiv w:val="1"/>
      <w:marLeft w:val="0"/>
      <w:marRight w:val="0"/>
      <w:marTop w:val="0"/>
      <w:marBottom w:val="0"/>
      <w:divBdr>
        <w:top w:val="none" w:sz="0" w:space="0" w:color="auto"/>
        <w:left w:val="none" w:sz="0" w:space="0" w:color="auto"/>
        <w:bottom w:val="none" w:sz="0" w:space="0" w:color="auto"/>
        <w:right w:val="none" w:sz="0" w:space="0" w:color="auto"/>
      </w:divBdr>
    </w:div>
    <w:div w:id="2059083610">
      <w:bodyDiv w:val="1"/>
      <w:marLeft w:val="0"/>
      <w:marRight w:val="0"/>
      <w:marTop w:val="0"/>
      <w:marBottom w:val="0"/>
      <w:divBdr>
        <w:top w:val="none" w:sz="0" w:space="0" w:color="auto"/>
        <w:left w:val="none" w:sz="0" w:space="0" w:color="auto"/>
        <w:bottom w:val="none" w:sz="0" w:space="0" w:color="auto"/>
        <w:right w:val="none" w:sz="0" w:space="0" w:color="auto"/>
      </w:divBdr>
    </w:div>
    <w:div w:id="2078547193">
      <w:bodyDiv w:val="1"/>
      <w:marLeft w:val="0"/>
      <w:marRight w:val="0"/>
      <w:marTop w:val="0"/>
      <w:marBottom w:val="0"/>
      <w:divBdr>
        <w:top w:val="none" w:sz="0" w:space="0" w:color="auto"/>
        <w:left w:val="none" w:sz="0" w:space="0" w:color="auto"/>
        <w:bottom w:val="none" w:sz="0" w:space="0" w:color="auto"/>
        <w:right w:val="none" w:sz="0" w:space="0" w:color="auto"/>
      </w:divBdr>
    </w:div>
    <w:div w:id="2119058900">
      <w:bodyDiv w:val="1"/>
      <w:marLeft w:val="0"/>
      <w:marRight w:val="0"/>
      <w:marTop w:val="0"/>
      <w:marBottom w:val="0"/>
      <w:divBdr>
        <w:top w:val="none" w:sz="0" w:space="0" w:color="auto"/>
        <w:left w:val="none" w:sz="0" w:space="0" w:color="auto"/>
        <w:bottom w:val="none" w:sz="0" w:space="0" w:color="auto"/>
        <w:right w:val="none" w:sz="0" w:space="0" w:color="auto"/>
      </w:divBdr>
    </w:div>
    <w:div w:id="2136678266">
      <w:bodyDiv w:val="1"/>
      <w:marLeft w:val="0"/>
      <w:marRight w:val="0"/>
      <w:marTop w:val="0"/>
      <w:marBottom w:val="0"/>
      <w:divBdr>
        <w:top w:val="none" w:sz="0" w:space="0" w:color="auto"/>
        <w:left w:val="none" w:sz="0" w:space="0" w:color="auto"/>
        <w:bottom w:val="none" w:sz="0" w:space="0" w:color="auto"/>
        <w:right w:val="none" w:sz="0" w:space="0" w:color="auto"/>
      </w:divBdr>
    </w:div>
    <w:div w:id="2141611314">
      <w:bodyDiv w:val="1"/>
      <w:marLeft w:val="0"/>
      <w:marRight w:val="0"/>
      <w:marTop w:val="0"/>
      <w:marBottom w:val="0"/>
      <w:divBdr>
        <w:top w:val="none" w:sz="0" w:space="0" w:color="auto"/>
        <w:left w:val="none" w:sz="0" w:space="0" w:color="auto"/>
        <w:bottom w:val="none" w:sz="0" w:space="0" w:color="auto"/>
        <w:right w:val="none" w:sz="0" w:space="0" w:color="auto"/>
      </w:divBdr>
      <w:divsChild>
        <w:div w:id="2046052779">
          <w:marLeft w:val="0"/>
          <w:marRight w:val="0"/>
          <w:marTop w:val="0"/>
          <w:marBottom w:val="0"/>
          <w:divBdr>
            <w:top w:val="none" w:sz="0" w:space="0" w:color="auto"/>
            <w:left w:val="none" w:sz="0" w:space="0" w:color="auto"/>
            <w:bottom w:val="none" w:sz="0" w:space="0" w:color="auto"/>
            <w:right w:val="none" w:sz="0" w:space="0" w:color="auto"/>
          </w:divBdr>
        </w:div>
        <w:div w:id="820195457">
          <w:marLeft w:val="0"/>
          <w:marRight w:val="0"/>
          <w:marTop w:val="0"/>
          <w:marBottom w:val="0"/>
          <w:divBdr>
            <w:top w:val="none" w:sz="0" w:space="0" w:color="auto"/>
            <w:left w:val="none" w:sz="0" w:space="0" w:color="auto"/>
            <w:bottom w:val="none" w:sz="0" w:space="0" w:color="auto"/>
            <w:right w:val="none" w:sz="0" w:space="0" w:color="auto"/>
          </w:divBdr>
        </w:div>
        <w:div w:id="1415012698">
          <w:marLeft w:val="0"/>
          <w:marRight w:val="0"/>
          <w:marTop w:val="0"/>
          <w:marBottom w:val="0"/>
          <w:divBdr>
            <w:top w:val="none" w:sz="0" w:space="0" w:color="auto"/>
            <w:left w:val="none" w:sz="0" w:space="0" w:color="auto"/>
            <w:bottom w:val="none" w:sz="0" w:space="0" w:color="auto"/>
            <w:right w:val="none" w:sz="0" w:space="0" w:color="auto"/>
          </w:divBdr>
        </w:div>
        <w:div w:id="1863322569">
          <w:marLeft w:val="0"/>
          <w:marRight w:val="0"/>
          <w:marTop w:val="0"/>
          <w:marBottom w:val="0"/>
          <w:divBdr>
            <w:top w:val="none" w:sz="0" w:space="0" w:color="auto"/>
            <w:left w:val="none" w:sz="0" w:space="0" w:color="auto"/>
            <w:bottom w:val="none" w:sz="0" w:space="0" w:color="auto"/>
            <w:right w:val="none" w:sz="0" w:space="0" w:color="auto"/>
          </w:divBdr>
        </w:div>
        <w:div w:id="517617783">
          <w:marLeft w:val="0"/>
          <w:marRight w:val="0"/>
          <w:marTop w:val="0"/>
          <w:marBottom w:val="0"/>
          <w:divBdr>
            <w:top w:val="none" w:sz="0" w:space="0" w:color="auto"/>
            <w:left w:val="none" w:sz="0" w:space="0" w:color="auto"/>
            <w:bottom w:val="none" w:sz="0" w:space="0" w:color="auto"/>
            <w:right w:val="none" w:sz="0" w:space="0" w:color="auto"/>
          </w:divBdr>
        </w:div>
        <w:div w:id="1176387197">
          <w:marLeft w:val="0"/>
          <w:marRight w:val="0"/>
          <w:marTop w:val="0"/>
          <w:marBottom w:val="0"/>
          <w:divBdr>
            <w:top w:val="none" w:sz="0" w:space="0" w:color="auto"/>
            <w:left w:val="none" w:sz="0" w:space="0" w:color="auto"/>
            <w:bottom w:val="none" w:sz="0" w:space="0" w:color="auto"/>
            <w:right w:val="none" w:sz="0" w:space="0" w:color="auto"/>
          </w:divBdr>
        </w:div>
        <w:div w:id="16223025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media/image7.emf"/><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0.png"/><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6.emf"/><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image" Target="media/image8.jp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www.insdc.org/policy.html" TargetMode="External"/><Relationship Id="rId2" Type="http://schemas.openxmlformats.org/officeDocument/2006/relationships/hyperlink" Target="http://www.nies.go.jp/biology/en/aboutus/facility/capsule.html" TargetMode="External"/><Relationship Id="rId1" Type="http://schemas.openxmlformats.org/officeDocument/2006/relationships/hyperlink" Target="http://www.nies.go.jp/biology/en/aboutus/facility/capsule.html" TargetMode="External"/></Relationships>
</file>

<file path=word/_rels/header4.xml.rels><?xml version="1.0" encoding="UTF-8" standalone="yes"?>
<Relationships xmlns="http://schemas.openxmlformats.org/package/2006/relationships"><Relationship Id="rId1" Type="http://schemas.openxmlformats.org/officeDocument/2006/relationships/image" Target="media/image1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107CB8A6EC6455BBD45CD687CB44A93"/>
        <w:category>
          <w:name w:val="General"/>
          <w:gallery w:val="placeholder"/>
        </w:category>
        <w:types>
          <w:type w:val="bbPlcHdr"/>
        </w:types>
        <w:behaviors>
          <w:behavior w:val="content"/>
        </w:behaviors>
        <w:guid w:val="{96E5E48D-2472-48D6-BD49-4479EE1A974C}"/>
      </w:docPartPr>
      <w:docPartBody>
        <w:p w:rsidR="003B7A1E" w:rsidRDefault="00AB59CE" w:rsidP="00AB59CE">
          <w:pPr>
            <w:pStyle w:val="5107CB8A6EC6455BBD45CD687CB44A93"/>
          </w:pPr>
          <w:r w:rsidRPr="007E02EB">
            <w:rPr>
              <w:rStyle w:val="PlaceholderText"/>
            </w:rPr>
            <w:t>[Status]</w:t>
          </w:r>
        </w:p>
      </w:docPartBody>
    </w:docPart>
    <w:docPart>
      <w:docPartPr>
        <w:name w:val="C481CFAC5A784509BD652F83C8CB79F8"/>
        <w:category>
          <w:name w:val="General"/>
          <w:gallery w:val="placeholder"/>
        </w:category>
        <w:types>
          <w:type w:val="bbPlcHdr"/>
        </w:types>
        <w:behaviors>
          <w:behavior w:val="content"/>
        </w:behaviors>
        <w:guid w:val="{CEED7128-647E-4E2A-904F-114637A50F36}"/>
      </w:docPartPr>
      <w:docPartBody>
        <w:p w:rsidR="003B7A1E" w:rsidRDefault="00AB59CE" w:rsidP="00AB59CE">
          <w:pPr>
            <w:pStyle w:val="C481CFAC5A784509BD652F83C8CB79F8"/>
          </w:pPr>
          <w:r w:rsidRPr="007E02EB">
            <w:rPr>
              <w:rStyle w:val="PlaceholderText"/>
            </w:rPr>
            <w:t>[Publish Date]</w:t>
          </w:r>
        </w:p>
      </w:docPartBody>
    </w:docPart>
    <w:docPart>
      <w:docPartPr>
        <w:name w:val="BBB95769B7404C98B045FD7EAE6CE519"/>
        <w:category>
          <w:name w:val="General"/>
          <w:gallery w:val="placeholder"/>
        </w:category>
        <w:types>
          <w:type w:val="bbPlcHdr"/>
        </w:types>
        <w:behaviors>
          <w:behavior w:val="content"/>
        </w:behaviors>
        <w:guid w:val="{B6CEA61C-B3D7-44BF-875F-9F174B69122B}"/>
      </w:docPartPr>
      <w:docPartBody>
        <w:p w:rsidR="003B7A1E" w:rsidRDefault="00AB59CE" w:rsidP="00AB59CE">
          <w:pPr>
            <w:pStyle w:val="BBB95769B7404C98B045FD7EAE6CE519"/>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PS Special 1">
    <w:altName w:val="Wingdings"/>
    <w:charset w:val="02"/>
    <w:family w:val="auto"/>
    <w:pitch w:val="default"/>
    <w:sig w:usb0="00000000" w:usb1="00000000" w:usb2="00000000" w:usb3="00000000" w:csb0="80000000" w:csb1="00000000"/>
  </w:font>
  <w:font w:name="WPS Special 3">
    <w:altName w:val="Symbol"/>
    <w:charset w:val="02"/>
    <w:family w:val="roman"/>
    <w:pitch w:val="default"/>
    <w:sig w:usb0="00000000" w:usb1="0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khbar MT">
    <w:altName w:val="Times New Roman"/>
    <w:charset w:val="B2"/>
    <w:family w:val="auto"/>
    <w:pitch w:val="variable"/>
    <w:sig w:usb0="00002000" w:usb1="00000000" w:usb2="00000000" w:usb3="00000000" w:csb0="00000040" w:csb1="00000000"/>
  </w:font>
  <w:font w:name="Times">
    <w:panose1 w:val="02020603050405020304"/>
    <w:charset w:val="00"/>
    <w:family w:val="roman"/>
    <w:notTrueType/>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Times New Roman Bold">
    <w:altName w:val="Times New Roman"/>
    <w:panose1 w:val="02020803070505020304"/>
    <w:charset w:val="00"/>
    <w:family w:val="auto"/>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Lantinghei TC Heavy">
    <w:altName w:val="Arial Unicode MS"/>
    <w:charset w:val="00"/>
    <w:family w:val="auto"/>
    <w:pitch w:val="variable"/>
    <w:sig w:usb0="00000000" w:usb1="080E0000" w:usb2="00000000" w:usb3="00000000" w:csb0="00100001" w:csb1="00000000"/>
  </w:font>
  <w:font w:name="inherit">
    <w:altName w:val="Times New Roman"/>
    <w:panose1 w:val="00000000000000000000"/>
    <w:charset w:val="00"/>
    <w:family w:val="roman"/>
    <w:notTrueType/>
    <w:pitch w:val="default"/>
  </w:font>
  <w:font w:name="Lantinghei TC Extralight">
    <w:altName w:val="Arial Unicode MS"/>
    <w:charset w:val="00"/>
    <w:family w:val="auto"/>
    <w:pitch w:val="variable"/>
    <w:sig w:usb0="00000000" w:usb1="080E0000" w:usb2="00000000" w:usb3="00000000" w:csb0="00100001" w:csb1="00000000"/>
  </w:font>
  <w:font w:name="Adobe Arabic">
    <w:altName w:val="Cambria Math"/>
    <w:charset w:val="00"/>
    <w:family w:val="auto"/>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Abyssinica SIL">
    <w:altName w:val="Times New Roman"/>
    <w:charset w:val="01"/>
    <w:family w:val="roman"/>
    <w:pitch w:val="variable"/>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59CE"/>
    <w:rsid w:val="001D7310"/>
    <w:rsid w:val="002C22C8"/>
    <w:rsid w:val="00325917"/>
    <w:rsid w:val="003B7A1E"/>
    <w:rsid w:val="00683A73"/>
    <w:rsid w:val="00AB59C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59CE"/>
    <w:rPr>
      <w:color w:val="808080"/>
    </w:rPr>
  </w:style>
  <w:style w:type="paragraph" w:customStyle="1" w:styleId="D7DDC2BDD2D84CE3A809439F138CCC97">
    <w:name w:val="D7DDC2BDD2D84CE3A809439F138CCC97"/>
    <w:rsid w:val="00AB59CE"/>
  </w:style>
  <w:style w:type="paragraph" w:customStyle="1" w:styleId="35E1EA2DC1B341AC970F2BDDCC76500B">
    <w:name w:val="35E1EA2DC1B341AC970F2BDDCC76500B"/>
    <w:rsid w:val="00AB59CE"/>
  </w:style>
  <w:style w:type="paragraph" w:customStyle="1" w:styleId="34727F62C3124E0EBE4298C53489D109">
    <w:name w:val="34727F62C3124E0EBE4298C53489D109"/>
    <w:rsid w:val="00AB59CE"/>
  </w:style>
  <w:style w:type="paragraph" w:customStyle="1" w:styleId="810BB325F9B94C21A8976CB96315A331">
    <w:name w:val="810BB325F9B94C21A8976CB96315A331"/>
    <w:rsid w:val="00AB59CE"/>
  </w:style>
  <w:style w:type="paragraph" w:customStyle="1" w:styleId="7AB14210646845DA8046DB679580B8E1">
    <w:name w:val="7AB14210646845DA8046DB679580B8E1"/>
    <w:rsid w:val="00AB59CE"/>
  </w:style>
  <w:style w:type="paragraph" w:customStyle="1" w:styleId="A84A653BE4D74B1AABF4E8D6E1EECBA2">
    <w:name w:val="A84A653BE4D74B1AABF4E8D6E1EECBA2"/>
    <w:rsid w:val="00AB59CE"/>
  </w:style>
  <w:style w:type="paragraph" w:customStyle="1" w:styleId="1F2BE63FCE6E46C390FB9063A1A6D22E">
    <w:name w:val="1F2BE63FCE6E46C390FB9063A1A6D22E"/>
    <w:rsid w:val="00AB59CE"/>
  </w:style>
  <w:style w:type="paragraph" w:customStyle="1" w:styleId="9DD263893F1C40BFB2E8890E3E610B88">
    <w:name w:val="9DD263893F1C40BFB2E8890E3E610B88"/>
    <w:rsid w:val="00AB59CE"/>
  </w:style>
  <w:style w:type="paragraph" w:customStyle="1" w:styleId="C670A6BAF80B4AE1B42747E06744706C">
    <w:name w:val="C670A6BAF80B4AE1B42747E06744706C"/>
    <w:rsid w:val="00AB59CE"/>
  </w:style>
  <w:style w:type="paragraph" w:customStyle="1" w:styleId="5107CB8A6EC6455BBD45CD687CB44A93">
    <w:name w:val="5107CB8A6EC6455BBD45CD687CB44A93"/>
    <w:rsid w:val="00AB59CE"/>
  </w:style>
  <w:style w:type="paragraph" w:customStyle="1" w:styleId="C481CFAC5A784509BD652F83C8CB79F8">
    <w:name w:val="C481CFAC5A784509BD652F83C8CB79F8"/>
    <w:rsid w:val="00AB59CE"/>
  </w:style>
  <w:style w:type="paragraph" w:customStyle="1" w:styleId="BBB95769B7404C98B045FD7EAE6CE519">
    <w:name w:val="BBB95769B7404C98B045FD7EAE6CE519"/>
    <w:rsid w:val="00AB59CE"/>
  </w:style>
  <w:style w:type="paragraph" w:customStyle="1" w:styleId="CF2AE74B5D984F8AA286FA0408310132">
    <w:name w:val="CF2AE74B5D984F8AA286FA0408310132"/>
    <w:rsid w:val="00AB59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2018-11-09T00:00:00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C221EA5-279F-4730-B040-4AA834A8F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88</Pages>
  <Words>39638</Words>
  <Characters>220987</Characters>
  <Application>Microsoft Office Word</Application>
  <DocSecurity>0</DocSecurity>
  <Lines>1841</Lines>
  <Paragraphs>520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EXPLORATORY FACT-FINDING SCOPING STUDY ON “DIGITAL SEQUENCE INFORMATION” ON GENETIC RESOURCES FOR FOOD AND AGRICULTURE</vt:lpstr>
      <vt:lpstr>Item 1 of the Draft Provisional Agenda</vt:lpstr>
    </vt:vector>
  </TitlesOfParts>
  <Company>FAO of The UN</Company>
  <LinksUpToDate>false</LinksUpToDate>
  <CharactersWithSpaces>260105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FROM THE SECRETARIAT OF THE COMMISSION ON GENETIC RESOURCES FOR FOOD AND AGRICULTURE: EXPLORATORY FACT-FINDING SCOPING STUDY ON “DIGITAL SEQUENCE INFORMATION” ON GENETIC RESOURCES FOR FOOD AND AGRICULTURE</dc:title>
  <dc:creator>Walter de Oliveira</dc:creator>
  <cp:lastModifiedBy>Veronique Lefebvre</cp:lastModifiedBy>
  <cp:revision>3</cp:revision>
  <cp:lastPrinted>2018-11-09T19:46:00Z</cp:lastPrinted>
  <dcterms:created xsi:type="dcterms:W3CDTF">2018-11-10T22:47:00Z</dcterms:created>
  <dcterms:modified xsi:type="dcterms:W3CDTF">2018-11-10T22:48:00Z</dcterms:modified>
  <cp:contentStatus>GENERAL</cp:contentStatus>
</cp:coreProperties>
</file>