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2"/>
        <w:gridCol w:w="4095"/>
        <w:gridCol w:w="5766"/>
      </w:tblGrid>
      <w:tr w:rsidR="00A96B21" w:rsidRPr="00E954D1" w14:paraId="46D7FE46" w14:textId="77777777" w:rsidTr="009A3ED4">
        <w:trPr>
          <w:trHeight w:val="851"/>
        </w:trPr>
        <w:tc>
          <w:tcPr>
            <w:tcW w:w="432" w:type="pct"/>
            <w:tcBorders>
              <w:bottom w:val="single" w:sz="8" w:space="0" w:color="auto"/>
            </w:tcBorders>
            <w:vAlign w:val="bottom"/>
          </w:tcPr>
          <w:p w14:paraId="4E779057" w14:textId="77777777" w:rsidR="00A96B21" w:rsidRPr="00E954D1" w:rsidRDefault="00A96B21">
            <w:pPr>
              <w:spacing w:after="120"/>
              <w:jc w:val="left"/>
            </w:pPr>
            <w:bookmarkStart w:id="0" w:name="_Hlk143266149"/>
            <w:bookmarkStart w:id="1" w:name="_Hlk137651738"/>
            <w:bookmarkEnd w:id="0"/>
            <w:r w:rsidRPr="00E954D1">
              <w:drawing>
                <wp:inline distT="0" distB="0" distL="0" distR="0" wp14:anchorId="57BF5D04" wp14:editId="63605804">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97" w:type="pct"/>
            <w:tcBorders>
              <w:bottom w:val="single" w:sz="8" w:space="0" w:color="auto"/>
            </w:tcBorders>
            <w:shd w:val="clear" w:color="auto" w:fill="auto"/>
            <w:tcFitText/>
            <w:vAlign w:val="bottom"/>
          </w:tcPr>
          <w:p w14:paraId="5BE93850" w14:textId="2E383324" w:rsidR="00A96B21" w:rsidRPr="00E954D1" w:rsidRDefault="008977FE">
            <w:pPr>
              <w:spacing w:after="120"/>
              <w:jc w:val="left"/>
            </w:pPr>
            <w:r w:rsidRPr="00E954D1">
              <w:rPr>
                <w14:ligatures w14:val="standardContextual"/>
              </w:rPr>
              <w:drawing>
                <wp:inline distT="0" distB="0" distL="0" distR="0" wp14:anchorId="3D0EC2D8" wp14:editId="469A7BDE">
                  <wp:extent cx="611015" cy="349151"/>
                  <wp:effectExtent l="0" t="0" r="0" b="0"/>
                  <wp:docPr id="977698130" name="Imagen 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7698130" name="Imagen 1" descr="Forma&#10;&#10;Descripción generada automáticamente con confianza media"/>
                          <pic:cNvPicPr/>
                        </pic:nvPicPr>
                        <pic:blipFill>
                          <a:blip r:embed="rId12">
                            <a:extLst>
                              <a:ext uri="{28A0092B-C50C-407E-A947-70E740481C1C}">
                                <a14:useLocalDpi xmlns:a14="http://schemas.microsoft.com/office/drawing/2010/main" val="0"/>
                              </a:ext>
                            </a:extLst>
                          </a:blip>
                          <a:stretch>
                            <a:fillRect/>
                          </a:stretch>
                        </pic:blipFill>
                        <pic:spPr>
                          <a:xfrm>
                            <a:off x="0" y="0"/>
                            <a:ext cx="611015" cy="349151"/>
                          </a:xfrm>
                          <a:prstGeom prst="rect">
                            <a:avLst/>
                          </a:prstGeom>
                        </pic:spPr>
                      </pic:pic>
                    </a:graphicData>
                  </a:graphic>
                </wp:inline>
              </w:drawing>
            </w:r>
          </w:p>
        </w:tc>
        <w:tc>
          <w:tcPr>
            <w:tcW w:w="2671" w:type="pct"/>
            <w:tcBorders>
              <w:bottom w:val="single" w:sz="8" w:space="0" w:color="auto"/>
            </w:tcBorders>
            <w:vAlign w:val="bottom"/>
          </w:tcPr>
          <w:p w14:paraId="1D2245AF" w14:textId="7CA0ABD8" w:rsidR="00A96B21" w:rsidRPr="00E954D1" w:rsidRDefault="00A96B21" w:rsidP="00184909">
            <w:pPr>
              <w:spacing w:after="120"/>
              <w:ind w:left="2021"/>
              <w:jc w:val="right"/>
              <w:rPr>
                <w:szCs w:val="22"/>
              </w:rPr>
            </w:pPr>
            <w:r w:rsidRPr="00E954D1">
              <w:rPr>
                <w:sz w:val="40"/>
              </w:rPr>
              <w:t>CBD</w:t>
            </w:r>
            <w:r w:rsidRPr="00E954D1">
              <w:t>/SBI/4/12</w:t>
            </w:r>
          </w:p>
        </w:tc>
      </w:tr>
      <w:tr w:rsidR="00A96B21" w:rsidRPr="00E954D1" w14:paraId="4F7A9A32" w14:textId="77777777" w:rsidTr="009A3ED4">
        <w:tc>
          <w:tcPr>
            <w:tcW w:w="2329" w:type="pct"/>
            <w:gridSpan w:val="2"/>
            <w:tcBorders>
              <w:top w:val="single" w:sz="8" w:space="0" w:color="auto"/>
              <w:bottom w:val="single" w:sz="12" w:space="0" w:color="auto"/>
            </w:tcBorders>
          </w:tcPr>
          <w:p w14:paraId="6742AA01" w14:textId="7E373CD5" w:rsidR="00A96B21" w:rsidRPr="00E954D1" w:rsidRDefault="008977FE">
            <w:pPr>
              <w:pStyle w:val="Cornernotation"/>
              <w:suppressLineNumbers/>
              <w:suppressAutoHyphens/>
              <w:spacing w:before="120" w:after="120"/>
              <w:ind w:left="0" w:right="0" w:firstLine="0"/>
            </w:pPr>
            <w:r w:rsidRPr="00E954D1">
              <w:rPr>
                <w14:ligatures w14:val="standardContextual"/>
              </w:rPr>
              <w:drawing>
                <wp:inline distT="0" distB="0" distL="0" distR="0" wp14:anchorId="2825B782" wp14:editId="4913EB61">
                  <wp:extent cx="2901948" cy="1066892"/>
                  <wp:effectExtent l="0" t="0" r="0" b="0"/>
                  <wp:docPr id="339837090" name="Imagen 2"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837090" name="Imagen 2" descr="Interfaz de usuario gráfica, Texto, Aplicación&#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2901948" cy="1066892"/>
                          </a:xfrm>
                          <a:prstGeom prst="rect">
                            <a:avLst/>
                          </a:prstGeom>
                        </pic:spPr>
                      </pic:pic>
                    </a:graphicData>
                  </a:graphic>
                </wp:inline>
              </w:drawing>
            </w:r>
          </w:p>
        </w:tc>
        <w:tc>
          <w:tcPr>
            <w:tcW w:w="2671" w:type="pct"/>
            <w:tcBorders>
              <w:top w:val="single" w:sz="8" w:space="0" w:color="auto"/>
              <w:bottom w:val="single" w:sz="12" w:space="0" w:color="auto"/>
            </w:tcBorders>
          </w:tcPr>
          <w:p w14:paraId="0380DBC2" w14:textId="77777777" w:rsidR="00A96B21" w:rsidRPr="00E954D1" w:rsidRDefault="00A96B21" w:rsidP="003C6F10">
            <w:pPr>
              <w:ind w:left="2584"/>
              <w:rPr>
                <w:sz w:val="22"/>
                <w:szCs w:val="22"/>
              </w:rPr>
            </w:pPr>
            <w:r w:rsidRPr="00E954D1">
              <w:rPr>
                <w:sz w:val="22"/>
              </w:rPr>
              <w:t>Distr. general</w:t>
            </w:r>
          </w:p>
          <w:p w14:paraId="017B4A77" w14:textId="60ED7369" w:rsidR="00A96B21" w:rsidRPr="00E954D1" w:rsidRDefault="00AB668B" w:rsidP="003C6F10">
            <w:pPr>
              <w:ind w:left="2584"/>
              <w:rPr>
                <w:sz w:val="22"/>
                <w:szCs w:val="22"/>
              </w:rPr>
            </w:pPr>
            <w:r w:rsidRPr="00E954D1">
              <w:t>15 de abril de 2024</w:t>
            </w:r>
          </w:p>
          <w:p w14:paraId="79576338" w14:textId="77777777" w:rsidR="008977FE" w:rsidRPr="00E954D1" w:rsidRDefault="008E570E" w:rsidP="003C6F10">
            <w:pPr>
              <w:ind w:left="2584"/>
              <w:rPr>
                <w:sz w:val="22"/>
              </w:rPr>
            </w:pPr>
            <w:r w:rsidRPr="00E954D1">
              <w:rPr>
                <w:sz w:val="22"/>
              </w:rPr>
              <w:t>Español</w:t>
            </w:r>
          </w:p>
          <w:p w14:paraId="64EC7BC2" w14:textId="23A7D9B3" w:rsidR="00A96B21" w:rsidRPr="00E954D1" w:rsidRDefault="008E570E" w:rsidP="003C6F10">
            <w:pPr>
              <w:ind w:left="2584"/>
              <w:rPr>
                <w:sz w:val="22"/>
                <w:szCs w:val="22"/>
              </w:rPr>
            </w:pPr>
            <w:r w:rsidRPr="00E954D1">
              <w:rPr>
                <w:sz w:val="22"/>
              </w:rPr>
              <w:t>Original: inglés</w:t>
            </w:r>
          </w:p>
          <w:p w14:paraId="5F54B397" w14:textId="77777777" w:rsidR="00A96B21" w:rsidRPr="00E954D1" w:rsidRDefault="00A96B21"/>
        </w:tc>
      </w:tr>
    </w:tbl>
    <w:p w14:paraId="5D7F3694" w14:textId="6D8D7903" w:rsidR="009A3ED4" w:rsidRPr="00E954D1" w:rsidRDefault="00DC6E52" w:rsidP="009A3ED4">
      <w:pPr>
        <w:pStyle w:val="Cornernotation"/>
        <w:ind w:left="0" w:firstLine="0"/>
        <w:rPr>
          <w:bCs/>
        </w:rPr>
      </w:pPr>
      <w:r w:rsidRPr="00E954D1">
        <w:t>Órgano Subsidiario sobre la Aplicación</w:t>
      </w:r>
    </w:p>
    <w:p w14:paraId="48EEAE3D" w14:textId="77777777" w:rsidR="009A3ED4" w:rsidRPr="00E954D1" w:rsidRDefault="009A3ED4" w:rsidP="009A3ED4">
      <w:pPr>
        <w:pStyle w:val="Cornernotation"/>
        <w:rPr>
          <w:bCs/>
          <w:sz w:val="22"/>
          <w:szCs w:val="22"/>
        </w:rPr>
      </w:pPr>
      <w:r w:rsidRPr="00E954D1">
        <w:rPr>
          <w:sz w:val="22"/>
        </w:rPr>
        <w:t xml:space="preserve">Cuarta reunión </w:t>
      </w:r>
    </w:p>
    <w:p w14:paraId="079F2A1D" w14:textId="70E12770" w:rsidR="009A3ED4" w:rsidRPr="00E954D1" w:rsidRDefault="00DC6E52" w:rsidP="009A3ED4">
      <w:pPr>
        <w:pStyle w:val="Venuedate"/>
      </w:pPr>
      <w:r w:rsidRPr="00E954D1">
        <w:t>Nairobi, 21 a 29 de mayo de</w:t>
      </w:r>
      <w:r w:rsidR="00466FF2" w:rsidRPr="00E954D1">
        <w:t> </w:t>
      </w:r>
      <w:r w:rsidRPr="00E954D1">
        <w:t>2024</w:t>
      </w:r>
    </w:p>
    <w:p w14:paraId="001F46BF" w14:textId="002A0818" w:rsidR="009A3ED4" w:rsidRPr="00E954D1" w:rsidRDefault="009A3ED4" w:rsidP="009A3ED4">
      <w:pPr>
        <w:pStyle w:val="Cornernotation-Item"/>
        <w:rPr>
          <w:b w:val="0"/>
          <w:bCs w:val="0"/>
        </w:rPr>
      </w:pPr>
      <w:r w:rsidRPr="00E954D1">
        <w:rPr>
          <w:b w:val="0"/>
        </w:rPr>
        <w:t>Tema 9 del programa provisional</w:t>
      </w:r>
      <w:r w:rsidRPr="00E954D1">
        <w:rPr>
          <w:rStyle w:val="Refdenotaalpie"/>
          <w:b w:val="0"/>
          <w:bCs w:val="0"/>
        </w:rPr>
        <w:footnoteReference w:customMarkFollows="1" w:id="2"/>
        <w:t>*</w:t>
      </w:r>
    </w:p>
    <w:p w14:paraId="4AE9C74E" w14:textId="371F13BD" w:rsidR="009A3ED4" w:rsidRPr="00E954D1" w:rsidRDefault="00DC6E52" w:rsidP="00D17C52">
      <w:pPr>
        <w:pStyle w:val="Cornernotation-Item"/>
        <w:ind w:left="0" w:right="5519" w:firstLine="0"/>
        <w:rPr>
          <w:b w:val="0"/>
          <w:bCs w:val="0"/>
        </w:rPr>
      </w:pPr>
      <w:r w:rsidRPr="00E954D1">
        <w:t>Evaluación y revisión de la eficacia del Protocolo de Nagoya (artículo 31)</w:t>
      </w:r>
    </w:p>
    <w:bookmarkEnd w:id="1"/>
    <w:p w14:paraId="7B31F626" w14:textId="4994E3FA" w:rsidR="008A4787" w:rsidRPr="00E954D1" w:rsidRDefault="00E81982" w:rsidP="006D0CCB">
      <w:pPr>
        <w:pStyle w:val="Ttulo"/>
        <w:tabs>
          <w:tab w:val="left" w:pos="540"/>
        </w:tabs>
        <w:ind w:hanging="11"/>
        <w:jc w:val="left"/>
      </w:pPr>
      <w:r w:rsidRPr="00E954D1">
        <w:t>Elaboración de la metodología para la segunda evaluación y revisión de la eficacia del Protocolo de Nagoya</w:t>
      </w:r>
      <w:r w:rsidRPr="00E954D1">
        <w:rPr>
          <w:rStyle w:val="Refdenotaalpie"/>
        </w:rPr>
        <w:footnoteReference w:customMarkFollows="1" w:id="3"/>
        <w:t>**</w:t>
      </w:r>
    </w:p>
    <w:p w14:paraId="6908A0DC" w14:textId="46BD12A1" w:rsidR="00A96B21" w:rsidRPr="00E954D1" w:rsidRDefault="00A96B21" w:rsidP="00B6543C">
      <w:pPr>
        <w:pStyle w:val="Ttulo"/>
        <w:tabs>
          <w:tab w:val="left" w:pos="540"/>
        </w:tabs>
        <w:ind w:left="540"/>
        <w:rPr>
          <w:rFonts w:ascii="Times New Roman" w:hAnsi="Times New Roman"/>
          <w:sz w:val="22"/>
          <w:szCs w:val="22"/>
        </w:rPr>
      </w:pPr>
      <w:r w:rsidRPr="00E954D1">
        <w:rPr>
          <w:rFonts w:ascii="Times New Roman" w:hAnsi="Times New Roman"/>
          <w:sz w:val="22"/>
        </w:rPr>
        <w:t>Nota de la Secretaría</w:t>
      </w:r>
    </w:p>
    <w:p w14:paraId="1F135F3F" w14:textId="77777777" w:rsidR="00352247" w:rsidRPr="00E954D1" w:rsidRDefault="00352247" w:rsidP="00352247">
      <w:pPr>
        <w:pStyle w:val="Ttulo1"/>
        <w:ind w:left="540" w:hanging="540"/>
      </w:pPr>
      <w:r w:rsidRPr="00E954D1">
        <w:t>Introducción</w:t>
      </w:r>
    </w:p>
    <w:p w14:paraId="4EB12A9B" w14:textId="1C47F7C7" w:rsidR="00C7757D" w:rsidRPr="00E954D1" w:rsidRDefault="001E2CCA" w:rsidP="00D17C52">
      <w:pPr>
        <w:pStyle w:val="Para10"/>
        <w:numPr>
          <w:ilvl w:val="0"/>
          <w:numId w:val="6"/>
        </w:numPr>
        <w:tabs>
          <w:tab w:val="clear" w:pos="360"/>
        </w:tabs>
        <w:ind w:left="539"/>
        <w:rPr>
          <w:kern w:val="22"/>
          <w:szCs w:val="22"/>
        </w:rPr>
      </w:pPr>
      <w:r w:rsidRPr="00E954D1">
        <w:t xml:space="preserve">De conformidad con el párrafo 3 de la </w:t>
      </w:r>
      <w:hyperlink r:id="rId14" w:history="1">
        <w:r w:rsidRPr="00E954D1">
          <w:rPr>
            <w:rStyle w:val="Hipervnculo"/>
            <w:color w:val="auto"/>
            <w:u w:val="none"/>
          </w:rPr>
          <w:t>decisión </w:t>
        </w:r>
        <w:r w:rsidRPr="00E954D1">
          <w:rPr>
            <w:rStyle w:val="Hipervnculo"/>
          </w:rPr>
          <w:t>NP</w:t>
        </w:r>
        <w:r w:rsidR="00827B91" w:rsidRPr="00E954D1">
          <w:rPr>
            <w:rStyle w:val="Hipervnculo"/>
          </w:rPr>
          <w:noBreakHyphen/>
        </w:r>
        <w:r w:rsidRPr="00E954D1">
          <w:rPr>
            <w:rStyle w:val="Hipervnculo"/>
          </w:rPr>
          <w:t>3/1</w:t>
        </w:r>
      </w:hyperlink>
      <w:r w:rsidRPr="00E954D1">
        <w:t> B de la Conferencia de las Partes que actúa como reunión de las Partes en el Protocolo de Nagoya sobre Acceso a los Recursos Genéticos y Participación Justa y Equitativa en los Beneficios que se Deriven de su Utilización, el Órgano Subsidiario sobre la Aplicación, en su cuarta reunión, ha de considerar la metodología propuesta para llevar a cabo la segunda evaluación y revisión de la eficacia del Protocolo, así como formular recomendaciones para que sean consideradas por la Conferencia de las Partes que actúa como reunión de las Partes en el Protocolo en su quinta reunión. La presente nota se ha preparado para facilitar la consideración de este asunto por el Órgano Subsidiario en su cuarta reunión.</w:t>
      </w:r>
    </w:p>
    <w:p w14:paraId="03B23F02" w14:textId="2C534E35" w:rsidR="00C92DD1" w:rsidRPr="00E954D1" w:rsidRDefault="00C92DD1" w:rsidP="009F4F9E">
      <w:pPr>
        <w:pStyle w:val="Ttulo1"/>
        <w:ind w:left="540" w:hanging="540"/>
      </w:pPr>
      <w:r w:rsidRPr="00E954D1">
        <w:t>Antecedentes</w:t>
      </w:r>
    </w:p>
    <w:p w14:paraId="458C6FEE" w14:textId="7AB16D12" w:rsidR="00A26443" w:rsidRPr="00E954D1" w:rsidRDefault="00BA5703" w:rsidP="00B90F0C">
      <w:pPr>
        <w:pStyle w:val="Para10"/>
        <w:numPr>
          <w:ilvl w:val="0"/>
          <w:numId w:val="6"/>
        </w:numPr>
        <w:tabs>
          <w:tab w:val="clear" w:pos="1134"/>
          <w:tab w:val="left" w:pos="1080"/>
        </w:tabs>
        <w:spacing w:before="0"/>
        <w:ind w:left="540"/>
        <w:rPr>
          <w:kern w:val="22"/>
          <w:szCs w:val="22"/>
        </w:rPr>
      </w:pPr>
      <w:r w:rsidRPr="00E954D1">
        <w:t>Con arreglo al artículo 31 del Protocolo de Nagoya, la Conferencia de las Partes que actúa como reunión de las Partes en el Protocolo debe llevar a cabo, cuatro años después de la entrada en vigor del Protocolo y en lo sucesivo a intervalos que determine la Conferencia de las Partes que actúa como reunión de las Partes, una evaluación de la eficacia de este Protocolo.</w:t>
      </w:r>
    </w:p>
    <w:p w14:paraId="56C3B447" w14:textId="58208B34" w:rsidR="00EF1878" w:rsidRPr="00E954D1" w:rsidRDefault="004543A9" w:rsidP="005740C7">
      <w:pPr>
        <w:pStyle w:val="Para10"/>
        <w:numPr>
          <w:ilvl w:val="0"/>
          <w:numId w:val="6"/>
        </w:numPr>
        <w:tabs>
          <w:tab w:val="clear" w:pos="1134"/>
          <w:tab w:val="left" w:pos="1080"/>
        </w:tabs>
        <w:spacing w:before="0"/>
        <w:ind w:left="540"/>
        <w:rPr>
          <w:rFonts w:eastAsiaTheme="minorHAnsi"/>
          <w:kern w:val="22"/>
          <w:szCs w:val="22"/>
          <w14:ligatures w14:val="standardContextual"/>
        </w:rPr>
      </w:pPr>
      <w:r w:rsidRPr="00E954D1">
        <w:t>Esta cuestión fue examinada por primera vez por la Conferencia de las Partes que actúa como reunión de las Partes en el Protocolo en su segunda reunión. En su decisión NP</w:t>
      </w:r>
      <w:r w:rsidR="00827B91" w:rsidRPr="00E954D1">
        <w:noBreakHyphen/>
      </w:r>
      <w:r w:rsidRPr="00E954D1">
        <w:t xml:space="preserve">2/4, acordó, entre otras cosas, los elementos que debían incluirse en la primera evaluación y revisión, enumerados en el anexo de la decisión, y las fuentes de información que debían utilizarse para evaluar cada uno de esos elementos. Las principales fuentes de información eran los informes nacionales provisionales sobre la aplicación del Protocolo de Nagoya y el Centro de Intercambio de Información sobre Acceso y Participación en los Beneficios. Además, se invitó a los puntos focales nacionales de Acceso y Participación en los Beneficios, a los puntos focales nacionales del Convenio, a los pueblos indígenas y </w:t>
      </w:r>
      <w:r w:rsidRPr="00E954D1">
        <w:lastRenderedPageBreak/>
        <w:t>las comunidades locales y a los interesados pertinentes a enviar información sobre una serie de cuestiones a través de una encuesta en línea.</w:t>
      </w:r>
    </w:p>
    <w:p w14:paraId="37AECCE3" w14:textId="713D76CF" w:rsidR="00A26443" w:rsidRPr="00E954D1" w:rsidRDefault="00EF1878" w:rsidP="00D17C52">
      <w:pPr>
        <w:pStyle w:val="Para10"/>
        <w:numPr>
          <w:ilvl w:val="0"/>
          <w:numId w:val="6"/>
        </w:numPr>
        <w:tabs>
          <w:tab w:val="clear" w:pos="1134"/>
          <w:tab w:val="left" w:pos="1080"/>
        </w:tabs>
        <w:spacing w:before="0"/>
        <w:ind w:left="540"/>
        <w:rPr>
          <w:kern w:val="22"/>
          <w:szCs w:val="22"/>
        </w:rPr>
      </w:pPr>
      <w:r w:rsidRPr="00E954D1">
        <w:t>De acuerdo con lo solicitado en la decisión NP</w:t>
      </w:r>
      <w:r w:rsidR="00827B91" w:rsidRPr="00E954D1">
        <w:noBreakHyphen/>
      </w:r>
      <w:r w:rsidRPr="00E954D1">
        <w:t>2/4, la Secretaria Ejecutiva también preparó un marco de indicadores como base para medir los progresos realizados en la consecución del objetivo del Protocolo en las evaluaciones posteriores, y facilitó información sobre las experiencias del proceso de evaluación y revisión en virtud del Protocolo de Cartagena sobre Seguridad de la Biotecnología.</w:t>
      </w:r>
    </w:p>
    <w:p w14:paraId="4AD30BEB" w14:textId="51C56B61" w:rsidR="00A26443" w:rsidRPr="00E954D1" w:rsidRDefault="00186B04" w:rsidP="00D17C52">
      <w:pPr>
        <w:pStyle w:val="Para10"/>
        <w:numPr>
          <w:ilvl w:val="0"/>
          <w:numId w:val="6"/>
        </w:numPr>
        <w:tabs>
          <w:tab w:val="clear" w:pos="1134"/>
          <w:tab w:val="left" w:pos="1080"/>
        </w:tabs>
        <w:spacing w:before="0"/>
        <w:ind w:left="540"/>
        <w:rPr>
          <w:kern w:val="22"/>
          <w:szCs w:val="22"/>
        </w:rPr>
      </w:pPr>
      <w:r w:rsidRPr="00E954D1">
        <w:t>En su tercera reunión, la Conferencia de las Partes que actúa como reunión de las Partes en el Protocolo de Nagoya, basándose en la recomendación del Órgano Subsidiario sobre los Aplicación y en la información facilitada por la Secretaria Ejecutiva, adoptó la decisión NP</w:t>
      </w:r>
      <w:r w:rsidR="00827B91" w:rsidRPr="00E954D1">
        <w:noBreakHyphen/>
      </w:r>
      <w:r w:rsidRPr="00E954D1">
        <w:t>3/1, que incluía:</w:t>
      </w:r>
    </w:p>
    <w:p w14:paraId="1D7D1F46" w14:textId="0F494E1C" w:rsidR="00A26443" w:rsidRPr="00E954D1" w:rsidRDefault="00303F11" w:rsidP="006D0CCB">
      <w:pPr>
        <w:pStyle w:val="Para10"/>
        <w:numPr>
          <w:ilvl w:val="1"/>
          <w:numId w:val="9"/>
        </w:numPr>
        <w:tabs>
          <w:tab w:val="clear" w:pos="1134"/>
          <w:tab w:val="num" w:pos="1701"/>
        </w:tabs>
        <w:spacing w:before="0"/>
        <w:ind w:left="567" w:firstLine="567"/>
        <w:rPr>
          <w:kern w:val="22"/>
          <w:szCs w:val="22"/>
        </w:rPr>
      </w:pPr>
      <w:r w:rsidRPr="00E954D1">
        <w:t xml:space="preserve">Los resultados de la primera evaluación y revisión (parte A de la </w:t>
      </w:r>
      <w:r w:rsidRPr="00E954D1">
        <w:rPr>
          <w:rStyle w:val="Hipervnculo"/>
          <w:color w:val="auto"/>
          <w:u w:val="none"/>
        </w:rPr>
        <w:t>decisión</w:t>
      </w:r>
      <w:r w:rsidRPr="00E954D1">
        <w:t>), incluidas las principales conclusiones para cada elemento (anexo I de la decisión);</w:t>
      </w:r>
    </w:p>
    <w:p w14:paraId="64257F4B" w14:textId="3934D1FD" w:rsidR="00A26443" w:rsidRPr="00E954D1" w:rsidRDefault="00667FAD" w:rsidP="006D0CCB">
      <w:pPr>
        <w:pStyle w:val="Para10"/>
        <w:numPr>
          <w:ilvl w:val="1"/>
          <w:numId w:val="9"/>
        </w:numPr>
        <w:tabs>
          <w:tab w:val="clear" w:pos="1134"/>
          <w:tab w:val="num" w:pos="1701"/>
        </w:tabs>
        <w:spacing w:before="0"/>
        <w:ind w:left="567" w:firstLine="567"/>
        <w:rPr>
          <w:kern w:val="22"/>
          <w:szCs w:val="22"/>
        </w:rPr>
      </w:pPr>
      <w:r w:rsidRPr="00E954D1">
        <w:t xml:space="preserve">Disposiciones para la segunda evaluación y revisión, e intervalos para los procesos posteriores (parte B de la decisión); </w:t>
      </w:r>
    </w:p>
    <w:p w14:paraId="3DCFFD7C" w14:textId="7F87545F" w:rsidR="009E106B" w:rsidRPr="00E954D1" w:rsidRDefault="00613A6F" w:rsidP="00D1080E">
      <w:pPr>
        <w:pStyle w:val="Para10"/>
        <w:numPr>
          <w:ilvl w:val="1"/>
          <w:numId w:val="9"/>
        </w:numPr>
        <w:tabs>
          <w:tab w:val="clear" w:pos="1134"/>
          <w:tab w:val="num" w:pos="1701"/>
        </w:tabs>
        <w:spacing w:before="0"/>
        <w:ind w:left="567" w:firstLine="567"/>
        <w:rPr>
          <w:kern w:val="22"/>
          <w:szCs w:val="22"/>
        </w:rPr>
      </w:pPr>
      <w:r w:rsidRPr="00E954D1">
        <w:t>Un marco de indicadores y puntos de referencia para medir los progresos (anexo II de la decisión).</w:t>
      </w:r>
    </w:p>
    <w:p w14:paraId="2C870EE6" w14:textId="059045B7" w:rsidR="00C871C9" w:rsidRPr="00E954D1" w:rsidRDefault="001C588C" w:rsidP="00D17C52">
      <w:pPr>
        <w:pStyle w:val="Para10"/>
        <w:numPr>
          <w:ilvl w:val="0"/>
          <w:numId w:val="6"/>
        </w:numPr>
        <w:tabs>
          <w:tab w:val="clear" w:pos="1134"/>
          <w:tab w:val="left" w:pos="1080"/>
        </w:tabs>
        <w:spacing w:before="0"/>
        <w:ind w:left="540"/>
        <w:rPr>
          <w:kern w:val="22"/>
          <w:szCs w:val="22"/>
        </w:rPr>
      </w:pPr>
      <w:r w:rsidRPr="00E954D1">
        <w:t>El marco de indicadores incluía indicadores para los distintos elementos abordados en la primera evaluación y revisión. A fin de facilitar las consultas, el marco seguía la estructura y el orden del formato del informe nacional provisional e incluía una columna para indicar el elemento o los elementos con los que se relacionaba cada indicador. El marco se adoptó como una herramienta flexible que puede adaptarse a medida que se logren mayores progresos en la aplicación.</w:t>
      </w:r>
    </w:p>
    <w:p w14:paraId="407EA0DE" w14:textId="0ACF1E7D" w:rsidR="001C588C" w:rsidRPr="00E954D1" w:rsidRDefault="001C588C" w:rsidP="00D17C52">
      <w:pPr>
        <w:pStyle w:val="Para10"/>
        <w:numPr>
          <w:ilvl w:val="0"/>
          <w:numId w:val="6"/>
        </w:numPr>
        <w:tabs>
          <w:tab w:val="clear" w:pos="1134"/>
          <w:tab w:val="left" w:pos="1080"/>
        </w:tabs>
        <w:spacing w:before="0"/>
        <w:ind w:left="540"/>
        <w:rPr>
          <w:kern w:val="22"/>
          <w:szCs w:val="22"/>
        </w:rPr>
      </w:pPr>
      <w:r w:rsidRPr="00E954D1">
        <w:t xml:space="preserve">Los indicadores del marco se basaban en gran medida en las preguntas del formato del informe nacional provisional. El marco también incluía la fuente de información para medir cada indicador. Se incluyeron puntos de referencia para la mayoría de los indicadores, expresados principalmente en cifras y porcentajes calculados sobre la base del número total de Partes (105) en el momento del análisis. Estos puntos de referencia establecen una base de referencia con respecto a la cual se podrán medir los progresos de cada indicador en el futuro. Sin embargo, hubo casos en los que no se pudo extraer información concluyente de las respuestas al informe nacional provisional, por lo que se sugirió un nuevo texto para esos indicadores, que se incorporó al formato para el primer informe nacional sobre la aplicación del Protocolo. </w:t>
      </w:r>
    </w:p>
    <w:p w14:paraId="69305ED6" w14:textId="4C087E35" w:rsidR="00D609C2" w:rsidRPr="00E954D1" w:rsidRDefault="00ED77CB" w:rsidP="00D17C52">
      <w:pPr>
        <w:pStyle w:val="Para10"/>
        <w:numPr>
          <w:ilvl w:val="0"/>
          <w:numId w:val="6"/>
        </w:numPr>
        <w:tabs>
          <w:tab w:val="clear" w:pos="1134"/>
          <w:tab w:val="left" w:pos="1080"/>
        </w:tabs>
        <w:spacing w:before="0"/>
        <w:ind w:left="540"/>
        <w:rPr>
          <w:kern w:val="22"/>
          <w:szCs w:val="22"/>
        </w:rPr>
      </w:pPr>
      <w:r w:rsidRPr="00E954D1">
        <w:t>La sección III de la presente nota contiene información sobre las experiencias anteriores con las evaluaciones y revisiones realizadas en virtud de los Protocolos de Nagoya y de Cartagena. La sección IV contiene un calendario sincronizado con los hitos del Marco Mundial de Biodiversidad de Kunming</w:t>
      </w:r>
      <w:r w:rsidR="00827B91" w:rsidRPr="00E954D1">
        <w:noBreakHyphen/>
      </w:r>
      <w:r w:rsidRPr="00E954D1">
        <w:t>Montreal. Las aportaciones del Comité de Cumplimiento establecido en el marco del Protocolo de Nagoya se resumen en la sección V. La sección VI contiene la metodología propuesta para la segunda evaluación y revisión de la eficacia del Protocolo de Nagoya.  Por último, en la sección VII se sugieren cuestiones para su consideración por el Órgano Subsidiario sobre la Aplicación, incluido un proyecto de recomendación.</w:t>
      </w:r>
    </w:p>
    <w:p w14:paraId="41552B14" w14:textId="3607DE79" w:rsidR="00667284" w:rsidRPr="00E954D1" w:rsidRDefault="00105A92" w:rsidP="00B6543C">
      <w:pPr>
        <w:pStyle w:val="Ttulo1"/>
        <w:ind w:left="540" w:hanging="540"/>
      </w:pPr>
      <w:r w:rsidRPr="00E954D1">
        <w:t>Experiencias anteriores con las evaluaciones y revisiones realizadas en virtud de los Protocolos de Nagoya y de Cartagena, y lecciones aprendidas</w:t>
      </w:r>
    </w:p>
    <w:p w14:paraId="00CAD632" w14:textId="216A72F9" w:rsidR="0052788A" w:rsidRPr="00E954D1" w:rsidRDefault="006B6AF5" w:rsidP="00D17C52">
      <w:pPr>
        <w:pStyle w:val="Para10"/>
        <w:numPr>
          <w:ilvl w:val="0"/>
          <w:numId w:val="6"/>
        </w:numPr>
        <w:tabs>
          <w:tab w:val="clear" w:pos="1134"/>
          <w:tab w:val="left" w:pos="1080"/>
        </w:tabs>
        <w:spacing w:before="0"/>
        <w:ind w:left="540"/>
      </w:pPr>
      <w:bookmarkStart w:id="2" w:name="_Hlk143078730"/>
      <w:r w:rsidRPr="00E954D1">
        <w:t xml:space="preserve">A modo de ayuda para la consideración de la evaluación y revisión por la Conferencia de las Partes que actúa reunión de las Partes en el Protocolo en su tercera reunión, la Secretaría preparó el documento </w:t>
      </w:r>
      <w:hyperlink r:id="rId15" w:history="1">
        <w:r w:rsidRPr="00E954D1">
          <w:rPr>
            <w:rStyle w:val="Hipervnculo"/>
          </w:rPr>
          <w:t>CBD/NP/MOP/3/3</w:t>
        </w:r>
      </w:hyperlink>
      <w:r w:rsidRPr="00E954D1">
        <w:t>, que incluía las experiencias y lecciones aprendidas de la evaluación y revisión en virtud del Protocolo de Cartagena y señalaba paralelismos con las lecciones extraídas de la primera evaluación y revisión realizada en virtud del Protocolo de Nagoya.</w:t>
      </w:r>
    </w:p>
    <w:p w14:paraId="6922AE8B" w14:textId="1D685DE2" w:rsidR="002E4D28" w:rsidRPr="00E954D1" w:rsidRDefault="0085714D" w:rsidP="00D17C52">
      <w:pPr>
        <w:pStyle w:val="Para10"/>
        <w:numPr>
          <w:ilvl w:val="0"/>
          <w:numId w:val="6"/>
        </w:numPr>
        <w:tabs>
          <w:tab w:val="clear" w:pos="1134"/>
          <w:tab w:val="left" w:pos="1080"/>
        </w:tabs>
        <w:spacing w:before="0"/>
        <w:ind w:left="540"/>
      </w:pPr>
      <w:r w:rsidRPr="00E954D1">
        <w:t xml:space="preserve">Las conclusiones y lecciones aprendidas contenidas en ese documento en relación con el formato para la presentación de informes, el analizador de informes en línea y los indicadores para medir el progreso se incorporaron en el formato para el primer informe nacional adoptado </w:t>
      </w:r>
      <w:hyperlink r:id="rId16" w:history="1">
        <w:r w:rsidRPr="00E954D1">
          <w:t xml:space="preserve">en la </w:t>
        </w:r>
        <w:r w:rsidRPr="00E954D1">
          <w:rPr>
            <w:rStyle w:val="Hipervnculo"/>
            <w:color w:val="auto"/>
            <w:u w:val="none"/>
          </w:rPr>
          <w:t>decisión </w:t>
        </w:r>
        <w:r w:rsidRPr="00E954D1">
          <w:rPr>
            <w:rStyle w:val="Hipervnculo"/>
          </w:rPr>
          <w:t>NP</w:t>
        </w:r>
        <w:r w:rsidR="00827B91" w:rsidRPr="00E954D1">
          <w:rPr>
            <w:rStyle w:val="Hipervnculo"/>
          </w:rPr>
          <w:noBreakHyphen/>
        </w:r>
        <w:r w:rsidRPr="00E954D1">
          <w:rPr>
            <w:rStyle w:val="Hipervnculo"/>
          </w:rPr>
          <w:t>4/3</w:t>
        </w:r>
      </w:hyperlink>
      <w:r w:rsidRPr="00E954D1">
        <w:t xml:space="preserve">, </w:t>
      </w:r>
      <w:r w:rsidRPr="00E954D1">
        <w:lastRenderedPageBreak/>
        <w:t>en el Centro de Intercambio de Información sobre Acceso y Participación en los Beneficios</w:t>
      </w:r>
      <w:r w:rsidR="00937C02" w:rsidRPr="00E954D1">
        <w:rPr>
          <w:rStyle w:val="Refdenotaalpie"/>
        </w:rPr>
        <w:footnoteReference w:id="4"/>
      </w:r>
      <w:r w:rsidRPr="00E954D1">
        <w:t xml:space="preserve"> y en el marco de indicadores que figura en el anexo II de la decisión NP</w:t>
      </w:r>
      <w:r w:rsidR="00827B91" w:rsidRPr="00E954D1">
        <w:noBreakHyphen/>
      </w:r>
      <w:r w:rsidRPr="00E954D1">
        <w:t>3/1.</w:t>
      </w:r>
    </w:p>
    <w:p w14:paraId="3731DABE" w14:textId="400EC7DC" w:rsidR="009532DE" w:rsidRPr="00E954D1" w:rsidRDefault="004B61D2" w:rsidP="00D17C52">
      <w:pPr>
        <w:pStyle w:val="Para10"/>
        <w:numPr>
          <w:ilvl w:val="0"/>
          <w:numId w:val="6"/>
        </w:numPr>
        <w:tabs>
          <w:tab w:val="clear" w:pos="1134"/>
          <w:tab w:val="left" w:pos="1080"/>
        </w:tabs>
        <w:spacing w:before="0"/>
        <w:ind w:left="540"/>
      </w:pPr>
      <w:r w:rsidRPr="00E954D1">
        <w:t xml:space="preserve">En el documento CBD/NP/MOP/3/3 también se incluían reflexiones sobre la necesidad de la presentación puntual de los informes nacionales, así como de la presentación puntual, completa y precisa de información en el Centro de Intercambio de Información sobre Acceso y Participación en los Beneficios, dado el escaso tiempo disponible para recopilar y analizar la información para la evaluación y la revisión. Los retrasos en la recepción de los informes nacionales pueden influir considerablemente en los resultados del análisis. </w:t>
      </w:r>
    </w:p>
    <w:p w14:paraId="3CAB1548" w14:textId="12161785" w:rsidR="00303B94" w:rsidRPr="00E954D1" w:rsidRDefault="00EF18DD" w:rsidP="00D17C52">
      <w:pPr>
        <w:pStyle w:val="Para10"/>
        <w:numPr>
          <w:ilvl w:val="0"/>
          <w:numId w:val="6"/>
        </w:numPr>
        <w:tabs>
          <w:tab w:val="clear" w:pos="1134"/>
          <w:tab w:val="left" w:pos="1080"/>
        </w:tabs>
        <w:spacing w:before="0"/>
        <w:ind w:left="540"/>
      </w:pPr>
      <w:r w:rsidRPr="00E954D1">
        <w:t>A este respecto, cabe señalar la reciente experiencia relacionada con los retrasos en el acceso a financiación para apoyar la preparación de los cuartos informes nacionales en virtud del Protocolo de Cartagena sobre Seguridad de la Biotecnología. El Comité de Cumplimiento establecido en el marco del Protocolo de Cartagena examinó la cuestión en su 17ª reunión y observó que el enfoque consistente en reunir el mayor número posible de cartas de compromiso antes de presentar los proyectos para su aprobación por el Fondo para el Medio Ambiente Mundial había dado lugar a retrasos importantes en el acceso a la financiación, en particular para las Partes que habían presentado sus cartas de compromiso a su debido tiempo. El Comité también consideró la disponibilidad de financiación de otras fuentes para la aplicación del Protocolo, entre otras cosas, para la presentación de los informes nacionales, y la importancia de dar prioridad a la seguridad de la biotecnología en las asignaciones presupuestarias nacionales</w:t>
      </w:r>
      <w:r w:rsidR="00974707" w:rsidRPr="00E954D1">
        <w:rPr>
          <w:rStyle w:val="Refdenotaalpie"/>
        </w:rPr>
        <w:footnoteReference w:id="5"/>
      </w:r>
      <w:r w:rsidRPr="00E954D1">
        <w:t>.</w:t>
      </w:r>
    </w:p>
    <w:p w14:paraId="21C1679C" w14:textId="6B530FC1" w:rsidR="00F80067" w:rsidRPr="00E954D1" w:rsidRDefault="005F25BC" w:rsidP="00D17C52">
      <w:pPr>
        <w:pStyle w:val="Para10"/>
        <w:numPr>
          <w:ilvl w:val="0"/>
          <w:numId w:val="6"/>
        </w:numPr>
        <w:tabs>
          <w:tab w:val="clear" w:pos="1134"/>
          <w:tab w:val="left" w:pos="1080"/>
        </w:tabs>
        <w:spacing w:before="0"/>
        <w:ind w:left="540"/>
      </w:pPr>
      <w:r w:rsidRPr="00E954D1">
        <w:t>El Comité de Cumplimiento formuló recomendaciones al respecto a la Conferencia de las Partes que actúa como reunión de las Partes en el Protocolo de Cartagena; estas se incorporaron en la decisión </w:t>
      </w:r>
      <w:hyperlink r:id="rId17">
        <w:r w:rsidRPr="00E954D1">
          <w:rPr>
            <w:rStyle w:val="Hipervnculo"/>
          </w:rPr>
          <w:t>CP</w:t>
        </w:r>
        <w:r w:rsidR="00827B91" w:rsidRPr="00E954D1">
          <w:rPr>
            <w:rStyle w:val="Hipervnculo"/>
          </w:rPr>
          <w:noBreakHyphen/>
        </w:r>
        <w:r w:rsidRPr="00E954D1">
          <w:rPr>
            <w:rStyle w:val="Hipervnculo"/>
          </w:rPr>
          <w:t>10/9</w:t>
        </w:r>
      </w:hyperlink>
      <w:r w:rsidRPr="00E954D1">
        <w:t>, sobre vigilancia y presentación de informes. En la decisión, la Conferencia de las Partes que actúa como reunión de las Partes en el Protocolo expresó su preocupación por el escaso número de cuartos informes nacionales presentados (párr. 2) y los retrasos en la presentación de propuestas de proyectos al Fondo para el Medio Ambiente Mundial a fin de apoyar a las Partes que reunían los requisitos en la preparación de sus cuartos informes nacionales, señalando que dicha financiación no estaba disponible antes de la fecha límite para la presentación de los cuartos informes nacionales, que era uno de los factores que podían haber influido en la tasa de presentación (párr. 3).</w:t>
      </w:r>
    </w:p>
    <w:p w14:paraId="52D1CB99" w14:textId="457508FA" w:rsidR="005C63FE" w:rsidRPr="00E954D1" w:rsidRDefault="00BD0069" w:rsidP="00D17C52">
      <w:pPr>
        <w:pStyle w:val="Para10"/>
        <w:numPr>
          <w:ilvl w:val="0"/>
          <w:numId w:val="6"/>
        </w:numPr>
        <w:tabs>
          <w:tab w:val="clear" w:pos="1134"/>
          <w:tab w:val="left" w:pos="1080"/>
        </w:tabs>
        <w:spacing w:before="0"/>
        <w:ind w:left="540"/>
      </w:pPr>
      <w:r w:rsidRPr="00E954D1">
        <w:t>En el documento CBD/NP/MOP/3/3 también se destacaba que resultaría útil disponer de un grupo de expertos o un órgano más pequeño para que examine el análisis preparado por la Secretaría con detalle y realice aportaciones a un órgano de adopción de decisiones más grande, como el Órgano Subsidiario sobre la Aplicación o la Conferencia de las Partes que actúa como reunión de las Partes en el Protocolo. A modo de referencia, en el contexto del Protocolo de Cartagena, se creó originalmente un grupo especial de expertos con ese objetivo, mientras que, para la última evaluación y revisión, el Comité de Cumplimiento y el Grupo de Enlace sobre el Protocolo de Cartagena desempeñaron esa función.</w:t>
      </w:r>
    </w:p>
    <w:p w14:paraId="57F05A5B" w14:textId="774CB346" w:rsidR="00D96671" w:rsidRPr="00E954D1" w:rsidRDefault="005D08B9" w:rsidP="0035247F">
      <w:pPr>
        <w:pStyle w:val="Ttulo1"/>
        <w:ind w:left="540" w:hanging="540"/>
      </w:pPr>
      <w:bookmarkStart w:id="3" w:name="_Hlk163125747"/>
      <w:bookmarkEnd w:id="2"/>
      <w:r w:rsidRPr="00E954D1">
        <w:t>Calendario e hitos pertinentes del Marco Mundial de Biodiversidad de Kunming</w:t>
      </w:r>
      <w:r w:rsidR="00827B91" w:rsidRPr="00E954D1">
        <w:noBreakHyphen/>
      </w:r>
      <w:r w:rsidRPr="00E954D1">
        <w:t xml:space="preserve">Montreal y presentación de los informes nacionales </w:t>
      </w:r>
    </w:p>
    <w:bookmarkEnd w:id="3"/>
    <w:p w14:paraId="6BE74349" w14:textId="5A5FEB5A" w:rsidR="00E31889" w:rsidRPr="00E954D1" w:rsidRDefault="00425DEA" w:rsidP="00D17C52">
      <w:pPr>
        <w:pStyle w:val="Para10"/>
        <w:numPr>
          <w:ilvl w:val="0"/>
          <w:numId w:val="6"/>
        </w:numPr>
        <w:tabs>
          <w:tab w:val="clear" w:pos="1134"/>
          <w:tab w:val="left" w:pos="1080"/>
        </w:tabs>
        <w:spacing w:before="0"/>
        <w:ind w:left="540"/>
      </w:pPr>
      <w:r w:rsidRPr="00E954D1">
        <w:t>En su decisión NP</w:t>
      </w:r>
      <w:r w:rsidR="00827B91" w:rsidRPr="00E954D1">
        <w:noBreakHyphen/>
      </w:r>
      <w:r w:rsidRPr="00E954D1">
        <w:t xml:space="preserve">4/3, la Conferencia de las Partes que actúa como reunión de las Partes en el Protocolo de Nagoya acogió con satisfacción </w:t>
      </w:r>
      <w:hyperlink r:id="rId18">
        <w:r w:rsidRPr="00E954D1">
          <w:rPr>
            <w:rStyle w:val="Hipervnculo"/>
            <w:color w:val="auto"/>
            <w:u w:val="none"/>
          </w:rPr>
          <w:t xml:space="preserve">la decisión </w:t>
        </w:r>
        <w:r w:rsidRPr="00E954D1">
          <w:rPr>
            <w:rStyle w:val="Hipervnculo"/>
          </w:rPr>
          <w:t>15/6</w:t>
        </w:r>
      </w:hyperlink>
      <w:r w:rsidRPr="00E954D1">
        <w:t xml:space="preserve"> de la Conferencia de las Partes en el Convenio y convino en mantener el ciclo sincronizado de presentación de informes previsto en las decisiones </w:t>
      </w:r>
      <w:hyperlink r:id="rId19">
        <w:r w:rsidRPr="00E954D1">
          <w:rPr>
            <w:rStyle w:val="Hipervnculo"/>
          </w:rPr>
          <w:t>14/27</w:t>
        </w:r>
      </w:hyperlink>
      <w:r w:rsidRPr="00E954D1">
        <w:t xml:space="preserve"> y </w:t>
      </w:r>
      <w:hyperlink r:id="rId20">
        <w:r w:rsidRPr="00E954D1">
          <w:rPr>
            <w:rStyle w:val="Hipervnculo"/>
          </w:rPr>
          <w:t>NP</w:t>
        </w:r>
        <w:r w:rsidR="00827B91" w:rsidRPr="00E954D1">
          <w:rPr>
            <w:rStyle w:val="Hipervnculo"/>
          </w:rPr>
          <w:noBreakHyphen/>
        </w:r>
        <w:r w:rsidRPr="00E954D1">
          <w:rPr>
            <w:rStyle w:val="Hipervnculo"/>
          </w:rPr>
          <w:t>3/4</w:t>
        </w:r>
      </w:hyperlink>
      <w:r w:rsidRPr="00E954D1">
        <w:t xml:space="preserve"> (párr. 1). En la decisión 15/6 de la Conferencia de las Partes en el Convenio, se pidió a las Partes que presentaran su séptimo informe nacional a más tardar el 28 de febrero de 2026 y su octavo informe nacional a más tardar el 30 de junio de 2029. Por consiguiente, la fecha límite para la presentación del primer informe nacional en virtud del Protocolo de Nagoya es el 28 de febrero de 2026, mientras que aquella para el segundo informe nacional es el 30 de junio de 2029.</w:t>
      </w:r>
    </w:p>
    <w:p w14:paraId="72E41E3C" w14:textId="1E5FD0AB" w:rsidR="000C6468" w:rsidRPr="00E954D1" w:rsidRDefault="001C0B11" w:rsidP="00D17C52">
      <w:pPr>
        <w:pStyle w:val="Para10"/>
        <w:numPr>
          <w:ilvl w:val="0"/>
          <w:numId w:val="6"/>
        </w:numPr>
        <w:tabs>
          <w:tab w:val="clear" w:pos="1134"/>
          <w:tab w:val="left" w:pos="1080"/>
        </w:tabs>
        <w:spacing w:before="0"/>
        <w:ind w:left="540"/>
      </w:pPr>
      <w:r w:rsidRPr="00E954D1">
        <w:lastRenderedPageBreak/>
        <w:t xml:space="preserve">En su decisión 15/6, la Conferencia de las Partes en el Convenio decidió también realizar, en sus reuniones 17ª y 19ª, una revisión mundial de los progresos colectivos en la implementación del Marco, incluidos los medios de implementación, basada en los informes nacionales y, según procediera, en otras fuentes de información (párr. 16). </w:t>
      </w:r>
    </w:p>
    <w:p w14:paraId="0113CA10" w14:textId="019A476B" w:rsidR="007318FB" w:rsidRPr="00E954D1" w:rsidRDefault="00C90357" w:rsidP="00D17C52">
      <w:pPr>
        <w:pStyle w:val="Para10"/>
        <w:keepNext/>
        <w:tabs>
          <w:tab w:val="clear" w:pos="1134"/>
          <w:tab w:val="left" w:pos="1080"/>
        </w:tabs>
        <w:spacing w:before="0" w:after="0"/>
        <w:ind w:left="539"/>
      </w:pPr>
      <w:r w:rsidRPr="00E954D1">
        <w:t>Cuadro 1</w:t>
      </w:r>
    </w:p>
    <w:p w14:paraId="5DED081A" w14:textId="6F6619D1" w:rsidR="00C90357" w:rsidRPr="00E954D1" w:rsidRDefault="00811271" w:rsidP="00D17C52">
      <w:pPr>
        <w:pStyle w:val="Para10"/>
        <w:keepNext/>
        <w:tabs>
          <w:tab w:val="clear" w:pos="1134"/>
          <w:tab w:val="left" w:pos="1080"/>
        </w:tabs>
        <w:spacing w:before="0"/>
        <w:ind w:left="539"/>
        <w:jc w:val="left"/>
        <w:rPr>
          <w:b/>
          <w:bCs/>
        </w:rPr>
      </w:pPr>
      <w:r w:rsidRPr="00E954D1">
        <w:rPr>
          <w:b/>
        </w:rPr>
        <w:t>Calendario e hitos pertinentes y para la presentación de informes y la revisión de los progresos realizados en virtud del Convenio y del Protocolo de Nagoya</w:t>
      </w:r>
    </w:p>
    <w:tbl>
      <w:tblPr>
        <w:tblW w:w="0" w:type="auto"/>
        <w:jc w:val="right"/>
        <w:shd w:val="clear" w:color="auto" w:fill="FFFFFF" w:themeFill="background1"/>
        <w:tblLayout w:type="fixed"/>
        <w:tblCellMar>
          <w:left w:w="0" w:type="dxa"/>
          <w:right w:w="0" w:type="dxa"/>
        </w:tblCellMar>
        <w:tblLook w:val="04A0" w:firstRow="1" w:lastRow="0" w:firstColumn="1" w:lastColumn="0" w:noHBand="0" w:noVBand="1"/>
      </w:tblPr>
      <w:tblGrid>
        <w:gridCol w:w="1080"/>
        <w:gridCol w:w="1758"/>
        <w:gridCol w:w="3323"/>
        <w:gridCol w:w="2912"/>
      </w:tblGrid>
      <w:tr w:rsidR="00EE26E1" w:rsidRPr="00E954D1" w14:paraId="47B331D8" w14:textId="77777777" w:rsidTr="006D0CCB">
        <w:trPr>
          <w:cantSplit/>
          <w:tblHeader/>
          <w:jc w:val="right"/>
        </w:trPr>
        <w:tc>
          <w:tcPr>
            <w:tcW w:w="1080" w:type="dxa"/>
            <w:shd w:val="clear" w:color="auto" w:fill="FFFFFF" w:themeFill="background1"/>
          </w:tcPr>
          <w:p w14:paraId="0BB56413" w14:textId="3AF94E8D" w:rsidR="00187250" w:rsidRPr="00E954D1" w:rsidRDefault="00B2655E" w:rsidP="006D0CCB">
            <w:pPr>
              <w:spacing w:before="40" w:after="40"/>
              <w:ind w:left="72" w:right="43"/>
              <w:jc w:val="left"/>
              <w:rPr>
                <w:rFonts w:eastAsia="Calibri"/>
                <w:i/>
                <w:iCs/>
                <w:sz w:val="20"/>
                <w:szCs w:val="20"/>
              </w:rPr>
            </w:pPr>
            <w:r w:rsidRPr="00E954D1">
              <w:rPr>
                <w:i/>
                <w:sz w:val="20"/>
              </w:rPr>
              <w:t>Año</w:t>
            </w:r>
          </w:p>
        </w:tc>
        <w:tc>
          <w:tcPr>
            <w:tcW w:w="1758" w:type="dxa"/>
            <w:shd w:val="clear" w:color="auto" w:fill="FFFFFF" w:themeFill="background1"/>
            <w:tcMar>
              <w:top w:w="0" w:type="dxa"/>
              <w:left w:w="108" w:type="dxa"/>
              <w:bottom w:w="0" w:type="dxa"/>
              <w:right w:w="108" w:type="dxa"/>
            </w:tcMar>
          </w:tcPr>
          <w:p w14:paraId="6023D779" w14:textId="6400BF3D" w:rsidR="00187250" w:rsidRPr="00E954D1" w:rsidRDefault="00187250" w:rsidP="006D0CCB">
            <w:pPr>
              <w:spacing w:before="40" w:after="40"/>
              <w:ind w:left="20" w:right="20"/>
              <w:rPr>
                <w:rFonts w:eastAsia="Calibri"/>
                <w:i/>
                <w:iCs/>
                <w:sz w:val="20"/>
                <w:szCs w:val="20"/>
              </w:rPr>
            </w:pPr>
            <w:r w:rsidRPr="00E954D1">
              <w:rPr>
                <w:i/>
                <w:sz w:val="20"/>
              </w:rPr>
              <w:t>Hitos</w:t>
            </w:r>
          </w:p>
        </w:tc>
        <w:tc>
          <w:tcPr>
            <w:tcW w:w="3323" w:type="dxa"/>
            <w:shd w:val="clear" w:color="auto" w:fill="FFFFFF" w:themeFill="background1"/>
            <w:tcMar>
              <w:top w:w="0" w:type="dxa"/>
              <w:left w:w="108" w:type="dxa"/>
              <w:bottom w:w="0" w:type="dxa"/>
              <w:right w:w="108" w:type="dxa"/>
            </w:tcMar>
            <w:hideMark/>
          </w:tcPr>
          <w:p w14:paraId="5A0E3883" w14:textId="6A464612" w:rsidR="00187250" w:rsidRPr="00E954D1" w:rsidRDefault="005229B7" w:rsidP="006D0CCB">
            <w:pPr>
              <w:spacing w:before="40" w:after="40"/>
              <w:ind w:left="72" w:right="144"/>
              <w:jc w:val="left"/>
              <w:rPr>
                <w:rFonts w:eastAsia="Calibri"/>
                <w:i/>
                <w:iCs/>
                <w:sz w:val="20"/>
                <w:szCs w:val="20"/>
              </w:rPr>
            </w:pPr>
            <w:r w:rsidRPr="00E954D1">
              <w:rPr>
                <w:i/>
                <w:sz w:val="20"/>
              </w:rPr>
              <w:t>Para el Convenio</w:t>
            </w:r>
          </w:p>
        </w:tc>
        <w:tc>
          <w:tcPr>
            <w:tcW w:w="2912" w:type="dxa"/>
            <w:shd w:val="clear" w:color="auto" w:fill="FFFFFF" w:themeFill="background1"/>
            <w:tcMar>
              <w:top w:w="0" w:type="dxa"/>
              <w:left w:w="108" w:type="dxa"/>
              <w:bottom w:w="0" w:type="dxa"/>
              <w:right w:w="108" w:type="dxa"/>
            </w:tcMar>
            <w:hideMark/>
          </w:tcPr>
          <w:p w14:paraId="6E9AE795" w14:textId="3B955231" w:rsidR="00187250" w:rsidRPr="00E954D1" w:rsidRDefault="005229B7" w:rsidP="006D0CCB">
            <w:pPr>
              <w:spacing w:before="40" w:after="40"/>
              <w:ind w:left="72" w:right="144"/>
              <w:jc w:val="left"/>
              <w:rPr>
                <w:rFonts w:eastAsia="Calibri"/>
                <w:i/>
                <w:iCs/>
                <w:sz w:val="20"/>
                <w:szCs w:val="20"/>
              </w:rPr>
            </w:pPr>
            <w:r w:rsidRPr="00E954D1">
              <w:rPr>
                <w:i/>
                <w:sz w:val="20"/>
              </w:rPr>
              <w:t>Para el Protocolo de Nagoya</w:t>
            </w:r>
          </w:p>
        </w:tc>
      </w:tr>
      <w:tr w:rsidR="00EE26E1" w:rsidRPr="00E954D1" w14:paraId="2F7B17E1" w14:textId="77777777" w:rsidTr="006D0CCB">
        <w:trPr>
          <w:cantSplit/>
          <w:jc w:val="right"/>
        </w:trPr>
        <w:tc>
          <w:tcPr>
            <w:tcW w:w="1080" w:type="dxa"/>
            <w:shd w:val="clear" w:color="auto" w:fill="FFFFFF" w:themeFill="background1"/>
          </w:tcPr>
          <w:p w14:paraId="5931FDE6" w14:textId="4BD9044B" w:rsidR="00187250" w:rsidRPr="00E954D1" w:rsidRDefault="00DE71A8" w:rsidP="006D0CCB">
            <w:pPr>
              <w:spacing w:before="40" w:after="40"/>
              <w:ind w:left="72" w:right="43"/>
              <w:jc w:val="left"/>
              <w:rPr>
                <w:rFonts w:eastAsia="Calibri"/>
                <w:sz w:val="20"/>
                <w:szCs w:val="20"/>
              </w:rPr>
            </w:pPr>
            <w:r w:rsidRPr="00E954D1">
              <w:rPr>
                <w:sz w:val="20"/>
              </w:rPr>
              <w:t>2022</w:t>
            </w:r>
          </w:p>
        </w:tc>
        <w:tc>
          <w:tcPr>
            <w:tcW w:w="1758" w:type="dxa"/>
            <w:shd w:val="clear" w:color="auto" w:fill="FFFFFF" w:themeFill="background1"/>
            <w:tcMar>
              <w:top w:w="0" w:type="dxa"/>
              <w:left w:w="108" w:type="dxa"/>
              <w:bottom w:w="0" w:type="dxa"/>
              <w:right w:w="108" w:type="dxa"/>
            </w:tcMar>
            <w:hideMark/>
          </w:tcPr>
          <w:p w14:paraId="408C08E8" w14:textId="3EB8F8EA" w:rsidR="00187250" w:rsidRPr="00E954D1" w:rsidRDefault="00187250" w:rsidP="006D0CCB">
            <w:pPr>
              <w:spacing w:before="40" w:after="40"/>
              <w:ind w:right="14"/>
              <w:jc w:val="left"/>
              <w:rPr>
                <w:rFonts w:eastAsia="Calibri"/>
                <w:sz w:val="20"/>
                <w:szCs w:val="20"/>
              </w:rPr>
            </w:pPr>
            <w:r w:rsidRPr="00E954D1">
              <w:rPr>
                <w:sz w:val="20"/>
              </w:rPr>
              <w:t>Adopción del formato para la presentación de informes</w:t>
            </w:r>
          </w:p>
        </w:tc>
        <w:tc>
          <w:tcPr>
            <w:tcW w:w="3323" w:type="dxa"/>
            <w:shd w:val="clear" w:color="auto" w:fill="FFFFFF" w:themeFill="background1"/>
            <w:tcMar>
              <w:top w:w="0" w:type="dxa"/>
              <w:left w:w="108" w:type="dxa"/>
              <w:bottom w:w="0" w:type="dxa"/>
              <w:right w:w="108" w:type="dxa"/>
            </w:tcMar>
            <w:hideMark/>
          </w:tcPr>
          <w:p w14:paraId="573E732A" w14:textId="304826D0" w:rsidR="00187250" w:rsidRPr="00E954D1" w:rsidRDefault="00B73CF5" w:rsidP="006D0CCB">
            <w:pPr>
              <w:spacing w:before="40" w:after="40"/>
              <w:ind w:left="20" w:right="20"/>
              <w:jc w:val="left"/>
              <w:rPr>
                <w:rFonts w:eastAsia="Calibri"/>
                <w:sz w:val="20"/>
                <w:szCs w:val="20"/>
              </w:rPr>
            </w:pPr>
            <w:r w:rsidRPr="00E954D1">
              <w:rPr>
                <w:sz w:val="20"/>
              </w:rPr>
              <w:t>Proyecto de formato preliminar (que se revisará y adoptará en la 16ª reunión de la Conferencia de las Partes) adoptado con la decisión 15/6</w:t>
            </w:r>
          </w:p>
        </w:tc>
        <w:tc>
          <w:tcPr>
            <w:tcW w:w="2912" w:type="dxa"/>
            <w:shd w:val="clear" w:color="auto" w:fill="FFFFFF" w:themeFill="background1"/>
            <w:tcMar>
              <w:top w:w="0" w:type="dxa"/>
              <w:left w:w="108" w:type="dxa"/>
              <w:bottom w:w="0" w:type="dxa"/>
              <w:right w:w="108" w:type="dxa"/>
            </w:tcMar>
            <w:hideMark/>
          </w:tcPr>
          <w:p w14:paraId="11D4E5A8" w14:textId="78D1C897" w:rsidR="00187250" w:rsidRPr="00E954D1" w:rsidRDefault="0074394F" w:rsidP="006D0CCB">
            <w:pPr>
              <w:spacing w:before="40" w:after="40"/>
              <w:ind w:left="20" w:right="20"/>
              <w:jc w:val="left"/>
              <w:rPr>
                <w:rFonts w:eastAsia="Calibri"/>
                <w:sz w:val="20"/>
                <w:szCs w:val="20"/>
              </w:rPr>
            </w:pPr>
            <w:r w:rsidRPr="00E954D1">
              <w:rPr>
                <w:sz w:val="20"/>
              </w:rPr>
              <w:t>Se acogió con satisfacción la decisión 15/6 y se mantuvo el ciclo sincronizado de presentación de los informes nacionales en la decisión NP</w:t>
            </w:r>
            <w:r w:rsidR="00827B91" w:rsidRPr="00E954D1">
              <w:rPr>
                <w:sz w:val="20"/>
              </w:rPr>
              <w:noBreakHyphen/>
            </w:r>
            <w:r w:rsidRPr="00E954D1">
              <w:rPr>
                <w:sz w:val="20"/>
              </w:rPr>
              <w:t>4/3</w:t>
            </w:r>
          </w:p>
        </w:tc>
      </w:tr>
      <w:tr w:rsidR="00EE26E1" w:rsidRPr="00E954D1" w14:paraId="3C806A32" w14:textId="77777777" w:rsidTr="006D0CCB">
        <w:trPr>
          <w:cantSplit/>
          <w:jc w:val="right"/>
        </w:trPr>
        <w:tc>
          <w:tcPr>
            <w:tcW w:w="1080" w:type="dxa"/>
            <w:shd w:val="clear" w:color="auto" w:fill="FFFFFF" w:themeFill="background1"/>
          </w:tcPr>
          <w:p w14:paraId="7B794A5F" w14:textId="6CB7E92F" w:rsidR="00187250" w:rsidRPr="00E954D1" w:rsidRDefault="00DE71A8" w:rsidP="006D0CCB">
            <w:pPr>
              <w:spacing w:before="40" w:after="40"/>
              <w:ind w:left="72" w:right="43"/>
              <w:jc w:val="left"/>
              <w:rPr>
                <w:rFonts w:eastAsia="Calibri"/>
                <w:sz w:val="20"/>
                <w:szCs w:val="20"/>
              </w:rPr>
            </w:pPr>
            <w:r w:rsidRPr="00E954D1">
              <w:rPr>
                <w:sz w:val="20"/>
              </w:rPr>
              <w:t>2024</w:t>
            </w:r>
          </w:p>
        </w:tc>
        <w:tc>
          <w:tcPr>
            <w:tcW w:w="1758" w:type="dxa"/>
            <w:shd w:val="clear" w:color="auto" w:fill="FFFFFF" w:themeFill="background1"/>
            <w:tcMar>
              <w:top w:w="0" w:type="dxa"/>
              <w:left w:w="108" w:type="dxa"/>
              <w:bottom w:w="0" w:type="dxa"/>
              <w:right w:w="108" w:type="dxa"/>
            </w:tcMar>
            <w:hideMark/>
          </w:tcPr>
          <w:p w14:paraId="204FCEE8" w14:textId="25DFE7CD" w:rsidR="00187250" w:rsidRPr="00E954D1" w:rsidRDefault="00DC713D" w:rsidP="006D0CCB">
            <w:pPr>
              <w:spacing w:before="40" w:after="40"/>
              <w:ind w:right="14"/>
              <w:jc w:val="left"/>
              <w:rPr>
                <w:rFonts w:eastAsia="Calibri"/>
                <w:sz w:val="20"/>
                <w:szCs w:val="20"/>
              </w:rPr>
            </w:pPr>
            <w:r w:rsidRPr="00E954D1">
              <w:rPr>
                <w:sz w:val="20"/>
              </w:rPr>
              <w:t>Adopción de metodologías para las evaluaciones mundiales</w:t>
            </w:r>
          </w:p>
        </w:tc>
        <w:tc>
          <w:tcPr>
            <w:tcW w:w="3323" w:type="dxa"/>
            <w:shd w:val="clear" w:color="auto" w:fill="FFFFFF" w:themeFill="background1"/>
            <w:tcMar>
              <w:top w:w="0" w:type="dxa"/>
              <w:left w:w="108" w:type="dxa"/>
              <w:bottom w:w="0" w:type="dxa"/>
              <w:right w:w="108" w:type="dxa"/>
            </w:tcMar>
            <w:hideMark/>
          </w:tcPr>
          <w:p w14:paraId="30C16EA7" w14:textId="37360B55" w:rsidR="00187250" w:rsidRPr="00E954D1" w:rsidRDefault="00246E16" w:rsidP="006D0CCB">
            <w:pPr>
              <w:spacing w:before="40" w:after="40"/>
              <w:ind w:left="20" w:right="20"/>
              <w:jc w:val="left"/>
              <w:rPr>
                <w:rFonts w:eastAsia="Calibri"/>
                <w:sz w:val="20"/>
                <w:szCs w:val="20"/>
              </w:rPr>
            </w:pPr>
            <w:r w:rsidRPr="00E954D1">
              <w:rPr>
                <w:sz w:val="20"/>
              </w:rPr>
              <w:t>Balance mundial de los progresos realizados en la implementación del Marco Mundial de Biodiversidad de Kunming</w:t>
            </w:r>
            <w:r w:rsidR="00827B91" w:rsidRPr="00E954D1">
              <w:rPr>
                <w:sz w:val="20"/>
              </w:rPr>
              <w:noBreakHyphen/>
            </w:r>
            <w:r w:rsidRPr="00E954D1">
              <w:rPr>
                <w:sz w:val="20"/>
              </w:rPr>
              <w:t>Montreal (16ª reunión de la Conferencia de las Partes)</w:t>
            </w:r>
          </w:p>
        </w:tc>
        <w:tc>
          <w:tcPr>
            <w:tcW w:w="2912" w:type="dxa"/>
            <w:shd w:val="clear" w:color="auto" w:fill="FFFFFF" w:themeFill="background1"/>
            <w:tcMar>
              <w:top w:w="0" w:type="dxa"/>
              <w:left w:w="108" w:type="dxa"/>
              <w:bottom w:w="0" w:type="dxa"/>
              <w:right w:w="108" w:type="dxa"/>
            </w:tcMar>
            <w:hideMark/>
          </w:tcPr>
          <w:p w14:paraId="07BEC461" w14:textId="777B9178" w:rsidR="00187250" w:rsidRPr="00E954D1" w:rsidRDefault="002A3946" w:rsidP="006D0CCB">
            <w:pPr>
              <w:spacing w:before="40" w:after="40"/>
              <w:ind w:left="20" w:right="20"/>
              <w:jc w:val="left"/>
              <w:rPr>
                <w:rFonts w:eastAsia="Calibri"/>
                <w:sz w:val="20"/>
                <w:szCs w:val="20"/>
              </w:rPr>
            </w:pPr>
            <w:r w:rsidRPr="00E954D1">
              <w:rPr>
                <w:sz w:val="20"/>
              </w:rPr>
              <w:t>Segunda evaluación y revisión del Protocolo</w:t>
            </w:r>
            <w:r w:rsidRPr="00E954D1">
              <w:rPr>
                <w:sz w:val="20"/>
              </w:rPr>
              <w:br/>
              <w:t>(quinta reunión de la Conferencia de las Partes que actúa como reunión de las Partes en el Protocolo)</w:t>
            </w:r>
          </w:p>
        </w:tc>
      </w:tr>
      <w:tr w:rsidR="005D396F" w:rsidRPr="00E954D1" w14:paraId="2BABF590" w14:textId="77777777" w:rsidTr="002369B3">
        <w:trPr>
          <w:cantSplit/>
          <w:jc w:val="right"/>
        </w:trPr>
        <w:tc>
          <w:tcPr>
            <w:tcW w:w="1080" w:type="dxa"/>
            <w:shd w:val="clear" w:color="auto" w:fill="FFFFFF" w:themeFill="background1"/>
          </w:tcPr>
          <w:p w14:paraId="6C12F4E8" w14:textId="5D25B0F8" w:rsidR="00417FCA" w:rsidRPr="00E954D1" w:rsidRDefault="00417FCA" w:rsidP="006D0CCB">
            <w:pPr>
              <w:spacing w:before="40" w:after="40"/>
              <w:ind w:left="72" w:right="43"/>
              <w:jc w:val="left"/>
              <w:rPr>
                <w:rFonts w:eastAsia="Calibri"/>
                <w:sz w:val="20"/>
                <w:szCs w:val="20"/>
              </w:rPr>
            </w:pPr>
            <w:r w:rsidRPr="00E954D1">
              <w:rPr>
                <w:sz w:val="20"/>
              </w:rPr>
              <w:t>2026</w:t>
            </w:r>
          </w:p>
        </w:tc>
        <w:tc>
          <w:tcPr>
            <w:tcW w:w="1758" w:type="dxa"/>
            <w:shd w:val="clear" w:color="auto" w:fill="FFFFFF" w:themeFill="background1"/>
            <w:tcMar>
              <w:top w:w="0" w:type="dxa"/>
              <w:left w:w="108" w:type="dxa"/>
              <w:bottom w:w="0" w:type="dxa"/>
              <w:right w:w="108" w:type="dxa"/>
            </w:tcMar>
            <w:hideMark/>
          </w:tcPr>
          <w:p w14:paraId="2576D968" w14:textId="635774E3" w:rsidR="00417FCA" w:rsidRPr="00E954D1" w:rsidRDefault="00417FCA" w:rsidP="006D0CCB">
            <w:pPr>
              <w:spacing w:before="40" w:after="40"/>
              <w:ind w:right="14"/>
              <w:jc w:val="left"/>
              <w:rPr>
                <w:rFonts w:eastAsia="Calibri"/>
                <w:sz w:val="20"/>
                <w:szCs w:val="20"/>
              </w:rPr>
            </w:pPr>
            <w:r w:rsidRPr="00E954D1">
              <w:rPr>
                <w:sz w:val="20"/>
              </w:rPr>
              <w:t xml:space="preserve">Presentación de los informes nacionales </w:t>
            </w:r>
          </w:p>
        </w:tc>
        <w:tc>
          <w:tcPr>
            <w:tcW w:w="3323" w:type="dxa"/>
            <w:shd w:val="clear" w:color="auto" w:fill="FFFFFF" w:themeFill="background1"/>
            <w:tcMar>
              <w:top w:w="0" w:type="dxa"/>
              <w:left w:w="108" w:type="dxa"/>
              <w:bottom w:w="0" w:type="dxa"/>
              <w:right w:w="108" w:type="dxa"/>
            </w:tcMar>
            <w:hideMark/>
          </w:tcPr>
          <w:p w14:paraId="5B7F2B12" w14:textId="5A889431" w:rsidR="00417FCA" w:rsidRPr="00E954D1" w:rsidRDefault="00417FCA" w:rsidP="006D0CCB">
            <w:pPr>
              <w:keepNext/>
              <w:spacing w:before="40" w:after="40"/>
              <w:ind w:left="14" w:right="14"/>
              <w:jc w:val="left"/>
              <w:rPr>
                <w:rFonts w:eastAsia="Calibri"/>
                <w:sz w:val="20"/>
                <w:szCs w:val="20"/>
              </w:rPr>
            </w:pPr>
            <w:r w:rsidRPr="00E954D1">
              <w:rPr>
                <w:sz w:val="20"/>
              </w:rPr>
              <w:t>Séptimo informe nacional en virtud del Convenio (fecha límite: 28 de febrero de 2026)</w:t>
            </w:r>
          </w:p>
        </w:tc>
        <w:tc>
          <w:tcPr>
            <w:tcW w:w="2912" w:type="dxa"/>
            <w:shd w:val="clear" w:color="auto" w:fill="FFFFFF" w:themeFill="background1"/>
            <w:tcMar>
              <w:top w:w="0" w:type="dxa"/>
              <w:left w:w="108" w:type="dxa"/>
              <w:bottom w:w="0" w:type="dxa"/>
              <w:right w:w="108" w:type="dxa"/>
            </w:tcMar>
          </w:tcPr>
          <w:p w14:paraId="0C40C400" w14:textId="464FF11D" w:rsidR="00417FCA" w:rsidRPr="00E954D1" w:rsidRDefault="00417FCA" w:rsidP="006D0CCB">
            <w:pPr>
              <w:keepNext/>
              <w:spacing w:before="40" w:after="40"/>
              <w:ind w:left="14" w:right="14"/>
              <w:jc w:val="left"/>
              <w:rPr>
                <w:rFonts w:eastAsia="Calibri"/>
                <w:sz w:val="20"/>
                <w:szCs w:val="20"/>
              </w:rPr>
            </w:pPr>
            <w:r w:rsidRPr="00E954D1">
              <w:rPr>
                <w:sz w:val="20"/>
              </w:rPr>
              <w:t>Primer informe nacional en virtud del Protocolo (fecha límite: 28 de febrero de 2026)</w:t>
            </w:r>
          </w:p>
        </w:tc>
      </w:tr>
      <w:tr w:rsidR="005D396F" w:rsidRPr="00E954D1" w14:paraId="6C2F688A" w14:textId="77777777" w:rsidTr="002369B3">
        <w:trPr>
          <w:cantSplit/>
          <w:jc w:val="right"/>
        </w:trPr>
        <w:tc>
          <w:tcPr>
            <w:tcW w:w="1080" w:type="dxa"/>
            <w:shd w:val="clear" w:color="auto" w:fill="FFFFFF" w:themeFill="background1"/>
          </w:tcPr>
          <w:p w14:paraId="2044D74A" w14:textId="2A930C5E" w:rsidR="00417FCA" w:rsidRPr="00E954D1" w:rsidRDefault="002369B3" w:rsidP="006D0CCB">
            <w:pPr>
              <w:spacing w:before="40" w:after="40"/>
              <w:ind w:left="72" w:right="43"/>
              <w:jc w:val="left"/>
              <w:rPr>
                <w:rFonts w:eastAsia="Calibri"/>
                <w:sz w:val="20"/>
                <w:szCs w:val="20"/>
              </w:rPr>
            </w:pPr>
            <w:r w:rsidRPr="00E954D1">
              <w:rPr>
                <w:sz w:val="20"/>
              </w:rPr>
              <w:t>2026</w:t>
            </w:r>
          </w:p>
        </w:tc>
        <w:tc>
          <w:tcPr>
            <w:tcW w:w="1758" w:type="dxa"/>
            <w:shd w:val="clear" w:color="auto" w:fill="FFFFFF" w:themeFill="background1"/>
            <w:tcMar>
              <w:top w:w="0" w:type="dxa"/>
              <w:left w:w="108" w:type="dxa"/>
              <w:bottom w:w="0" w:type="dxa"/>
              <w:right w:w="108" w:type="dxa"/>
            </w:tcMar>
            <w:hideMark/>
          </w:tcPr>
          <w:p w14:paraId="7EF86CAD" w14:textId="1702D9B2" w:rsidR="00417FCA" w:rsidRPr="00E954D1" w:rsidRDefault="00791505" w:rsidP="006D0CCB">
            <w:pPr>
              <w:spacing w:before="40" w:after="40"/>
              <w:ind w:right="14"/>
              <w:jc w:val="left"/>
              <w:rPr>
                <w:rFonts w:eastAsia="Calibri"/>
                <w:sz w:val="20"/>
                <w:szCs w:val="20"/>
              </w:rPr>
            </w:pPr>
            <w:r w:rsidRPr="00E954D1">
              <w:rPr>
                <w:sz w:val="20"/>
              </w:rPr>
              <w:t xml:space="preserve">Los informes nacionales se utilizan como fuentes de información en los procesos de balance </w:t>
            </w:r>
          </w:p>
        </w:tc>
        <w:tc>
          <w:tcPr>
            <w:tcW w:w="3323" w:type="dxa"/>
            <w:shd w:val="clear" w:color="auto" w:fill="FFFFFF" w:themeFill="background1"/>
            <w:tcMar>
              <w:top w:w="0" w:type="dxa"/>
              <w:left w:w="108" w:type="dxa"/>
              <w:bottom w:w="0" w:type="dxa"/>
              <w:right w:w="108" w:type="dxa"/>
            </w:tcMar>
            <w:hideMark/>
          </w:tcPr>
          <w:p w14:paraId="1B6E211C" w14:textId="130A8297" w:rsidR="00417FCA" w:rsidRPr="00E954D1" w:rsidRDefault="003D6849" w:rsidP="006D0CCB">
            <w:pPr>
              <w:keepNext/>
              <w:spacing w:before="40" w:after="40"/>
              <w:ind w:left="14" w:right="14"/>
              <w:jc w:val="left"/>
              <w:rPr>
                <w:rFonts w:eastAsia="Calibri"/>
                <w:sz w:val="20"/>
                <w:szCs w:val="20"/>
              </w:rPr>
            </w:pPr>
            <w:r w:rsidRPr="00E954D1">
              <w:rPr>
                <w:sz w:val="20"/>
              </w:rPr>
              <w:t>Los informes nacionales aportan información para la revisión mundial de los progresos colectivos en la implementación del Marco</w:t>
            </w:r>
            <w:r w:rsidRPr="00E954D1">
              <w:rPr>
                <w:sz w:val="20"/>
              </w:rPr>
              <w:br/>
              <w:t>(17ª reunión de la Conferencia de las Partes)</w:t>
            </w:r>
          </w:p>
        </w:tc>
        <w:tc>
          <w:tcPr>
            <w:tcW w:w="2912" w:type="dxa"/>
            <w:shd w:val="clear" w:color="auto" w:fill="FFFFFF" w:themeFill="background1"/>
            <w:tcMar>
              <w:top w:w="0" w:type="dxa"/>
              <w:left w:w="108" w:type="dxa"/>
              <w:bottom w:w="0" w:type="dxa"/>
              <w:right w:w="108" w:type="dxa"/>
            </w:tcMar>
            <w:hideMark/>
          </w:tcPr>
          <w:p w14:paraId="6AF8F72D" w14:textId="324B0421" w:rsidR="00417FCA" w:rsidRPr="00E954D1" w:rsidRDefault="007648F0" w:rsidP="006D0CCB">
            <w:pPr>
              <w:keepNext/>
              <w:spacing w:before="40" w:after="40"/>
              <w:ind w:left="14" w:right="14"/>
              <w:jc w:val="left"/>
              <w:rPr>
                <w:rFonts w:eastAsia="Calibri"/>
                <w:sz w:val="20"/>
                <w:szCs w:val="20"/>
              </w:rPr>
            </w:pPr>
            <w:r w:rsidRPr="00E954D1">
              <w:rPr>
                <w:sz w:val="20"/>
              </w:rPr>
              <w:t>Los informes nacionales aportan información para la segunda evaluación y revisión de la eficacia del Protocolo</w:t>
            </w:r>
            <w:r w:rsidRPr="00E954D1">
              <w:rPr>
                <w:sz w:val="20"/>
              </w:rPr>
              <w:br/>
              <w:t>(sexta reunión de la Conferencia de las Partes que actúa como reunión de las Partes en el Protocolo)</w:t>
            </w:r>
          </w:p>
        </w:tc>
      </w:tr>
      <w:tr w:rsidR="005D396F" w:rsidRPr="00E954D1" w14:paraId="4AC896E3" w14:textId="77777777" w:rsidTr="002369B3">
        <w:trPr>
          <w:cantSplit/>
          <w:jc w:val="right"/>
        </w:trPr>
        <w:tc>
          <w:tcPr>
            <w:tcW w:w="1080" w:type="dxa"/>
            <w:shd w:val="clear" w:color="auto" w:fill="FFFFFF" w:themeFill="background1"/>
          </w:tcPr>
          <w:p w14:paraId="257A5001" w14:textId="20A342C7" w:rsidR="00417FCA" w:rsidRPr="00E954D1" w:rsidRDefault="002369B3" w:rsidP="006D0CCB">
            <w:pPr>
              <w:spacing w:before="40" w:after="40"/>
              <w:ind w:left="72" w:right="43"/>
              <w:jc w:val="left"/>
              <w:rPr>
                <w:rFonts w:eastAsia="Calibri"/>
                <w:sz w:val="20"/>
                <w:szCs w:val="20"/>
              </w:rPr>
            </w:pPr>
            <w:r w:rsidRPr="00E954D1">
              <w:rPr>
                <w:sz w:val="20"/>
              </w:rPr>
              <w:t>2026</w:t>
            </w:r>
          </w:p>
        </w:tc>
        <w:tc>
          <w:tcPr>
            <w:tcW w:w="1758" w:type="dxa"/>
            <w:shd w:val="clear" w:color="auto" w:fill="FFFFFF" w:themeFill="background1"/>
            <w:tcMar>
              <w:top w:w="0" w:type="dxa"/>
              <w:left w:w="108" w:type="dxa"/>
              <w:bottom w:w="0" w:type="dxa"/>
              <w:right w:w="108" w:type="dxa"/>
            </w:tcMar>
            <w:hideMark/>
          </w:tcPr>
          <w:p w14:paraId="71CA6540" w14:textId="6EB4B46B" w:rsidR="00417FCA" w:rsidRPr="00E954D1" w:rsidRDefault="00417FCA" w:rsidP="006D0CCB">
            <w:pPr>
              <w:spacing w:before="40" w:after="40"/>
              <w:ind w:left="20" w:right="20"/>
              <w:jc w:val="left"/>
              <w:rPr>
                <w:rFonts w:eastAsia="Calibri"/>
                <w:sz w:val="20"/>
                <w:szCs w:val="20"/>
              </w:rPr>
            </w:pPr>
            <w:r w:rsidRPr="00E954D1">
              <w:rPr>
                <w:sz w:val="20"/>
              </w:rPr>
              <w:t>Adopción del formato para la presentación de informes</w:t>
            </w:r>
          </w:p>
        </w:tc>
        <w:tc>
          <w:tcPr>
            <w:tcW w:w="3323" w:type="dxa"/>
            <w:shd w:val="clear" w:color="auto" w:fill="FFFFFF" w:themeFill="background1"/>
            <w:tcMar>
              <w:top w:w="0" w:type="dxa"/>
              <w:left w:w="108" w:type="dxa"/>
              <w:bottom w:w="0" w:type="dxa"/>
              <w:right w:w="108" w:type="dxa"/>
            </w:tcMar>
            <w:hideMark/>
          </w:tcPr>
          <w:p w14:paraId="7C9B3079" w14:textId="02EA4394" w:rsidR="00417FCA" w:rsidRPr="00E954D1" w:rsidRDefault="006D6069" w:rsidP="006D0CCB">
            <w:pPr>
              <w:spacing w:before="40" w:after="40"/>
              <w:ind w:left="20" w:right="20"/>
              <w:jc w:val="left"/>
              <w:rPr>
                <w:rFonts w:eastAsia="Calibri"/>
                <w:sz w:val="20"/>
                <w:szCs w:val="20"/>
              </w:rPr>
            </w:pPr>
            <w:r w:rsidRPr="00E954D1">
              <w:rPr>
                <w:sz w:val="20"/>
              </w:rPr>
              <w:t>17ª reunión de la Conferencia de las Partes</w:t>
            </w:r>
          </w:p>
        </w:tc>
        <w:tc>
          <w:tcPr>
            <w:tcW w:w="2912" w:type="dxa"/>
            <w:shd w:val="clear" w:color="auto" w:fill="FFFFFF" w:themeFill="background1"/>
            <w:tcMar>
              <w:top w:w="0" w:type="dxa"/>
              <w:left w:w="108" w:type="dxa"/>
              <w:bottom w:w="0" w:type="dxa"/>
              <w:right w:w="108" w:type="dxa"/>
            </w:tcMar>
            <w:hideMark/>
          </w:tcPr>
          <w:p w14:paraId="689F8545" w14:textId="5ACBE23B" w:rsidR="00417FCA" w:rsidRPr="00E954D1" w:rsidRDefault="00D91A32" w:rsidP="006D0CCB">
            <w:pPr>
              <w:spacing w:before="40" w:after="40"/>
              <w:ind w:left="20" w:right="20"/>
              <w:jc w:val="left"/>
              <w:rPr>
                <w:rFonts w:eastAsia="Calibri"/>
                <w:sz w:val="20"/>
                <w:szCs w:val="20"/>
              </w:rPr>
            </w:pPr>
            <w:r w:rsidRPr="00E954D1">
              <w:rPr>
                <w:sz w:val="20"/>
              </w:rPr>
              <w:t>Sexta reunión de la Conferencia de las Partes que actúa como reunión de las Partes en el Protocolo</w:t>
            </w:r>
          </w:p>
        </w:tc>
      </w:tr>
      <w:tr w:rsidR="00EE26E1" w:rsidRPr="00E954D1" w14:paraId="0B36446D" w14:textId="77777777" w:rsidTr="006D0CCB">
        <w:trPr>
          <w:cantSplit/>
          <w:jc w:val="right"/>
        </w:trPr>
        <w:tc>
          <w:tcPr>
            <w:tcW w:w="1080" w:type="dxa"/>
            <w:shd w:val="clear" w:color="auto" w:fill="FFFFFF" w:themeFill="background1"/>
          </w:tcPr>
          <w:p w14:paraId="668FE53D" w14:textId="737817A1" w:rsidR="00187250" w:rsidRPr="00E954D1" w:rsidRDefault="00CC181A" w:rsidP="006D0CCB">
            <w:pPr>
              <w:spacing w:before="40" w:after="40"/>
              <w:ind w:left="72" w:right="43"/>
              <w:jc w:val="left"/>
              <w:rPr>
                <w:rFonts w:eastAsia="Calibri"/>
                <w:sz w:val="20"/>
                <w:szCs w:val="20"/>
              </w:rPr>
            </w:pPr>
            <w:r w:rsidRPr="00E954D1">
              <w:rPr>
                <w:sz w:val="20"/>
              </w:rPr>
              <w:t>2028</w:t>
            </w:r>
          </w:p>
        </w:tc>
        <w:tc>
          <w:tcPr>
            <w:tcW w:w="1758" w:type="dxa"/>
            <w:shd w:val="clear" w:color="auto" w:fill="FFFFFF" w:themeFill="background1"/>
            <w:tcMar>
              <w:top w:w="0" w:type="dxa"/>
              <w:left w:w="108" w:type="dxa"/>
              <w:bottom w:w="0" w:type="dxa"/>
              <w:right w:w="108" w:type="dxa"/>
            </w:tcMar>
            <w:hideMark/>
          </w:tcPr>
          <w:p w14:paraId="0C514EBF" w14:textId="14AAFE33" w:rsidR="00187250" w:rsidRPr="00E954D1" w:rsidRDefault="00F170EB" w:rsidP="006D0CCB">
            <w:pPr>
              <w:spacing w:before="40" w:after="40"/>
              <w:ind w:left="20" w:right="20"/>
              <w:jc w:val="left"/>
              <w:rPr>
                <w:rFonts w:eastAsia="Calibri"/>
                <w:sz w:val="20"/>
                <w:szCs w:val="20"/>
              </w:rPr>
            </w:pPr>
            <w:r w:rsidRPr="00E954D1">
              <w:rPr>
                <w:sz w:val="20"/>
              </w:rPr>
              <w:t>Adopción de metodologías para las evaluaciones mundiales</w:t>
            </w:r>
          </w:p>
        </w:tc>
        <w:tc>
          <w:tcPr>
            <w:tcW w:w="3323" w:type="dxa"/>
            <w:shd w:val="clear" w:color="auto" w:fill="FFFFFF" w:themeFill="background1"/>
            <w:tcMar>
              <w:top w:w="0" w:type="dxa"/>
              <w:left w:w="108" w:type="dxa"/>
              <w:bottom w:w="0" w:type="dxa"/>
              <w:right w:w="108" w:type="dxa"/>
            </w:tcMar>
            <w:hideMark/>
          </w:tcPr>
          <w:p w14:paraId="2646A56B" w14:textId="45ABDC01" w:rsidR="00187250" w:rsidRPr="00E954D1" w:rsidRDefault="00DC6E26" w:rsidP="006D0CCB">
            <w:pPr>
              <w:spacing w:before="40" w:after="40"/>
              <w:ind w:left="20" w:right="20"/>
              <w:jc w:val="left"/>
              <w:rPr>
                <w:rFonts w:eastAsia="Calibri"/>
                <w:sz w:val="20"/>
                <w:szCs w:val="20"/>
              </w:rPr>
            </w:pPr>
            <w:r w:rsidRPr="00E954D1">
              <w:rPr>
                <w:sz w:val="20"/>
              </w:rPr>
              <w:t>Balance mundial de los progresos realizados en la implementación del Marco (18ª reunión de la Conferencia de las Partes)</w:t>
            </w:r>
          </w:p>
        </w:tc>
        <w:tc>
          <w:tcPr>
            <w:tcW w:w="2912" w:type="dxa"/>
            <w:shd w:val="clear" w:color="auto" w:fill="FFFFFF" w:themeFill="background1"/>
            <w:tcMar>
              <w:top w:w="0" w:type="dxa"/>
              <w:left w:w="108" w:type="dxa"/>
              <w:bottom w:w="0" w:type="dxa"/>
              <w:right w:w="108" w:type="dxa"/>
            </w:tcMar>
            <w:hideMark/>
          </w:tcPr>
          <w:p w14:paraId="7F44BDE7" w14:textId="01EDB4ED" w:rsidR="00187250" w:rsidRPr="00E954D1" w:rsidRDefault="009910E9" w:rsidP="006D0CCB">
            <w:pPr>
              <w:spacing w:before="40" w:after="40"/>
              <w:ind w:left="20" w:right="20"/>
              <w:jc w:val="left"/>
              <w:rPr>
                <w:rFonts w:eastAsia="Calibri"/>
                <w:sz w:val="20"/>
                <w:szCs w:val="20"/>
              </w:rPr>
            </w:pPr>
            <w:r w:rsidRPr="00E954D1">
              <w:rPr>
                <w:sz w:val="20"/>
              </w:rPr>
              <w:t>Tercera evaluación y revisión del Protocolo</w:t>
            </w:r>
            <w:r w:rsidRPr="00E954D1">
              <w:rPr>
                <w:sz w:val="20"/>
              </w:rPr>
              <w:br/>
              <w:t>(séptima reunión de la Conferencia de las Partes que actúa como reunión de las Partes en el Protocolo)</w:t>
            </w:r>
          </w:p>
        </w:tc>
      </w:tr>
      <w:tr w:rsidR="00EE26E1" w:rsidRPr="00E954D1" w14:paraId="0E4FDEEE" w14:textId="77777777" w:rsidTr="006D0CCB">
        <w:trPr>
          <w:cantSplit/>
          <w:jc w:val="right"/>
        </w:trPr>
        <w:tc>
          <w:tcPr>
            <w:tcW w:w="1080" w:type="dxa"/>
            <w:shd w:val="clear" w:color="auto" w:fill="FFFFFF" w:themeFill="background1"/>
          </w:tcPr>
          <w:p w14:paraId="62EFC8BD" w14:textId="51C85D14" w:rsidR="00187250" w:rsidRPr="00E954D1" w:rsidRDefault="00893F62" w:rsidP="006D0CCB">
            <w:pPr>
              <w:spacing w:before="40" w:after="40"/>
              <w:ind w:left="72" w:right="43"/>
              <w:jc w:val="left"/>
              <w:rPr>
                <w:rFonts w:eastAsia="Calibri"/>
                <w:sz w:val="20"/>
                <w:szCs w:val="20"/>
              </w:rPr>
            </w:pPr>
            <w:r w:rsidRPr="00E954D1">
              <w:rPr>
                <w:sz w:val="20"/>
              </w:rPr>
              <w:t>2029</w:t>
            </w:r>
          </w:p>
        </w:tc>
        <w:tc>
          <w:tcPr>
            <w:tcW w:w="1758" w:type="dxa"/>
            <w:shd w:val="clear" w:color="auto" w:fill="FFFFFF" w:themeFill="background1"/>
            <w:tcMar>
              <w:top w:w="0" w:type="dxa"/>
              <w:left w:w="108" w:type="dxa"/>
              <w:bottom w:w="0" w:type="dxa"/>
              <w:right w:w="108" w:type="dxa"/>
            </w:tcMar>
            <w:hideMark/>
          </w:tcPr>
          <w:p w14:paraId="3BEBC6AA" w14:textId="72D75BA3" w:rsidR="00187250" w:rsidRPr="00E954D1" w:rsidRDefault="00187250" w:rsidP="006D0CCB">
            <w:pPr>
              <w:spacing w:before="40" w:after="40"/>
              <w:ind w:left="20" w:right="20"/>
              <w:jc w:val="left"/>
              <w:rPr>
                <w:rFonts w:eastAsia="Calibri"/>
                <w:sz w:val="20"/>
                <w:szCs w:val="20"/>
              </w:rPr>
            </w:pPr>
            <w:r w:rsidRPr="00E954D1">
              <w:rPr>
                <w:sz w:val="20"/>
              </w:rPr>
              <w:t xml:space="preserve">Presentación de los informes nacionales </w:t>
            </w:r>
          </w:p>
        </w:tc>
        <w:tc>
          <w:tcPr>
            <w:tcW w:w="3323" w:type="dxa"/>
            <w:shd w:val="clear" w:color="auto" w:fill="FFFFFF" w:themeFill="background1"/>
            <w:tcMar>
              <w:top w:w="0" w:type="dxa"/>
              <w:left w:w="108" w:type="dxa"/>
              <w:bottom w:w="0" w:type="dxa"/>
              <w:right w:w="108" w:type="dxa"/>
            </w:tcMar>
            <w:hideMark/>
          </w:tcPr>
          <w:p w14:paraId="5F314305" w14:textId="1742A697" w:rsidR="00187250" w:rsidRPr="00E954D1" w:rsidRDefault="00187250" w:rsidP="006D0CCB">
            <w:pPr>
              <w:spacing w:before="40" w:after="40"/>
              <w:ind w:left="20" w:right="20"/>
              <w:jc w:val="left"/>
              <w:rPr>
                <w:rFonts w:eastAsia="Calibri"/>
                <w:sz w:val="20"/>
                <w:szCs w:val="20"/>
              </w:rPr>
            </w:pPr>
            <w:r w:rsidRPr="00E954D1">
              <w:rPr>
                <w:sz w:val="20"/>
              </w:rPr>
              <w:t>Octavo informe nacional en virtud del Convenio (fecha límite: 30 de febrero de 2029)</w:t>
            </w:r>
          </w:p>
        </w:tc>
        <w:tc>
          <w:tcPr>
            <w:tcW w:w="2912" w:type="dxa"/>
            <w:shd w:val="clear" w:color="auto" w:fill="FFFFFF" w:themeFill="background1"/>
            <w:tcMar>
              <w:top w:w="0" w:type="dxa"/>
              <w:left w:w="108" w:type="dxa"/>
              <w:bottom w:w="0" w:type="dxa"/>
              <w:right w:w="108" w:type="dxa"/>
            </w:tcMar>
            <w:hideMark/>
          </w:tcPr>
          <w:p w14:paraId="7FE4F9CB" w14:textId="1FD0DBA9" w:rsidR="00187250" w:rsidRPr="00E954D1" w:rsidRDefault="00187250" w:rsidP="006D0CCB">
            <w:pPr>
              <w:spacing w:before="40" w:after="40"/>
              <w:ind w:left="20" w:right="20"/>
              <w:jc w:val="left"/>
              <w:rPr>
                <w:rFonts w:eastAsia="Calibri"/>
                <w:sz w:val="20"/>
                <w:szCs w:val="20"/>
              </w:rPr>
            </w:pPr>
            <w:r w:rsidRPr="00E954D1">
              <w:rPr>
                <w:sz w:val="20"/>
              </w:rPr>
              <w:t>Segundo informe nacional en virtud del Protocolo (fecha límite: 30 de febrero de 2029)</w:t>
            </w:r>
          </w:p>
        </w:tc>
      </w:tr>
      <w:tr w:rsidR="00EE26E1" w:rsidRPr="00E954D1" w14:paraId="1FF60333" w14:textId="77777777" w:rsidTr="006D0CCB">
        <w:trPr>
          <w:cantSplit/>
          <w:jc w:val="right"/>
        </w:trPr>
        <w:tc>
          <w:tcPr>
            <w:tcW w:w="1080" w:type="dxa"/>
            <w:shd w:val="clear" w:color="auto" w:fill="FFFFFF" w:themeFill="background1"/>
          </w:tcPr>
          <w:p w14:paraId="348F4076" w14:textId="77107F5E" w:rsidR="00187250" w:rsidRPr="00E954D1" w:rsidRDefault="00893F62" w:rsidP="006D0CCB">
            <w:pPr>
              <w:spacing w:before="40" w:after="40"/>
              <w:ind w:left="72" w:right="43"/>
              <w:jc w:val="left"/>
              <w:rPr>
                <w:rFonts w:eastAsia="Calibri"/>
                <w:sz w:val="20"/>
                <w:szCs w:val="20"/>
              </w:rPr>
            </w:pPr>
            <w:r w:rsidRPr="00E954D1">
              <w:rPr>
                <w:sz w:val="20"/>
              </w:rPr>
              <w:t>2030</w:t>
            </w:r>
          </w:p>
        </w:tc>
        <w:tc>
          <w:tcPr>
            <w:tcW w:w="1758" w:type="dxa"/>
            <w:shd w:val="clear" w:color="auto" w:fill="FFFFFF" w:themeFill="background1"/>
            <w:tcMar>
              <w:top w:w="0" w:type="dxa"/>
              <w:left w:w="108" w:type="dxa"/>
              <w:bottom w:w="0" w:type="dxa"/>
              <w:right w:w="108" w:type="dxa"/>
            </w:tcMar>
            <w:hideMark/>
          </w:tcPr>
          <w:p w14:paraId="2927FF71" w14:textId="7AFCFE41" w:rsidR="00187250" w:rsidRPr="00E954D1" w:rsidRDefault="003F2777" w:rsidP="006D0CCB">
            <w:pPr>
              <w:spacing w:before="40" w:after="40"/>
              <w:ind w:left="7" w:right="7"/>
              <w:jc w:val="left"/>
              <w:rPr>
                <w:rFonts w:eastAsia="Calibri"/>
                <w:sz w:val="20"/>
                <w:szCs w:val="20"/>
              </w:rPr>
            </w:pPr>
            <w:r w:rsidRPr="00E954D1">
              <w:rPr>
                <w:sz w:val="20"/>
              </w:rPr>
              <w:t xml:space="preserve">Los informes nacionales se utilizan como fuentes de información en los procesos de balance </w:t>
            </w:r>
          </w:p>
        </w:tc>
        <w:tc>
          <w:tcPr>
            <w:tcW w:w="3323" w:type="dxa"/>
            <w:shd w:val="clear" w:color="auto" w:fill="FFFFFF" w:themeFill="background1"/>
            <w:tcMar>
              <w:top w:w="0" w:type="dxa"/>
              <w:left w:w="108" w:type="dxa"/>
              <w:bottom w:w="0" w:type="dxa"/>
              <w:right w:w="108" w:type="dxa"/>
            </w:tcMar>
            <w:hideMark/>
          </w:tcPr>
          <w:p w14:paraId="7E7F679E" w14:textId="207DD769" w:rsidR="00187250" w:rsidRPr="00E954D1" w:rsidRDefault="003D6849" w:rsidP="006D0CCB">
            <w:pPr>
              <w:spacing w:before="40" w:after="40"/>
              <w:ind w:left="20" w:right="20"/>
              <w:jc w:val="left"/>
              <w:rPr>
                <w:rFonts w:eastAsia="Calibri"/>
                <w:sz w:val="20"/>
                <w:szCs w:val="20"/>
              </w:rPr>
            </w:pPr>
            <w:r w:rsidRPr="00E954D1">
              <w:rPr>
                <w:sz w:val="20"/>
              </w:rPr>
              <w:t>Los informes nacionales aportan información para la revisión mundial de los progresos colectivos en la implementación del Marco</w:t>
            </w:r>
            <w:r w:rsidRPr="00E954D1">
              <w:rPr>
                <w:sz w:val="20"/>
              </w:rPr>
              <w:br/>
              <w:t>(19ª reunión de la Conferencia de las Partes)</w:t>
            </w:r>
          </w:p>
        </w:tc>
        <w:tc>
          <w:tcPr>
            <w:tcW w:w="2912" w:type="dxa"/>
            <w:shd w:val="clear" w:color="auto" w:fill="FFFFFF" w:themeFill="background1"/>
            <w:tcMar>
              <w:top w:w="0" w:type="dxa"/>
              <w:left w:w="108" w:type="dxa"/>
              <w:bottom w:w="0" w:type="dxa"/>
              <w:right w:w="108" w:type="dxa"/>
            </w:tcMar>
            <w:hideMark/>
          </w:tcPr>
          <w:p w14:paraId="78B702DE" w14:textId="350E2045" w:rsidR="00187250" w:rsidRPr="00E954D1" w:rsidRDefault="004C44CC" w:rsidP="006D0CCB">
            <w:pPr>
              <w:spacing w:before="40" w:after="40"/>
              <w:ind w:left="20" w:right="20"/>
              <w:jc w:val="left"/>
              <w:rPr>
                <w:rFonts w:eastAsia="Calibri"/>
                <w:sz w:val="20"/>
                <w:szCs w:val="20"/>
              </w:rPr>
            </w:pPr>
            <w:r w:rsidRPr="00E954D1">
              <w:rPr>
                <w:sz w:val="20"/>
              </w:rPr>
              <w:t>Tercera evaluación y revisión de la eficacia del Protocolo</w:t>
            </w:r>
            <w:r w:rsidRPr="00E954D1">
              <w:rPr>
                <w:sz w:val="20"/>
              </w:rPr>
              <w:br/>
              <w:t>(octava reunión de la Conferencia de las Partes que actúa como reunión de las Partes en el Protocolo)</w:t>
            </w:r>
          </w:p>
        </w:tc>
      </w:tr>
    </w:tbl>
    <w:p w14:paraId="33F576D6" w14:textId="16B27B49" w:rsidR="007E7094" w:rsidRPr="00E954D1" w:rsidRDefault="00781336" w:rsidP="00D17C52">
      <w:pPr>
        <w:pStyle w:val="Para10"/>
        <w:numPr>
          <w:ilvl w:val="0"/>
          <w:numId w:val="6"/>
        </w:numPr>
        <w:tabs>
          <w:tab w:val="clear" w:pos="1134"/>
          <w:tab w:val="left" w:pos="1080"/>
        </w:tabs>
        <w:spacing w:before="0"/>
        <w:ind w:left="540"/>
        <w:rPr>
          <w:kern w:val="22"/>
          <w:szCs w:val="22"/>
        </w:rPr>
      </w:pPr>
      <w:r w:rsidRPr="00E954D1">
        <w:t xml:space="preserve">Dado el escaso tiempo disponible entre la fecha límite para la presentación de los primeros informes nacionales y su análisis para aportar información para la segunda evaluación y revisión, es poco probable que los informes presentados después de la fecha límite puedan tenerse en cuenta en el </w:t>
      </w:r>
      <w:r w:rsidRPr="00E954D1">
        <w:lastRenderedPageBreak/>
        <w:t>análisis. Considerando que el análisis debe basarse en un número de Partes suficientemente representativo para producir resultados significativos, resulta crítico que haya financiación disponible de manera oportuna y que el primer informe nacional se presente puntualmente.</w:t>
      </w:r>
    </w:p>
    <w:p w14:paraId="7BACD2E0" w14:textId="77777777" w:rsidR="00907626" w:rsidRPr="00E954D1" w:rsidRDefault="00907626" w:rsidP="00D17C52">
      <w:pPr>
        <w:pStyle w:val="Ttulo1"/>
        <w:ind w:left="567" w:hanging="567"/>
      </w:pPr>
      <w:r w:rsidRPr="00E954D1">
        <w:t>Aportaciones del Comité de Cumplimiento en relación con la metodología propuesta para la segunda evaluación y revisión de la eficacia del Protocolo de Nagoya</w:t>
      </w:r>
    </w:p>
    <w:p w14:paraId="49768F4F" w14:textId="2D0E3B5A" w:rsidR="00907626" w:rsidRPr="00E954D1" w:rsidRDefault="00907626" w:rsidP="00D17C52">
      <w:pPr>
        <w:pStyle w:val="Para10"/>
        <w:numPr>
          <w:ilvl w:val="0"/>
          <w:numId w:val="6"/>
        </w:numPr>
        <w:tabs>
          <w:tab w:val="clear" w:pos="1134"/>
          <w:tab w:val="left" w:pos="1080"/>
        </w:tabs>
        <w:spacing w:before="0"/>
        <w:ind w:left="540"/>
        <w:rPr>
          <w:color w:val="000000" w:themeColor="text1"/>
          <w:kern w:val="22"/>
          <w:szCs w:val="22"/>
        </w:rPr>
      </w:pPr>
      <w:r w:rsidRPr="00E954D1">
        <w:t>El Comité de Cumplimiento establecido en el marco del Protocolo de Nagoya formuló aportaciones sobre la primera evaluación y revisión del Protocolo. En la expectativa de que el Comité también pudiera participar en la segunda evaluación y revisión, se invitó al Comité, durante su cuarta reunión, celebrada en marzo de 2024, a realizar aportaciones sobre el proyecto de metodología propuesta para la segunda evaluación y revisión</w:t>
      </w:r>
      <w:r w:rsidR="00585B84" w:rsidRPr="00E954D1">
        <w:rPr>
          <w:rStyle w:val="Refdenotaalpie"/>
          <w:kern w:val="22"/>
        </w:rPr>
        <w:footnoteReference w:id="6"/>
      </w:r>
      <w:r w:rsidRPr="00E954D1">
        <w:t>, para contribuir a su elaboración según procediera</w:t>
      </w:r>
      <w:r w:rsidRPr="00E954D1">
        <w:rPr>
          <w:rStyle w:val="Refdenotaalpie"/>
          <w:color w:val="000000" w:themeColor="text1"/>
          <w:kern w:val="22"/>
        </w:rPr>
        <w:footnoteReference w:id="7"/>
      </w:r>
      <w:r w:rsidRPr="00E954D1">
        <w:t>.</w:t>
      </w:r>
      <w:r w:rsidRPr="00E954D1">
        <w:rPr>
          <w:color w:val="000000" w:themeColor="text1"/>
        </w:rPr>
        <w:t xml:space="preserve"> </w:t>
      </w:r>
    </w:p>
    <w:p w14:paraId="64649633" w14:textId="583067D3" w:rsidR="00907626" w:rsidRPr="00E954D1" w:rsidRDefault="00907626" w:rsidP="00D17C52">
      <w:pPr>
        <w:pStyle w:val="Para10"/>
        <w:numPr>
          <w:ilvl w:val="0"/>
          <w:numId w:val="6"/>
        </w:numPr>
        <w:tabs>
          <w:tab w:val="clear" w:pos="1134"/>
          <w:tab w:val="left" w:pos="1080"/>
        </w:tabs>
        <w:spacing w:before="0"/>
        <w:ind w:left="540"/>
        <w:rPr>
          <w:color w:val="000000" w:themeColor="text1"/>
          <w:kern w:val="22"/>
          <w:szCs w:val="22"/>
        </w:rPr>
      </w:pPr>
      <w:r w:rsidRPr="00E954D1">
        <w:t>El Comité de Cumplimiento señaló que los procedimientos y mecanismos de cumplimiento establecían, en la sección G, que la Conferencia de las Partes que actúa como reunión de las Partes en el Protocolo debía llevar a cabo un examen de la efectividad de los procedimientos y mecanismos conforme a la evaluación y revisión dispuesta en el artículo 31 del Protocolo.</w:t>
      </w:r>
      <w:r w:rsidRPr="00E954D1">
        <w:rPr>
          <w:color w:val="000000" w:themeColor="text1"/>
        </w:rPr>
        <w:t xml:space="preserve"> Reconocía que, aunque la experiencia con los procedimientos y mecanismos de cumplimiento había sido limitada, aplazar la revisión de la eficacia de los procedimientos y mecanismos de cumplimiento hasta la tercera evaluación y revisión significaría que la cuestión no se estudiaría hasta 2029, esto es, 15 años después de la adopción de los procedimientos y mecanismos. Teniendo esto en cuenta, el Comité sugirió que podría realizarse una revisión preliminar de los procedimientos y mecanismos de cumplimiento como parte de la segunda evaluación y revisión, con vistas a determinar qué áreas debían seguir estudiándose.</w:t>
      </w:r>
    </w:p>
    <w:p w14:paraId="7E9635AF" w14:textId="351D1BD1" w:rsidR="00907626" w:rsidRPr="00E954D1" w:rsidRDefault="00907626" w:rsidP="00D17C52">
      <w:pPr>
        <w:pStyle w:val="Para10"/>
        <w:numPr>
          <w:ilvl w:val="0"/>
          <w:numId w:val="6"/>
        </w:numPr>
        <w:tabs>
          <w:tab w:val="clear" w:pos="1134"/>
          <w:tab w:val="left" w:pos="1080"/>
        </w:tabs>
        <w:spacing w:before="0"/>
        <w:ind w:left="540"/>
        <w:rPr>
          <w:color w:val="000000" w:themeColor="text1"/>
          <w:kern w:val="22"/>
          <w:szCs w:val="22"/>
        </w:rPr>
      </w:pPr>
      <w:r w:rsidRPr="00E954D1">
        <w:t>El Comité de Cumplimiento observó que el proceso para la segunda evaluación y revisión incluiría una encuesta selectiva para recopilar información sobre las dificultades relacionadas con la aplicación del Protocolo de Nagoya, como se solicitaba en la decisión </w:t>
      </w:r>
      <w:hyperlink r:id="rId21" w:history="1">
        <w:r w:rsidRPr="00E954D1">
          <w:rPr>
            <w:color w:val="000000" w:themeColor="text1"/>
          </w:rPr>
          <w:t>NP</w:t>
        </w:r>
        <w:r w:rsidR="00827B91" w:rsidRPr="00E954D1">
          <w:rPr>
            <w:color w:val="000000" w:themeColor="text1"/>
          </w:rPr>
          <w:noBreakHyphen/>
        </w:r>
        <w:r w:rsidRPr="00E954D1">
          <w:rPr>
            <w:color w:val="000000" w:themeColor="text1"/>
          </w:rPr>
          <w:t>3/1</w:t>
        </w:r>
      </w:hyperlink>
      <w:r w:rsidRPr="00E954D1">
        <w:t> A. El Comité abordó la necesidad de disponer de más información para elaborar un panorama más detallado de la aplicación y las dificultades que planteaba.</w:t>
      </w:r>
      <w:r w:rsidRPr="00E954D1">
        <w:rPr>
          <w:color w:val="000000" w:themeColor="text1"/>
        </w:rPr>
        <w:t xml:space="preserve"> Por consiguiente, el Comité recomendó, como fuente adicional de información, que la segunda evaluación incluyera también un estudio preliminar sobre las posibles razones y causas profundas subyacentes de los problemas que dificultan la aplicación efectiva y el cumplimiento y la manera más adecuada de mejorarlos.</w:t>
      </w:r>
    </w:p>
    <w:p w14:paraId="63967934" w14:textId="6A7D33CD" w:rsidR="00907626" w:rsidRPr="00E954D1" w:rsidRDefault="00907626" w:rsidP="00D17C52">
      <w:pPr>
        <w:pStyle w:val="Para10"/>
        <w:numPr>
          <w:ilvl w:val="0"/>
          <w:numId w:val="6"/>
        </w:numPr>
        <w:tabs>
          <w:tab w:val="clear" w:pos="1134"/>
          <w:tab w:val="left" w:pos="1080"/>
        </w:tabs>
        <w:spacing w:before="0"/>
        <w:ind w:left="540"/>
        <w:rPr>
          <w:color w:val="000000" w:themeColor="text1"/>
          <w:kern w:val="22"/>
          <w:szCs w:val="22"/>
        </w:rPr>
      </w:pPr>
      <w:r w:rsidRPr="00E954D1">
        <w:t>El Comité de Cumplimiento acogió con satisfacción la propuesta de ampliar el mandato del Comité Asesor Oficioso sobre Creación de Capacidad para incluir la prestación de asesoramiento sobre cuestiones relacionadas con la aplicación del Protocolo</w:t>
      </w:r>
      <w:r w:rsidR="00AB668B" w:rsidRPr="00E954D1">
        <w:rPr>
          <w:rStyle w:val="Refdenotaalpie"/>
          <w:color w:val="000000" w:themeColor="text1"/>
          <w:kern w:val="22"/>
        </w:rPr>
        <w:footnoteReference w:id="8"/>
      </w:r>
      <w:r w:rsidRPr="00E954D1">
        <w:t>.</w:t>
      </w:r>
      <w:r w:rsidRPr="00E954D1">
        <w:rPr>
          <w:color w:val="000000" w:themeColor="text1"/>
        </w:rPr>
        <w:t xml:space="preserve"> </w:t>
      </w:r>
    </w:p>
    <w:p w14:paraId="351EEB69" w14:textId="04955A83" w:rsidR="00907626" w:rsidRPr="00E954D1" w:rsidRDefault="00907626" w:rsidP="00D17C52">
      <w:pPr>
        <w:pStyle w:val="Para10"/>
        <w:numPr>
          <w:ilvl w:val="0"/>
          <w:numId w:val="6"/>
        </w:numPr>
        <w:tabs>
          <w:tab w:val="clear" w:pos="1134"/>
          <w:tab w:val="left" w:pos="1080"/>
        </w:tabs>
        <w:spacing w:before="0"/>
        <w:ind w:left="540"/>
        <w:rPr>
          <w:kern w:val="22"/>
          <w:szCs w:val="22"/>
        </w:rPr>
      </w:pPr>
      <w:r w:rsidRPr="00E954D1">
        <w:rPr>
          <w:color w:val="000000" w:themeColor="text1"/>
        </w:rPr>
        <w:t xml:space="preserve">En cuanto al </w:t>
      </w:r>
      <w:r w:rsidRPr="00E954D1">
        <w:t>calendario</w:t>
      </w:r>
      <w:r w:rsidRPr="00E954D1">
        <w:rPr>
          <w:color w:val="000000" w:themeColor="text1"/>
        </w:rPr>
        <w:t xml:space="preserve"> para la segunda evaluación y revisión, el Comité de Cumplimiento expresó su preocupación por el hecho de que la Secretaría dispusiera de solo un mes tras la fecha límite de presentación de los informes nacionales para realizar el amplio análisis necesario. Reiteró la importancia de que las Partes presentaran su informe de manera puntual y, preferiblemente, antes de la fecha límite. </w:t>
      </w:r>
    </w:p>
    <w:p w14:paraId="69579E3E" w14:textId="369F3C0A" w:rsidR="00285A4A" w:rsidRPr="00E954D1" w:rsidRDefault="00545644" w:rsidP="00AC3206">
      <w:pPr>
        <w:pStyle w:val="Ttulo1"/>
        <w:keepNext w:val="0"/>
        <w:keepLines w:val="0"/>
        <w:ind w:left="567" w:hanging="567"/>
      </w:pPr>
      <w:r w:rsidRPr="00E954D1">
        <w:t xml:space="preserve">Metodología propuesta para la segunda evaluación y revisión de la eficacia del Protocolo de Nagoya </w:t>
      </w:r>
    </w:p>
    <w:p w14:paraId="257C4FCC" w14:textId="5DFC6766" w:rsidR="006F18F9" w:rsidRPr="00E954D1" w:rsidRDefault="002D052F" w:rsidP="00D17C52">
      <w:pPr>
        <w:pStyle w:val="Para10"/>
        <w:numPr>
          <w:ilvl w:val="0"/>
          <w:numId w:val="6"/>
        </w:numPr>
        <w:tabs>
          <w:tab w:val="clear" w:pos="1134"/>
          <w:tab w:val="left" w:pos="1080"/>
        </w:tabs>
        <w:spacing w:before="0"/>
        <w:ind w:left="540"/>
        <w:rPr>
          <w:color w:val="000000" w:themeColor="text1"/>
        </w:rPr>
      </w:pPr>
      <w:bookmarkStart w:id="4" w:name="_Hlk138245592"/>
      <w:r w:rsidRPr="00E954D1">
        <w:t>En la decisión NP</w:t>
      </w:r>
      <w:r w:rsidR="00827B91" w:rsidRPr="00E954D1">
        <w:noBreakHyphen/>
      </w:r>
      <w:r w:rsidRPr="00E954D1">
        <w:t>3/1 B, se pidió a la Secretaria Ejecutiva que propusiera una metodología para llevar a cabo la segunda evaluación y revisión de la eficacia del Protocolo, teniendo en cuenta los resultados y las lecciones aprendidas del primer proceso de evaluación y revisión, las experiencias del proceso de evaluación y revisión en virtud del Protocolo de Cartagena y el marco mundial de la diversidad biológica posterior a 2020 (párr. 2).</w:t>
      </w:r>
    </w:p>
    <w:p w14:paraId="39DF57B1" w14:textId="6D53C031" w:rsidR="00183C75" w:rsidRPr="00E954D1" w:rsidRDefault="00C37435" w:rsidP="00D17C52">
      <w:pPr>
        <w:pStyle w:val="Para10"/>
        <w:numPr>
          <w:ilvl w:val="0"/>
          <w:numId w:val="6"/>
        </w:numPr>
        <w:tabs>
          <w:tab w:val="clear" w:pos="1134"/>
          <w:tab w:val="left" w:pos="1080"/>
        </w:tabs>
        <w:spacing w:before="0"/>
        <w:ind w:left="540"/>
        <w:rPr>
          <w:color w:val="000000" w:themeColor="text1"/>
        </w:rPr>
      </w:pPr>
      <w:r w:rsidRPr="00E954D1">
        <w:lastRenderedPageBreak/>
        <w:t>La presente sección contiene los elementos y fuentes de información propuestos para la segunda evaluación y revisión (secc. A), una propuesta de mecanismo para brindar asesoramiento al Secretario Ejecutivo sobre cuestiones relacionadas con la aplicación (secc. B) y una sinopsis del proceso y el calendario propuestos (secc. C).</w:t>
      </w:r>
    </w:p>
    <w:p w14:paraId="10623330" w14:textId="57306494" w:rsidR="00520AE6" w:rsidRPr="00E954D1" w:rsidRDefault="00520AE6" w:rsidP="00D17C52">
      <w:pPr>
        <w:pStyle w:val="Para1"/>
        <w:keepNext/>
        <w:numPr>
          <w:ilvl w:val="0"/>
          <w:numId w:val="0"/>
        </w:numPr>
        <w:tabs>
          <w:tab w:val="left" w:pos="1134"/>
        </w:tabs>
        <w:ind w:left="544" w:hanging="544"/>
        <w:jc w:val="both"/>
        <w:outlineLvl w:val="1"/>
        <w:rPr>
          <w:b/>
          <w:bCs/>
          <w:color w:val="000000" w:themeColor="text1"/>
        </w:rPr>
      </w:pPr>
      <w:r w:rsidRPr="00E954D1">
        <w:rPr>
          <w:b/>
          <w:color w:val="000000" w:themeColor="text1"/>
        </w:rPr>
        <w:t>A.</w:t>
      </w:r>
      <w:r w:rsidRPr="00E954D1">
        <w:rPr>
          <w:b/>
          <w:color w:val="000000" w:themeColor="text1"/>
        </w:rPr>
        <w:tab/>
        <w:t>Elementos y fuentes de información propuestos</w:t>
      </w:r>
    </w:p>
    <w:p w14:paraId="20504B39" w14:textId="21F84A55" w:rsidR="004D0E11" w:rsidRPr="00E954D1" w:rsidRDefault="000167A6" w:rsidP="00D17C52">
      <w:pPr>
        <w:pStyle w:val="Para10"/>
        <w:numPr>
          <w:ilvl w:val="0"/>
          <w:numId w:val="6"/>
        </w:numPr>
        <w:tabs>
          <w:tab w:val="clear" w:pos="1134"/>
          <w:tab w:val="left" w:pos="1080"/>
        </w:tabs>
        <w:spacing w:before="0"/>
        <w:ind w:left="540"/>
        <w:rPr>
          <w:kern w:val="22"/>
          <w:szCs w:val="22"/>
        </w:rPr>
      </w:pPr>
      <w:r w:rsidRPr="00E954D1">
        <w:t xml:space="preserve">En </w:t>
      </w:r>
      <w:bookmarkStart w:id="5" w:name="_Hlk163191089"/>
      <w:r w:rsidRPr="00E954D1">
        <w:t>los párrafos 16 y 17 de su decisión NP</w:t>
      </w:r>
      <w:r w:rsidR="00827B91" w:rsidRPr="00E954D1">
        <w:noBreakHyphen/>
      </w:r>
      <w:r w:rsidRPr="00E954D1">
        <w:t>3/1 A</w:t>
      </w:r>
      <w:bookmarkEnd w:id="5"/>
      <w:r w:rsidRPr="00E954D1">
        <w:t xml:space="preserve">, la Conferencia de las Partes que actúa como reunión de las Partes en el Protocolo de Nagoya decidió evaluar todos los elementos pertinentes para la aplicación del Protocolo, incluida la eficacia del artículo 18 y los progresos en relación con los artículos 10 y 23. </w:t>
      </w:r>
    </w:p>
    <w:p w14:paraId="3885962D" w14:textId="65E6E3ED" w:rsidR="009315E3" w:rsidRPr="00E954D1" w:rsidRDefault="00446216" w:rsidP="00D17C52">
      <w:pPr>
        <w:pStyle w:val="Para10"/>
        <w:numPr>
          <w:ilvl w:val="0"/>
          <w:numId w:val="6"/>
        </w:numPr>
        <w:tabs>
          <w:tab w:val="clear" w:pos="1134"/>
          <w:tab w:val="left" w:pos="1080"/>
        </w:tabs>
        <w:spacing w:before="0"/>
        <w:ind w:left="540"/>
        <w:rPr>
          <w:kern w:val="22"/>
          <w:szCs w:val="22"/>
        </w:rPr>
      </w:pPr>
      <w:r w:rsidRPr="00E954D1">
        <w:t>En la sección G de los procedimientos de cooperación y mecanismos institucionales para promover el cumplimiento de las disposiciones del Protocolo</w:t>
      </w:r>
      <w:r w:rsidR="008E5BB6" w:rsidRPr="00E954D1">
        <w:rPr>
          <w:rStyle w:val="Refdenotaalpie"/>
          <w:color w:val="000000" w:themeColor="text1"/>
          <w:kern w:val="22"/>
        </w:rPr>
        <w:footnoteReference w:id="9"/>
      </w:r>
      <w:r w:rsidRPr="00E954D1">
        <w:t xml:space="preserve">, se establece que la Conferencia de las Partes que actúa como reunión de las Partes en el Protocolo </w:t>
      </w:r>
      <w:r w:rsidR="00F043E5" w:rsidRPr="00E954D1">
        <w:t>debe</w:t>
      </w:r>
      <w:r w:rsidRPr="00E954D1">
        <w:t xml:space="preserve"> llevar a cabo un examen de la efectividad de esos procedimientos y mecanismos conforme a la evaluación y revisión dispuesta en el artículo 31 del Protocolo, y tomar las medidas correspondientes. </w:t>
      </w:r>
    </w:p>
    <w:p w14:paraId="40DD84A8" w14:textId="6F68E6BB" w:rsidR="00463B07" w:rsidRPr="00E954D1" w:rsidRDefault="00D15C4D" w:rsidP="00D17C52">
      <w:pPr>
        <w:pStyle w:val="Para10"/>
        <w:numPr>
          <w:ilvl w:val="0"/>
          <w:numId w:val="6"/>
        </w:numPr>
        <w:tabs>
          <w:tab w:val="clear" w:pos="1134"/>
          <w:tab w:val="left" w:pos="1080"/>
        </w:tabs>
        <w:spacing w:before="0"/>
        <w:ind w:left="540"/>
        <w:rPr>
          <w:kern w:val="22"/>
          <w:szCs w:val="22"/>
        </w:rPr>
      </w:pPr>
      <w:r w:rsidRPr="00E954D1">
        <w:t>En el párrafo 18 a) de la decisión NP</w:t>
      </w:r>
      <w:r w:rsidR="00827B91" w:rsidRPr="00E954D1">
        <w:noBreakHyphen/>
      </w:r>
      <w:r w:rsidRPr="00E954D1">
        <w:t>3/1</w:t>
      </w:r>
      <w:r w:rsidR="008977FE" w:rsidRPr="00E954D1">
        <w:t> </w:t>
      </w:r>
      <w:r w:rsidRPr="00E954D1">
        <w:t>A, se pidió a la Secretaria Ejecutiva que llevara a cabo una encuesta dirigida a puntos focales nacionales de acceso y participación en los beneficios, autoridades nacionales competentes, y usuarios y proveedores de recursos genéticos o conocimientos tradicionales asociados sobre las dificultades relacionadas con la aplicación del Protocolo a fin de proporcionar una fuente más de información para procesos futuros de evaluación y revisión de la eficacia del Protocolo. En el párrafo 20 c), también se pidió a la Secretaria Ejecutiva que recabara observaciones y comentarios sobre la puesta en marcha y el funcionamiento del Centro de Intercambio de Información sobre Acceso y Participación en los Beneficios de los distintos tipos de usuarios.</w:t>
      </w:r>
    </w:p>
    <w:bookmarkEnd w:id="4"/>
    <w:p w14:paraId="0AF5B390" w14:textId="3380271C" w:rsidR="004B516A" w:rsidRPr="00E954D1" w:rsidRDefault="00EC4C81" w:rsidP="00D17C52">
      <w:pPr>
        <w:pStyle w:val="Para10"/>
        <w:numPr>
          <w:ilvl w:val="0"/>
          <w:numId w:val="6"/>
        </w:numPr>
        <w:tabs>
          <w:tab w:val="clear" w:pos="1134"/>
          <w:tab w:val="left" w:pos="1080"/>
        </w:tabs>
        <w:spacing w:before="0"/>
        <w:ind w:left="540"/>
        <w:rPr>
          <w:kern w:val="22"/>
          <w:szCs w:val="22"/>
        </w:rPr>
      </w:pPr>
      <w:r w:rsidRPr="00E954D1">
        <w:t>Los elementos y fuentes de información propuestos para la segunda evaluación y revisión figuran en el cuadro del anexo de la propuesta de recomendación. Este cuadro se ha actualizado con respecto a aquel utilizado en la primera evaluación para incluir las peticiones mencionadas que se formulan en las decisiones adoptadas en la tercera reunión de la Conferencia de las Partes que actúa como reunión de las Partes en el Protocolo de Nagoya y otras decisiones pertinentes. También tiene en cuenta las aportaciones del Comité de Cumplimiento que se exponen en la sección V anterior, en relación con una revisión preliminar de los procedimientos y mecanismos de cumplimiento. La encuesta selectiva y la información solicitada en los párrafos 18 a) y 20 c), respectivamente, de la decisión NP</w:t>
      </w:r>
      <w:r w:rsidR="00827B91" w:rsidRPr="00E954D1">
        <w:noBreakHyphen/>
      </w:r>
      <w:r w:rsidRPr="00E954D1">
        <w:t>3/1 A, se han incorporado como fuentes de información.</w:t>
      </w:r>
    </w:p>
    <w:p w14:paraId="4F718032" w14:textId="4F448F09" w:rsidR="00334DFC" w:rsidRPr="00E954D1" w:rsidRDefault="0014607D" w:rsidP="00D17C52">
      <w:pPr>
        <w:pStyle w:val="Para10"/>
        <w:numPr>
          <w:ilvl w:val="0"/>
          <w:numId w:val="6"/>
        </w:numPr>
        <w:tabs>
          <w:tab w:val="clear" w:pos="1134"/>
          <w:tab w:val="left" w:pos="1080"/>
        </w:tabs>
        <w:spacing w:before="0"/>
        <w:ind w:left="540"/>
        <w:rPr>
          <w:kern w:val="22"/>
          <w:szCs w:val="22"/>
        </w:rPr>
      </w:pPr>
      <w:r w:rsidRPr="00E954D1">
        <w:t>La segunda evaluación también debería incluir una evaluación de los progresos realizados con respecto a los puntos de referencia incluidos en el marco de indicadores, que figura en el anexo II de la decisión NP</w:t>
      </w:r>
      <w:r w:rsidR="00827B91" w:rsidRPr="00E954D1">
        <w:noBreakHyphen/>
      </w:r>
      <w:r w:rsidRPr="00E954D1">
        <w:t>3/1.</w:t>
      </w:r>
    </w:p>
    <w:p w14:paraId="379147BE" w14:textId="5E86592C" w:rsidR="00EC4C81" w:rsidRPr="00E954D1" w:rsidRDefault="00EC4C81" w:rsidP="00D17C52">
      <w:pPr>
        <w:pStyle w:val="Para10"/>
        <w:numPr>
          <w:ilvl w:val="0"/>
          <w:numId w:val="6"/>
        </w:numPr>
        <w:tabs>
          <w:tab w:val="clear" w:pos="1134"/>
          <w:tab w:val="left" w:pos="1080"/>
        </w:tabs>
        <w:spacing w:before="0"/>
        <w:ind w:left="540"/>
        <w:rPr>
          <w:kern w:val="22"/>
          <w:szCs w:val="22"/>
        </w:rPr>
      </w:pPr>
      <w:r w:rsidRPr="00E954D1">
        <w:t xml:space="preserve">Además, la segunda evaluación y revisión podrá apoyarse con un estudio preliminar, de acuerdo con la recomendación formulada por el Comité de Cumplimiento. </w:t>
      </w:r>
    </w:p>
    <w:p w14:paraId="06B8EB73" w14:textId="303753D0" w:rsidR="004D50AB" w:rsidRPr="00E954D1" w:rsidRDefault="00B45C92" w:rsidP="006D0CCB">
      <w:pPr>
        <w:pStyle w:val="Para1"/>
        <w:numPr>
          <w:ilvl w:val="0"/>
          <w:numId w:val="0"/>
        </w:numPr>
        <w:tabs>
          <w:tab w:val="left" w:pos="1134"/>
        </w:tabs>
        <w:ind w:left="544" w:hanging="544"/>
        <w:outlineLvl w:val="1"/>
        <w:rPr>
          <w:b/>
          <w:color w:val="000000" w:themeColor="text1"/>
        </w:rPr>
      </w:pPr>
      <w:r w:rsidRPr="00E954D1">
        <w:rPr>
          <w:b/>
          <w:color w:val="000000" w:themeColor="text1"/>
        </w:rPr>
        <w:t>B.</w:t>
      </w:r>
      <w:r w:rsidRPr="00E954D1">
        <w:rPr>
          <w:b/>
          <w:color w:val="000000" w:themeColor="text1"/>
        </w:rPr>
        <w:tab/>
        <w:t>Mecanismo propuesto para brindar asesoramiento al Secretario Ejecutivo sobre cuestiones relacionadas con la aplicación</w:t>
      </w:r>
    </w:p>
    <w:p w14:paraId="7B94B73C" w14:textId="160F9AED" w:rsidR="002A22AF" w:rsidRPr="00E954D1" w:rsidRDefault="002A22AF" w:rsidP="00D17C52">
      <w:pPr>
        <w:pStyle w:val="Para10"/>
        <w:numPr>
          <w:ilvl w:val="0"/>
          <w:numId w:val="6"/>
        </w:numPr>
        <w:tabs>
          <w:tab w:val="clear" w:pos="1134"/>
          <w:tab w:val="left" w:pos="1080"/>
        </w:tabs>
        <w:spacing w:before="0"/>
        <w:ind w:left="540"/>
        <w:rPr>
          <w:color w:val="000000" w:themeColor="text1"/>
          <w:kern w:val="22"/>
          <w:szCs w:val="22"/>
        </w:rPr>
      </w:pPr>
      <w:r w:rsidRPr="00E954D1">
        <w:t>En su primera reunión, la Conferencia de las Partes que actúa como reunión de las Partes en el Protocolo de Nagoya estableció un Comité Asesor Oficioso sobre Creación de Capacidad para la aplicación del Protocolo con el fin de brindar asesoramiento al Secretario Ejecutivo sobre cuestiones relacionadas con la evaluación de la eficacia del marco estratégico para la creación y el desarrollo de capacidad (decisión NP</w:t>
      </w:r>
      <w:r w:rsidR="00827B91" w:rsidRPr="00E954D1">
        <w:noBreakHyphen/>
      </w:r>
      <w:r w:rsidRPr="00E954D1">
        <w:t>1/8).</w:t>
      </w:r>
      <w:r w:rsidRPr="00E954D1">
        <w:rPr>
          <w:color w:val="000000" w:themeColor="text1"/>
        </w:rPr>
        <w:t xml:space="preserve"> El Comité tenía un mandato con un plazo definido, que fue prorrogado por la Conferencia de las Partes que actúa reunión de las Partes en el Protocolo tanto en su tercera reunión como en su cuarta reunión. En la decisión NP</w:t>
      </w:r>
      <w:r w:rsidR="00827B91" w:rsidRPr="00E954D1">
        <w:rPr>
          <w:color w:val="000000" w:themeColor="text1"/>
        </w:rPr>
        <w:noBreakHyphen/>
      </w:r>
      <w:r w:rsidRPr="00E954D1">
        <w:rPr>
          <w:color w:val="000000" w:themeColor="text1"/>
        </w:rPr>
        <w:t xml:space="preserve">4/7, también se actualizaron los términos de referencia del Comité y se amplió su integración para incluir a representantes del sector empresarial, la comunidad </w:t>
      </w:r>
      <w:r w:rsidRPr="00E954D1">
        <w:rPr>
          <w:color w:val="000000" w:themeColor="text1"/>
        </w:rPr>
        <w:lastRenderedPageBreak/>
        <w:t>de investigación y la juventud, además de los 15 expertos de las Partes, los 3 representantes de los pueblos indígenas y las comunidades locales y los representantes de las organizaciones pertinentes.</w:t>
      </w:r>
    </w:p>
    <w:p w14:paraId="3F31723F" w14:textId="57CD3543" w:rsidR="003E60B8" w:rsidRPr="00E954D1" w:rsidRDefault="0023093A" w:rsidP="00D17C52">
      <w:pPr>
        <w:pStyle w:val="Para10"/>
        <w:numPr>
          <w:ilvl w:val="0"/>
          <w:numId w:val="6"/>
        </w:numPr>
        <w:tabs>
          <w:tab w:val="clear" w:pos="1134"/>
          <w:tab w:val="left" w:pos="1080"/>
        </w:tabs>
        <w:spacing w:before="0"/>
        <w:ind w:left="540"/>
        <w:rPr>
          <w:kern w:val="22"/>
          <w:szCs w:val="22"/>
        </w:rPr>
      </w:pPr>
      <w:r w:rsidRPr="00E954D1">
        <w:t>El mandato del Comité Asesor Oficioso sobre Creación de Capacidad caducará en la fecha de celebración de la quinta reunión de la Conferencia de las Partes que actúa como reunión de las Partes en el Protocolo de Nagoya, y es necesario tomar una decisión sobre el camino a seguir. En su reunión más reciente, celebrada en junio de 2023, el Comité sugirió que se ampliara su mandato para incluir la prestación de asesoramiento sobre cuestiones más generales relacionadas con la aplicación del Protocolo, manteniendo al mismo tiempo la composición ampliada actual</w:t>
      </w:r>
      <w:r w:rsidR="00D03E41" w:rsidRPr="00E954D1">
        <w:rPr>
          <w:szCs w:val="22"/>
          <w:vertAlign w:val="superscript"/>
        </w:rPr>
        <w:footnoteReference w:id="10"/>
      </w:r>
      <w:r w:rsidRPr="00E954D1">
        <w:t>. En el caso de que el mandato del Comité se prorrogue y amplíe como se ha sugerido, su mandato podría incluir, según sea necesario, asesoramiento sobre cuestiones relacionadas con la creación y el desarrollo de capacidad, el aumento de la concienciación y la evaluación y revisión en el marco del Protocolo, con flexibilidad para adaptar sus tareas según sea necesario (véase el documento CBD/SBI/4/8).</w:t>
      </w:r>
    </w:p>
    <w:p w14:paraId="4C627307" w14:textId="614E38C7" w:rsidR="008766DD" w:rsidRPr="00E954D1" w:rsidRDefault="00735AF1" w:rsidP="006D0CCB">
      <w:pPr>
        <w:pStyle w:val="Para1"/>
        <w:numPr>
          <w:ilvl w:val="0"/>
          <w:numId w:val="0"/>
        </w:numPr>
        <w:tabs>
          <w:tab w:val="left" w:pos="1134"/>
        </w:tabs>
        <w:ind w:left="544" w:hanging="544"/>
        <w:jc w:val="both"/>
        <w:outlineLvl w:val="1"/>
        <w:rPr>
          <w:b/>
          <w:bCs/>
        </w:rPr>
      </w:pPr>
      <w:r w:rsidRPr="00E954D1">
        <w:rPr>
          <w:b/>
        </w:rPr>
        <w:t>C.</w:t>
      </w:r>
      <w:r w:rsidRPr="00E954D1">
        <w:rPr>
          <w:b/>
        </w:rPr>
        <w:tab/>
        <w:t xml:space="preserve">Sinopsis del proceso y el calendario propuestos </w:t>
      </w:r>
    </w:p>
    <w:p w14:paraId="400480E4" w14:textId="76811D02" w:rsidR="008F0E21" w:rsidRPr="00E954D1" w:rsidRDefault="00FD2D3D" w:rsidP="00D17C52">
      <w:pPr>
        <w:pStyle w:val="Para10"/>
        <w:numPr>
          <w:ilvl w:val="0"/>
          <w:numId w:val="6"/>
        </w:numPr>
        <w:tabs>
          <w:tab w:val="clear" w:pos="1134"/>
          <w:tab w:val="left" w:pos="1080"/>
        </w:tabs>
        <w:spacing w:before="0"/>
        <w:ind w:left="540"/>
        <w:rPr>
          <w:b/>
          <w:bCs/>
        </w:rPr>
      </w:pPr>
      <w:r w:rsidRPr="00E954D1">
        <w:t>En el Cuadro 2 se muestra una sinopsis de las actividades y el calendario para el proceso propuesto para llevar a cabo la segunda evaluación y revisión de la eficacia del Protocolo de Nagoya.</w:t>
      </w:r>
      <w:r w:rsidRPr="00E954D1">
        <w:rPr>
          <w:color w:val="000000" w:themeColor="text1"/>
        </w:rPr>
        <w:t xml:space="preserve"> Ilustra la importancia de la presentación puntual de los informes nacionales.</w:t>
      </w:r>
    </w:p>
    <w:p w14:paraId="3ACB5DAC" w14:textId="5242D57A" w:rsidR="000B0F47" w:rsidRPr="00E954D1" w:rsidRDefault="006711CF" w:rsidP="006D0CCB">
      <w:pPr>
        <w:pStyle w:val="Para1"/>
        <w:keepNext/>
        <w:numPr>
          <w:ilvl w:val="0"/>
          <w:numId w:val="0"/>
        </w:numPr>
        <w:tabs>
          <w:tab w:val="left" w:pos="1134"/>
        </w:tabs>
        <w:spacing w:after="0"/>
        <w:ind w:left="539"/>
        <w:jc w:val="both"/>
        <w:rPr>
          <w:color w:val="000000" w:themeColor="text1"/>
          <w:kern w:val="22"/>
          <w:sz w:val="22"/>
          <w:szCs w:val="22"/>
        </w:rPr>
      </w:pPr>
      <w:r w:rsidRPr="00E954D1">
        <w:rPr>
          <w:color w:val="000000" w:themeColor="text1"/>
          <w:sz w:val="22"/>
        </w:rPr>
        <w:t>Cuadro 2</w:t>
      </w:r>
    </w:p>
    <w:p w14:paraId="09178892" w14:textId="04927930" w:rsidR="006711CF" w:rsidRPr="00E954D1" w:rsidRDefault="006711CF" w:rsidP="006D0CCB">
      <w:pPr>
        <w:pStyle w:val="Para1"/>
        <w:keepNext/>
        <w:numPr>
          <w:ilvl w:val="0"/>
          <w:numId w:val="0"/>
        </w:numPr>
        <w:tabs>
          <w:tab w:val="left" w:pos="1134"/>
        </w:tabs>
        <w:spacing w:before="0"/>
        <w:ind w:left="539"/>
        <w:rPr>
          <w:b/>
          <w:bCs/>
          <w:color w:val="000000" w:themeColor="text1"/>
          <w:kern w:val="22"/>
          <w:sz w:val="22"/>
          <w:szCs w:val="22"/>
        </w:rPr>
      </w:pPr>
      <w:r w:rsidRPr="00E954D1">
        <w:rPr>
          <w:b/>
          <w:color w:val="000000" w:themeColor="text1"/>
          <w:sz w:val="22"/>
        </w:rPr>
        <w:t>Sinopsis de actividades y calendario estimado para la segunda evaluación y revisión</w:t>
      </w:r>
    </w:p>
    <w:tbl>
      <w:tblPr>
        <w:tblStyle w:val="Tablaconcuadrcula"/>
        <w:tblpPr w:leftFromText="180" w:rightFromText="180" w:vertAnchor="text" w:horzAnchor="margin" w:tblpX="562" w:tblpY="40"/>
        <w:tblW w:w="0" w:type="auto"/>
        <w:tblLook w:val="04A0" w:firstRow="1" w:lastRow="0" w:firstColumn="1" w:lastColumn="0" w:noHBand="0" w:noVBand="1"/>
      </w:tblPr>
      <w:tblGrid>
        <w:gridCol w:w="6637"/>
        <w:gridCol w:w="1885"/>
      </w:tblGrid>
      <w:tr w:rsidR="006711CF" w:rsidRPr="00E954D1" w14:paraId="3A26FBBF" w14:textId="77777777" w:rsidTr="00D17C52">
        <w:trPr>
          <w:tblHeader/>
        </w:trPr>
        <w:tc>
          <w:tcPr>
            <w:tcW w:w="6637" w:type="dxa"/>
            <w:shd w:val="clear" w:color="auto" w:fill="auto"/>
          </w:tcPr>
          <w:p w14:paraId="4E7C73E2" w14:textId="023FE54E" w:rsidR="006711CF" w:rsidRPr="00E954D1" w:rsidRDefault="006711CF" w:rsidP="002F6769">
            <w:pPr>
              <w:pStyle w:val="Para1"/>
              <w:keepNext/>
              <w:keepLines/>
              <w:numPr>
                <w:ilvl w:val="0"/>
                <w:numId w:val="0"/>
              </w:numPr>
              <w:tabs>
                <w:tab w:val="left" w:pos="1134"/>
              </w:tabs>
              <w:jc w:val="both"/>
              <w:rPr>
                <w:i/>
                <w:iCs/>
                <w:color w:val="000000" w:themeColor="text1"/>
                <w:kern w:val="22"/>
                <w:sz w:val="20"/>
                <w:szCs w:val="20"/>
              </w:rPr>
            </w:pPr>
            <w:r w:rsidRPr="00E954D1">
              <w:rPr>
                <w:i/>
                <w:color w:val="000000" w:themeColor="text1"/>
                <w:sz w:val="20"/>
              </w:rPr>
              <w:t>Actividades</w:t>
            </w:r>
          </w:p>
        </w:tc>
        <w:tc>
          <w:tcPr>
            <w:tcW w:w="1885" w:type="dxa"/>
            <w:shd w:val="clear" w:color="auto" w:fill="auto"/>
          </w:tcPr>
          <w:p w14:paraId="17768DB4" w14:textId="77777777" w:rsidR="006711CF" w:rsidRPr="00E954D1" w:rsidRDefault="006711CF" w:rsidP="002F6769">
            <w:pPr>
              <w:pStyle w:val="Para1"/>
              <w:keepNext/>
              <w:keepLines/>
              <w:numPr>
                <w:ilvl w:val="0"/>
                <w:numId w:val="0"/>
              </w:numPr>
              <w:tabs>
                <w:tab w:val="left" w:pos="1134"/>
              </w:tabs>
              <w:jc w:val="both"/>
              <w:rPr>
                <w:i/>
                <w:iCs/>
                <w:color w:val="000000" w:themeColor="text1"/>
                <w:kern w:val="22"/>
                <w:sz w:val="20"/>
                <w:szCs w:val="20"/>
              </w:rPr>
            </w:pPr>
            <w:r w:rsidRPr="00E954D1">
              <w:rPr>
                <w:i/>
                <w:color w:val="000000" w:themeColor="text1"/>
                <w:sz w:val="20"/>
              </w:rPr>
              <w:t>Calendario estimado</w:t>
            </w:r>
          </w:p>
        </w:tc>
      </w:tr>
      <w:tr w:rsidR="006711CF" w:rsidRPr="00E954D1" w14:paraId="7D8AA424" w14:textId="77777777" w:rsidTr="00D17C52">
        <w:trPr>
          <w:tblHeader/>
        </w:trPr>
        <w:tc>
          <w:tcPr>
            <w:tcW w:w="6637" w:type="dxa"/>
            <w:shd w:val="clear" w:color="auto" w:fill="auto"/>
          </w:tcPr>
          <w:p w14:paraId="0494A190" w14:textId="2E54350C" w:rsidR="006711CF" w:rsidRPr="00E954D1" w:rsidRDefault="006711CF" w:rsidP="006E1B06">
            <w:pPr>
              <w:pStyle w:val="Para1"/>
              <w:keepNext/>
              <w:keepLines/>
              <w:numPr>
                <w:ilvl w:val="0"/>
                <w:numId w:val="0"/>
              </w:numPr>
              <w:tabs>
                <w:tab w:val="left" w:pos="1134"/>
              </w:tabs>
              <w:rPr>
                <w:color w:val="000000" w:themeColor="text1"/>
                <w:kern w:val="22"/>
                <w:sz w:val="20"/>
                <w:szCs w:val="20"/>
              </w:rPr>
            </w:pPr>
            <w:r w:rsidRPr="00E954D1">
              <w:rPr>
                <w:color w:val="000000" w:themeColor="text1"/>
                <w:sz w:val="20"/>
              </w:rPr>
              <w:t xml:space="preserve">Encuesta </w:t>
            </w:r>
            <w:r w:rsidR="008977FE" w:rsidRPr="00E954D1">
              <w:rPr>
                <w:color w:val="000000" w:themeColor="text1"/>
                <w:sz w:val="20"/>
              </w:rPr>
              <w:t>selectiva</w:t>
            </w:r>
            <w:r w:rsidRPr="00E954D1">
              <w:rPr>
                <w:color w:val="000000" w:themeColor="text1"/>
                <w:sz w:val="20"/>
              </w:rPr>
              <w:t xml:space="preserve"> para elementos seleccionados </w:t>
            </w:r>
          </w:p>
        </w:tc>
        <w:tc>
          <w:tcPr>
            <w:tcW w:w="1885" w:type="dxa"/>
            <w:shd w:val="clear" w:color="auto" w:fill="auto"/>
          </w:tcPr>
          <w:p w14:paraId="5506B640" w14:textId="77777777" w:rsidR="006711CF" w:rsidRPr="00E954D1" w:rsidRDefault="006711CF" w:rsidP="002F6769">
            <w:pPr>
              <w:pStyle w:val="Para1"/>
              <w:keepNext/>
              <w:keepLines/>
              <w:numPr>
                <w:ilvl w:val="0"/>
                <w:numId w:val="0"/>
              </w:numPr>
              <w:tabs>
                <w:tab w:val="left" w:pos="1134"/>
              </w:tabs>
              <w:jc w:val="both"/>
              <w:rPr>
                <w:color w:val="000000" w:themeColor="text1"/>
                <w:kern w:val="22"/>
                <w:sz w:val="20"/>
                <w:szCs w:val="20"/>
              </w:rPr>
            </w:pPr>
            <w:r w:rsidRPr="00E954D1">
              <w:rPr>
                <w:color w:val="000000" w:themeColor="text1"/>
                <w:sz w:val="20"/>
              </w:rPr>
              <w:t>Primer trimestre de 2025</w:t>
            </w:r>
          </w:p>
        </w:tc>
      </w:tr>
      <w:tr w:rsidR="006711CF" w:rsidRPr="00E954D1" w14:paraId="2C67E7E6" w14:textId="77777777" w:rsidTr="00D17C52">
        <w:trPr>
          <w:tblHeader/>
        </w:trPr>
        <w:tc>
          <w:tcPr>
            <w:tcW w:w="6637" w:type="dxa"/>
            <w:shd w:val="clear" w:color="auto" w:fill="auto"/>
          </w:tcPr>
          <w:p w14:paraId="4AC7F2B0" w14:textId="684CA405" w:rsidR="006711CF" w:rsidRPr="00E954D1" w:rsidRDefault="006711CF" w:rsidP="006E1B06">
            <w:pPr>
              <w:pStyle w:val="Para1"/>
              <w:keepNext/>
              <w:keepLines/>
              <w:numPr>
                <w:ilvl w:val="0"/>
                <w:numId w:val="0"/>
              </w:numPr>
              <w:tabs>
                <w:tab w:val="left" w:pos="1134"/>
              </w:tabs>
              <w:rPr>
                <w:color w:val="000000" w:themeColor="text1"/>
                <w:kern w:val="22"/>
                <w:sz w:val="20"/>
                <w:szCs w:val="20"/>
              </w:rPr>
            </w:pPr>
            <w:r w:rsidRPr="00E954D1">
              <w:rPr>
                <w:color w:val="000000" w:themeColor="text1"/>
                <w:sz w:val="20"/>
              </w:rPr>
              <w:t>Presentación de los primeros informes nacionales en virtud del Protocolo de Nagoya</w:t>
            </w:r>
          </w:p>
        </w:tc>
        <w:tc>
          <w:tcPr>
            <w:tcW w:w="1885" w:type="dxa"/>
            <w:shd w:val="clear" w:color="auto" w:fill="auto"/>
          </w:tcPr>
          <w:p w14:paraId="73B61C48" w14:textId="77777777" w:rsidR="006711CF" w:rsidRPr="00E954D1" w:rsidRDefault="006711CF" w:rsidP="002F6769">
            <w:pPr>
              <w:pStyle w:val="Para1"/>
              <w:keepNext/>
              <w:keepLines/>
              <w:numPr>
                <w:ilvl w:val="0"/>
                <w:numId w:val="0"/>
              </w:numPr>
              <w:tabs>
                <w:tab w:val="left" w:pos="1134"/>
              </w:tabs>
              <w:jc w:val="both"/>
              <w:rPr>
                <w:color w:val="000000" w:themeColor="text1"/>
                <w:kern w:val="22"/>
                <w:sz w:val="20"/>
                <w:szCs w:val="20"/>
              </w:rPr>
            </w:pPr>
            <w:r w:rsidRPr="00E954D1">
              <w:rPr>
                <w:color w:val="000000" w:themeColor="text1"/>
                <w:sz w:val="20"/>
              </w:rPr>
              <w:t>A más tardar el 28 de febrero de 2026</w:t>
            </w:r>
          </w:p>
        </w:tc>
      </w:tr>
      <w:tr w:rsidR="006711CF" w:rsidRPr="00E954D1" w14:paraId="2A85480C" w14:textId="77777777" w:rsidTr="00D17C52">
        <w:trPr>
          <w:tblHeader/>
        </w:trPr>
        <w:tc>
          <w:tcPr>
            <w:tcW w:w="6637" w:type="dxa"/>
            <w:shd w:val="clear" w:color="auto" w:fill="auto"/>
          </w:tcPr>
          <w:p w14:paraId="29383235" w14:textId="0F8F9110" w:rsidR="006711CF" w:rsidRPr="00E954D1" w:rsidRDefault="006711CF" w:rsidP="006E1B06">
            <w:pPr>
              <w:pStyle w:val="Para1"/>
              <w:keepNext/>
              <w:keepLines/>
              <w:numPr>
                <w:ilvl w:val="0"/>
                <w:numId w:val="0"/>
              </w:numPr>
              <w:tabs>
                <w:tab w:val="left" w:pos="1134"/>
              </w:tabs>
              <w:rPr>
                <w:color w:val="000000" w:themeColor="text1"/>
                <w:kern w:val="22"/>
                <w:sz w:val="20"/>
                <w:szCs w:val="20"/>
              </w:rPr>
            </w:pPr>
            <w:r w:rsidRPr="00E954D1">
              <w:rPr>
                <w:color w:val="000000" w:themeColor="text1"/>
                <w:sz w:val="20"/>
              </w:rPr>
              <w:t>Finalización del análisis de todas las fuentes de información identificadas para cada uno de los elementos</w:t>
            </w:r>
          </w:p>
        </w:tc>
        <w:tc>
          <w:tcPr>
            <w:tcW w:w="1885" w:type="dxa"/>
            <w:shd w:val="clear" w:color="auto" w:fill="auto"/>
          </w:tcPr>
          <w:p w14:paraId="6BEAD1F3" w14:textId="77777777" w:rsidR="006711CF" w:rsidRPr="00E954D1" w:rsidRDefault="006711CF" w:rsidP="002F6769">
            <w:pPr>
              <w:pStyle w:val="Para1"/>
              <w:keepNext/>
              <w:keepLines/>
              <w:numPr>
                <w:ilvl w:val="0"/>
                <w:numId w:val="0"/>
              </w:numPr>
              <w:tabs>
                <w:tab w:val="left" w:pos="1134"/>
              </w:tabs>
              <w:jc w:val="both"/>
              <w:rPr>
                <w:color w:val="000000" w:themeColor="text1"/>
                <w:kern w:val="22"/>
                <w:sz w:val="20"/>
                <w:szCs w:val="20"/>
              </w:rPr>
            </w:pPr>
            <w:r w:rsidRPr="00E954D1">
              <w:rPr>
                <w:color w:val="000000" w:themeColor="text1"/>
                <w:sz w:val="20"/>
              </w:rPr>
              <w:t>A más tardar del 28 de marzo de 2026</w:t>
            </w:r>
          </w:p>
        </w:tc>
      </w:tr>
      <w:tr w:rsidR="006711CF" w:rsidRPr="00E954D1" w14:paraId="7C5EE91F" w14:textId="77777777" w:rsidTr="00D17C52">
        <w:trPr>
          <w:tblHeader/>
        </w:trPr>
        <w:tc>
          <w:tcPr>
            <w:tcW w:w="6637" w:type="dxa"/>
            <w:shd w:val="clear" w:color="auto" w:fill="auto"/>
          </w:tcPr>
          <w:p w14:paraId="5629B612" w14:textId="0CAFC238" w:rsidR="006711CF" w:rsidRPr="00E954D1" w:rsidRDefault="006711CF" w:rsidP="006E1B06">
            <w:pPr>
              <w:pStyle w:val="Para1"/>
              <w:keepNext/>
              <w:keepLines/>
              <w:numPr>
                <w:ilvl w:val="0"/>
                <w:numId w:val="0"/>
              </w:numPr>
              <w:tabs>
                <w:tab w:val="left" w:pos="1134"/>
              </w:tabs>
              <w:rPr>
                <w:color w:val="000000" w:themeColor="text1"/>
                <w:kern w:val="22"/>
                <w:sz w:val="20"/>
                <w:szCs w:val="20"/>
              </w:rPr>
            </w:pPr>
            <w:r w:rsidRPr="00E954D1">
              <w:rPr>
                <w:color w:val="000000" w:themeColor="text1"/>
                <w:sz w:val="20"/>
              </w:rPr>
              <w:t>Consideración del análisis por el Comité de Cumplimiento establecido en el marco del Protocolo de Nagoya, según proceda</w:t>
            </w:r>
          </w:p>
        </w:tc>
        <w:tc>
          <w:tcPr>
            <w:tcW w:w="1885" w:type="dxa"/>
            <w:shd w:val="clear" w:color="auto" w:fill="auto"/>
          </w:tcPr>
          <w:p w14:paraId="193AB5D8" w14:textId="5F3D46FB" w:rsidR="006711CF" w:rsidRPr="00E954D1" w:rsidRDefault="006711CF" w:rsidP="002F6769">
            <w:pPr>
              <w:pStyle w:val="Para1"/>
              <w:keepNext/>
              <w:keepLines/>
              <w:numPr>
                <w:ilvl w:val="0"/>
                <w:numId w:val="0"/>
              </w:numPr>
              <w:tabs>
                <w:tab w:val="left" w:pos="1134"/>
              </w:tabs>
              <w:jc w:val="both"/>
              <w:rPr>
                <w:color w:val="000000" w:themeColor="text1"/>
                <w:kern w:val="22"/>
                <w:sz w:val="20"/>
                <w:szCs w:val="20"/>
              </w:rPr>
            </w:pPr>
            <w:r w:rsidRPr="00E954D1">
              <w:rPr>
                <w:color w:val="000000" w:themeColor="text1"/>
                <w:sz w:val="20"/>
              </w:rPr>
              <w:t>Abril o mayo de 2026</w:t>
            </w:r>
          </w:p>
        </w:tc>
      </w:tr>
      <w:tr w:rsidR="006711CF" w:rsidRPr="00E954D1" w14:paraId="5E8CE616" w14:textId="77777777" w:rsidTr="00D17C52">
        <w:trPr>
          <w:tblHeader/>
        </w:trPr>
        <w:tc>
          <w:tcPr>
            <w:tcW w:w="6637" w:type="dxa"/>
            <w:shd w:val="clear" w:color="auto" w:fill="auto"/>
          </w:tcPr>
          <w:p w14:paraId="6022394E" w14:textId="3C54B51F" w:rsidR="006711CF" w:rsidRPr="00E954D1" w:rsidRDefault="006711CF" w:rsidP="00D17C52">
            <w:pPr>
              <w:pStyle w:val="Para1"/>
              <w:keepNext/>
              <w:keepLines/>
              <w:numPr>
                <w:ilvl w:val="0"/>
                <w:numId w:val="0"/>
              </w:numPr>
              <w:tabs>
                <w:tab w:val="left" w:pos="1134"/>
              </w:tabs>
              <w:rPr>
                <w:color w:val="000000" w:themeColor="text1"/>
                <w:kern w:val="22"/>
                <w:sz w:val="20"/>
                <w:szCs w:val="20"/>
              </w:rPr>
            </w:pPr>
            <w:r w:rsidRPr="00E954D1">
              <w:rPr>
                <w:color w:val="000000" w:themeColor="text1"/>
                <w:sz w:val="20"/>
              </w:rPr>
              <w:t>Examen del análisis por un comité asesor oficioso sobre la aplicación del Protocolo de Nagoya</w:t>
            </w:r>
          </w:p>
        </w:tc>
        <w:tc>
          <w:tcPr>
            <w:tcW w:w="1885" w:type="dxa"/>
            <w:shd w:val="clear" w:color="auto" w:fill="auto"/>
          </w:tcPr>
          <w:p w14:paraId="1BFD46AC" w14:textId="18B540DA" w:rsidR="006711CF" w:rsidRPr="00E954D1" w:rsidRDefault="006711CF" w:rsidP="002F6769">
            <w:pPr>
              <w:pStyle w:val="Para1"/>
              <w:keepNext/>
              <w:keepLines/>
              <w:numPr>
                <w:ilvl w:val="0"/>
                <w:numId w:val="0"/>
              </w:numPr>
              <w:tabs>
                <w:tab w:val="left" w:pos="1134"/>
              </w:tabs>
              <w:jc w:val="both"/>
              <w:rPr>
                <w:color w:val="000000" w:themeColor="text1"/>
                <w:kern w:val="22"/>
                <w:sz w:val="20"/>
                <w:szCs w:val="20"/>
              </w:rPr>
            </w:pPr>
            <w:r w:rsidRPr="00E954D1">
              <w:rPr>
                <w:color w:val="000000" w:themeColor="text1"/>
                <w:sz w:val="20"/>
              </w:rPr>
              <w:t>Abril o mayo de 2026</w:t>
            </w:r>
          </w:p>
        </w:tc>
      </w:tr>
      <w:tr w:rsidR="006711CF" w:rsidRPr="00E954D1" w14:paraId="29741E56" w14:textId="77777777" w:rsidTr="00D17C52">
        <w:trPr>
          <w:tblHeader/>
        </w:trPr>
        <w:tc>
          <w:tcPr>
            <w:tcW w:w="6637" w:type="dxa"/>
            <w:shd w:val="clear" w:color="auto" w:fill="auto"/>
          </w:tcPr>
          <w:p w14:paraId="5E63BD45" w14:textId="1A34EE37" w:rsidR="006711CF" w:rsidRPr="00E954D1" w:rsidRDefault="006711CF" w:rsidP="006E1B06">
            <w:pPr>
              <w:pStyle w:val="Para1"/>
              <w:keepNext/>
              <w:keepLines/>
              <w:numPr>
                <w:ilvl w:val="0"/>
                <w:numId w:val="0"/>
              </w:numPr>
              <w:tabs>
                <w:tab w:val="left" w:pos="1134"/>
              </w:tabs>
              <w:rPr>
                <w:color w:val="000000" w:themeColor="text1"/>
                <w:kern w:val="22"/>
                <w:sz w:val="20"/>
                <w:szCs w:val="20"/>
              </w:rPr>
            </w:pPr>
            <w:r w:rsidRPr="00E954D1">
              <w:rPr>
                <w:color w:val="000000" w:themeColor="text1"/>
                <w:sz w:val="20"/>
              </w:rPr>
              <w:t>Consideración del análisis por el Órgano Subsidiario sobre la Aplicación, incluidas las aportaciones del Comité de Cumplimiento y de un comité asesor oficioso sobre la aplicación</w:t>
            </w:r>
          </w:p>
        </w:tc>
        <w:tc>
          <w:tcPr>
            <w:tcW w:w="1885" w:type="dxa"/>
            <w:shd w:val="clear" w:color="auto" w:fill="auto"/>
          </w:tcPr>
          <w:p w14:paraId="3360F3C2" w14:textId="7BA3637B" w:rsidR="006711CF" w:rsidRPr="00E954D1" w:rsidRDefault="006711CF" w:rsidP="002F6769">
            <w:pPr>
              <w:pStyle w:val="Para1"/>
              <w:keepNext/>
              <w:keepLines/>
              <w:numPr>
                <w:ilvl w:val="0"/>
                <w:numId w:val="0"/>
              </w:numPr>
              <w:tabs>
                <w:tab w:val="left" w:pos="1134"/>
              </w:tabs>
              <w:jc w:val="both"/>
              <w:rPr>
                <w:color w:val="000000" w:themeColor="text1"/>
                <w:kern w:val="22"/>
                <w:sz w:val="20"/>
                <w:szCs w:val="20"/>
              </w:rPr>
            </w:pPr>
            <w:r w:rsidRPr="00E954D1">
              <w:rPr>
                <w:color w:val="000000" w:themeColor="text1"/>
                <w:sz w:val="20"/>
              </w:rPr>
              <w:t>Se determinará</w:t>
            </w:r>
          </w:p>
        </w:tc>
      </w:tr>
      <w:tr w:rsidR="006711CF" w:rsidRPr="00E954D1" w14:paraId="69D4CB68" w14:textId="77777777" w:rsidTr="00D17C52">
        <w:trPr>
          <w:tblHeader/>
        </w:trPr>
        <w:tc>
          <w:tcPr>
            <w:tcW w:w="6637" w:type="dxa"/>
            <w:shd w:val="clear" w:color="auto" w:fill="auto"/>
          </w:tcPr>
          <w:p w14:paraId="66BCA04F" w14:textId="462C6C08" w:rsidR="006711CF" w:rsidRPr="00E954D1" w:rsidRDefault="006711CF" w:rsidP="006E1B06">
            <w:pPr>
              <w:pStyle w:val="Para1"/>
              <w:keepNext/>
              <w:keepLines/>
              <w:numPr>
                <w:ilvl w:val="0"/>
                <w:numId w:val="0"/>
              </w:numPr>
              <w:tabs>
                <w:tab w:val="left" w:pos="1134"/>
              </w:tabs>
              <w:rPr>
                <w:color w:val="000000" w:themeColor="text1"/>
                <w:kern w:val="22"/>
                <w:sz w:val="20"/>
                <w:szCs w:val="20"/>
              </w:rPr>
            </w:pPr>
            <w:r w:rsidRPr="00E954D1">
              <w:rPr>
                <w:color w:val="000000" w:themeColor="text1"/>
                <w:sz w:val="20"/>
              </w:rPr>
              <w:t>Consideración, en la sexta reunión de la Conferencia de las Partes que actúa como reunión de las Partes en el Protocolo de Nagoya, de las recomendaciones y conclusiones del Órgano Subsidiario sobre la Aplicación</w:t>
            </w:r>
          </w:p>
        </w:tc>
        <w:tc>
          <w:tcPr>
            <w:tcW w:w="1885" w:type="dxa"/>
            <w:shd w:val="clear" w:color="auto" w:fill="auto"/>
          </w:tcPr>
          <w:p w14:paraId="6D5ED315" w14:textId="77777777" w:rsidR="006711CF" w:rsidRPr="00E954D1" w:rsidRDefault="006711CF" w:rsidP="002F6769">
            <w:pPr>
              <w:pStyle w:val="Para1"/>
              <w:keepNext/>
              <w:keepLines/>
              <w:numPr>
                <w:ilvl w:val="0"/>
                <w:numId w:val="0"/>
              </w:numPr>
              <w:tabs>
                <w:tab w:val="left" w:pos="1134"/>
              </w:tabs>
              <w:jc w:val="both"/>
              <w:rPr>
                <w:color w:val="000000" w:themeColor="text1"/>
                <w:kern w:val="22"/>
                <w:sz w:val="20"/>
                <w:szCs w:val="20"/>
              </w:rPr>
            </w:pPr>
            <w:r w:rsidRPr="00E954D1">
              <w:rPr>
                <w:color w:val="000000" w:themeColor="text1"/>
                <w:sz w:val="20"/>
              </w:rPr>
              <w:t>Último trimestre de 2026</w:t>
            </w:r>
          </w:p>
        </w:tc>
      </w:tr>
    </w:tbl>
    <w:p w14:paraId="379DBE3F" w14:textId="77777777" w:rsidR="00C92DD1" w:rsidRPr="00E954D1" w:rsidRDefault="00C92DD1" w:rsidP="0035247F"/>
    <w:p w14:paraId="32569508" w14:textId="77777777" w:rsidR="0018022D" w:rsidRPr="00E954D1" w:rsidRDefault="0018022D" w:rsidP="00EE1C22">
      <w:pPr>
        <w:pStyle w:val="Ttulo1"/>
        <w:numPr>
          <w:ilvl w:val="0"/>
          <w:numId w:val="0"/>
        </w:numPr>
        <w:ind w:left="567"/>
        <w:sectPr w:rsidR="0018022D" w:rsidRPr="00E954D1" w:rsidSect="0080788C">
          <w:headerReference w:type="even" r:id="rId22"/>
          <w:headerReference w:type="default" r:id="rId23"/>
          <w:footerReference w:type="even" r:id="rId24"/>
          <w:footerReference w:type="default" r:id="rId25"/>
          <w:pgSz w:w="12240" w:h="15840"/>
          <w:pgMar w:top="1134" w:right="1440" w:bottom="1134" w:left="1170" w:header="709" w:footer="709" w:gutter="0"/>
          <w:cols w:space="708"/>
          <w:titlePg/>
          <w:docGrid w:linePitch="360"/>
        </w:sectPr>
      </w:pPr>
    </w:p>
    <w:p w14:paraId="25FCDD18" w14:textId="39BD4F1C" w:rsidR="002B3103" w:rsidRPr="00E954D1" w:rsidRDefault="002B3103" w:rsidP="00D17C52">
      <w:pPr>
        <w:pStyle w:val="Ttulo1"/>
        <w:ind w:left="567" w:hanging="567"/>
      </w:pPr>
      <w:r w:rsidRPr="00E954D1">
        <w:lastRenderedPageBreak/>
        <w:t>Cuestiones propuestas para su consideración por el Órgano Subsidiario sobre la Aplicación</w:t>
      </w:r>
    </w:p>
    <w:p w14:paraId="339C0554" w14:textId="78345C5E" w:rsidR="008C4F37" w:rsidRPr="00E954D1" w:rsidRDefault="00B37584" w:rsidP="00D17C52">
      <w:pPr>
        <w:pStyle w:val="Para10"/>
        <w:numPr>
          <w:ilvl w:val="0"/>
          <w:numId w:val="6"/>
        </w:numPr>
        <w:tabs>
          <w:tab w:val="clear" w:pos="1134"/>
          <w:tab w:val="left" w:pos="1080"/>
        </w:tabs>
        <w:spacing w:before="0"/>
        <w:ind w:left="540"/>
        <w:rPr>
          <w:color w:val="000000" w:themeColor="text1"/>
          <w:kern w:val="22"/>
          <w:szCs w:val="22"/>
        </w:rPr>
      </w:pPr>
      <w:r w:rsidRPr="00E954D1">
        <w:t>El Órgano Subsidiario sobre la Aplicación tal vez desee considerar la metodología propuesta para la segunda evaluación y revisión de la eficacia del Protocolo de Nagoya y tal vez desee recomendar que la Conferencia de las Partes que actúa como reunión de las Partes en el Protocolo, en su quinta reunión, adopte una decisión del siguiente tenor:</w:t>
      </w:r>
      <w:r w:rsidRPr="00E954D1">
        <w:rPr>
          <w:color w:val="000000" w:themeColor="text1"/>
        </w:rPr>
        <w:t xml:space="preserve"> </w:t>
      </w:r>
    </w:p>
    <w:p w14:paraId="481C643C" w14:textId="77777777" w:rsidR="008C4F37" w:rsidRPr="00E954D1" w:rsidRDefault="008C4F37" w:rsidP="008C4F37">
      <w:pPr>
        <w:pStyle w:val="Para2"/>
        <w:ind w:left="567" w:firstLine="567"/>
        <w:rPr>
          <w:i/>
          <w:iCs/>
        </w:rPr>
      </w:pPr>
      <w:r w:rsidRPr="00E954D1">
        <w:rPr>
          <w:i/>
        </w:rPr>
        <w:t>La Conferencia de las Partes que actúa como reunión de las Partes en el Protocolo de Nagoya,</w:t>
      </w:r>
    </w:p>
    <w:p w14:paraId="00A7D6C3" w14:textId="4CA78A0C" w:rsidR="008C4F37" w:rsidRPr="00E954D1" w:rsidRDefault="008C4F37" w:rsidP="008C4F37">
      <w:pPr>
        <w:pStyle w:val="Para2"/>
        <w:ind w:left="567" w:firstLine="567"/>
      </w:pPr>
      <w:r w:rsidRPr="00E954D1">
        <w:rPr>
          <w:i/>
        </w:rPr>
        <w:t>Recordando</w:t>
      </w:r>
      <w:r w:rsidRPr="00E954D1">
        <w:t xml:space="preserve"> el </w:t>
      </w:r>
      <w:hyperlink r:id="rId26" w:history="1">
        <w:r w:rsidRPr="00E954D1">
          <w:t>artículo 31</w:t>
        </w:r>
      </w:hyperlink>
      <w:r w:rsidRPr="00E954D1">
        <w:t xml:space="preserve"> del Protocolo de Nagoya sobre Acceso a los Recursos Genéticos y Participación Justa y Equitativa en los Beneficios que se Deriven de su Utilización al Convenio sobre la Diversidad Biológica</w:t>
      </w:r>
      <w:r w:rsidR="005101EE" w:rsidRPr="00E954D1">
        <w:rPr>
          <w:rStyle w:val="Refdenotaalpie"/>
          <w:iCs/>
        </w:rPr>
        <w:footnoteReference w:id="11"/>
      </w:r>
      <w:r w:rsidRPr="00E954D1">
        <w:t xml:space="preserve">, </w:t>
      </w:r>
    </w:p>
    <w:p w14:paraId="50A9CA3C" w14:textId="5F6F8D55" w:rsidR="008C4F1F" w:rsidRPr="00E954D1" w:rsidRDefault="008C4F1F" w:rsidP="00122D90">
      <w:pPr>
        <w:pStyle w:val="Para2"/>
        <w:ind w:left="567" w:firstLine="567"/>
        <w:rPr>
          <w:iCs/>
        </w:rPr>
      </w:pPr>
      <w:r w:rsidRPr="00E954D1">
        <w:rPr>
          <w:i/>
        </w:rPr>
        <w:t>Recordando también</w:t>
      </w:r>
      <w:r w:rsidRPr="00E954D1">
        <w:t xml:space="preserve"> la decisión NP</w:t>
      </w:r>
      <w:r w:rsidR="00827B91" w:rsidRPr="00E954D1">
        <w:noBreakHyphen/>
      </w:r>
      <w:r w:rsidRPr="00E954D1">
        <w:t>2/4, de 17 de diciembre de 2016, en la que la Conferencia de las Partes que actúa reunión de las Partes en el Protocolo de Nagoya decidió llevar a cabo la primera evaluación y revisión del Protocolo sobre la base de los elementos que figuraban en el anexo de esa decisión, y la importancia de la continuidad de los enfoques para garantizar la comparabilidad de los resultados,</w:t>
      </w:r>
    </w:p>
    <w:p w14:paraId="165C84B6" w14:textId="4037EB8C" w:rsidR="00FB1D78" w:rsidRPr="00E954D1" w:rsidRDefault="008C4F37" w:rsidP="00FB1D78">
      <w:pPr>
        <w:pStyle w:val="Para2"/>
        <w:ind w:left="567" w:firstLine="567"/>
        <w:rPr>
          <w:i/>
          <w:iCs/>
        </w:rPr>
      </w:pPr>
      <w:r w:rsidRPr="00E954D1">
        <w:rPr>
          <w:i/>
        </w:rPr>
        <w:t>Recordando además</w:t>
      </w:r>
      <w:r w:rsidRPr="00E954D1">
        <w:t xml:space="preserve"> la decisión NP</w:t>
      </w:r>
      <w:r w:rsidR="00827B91" w:rsidRPr="00E954D1">
        <w:noBreakHyphen/>
      </w:r>
      <w:r w:rsidRPr="00E954D1">
        <w:t xml:space="preserve">3/1, de 25 de noviembre de 2018, en la que la </w:t>
      </w:r>
      <w:bookmarkStart w:id="8" w:name="_Hlk163362197"/>
      <w:r w:rsidRPr="00E954D1">
        <w:t xml:space="preserve">Conferencia de las Partes que actúa como reunión de las Partes en el </w:t>
      </w:r>
      <w:bookmarkEnd w:id="8"/>
      <w:r w:rsidRPr="00E954D1">
        <w:t>Protocolo señaló elementos adicionales que debían tenerse en cuenta para la segunda evaluación y revisión del Protocolo y pidió a la Secretaria Ejecutiva que llevara a cabo una encuesta selectiva sobre las dificultades relacionadas con la aplicación del Protocolo de Nagoya y que recabara observaciones y comentarios sobre la puesta en marcha y el funcionamiento del Centro de Intercambio de Información sobre Acceso y Participación en los Beneficios de los distintos tipos de usuarios,</w:t>
      </w:r>
    </w:p>
    <w:p w14:paraId="796C7685" w14:textId="1E9D1130" w:rsidR="00F22C1D" w:rsidRPr="00E954D1" w:rsidRDefault="00F22C1D" w:rsidP="00FB1D78">
      <w:pPr>
        <w:pStyle w:val="Para2"/>
        <w:ind w:left="567" w:firstLine="567"/>
        <w:rPr>
          <w:i/>
          <w:iCs/>
        </w:rPr>
      </w:pPr>
      <w:r w:rsidRPr="00E954D1">
        <w:rPr>
          <w:i/>
        </w:rPr>
        <w:t xml:space="preserve">Recordando </w:t>
      </w:r>
      <w:r w:rsidRPr="00E954D1">
        <w:t>que</w:t>
      </w:r>
      <w:r w:rsidRPr="00E954D1">
        <w:rPr>
          <w:i/>
        </w:rPr>
        <w:t xml:space="preserve"> </w:t>
      </w:r>
      <w:r w:rsidRPr="00E954D1">
        <w:t>la fecha límite para la presentación por las Partes de sus primeros informes nacionales sobre la aplicación del Protocolo es el 28 de febrero de 2026,</w:t>
      </w:r>
    </w:p>
    <w:p w14:paraId="5BD1CAF5" w14:textId="07E585E1" w:rsidR="00FB1D78" w:rsidRPr="00E954D1" w:rsidRDefault="00FB1D78" w:rsidP="00D17C52">
      <w:pPr>
        <w:pStyle w:val="Para10"/>
        <w:tabs>
          <w:tab w:val="clear" w:pos="1134"/>
          <w:tab w:val="left" w:pos="1701"/>
        </w:tabs>
        <w:ind w:left="540" w:firstLine="594"/>
      </w:pPr>
      <w:r w:rsidRPr="00E954D1">
        <w:t>1.</w:t>
      </w:r>
      <w:r w:rsidRPr="00E954D1">
        <w:tab/>
      </w:r>
      <w:r w:rsidRPr="00E954D1">
        <w:rPr>
          <w:i/>
        </w:rPr>
        <w:t>Decide</w:t>
      </w:r>
      <w:r w:rsidRPr="00E954D1">
        <w:t xml:space="preserve"> llevar a cabo la segunda evaluación y revisión del Protocolo sobre la base de los elementos que figuran en el anexo de la presente decisión; </w:t>
      </w:r>
    </w:p>
    <w:p w14:paraId="70847FEA" w14:textId="4256C357" w:rsidR="00F22C1D" w:rsidRPr="00E954D1" w:rsidRDefault="00F22C1D" w:rsidP="00D17C52">
      <w:pPr>
        <w:pStyle w:val="Para10"/>
        <w:tabs>
          <w:tab w:val="clear" w:pos="1134"/>
          <w:tab w:val="left" w:pos="1701"/>
        </w:tabs>
        <w:ind w:left="540" w:firstLine="594"/>
      </w:pPr>
      <w:r w:rsidRPr="00E954D1">
        <w:t>2.</w:t>
      </w:r>
      <w:r w:rsidRPr="00E954D1">
        <w:tab/>
      </w:r>
      <w:r w:rsidRPr="00E954D1">
        <w:rPr>
          <w:i/>
        </w:rPr>
        <w:t>Insta</w:t>
      </w:r>
      <w:r w:rsidRPr="00E954D1">
        <w:t xml:space="preserve"> a las Partes, y alienta a otros Gobiernos, organizaciones pertinentes y pueblos indígenas y comunidades locales, a que publiquen información en el Centro de Intercambio de Información sobre Acceso y Participación en los Beneficios, de manera que esa información esté disponible para la segunda evaluación y revisión de la eficacia del Protocolo de Nagoya;</w:t>
      </w:r>
    </w:p>
    <w:p w14:paraId="529DCB9C" w14:textId="1590B281" w:rsidR="00F22C1D" w:rsidRPr="00E954D1" w:rsidRDefault="00F22C1D" w:rsidP="00D17C52">
      <w:pPr>
        <w:pStyle w:val="Para10"/>
        <w:tabs>
          <w:tab w:val="clear" w:pos="1134"/>
          <w:tab w:val="left" w:pos="1701"/>
        </w:tabs>
        <w:ind w:left="540" w:firstLine="594"/>
      </w:pPr>
      <w:r w:rsidRPr="00E954D1">
        <w:t>3.</w:t>
      </w:r>
      <w:r w:rsidRPr="00E954D1">
        <w:tab/>
      </w:r>
      <w:r w:rsidRPr="00E954D1">
        <w:rPr>
          <w:i/>
        </w:rPr>
        <w:t>Insta</w:t>
      </w:r>
      <w:r w:rsidRPr="00E954D1">
        <w:t xml:space="preserve"> a las Partes a que completen lo más pronto posible el proceso de presentación de informes y presenten sus primeros informes nacionales sobre la aplicación del Protocolo mucho antes de la fecha límite, con vistas a garantizar que pueda realizarse un análisis preciso y representativo para la segunda evaluación y revisión de la eficacia del Protocolo</w:t>
      </w:r>
      <w:r w:rsidRPr="00E954D1">
        <w:rPr>
          <w:vertAlign w:val="superscript"/>
        </w:rPr>
        <w:footnoteReference w:id="12"/>
      </w:r>
      <w:r w:rsidRPr="00E954D1">
        <w:t>;</w:t>
      </w:r>
    </w:p>
    <w:p w14:paraId="0A99098D" w14:textId="7F1DF8EB" w:rsidR="00F22C1D" w:rsidRPr="00E954D1" w:rsidRDefault="00F22C1D" w:rsidP="00D17C52">
      <w:pPr>
        <w:pStyle w:val="Para10"/>
        <w:tabs>
          <w:tab w:val="clear" w:pos="1134"/>
          <w:tab w:val="left" w:pos="1701"/>
        </w:tabs>
        <w:ind w:left="540" w:firstLine="594"/>
        <w:rPr>
          <w:vertAlign w:val="superscript"/>
        </w:rPr>
      </w:pPr>
      <w:r w:rsidRPr="00E954D1">
        <w:t>4.</w:t>
      </w:r>
      <w:r w:rsidRPr="00E954D1">
        <w:rPr>
          <w:i/>
        </w:rPr>
        <w:tab/>
        <w:t>Insta</w:t>
      </w:r>
      <w:r w:rsidRPr="00E954D1">
        <w:t xml:space="preserve"> a las Partes que reúnen las condiciones a que presenten sus cartas de compromiso al organismo de ejecución de manera oportuna para garantizar que los proyectos para apoyar la preparación de los primeros informes nacionales puedan presentarse al Fondo para el Medio Ambiente Mundial para su aprobación mucho antes de la fecha límite para la presentación de los informes</w:t>
      </w:r>
      <w:r w:rsidRPr="00E954D1">
        <w:rPr>
          <w:vertAlign w:val="superscript"/>
        </w:rPr>
        <w:footnoteReference w:id="13"/>
      </w:r>
      <w:r w:rsidR="008977FE" w:rsidRPr="00E954D1">
        <w:t>;</w:t>
      </w:r>
    </w:p>
    <w:p w14:paraId="1291DE67" w14:textId="7A06BA68" w:rsidR="004259C7" w:rsidRPr="00E954D1" w:rsidRDefault="00910E7E" w:rsidP="00D17C52">
      <w:pPr>
        <w:pStyle w:val="Para10"/>
        <w:tabs>
          <w:tab w:val="clear" w:pos="1134"/>
          <w:tab w:val="left" w:pos="1701"/>
        </w:tabs>
        <w:ind w:left="540" w:firstLine="594"/>
      </w:pPr>
      <w:r w:rsidRPr="00E954D1">
        <w:lastRenderedPageBreak/>
        <w:t>5.</w:t>
      </w:r>
      <w:r w:rsidRPr="00E954D1">
        <w:rPr>
          <w:i/>
        </w:rPr>
        <w:tab/>
        <w:t xml:space="preserve">Insta </w:t>
      </w:r>
      <w:r w:rsidRPr="00E954D1">
        <w:t>al Fondo para el Medio Ambiente Mundial y a los organismos de ejecución a que garanticen que se preste apoyo a las Partes que presenten sus cartas de compromiso sin demoras indebidas;</w:t>
      </w:r>
    </w:p>
    <w:p w14:paraId="0A1E591F" w14:textId="45113E8A" w:rsidR="00F22C1D" w:rsidRPr="00E954D1" w:rsidRDefault="00430E54" w:rsidP="00D17C52">
      <w:pPr>
        <w:pStyle w:val="Para10"/>
        <w:tabs>
          <w:tab w:val="clear" w:pos="1134"/>
          <w:tab w:val="left" w:pos="1701"/>
        </w:tabs>
        <w:ind w:left="540" w:firstLine="594"/>
      </w:pPr>
      <w:r w:rsidRPr="00E954D1">
        <w:t>6.</w:t>
      </w:r>
      <w:r w:rsidRPr="00E954D1">
        <w:tab/>
      </w:r>
      <w:r w:rsidRPr="00E954D1">
        <w:rPr>
          <w:i/>
        </w:rPr>
        <w:t>Invita</w:t>
      </w:r>
      <w:r w:rsidRPr="00E954D1">
        <w:t xml:space="preserve"> a las Partes, otros Gobiernos, a los pueblos indígenas y las comunidades locales, y a los interesados y organizaciones pertinentes a que respondan a las encuestas selectivas que realizará el Secretario Ejecutivo de conformidad con los párrafos 18 a) y 20 c) de la decisión NP</w:t>
      </w:r>
      <w:r w:rsidR="00827B91" w:rsidRPr="00E954D1">
        <w:noBreakHyphen/>
      </w:r>
      <w:r w:rsidRPr="00E954D1">
        <w:t>3/1 A, y a que presenten sus opiniones con vistas a aportar información para una revisión preliminar de los procedimientos y mecanismos de cumplimiento que figuran en el anexo de la decisión NP</w:t>
      </w:r>
      <w:r w:rsidR="00827B91" w:rsidRPr="00E954D1">
        <w:noBreakHyphen/>
      </w:r>
      <w:r w:rsidRPr="00E954D1">
        <w:t>1/4, de 17 de octubre de 2014;</w:t>
      </w:r>
    </w:p>
    <w:p w14:paraId="318E3114" w14:textId="6A31B275" w:rsidR="00FB1D78" w:rsidRPr="00E954D1" w:rsidRDefault="00430E54" w:rsidP="00D17C52">
      <w:pPr>
        <w:pStyle w:val="Para10"/>
        <w:tabs>
          <w:tab w:val="clear" w:pos="1134"/>
          <w:tab w:val="left" w:pos="1701"/>
        </w:tabs>
        <w:ind w:left="540" w:firstLine="594"/>
      </w:pPr>
      <w:r w:rsidRPr="00E954D1">
        <w:t>7.</w:t>
      </w:r>
      <w:r w:rsidRPr="00E954D1">
        <w:tab/>
      </w:r>
      <w:r w:rsidRPr="00E954D1">
        <w:rPr>
          <w:i/>
        </w:rPr>
        <w:t>Pide</w:t>
      </w:r>
      <w:r w:rsidRPr="00E954D1">
        <w:t xml:space="preserve"> al Secretario Ejecutivo que:</w:t>
      </w:r>
    </w:p>
    <w:p w14:paraId="6B142A0C" w14:textId="120B97EF" w:rsidR="00F22C1D" w:rsidRPr="00E954D1" w:rsidRDefault="008C4F37" w:rsidP="00F22C1D">
      <w:pPr>
        <w:pStyle w:val="Para2"/>
        <w:ind w:left="567" w:firstLine="567"/>
      </w:pPr>
      <w:r w:rsidRPr="00E954D1">
        <w:t>a)</w:t>
      </w:r>
      <w:r w:rsidRPr="00E954D1">
        <w:tab/>
        <w:t xml:space="preserve">Analice y sintetice la información sobre la aplicación del Protocolo utilizando las fuentes de información enumeradas en el anexo de esta decisión y presente mediciones actualizadas de los indicadores incluidos en el marco de indicadores, y que ponga esta información a disposición del comité asesor oficioso sobre la aplicación del Protocolo de Nagoya, el Comité de Cumplimiento establecido en el marco del Protocolo de Nagoya y el Órgano Subsidiario sobre la Aplicación; </w:t>
      </w:r>
    </w:p>
    <w:p w14:paraId="3F749A88" w14:textId="61D05CC0" w:rsidR="00F22C1D" w:rsidRPr="00E954D1" w:rsidRDefault="00F22C1D" w:rsidP="00F22C1D">
      <w:pPr>
        <w:pStyle w:val="Para2"/>
        <w:ind w:left="567" w:firstLine="567"/>
      </w:pPr>
      <w:r w:rsidRPr="00E954D1">
        <w:t>b)</w:t>
      </w:r>
      <w:r w:rsidRPr="00E954D1">
        <w:tab/>
        <w:t>Encargue la realización de un estudio preliminar, con sujeción a la disponibilidad de recursos, sobre las posibles razones y causas profundas subyacentes de los problemas que dificultan la aplicación efectiva y el cumplimiento y la manera más adecuada de mejorarlos, como una aportación complementaria para la segunda evaluación y revisión;</w:t>
      </w:r>
    </w:p>
    <w:p w14:paraId="161AF634" w14:textId="33279AED" w:rsidR="00654194" w:rsidRPr="00E954D1" w:rsidRDefault="00430E54" w:rsidP="00D17C52">
      <w:pPr>
        <w:pStyle w:val="Para10"/>
        <w:tabs>
          <w:tab w:val="clear" w:pos="1134"/>
          <w:tab w:val="left" w:pos="1701"/>
        </w:tabs>
        <w:ind w:left="540" w:firstLine="594"/>
      </w:pPr>
      <w:r w:rsidRPr="00E954D1">
        <w:t>8.</w:t>
      </w:r>
      <w:r w:rsidRPr="00E954D1">
        <w:tab/>
      </w:r>
      <w:r w:rsidRPr="00E954D1">
        <w:rPr>
          <w:i/>
        </w:rPr>
        <w:t>Pide</w:t>
      </w:r>
      <w:r w:rsidRPr="00E954D1">
        <w:t xml:space="preserve"> al comité asesor oficioso sobre la aplicación del Protocolo de Nagoya</w:t>
      </w:r>
      <w:r w:rsidR="002E1B02" w:rsidRPr="00E954D1">
        <w:rPr>
          <w:rStyle w:val="Refdenotaalpie"/>
        </w:rPr>
        <w:footnoteReference w:id="14"/>
      </w:r>
      <w:r w:rsidRPr="00E954D1">
        <w:t xml:space="preserve"> y al Comité de Cumplimiento establecido en el marco del Protocolo de Nagoya que, trabajando de forma complementaria y sin duplicaciones, contribuyan a la segunda evaluación y revisión del Protocolo y presenten sus conclusiones para que el Órgano Subsidiario sobre la Aplicación las considere en su sexta reunión.</w:t>
      </w:r>
    </w:p>
    <w:p w14:paraId="7A664965" w14:textId="2B48F53B" w:rsidR="00D35FD1" w:rsidRPr="00E954D1" w:rsidRDefault="00D35FD1" w:rsidP="00D17C52">
      <w:pPr>
        <w:pStyle w:val="Annex"/>
        <w:ind w:left="567"/>
        <w:rPr>
          <w:rFonts w:eastAsia="Malgun Gothic"/>
          <w:sz w:val="24"/>
        </w:rPr>
      </w:pPr>
      <w:r w:rsidRPr="00E954D1">
        <w:rPr>
          <w:sz w:val="24"/>
        </w:rPr>
        <w:t>Anexo</w:t>
      </w:r>
    </w:p>
    <w:p w14:paraId="2B25BDC5" w14:textId="6EE4290C" w:rsidR="002E2676" w:rsidRPr="00E954D1" w:rsidRDefault="002E2676" w:rsidP="00D17C52">
      <w:pPr>
        <w:pStyle w:val="Ttulo"/>
        <w:jc w:val="left"/>
        <w:rPr>
          <w:b w:val="0"/>
          <w:sz w:val="24"/>
          <w:szCs w:val="24"/>
        </w:rPr>
      </w:pPr>
      <w:r w:rsidRPr="00E954D1">
        <w:rPr>
          <w:sz w:val="24"/>
        </w:rPr>
        <w:t>Elementos y fuentes de información para la segunda evaluación y revisión del Protocolo de Nagoya</w:t>
      </w:r>
    </w:p>
    <w:tbl>
      <w:tblPr>
        <w:tblW w:w="91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619"/>
      </w:tblGrid>
      <w:tr w:rsidR="007719C4" w:rsidRPr="00E954D1" w14:paraId="075B2BAA" w14:textId="77777777" w:rsidTr="6A99B802">
        <w:trPr>
          <w:cantSplit/>
          <w:tblHeader/>
          <w:jc w:val="right"/>
        </w:trPr>
        <w:tc>
          <w:tcPr>
            <w:tcW w:w="4536" w:type="dxa"/>
            <w:tcBorders>
              <w:top w:val="single" w:sz="4" w:space="0" w:color="auto"/>
              <w:left w:val="single" w:sz="4" w:space="0" w:color="auto"/>
              <w:bottom w:val="single" w:sz="4" w:space="0" w:color="auto"/>
              <w:right w:val="single" w:sz="4" w:space="0" w:color="auto"/>
            </w:tcBorders>
            <w:hideMark/>
          </w:tcPr>
          <w:p w14:paraId="7741FA93" w14:textId="77777777" w:rsidR="007719C4" w:rsidRPr="00E954D1" w:rsidRDefault="007719C4">
            <w:pPr>
              <w:spacing w:before="40" w:after="40"/>
              <w:ind w:left="40" w:right="40"/>
              <w:jc w:val="left"/>
              <w:rPr>
                <w:i/>
                <w:iCs/>
                <w:snapToGrid w:val="0"/>
                <w:kern w:val="22"/>
                <w:sz w:val="20"/>
                <w:szCs w:val="20"/>
              </w:rPr>
            </w:pPr>
            <w:r w:rsidRPr="00E954D1">
              <w:rPr>
                <w:i/>
                <w:snapToGrid w:val="0"/>
                <w:sz w:val="20"/>
              </w:rPr>
              <w:t>Elementos</w:t>
            </w:r>
          </w:p>
        </w:tc>
        <w:tc>
          <w:tcPr>
            <w:tcW w:w="4619" w:type="dxa"/>
            <w:tcBorders>
              <w:top w:val="single" w:sz="4" w:space="0" w:color="auto"/>
              <w:left w:val="single" w:sz="4" w:space="0" w:color="auto"/>
              <w:bottom w:val="single" w:sz="4" w:space="0" w:color="auto"/>
              <w:right w:val="single" w:sz="4" w:space="0" w:color="auto"/>
            </w:tcBorders>
            <w:hideMark/>
          </w:tcPr>
          <w:p w14:paraId="3936D376" w14:textId="77777777" w:rsidR="007719C4" w:rsidRPr="00E954D1" w:rsidRDefault="007719C4">
            <w:pPr>
              <w:spacing w:before="40" w:after="40"/>
              <w:ind w:left="40" w:right="40"/>
              <w:jc w:val="left"/>
              <w:rPr>
                <w:i/>
                <w:iCs/>
                <w:snapToGrid w:val="0"/>
                <w:kern w:val="22"/>
                <w:sz w:val="20"/>
                <w:szCs w:val="20"/>
              </w:rPr>
            </w:pPr>
            <w:r w:rsidRPr="00E954D1">
              <w:rPr>
                <w:i/>
                <w:snapToGrid w:val="0"/>
                <w:sz w:val="20"/>
              </w:rPr>
              <w:t>Fuentes de información</w:t>
            </w:r>
            <w:r w:rsidRPr="00E954D1">
              <w:rPr>
                <w:rStyle w:val="Refdenotaalpie"/>
                <w:i/>
                <w:iCs/>
                <w:snapToGrid w:val="0"/>
                <w:kern w:val="22"/>
                <w:sz w:val="20"/>
                <w:szCs w:val="20"/>
              </w:rPr>
              <w:footnoteReference w:id="15"/>
            </w:r>
          </w:p>
        </w:tc>
      </w:tr>
      <w:tr w:rsidR="007719C4" w:rsidRPr="00E954D1" w14:paraId="5BF9042C" w14:textId="77777777" w:rsidTr="6A99B802">
        <w:trPr>
          <w:cantSplit/>
          <w:jc w:val="right"/>
        </w:trPr>
        <w:tc>
          <w:tcPr>
            <w:tcW w:w="4536" w:type="dxa"/>
            <w:tcBorders>
              <w:top w:val="single" w:sz="4" w:space="0" w:color="auto"/>
              <w:left w:val="single" w:sz="4" w:space="0" w:color="auto"/>
              <w:bottom w:val="single" w:sz="4" w:space="0" w:color="auto"/>
              <w:right w:val="single" w:sz="4" w:space="0" w:color="auto"/>
            </w:tcBorders>
            <w:hideMark/>
          </w:tcPr>
          <w:p w14:paraId="4FA6CB69" w14:textId="36053D64" w:rsidR="007719C4" w:rsidRPr="00E954D1" w:rsidRDefault="008977FE" w:rsidP="008977FE">
            <w:pPr>
              <w:spacing w:before="40" w:after="40"/>
              <w:ind w:left="40" w:right="40"/>
              <w:jc w:val="left"/>
              <w:rPr>
                <w:snapToGrid w:val="0"/>
                <w:kern w:val="22"/>
                <w:sz w:val="20"/>
                <w:szCs w:val="20"/>
              </w:rPr>
            </w:pPr>
            <w:r w:rsidRPr="00E954D1">
              <w:rPr>
                <w:snapToGrid w:val="0"/>
                <w:sz w:val="20"/>
              </w:rPr>
              <w:t xml:space="preserve">a) </w:t>
            </w:r>
            <w:r w:rsidR="007719C4" w:rsidRPr="00E954D1">
              <w:rPr>
                <w:snapToGrid w:val="0"/>
                <w:sz w:val="20"/>
              </w:rPr>
              <w:t>Grado de aplicación de las disposiciones del Protocolo de Nagoya y obligaciones conexas de las Partes, incluida una evaluación de los progresos logrados por las Partes en el establecimiento de estructuras institucionales y la adopción de medidas de acceso y participación en los beneficios para aplicar el Protocolo</w:t>
            </w:r>
          </w:p>
        </w:tc>
        <w:tc>
          <w:tcPr>
            <w:tcW w:w="4619" w:type="dxa"/>
            <w:tcBorders>
              <w:top w:val="single" w:sz="4" w:space="0" w:color="auto"/>
              <w:left w:val="single" w:sz="4" w:space="0" w:color="auto"/>
              <w:bottom w:val="single" w:sz="4" w:space="0" w:color="auto"/>
              <w:right w:val="single" w:sz="4" w:space="0" w:color="auto"/>
            </w:tcBorders>
            <w:hideMark/>
          </w:tcPr>
          <w:p w14:paraId="4CD64CE4" w14:textId="77777777" w:rsidR="007719C4" w:rsidRPr="00E954D1" w:rsidRDefault="08CAE885">
            <w:pPr>
              <w:pStyle w:val="Prrafodelista"/>
              <w:numPr>
                <w:ilvl w:val="0"/>
                <w:numId w:val="28"/>
              </w:numPr>
              <w:tabs>
                <w:tab w:val="left" w:pos="329"/>
              </w:tabs>
              <w:spacing w:before="40" w:after="40"/>
              <w:ind w:left="34" w:right="40" w:firstLine="0"/>
              <w:rPr>
                <w:snapToGrid w:val="0"/>
                <w:kern w:val="22"/>
                <w:sz w:val="20"/>
                <w:szCs w:val="20"/>
              </w:rPr>
            </w:pPr>
            <w:r w:rsidRPr="00E954D1">
              <w:rPr>
                <w:snapToGrid w:val="0"/>
                <w:sz w:val="20"/>
              </w:rPr>
              <w:t>Primeros informes nacionales</w:t>
            </w:r>
          </w:p>
          <w:p w14:paraId="5450A72F" w14:textId="27079837" w:rsidR="007719C4" w:rsidRPr="00E954D1" w:rsidRDefault="00FE68EF" w:rsidP="002920FD">
            <w:pPr>
              <w:pStyle w:val="Prrafodelista"/>
              <w:numPr>
                <w:ilvl w:val="0"/>
                <w:numId w:val="28"/>
              </w:numPr>
              <w:tabs>
                <w:tab w:val="left" w:pos="329"/>
              </w:tabs>
              <w:spacing w:before="40" w:after="40"/>
              <w:ind w:left="310" w:right="40" w:hanging="284"/>
              <w:rPr>
                <w:snapToGrid w:val="0"/>
                <w:kern w:val="22"/>
                <w:sz w:val="20"/>
                <w:szCs w:val="20"/>
              </w:rPr>
            </w:pPr>
            <w:r w:rsidRPr="00E954D1">
              <w:rPr>
                <w:snapToGrid w:val="0"/>
                <w:sz w:val="20"/>
              </w:rPr>
              <w:t>Centro de Intercambio de Información sobre Acceso y Participación en los Beneficios</w:t>
            </w:r>
          </w:p>
          <w:p w14:paraId="352AA68B" w14:textId="77777777" w:rsidR="007719C4" w:rsidRPr="00E954D1" w:rsidRDefault="08CAE885" w:rsidP="002920FD">
            <w:pPr>
              <w:pStyle w:val="Prrafodelista"/>
              <w:numPr>
                <w:ilvl w:val="0"/>
                <w:numId w:val="28"/>
              </w:numPr>
              <w:tabs>
                <w:tab w:val="left" w:pos="329"/>
              </w:tabs>
              <w:spacing w:before="40" w:after="40"/>
              <w:ind w:left="310" w:right="40" w:hanging="284"/>
              <w:rPr>
                <w:snapToGrid w:val="0"/>
                <w:kern w:val="22"/>
                <w:sz w:val="20"/>
                <w:szCs w:val="20"/>
              </w:rPr>
            </w:pPr>
            <w:r w:rsidRPr="00E954D1">
              <w:rPr>
                <w:snapToGrid w:val="0"/>
                <w:sz w:val="20"/>
              </w:rPr>
              <w:t>Informes nacionales presentados en virtud del Convenio</w:t>
            </w:r>
          </w:p>
          <w:p w14:paraId="4043EEA0" w14:textId="77777777" w:rsidR="007719C4" w:rsidRPr="00E954D1" w:rsidRDefault="08CAE885" w:rsidP="002920FD">
            <w:pPr>
              <w:pStyle w:val="Prrafodelista"/>
              <w:numPr>
                <w:ilvl w:val="0"/>
                <w:numId w:val="28"/>
              </w:numPr>
              <w:tabs>
                <w:tab w:val="left" w:pos="329"/>
              </w:tabs>
              <w:spacing w:before="40" w:after="40"/>
              <w:ind w:left="310" w:right="40" w:hanging="284"/>
              <w:rPr>
                <w:snapToGrid w:val="0"/>
                <w:kern w:val="22"/>
                <w:sz w:val="20"/>
                <w:szCs w:val="20"/>
              </w:rPr>
            </w:pPr>
            <w:r w:rsidRPr="00E954D1">
              <w:rPr>
                <w:snapToGrid w:val="0"/>
                <w:sz w:val="20"/>
              </w:rPr>
              <w:t>Estrategias y planes de acción nacionales en materia de biodiversidad</w:t>
            </w:r>
          </w:p>
          <w:p w14:paraId="1A557869" w14:textId="1E46D128" w:rsidR="007719C4" w:rsidRPr="00E954D1" w:rsidRDefault="08CAE885" w:rsidP="0098215A">
            <w:pPr>
              <w:pStyle w:val="Prrafodelista"/>
              <w:numPr>
                <w:ilvl w:val="0"/>
                <w:numId w:val="28"/>
              </w:numPr>
              <w:tabs>
                <w:tab w:val="left" w:pos="329"/>
              </w:tabs>
              <w:spacing w:before="40" w:after="40"/>
              <w:ind w:left="34" w:right="40" w:firstLine="0"/>
              <w:rPr>
                <w:snapToGrid w:val="0"/>
                <w:kern w:val="22"/>
                <w:sz w:val="20"/>
                <w:szCs w:val="20"/>
              </w:rPr>
            </w:pPr>
            <w:r w:rsidRPr="00E954D1">
              <w:rPr>
                <w:snapToGrid w:val="0"/>
                <w:sz w:val="20"/>
              </w:rPr>
              <w:t>Encuesta selectiva</w:t>
            </w:r>
          </w:p>
        </w:tc>
      </w:tr>
      <w:tr w:rsidR="007719C4" w:rsidRPr="00E954D1" w14:paraId="0C82BFE0" w14:textId="77777777" w:rsidTr="6A99B802">
        <w:trPr>
          <w:cantSplit/>
          <w:jc w:val="right"/>
        </w:trPr>
        <w:tc>
          <w:tcPr>
            <w:tcW w:w="4536" w:type="dxa"/>
            <w:tcBorders>
              <w:top w:val="single" w:sz="4" w:space="0" w:color="auto"/>
              <w:left w:val="single" w:sz="4" w:space="0" w:color="auto"/>
              <w:bottom w:val="single" w:sz="4" w:space="0" w:color="auto"/>
              <w:right w:val="single" w:sz="4" w:space="0" w:color="auto"/>
            </w:tcBorders>
            <w:hideMark/>
          </w:tcPr>
          <w:p w14:paraId="7B21F661" w14:textId="77777777" w:rsidR="007719C4" w:rsidRPr="00E954D1" w:rsidRDefault="007719C4">
            <w:pPr>
              <w:spacing w:before="40" w:after="40"/>
              <w:ind w:left="40" w:right="40"/>
              <w:jc w:val="left"/>
              <w:rPr>
                <w:snapToGrid w:val="0"/>
                <w:kern w:val="22"/>
                <w:sz w:val="20"/>
                <w:szCs w:val="20"/>
              </w:rPr>
            </w:pPr>
            <w:r w:rsidRPr="00E954D1">
              <w:rPr>
                <w:snapToGrid w:val="0"/>
                <w:sz w:val="20"/>
              </w:rPr>
              <w:t>b) Evaluación de la eficacia</w:t>
            </w:r>
          </w:p>
        </w:tc>
        <w:tc>
          <w:tcPr>
            <w:tcW w:w="4619" w:type="dxa"/>
            <w:tcBorders>
              <w:top w:val="single" w:sz="4" w:space="0" w:color="auto"/>
              <w:left w:val="single" w:sz="4" w:space="0" w:color="auto"/>
              <w:bottom w:val="single" w:sz="4" w:space="0" w:color="auto"/>
              <w:right w:val="single" w:sz="4" w:space="0" w:color="auto"/>
            </w:tcBorders>
            <w:hideMark/>
          </w:tcPr>
          <w:p w14:paraId="60F5E4BE" w14:textId="77777777" w:rsidR="007719C4" w:rsidRPr="00E954D1" w:rsidRDefault="08CAE885" w:rsidP="00D17C52">
            <w:pPr>
              <w:pStyle w:val="Prrafodelista"/>
              <w:numPr>
                <w:ilvl w:val="0"/>
                <w:numId w:val="28"/>
              </w:numPr>
              <w:tabs>
                <w:tab w:val="left" w:pos="310"/>
              </w:tabs>
              <w:spacing w:before="40" w:after="40"/>
              <w:ind w:left="310" w:right="40" w:hanging="284"/>
              <w:rPr>
                <w:snapToGrid w:val="0"/>
                <w:kern w:val="22"/>
                <w:sz w:val="20"/>
                <w:szCs w:val="20"/>
              </w:rPr>
            </w:pPr>
            <w:r w:rsidRPr="00E954D1">
              <w:rPr>
                <w:snapToGrid w:val="0"/>
                <w:sz w:val="20"/>
              </w:rPr>
              <w:t>Primeros informes nacionales (preguntas 10, 12, 19, 30 a 32 y 43 a 45 del formato)</w:t>
            </w:r>
          </w:p>
          <w:p w14:paraId="54553074" w14:textId="6967354B" w:rsidR="007719C4" w:rsidRPr="00E954D1" w:rsidRDefault="00926AD6" w:rsidP="00D17C52">
            <w:pPr>
              <w:pStyle w:val="Prrafodelista"/>
              <w:numPr>
                <w:ilvl w:val="0"/>
                <w:numId w:val="28"/>
              </w:numPr>
              <w:tabs>
                <w:tab w:val="left" w:pos="310"/>
              </w:tabs>
              <w:spacing w:before="40" w:after="40"/>
              <w:ind w:left="310" w:right="40" w:hanging="284"/>
              <w:rPr>
                <w:snapToGrid w:val="0"/>
                <w:kern w:val="22"/>
                <w:sz w:val="20"/>
                <w:szCs w:val="20"/>
              </w:rPr>
            </w:pPr>
            <w:r w:rsidRPr="00E954D1">
              <w:rPr>
                <w:snapToGrid w:val="0"/>
                <w:sz w:val="20"/>
              </w:rPr>
              <w:t>Centro de Intercambio de Información sobre Acceso y Participación en los Beneficios</w:t>
            </w:r>
          </w:p>
          <w:p w14:paraId="5D792B66" w14:textId="5669BEEA" w:rsidR="007719C4" w:rsidRPr="00E954D1" w:rsidRDefault="08CAE885" w:rsidP="00D17C52">
            <w:pPr>
              <w:pStyle w:val="Prrafodelista"/>
              <w:numPr>
                <w:ilvl w:val="0"/>
                <w:numId w:val="28"/>
              </w:numPr>
              <w:tabs>
                <w:tab w:val="left" w:pos="310"/>
              </w:tabs>
              <w:spacing w:before="40" w:after="40"/>
              <w:ind w:left="310" w:right="40" w:hanging="284"/>
              <w:rPr>
                <w:snapToGrid w:val="0"/>
                <w:kern w:val="22"/>
                <w:sz w:val="20"/>
                <w:szCs w:val="20"/>
              </w:rPr>
            </w:pPr>
            <w:r w:rsidRPr="00E954D1">
              <w:rPr>
                <w:snapToGrid w:val="0"/>
                <w:sz w:val="20"/>
              </w:rPr>
              <w:t>Encuesta selectiva</w:t>
            </w:r>
          </w:p>
        </w:tc>
      </w:tr>
      <w:tr w:rsidR="007719C4" w:rsidRPr="00E954D1" w14:paraId="6F588344" w14:textId="77777777" w:rsidTr="6A99B802">
        <w:trPr>
          <w:cantSplit/>
          <w:jc w:val="right"/>
        </w:trPr>
        <w:tc>
          <w:tcPr>
            <w:tcW w:w="4536" w:type="dxa"/>
            <w:tcBorders>
              <w:top w:val="single" w:sz="4" w:space="0" w:color="auto"/>
              <w:left w:val="single" w:sz="4" w:space="0" w:color="auto"/>
              <w:bottom w:val="single" w:sz="4" w:space="0" w:color="auto"/>
              <w:right w:val="single" w:sz="4" w:space="0" w:color="auto"/>
            </w:tcBorders>
            <w:hideMark/>
          </w:tcPr>
          <w:p w14:paraId="0F07A35C" w14:textId="77777777" w:rsidR="007719C4" w:rsidRPr="00E954D1" w:rsidRDefault="007719C4">
            <w:pPr>
              <w:spacing w:before="40" w:after="40"/>
              <w:ind w:left="40" w:right="40"/>
              <w:jc w:val="left"/>
              <w:rPr>
                <w:snapToGrid w:val="0"/>
                <w:kern w:val="22"/>
                <w:sz w:val="20"/>
                <w:szCs w:val="20"/>
              </w:rPr>
            </w:pPr>
            <w:r w:rsidRPr="00E954D1">
              <w:rPr>
                <w:snapToGrid w:val="0"/>
                <w:sz w:val="20"/>
              </w:rPr>
              <w:lastRenderedPageBreak/>
              <w:t>c) Evaluación del apoyo disponible para la aplicación</w:t>
            </w:r>
          </w:p>
        </w:tc>
        <w:tc>
          <w:tcPr>
            <w:tcW w:w="4619" w:type="dxa"/>
            <w:tcBorders>
              <w:top w:val="single" w:sz="4" w:space="0" w:color="auto"/>
              <w:left w:val="single" w:sz="4" w:space="0" w:color="auto"/>
              <w:bottom w:val="single" w:sz="4" w:space="0" w:color="auto"/>
              <w:right w:val="single" w:sz="4" w:space="0" w:color="auto"/>
            </w:tcBorders>
            <w:hideMark/>
          </w:tcPr>
          <w:p w14:paraId="3312AFA1" w14:textId="3D3B46EE" w:rsidR="007719C4" w:rsidRPr="00E954D1" w:rsidRDefault="002920FD" w:rsidP="00D17C52">
            <w:pPr>
              <w:pStyle w:val="Prrafodelista"/>
              <w:numPr>
                <w:ilvl w:val="0"/>
                <w:numId w:val="28"/>
              </w:numPr>
              <w:tabs>
                <w:tab w:val="left" w:pos="329"/>
              </w:tabs>
              <w:spacing w:before="40" w:after="40"/>
              <w:ind w:left="310" w:right="40" w:hanging="284"/>
              <w:rPr>
                <w:snapToGrid w:val="0"/>
                <w:kern w:val="22"/>
                <w:sz w:val="20"/>
                <w:szCs w:val="20"/>
              </w:rPr>
            </w:pPr>
            <w:r w:rsidRPr="00E954D1">
              <w:rPr>
                <w:snapToGrid w:val="0"/>
                <w:sz w:val="20"/>
              </w:rPr>
              <w:t>Primeros informes nacionales (</w:t>
            </w:r>
            <w:r w:rsidR="08CAE885" w:rsidRPr="00E954D1">
              <w:rPr>
                <w:snapToGrid w:val="0"/>
                <w:sz w:val="20"/>
              </w:rPr>
              <w:t>preguntas 54, 55 y 59 a 64)</w:t>
            </w:r>
          </w:p>
          <w:p w14:paraId="6EE87798" w14:textId="37746ABE" w:rsidR="007719C4" w:rsidRPr="00E954D1" w:rsidRDefault="006E3799" w:rsidP="00D17C52">
            <w:pPr>
              <w:pStyle w:val="Prrafodelista"/>
              <w:numPr>
                <w:ilvl w:val="0"/>
                <w:numId w:val="28"/>
              </w:numPr>
              <w:tabs>
                <w:tab w:val="left" w:pos="329"/>
              </w:tabs>
              <w:spacing w:before="40" w:after="40"/>
              <w:ind w:left="310" w:right="40" w:hanging="284"/>
              <w:rPr>
                <w:snapToGrid w:val="0"/>
                <w:kern w:val="22"/>
                <w:sz w:val="20"/>
                <w:szCs w:val="20"/>
              </w:rPr>
            </w:pPr>
            <w:r w:rsidRPr="00E954D1">
              <w:rPr>
                <w:snapToGrid w:val="0"/>
                <w:sz w:val="20"/>
              </w:rPr>
              <w:t>Centro de Intercambio de Información sobre Acceso y Participación en los Beneficios</w:t>
            </w:r>
          </w:p>
          <w:p w14:paraId="674106B1" w14:textId="77777777" w:rsidR="007719C4" w:rsidRPr="00E954D1" w:rsidRDefault="08CAE885" w:rsidP="00D17C52">
            <w:pPr>
              <w:pStyle w:val="Prrafodelista"/>
              <w:numPr>
                <w:ilvl w:val="0"/>
                <w:numId w:val="28"/>
              </w:numPr>
              <w:tabs>
                <w:tab w:val="left" w:pos="329"/>
              </w:tabs>
              <w:spacing w:before="40" w:after="40"/>
              <w:ind w:left="310" w:right="40" w:hanging="284"/>
              <w:rPr>
                <w:snapToGrid w:val="0"/>
                <w:kern w:val="22"/>
                <w:sz w:val="20"/>
                <w:szCs w:val="20"/>
              </w:rPr>
            </w:pPr>
            <w:r w:rsidRPr="00E954D1">
              <w:rPr>
                <w:snapToGrid w:val="0"/>
                <w:sz w:val="20"/>
              </w:rPr>
              <w:t>Información sobre proyectos y recursos de creación de capacidad</w:t>
            </w:r>
          </w:p>
          <w:p w14:paraId="5EEAC370" w14:textId="145FA501" w:rsidR="007719C4" w:rsidRPr="00E954D1" w:rsidRDefault="08CAE885" w:rsidP="00D17C52">
            <w:pPr>
              <w:pStyle w:val="Prrafodelista"/>
              <w:numPr>
                <w:ilvl w:val="0"/>
                <w:numId w:val="28"/>
              </w:numPr>
              <w:tabs>
                <w:tab w:val="left" w:pos="329"/>
              </w:tabs>
              <w:spacing w:before="40" w:after="40"/>
              <w:ind w:left="310" w:right="40" w:hanging="284"/>
              <w:rPr>
                <w:snapToGrid w:val="0"/>
                <w:kern w:val="22"/>
                <w:sz w:val="20"/>
                <w:szCs w:val="20"/>
              </w:rPr>
            </w:pPr>
            <w:r w:rsidRPr="00E954D1">
              <w:rPr>
                <w:snapToGrid w:val="0"/>
                <w:sz w:val="20"/>
              </w:rPr>
              <w:t>Encuesta selectiva</w:t>
            </w:r>
          </w:p>
        </w:tc>
      </w:tr>
      <w:tr w:rsidR="007719C4" w:rsidRPr="00E954D1" w14:paraId="103394D3" w14:textId="77777777" w:rsidTr="6A99B802">
        <w:trPr>
          <w:cantSplit/>
          <w:jc w:val="right"/>
        </w:trPr>
        <w:tc>
          <w:tcPr>
            <w:tcW w:w="4536" w:type="dxa"/>
            <w:tcBorders>
              <w:top w:val="single" w:sz="4" w:space="0" w:color="auto"/>
              <w:left w:val="single" w:sz="4" w:space="0" w:color="auto"/>
              <w:bottom w:val="single" w:sz="4" w:space="0" w:color="auto"/>
              <w:right w:val="single" w:sz="4" w:space="0" w:color="auto"/>
            </w:tcBorders>
            <w:hideMark/>
          </w:tcPr>
          <w:p w14:paraId="31B0B0E7" w14:textId="77777777" w:rsidR="007719C4" w:rsidRPr="00E954D1" w:rsidRDefault="007719C4">
            <w:pPr>
              <w:spacing w:before="40" w:after="40"/>
              <w:ind w:left="40" w:right="40"/>
              <w:jc w:val="left"/>
              <w:rPr>
                <w:snapToGrid w:val="0"/>
                <w:kern w:val="22"/>
                <w:sz w:val="20"/>
                <w:szCs w:val="20"/>
              </w:rPr>
            </w:pPr>
            <w:r w:rsidRPr="00E954D1">
              <w:rPr>
                <w:snapToGrid w:val="0"/>
                <w:sz w:val="20"/>
              </w:rPr>
              <w:t>d)</w:t>
            </w:r>
            <w:r w:rsidRPr="00E954D1">
              <w:rPr>
                <w:snapToGrid w:val="0"/>
                <w:sz w:val="20"/>
              </w:rPr>
              <w:tab/>
              <w:t>Evaluación de la eficacia del artículo 18 (grado de aplicación)</w:t>
            </w:r>
          </w:p>
        </w:tc>
        <w:tc>
          <w:tcPr>
            <w:tcW w:w="4619" w:type="dxa"/>
            <w:tcBorders>
              <w:top w:val="single" w:sz="4" w:space="0" w:color="auto"/>
              <w:left w:val="single" w:sz="4" w:space="0" w:color="auto"/>
              <w:bottom w:val="single" w:sz="4" w:space="0" w:color="auto"/>
              <w:right w:val="single" w:sz="4" w:space="0" w:color="auto"/>
            </w:tcBorders>
            <w:hideMark/>
          </w:tcPr>
          <w:p w14:paraId="627F68A8" w14:textId="764478F3" w:rsidR="007719C4" w:rsidRPr="00E954D1" w:rsidRDefault="002920FD" w:rsidP="00D17C52">
            <w:pPr>
              <w:pStyle w:val="Prrafodelista"/>
              <w:numPr>
                <w:ilvl w:val="0"/>
                <w:numId w:val="28"/>
              </w:numPr>
              <w:tabs>
                <w:tab w:val="left" w:pos="310"/>
              </w:tabs>
              <w:spacing w:before="40" w:after="40"/>
              <w:ind w:left="310" w:right="40" w:hanging="284"/>
              <w:rPr>
                <w:snapToGrid w:val="0"/>
                <w:kern w:val="22"/>
                <w:sz w:val="20"/>
                <w:szCs w:val="20"/>
              </w:rPr>
            </w:pPr>
            <w:r w:rsidRPr="00E954D1">
              <w:rPr>
                <w:snapToGrid w:val="0"/>
                <w:sz w:val="20"/>
              </w:rPr>
              <w:t>Primeros informes nacionales (</w:t>
            </w:r>
            <w:r w:rsidR="007719C4" w:rsidRPr="00E954D1">
              <w:rPr>
                <w:snapToGrid w:val="0"/>
                <w:sz w:val="20"/>
              </w:rPr>
              <w:t>preguntas 25 a 28)</w:t>
            </w:r>
          </w:p>
          <w:p w14:paraId="1A8234E2" w14:textId="0DFC7B80" w:rsidR="007719C4" w:rsidRPr="00E954D1" w:rsidRDefault="08CAE885" w:rsidP="0098215A">
            <w:pPr>
              <w:pStyle w:val="Prrafodelista"/>
              <w:numPr>
                <w:ilvl w:val="0"/>
                <w:numId w:val="28"/>
              </w:numPr>
              <w:tabs>
                <w:tab w:val="left" w:pos="329"/>
              </w:tabs>
              <w:spacing w:before="40" w:after="40"/>
              <w:ind w:left="34" w:right="40" w:firstLine="0"/>
              <w:rPr>
                <w:snapToGrid w:val="0"/>
                <w:kern w:val="22"/>
                <w:sz w:val="20"/>
                <w:szCs w:val="20"/>
              </w:rPr>
            </w:pPr>
            <w:r w:rsidRPr="00E954D1">
              <w:rPr>
                <w:snapToGrid w:val="0"/>
                <w:sz w:val="20"/>
              </w:rPr>
              <w:t>Encuesta selectiva</w:t>
            </w:r>
          </w:p>
        </w:tc>
      </w:tr>
      <w:tr w:rsidR="007719C4" w:rsidRPr="00E954D1" w14:paraId="3724A966" w14:textId="77777777" w:rsidTr="6A99B802">
        <w:trPr>
          <w:cantSplit/>
          <w:jc w:val="right"/>
        </w:trPr>
        <w:tc>
          <w:tcPr>
            <w:tcW w:w="4536" w:type="dxa"/>
            <w:tcBorders>
              <w:top w:val="single" w:sz="4" w:space="0" w:color="auto"/>
              <w:left w:val="single" w:sz="4" w:space="0" w:color="auto"/>
              <w:bottom w:val="single" w:sz="4" w:space="0" w:color="auto"/>
              <w:right w:val="single" w:sz="4" w:space="0" w:color="auto"/>
            </w:tcBorders>
            <w:hideMark/>
          </w:tcPr>
          <w:p w14:paraId="25E12A83" w14:textId="77777777" w:rsidR="007719C4" w:rsidRPr="00E954D1" w:rsidRDefault="007719C4">
            <w:pPr>
              <w:spacing w:before="40" w:after="40"/>
              <w:ind w:left="40" w:right="40"/>
              <w:jc w:val="left"/>
              <w:rPr>
                <w:snapToGrid w:val="0"/>
                <w:kern w:val="22"/>
                <w:sz w:val="20"/>
                <w:szCs w:val="20"/>
              </w:rPr>
            </w:pPr>
            <w:r w:rsidRPr="00E954D1">
              <w:rPr>
                <w:snapToGrid w:val="0"/>
                <w:sz w:val="20"/>
              </w:rPr>
              <w:t>e)</w:t>
            </w:r>
            <w:r w:rsidRPr="00E954D1">
              <w:rPr>
                <w:snapToGrid w:val="0"/>
                <w:sz w:val="20"/>
              </w:rPr>
              <w:tab/>
              <w:t xml:space="preserve">Evaluación de la aplicación del artículo 16 a la luz de los avances en otras organizaciones internacionales pertinentes, incluida la Organización Mundial de la Propiedad Intelectual </w:t>
            </w:r>
          </w:p>
        </w:tc>
        <w:tc>
          <w:tcPr>
            <w:tcW w:w="4619" w:type="dxa"/>
            <w:tcBorders>
              <w:top w:val="single" w:sz="4" w:space="0" w:color="auto"/>
              <w:left w:val="single" w:sz="4" w:space="0" w:color="auto"/>
              <w:bottom w:val="single" w:sz="4" w:space="0" w:color="auto"/>
              <w:right w:val="single" w:sz="4" w:space="0" w:color="auto"/>
            </w:tcBorders>
            <w:hideMark/>
          </w:tcPr>
          <w:p w14:paraId="4A289E7C" w14:textId="77777777" w:rsidR="007719C4" w:rsidRPr="00E954D1" w:rsidRDefault="08CAE885">
            <w:pPr>
              <w:pStyle w:val="Prrafodelista"/>
              <w:numPr>
                <w:ilvl w:val="0"/>
                <w:numId w:val="28"/>
              </w:numPr>
              <w:tabs>
                <w:tab w:val="left" w:pos="329"/>
              </w:tabs>
              <w:spacing w:before="40" w:after="40"/>
              <w:ind w:left="34" w:right="40" w:firstLine="0"/>
              <w:rPr>
                <w:snapToGrid w:val="0"/>
                <w:kern w:val="22"/>
                <w:sz w:val="20"/>
                <w:szCs w:val="20"/>
              </w:rPr>
            </w:pPr>
            <w:r w:rsidRPr="00E954D1">
              <w:rPr>
                <w:snapToGrid w:val="0"/>
                <w:sz w:val="20"/>
              </w:rPr>
              <w:t>Primeros informes nacionales (pregunta 20)</w:t>
            </w:r>
          </w:p>
          <w:p w14:paraId="1354CC0C" w14:textId="77777777" w:rsidR="007719C4" w:rsidRPr="00E954D1" w:rsidRDefault="08CAE885" w:rsidP="00D17C52">
            <w:pPr>
              <w:pStyle w:val="Prrafodelista"/>
              <w:numPr>
                <w:ilvl w:val="0"/>
                <w:numId w:val="28"/>
              </w:numPr>
              <w:tabs>
                <w:tab w:val="left" w:pos="329"/>
              </w:tabs>
              <w:spacing w:before="40" w:after="40"/>
              <w:ind w:left="310" w:right="40" w:hanging="284"/>
              <w:rPr>
                <w:snapToGrid w:val="0"/>
                <w:kern w:val="22"/>
                <w:sz w:val="20"/>
                <w:szCs w:val="20"/>
              </w:rPr>
            </w:pPr>
            <w:r w:rsidRPr="00E954D1">
              <w:rPr>
                <w:snapToGrid w:val="0"/>
                <w:sz w:val="20"/>
              </w:rPr>
              <w:t>Informes, entre otros, del Comité Intergubernamental sobre Propiedad Intelectual y Recursos Genéticos, Conocimientos Tradicionales y Folclore de la Organización Mundial de la Propiedad Intelectual</w:t>
            </w:r>
          </w:p>
        </w:tc>
      </w:tr>
      <w:tr w:rsidR="007719C4" w:rsidRPr="00E954D1" w14:paraId="3E72B030" w14:textId="77777777" w:rsidTr="6A99B802">
        <w:trPr>
          <w:cantSplit/>
          <w:jc w:val="right"/>
        </w:trPr>
        <w:tc>
          <w:tcPr>
            <w:tcW w:w="4536" w:type="dxa"/>
            <w:tcBorders>
              <w:top w:val="single" w:sz="4" w:space="0" w:color="auto"/>
              <w:left w:val="single" w:sz="4" w:space="0" w:color="auto"/>
              <w:bottom w:val="single" w:sz="4" w:space="0" w:color="auto"/>
              <w:right w:val="single" w:sz="4" w:space="0" w:color="auto"/>
            </w:tcBorders>
            <w:hideMark/>
          </w:tcPr>
          <w:p w14:paraId="14837B02" w14:textId="77777777" w:rsidR="007719C4" w:rsidRPr="00E954D1" w:rsidRDefault="007719C4">
            <w:pPr>
              <w:spacing w:before="40" w:after="40"/>
              <w:ind w:left="40" w:right="40"/>
              <w:jc w:val="left"/>
              <w:rPr>
                <w:snapToGrid w:val="0"/>
                <w:kern w:val="22"/>
                <w:sz w:val="20"/>
                <w:szCs w:val="20"/>
              </w:rPr>
            </w:pPr>
            <w:r w:rsidRPr="00E954D1">
              <w:rPr>
                <w:snapToGrid w:val="0"/>
                <w:sz w:val="20"/>
              </w:rPr>
              <w:t>f)</w:t>
            </w:r>
            <w:r w:rsidRPr="00E954D1">
              <w:rPr>
                <w:snapToGrid w:val="0"/>
                <w:sz w:val="20"/>
              </w:rPr>
              <w:tab/>
              <w:t>Inventario de la utilización de cláusulas contractuales modelo, códigos de conducta, directrices, prácticas óptimas y estándares, así como leyes consuetudinarias y protocolos y procedimientos comunitarios de pueblos indígenas y comunidades locales</w:t>
            </w:r>
          </w:p>
        </w:tc>
        <w:tc>
          <w:tcPr>
            <w:tcW w:w="4619" w:type="dxa"/>
            <w:tcBorders>
              <w:top w:val="single" w:sz="4" w:space="0" w:color="auto"/>
              <w:left w:val="single" w:sz="4" w:space="0" w:color="auto"/>
              <w:bottom w:val="single" w:sz="4" w:space="0" w:color="auto"/>
              <w:right w:val="single" w:sz="4" w:space="0" w:color="auto"/>
            </w:tcBorders>
            <w:hideMark/>
          </w:tcPr>
          <w:p w14:paraId="1312C41C" w14:textId="39021E8F" w:rsidR="007719C4" w:rsidRPr="00E954D1" w:rsidRDefault="002920FD" w:rsidP="002920FD">
            <w:pPr>
              <w:pStyle w:val="Prrafodelista"/>
              <w:numPr>
                <w:ilvl w:val="0"/>
                <w:numId w:val="28"/>
              </w:numPr>
              <w:tabs>
                <w:tab w:val="left" w:pos="329"/>
              </w:tabs>
              <w:spacing w:before="40" w:after="40"/>
              <w:ind w:left="310" w:right="40" w:hanging="284"/>
              <w:rPr>
                <w:snapToGrid w:val="0"/>
                <w:kern w:val="22"/>
                <w:sz w:val="20"/>
                <w:szCs w:val="20"/>
              </w:rPr>
            </w:pPr>
            <w:r w:rsidRPr="00E954D1">
              <w:rPr>
                <w:snapToGrid w:val="0"/>
                <w:sz w:val="20"/>
              </w:rPr>
              <w:t>Primeros informes nacionales (</w:t>
            </w:r>
            <w:r w:rsidR="08CAE885" w:rsidRPr="00E954D1">
              <w:rPr>
                <w:snapToGrid w:val="0"/>
                <w:sz w:val="20"/>
              </w:rPr>
              <w:t>preguntas 39 y 50</w:t>
            </w:r>
            <w:r w:rsidRPr="00E954D1">
              <w:rPr>
                <w:snapToGrid w:val="0"/>
                <w:sz w:val="20"/>
              </w:rPr>
              <w:t> </w:t>
            </w:r>
            <w:r w:rsidR="08CAE885" w:rsidRPr="00E954D1">
              <w:rPr>
                <w:snapToGrid w:val="0"/>
                <w:sz w:val="20"/>
              </w:rPr>
              <w:t>a 51)</w:t>
            </w:r>
          </w:p>
          <w:p w14:paraId="51FA2B7B" w14:textId="082FD577" w:rsidR="007719C4" w:rsidRPr="00E954D1" w:rsidRDefault="006E3799" w:rsidP="002920FD">
            <w:pPr>
              <w:pStyle w:val="Prrafodelista"/>
              <w:numPr>
                <w:ilvl w:val="0"/>
                <w:numId w:val="28"/>
              </w:numPr>
              <w:tabs>
                <w:tab w:val="left" w:pos="329"/>
              </w:tabs>
              <w:spacing w:before="40" w:after="40"/>
              <w:ind w:left="310" w:right="40" w:hanging="284"/>
              <w:rPr>
                <w:snapToGrid w:val="0"/>
                <w:kern w:val="22"/>
                <w:sz w:val="20"/>
                <w:szCs w:val="20"/>
              </w:rPr>
            </w:pPr>
            <w:r w:rsidRPr="00E954D1">
              <w:rPr>
                <w:snapToGrid w:val="0"/>
                <w:sz w:val="20"/>
              </w:rPr>
              <w:t>Centro de Intercambio de Información sobre Acceso y Participación en los Beneficios</w:t>
            </w:r>
          </w:p>
          <w:p w14:paraId="0562E833" w14:textId="09190C56" w:rsidR="0000453D" w:rsidRPr="00E954D1" w:rsidRDefault="08CAE885" w:rsidP="0098215A">
            <w:pPr>
              <w:pStyle w:val="Prrafodelista"/>
              <w:numPr>
                <w:ilvl w:val="0"/>
                <w:numId w:val="28"/>
              </w:numPr>
              <w:tabs>
                <w:tab w:val="left" w:pos="329"/>
              </w:tabs>
              <w:spacing w:before="40" w:after="40"/>
              <w:ind w:left="34" w:right="40" w:firstLine="0"/>
              <w:rPr>
                <w:snapToGrid w:val="0"/>
                <w:kern w:val="22"/>
                <w:sz w:val="20"/>
                <w:szCs w:val="20"/>
              </w:rPr>
            </w:pPr>
            <w:r w:rsidRPr="00E954D1">
              <w:rPr>
                <w:snapToGrid w:val="0"/>
                <w:sz w:val="20"/>
              </w:rPr>
              <w:t>Encuesta selectiva</w:t>
            </w:r>
          </w:p>
        </w:tc>
      </w:tr>
      <w:tr w:rsidR="007719C4" w:rsidRPr="00E954D1" w14:paraId="577183F4" w14:textId="77777777" w:rsidTr="6A99B802">
        <w:trPr>
          <w:cantSplit/>
          <w:jc w:val="right"/>
        </w:trPr>
        <w:tc>
          <w:tcPr>
            <w:tcW w:w="4536" w:type="dxa"/>
            <w:tcBorders>
              <w:top w:val="single" w:sz="4" w:space="0" w:color="auto"/>
              <w:left w:val="single" w:sz="4" w:space="0" w:color="auto"/>
              <w:bottom w:val="single" w:sz="4" w:space="0" w:color="auto"/>
              <w:right w:val="single" w:sz="4" w:space="0" w:color="auto"/>
            </w:tcBorders>
            <w:hideMark/>
          </w:tcPr>
          <w:p w14:paraId="50DDFC1A" w14:textId="052CBD14" w:rsidR="007719C4" w:rsidRPr="00E954D1" w:rsidRDefault="007719C4">
            <w:pPr>
              <w:spacing w:before="40" w:after="40"/>
              <w:ind w:left="40" w:right="40"/>
              <w:jc w:val="left"/>
              <w:rPr>
                <w:snapToGrid w:val="0"/>
                <w:kern w:val="22"/>
                <w:sz w:val="20"/>
                <w:szCs w:val="20"/>
              </w:rPr>
            </w:pPr>
            <w:r w:rsidRPr="00E954D1">
              <w:rPr>
                <w:snapToGrid w:val="0"/>
                <w:sz w:val="20"/>
              </w:rPr>
              <w:t>g) Revisión de la puesta en marcha y el funcionamiento del Centro de Intercambio de Información sobre Acceso y Participación en los Beneficios, incluido el número de medidas de acceso y participación en los beneficios disponibles; el número de países que han publicado información sobre sus autoridades nacionales competentes; el número de certificados de cumplimiento reconocidos internacionalmente ingresados; y el número de comunicados de puntos de verificación publicados</w:t>
            </w:r>
          </w:p>
        </w:tc>
        <w:tc>
          <w:tcPr>
            <w:tcW w:w="4619" w:type="dxa"/>
            <w:tcBorders>
              <w:top w:val="single" w:sz="4" w:space="0" w:color="auto"/>
              <w:left w:val="single" w:sz="4" w:space="0" w:color="auto"/>
              <w:bottom w:val="single" w:sz="4" w:space="0" w:color="auto"/>
              <w:right w:val="single" w:sz="4" w:space="0" w:color="auto"/>
            </w:tcBorders>
            <w:hideMark/>
          </w:tcPr>
          <w:p w14:paraId="6F1D430A" w14:textId="7ED444C2" w:rsidR="007719C4" w:rsidRPr="00E954D1" w:rsidRDefault="002920FD" w:rsidP="00D17C52">
            <w:pPr>
              <w:pStyle w:val="Prrafodelista"/>
              <w:numPr>
                <w:ilvl w:val="0"/>
                <w:numId w:val="28"/>
              </w:numPr>
              <w:tabs>
                <w:tab w:val="left" w:pos="329"/>
              </w:tabs>
              <w:spacing w:before="40" w:after="40"/>
              <w:ind w:left="310" w:right="40" w:hanging="284"/>
              <w:rPr>
                <w:snapToGrid w:val="0"/>
                <w:kern w:val="22"/>
                <w:sz w:val="20"/>
                <w:szCs w:val="20"/>
              </w:rPr>
            </w:pPr>
            <w:r w:rsidRPr="00E954D1">
              <w:rPr>
                <w:snapToGrid w:val="0"/>
                <w:sz w:val="20"/>
              </w:rPr>
              <w:t>Primeros informes nacionales (</w:t>
            </w:r>
            <w:r w:rsidR="08CAE885" w:rsidRPr="00E954D1">
              <w:rPr>
                <w:snapToGrid w:val="0"/>
                <w:sz w:val="20"/>
              </w:rPr>
              <w:t>preguntas 4, 5, 7, 12, 13 y 21)</w:t>
            </w:r>
          </w:p>
          <w:p w14:paraId="50A1CF6B" w14:textId="205E68DB" w:rsidR="007719C4" w:rsidRPr="00E954D1" w:rsidRDefault="006E3799" w:rsidP="00D17C52">
            <w:pPr>
              <w:pStyle w:val="Prrafodelista"/>
              <w:numPr>
                <w:ilvl w:val="0"/>
                <w:numId w:val="28"/>
              </w:numPr>
              <w:tabs>
                <w:tab w:val="left" w:pos="329"/>
              </w:tabs>
              <w:spacing w:before="40" w:after="40"/>
              <w:ind w:left="310" w:right="40" w:hanging="284"/>
              <w:rPr>
                <w:snapToGrid w:val="0"/>
                <w:kern w:val="22"/>
                <w:sz w:val="20"/>
                <w:szCs w:val="20"/>
              </w:rPr>
            </w:pPr>
            <w:r w:rsidRPr="00E954D1">
              <w:rPr>
                <w:snapToGrid w:val="0"/>
                <w:sz w:val="20"/>
              </w:rPr>
              <w:t>Centro de Intercambio de Información sobre Acceso y Participación en los Beneficios</w:t>
            </w:r>
          </w:p>
          <w:p w14:paraId="6A9F0E37" w14:textId="60E96310" w:rsidR="007719C4" w:rsidRPr="00E954D1" w:rsidRDefault="08CAE885" w:rsidP="00D17C52">
            <w:pPr>
              <w:pStyle w:val="Prrafodelista"/>
              <w:numPr>
                <w:ilvl w:val="0"/>
                <w:numId w:val="28"/>
              </w:numPr>
              <w:tabs>
                <w:tab w:val="left" w:pos="329"/>
              </w:tabs>
              <w:spacing w:before="40" w:after="40"/>
              <w:ind w:left="310" w:right="40" w:hanging="284"/>
              <w:rPr>
                <w:snapToGrid w:val="0"/>
                <w:kern w:val="22"/>
                <w:sz w:val="20"/>
                <w:szCs w:val="20"/>
              </w:rPr>
            </w:pPr>
            <w:r w:rsidRPr="00E954D1">
              <w:rPr>
                <w:snapToGrid w:val="0"/>
                <w:sz w:val="20"/>
              </w:rPr>
              <w:t>Informes de reuniones pertinentes para el Centro de Intercambio de Información sobre Acceso y Participación en los Beneficios</w:t>
            </w:r>
          </w:p>
          <w:p w14:paraId="72F145B8" w14:textId="77777777" w:rsidR="007719C4" w:rsidRPr="00E954D1" w:rsidRDefault="08CAE885" w:rsidP="00D17C52">
            <w:pPr>
              <w:pStyle w:val="Prrafodelista"/>
              <w:numPr>
                <w:ilvl w:val="0"/>
                <w:numId w:val="28"/>
              </w:numPr>
              <w:tabs>
                <w:tab w:val="left" w:pos="329"/>
              </w:tabs>
              <w:spacing w:before="40" w:after="40"/>
              <w:ind w:left="310" w:right="40" w:hanging="284"/>
              <w:rPr>
                <w:snapToGrid w:val="0"/>
                <w:kern w:val="22"/>
                <w:sz w:val="20"/>
                <w:szCs w:val="20"/>
              </w:rPr>
            </w:pPr>
            <w:r w:rsidRPr="00E954D1">
              <w:rPr>
                <w:snapToGrid w:val="0"/>
                <w:sz w:val="20"/>
              </w:rPr>
              <w:t xml:space="preserve">Encuesta selectiva </w:t>
            </w:r>
          </w:p>
          <w:p w14:paraId="53D28C9F" w14:textId="77777777" w:rsidR="007719C4" w:rsidRPr="00E954D1" w:rsidRDefault="08CAE885" w:rsidP="00D17C52">
            <w:pPr>
              <w:pStyle w:val="Prrafodelista"/>
              <w:numPr>
                <w:ilvl w:val="0"/>
                <w:numId w:val="28"/>
              </w:numPr>
              <w:tabs>
                <w:tab w:val="left" w:pos="329"/>
              </w:tabs>
              <w:spacing w:before="40" w:after="40"/>
              <w:ind w:left="310" w:right="40" w:hanging="284"/>
              <w:rPr>
                <w:snapToGrid w:val="0"/>
                <w:kern w:val="22"/>
                <w:sz w:val="20"/>
                <w:szCs w:val="20"/>
              </w:rPr>
            </w:pPr>
            <w:r w:rsidRPr="00E954D1">
              <w:rPr>
                <w:snapToGrid w:val="0"/>
                <w:sz w:val="20"/>
              </w:rPr>
              <w:t>Google Analytics</w:t>
            </w:r>
          </w:p>
          <w:p w14:paraId="2D0C99B5" w14:textId="4163A216" w:rsidR="0055647D" w:rsidRPr="00E954D1" w:rsidRDefault="0055647D" w:rsidP="001A3456">
            <w:pPr>
              <w:tabs>
                <w:tab w:val="left" w:pos="329"/>
              </w:tabs>
              <w:spacing w:before="40" w:after="40"/>
              <w:ind w:left="34" w:right="40"/>
              <w:rPr>
                <w:snapToGrid w:val="0"/>
                <w:kern w:val="22"/>
                <w:sz w:val="20"/>
                <w:szCs w:val="20"/>
              </w:rPr>
            </w:pPr>
          </w:p>
        </w:tc>
      </w:tr>
      <w:tr w:rsidR="007719C4" w:rsidRPr="00E954D1" w14:paraId="15BF47C7" w14:textId="77777777" w:rsidTr="6A99B802">
        <w:trPr>
          <w:cantSplit/>
          <w:jc w:val="right"/>
        </w:trPr>
        <w:tc>
          <w:tcPr>
            <w:tcW w:w="4536" w:type="dxa"/>
            <w:tcBorders>
              <w:top w:val="single" w:sz="4" w:space="0" w:color="auto"/>
              <w:left w:val="single" w:sz="4" w:space="0" w:color="auto"/>
              <w:bottom w:val="single" w:sz="4" w:space="0" w:color="auto"/>
              <w:right w:val="single" w:sz="4" w:space="0" w:color="auto"/>
            </w:tcBorders>
          </w:tcPr>
          <w:p w14:paraId="38E00141" w14:textId="77777777" w:rsidR="007719C4" w:rsidRPr="00E954D1" w:rsidRDefault="007719C4">
            <w:pPr>
              <w:spacing w:before="40" w:after="40"/>
              <w:ind w:left="40" w:right="40"/>
              <w:jc w:val="left"/>
              <w:rPr>
                <w:snapToGrid w:val="0"/>
                <w:kern w:val="22"/>
                <w:sz w:val="20"/>
                <w:szCs w:val="20"/>
              </w:rPr>
            </w:pPr>
            <w:r w:rsidRPr="00E954D1">
              <w:rPr>
                <w:snapToGrid w:val="0"/>
                <w:sz w:val="20"/>
              </w:rPr>
              <w:t>h) Progresos en relación con el artículo 10, sobre un mecanismo mundial multilateral de participación en los beneficios</w:t>
            </w:r>
          </w:p>
        </w:tc>
        <w:tc>
          <w:tcPr>
            <w:tcW w:w="4619" w:type="dxa"/>
            <w:tcBorders>
              <w:top w:val="single" w:sz="4" w:space="0" w:color="auto"/>
              <w:left w:val="single" w:sz="4" w:space="0" w:color="auto"/>
              <w:bottom w:val="single" w:sz="4" w:space="0" w:color="auto"/>
              <w:right w:val="single" w:sz="4" w:space="0" w:color="auto"/>
            </w:tcBorders>
          </w:tcPr>
          <w:p w14:paraId="44B1AB32" w14:textId="77777777" w:rsidR="007719C4" w:rsidRPr="00E954D1" w:rsidRDefault="007719C4">
            <w:pPr>
              <w:spacing w:before="40" w:after="40"/>
              <w:ind w:left="40" w:right="40"/>
              <w:jc w:val="left"/>
              <w:rPr>
                <w:snapToGrid w:val="0"/>
                <w:kern w:val="22"/>
                <w:sz w:val="20"/>
                <w:szCs w:val="20"/>
              </w:rPr>
            </w:pPr>
            <w:r w:rsidRPr="00E954D1">
              <w:rPr>
                <w:snapToGrid w:val="0"/>
                <w:sz w:val="20"/>
              </w:rPr>
              <w:t>Informes pertinentes a la Conferencia de las Partes que actúa como reunión de las Partes en el Protocolo</w:t>
            </w:r>
          </w:p>
          <w:p w14:paraId="049CFDBF" w14:textId="654502C3" w:rsidR="0000453D" w:rsidRPr="00E954D1" w:rsidRDefault="0000453D">
            <w:pPr>
              <w:spacing w:before="40" w:after="40"/>
              <w:ind w:left="40" w:right="40"/>
              <w:jc w:val="left"/>
              <w:rPr>
                <w:snapToGrid w:val="0"/>
                <w:kern w:val="22"/>
                <w:sz w:val="20"/>
                <w:szCs w:val="20"/>
              </w:rPr>
            </w:pPr>
          </w:p>
        </w:tc>
      </w:tr>
      <w:tr w:rsidR="007719C4" w:rsidRPr="00E954D1" w14:paraId="128FDCCC" w14:textId="77777777" w:rsidTr="6A99B802">
        <w:trPr>
          <w:cantSplit/>
          <w:jc w:val="right"/>
        </w:trPr>
        <w:tc>
          <w:tcPr>
            <w:tcW w:w="4536" w:type="dxa"/>
            <w:tcBorders>
              <w:top w:val="single" w:sz="4" w:space="0" w:color="auto"/>
              <w:left w:val="single" w:sz="4" w:space="0" w:color="auto"/>
              <w:bottom w:val="single" w:sz="4" w:space="0" w:color="auto"/>
              <w:right w:val="single" w:sz="4" w:space="0" w:color="auto"/>
            </w:tcBorders>
          </w:tcPr>
          <w:p w14:paraId="66316A64" w14:textId="77777777" w:rsidR="007719C4" w:rsidRPr="00E954D1" w:rsidRDefault="007719C4">
            <w:pPr>
              <w:spacing w:before="40" w:after="40"/>
              <w:ind w:left="40" w:right="40"/>
              <w:jc w:val="left"/>
              <w:rPr>
                <w:snapToGrid w:val="0"/>
                <w:kern w:val="22"/>
                <w:sz w:val="20"/>
                <w:szCs w:val="20"/>
              </w:rPr>
            </w:pPr>
            <w:r w:rsidRPr="00E954D1">
              <w:rPr>
                <w:snapToGrid w:val="0"/>
                <w:sz w:val="20"/>
              </w:rPr>
              <w:t>i) Progresos en relación con el artículo 23, sobre transferencia de tecnología, colaboración y cooperación.</w:t>
            </w:r>
          </w:p>
        </w:tc>
        <w:tc>
          <w:tcPr>
            <w:tcW w:w="4619" w:type="dxa"/>
            <w:tcBorders>
              <w:top w:val="single" w:sz="4" w:space="0" w:color="auto"/>
              <w:left w:val="single" w:sz="4" w:space="0" w:color="auto"/>
              <w:bottom w:val="single" w:sz="4" w:space="0" w:color="auto"/>
              <w:right w:val="single" w:sz="4" w:space="0" w:color="auto"/>
            </w:tcBorders>
          </w:tcPr>
          <w:p w14:paraId="10CB7B03" w14:textId="77777777" w:rsidR="007719C4" w:rsidRPr="00E954D1" w:rsidRDefault="08CAE885">
            <w:pPr>
              <w:pStyle w:val="Prrafodelista"/>
              <w:numPr>
                <w:ilvl w:val="0"/>
                <w:numId w:val="28"/>
              </w:numPr>
              <w:tabs>
                <w:tab w:val="left" w:pos="329"/>
              </w:tabs>
              <w:spacing w:before="40" w:after="40"/>
              <w:ind w:left="34" w:right="40" w:firstLine="0"/>
              <w:rPr>
                <w:snapToGrid w:val="0"/>
                <w:kern w:val="22"/>
                <w:sz w:val="20"/>
                <w:szCs w:val="20"/>
              </w:rPr>
            </w:pPr>
            <w:r w:rsidRPr="00E954D1">
              <w:rPr>
                <w:snapToGrid w:val="0"/>
                <w:sz w:val="20"/>
              </w:rPr>
              <w:t>Primeros informes nacionales (pregunta 57)</w:t>
            </w:r>
          </w:p>
          <w:p w14:paraId="4D7745DB" w14:textId="77777777" w:rsidR="007719C4" w:rsidRPr="00E954D1" w:rsidRDefault="08CAE885">
            <w:pPr>
              <w:pStyle w:val="Prrafodelista"/>
              <w:numPr>
                <w:ilvl w:val="0"/>
                <w:numId w:val="28"/>
              </w:numPr>
              <w:tabs>
                <w:tab w:val="left" w:pos="329"/>
              </w:tabs>
              <w:spacing w:before="40" w:after="40"/>
              <w:ind w:left="34" w:right="40" w:firstLine="0"/>
              <w:rPr>
                <w:snapToGrid w:val="0"/>
                <w:kern w:val="22"/>
                <w:sz w:val="20"/>
                <w:szCs w:val="20"/>
              </w:rPr>
            </w:pPr>
            <w:r w:rsidRPr="00E954D1">
              <w:rPr>
                <w:snapToGrid w:val="0"/>
                <w:sz w:val="20"/>
              </w:rPr>
              <w:t>Encuesta selectiva</w:t>
            </w:r>
          </w:p>
          <w:p w14:paraId="693ADF27" w14:textId="74E4CBB2" w:rsidR="0000453D" w:rsidRPr="00E954D1" w:rsidRDefault="0000453D" w:rsidP="001A3456">
            <w:pPr>
              <w:tabs>
                <w:tab w:val="left" w:pos="329"/>
              </w:tabs>
              <w:spacing w:before="40" w:after="40"/>
              <w:ind w:left="34" w:right="40"/>
              <w:rPr>
                <w:snapToGrid w:val="0"/>
                <w:kern w:val="22"/>
                <w:sz w:val="20"/>
                <w:szCs w:val="20"/>
              </w:rPr>
            </w:pPr>
          </w:p>
        </w:tc>
      </w:tr>
      <w:tr w:rsidR="007719C4" w:rsidRPr="00E954D1" w14:paraId="4ACCC72D" w14:textId="77777777" w:rsidTr="6A99B802">
        <w:trPr>
          <w:cantSplit/>
          <w:jc w:val="right"/>
        </w:trPr>
        <w:tc>
          <w:tcPr>
            <w:tcW w:w="4536" w:type="dxa"/>
            <w:tcBorders>
              <w:top w:val="single" w:sz="4" w:space="0" w:color="auto"/>
              <w:left w:val="single" w:sz="4" w:space="0" w:color="auto"/>
              <w:bottom w:val="single" w:sz="4" w:space="0" w:color="auto"/>
              <w:right w:val="single" w:sz="4" w:space="0" w:color="auto"/>
            </w:tcBorders>
          </w:tcPr>
          <w:p w14:paraId="34163ABA" w14:textId="29F021A7" w:rsidR="007719C4" w:rsidRPr="00E954D1" w:rsidRDefault="007719C4">
            <w:pPr>
              <w:spacing w:before="40" w:after="40"/>
              <w:ind w:left="40" w:right="40"/>
              <w:jc w:val="left"/>
              <w:rPr>
                <w:snapToGrid w:val="0"/>
                <w:kern w:val="22"/>
                <w:sz w:val="20"/>
                <w:szCs w:val="20"/>
              </w:rPr>
            </w:pPr>
            <w:r w:rsidRPr="00E954D1">
              <w:rPr>
                <w:snapToGrid w:val="0"/>
                <w:sz w:val="20"/>
              </w:rPr>
              <w:t>j) Revisión preliminar de los procedimientos y mecanismos de cumplimiento (</w:t>
            </w:r>
            <w:hyperlink r:id="rId27" w:history="1">
              <w:r w:rsidRPr="00E954D1">
                <w:rPr>
                  <w:snapToGrid w:val="0"/>
                  <w:sz w:val="20"/>
                </w:rPr>
                <w:t>decisión NP</w:t>
              </w:r>
              <w:r w:rsidR="00827B91" w:rsidRPr="00E954D1">
                <w:rPr>
                  <w:snapToGrid w:val="0"/>
                  <w:sz w:val="20"/>
                </w:rPr>
                <w:noBreakHyphen/>
              </w:r>
              <w:r w:rsidRPr="00E954D1">
                <w:rPr>
                  <w:snapToGrid w:val="0"/>
                  <w:sz w:val="20"/>
                </w:rPr>
                <w:t>1/4</w:t>
              </w:r>
            </w:hyperlink>
            <w:r w:rsidRPr="00E954D1">
              <w:rPr>
                <w:snapToGrid w:val="0"/>
                <w:sz w:val="20"/>
              </w:rPr>
              <w:t>anexo)</w:t>
            </w:r>
          </w:p>
        </w:tc>
        <w:tc>
          <w:tcPr>
            <w:tcW w:w="4619" w:type="dxa"/>
            <w:tcBorders>
              <w:top w:val="single" w:sz="4" w:space="0" w:color="auto"/>
              <w:left w:val="single" w:sz="4" w:space="0" w:color="auto"/>
              <w:bottom w:val="single" w:sz="4" w:space="0" w:color="auto"/>
              <w:right w:val="single" w:sz="4" w:space="0" w:color="auto"/>
            </w:tcBorders>
          </w:tcPr>
          <w:p w14:paraId="53D7C963" w14:textId="77777777" w:rsidR="007719C4" w:rsidRPr="00E954D1" w:rsidRDefault="08CAE885">
            <w:pPr>
              <w:pStyle w:val="Prrafodelista"/>
              <w:numPr>
                <w:ilvl w:val="0"/>
                <w:numId w:val="28"/>
              </w:numPr>
              <w:tabs>
                <w:tab w:val="left" w:pos="329"/>
              </w:tabs>
              <w:spacing w:before="40" w:after="40"/>
              <w:ind w:left="34" w:right="40" w:firstLine="0"/>
              <w:rPr>
                <w:snapToGrid w:val="0"/>
                <w:kern w:val="22"/>
                <w:sz w:val="20"/>
                <w:szCs w:val="20"/>
              </w:rPr>
            </w:pPr>
            <w:r w:rsidRPr="00E954D1">
              <w:rPr>
                <w:snapToGrid w:val="0"/>
                <w:sz w:val="20"/>
              </w:rPr>
              <w:t>Presentación de opiniones</w:t>
            </w:r>
          </w:p>
          <w:p w14:paraId="1855B050" w14:textId="72061A60" w:rsidR="007719C4" w:rsidRPr="00E954D1" w:rsidRDefault="08CAE885">
            <w:pPr>
              <w:pStyle w:val="Prrafodelista"/>
              <w:numPr>
                <w:ilvl w:val="0"/>
                <w:numId w:val="28"/>
              </w:numPr>
              <w:tabs>
                <w:tab w:val="left" w:pos="329"/>
              </w:tabs>
              <w:spacing w:before="40" w:after="40"/>
              <w:ind w:left="34" w:right="40" w:firstLine="0"/>
              <w:rPr>
                <w:snapToGrid w:val="0"/>
                <w:kern w:val="22"/>
                <w:sz w:val="20"/>
                <w:szCs w:val="20"/>
              </w:rPr>
            </w:pPr>
            <w:r w:rsidRPr="00E954D1">
              <w:rPr>
                <w:snapToGrid w:val="0"/>
                <w:sz w:val="20"/>
              </w:rPr>
              <w:t>Informe del Comité de Cumplimiento</w:t>
            </w:r>
          </w:p>
          <w:p w14:paraId="2A599C45" w14:textId="77777777" w:rsidR="007719C4" w:rsidRPr="00E954D1" w:rsidRDefault="007719C4">
            <w:pPr>
              <w:tabs>
                <w:tab w:val="left" w:pos="329"/>
              </w:tabs>
              <w:spacing w:before="40" w:after="40"/>
              <w:ind w:left="34" w:right="40"/>
              <w:rPr>
                <w:snapToGrid w:val="0"/>
                <w:kern w:val="22"/>
                <w:sz w:val="20"/>
                <w:szCs w:val="20"/>
              </w:rPr>
            </w:pPr>
          </w:p>
        </w:tc>
      </w:tr>
    </w:tbl>
    <w:p w14:paraId="052E11E5" w14:textId="77777777" w:rsidR="00D35FD1" w:rsidRPr="00E954D1" w:rsidRDefault="00D35FD1" w:rsidP="0035247F">
      <w:pPr>
        <w:suppressLineNumbers/>
        <w:suppressAutoHyphens/>
        <w:kinsoku w:val="0"/>
        <w:overflowPunct w:val="0"/>
        <w:autoSpaceDE w:val="0"/>
        <w:autoSpaceDN w:val="0"/>
        <w:adjustRightInd w:val="0"/>
        <w:snapToGrid w:val="0"/>
        <w:spacing w:before="120" w:after="120"/>
        <w:rPr>
          <w:rFonts w:eastAsia="Malgun Gothic"/>
          <w:kern w:val="22"/>
          <w:szCs w:val="22"/>
        </w:rPr>
      </w:pPr>
    </w:p>
    <w:p w14:paraId="37776234" w14:textId="48C1266E" w:rsidR="00D35FD1" w:rsidRPr="00E954D1" w:rsidRDefault="00D35FD1" w:rsidP="009264C9">
      <w:pPr>
        <w:jc w:val="center"/>
        <w:rPr>
          <w:kern w:val="22"/>
          <w:szCs w:val="22"/>
        </w:rPr>
      </w:pPr>
      <w:r w:rsidRPr="00E954D1">
        <w:t>__________</w:t>
      </w:r>
    </w:p>
    <w:sectPr w:rsidR="00D35FD1" w:rsidRPr="00E954D1" w:rsidSect="0080788C">
      <w:footnotePr>
        <w:numRestart w:val="eachSect"/>
      </w:footnotePr>
      <w:pgSz w:w="12240" w:h="15840"/>
      <w:pgMar w:top="1134" w:right="1440" w:bottom="1134" w:left="117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534AF3" w14:textId="77777777" w:rsidR="0080788C" w:rsidRDefault="0080788C" w:rsidP="00A96B21">
      <w:r>
        <w:separator/>
      </w:r>
    </w:p>
  </w:endnote>
  <w:endnote w:type="continuationSeparator" w:id="0">
    <w:p w14:paraId="4AFA906F" w14:textId="77777777" w:rsidR="0080788C" w:rsidRDefault="0080788C" w:rsidP="00A96B21">
      <w:r>
        <w:continuationSeparator/>
      </w:r>
    </w:p>
  </w:endnote>
  <w:endnote w:type="continuationNotice" w:id="1">
    <w:p w14:paraId="202819D6" w14:textId="77777777" w:rsidR="0080788C" w:rsidRDefault="008078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Times New Roman Bold">
    <w:altName w:val="Times New Roman"/>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EB6FBF" w14:textId="77777777" w:rsidR="0052660F" w:rsidRDefault="0052660F">
    <w:pPr>
      <w:pStyle w:val="Piedepgina"/>
    </w:pPr>
    <w:r w:rsidRPr="002B559C">
      <w:rPr>
        <w:sz w:val="20"/>
      </w:rPr>
      <w:fldChar w:fldCharType="begin"/>
    </w:r>
    <w:r w:rsidRPr="002B559C">
      <w:rPr>
        <w:sz w:val="20"/>
      </w:rPr>
      <w:instrText xml:space="preserve"> PAGE </w:instrText>
    </w:r>
    <w:r w:rsidRPr="002B559C">
      <w:rPr>
        <w:sz w:val="20"/>
      </w:rPr>
      <w:fldChar w:fldCharType="separate"/>
    </w:r>
    <w:r w:rsidRPr="002B559C">
      <w:rPr>
        <w:sz w:val="20"/>
      </w:rPr>
      <w:t>2</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Pr="002B559C">
      <w:rPr>
        <w:sz w:val="20"/>
      </w:rPr>
      <w:t>2</w:t>
    </w:r>
    <w:r w:rsidRPr="002B559C">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4511934"/>
      <w:docPartObj>
        <w:docPartGallery w:val="Page Numbers (Bottom of Page)"/>
        <w:docPartUnique/>
      </w:docPartObj>
    </w:sdtPr>
    <w:sdtContent>
      <w:sdt>
        <w:sdtPr>
          <w:id w:val="-1769616900"/>
          <w:docPartObj>
            <w:docPartGallery w:val="Page Numbers (Top of Page)"/>
            <w:docPartUnique/>
          </w:docPartObj>
        </w:sdtPr>
        <w:sdtContent>
          <w:p w14:paraId="052C3E4D" w14:textId="2023DED0" w:rsidR="0052660F" w:rsidRDefault="0052660F" w:rsidP="008C4902">
            <w:pPr>
              <w:pStyle w:val="Piedepgina"/>
              <w:jc w:val="right"/>
            </w:pPr>
            <w:r w:rsidRPr="002B559C">
              <w:rPr>
                <w:sz w:val="20"/>
              </w:rPr>
              <w:fldChar w:fldCharType="begin"/>
            </w:r>
            <w:r w:rsidRPr="002B559C">
              <w:rPr>
                <w:sz w:val="20"/>
              </w:rPr>
              <w:instrText xml:space="preserve"> PAGE </w:instrText>
            </w:r>
            <w:r w:rsidRPr="002B559C">
              <w:rPr>
                <w:sz w:val="20"/>
              </w:rPr>
              <w:fldChar w:fldCharType="separate"/>
            </w:r>
            <w:r w:rsidRPr="002B559C">
              <w:rPr>
                <w:sz w:val="20"/>
              </w:rPr>
              <w:t>2</w:t>
            </w:r>
            <w:r w:rsidRPr="002B559C">
              <w:rPr>
                <w:sz w:val="20"/>
              </w:rPr>
              <w:fldChar w:fldCharType="end"/>
            </w:r>
            <w:r>
              <w:rPr>
                <w:sz w:val="20"/>
              </w:rPr>
              <w:t>/</w:t>
            </w:r>
            <w:r w:rsidRPr="002B559C">
              <w:rPr>
                <w:sz w:val="20"/>
              </w:rPr>
              <w:fldChar w:fldCharType="begin"/>
            </w:r>
            <w:r w:rsidRPr="002B559C">
              <w:rPr>
                <w:sz w:val="20"/>
              </w:rPr>
              <w:instrText xml:space="preserve"> NUMPAGES  </w:instrText>
            </w:r>
            <w:r w:rsidRPr="002B559C">
              <w:rPr>
                <w:sz w:val="20"/>
              </w:rPr>
              <w:fldChar w:fldCharType="separate"/>
            </w:r>
            <w:r w:rsidRPr="002B559C">
              <w:rPr>
                <w:sz w:val="20"/>
              </w:rPr>
              <w:t>2</w:t>
            </w:r>
            <w:r w:rsidRPr="002B559C">
              <w:rPr>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F5D00B" w14:textId="77777777" w:rsidR="0080788C" w:rsidRDefault="0080788C" w:rsidP="00A96B21">
      <w:r>
        <w:separator/>
      </w:r>
    </w:p>
  </w:footnote>
  <w:footnote w:type="continuationSeparator" w:id="0">
    <w:p w14:paraId="1A7BA136" w14:textId="77777777" w:rsidR="0080788C" w:rsidRDefault="0080788C" w:rsidP="00A96B21">
      <w:r>
        <w:continuationSeparator/>
      </w:r>
    </w:p>
  </w:footnote>
  <w:footnote w:type="continuationNotice" w:id="1">
    <w:p w14:paraId="372D3836" w14:textId="77777777" w:rsidR="0080788C" w:rsidRDefault="0080788C"/>
  </w:footnote>
  <w:footnote w:id="2">
    <w:p w14:paraId="058FE4D7" w14:textId="573BCA3E" w:rsidR="0052660F" w:rsidRPr="00C91FB5" w:rsidRDefault="0052660F" w:rsidP="009A3ED4">
      <w:pPr>
        <w:pStyle w:val="Footnote"/>
      </w:pPr>
      <w:r>
        <w:rPr>
          <w:rStyle w:val="Refdenotaalpie"/>
        </w:rPr>
        <w:t>*</w:t>
      </w:r>
      <w:r>
        <w:t xml:space="preserve"> CBD/SBI/4/1</w:t>
      </w:r>
    </w:p>
  </w:footnote>
  <w:footnote w:id="3">
    <w:p w14:paraId="3B4460F9" w14:textId="77D65757" w:rsidR="00C91FB5" w:rsidRPr="00D17C52" w:rsidRDefault="00C91FB5">
      <w:pPr>
        <w:pStyle w:val="Textonotapie"/>
      </w:pPr>
      <w:r>
        <w:rPr>
          <w:rStyle w:val="Refdenotaalpie"/>
          <w:sz w:val="18"/>
        </w:rPr>
        <w:t>**</w:t>
      </w:r>
      <w:r>
        <w:rPr>
          <w:sz w:val="18"/>
        </w:rPr>
        <w:t xml:space="preserve"> El presente documento no ha sido obje</w:t>
      </w:r>
      <w:r w:rsidR="00827B91">
        <w:rPr>
          <w:sz w:val="18"/>
        </w:rPr>
        <w:t>to</w:t>
      </w:r>
      <w:r>
        <w:rPr>
          <w:sz w:val="18"/>
        </w:rPr>
        <w:t xml:space="preserve"> de revisión editorial oficial.</w:t>
      </w:r>
    </w:p>
  </w:footnote>
  <w:footnote w:id="4">
    <w:p w14:paraId="0C55916A" w14:textId="17850F63" w:rsidR="0052660F" w:rsidRPr="00937C02" w:rsidRDefault="0052660F">
      <w:pPr>
        <w:pStyle w:val="Textonotapie"/>
      </w:pPr>
      <w:r>
        <w:rPr>
          <w:rStyle w:val="Refdenotaalpie"/>
        </w:rPr>
        <w:footnoteRef/>
      </w:r>
      <w:r>
        <w:t xml:space="preserve"> </w:t>
      </w:r>
      <w:r>
        <w:rPr>
          <w:sz w:val="18"/>
        </w:rPr>
        <w:t xml:space="preserve">Véase el analizador de informes nacionales en el enlace siguiente: </w:t>
      </w:r>
      <w:hyperlink r:id="rId1" w:history="1">
        <w:r>
          <w:rPr>
            <w:rStyle w:val="Hipervnculo"/>
            <w:sz w:val="18"/>
          </w:rPr>
          <w:t>https://absch.cbd.int/es/reports</w:t>
        </w:r>
      </w:hyperlink>
      <w:r>
        <w:rPr>
          <w:sz w:val="18"/>
        </w:rPr>
        <w:t>.</w:t>
      </w:r>
    </w:p>
  </w:footnote>
  <w:footnote w:id="5">
    <w:p w14:paraId="358E0D5B" w14:textId="6DDDF9C8" w:rsidR="0052660F" w:rsidRPr="0035247F" w:rsidRDefault="0052660F" w:rsidP="00974707">
      <w:pPr>
        <w:pStyle w:val="Textonotapie"/>
      </w:pPr>
      <w:r>
        <w:rPr>
          <w:rStyle w:val="Refdenotaalpie"/>
        </w:rPr>
        <w:footnoteRef/>
      </w:r>
      <w:r>
        <w:t xml:space="preserve"> </w:t>
      </w:r>
      <w:hyperlink r:id="rId2" w:history="1">
        <w:r>
          <w:rPr>
            <w:rStyle w:val="Hipervnculo"/>
            <w:sz w:val="18"/>
          </w:rPr>
          <w:t>CBD/CP/CC/17/6</w:t>
        </w:r>
      </w:hyperlink>
      <w:r>
        <w:rPr>
          <w:sz w:val="18"/>
        </w:rPr>
        <w:t>, párr. 16.</w:t>
      </w:r>
    </w:p>
  </w:footnote>
  <w:footnote w:id="6">
    <w:p w14:paraId="14FD5991" w14:textId="44C8CD54" w:rsidR="0052660F" w:rsidRPr="00D17C52" w:rsidRDefault="0052660F">
      <w:pPr>
        <w:pStyle w:val="Textonotapie"/>
        <w:rPr>
          <w:sz w:val="18"/>
          <w:szCs w:val="18"/>
        </w:rPr>
      </w:pPr>
      <w:r>
        <w:rPr>
          <w:rStyle w:val="Refdenotaalpie"/>
          <w:sz w:val="18"/>
          <w:szCs w:val="18"/>
        </w:rPr>
        <w:footnoteRef/>
      </w:r>
      <w:r>
        <w:rPr>
          <w:sz w:val="18"/>
        </w:rPr>
        <w:t xml:space="preserve"> Véase el documento </w:t>
      </w:r>
      <w:hyperlink r:id="rId3" w:history="1">
        <w:r>
          <w:rPr>
            <w:rStyle w:val="Hipervnculo"/>
            <w:sz w:val="18"/>
          </w:rPr>
          <w:t>CBD/NP/CC/4/4</w:t>
        </w:r>
      </w:hyperlink>
      <w:r>
        <w:rPr>
          <w:sz w:val="18"/>
        </w:rPr>
        <w:t>.</w:t>
      </w:r>
    </w:p>
  </w:footnote>
  <w:footnote w:id="7">
    <w:p w14:paraId="4A936FDE" w14:textId="0E1E21CF" w:rsidR="0052660F" w:rsidRPr="00D17C52" w:rsidRDefault="0052660F" w:rsidP="00907626">
      <w:pPr>
        <w:pStyle w:val="Textonotapie"/>
        <w:rPr>
          <w:sz w:val="18"/>
          <w:szCs w:val="18"/>
        </w:rPr>
      </w:pPr>
      <w:r>
        <w:rPr>
          <w:rStyle w:val="Refdenotaalpie"/>
          <w:sz w:val="18"/>
          <w:szCs w:val="18"/>
        </w:rPr>
        <w:footnoteRef/>
      </w:r>
      <w:r>
        <w:rPr>
          <w:sz w:val="18"/>
        </w:rPr>
        <w:t xml:space="preserve"> Documento CBD/CP/CC/4/5, párrs. 42 a 48.</w:t>
      </w:r>
    </w:p>
  </w:footnote>
  <w:footnote w:id="8">
    <w:p w14:paraId="74D9BA2D" w14:textId="6947B382" w:rsidR="0052660F" w:rsidRPr="009F4F9E" w:rsidRDefault="0052660F">
      <w:pPr>
        <w:pStyle w:val="Textonotapie"/>
      </w:pPr>
      <w:r>
        <w:rPr>
          <w:rStyle w:val="Refdenotaalpie"/>
          <w:sz w:val="18"/>
          <w:szCs w:val="18"/>
        </w:rPr>
        <w:footnoteRef/>
      </w:r>
      <w:r>
        <w:rPr>
          <w:sz w:val="18"/>
        </w:rPr>
        <w:t xml:space="preserve"> Para obtener más información, véase a sección VI B más adelante.</w:t>
      </w:r>
    </w:p>
  </w:footnote>
  <w:footnote w:id="9">
    <w:p w14:paraId="43A82984" w14:textId="6B09C168" w:rsidR="0052660F" w:rsidRPr="009F4F9E" w:rsidRDefault="0052660F" w:rsidP="00474ED1">
      <w:pPr>
        <w:pStyle w:val="Textonotapie"/>
      </w:pPr>
      <w:r>
        <w:rPr>
          <w:rStyle w:val="Refdenotaalpie"/>
        </w:rPr>
        <w:footnoteRef/>
      </w:r>
      <w:r>
        <w:t xml:space="preserve"> </w:t>
      </w:r>
      <w:hyperlink r:id="rId4" w:history="1">
        <w:r>
          <w:rPr>
            <w:rStyle w:val="Hipervnculo"/>
            <w:color w:val="auto"/>
            <w:sz w:val="18"/>
            <w:u w:val="none"/>
          </w:rPr>
          <w:t>Decisión </w:t>
        </w:r>
        <w:r>
          <w:rPr>
            <w:rStyle w:val="Hipervnculo"/>
            <w:sz w:val="18"/>
          </w:rPr>
          <w:t>NP</w:t>
        </w:r>
        <w:r w:rsidR="00827B91">
          <w:rPr>
            <w:rStyle w:val="Hipervnculo"/>
            <w:sz w:val="18"/>
          </w:rPr>
          <w:noBreakHyphen/>
        </w:r>
        <w:r>
          <w:rPr>
            <w:rStyle w:val="Hipervnculo"/>
            <w:sz w:val="18"/>
          </w:rPr>
          <w:t>1/4</w:t>
        </w:r>
      </w:hyperlink>
      <w:r>
        <w:rPr>
          <w:rStyle w:val="Hipervnculo"/>
          <w:sz w:val="18"/>
        </w:rPr>
        <w:t>, anexo</w:t>
      </w:r>
      <w:r>
        <w:rPr>
          <w:rStyle w:val="Hipervnculo"/>
          <w:color w:val="auto"/>
          <w:sz w:val="18"/>
          <w:u w:val="none"/>
        </w:rPr>
        <w:t>.</w:t>
      </w:r>
    </w:p>
  </w:footnote>
  <w:footnote w:id="10">
    <w:p w14:paraId="528EBD12" w14:textId="6D431D09" w:rsidR="0052660F" w:rsidRPr="00B90F0C" w:rsidRDefault="0052660F" w:rsidP="00D03E41">
      <w:pPr>
        <w:pStyle w:val="Textonotapie"/>
      </w:pPr>
      <w:r>
        <w:rPr>
          <w:rStyle w:val="Refdenotaalpie"/>
        </w:rPr>
        <w:footnoteRef/>
      </w:r>
      <w:r>
        <w:t xml:space="preserve"> </w:t>
      </w:r>
      <w:r>
        <w:rPr>
          <w:snapToGrid w:val="0"/>
          <w:sz w:val="18"/>
        </w:rPr>
        <w:t>CBD/NP/CB</w:t>
      </w:r>
      <w:r w:rsidR="00827B91">
        <w:rPr>
          <w:snapToGrid w:val="0"/>
          <w:sz w:val="18"/>
        </w:rPr>
        <w:noBreakHyphen/>
      </w:r>
      <w:r>
        <w:rPr>
          <w:snapToGrid w:val="0"/>
          <w:sz w:val="18"/>
        </w:rPr>
        <w:t>IAC/2023/1/3, párr. 69.</w:t>
      </w:r>
    </w:p>
  </w:footnote>
  <w:footnote w:id="11">
    <w:p w14:paraId="4746E25F" w14:textId="24A7336A" w:rsidR="005101EE" w:rsidRPr="00D17C52" w:rsidRDefault="005101EE">
      <w:pPr>
        <w:pStyle w:val="Textonotapie"/>
      </w:pPr>
      <w:r>
        <w:rPr>
          <w:rStyle w:val="Refdenotaalpie"/>
        </w:rPr>
        <w:footnoteRef/>
      </w:r>
      <w:r>
        <w:t xml:space="preserve"> </w:t>
      </w:r>
      <w:r>
        <w:rPr>
          <w:sz w:val="18"/>
        </w:rPr>
        <w:t xml:space="preserve">Naciones Unidas, </w:t>
      </w:r>
      <w:r>
        <w:rPr>
          <w:i/>
          <w:iCs/>
          <w:sz w:val="18"/>
        </w:rPr>
        <w:t>Treaty Series</w:t>
      </w:r>
      <w:r>
        <w:rPr>
          <w:sz w:val="18"/>
        </w:rPr>
        <w:t>, vol. 3008, núm. 30619.</w:t>
      </w:r>
    </w:p>
  </w:footnote>
  <w:footnote w:id="12">
    <w:p w14:paraId="17EFC09D" w14:textId="3503AE7C" w:rsidR="00F22C1D" w:rsidRPr="00D17C52" w:rsidRDefault="00F22C1D" w:rsidP="00F22C1D">
      <w:pPr>
        <w:pStyle w:val="Textonotapie"/>
        <w:rPr>
          <w:sz w:val="18"/>
          <w:szCs w:val="18"/>
        </w:rPr>
      </w:pPr>
      <w:r>
        <w:rPr>
          <w:rStyle w:val="Refdenotaalpie"/>
          <w:sz w:val="18"/>
          <w:szCs w:val="18"/>
        </w:rPr>
        <w:footnoteRef/>
      </w:r>
      <w:r>
        <w:rPr>
          <w:sz w:val="18"/>
        </w:rPr>
        <w:t xml:space="preserve"> El Comité de Cumplimiento recomendó un texto similar a la Conferencia de las Partes que actúa como reunión de las Partes en el Protocolo de Nagoya para que lo considerara en su quinta reunión (CBD/NP/CC/4/4). Dado que la recomendación se consideraría en relación con el tema del programa relativo a la evaluación y revisión durante la quinta reunión de las Partes en el Protocolo, se la ha incluido para información del Órgano Subsidiario sobre la Aplicación.</w:t>
      </w:r>
    </w:p>
  </w:footnote>
  <w:footnote w:id="13">
    <w:p w14:paraId="63BD1542" w14:textId="69498BEF" w:rsidR="00F22C1D" w:rsidRPr="0035247F" w:rsidRDefault="00F22C1D" w:rsidP="00F22C1D">
      <w:pPr>
        <w:pStyle w:val="Textonotapie"/>
      </w:pPr>
      <w:r>
        <w:rPr>
          <w:rStyle w:val="Refdenotaalpie"/>
          <w:sz w:val="18"/>
          <w:szCs w:val="18"/>
        </w:rPr>
        <w:footnoteRef/>
      </w:r>
      <w:r>
        <w:rPr>
          <w:sz w:val="18"/>
        </w:rPr>
        <w:t xml:space="preserve"> El Comité de Cumplimiento recomendó este texto a la Conferencia de las Partes que actúa como reunión de las Partes en el Protocolo de Nagoya para que lo considerara en su quinta reunión (CBD/NP/CC/4/4). Dado que la recomendación se consideraría en relación con el tema del programa relativo a la evaluación y revisión durante la quinta reunión de las Partes en el Protocolo, se la ha incluido para información del Órgano Subsidiario sobre la Aplicación.</w:t>
      </w:r>
    </w:p>
  </w:footnote>
  <w:footnote w:id="14">
    <w:p w14:paraId="0EF88ACF" w14:textId="5FFBB194" w:rsidR="0052660F" w:rsidRPr="00D17C52" w:rsidRDefault="0052660F" w:rsidP="00D17C52">
      <w:pPr>
        <w:pStyle w:val="Para2"/>
        <w:spacing w:before="0" w:after="0"/>
        <w:rPr>
          <w:sz w:val="18"/>
          <w:szCs w:val="18"/>
        </w:rPr>
      </w:pPr>
      <w:r>
        <w:rPr>
          <w:rStyle w:val="Refdenotaalpie"/>
          <w:sz w:val="18"/>
          <w:szCs w:val="18"/>
        </w:rPr>
        <w:footnoteRef/>
      </w:r>
      <w:r>
        <w:rPr>
          <w:sz w:val="18"/>
        </w:rPr>
        <w:t xml:space="preserve"> Véase el documento CBD/SBI/4/8, en el que se propone ampliar el mandato del Comité Asesor Oficioso sobre Creación de Capacidad para la Aplicación del Protocolo de Nagoya para incluir la prestación de asesoramiento sobre cuestiones más generales relacionadas con la aplicación del Protocolo.</w:t>
      </w:r>
    </w:p>
  </w:footnote>
  <w:footnote w:id="15">
    <w:p w14:paraId="2D01E776" w14:textId="44B57060" w:rsidR="0052660F" w:rsidRPr="00A3241F" w:rsidRDefault="0052660F" w:rsidP="00827B91">
      <w:pPr>
        <w:pStyle w:val="Textonotapie"/>
        <w:jc w:val="left"/>
      </w:pPr>
      <w:r>
        <w:rPr>
          <w:rStyle w:val="Refdenotaalpie"/>
          <w:sz w:val="18"/>
          <w:szCs w:val="18"/>
        </w:rPr>
        <w:footnoteRef/>
      </w:r>
      <w:r>
        <w:rPr>
          <w:sz w:val="18"/>
        </w:rPr>
        <w:t xml:space="preserve"> </w:t>
      </w:r>
      <w:bookmarkStart w:id="9" w:name="_Hlk163825083"/>
      <w:r>
        <w:rPr>
          <w:sz w:val="18"/>
        </w:rPr>
        <w:t xml:space="preserve">El formato para el primer informe nacional está disponible en el enlace siguiente: </w:t>
      </w:r>
      <w:bookmarkEnd w:id="9"/>
      <w:r w:rsidR="002C698C">
        <w:rPr>
          <w:sz w:val="18"/>
        </w:rPr>
        <w:fldChar w:fldCharType="begin"/>
      </w:r>
      <w:r w:rsidR="002C698C">
        <w:rPr>
          <w:sz w:val="18"/>
        </w:rPr>
        <w:instrText>HYPERLINK "https://absch.cbd.int/es/kb/tags/abs/First-National-Report-on-the-Implementation-of-the-Nagoya-Protocol/66199bba4defc2994ae886d7"</w:instrText>
      </w:r>
      <w:r w:rsidR="002C698C">
        <w:rPr>
          <w:sz w:val="18"/>
        </w:rPr>
      </w:r>
      <w:r w:rsidR="002C698C">
        <w:rPr>
          <w:sz w:val="18"/>
        </w:rPr>
        <w:fldChar w:fldCharType="separate"/>
      </w:r>
      <w:r>
        <w:rPr>
          <w:rStyle w:val="Hipervnculo"/>
          <w:sz w:val="18"/>
        </w:rPr>
        <w:t>https://absch.cbd.int/es/kb/tags/abs/First</w:t>
      </w:r>
      <w:r w:rsidR="00827B91">
        <w:rPr>
          <w:rStyle w:val="Hipervnculo"/>
          <w:sz w:val="18"/>
        </w:rPr>
        <w:noBreakHyphen/>
      </w:r>
      <w:r>
        <w:rPr>
          <w:rStyle w:val="Hipervnculo"/>
          <w:sz w:val="18"/>
        </w:rPr>
        <w:t>National</w:t>
      </w:r>
      <w:r w:rsidR="00827B91">
        <w:rPr>
          <w:rStyle w:val="Hipervnculo"/>
          <w:sz w:val="18"/>
        </w:rPr>
        <w:noBreakHyphen/>
      </w:r>
      <w:r>
        <w:rPr>
          <w:rStyle w:val="Hipervnculo"/>
          <w:sz w:val="18"/>
        </w:rPr>
        <w:t>Report</w:t>
      </w:r>
      <w:r w:rsidR="00827B91">
        <w:rPr>
          <w:rStyle w:val="Hipervnculo"/>
          <w:sz w:val="18"/>
        </w:rPr>
        <w:noBreakHyphen/>
      </w:r>
      <w:r>
        <w:rPr>
          <w:rStyle w:val="Hipervnculo"/>
          <w:sz w:val="18"/>
        </w:rPr>
        <w:t>on</w:t>
      </w:r>
      <w:r w:rsidR="00827B91">
        <w:rPr>
          <w:rStyle w:val="Hipervnculo"/>
          <w:sz w:val="18"/>
        </w:rPr>
        <w:noBreakHyphen/>
      </w:r>
      <w:r>
        <w:rPr>
          <w:rStyle w:val="Hipervnculo"/>
          <w:sz w:val="18"/>
        </w:rPr>
        <w:t>the</w:t>
      </w:r>
      <w:r w:rsidR="00827B91">
        <w:rPr>
          <w:rStyle w:val="Hipervnculo"/>
          <w:sz w:val="18"/>
        </w:rPr>
        <w:noBreakHyphen/>
      </w:r>
      <w:r>
        <w:rPr>
          <w:rStyle w:val="Hipervnculo"/>
          <w:sz w:val="18"/>
        </w:rPr>
        <w:t>Implementation</w:t>
      </w:r>
      <w:r w:rsidR="00827B91">
        <w:rPr>
          <w:rStyle w:val="Hipervnculo"/>
          <w:sz w:val="18"/>
        </w:rPr>
        <w:noBreakHyphen/>
      </w:r>
      <w:r>
        <w:rPr>
          <w:rStyle w:val="Hipervnculo"/>
          <w:sz w:val="18"/>
        </w:rPr>
        <w:t>of</w:t>
      </w:r>
      <w:r w:rsidR="00827B91">
        <w:rPr>
          <w:rStyle w:val="Hipervnculo"/>
          <w:sz w:val="18"/>
        </w:rPr>
        <w:noBreakHyphen/>
      </w:r>
      <w:r>
        <w:rPr>
          <w:rStyle w:val="Hipervnculo"/>
          <w:sz w:val="18"/>
        </w:rPr>
        <w:t>the</w:t>
      </w:r>
      <w:r w:rsidR="00827B91">
        <w:rPr>
          <w:rStyle w:val="Hipervnculo"/>
          <w:sz w:val="18"/>
        </w:rPr>
        <w:noBreakHyphen/>
      </w:r>
      <w:r>
        <w:rPr>
          <w:rStyle w:val="Hipervnculo"/>
          <w:sz w:val="18"/>
        </w:rPr>
        <w:t>Nagoya</w:t>
      </w:r>
      <w:r w:rsidR="00827B91">
        <w:rPr>
          <w:rStyle w:val="Hipervnculo"/>
          <w:sz w:val="18"/>
        </w:rPr>
        <w:noBreakHyphen/>
      </w:r>
      <w:r>
        <w:rPr>
          <w:rStyle w:val="Hipervnculo"/>
          <w:sz w:val="18"/>
        </w:rPr>
        <w:t>Protocol/66199bba4defc2994ae886d7</w:t>
      </w:r>
      <w:r w:rsidR="002C698C">
        <w:rPr>
          <w:sz w:val="18"/>
        </w:rPr>
        <w:fldChar w:fldCharType="end"/>
      </w:r>
      <w:r>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6" w:name="_Hlk137802784"/>
  <w:bookmarkStart w:id="7" w:name="_Hlk137802785"/>
  <w:p w14:paraId="27E83D71" w14:textId="07EAF349" w:rsidR="0052660F" w:rsidRPr="002B559C" w:rsidRDefault="00000000" w:rsidP="002B559C">
    <w:pPr>
      <w:pStyle w:val="Encabezado"/>
      <w:pBdr>
        <w:bottom w:val="single" w:sz="4" w:space="1" w:color="auto"/>
      </w:pBdr>
      <w:spacing w:after="240"/>
      <w:rPr>
        <w:sz w:val="20"/>
        <w:szCs w:val="20"/>
      </w:rPr>
    </w:pPr>
    <w:sdt>
      <w:sdtPr>
        <w:rPr>
          <w:sz w:val="20"/>
          <w:szCs w:val="20"/>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Content>
        <w:r w:rsidR="003A7536" w:rsidRPr="003A7536">
          <w:rPr>
            <w:sz w:val="20"/>
            <w:szCs w:val="20"/>
          </w:rPr>
          <w:t>CBD/SBI/4/12</w:t>
        </w:r>
      </w:sdtContent>
    </w:sdt>
    <w:bookmarkEnd w:id="6"/>
    <w:bookmarkEnd w:id="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Content>
      <w:p w14:paraId="2C00A14C" w14:textId="05913701" w:rsidR="0052660F" w:rsidRPr="002B559C" w:rsidRDefault="003A7536" w:rsidP="002B559C">
        <w:pPr>
          <w:pStyle w:val="Encabezado"/>
          <w:pBdr>
            <w:bottom w:val="single" w:sz="4" w:space="1" w:color="auto"/>
          </w:pBdr>
          <w:spacing w:after="240"/>
          <w:jc w:val="right"/>
          <w:rPr>
            <w:sz w:val="20"/>
            <w:szCs w:val="20"/>
            <w:lang w:val="fr-FR"/>
          </w:rPr>
        </w:pPr>
        <w:r>
          <w:rPr>
            <w:sz w:val="20"/>
            <w:szCs w:val="20"/>
            <w:lang w:val="fr-FR"/>
          </w:rPr>
          <w:t>CBD/SBI/4/12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33036A"/>
    <w:multiLevelType w:val="multilevel"/>
    <w:tmpl w:val="646E34BE"/>
    <w:lvl w:ilvl="0">
      <w:start w:val="1"/>
      <w:numFmt w:val="decimal"/>
      <w:lvlText w:val="%1."/>
      <w:lvlJc w:val="left"/>
      <w:pPr>
        <w:tabs>
          <w:tab w:val="num" w:pos="360"/>
        </w:tabs>
        <w:ind w:left="0" w:firstLine="0"/>
      </w:pPr>
      <w:rPr>
        <w:rFonts w:ascii="Times New Roman" w:hAnsi="Times New Roman" w:cs="Times New Roman" w:hint="default"/>
        <w:b w:val="0"/>
        <w:i w:val="0"/>
        <w:sz w:val="22"/>
        <w:lang w:val="en-GB"/>
      </w:rPr>
    </w:lvl>
    <w:lvl w:ilvl="1">
      <w:start w:val="1"/>
      <w:numFmt w:val="lowerLetter"/>
      <w:lvlText w:val="%2)"/>
      <w:lvlJc w:val="left"/>
      <w:pPr>
        <w:ind w:left="1778" w:hanging="360"/>
      </w:p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15:restartNumberingAfterBreak="0">
    <w:nsid w:val="2D7356F5"/>
    <w:multiLevelType w:val="hybridMultilevel"/>
    <w:tmpl w:val="336ADC7E"/>
    <w:lvl w:ilvl="0" w:tplc="54BC0724">
      <w:start w:val="1"/>
      <w:numFmt w:val="lowerLetter"/>
      <w:lvlText w:val="%1)"/>
      <w:lvlJc w:val="left"/>
      <w:pPr>
        <w:ind w:left="400" w:hanging="360"/>
      </w:pPr>
      <w:rPr>
        <w:rFonts w:hint="default"/>
      </w:rPr>
    </w:lvl>
    <w:lvl w:ilvl="1" w:tplc="0C0A0019" w:tentative="1">
      <w:start w:val="1"/>
      <w:numFmt w:val="lowerLetter"/>
      <w:lvlText w:val="%2."/>
      <w:lvlJc w:val="left"/>
      <w:pPr>
        <w:ind w:left="1120" w:hanging="360"/>
      </w:pPr>
    </w:lvl>
    <w:lvl w:ilvl="2" w:tplc="0C0A001B" w:tentative="1">
      <w:start w:val="1"/>
      <w:numFmt w:val="lowerRoman"/>
      <w:lvlText w:val="%3."/>
      <w:lvlJc w:val="right"/>
      <w:pPr>
        <w:ind w:left="1840" w:hanging="180"/>
      </w:pPr>
    </w:lvl>
    <w:lvl w:ilvl="3" w:tplc="0C0A000F" w:tentative="1">
      <w:start w:val="1"/>
      <w:numFmt w:val="decimal"/>
      <w:lvlText w:val="%4."/>
      <w:lvlJc w:val="left"/>
      <w:pPr>
        <w:ind w:left="2560" w:hanging="360"/>
      </w:pPr>
    </w:lvl>
    <w:lvl w:ilvl="4" w:tplc="0C0A0019" w:tentative="1">
      <w:start w:val="1"/>
      <w:numFmt w:val="lowerLetter"/>
      <w:lvlText w:val="%5."/>
      <w:lvlJc w:val="left"/>
      <w:pPr>
        <w:ind w:left="3280" w:hanging="360"/>
      </w:pPr>
    </w:lvl>
    <w:lvl w:ilvl="5" w:tplc="0C0A001B" w:tentative="1">
      <w:start w:val="1"/>
      <w:numFmt w:val="lowerRoman"/>
      <w:lvlText w:val="%6."/>
      <w:lvlJc w:val="right"/>
      <w:pPr>
        <w:ind w:left="4000" w:hanging="180"/>
      </w:pPr>
    </w:lvl>
    <w:lvl w:ilvl="6" w:tplc="0C0A000F" w:tentative="1">
      <w:start w:val="1"/>
      <w:numFmt w:val="decimal"/>
      <w:lvlText w:val="%7."/>
      <w:lvlJc w:val="left"/>
      <w:pPr>
        <w:ind w:left="4720" w:hanging="360"/>
      </w:pPr>
    </w:lvl>
    <w:lvl w:ilvl="7" w:tplc="0C0A0019" w:tentative="1">
      <w:start w:val="1"/>
      <w:numFmt w:val="lowerLetter"/>
      <w:lvlText w:val="%8."/>
      <w:lvlJc w:val="left"/>
      <w:pPr>
        <w:ind w:left="5440" w:hanging="360"/>
      </w:pPr>
    </w:lvl>
    <w:lvl w:ilvl="8" w:tplc="0C0A001B" w:tentative="1">
      <w:start w:val="1"/>
      <w:numFmt w:val="lowerRoman"/>
      <w:lvlText w:val="%9."/>
      <w:lvlJc w:val="right"/>
      <w:pPr>
        <w:ind w:left="6160" w:hanging="180"/>
      </w:pPr>
    </w:lvl>
  </w:abstractNum>
  <w:abstractNum w:abstractNumId="2" w15:restartNumberingAfterBreak="0">
    <w:nsid w:val="33C9760F"/>
    <w:multiLevelType w:val="multilevel"/>
    <w:tmpl w:val="B2202624"/>
    <w:lvl w:ilvl="0">
      <w:start w:val="1"/>
      <w:numFmt w:val="decimal"/>
      <w:lvlText w:val="%1."/>
      <w:lvlJc w:val="left"/>
      <w:pPr>
        <w:tabs>
          <w:tab w:val="num" w:pos="360"/>
        </w:tabs>
        <w:ind w:left="0" w:firstLine="0"/>
      </w:pPr>
      <w:rPr>
        <w:rFonts w:ascii="Times New Roman" w:hAnsi="Times New Roman" w:cs="Times New Roman" w:hint="default"/>
        <w:b w:val="0"/>
        <w:i w:val="0"/>
        <w:sz w:val="22"/>
        <w:lang w:val="en-GB"/>
      </w:rPr>
    </w:lvl>
    <w:lvl w:ilvl="1">
      <w:start w:val="1"/>
      <w:numFmt w:val="lowerLetter"/>
      <w:lvlText w:val="(%2)"/>
      <w:lvlJc w:val="left"/>
      <w:pPr>
        <w:tabs>
          <w:tab w:val="num" w:pos="1570"/>
        </w:tabs>
        <w:ind w:left="490" w:firstLine="720"/>
      </w:pPr>
      <w:rPr>
        <w:rFonts w:hint="default"/>
        <w:b w:val="0"/>
        <w:bCs/>
        <w:i w:val="0"/>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15:restartNumberingAfterBreak="0">
    <w:nsid w:val="467961CE"/>
    <w:multiLevelType w:val="hybridMultilevel"/>
    <w:tmpl w:val="9126DCB4"/>
    <w:lvl w:ilvl="0" w:tplc="371C7C0E">
      <w:start w:val="1"/>
      <w:numFmt w:val="upperRoman"/>
      <w:pStyle w:val="Ttulo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E0442B4"/>
    <w:multiLevelType w:val="multilevel"/>
    <w:tmpl w:val="C89A4D56"/>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1CE00C6"/>
    <w:multiLevelType w:val="multilevel"/>
    <w:tmpl w:val="5BA2BC02"/>
    <w:lvl w:ilvl="0">
      <w:start w:val="19"/>
      <w:numFmt w:val="decimal"/>
      <w:lvlText w:val="%1."/>
      <w:lvlJc w:val="left"/>
      <w:pPr>
        <w:tabs>
          <w:tab w:val="num" w:pos="2062"/>
        </w:tabs>
        <w:ind w:left="1702" w:firstLine="0"/>
      </w:pPr>
      <w:rPr>
        <w:rFonts w:hint="default"/>
        <w:b w:val="0"/>
        <w:bCs w:val="0"/>
        <w:i w:val="0"/>
        <w:sz w:val="22"/>
      </w:rPr>
    </w:lvl>
    <w:lvl w:ilvl="1">
      <w:start w:val="1"/>
      <w:numFmt w:val="lowerLetter"/>
      <w:lvlText w:val="(%2)"/>
      <w:lvlJc w:val="left"/>
      <w:pPr>
        <w:tabs>
          <w:tab w:val="num" w:pos="1570"/>
        </w:tabs>
        <w:ind w:left="490" w:firstLine="720"/>
      </w:pPr>
      <w:rPr>
        <w:rFonts w:hint="default"/>
        <w:b w:val="0"/>
        <w:i w:val="0"/>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15:restartNumberingAfterBreak="0">
    <w:nsid w:val="558F2373"/>
    <w:multiLevelType w:val="hybridMultilevel"/>
    <w:tmpl w:val="B60EEC38"/>
    <w:lvl w:ilvl="0" w:tplc="DD548FBC">
      <w:start w:val="1"/>
      <w:numFmt w:val="lowerLetter"/>
      <w:lvlText w:val="%1)"/>
      <w:lvlJc w:val="left"/>
      <w:pPr>
        <w:ind w:left="400" w:hanging="360"/>
      </w:pPr>
      <w:rPr>
        <w:rFonts w:hint="default"/>
      </w:rPr>
    </w:lvl>
    <w:lvl w:ilvl="1" w:tplc="0C0A0019" w:tentative="1">
      <w:start w:val="1"/>
      <w:numFmt w:val="lowerLetter"/>
      <w:lvlText w:val="%2."/>
      <w:lvlJc w:val="left"/>
      <w:pPr>
        <w:ind w:left="1120" w:hanging="360"/>
      </w:pPr>
    </w:lvl>
    <w:lvl w:ilvl="2" w:tplc="0C0A001B" w:tentative="1">
      <w:start w:val="1"/>
      <w:numFmt w:val="lowerRoman"/>
      <w:lvlText w:val="%3."/>
      <w:lvlJc w:val="right"/>
      <w:pPr>
        <w:ind w:left="1840" w:hanging="180"/>
      </w:pPr>
    </w:lvl>
    <w:lvl w:ilvl="3" w:tplc="0C0A000F" w:tentative="1">
      <w:start w:val="1"/>
      <w:numFmt w:val="decimal"/>
      <w:lvlText w:val="%4."/>
      <w:lvlJc w:val="left"/>
      <w:pPr>
        <w:ind w:left="2560" w:hanging="360"/>
      </w:pPr>
    </w:lvl>
    <w:lvl w:ilvl="4" w:tplc="0C0A0019" w:tentative="1">
      <w:start w:val="1"/>
      <w:numFmt w:val="lowerLetter"/>
      <w:lvlText w:val="%5."/>
      <w:lvlJc w:val="left"/>
      <w:pPr>
        <w:ind w:left="3280" w:hanging="360"/>
      </w:pPr>
    </w:lvl>
    <w:lvl w:ilvl="5" w:tplc="0C0A001B" w:tentative="1">
      <w:start w:val="1"/>
      <w:numFmt w:val="lowerRoman"/>
      <w:lvlText w:val="%6."/>
      <w:lvlJc w:val="right"/>
      <w:pPr>
        <w:ind w:left="4000" w:hanging="180"/>
      </w:pPr>
    </w:lvl>
    <w:lvl w:ilvl="6" w:tplc="0C0A000F" w:tentative="1">
      <w:start w:val="1"/>
      <w:numFmt w:val="decimal"/>
      <w:lvlText w:val="%7."/>
      <w:lvlJc w:val="left"/>
      <w:pPr>
        <w:ind w:left="4720" w:hanging="360"/>
      </w:pPr>
    </w:lvl>
    <w:lvl w:ilvl="7" w:tplc="0C0A0019" w:tentative="1">
      <w:start w:val="1"/>
      <w:numFmt w:val="lowerLetter"/>
      <w:lvlText w:val="%8."/>
      <w:lvlJc w:val="left"/>
      <w:pPr>
        <w:ind w:left="5440" w:hanging="360"/>
      </w:pPr>
    </w:lvl>
    <w:lvl w:ilvl="8" w:tplc="0C0A001B" w:tentative="1">
      <w:start w:val="1"/>
      <w:numFmt w:val="lowerRoman"/>
      <w:lvlText w:val="%9."/>
      <w:lvlJc w:val="right"/>
      <w:pPr>
        <w:ind w:left="6160" w:hanging="180"/>
      </w:pPr>
    </w:lvl>
  </w:abstractNum>
  <w:abstractNum w:abstractNumId="7" w15:restartNumberingAfterBreak="0">
    <w:nsid w:val="599F7710"/>
    <w:multiLevelType w:val="hybridMultilevel"/>
    <w:tmpl w:val="1D280138"/>
    <w:lvl w:ilvl="0" w:tplc="3DF4418A">
      <w:start w:val="1"/>
      <w:numFmt w:val="decimal"/>
      <w:pStyle w:val="Ttulo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A8F75E3"/>
    <w:multiLevelType w:val="multilevel"/>
    <w:tmpl w:val="5BA2BC02"/>
    <w:lvl w:ilvl="0">
      <w:start w:val="19"/>
      <w:numFmt w:val="decimal"/>
      <w:lvlText w:val="%1."/>
      <w:lvlJc w:val="left"/>
      <w:pPr>
        <w:tabs>
          <w:tab w:val="num" w:pos="2062"/>
        </w:tabs>
        <w:ind w:left="1702" w:firstLine="0"/>
      </w:pPr>
      <w:rPr>
        <w:rFonts w:hint="default"/>
        <w:b w:val="0"/>
        <w:bCs w:val="0"/>
        <w:i w:val="0"/>
        <w:sz w:val="22"/>
      </w:rPr>
    </w:lvl>
    <w:lvl w:ilvl="1">
      <w:start w:val="1"/>
      <w:numFmt w:val="lowerLetter"/>
      <w:lvlText w:val="(%2)"/>
      <w:lvlJc w:val="left"/>
      <w:pPr>
        <w:tabs>
          <w:tab w:val="num" w:pos="1570"/>
        </w:tabs>
        <w:ind w:left="490" w:firstLine="720"/>
      </w:pPr>
      <w:rPr>
        <w:rFonts w:hint="default"/>
        <w:b w:val="0"/>
        <w:i w:val="0"/>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15:restartNumberingAfterBreak="0">
    <w:nsid w:val="5E180578"/>
    <w:multiLevelType w:val="hybridMultilevel"/>
    <w:tmpl w:val="251AB796"/>
    <w:lvl w:ilvl="0" w:tplc="8862B882">
      <w:start w:val="1"/>
      <w:numFmt w:val="lowerLetter"/>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10" w15:restartNumberingAfterBreak="0">
    <w:nsid w:val="62035FA0"/>
    <w:multiLevelType w:val="multilevel"/>
    <w:tmpl w:val="B2202624"/>
    <w:lvl w:ilvl="0">
      <w:start w:val="1"/>
      <w:numFmt w:val="decimal"/>
      <w:lvlText w:val="%1."/>
      <w:lvlJc w:val="left"/>
      <w:pPr>
        <w:tabs>
          <w:tab w:val="num" w:pos="360"/>
        </w:tabs>
        <w:ind w:left="0" w:firstLine="0"/>
      </w:pPr>
      <w:rPr>
        <w:rFonts w:ascii="Times New Roman" w:hAnsi="Times New Roman" w:cs="Times New Roman" w:hint="default"/>
        <w:b w:val="0"/>
        <w:i w:val="0"/>
        <w:sz w:val="22"/>
        <w:lang w:val="en-GB"/>
      </w:rPr>
    </w:lvl>
    <w:lvl w:ilvl="1">
      <w:start w:val="1"/>
      <w:numFmt w:val="lowerLetter"/>
      <w:lvlText w:val="(%2)"/>
      <w:lvlJc w:val="left"/>
      <w:pPr>
        <w:tabs>
          <w:tab w:val="num" w:pos="1570"/>
        </w:tabs>
        <w:ind w:left="490" w:firstLine="720"/>
      </w:pPr>
      <w:rPr>
        <w:rFonts w:hint="default"/>
        <w:b w:val="0"/>
        <w:bCs/>
        <w:i w:val="0"/>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68B70991"/>
    <w:multiLevelType w:val="hybridMultilevel"/>
    <w:tmpl w:val="B0B46B4E"/>
    <w:lvl w:ilvl="0" w:tplc="25A23CC4">
      <w:start w:val="1"/>
      <w:numFmt w:val="decimal"/>
      <w:lvlText w:val="%1."/>
      <w:lvlJc w:val="left"/>
      <w:pPr>
        <w:ind w:left="990"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2" w15:restartNumberingAfterBreak="0">
    <w:nsid w:val="6EE23244"/>
    <w:multiLevelType w:val="multilevel"/>
    <w:tmpl w:val="B2202624"/>
    <w:lvl w:ilvl="0">
      <w:start w:val="1"/>
      <w:numFmt w:val="decimal"/>
      <w:lvlText w:val="%1."/>
      <w:lvlJc w:val="left"/>
      <w:pPr>
        <w:tabs>
          <w:tab w:val="num" w:pos="360"/>
        </w:tabs>
        <w:ind w:left="0" w:firstLine="0"/>
      </w:pPr>
      <w:rPr>
        <w:rFonts w:ascii="Times New Roman" w:hAnsi="Times New Roman" w:cs="Times New Roman" w:hint="default"/>
        <w:b w:val="0"/>
        <w:i w:val="0"/>
        <w:sz w:val="22"/>
        <w:lang w:val="en-GB"/>
      </w:rPr>
    </w:lvl>
    <w:lvl w:ilvl="1">
      <w:start w:val="1"/>
      <w:numFmt w:val="lowerLetter"/>
      <w:lvlText w:val="(%2)"/>
      <w:lvlJc w:val="left"/>
      <w:pPr>
        <w:tabs>
          <w:tab w:val="num" w:pos="1570"/>
        </w:tabs>
        <w:ind w:left="490" w:firstLine="720"/>
      </w:pPr>
      <w:rPr>
        <w:rFonts w:hint="default"/>
        <w:b w:val="0"/>
        <w:bCs/>
        <w:i w:val="0"/>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15:restartNumberingAfterBreak="0">
    <w:nsid w:val="747B602E"/>
    <w:multiLevelType w:val="hybridMultilevel"/>
    <w:tmpl w:val="1C3EB810"/>
    <w:lvl w:ilvl="0" w:tplc="F030F4AC">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4" w15:restartNumberingAfterBreak="0">
    <w:nsid w:val="7BFF494A"/>
    <w:multiLevelType w:val="hybridMultilevel"/>
    <w:tmpl w:val="B8C27F8A"/>
    <w:lvl w:ilvl="0" w:tplc="48DEED9E">
      <w:start w:val="1"/>
      <w:numFmt w:val="lowerRoman"/>
      <w:pStyle w:val="Para30"/>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66229674">
    <w:abstractNumId w:val="3"/>
  </w:num>
  <w:num w:numId="2" w16cid:durableId="1651598131">
    <w:abstractNumId w:val="11"/>
  </w:num>
  <w:num w:numId="3" w16cid:durableId="1509102717">
    <w:abstractNumId w:val="7"/>
  </w:num>
  <w:num w:numId="4" w16cid:durableId="1080711217">
    <w:abstractNumId w:val="9"/>
  </w:num>
  <w:num w:numId="5" w16cid:durableId="682900225">
    <w:abstractNumId w:val="14"/>
  </w:num>
  <w:num w:numId="6" w16cid:durableId="242447204">
    <w:abstractNumId w:val="12"/>
  </w:num>
  <w:num w:numId="7" w16cid:durableId="1795441136">
    <w:abstractNumId w:val="4"/>
  </w:num>
  <w:num w:numId="8" w16cid:durableId="49623718">
    <w:abstractNumId w:val="8"/>
  </w:num>
  <w:num w:numId="9" w16cid:durableId="1770856004">
    <w:abstractNumId w:val="0"/>
  </w:num>
  <w:num w:numId="10" w16cid:durableId="1285043349">
    <w:abstractNumId w:val="5"/>
  </w:num>
  <w:num w:numId="11" w16cid:durableId="822353169">
    <w:abstractNumId w:val="4"/>
  </w:num>
  <w:num w:numId="12" w16cid:durableId="1964186447">
    <w:abstractNumId w:val="10"/>
  </w:num>
  <w:num w:numId="13" w16cid:durableId="815414731">
    <w:abstractNumId w:val="4"/>
  </w:num>
  <w:num w:numId="14" w16cid:durableId="830677678">
    <w:abstractNumId w:val="11"/>
  </w:num>
  <w:num w:numId="15" w16cid:durableId="1446852320">
    <w:abstractNumId w:val="11"/>
  </w:num>
  <w:num w:numId="16" w16cid:durableId="1833568044">
    <w:abstractNumId w:val="11"/>
  </w:num>
  <w:num w:numId="17" w16cid:durableId="735863318">
    <w:abstractNumId w:val="11"/>
  </w:num>
  <w:num w:numId="18" w16cid:durableId="1133718391">
    <w:abstractNumId w:val="11"/>
  </w:num>
  <w:num w:numId="19" w16cid:durableId="424688929">
    <w:abstractNumId w:val="11"/>
  </w:num>
  <w:num w:numId="20" w16cid:durableId="143131118">
    <w:abstractNumId w:val="11"/>
  </w:num>
  <w:num w:numId="21" w16cid:durableId="678970174">
    <w:abstractNumId w:val="11"/>
  </w:num>
  <w:num w:numId="22" w16cid:durableId="1513296930">
    <w:abstractNumId w:val="11"/>
  </w:num>
  <w:num w:numId="23" w16cid:durableId="713390057">
    <w:abstractNumId w:val="11"/>
  </w:num>
  <w:num w:numId="24" w16cid:durableId="1191526279">
    <w:abstractNumId w:val="11"/>
  </w:num>
  <w:num w:numId="25" w16cid:durableId="1058238851">
    <w:abstractNumId w:val="11"/>
  </w:num>
  <w:num w:numId="26" w16cid:durableId="102964482">
    <w:abstractNumId w:val="11"/>
  </w:num>
  <w:num w:numId="27" w16cid:durableId="1776972850">
    <w:abstractNumId w:val="11"/>
  </w:num>
  <w:num w:numId="28" w16cid:durableId="759183335">
    <w:abstractNumId w:val="13"/>
  </w:num>
  <w:num w:numId="29" w16cid:durableId="390202506">
    <w:abstractNumId w:val="11"/>
  </w:num>
  <w:num w:numId="30" w16cid:durableId="1981687463">
    <w:abstractNumId w:val="11"/>
  </w:num>
  <w:num w:numId="31" w16cid:durableId="1744640990">
    <w:abstractNumId w:val="11"/>
  </w:num>
  <w:num w:numId="32" w16cid:durableId="1725565504">
    <w:abstractNumId w:val="3"/>
    <w:lvlOverride w:ilvl="0">
      <w:startOverride w:val="1"/>
    </w:lvlOverride>
  </w:num>
  <w:num w:numId="33" w16cid:durableId="175964717">
    <w:abstractNumId w:val="11"/>
  </w:num>
  <w:num w:numId="34" w16cid:durableId="707491026">
    <w:abstractNumId w:val="11"/>
  </w:num>
  <w:num w:numId="35" w16cid:durableId="1040940632">
    <w:abstractNumId w:val="3"/>
  </w:num>
  <w:num w:numId="36" w16cid:durableId="871186511">
    <w:abstractNumId w:val="3"/>
  </w:num>
  <w:num w:numId="37" w16cid:durableId="653606581">
    <w:abstractNumId w:val="2"/>
  </w:num>
  <w:num w:numId="38" w16cid:durableId="1597326945">
    <w:abstractNumId w:val="4"/>
  </w:num>
  <w:num w:numId="39" w16cid:durableId="1097678964">
    <w:abstractNumId w:val="6"/>
  </w:num>
  <w:num w:numId="40" w16cid:durableId="38549299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5"/>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223"/>
    <w:rsid w:val="000001EB"/>
    <w:rsid w:val="00000733"/>
    <w:rsid w:val="000010A1"/>
    <w:rsid w:val="00001334"/>
    <w:rsid w:val="0000152E"/>
    <w:rsid w:val="00001DA1"/>
    <w:rsid w:val="00002712"/>
    <w:rsid w:val="000030A6"/>
    <w:rsid w:val="000039B6"/>
    <w:rsid w:val="00003B23"/>
    <w:rsid w:val="0000453D"/>
    <w:rsid w:val="00005C4D"/>
    <w:rsid w:val="000060FA"/>
    <w:rsid w:val="00006532"/>
    <w:rsid w:val="0000719E"/>
    <w:rsid w:val="00007700"/>
    <w:rsid w:val="00007B49"/>
    <w:rsid w:val="00010285"/>
    <w:rsid w:val="0001079C"/>
    <w:rsid w:val="00011613"/>
    <w:rsid w:val="000116F5"/>
    <w:rsid w:val="00011A56"/>
    <w:rsid w:val="0001229A"/>
    <w:rsid w:val="00012C03"/>
    <w:rsid w:val="00012F51"/>
    <w:rsid w:val="000139B4"/>
    <w:rsid w:val="00013CA4"/>
    <w:rsid w:val="0001432A"/>
    <w:rsid w:val="000144AA"/>
    <w:rsid w:val="00014572"/>
    <w:rsid w:val="00014D2E"/>
    <w:rsid w:val="000156F5"/>
    <w:rsid w:val="00015B4D"/>
    <w:rsid w:val="000167A6"/>
    <w:rsid w:val="00016D0C"/>
    <w:rsid w:val="000170BE"/>
    <w:rsid w:val="00020D5D"/>
    <w:rsid w:val="00020E19"/>
    <w:rsid w:val="00021475"/>
    <w:rsid w:val="00022473"/>
    <w:rsid w:val="0002249D"/>
    <w:rsid w:val="000227A4"/>
    <w:rsid w:val="00022C33"/>
    <w:rsid w:val="00023FE6"/>
    <w:rsid w:val="000241AE"/>
    <w:rsid w:val="000251ED"/>
    <w:rsid w:val="000253A1"/>
    <w:rsid w:val="00025615"/>
    <w:rsid w:val="00025838"/>
    <w:rsid w:val="00025C0B"/>
    <w:rsid w:val="0002750D"/>
    <w:rsid w:val="000301F4"/>
    <w:rsid w:val="00030402"/>
    <w:rsid w:val="00030464"/>
    <w:rsid w:val="00030B8F"/>
    <w:rsid w:val="0003101F"/>
    <w:rsid w:val="0003126C"/>
    <w:rsid w:val="0003145C"/>
    <w:rsid w:val="00032BD9"/>
    <w:rsid w:val="00032CD3"/>
    <w:rsid w:val="000330BD"/>
    <w:rsid w:val="0003362C"/>
    <w:rsid w:val="00034908"/>
    <w:rsid w:val="00034C96"/>
    <w:rsid w:val="00034D84"/>
    <w:rsid w:val="00034ED1"/>
    <w:rsid w:val="0003547A"/>
    <w:rsid w:val="00035977"/>
    <w:rsid w:val="00035B6D"/>
    <w:rsid w:val="0003754A"/>
    <w:rsid w:val="0004020B"/>
    <w:rsid w:val="00040598"/>
    <w:rsid w:val="00040656"/>
    <w:rsid w:val="00041421"/>
    <w:rsid w:val="00041789"/>
    <w:rsid w:val="00041BDB"/>
    <w:rsid w:val="0004225E"/>
    <w:rsid w:val="000423AD"/>
    <w:rsid w:val="000423C5"/>
    <w:rsid w:val="00042822"/>
    <w:rsid w:val="00043067"/>
    <w:rsid w:val="000432D2"/>
    <w:rsid w:val="0004366F"/>
    <w:rsid w:val="000436CE"/>
    <w:rsid w:val="00043708"/>
    <w:rsid w:val="00043D14"/>
    <w:rsid w:val="00043EC5"/>
    <w:rsid w:val="00045734"/>
    <w:rsid w:val="000461AE"/>
    <w:rsid w:val="0004636E"/>
    <w:rsid w:val="000469AF"/>
    <w:rsid w:val="00046D46"/>
    <w:rsid w:val="000472B7"/>
    <w:rsid w:val="0004767C"/>
    <w:rsid w:val="00050514"/>
    <w:rsid w:val="00050803"/>
    <w:rsid w:val="000511A0"/>
    <w:rsid w:val="00051A73"/>
    <w:rsid w:val="00052F29"/>
    <w:rsid w:val="000535DE"/>
    <w:rsid w:val="0005391B"/>
    <w:rsid w:val="00055819"/>
    <w:rsid w:val="0005592D"/>
    <w:rsid w:val="000559C0"/>
    <w:rsid w:val="00055AE6"/>
    <w:rsid w:val="00055C26"/>
    <w:rsid w:val="00056A13"/>
    <w:rsid w:val="0005707A"/>
    <w:rsid w:val="00057382"/>
    <w:rsid w:val="0006086F"/>
    <w:rsid w:val="00060F2F"/>
    <w:rsid w:val="00061A70"/>
    <w:rsid w:val="00061DB9"/>
    <w:rsid w:val="00061EA7"/>
    <w:rsid w:val="00061FC0"/>
    <w:rsid w:val="000622A8"/>
    <w:rsid w:val="000629FA"/>
    <w:rsid w:val="00062F8E"/>
    <w:rsid w:val="00063828"/>
    <w:rsid w:val="00063CB1"/>
    <w:rsid w:val="00064081"/>
    <w:rsid w:val="000642D6"/>
    <w:rsid w:val="000645BE"/>
    <w:rsid w:val="00064FAF"/>
    <w:rsid w:val="00065E05"/>
    <w:rsid w:val="00065FCB"/>
    <w:rsid w:val="00066048"/>
    <w:rsid w:val="000661DD"/>
    <w:rsid w:val="0006624C"/>
    <w:rsid w:val="000664E0"/>
    <w:rsid w:val="000666B7"/>
    <w:rsid w:val="00066B09"/>
    <w:rsid w:val="00067796"/>
    <w:rsid w:val="000679BA"/>
    <w:rsid w:val="00067E8F"/>
    <w:rsid w:val="00070215"/>
    <w:rsid w:val="00070434"/>
    <w:rsid w:val="00070B0C"/>
    <w:rsid w:val="0007175D"/>
    <w:rsid w:val="00071DCB"/>
    <w:rsid w:val="00071EBF"/>
    <w:rsid w:val="000720FA"/>
    <w:rsid w:val="00072790"/>
    <w:rsid w:val="0007281A"/>
    <w:rsid w:val="00072CFC"/>
    <w:rsid w:val="000732F9"/>
    <w:rsid w:val="00073550"/>
    <w:rsid w:val="00073680"/>
    <w:rsid w:val="00073D56"/>
    <w:rsid w:val="0007448A"/>
    <w:rsid w:val="000744FC"/>
    <w:rsid w:val="000746FD"/>
    <w:rsid w:val="00074A74"/>
    <w:rsid w:val="00074BA4"/>
    <w:rsid w:val="0007570D"/>
    <w:rsid w:val="00075804"/>
    <w:rsid w:val="000763D2"/>
    <w:rsid w:val="00076EC9"/>
    <w:rsid w:val="0007764E"/>
    <w:rsid w:val="0007796D"/>
    <w:rsid w:val="000808E0"/>
    <w:rsid w:val="00081AE1"/>
    <w:rsid w:val="0008203C"/>
    <w:rsid w:val="0008220A"/>
    <w:rsid w:val="00082A66"/>
    <w:rsid w:val="0008329A"/>
    <w:rsid w:val="00083C1F"/>
    <w:rsid w:val="00084301"/>
    <w:rsid w:val="000851B7"/>
    <w:rsid w:val="000852AB"/>
    <w:rsid w:val="0008537B"/>
    <w:rsid w:val="000856E5"/>
    <w:rsid w:val="0008592F"/>
    <w:rsid w:val="00085BED"/>
    <w:rsid w:val="00085D94"/>
    <w:rsid w:val="00086066"/>
    <w:rsid w:val="000868D1"/>
    <w:rsid w:val="00086EFC"/>
    <w:rsid w:val="00087049"/>
    <w:rsid w:val="0008781D"/>
    <w:rsid w:val="0009003B"/>
    <w:rsid w:val="00091206"/>
    <w:rsid w:val="0009186C"/>
    <w:rsid w:val="00092BE2"/>
    <w:rsid w:val="00092CB8"/>
    <w:rsid w:val="0009382B"/>
    <w:rsid w:val="00093D0F"/>
    <w:rsid w:val="00093D39"/>
    <w:rsid w:val="0009412F"/>
    <w:rsid w:val="00094773"/>
    <w:rsid w:val="00094E43"/>
    <w:rsid w:val="00095300"/>
    <w:rsid w:val="00095613"/>
    <w:rsid w:val="000961DC"/>
    <w:rsid w:val="000962AA"/>
    <w:rsid w:val="00096992"/>
    <w:rsid w:val="0009722F"/>
    <w:rsid w:val="0009762D"/>
    <w:rsid w:val="0009785F"/>
    <w:rsid w:val="0009794B"/>
    <w:rsid w:val="000A00E8"/>
    <w:rsid w:val="000A120E"/>
    <w:rsid w:val="000A152A"/>
    <w:rsid w:val="000A196A"/>
    <w:rsid w:val="000A1A0A"/>
    <w:rsid w:val="000A1E18"/>
    <w:rsid w:val="000A1F22"/>
    <w:rsid w:val="000A1F93"/>
    <w:rsid w:val="000A215E"/>
    <w:rsid w:val="000A21CB"/>
    <w:rsid w:val="000A2592"/>
    <w:rsid w:val="000A25B2"/>
    <w:rsid w:val="000A2DB9"/>
    <w:rsid w:val="000A2E8C"/>
    <w:rsid w:val="000A3589"/>
    <w:rsid w:val="000A377E"/>
    <w:rsid w:val="000A3A10"/>
    <w:rsid w:val="000A4075"/>
    <w:rsid w:val="000A4883"/>
    <w:rsid w:val="000A5139"/>
    <w:rsid w:val="000A51A0"/>
    <w:rsid w:val="000A5FFD"/>
    <w:rsid w:val="000A645F"/>
    <w:rsid w:val="000A782E"/>
    <w:rsid w:val="000B0A4F"/>
    <w:rsid w:val="000B0F47"/>
    <w:rsid w:val="000B135B"/>
    <w:rsid w:val="000B1946"/>
    <w:rsid w:val="000B23DC"/>
    <w:rsid w:val="000B2882"/>
    <w:rsid w:val="000B29B6"/>
    <w:rsid w:val="000B2B69"/>
    <w:rsid w:val="000B2C0A"/>
    <w:rsid w:val="000B2E36"/>
    <w:rsid w:val="000B42AC"/>
    <w:rsid w:val="000B47D5"/>
    <w:rsid w:val="000B578F"/>
    <w:rsid w:val="000B5B59"/>
    <w:rsid w:val="000B5E38"/>
    <w:rsid w:val="000B6182"/>
    <w:rsid w:val="000B7C6D"/>
    <w:rsid w:val="000C017D"/>
    <w:rsid w:val="000C01C5"/>
    <w:rsid w:val="000C0E07"/>
    <w:rsid w:val="000C1119"/>
    <w:rsid w:val="000C1C86"/>
    <w:rsid w:val="000C2CE8"/>
    <w:rsid w:val="000C366E"/>
    <w:rsid w:val="000C3D63"/>
    <w:rsid w:val="000C455B"/>
    <w:rsid w:val="000C49AD"/>
    <w:rsid w:val="000C56A1"/>
    <w:rsid w:val="000C58A0"/>
    <w:rsid w:val="000C5B51"/>
    <w:rsid w:val="000C5D7F"/>
    <w:rsid w:val="000C5F42"/>
    <w:rsid w:val="000C619E"/>
    <w:rsid w:val="000C6291"/>
    <w:rsid w:val="000C6468"/>
    <w:rsid w:val="000C6584"/>
    <w:rsid w:val="000C729E"/>
    <w:rsid w:val="000C73D5"/>
    <w:rsid w:val="000C79DB"/>
    <w:rsid w:val="000C7D6B"/>
    <w:rsid w:val="000D02AF"/>
    <w:rsid w:val="000D03F6"/>
    <w:rsid w:val="000D1008"/>
    <w:rsid w:val="000D1898"/>
    <w:rsid w:val="000D1AB1"/>
    <w:rsid w:val="000D31BA"/>
    <w:rsid w:val="000D449D"/>
    <w:rsid w:val="000D6803"/>
    <w:rsid w:val="000D75EF"/>
    <w:rsid w:val="000D7E07"/>
    <w:rsid w:val="000D7E68"/>
    <w:rsid w:val="000E0848"/>
    <w:rsid w:val="000E0AC2"/>
    <w:rsid w:val="000E0C4E"/>
    <w:rsid w:val="000E1448"/>
    <w:rsid w:val="000E1D42"/>
    <w:rsid w:val="000E2E07"/>
    <w:rsid w:val="000E2FEB"/>
    <w:rsid w:val="000E37EA"/>
    <w:rsid w:val="000E387C"/>
    <w:rsid w:val="000E3D8D"/>
    <w:rsid w:val="000E42B8"/>
    <w:rsid w:val="000E4D03"/>
    <w:rsid w:val="000E4FCD"/>
    <w:rsid w:val="000E5109"/>
    <w:rsid w:val="000E5F1F"/>
    <w:rsid w:val="000E5F84"/>
    <w:rsid w:val="000E67F1"/>
    <w:rsid w:val="000E6F98"/>
    <w:rsid w:val="000E720D"/>
    <w:rsid w:val="000E7577"/>
    <w:rsid w:val="000E78A7"/>
    <w:rsid w:val="000E7C96"/>
    <w:rsid w:val="000E7EB2"/>
    <w:rsid w:val="000F0B5F"/>
    <w:rsid w:val="000F0F94"/>
    <w:rsid w:val="000F156A"/>
    <w:rsid w:val="000F1920"/>
    <w:rsid w:val="000F1E68"/>
    <w:rsid w:val="000F22F9"/>
    <w:rsid w:val="000F26C3"/>
    <w:rsid w:val="000F290F"/>
    <w:rsid w:val="000F2D47"/>
    <w:rsid w:val="000F35FC"/>
    <w:rsid w:val="000F3DD6"/>
    <w:rsid w:val="000F46A6"/>
    <w:rsid w:val="000F47B1"/>
    <w:rsid w:val="000F48C0"/>
    <w:rsid w:val="000F4BF0"/>
    <w:rsid w:val="000F4F2C"/>
    <w:rsid w:val="000F518B"/>
    <w:rsid w:val="000F5D14"/>
    <w:rsid w:val="000F5E16"/>
    <w:rsid w:val="000F6C8D"/>
    <w:rsid w:val="000F6E1B"/>
    <w:rsid w:val="000F773C"/>
    <w:rsid w:val="000F7A8C"/>
    <w:rsid w:val="000F7E3C"/>
    <w:rsid w:val="001000A6"/>
    <w:rsid w:val="00100B15"/>
    <w:rsid w:val="00101503"/>
    <w:rsid w:val="00101AD8"/>
    <w:rsid w:val="00101E4F"/>
    <w:rsid w:val="00101F5B"/>
    <w:rsid w:val="0010204C"/>
    <w:rsid w:val="001031CC"/>
    <w:rsid w:val="0010339C"/>
    <w:rsid w:val="00103CF1"/>
    <w:rsid w:val="00103D9E"/>
    <w:rsid w:val="00103DBD"/>
    <w:rsid w:val="00104FC4"/>
    <w:rsid w:val="0010500C"/>
    <w:rsid w:val="00105936"/>
    <w:rsid w:val="00105A92"/>
    <w:rsid w:val="001060A9"/>
    <w:rsid w:val="00106376"/>
    <w:rsid w:val="001063D7"/>
    <w:rsid w:val="00106498"/>
    <w:rsid w:val="001067AC"/>
    <w:rsid w:val="00107875"/>
    <w:rsid w:val="0010792C"/>
    <w:rsid w:val="00107BF4"/>
    <w:rsid w:val="0011081B"/>
    <w:rsid w:val="00111305"/>
    <w:rsid w:val="00111A3A"/>
    <w:rsid w:val="00112958"/>
    <w:rsid w:val="00112A01"/>
    <w:rsid w:val="00112AED"/>
    <w:rsid w:val="00112F11"/>
    <w:rsid w:val="001131DB"/>
    <w:rsid w:val="001131F9"/>
    <w:rsid w:val="0011370E"/>
    <w:rsid w:val="00114818"/>
    <w:rsid w:val="0011524A"/>
    <w:rsid w:val="00115321"/>
    <w:rsid w:val="00115669"/>
    <w:rsid w:val="00115858"/>
    <w:rsid w:val="00115882"/>
    <w:rsid w:val="00115EFA"/>
    <w:rsid w:val="00115F81"/>
    <w:rsid w:val="001164EF"/>
    <w:rsid w:val="0011684F"/>
    <w:rsid w:val="0011688F"/>
    <w:rsid w:val="0011690C"/>
    <w:rsid w:val="001175B5"/>
    <w:rsid w:val="00117D6B"/>
    <w:rsid w:val="00117F96"/>
    <w:rsid w:val="001204E4"/>
    <w:rsid w:val="00120580"/>
    <w:rsid w:val="00120938"/>
    <w:rsid w:val="0012105F"/>
    <w:rsid w:val="00121168"/>
    <w:rsid w:val="001215C4"/>
    <w:rsid w:val="001217A1"/>
    <w:rsid w:val="001221D7"/>
    <w:rsid w:val="00122260"/>
    <w:rsid w:val="0012261E"/>
    <w:rsid w:val="00122A7C"/>
    <w:rsid w:val="00122CF4"/>
    <w:rsid w:val="00122D90"/>
    <w:rsid w:val="00122E7F"/>
    <w:rsid w:val="0012312C"/>
    <w:rsid w:val="001244CB"/>
    <w:rsid w:val="00124E13"/>
    <w:rsid w:val="001253DC"/>
    <w:rsid w:val="001254DB"/>
    <w:rsid w:val="001262FB"/>
    <w:rsid w:val="00126750"/>
    <w:rsid w:val="00126B95"/>
    <w:rsid w:val="00126C63"/>
    <w:rsid w:val="00126D24"/>
    <w:rsid w:val="00127853"/>
    <w:rsid w:val="00127878"/>
    <w:rsid w:val="00127B5B"/>
    <w:rsid w:val="00127DBD"/>
    <w:rsid w:val="0013019B"/>
    <w:rsid w:val="0013041F"/>
    <w:rsid w:val="001305E1"/>
    <w:rsid w:val="00131209"/>
    <w:rsid w:val="00131539"/>
    <w:rsid w:val="001317AB"/>
    <w:rsid w:val="00131E91"/>
    <w:rsid w:val="00132581"/>
    <w:rsid w:val="00132A6E"/>
    <w:rsid w:val="00132DC7"/>
    <w:rsid w:val="00132FCD"/>
    <w:rsid w:val="001331BB"/>
    <w:rsid w:val="00133609"/>
    <w:rsid w:val="00133A46"/>
    <w:rsid w:val="00133BC1"/>
    <w:rsid w:val="00133EED"/>
    <w:rsid w:val="00134B4F"/>
    <w:rsid w:val="00134F12"/>
    <w:rsid w:val="00135755"/>
    <w:rsid w:val="001357A5"/>
    <w:rsid w:val="00135B1C"/>
    <w:rsid w:val="00135DEC"/>
    <w:rsid w:val="00136566"/>
    <w:rsid w:val="0013733A"/>
    <w:rsid w:val="00137C70"/>
    <w:rsid w:val="00141416"/>
    <w:rsid w:val="00141457"/>
    <w:rsid w:val="00141880"/>
    <w:rsid w:val="00141EBE"/>
    <w:rsid w:val="001424D5"/>
    <w:rsid w:val="00142D2D"/>
    <w:rsid w:val="00142E22"/>
    <w:rsid w:val="00143F15"/>
    <w:rsid w:val="00144685"/>
    <w:rsid w:val="00144D74"/>
    <w:rsid w:val="00144ECE"/>
    <w:rsid w:val="00145367"/>
    <w:rsid w:val="00145DE5"/>
    <w:rsid w:val="00145FC4"/>
    <w:rsid w:val="0014607D"/>
    <w:rsid w:val="00147A50"/>
    <w:rsid w:val="001500A7"/>
    <w:rsid w:val="001500C4"/>
    <w:rsid w:val="00150337"/>
    <w:rsid w:val="00150F55"/>
    <w:rsid w:val="0015148B"/>
    <w:rsid w:val="00152249"/>
    <w:rsid w:val="00152B35"/>
    <w:rsid w:val="00152C34"/>
    <w:rsid w:val="00153659"/>
    <w:rsid w:val="00153B8E"/>
    <w:rsid w:val="00154248"/>
    <w:rsid w:val="001548DD"/>
    <w:rsid w:val="00154AE5"/>
    <w:rsid w:val="00154EB4"/>
    <w:rsid w:val="001551B6"/>
    <w:rsid w:val="00155577"/>
    <w:rsid w:val="001556DD"/>
    <w:rsid w:val="001556EA"/>
    <w:rsid w:val="00155894"/>
    <w:rsid w:val="00155FAC"/>
    <w:rsid w:val="00156159"/>
    <w:rsid w:val="001568EC"/>
    <w:rsid w:val="00156BED"/>
    <w:rsid w:val="00156DE9"/>
    <w:rsid w:val="001574D8"/>
    <w:rsid w:val="00160A6C"/>
    <w:rsid w:val="00160CCC"/>
    <w:rsid w:val="00160E15"/>
    <w:rsid w:val="00160F84"/>
    <w:rsid w:val="00161152"/>
    <w:rsid w:val="001621A7"/>
    <w:rsid w:val="001622A0"/>
    <w:rsid w:val="00162A37"/>
    <w:rsid w:val="00162C1B"/>
    <w:rsid w:val="001637EF"/>
    <w:rsid w:val="00163FE1"/>
    <w:rsid w:val="001648AA"/>
    <w:rsid w:val="00165ECD"/>
    <w:rsid w:val="00166B38"/>
    <w:rsid w:val="0016781F"/>
    <w:rsid w:val="00167C71"/>
    <w:rsid w:val="00170098"/>
    <w:rsid w:val="0017016F"/>
    <w:rsid w:val="0017071F"/>
    <w:rsid w:val="001707CB"/>
    <w:rsid w:val="0017100B"/>
    <w:rsid w:val="001711EF"/>
    <w:rsid w:val="0017270F"/>
    <w:rsid w:val="00172AB4"/>
    <w:rsid w:val="00172AFE"/>
    <w:rsid w:val="00172D8F"/>
    <w:rsid w:val="00173801"/>
    <w:rsid w:val="00174262"/>
    <w:rsid w:val="00174276"/>
    <w:rsid w:val="00174307"/>
    <w:rsid w:val="001746CA"/>
    <w:rsid w:val="00174E32"/>
    <w:rsid w:val="00174F3C"/>
    <w:rsid w:val="00174F60"/>
    <w:rsid w:val="00175682"/>
    <w:rsid w:val="00175C41"/>
    <w:rsid w:val="00175F55"/>
    <w:rsid w:val="001764AC"/>
    <w:rsid w:val="00176CE0"/>
    <w:rsid w:val="001772B1"/>
    <w:rsid w:val="001774F6"/>
    <w:rsid w:val="0017773E"/>
    <w:rsid w:val="00177EC8"/>
    <w:rsid w:val="0018022D"/>
    <w:rsid w:val="00180636"/>
    <w:rsid w:val="00180AD3"/>
    <w:rsid w:val="0018132A"/>
    <w:rsid w:val="001817C6"/>
    <w:rsid w:val="00181F76"/>
    <w:rsid w:val="001828BE"/>
    <w:rsid w:val="00182B8E"/>
    <w:rsid w:val="0018335F"/>
    <w:rsid w:val="00183C73"/>
    <w:rsid w:val="00183C75"/>
    <w:rsid w:val="00184909"/>
    <w:rsid w:val="001857E5"/>
    <w:rsid w:val="001858E8"/>
    <w:rsid w:val="00185A56"/>
    <w:rsid w:val="00185B72"/>
    <w:rsid w:val="00185E53"/>
    <w:rsid w:val="001862CF"/>
    <w:rsid w:val="00186757"/>
    <w:rsid w:val="00186B04"/>
    <w:rsid w:val="00186F6A"/>
    <w:rsid w:val="00187250"/>
    <w:rsid w:val="001873AF"/>
    <w:rsid w:val="00187958"/>
    <w:rsid w:val="00190D87"/>
    <w:rsid w:val="00191419"/>
    <w:rsid w:val="00191915"/>
    <w:rsid w:val="00191A19"/>
    <w:rsid w:val="00191AF1"/>
    <w:rsid w:val="00192066"/>
    <w:rsid w:val="00192C12"/>
    <w:rsid w:val="00193607"/>
    <w:rsid w:val="001936C6"/>
    <w:rsid w:val="00194F0B"/>
    <w:rsid w:val="00194F62"/>
    <w:rsid w:val="0019509B"/>
    <w:rsid w:val="001954D4"/>
    <w:rsid w:val="001964A2"/>
    <w:rsid w:val="00196AB9"/>
    <w:rsid w:val="00196B2A"/>
    <w:rsid w:val="00196C02"/>
    <w:rsid w:val="00196CA9"/>
    <w:rsid w:val="00196CAA"/>
    <w:rsid w:val="00196D08"/>
    <w:rsid w:val="00196D11"/>
    <w:rsid w:val="001972E7"/>
    <w:rsid w:val="00197BC4"/>
    <w:rsid w:val="001A083D"/>
    <w:rsid w:val="001A094C"/>
    <w:rsid w:val="001A0B08"/>
    <w:rsid w:val="001A0C3F"/>
    <w:rsid w:val="001A165A"/>
    <w:rsid w:val="001A16CB"/>
    <w:rsid w:val="001A1A77"/>
    <w:rsid w:val="001A26B8"/>
    <w:rsid w:val="001A3456"/>
    <w:rsid w:val="001A3628"/>
    <w:rsid w:val="001A36D3"/>
    <w:rsid w:val="001A4447"/>
    <w:rsid w:val="001A453B"/>
    <w:rsid w:val="001A4935"/>
    <w:rsid w:val="001A49E4"/>
    <w:rsid w:val="001A4E1F"/>
    <w:rsid w:val="001A5351"/>
    <w:rsid w:val="001A541E"/>
    <w:rsid w:val="001A54B5"/>
    <w:rsid w:val="001A5E8B"/>
    <w:rsid w:val="001A650B"/>
    <w:rsid w:val="001A656F"/>
    <w:rsid w:val="001A699C"/>
    <w:rsid w:val="001A6A16"/>
    <w:rsid w:val="001A6B1D"/>
    <w:rsid w:val="001A6F5E"/>
    <w:rsid w:val="001A7350"/>
    <w:rsid w:val="001A773B"/>
    <w:rsid w:val="001A78EF"/>
    <w:rsid w:val="001A79A3"/>
    <w:rsid w:val="001B0292"/>
    <w:rsid w:val="001B0AF6"/>
    <w:rsid w:val="001B0F89"/>
    <w:rsid w:val="001B1013"/>
    <w:rsid w:val="001B1AB4"/>
    <w:rsid w:val="001B1B7B"/>
    <w:rsid w:val="001B1C8A"/>
    <w:rsid w:val="001B2A36"/>
    <w:rsid w:val="001B3402"/>
    <w:rsid w:val="001B3DC0"/>
    <w:rsid w:val="001B50AA"/>
    <w:rsid w:val="001B524B"/>
    <w:rsid w:val="001B539D"/>
    <w:rsid w:val="001B5A43"/>
    <w:rsid w:val="001B5B51"/>
    <w:rsid w:val="001B623E"/>
    <w:rsid w:val="001B651E"/>
    <w:rsid w:val="001B69D0"/>
    <w:rsid w:val="001B71F7"/>
    <w:rsid w:val="001B73A4"/>
    <w:rsid w:val="001C0B11"/>
    <w:rsid w:val="001C0DC6"/>
    <w:rsid w:val="001C107F"/>
    <w:rsid w:val="001C186A"/>
    <w:rsid w:val="001C1E44"/>
    <w:rsid w:val="001C1EB5"/>
    <w:rsid w:val="001C32E8"/>
    <w:rsid w:val="001C37BF"/>
    <w:rsid w:val="001C38D2"/>
    <w:rsid w:val="001C38D4"/>
    <w:rsid w:val="001C3AE5"/>
    <w:rsid w:val="001C4120"/>
    <w:rsid w:val="001C48CB"/>
    <w:rsid w:val="001C5151"/>
    <w:rsid w:val="001C588C"/>
    <w:rsid w:val="001C6F62"/>
    <w:rsid w:val="001C6F70"/>
    <w:rsid w:val="001C73A5"/>
    <w:rsid w:val="001C7D1F"/>
    <w:rsid w:val="001C7DDB"/>
    <w:rsid w:val="001D05C4"/>
    <w:rsid w:val="001D082D"/>
    <w:rsid w:val="001D0B45"/>
    <w:rsid w:val="001D0DDB"/>
    <w:rsid w:val="001D1235"/>
    <w:rsid w:val="001D12C9"/>
    <w:rsid w:val="001D1566"/>
    <w:rsid w:val="001D19B3"/>
    <w:rsid w:val="001D2AF9"/>
    <w:rsid w:val="001D2F7E"/>
    <w:rsid w:val="001D3132"/>
    <w:rsid w:val="001D3369"/>
    <w:rsid w:val="001D337D"/>
    <w:rsid w:val="001D35CA"/>
    <w:rsid w:val="001D4400"/>
    <w:rsid w:val="001D514B"/>
    <w:rsid w:val="001D52FF"/>
    <w:rsid w:val="001D5396"/>
    <w:rsid w:val="001D59C1"/>
    <w:rsid w:val="001D61EF"/>
    <w:rsid w:val="001D66D1"/>
    <w:rsid w:val="001D66EB"/>
    <w:rsid w:val="001D6A4A"/>
    <w:rsid w:val="001D7055"/>
    <w:rsid w:val="001D7341"/>
    <w:rsid w:val="001D737C"/>
    <w:rsid w:val="001E06C6"/>
    <w:rsid w:val="001E0FEA"/>
    <w:rsid w:val="001E1320"/>
    <w:rsid w:val="001E2785"/>
    <w:rsid w:val="001E2BD6"/>
    <w:rsid w:val="001E2CCA"/>
    <w:rsid w:val="001E30AF"/>
    <w:rsid w:val="001E30CA"/>
    <w:rsid w:val="001E342E"/>
    <w:rsid w:val="001E3C52"/>
    <w:rsid w:val="001E3E51"/>
    <w:rsid w:val="001E3FA6"/>
    <w:rsid w:val="001E46AE"/>
    <w:rsid w:val="001E483F"/>
    <w:rsid w:val="001E4CC0"/>
    <w:rsid w:val="001E5435"/>
    <w:rsid w:val="001E5929"/>
    <w:rsid w:val="001E6A0D"/>
    <w:rsid w:val="001E7964"/>
    <w:rsid w:val="001E79EE"/>
    <w:rsid w:val="001E7ABA"/>
    <w:rsid w:val="001F03BA"/>
    <w:rsid w:val="001F10E6"/>
    <w:rsid w:val="001F1BE8"/>
    <w:rsid w:val="001F25FF"/>
    <w:rsid w:val="001F2856"/>
    <w:rsid w:val="001F2962"/>
    <w:rsid w:val="001F39C5"/>
    <w:rsid w:val="001F3A54"/>
    <w:rsid w:val="001F4C94"/>
    <w:rsid w:val="001F5469"/>
    <w:rsid w:val="001F5F76"/>
    <w:rsid w:val="001F5F7C"/>
    <w:rsid w:val="001F699D"/>
    <w:rsid w:val="001F6A78"/>
    <w:rsid w:val="001F738C"/>
    <w:rsid w:val="001F73A4"/>
    <w:rsid w:val="001F7891"/>
    <w:rsid w:val="002000D8"/>
    <w:rsid w:val="0020010E"/>
    <w:rsid w:val="00200C26"/>
    <w:rsid w:val="0020103A"/>
    <w:rsid w:val="00201107"/>
    <w:rsid w:val="0020167C"/>
    <w:rsid w:val="00201710"/>
    <w:rsid w:val="00201917"/>
    <w:rsid w:val="0020192D"/>
    <w:rsid w:val="00201B17"/>
    <w:rsid w:val="00202398"/>
    <w:rsid w:val="00202465"/>
    <w:rsid w:val="00202492"/>
    <w:rsid w:val="00202918"/>
    <w:rsid w:val="00202E7D"/>
    <w:rsid w:val="002033FB"/>
    <w:rsid w:val="00203956"/>
    <w:rsid w:val="00204154"/>
    <w:rsid w:val="0020434E"/>
    <w:rsid w:val="0020651F"/>
    <w:rsid w:val="0020690C"/>
    <w:rsid w:val="0020753F"/>
    <w:rsid w:val="002105E4"/>
    <w:rsid w:val="002111CE"/>
    <w:rsid w:val="00211BE0"/>
    <w:rsid w:val="002135BC"/>
    <w:rsid w:val="00213968"/>
    <w:rsid w:val="00213A63"/>
    <w:rsid w:val="00213D90"/>
    <w:rsid w:val="00214016"/>
    <w:rsid w:val="00215BA9"/>
    <w:rsid w:val="002160AC"/>
    <w:rsid w:val="00216C6B"/>
    <w:rsid w:val="00217627"/>
    <w:rsid w:val="002176BC"/>
    <w:rsid w:val="00217D7A"/>
    <w:rsid w:val="002217FC"/>
    <w:rsid w:val="00221BC3"/>
    <w:rsid w:val="00222DDF"/>
    <w:rsid w:val="00223A7A"/>
    <w:rsid w:val="0022649E"/>
    <w:rsid w:val="002266F4"/>
    <w:rsid w:val="00226860"/>
    <w:rsid w:val="00226929"/>
    <w:rsid w:val="00226B37"/>
    <w:rsid w:val="002274B6"/>
    <w:rsid w:val="00227540"/>
    <w:rsid w:val="00227EBB"/>
    <w:rsid w:val="002304C6"/>
    <w:rsid w:val="0023061E"/>
    <w:rsid w:val="0023074A"/>
    <w:rsid w:val="0023093A"/>
    <w:rsid w:val="002319DD"/>
    <w:rsid w:val="0023243C"/>
    <w:rsid w:val="00232EEA"/>
    <w:rsid w:val="00233A1E"/>
    <w:rsid w:val="0023485E"/>
    <w:rsid w:val="00234866"/>
    <w:rsid w:val="0023492C"/>
    <w:rsid w:val="00234B4D"/>
    <w:rsid w:val="00235952"/>
    <w:rsid w:val="00235A14"/>
    <w:rsid w:val="00235CDC"/>
    <w:rsid w:val="002369B3"/>
    <w:rsid w:val="002369DC"/>
    <w:rsid w:val="0023741E"/>
    <w:rsid w:val="00240027"/>
    <w:rsid w:val="002407FB"/>
    <w:rsid w:val="0024096F"/>
    <w:rsid w:val="00240970"/>
    <w:rsid w:val="00240AFF"/>
    <w:rsid w:val="00240B92"/>
    <w:rsid w:val="0024105B"/>
    <w:rsid w:val="00241457"/>
    <w:rsid w:val="00241DBD"/>
    <w:rsid w:val="00241F1F"/>
    <w:rsid w:val="0024257B"/>
    <w:rsid w:val="002426BF"/>
    <w:rsid w:val="00243164"/>
    <w:rsid w:val="0024397D"/>
    <w:rsid w:val="00243BFC"/>
    <w:rsid w:val="00243CA6"/>
    <w:rsid w:val="00243DC0"/>
    <w:rsid w:val="002440FE"/>
    <w:rsid w:val="002443CD"/>
    <w:rsid w:val="0024462E"/>
    <w:rsid w:val="00244BE5"/>
    <w:rsid w:val="0024506E"/>
    <w:rsid w:val="002453DA"/>
    <w:rsid w:val="00245680"/>
    <w:rsid w:val="002457A4"/>
    <w:rsid w:val="00245983"/>
    <w:rsid w:val="00245A08"/>
    <w:rsid w:val="00245A6A"/>
    <w:rsid w:val="002464CC"/>
    <w:rsid w:val="002465F6"/>
    <w:rsid w:val="0024662C"/>
    <w:rsid w:val="00246B51"/>
    <w:rsid w:val="00246BE0"/>
    <w:rsid w:val="00246E16"/>
    <w:rsid w:val="0024743A"/>
    <w:rsid w:val="002478B8"/>
    <w:rsid w:val="00247952"/>
    <w:rsid w:val="00250765"/>
    <w:rsid w:val="00250A98"/>
    <w:rsid w:val="00251585"/>
    <w:rsid w:val="0025170C"/>
    <w:rsid w:val="002517B6"/>
    <w:rsid w:val="0025206E"/>
    <w:rsid w:val="00252898"/>
    <w:rsid w:val="002528EF"/>
    <w:rsid w:val="00252E32"/>
    <w:rsid w:val="002533CC"/>
    <w:rsid w:val="002534FC"/>
    <w:rsid w:val="00253525"/>
    <w:rsid w:val="002537EC"/>
    <w:rsid w:val="002538EC"/>
    <w:rsid w:val="00254151"/>
    <w:rsid w:val="002544CE"/>
    <w:rsid w:val="00254811"/>
    <w:rsid w:val="002548B3"/>
    <w:rsid w:val="00255471"/>
    <w:rsid w:val="00255476"/>
    <w:rsid w:val="00256DE7"/>
    <w:rsid w:val="002570A5"/>
    <w:rsid w:val="0025760A"/>
    <w:rsid w:val="00257DDF"/>
    <w:rsid w:val="0026076E"/>
    <w:rsid w:val="00260CF7"/>
    <w:rsid w:val="00260F36"/>
    <w:rsid w:val="002619A9"/>
    <w:rsid w:val="00262107"/>
    <w:rsid w:val="00262486"/>
    <w:rsid w:val="00262548"/>
    <w:rsid w:val="00262731"/>
    <w:rsid w:val="00262AD8"/>
    <w:rsid w:val="002632A8"/>
    <w:rsid w:val="00263A28"/>
    <w:rsid w:val="00264555"/>
    <w:rsid w:val="002649C5"/>
    <w:rsid w:val="00265386"/>
    <w:rsid w:val="00265E75"/>
    <w:rsid w:val="00265FB5"/>
    <w:rsid w:val="002662E9"/>
    <w:rsid w:val="002672BB"/>
    <w:rsid w:val="002673D8"/>
    <w:rsid w:val="00267774"/>
    <w:rsid w:val="0026778B"/>
    <w:rsid w:val="002677EA"/>
    <w:rsid w:val="00267A63"/>
    <w:rsid w:val="00267C07"/>
    <w:rsid w:val="00267E46"/>
    <w:rsid w:val="0027058B"/>
    <w:rsid w:val="002708E9"/>
    <w:rsid w:val="00270B30"/>
    <w:rsid w:val="00271415"/>
    <w:rsid w:val="002716D4"/>
    <w:rsid w:val="00271817"/>
    <w:rsid w:val="00271913"/>
    <w:rsid w:val="00271E72"/>
    <w:rsid w:val="00272134"/>
    <w:rsid w:val="00273994"/>
    <w:rsid w:val="0027584A"/>
    <w:rsid w:val="00276D98"/>
    <w:rsid w:val="00276EBF"/>
    <w:rsid w:val="002777EF"/>
    <w:rsid w:val="00277DC7"/>
    <w:rsid w:val="00280680"/>
    <w:rsid w:val="00281D34"/>
    <w:rsid w:val="002820B5"/>
    <w:rsid w:val="002820EA"/>
    <w:rsid w:val="002829AB"/>
    <w:rsid w:val="00283468"/>
    <w:rsid w:val="0028459A"/>
    <w:rsid w:val="00284924"/>
    <w:rsid w:val="00284D82"/>
    <w:rsid w:val="00285104"/>
    <w:rsid w:val="00285403"/>
    <w:rsid w:val="00285556"/>
    <w:rsid w:val="00285940"/>
    <w:rsid w:val="0028599C"/>
    <w:rsid w:val="00285A4A"/>
    <w:rsid w:val="002860B2"/>
    <w:rsid w:val="002861D5"/>
    <w:rsid w:val="002862FE"/>
    <w:rsid w:val="00286B56"/>
    <w:rsid w:val="00287778"/>
    <w:rsid w:val="002909F6"/>
    <w:rsid w:val="002915C7"/>
    <w:rsid w:val="002915D4"/>
    <w:rsid w:val="00291EA2"/>
    <w:rsid w:val="00291F57"/>
    <w:rsid w:val="002920FD"/>
    <w:rsid w:val="002922D0"/>
    <w:rsid w:val="0029250E"/>
    <w:rsid w:val="00292A28"/>
    <w:rsid w:val="00294586"/>
    <w:rsid w:val="002945F6"/>
    <w:rsid w:val="00294CB7"/>
    <w:rsid w:val="00294ED6"/>
    <w:rsid w:val="00295113"/>
    <w:rsid w:val="00295136"/>
    <w:rsid w:val="0029548D"/>
    <w:rsid w:val="00295E60"/>
    <w:rsid w:val="00296DEA"/>
    <w:rsid w:val="00297E41"/>
    <w:rsid w:val="002A03B3"/>
    <w:rsid w:val="002A03C5"/>
    <w:rsid w:val="002A0952"/>
    <w:rsid w:val="002A0C6D"/>
    <w:rsid w:val="002A0F55"/>
    <w:rsid w:val="002A101F"/>
    <w:rsid w:val="002A1332"/>
    <w:rsid w:val="002A1EEF"/>
    <w:rsid w:val="002A22AF"/>
    <w:rsid w:val="002A2894"/>
    <w:rsid w:val="002A2E62"/>
    <w:rsid w:val="002A3946"/>
    <w:rsid w:val="002A3A52"/>
    <w:rsid w:val="002A3D97"/>
    <w:rsid w:val="002A3FE8"/>
    <w:rsid w:val="002A44DC"/>
    <w:rsid w:val="002A5D12"/>
    <w:rsid w:val="002A6EA1"/>
    <w:rsid w:val="002A729F"/>
    <w:rsid w:val="002A7360"/>
    <w:rsid w:val="002A792E"/>
    <w:rsid w:val="002A7F50"/>
    <w:rsid w:val="002B00CA"/>
    <w:rsid w:val="002B0490"/>
    <w:rsid w:val="002B139F"/>
    <w:rsid w:val="002B1476"/>
    <w:rsid w:val="002B15CF"/>
    <w:rsid w:val="002B1870"/>
    <w:rsid w:val="002B1B32"/>
    <w:rsid w:val="002B3103"/>
    <w:rsid w:val="002B3186"/>
    <w:rsid w:val="002B33E1"/>
    <w:rsid w:val="002B3580"/>
    <w:rsid w:val="002B38E9"/>
    <w:rsid w:val="002B4426"/>
    <w:rsid w:val="002B4825"/>
    <w:rsid w:val="002B487B"/>
    <w:rsid w:val="002B50FE"/>
    <w:rsid w:val="002B5153"/>
    <w:rsid w:val="002B5246"/>
    <w:rsid w:val="002B559C"/>
    <w:rsid w:val="002B5BCB"/>
    <w:rsid w:val="002B65A5"/>
    <w:rsid w:val="002B672A"/>
    <w:rsid w:val="002B7135"/>
    <w:rsid w:val="002B744E"/>
    <w:rsid w:val="002B7FA0"/>
    <w:rsid w:val="002C042A"/>
    <w:rsid w:val="002C1FAA"/>
    <w:rsid w:val="002C1FE3"/>
    <w:rsid w:val="002C23DE"/>
    <w:rsid w:val="002C26A9"/>
    <w:rsid w:val="002C27A4"/>
    <w:rsid w:val="002C414C"/>
    <w:rsid w:val="002C44BC"/>
    <w:rsid w:val="002C4553"/>
    <w:rsid w:val="002C4E33"/>
    <w:rsid w:val="002C664D"/>
    <w:rsid w:val="002C6811"/>
    <w:rsid w:val="002C698C"/>
    <w:rsid w:val="002C7BB9"/>
    <w:rsid w:val="002D052F"/>
    <w:rsid w:val="002D0F03"/>
    <w:rsid w:val="002D2B80"/>
    <w:rsid w:val="002D2C10"/>
    <w:rsid w:val="002D351D"/>
    <w:rsid w:val="002D3682"/>
    <w:rsid w:val="002D3C33"/>
    <w:rsid w:val="002D43AD"/>
    <w:rsid w:val="002D4EE5"/>
    <w:rsid w:val="002D5182"/>
    <w:rsid w:val="002D53AC"/>
    <w:rsid w:val="002D56DB"/>
    <w:rsid w:val="002D5C69"/>
    <w:rsid w:val="002D5DB1"/>
    <w:rsid w:val="002D6408"/>
    <w:rsid w:val="002D6AB4"/>
    <w:rsid w:val="002D6DCF"/>
    <w:rsid w:val="002D7FF3"/>
    <w:rsid w:val="002E0343"/>
    <w:rsid w:val="002E1ACD"/>
    <w:rsid w:val="002E1B02"/>
    <w:rsid w:val="002E2676"/>
    <w:rsid w:val="002E3266"/>
    <w:rsid w:val="002E34B0"/>
    <w:rsid w:val="002E4961"/>
    <w:rsid w:val="002E4D28"/>
    <w:rsid w:val="002E55B6"/>
    <w:rsid w:val="002E5A13"/>
    <w:rsid w:val="002E69B1"/>
    <w:rsid w:val="002E73CB"/>
    <w:rsid w:val="002E765C"/>
    <w:rsid w:val="002E7826"/>
    <w:rsid w:val="002E7D96"/>
    <w:rsid w:val="002E7E16"/>
    <w:rsid w:val="002F0084"/>
    <w:rsid w:val="002F0BE9"/>
    <w:rsid w:val="002F0E44"/>
    <w:rsid w:val="002F166A"/>
    <w:rsid w:val="002F2C30"/>
    <w:rsid w:val="002F3691"/>
    <w:rsid w:val="002F3788"/>
    <w:rsid w:val="002F38C1"/>
    <w:rsid w:val="002F4A92"/>
    <w:rsid w:val="002F4CD8"/>
    <w:rsid w:val="002F54C6"/>
    <w:rsid w:val="002F5D9D"/>
    <w:rsid w:val="002F6196"/>
    <w:rsid w:val="002F6769"/>
    <w:rsid w:val="002F6993"/>
    <w:rsid w:val="002F69F7"/>
    <w:rsid w:val="002F7D1E"/>
    <w:rsid w:val="00300645"/>
    <w:rsid w:val="00300A42"/>
    <w:rsid w:val="00300F2E"/>
    <w:rsid w:val="0030180F"/>
    <w:rsid w:val="00301C89"/>
    <w:rsid w:val="00301F79"/>
    <w:rsid w:val="003021E9"/>
    <w:rsid w:val="003021FA"/>
    <w:rsid w:val="003027A7"/>
    <w:rsid w:val="003029F2"/>
    <w:rsid w:val="003035B3"/>
    <w:rsid w:val="00303B94"/>
    <w:rsid w:val="00303F11"/>
    <w:rsid w:val="003041F2"/>
    <w:rsid w:val="00304275"/>
    <w:rsid w:val="003050E9"/>
    <w:rsid w:val="003061F3"/>
    <w:rsid w:val="00306422"/>
    <w:rsid w:val="00306941"/>
    <w:rsid w:val="003076D0"/>
    <w:rsid w:val="00307B00"/>
    <w:rsid w:val="00307B9D"/>
    <w:rsid w:val="00307ED7"/>
    <w:rsid w:val="0031031A"/>
    <w:rsid w:val="00310481"/>
    <w:rsid w:val="00310608"/>
    <w:rsid w:val="00310D72"/>
    <w:rsid w:val="003112A1"/>
    <w:rsid w:val="003115DE"/>
    <w:rsid w:val="00311A1E"/>
    <w:rsid w:val="00311B11"/>
    <w:rsid w:val="003120A8"/>
    <w:rsid w:val="003128E1"/>
    <w:rsid w:val="00313E59"/>
    <w:rsid w:val="00314310"/>
    <w:rsid w:val="003146EB"/>
    <w:rsid w:val="00314C74"/>
    <w:rsid w:val="00314ECE"/>
    <w:rsid w:val="0031592C"/>
    <w:rsid w:val="00315AF5"/>
    <w:rsid w:val="00315E0E"/>
    <w:rsid w:val="00317145"/>
    <w:rsid w:val="0031729D"/>
    <w:rsid w:val="003175CE"/>
    <w:rsid w:val="00320250"/>
    <w:rsid w:val="003215C6"/>
    <w:rsid w:val="0032164A"/>
    <w:rsid w:val="0032201C"/>
    <w:rsid w:val="00322256"/>
    <w:rsid w:val="0032243B"/>
    <w:rsid w:val="00322460"/>
    <w:rsid w:val="00322FC3"/>
    <w:rsid w:val="0032363B"/>
    <w:rsid w:val="00323B56"/>
    <w:rsid w:val="00323F22"/>
    <w:rsid w:val="00324B6F"/>
    <w:rsid w:val="00325570"/>
    <w:rsid w:val="003270BE"/>
    <w:rsid w:val="0033046D"/>
    <w:rsid w:val="00331DBD"/>
    <w:rsid w:val="00331FA9"/>
    <w:rsid w:val="003327C3"/>
    <w:rsid w:val="00332810"/>
    <w:rsid w:val="00332E26"/>
    <w:rsid w:val="00333093"/>
    <w:rsid w:val="00333CDD"/>
    <w:rsid w:val="0033413B"/>
    <w:rsid w:val="00334C6A"/>
    <w:rsid w:val="00334C9F"/>
    <w:rsid w:val="00334DFC"/>
    <w:rsid w:val="00335678"/>
    <w:rsid w:val="00335830"/>
    <w:rsid w:val="0033726C"/>
    <w:rsid w:val="00340094"/>
    <w:rsid w:val="0034052E"/>
    <w:rsid w:val="00340F31"/>
    <w:rsid w:val="00341383"/>
    <w:rsid w:val="003413C2"/>
    <w:rsid w:val="003414D2"/>
    <w:rsid w:val="003416B1"/>
    <w:rsid w:val="003428DC"/>
    <w:rsid w:val="00342B59"/>
    <w:rsid w:val="00343581"/>
    <w:rsid w:val="00343928"/>
    <w:rsid w:val="00345856"/>
    <w:rsid w:val="00345D90"/>
    <w:rsid w:val="00345F30"/>
    <w:rsid w:val="0034689C"/>
    <w:rsid w:val="0034758E"/>
    <w:rsid w:val="003476A9"/>
    <w:rsid w:val="003478EA"/>
    <w:rsid w:val="00350414"/>
    <w:rsid w:val="00350DC1"/>
    <w:rsid w:val="00350DD8"/>
    <w:rsid w:val="00350E1F"/>
    <w:rsid w:val="00350F7D"/>
    <w:rsid w:val="0035196C"/>
    <w:rsid w:val="00351D68"/>
    <w:rsid w:val="00352247"/>
    <w:rsid w:val="0035247F"/>
    <w:rsid w:val="00352703"/>
    <w:rsid w:val="00352C1F"/>
    <w:rsid w:val="003533A3"/>
    <w:rsid w:val="00353B68"/>
    <w:rsid w:val="003554AA"/>
    <w:rsid w:val="003560D0"/>
    <w:rsid w:val="00356B51"/>
    <w:rsid w:val="003570BA"/>
    <w:rsid w:val="003570F7"/>
    <w:rsid w:val="00357BC9"/>
    <w:rsid w:val="0036023A"/>
    <w:rsid w:val="003610F7"/>
    <w:rsid w:val="0036169F"/>
    <w:rsid w:val="00361F36"/>
    <w:rsid w:val="00361FF4"/>
    <w:rsid w:val="003625E6"/>
    <w:rsid w:val="00362609"/>
    <w:rsid w:val="00362EDF"/>
    <w:rsid w:val="003632F8"/>
    <w:rsid w:val="00363899"/>
    <w:rsid w:val="00363A4E"/>
    <w:rsid w:val="00363CF9"/>
    <w:rsid w:val="00363D38"/>
    <w:rsid w:val="00363D8C"/>
    <w:rsid w:val="00363F68"/>
    <w:rsid w:val="003641B9"/>
    <w:rsid w:val="003642B6"/>
    <w:rsid w:val="003642C5"/>
    <w:rsid w:val="0036472B"/>
    <w:rsid w:val="003647E8"/>
    <w:rsid w:val="0036485C"/>
    <w:rsid w:val="003664F0"/>
    <w:rsid w:val="003668FA"/>
    <w:rsid w:val="00367010"/>
    <w:rsid w:val="0036728A"/>
    <w:rsid w:val="003675E3"/>
    <w:rsid w:val="003679D0"/>
    <w:rsid w:val="00367AFA"/>
    <w:rsid w:val="00370C8C"/>
    <w:rsid w:val="00371674"/>
    <w:rsid w:val="00371C05"/>
    <w:rsid w:val="003722E2"/>
    <w:rsid w:val="003723E4"/>
    <w:rsid w:val="003726F9"/>
    <w:rsid w:val="003730E3"/>
    <w:rsid w:val="003736F0"/>
    <w:rsid w:val="00373C40"/>
    <w:rsid w:val="00375982"/>
    <w:rsid w:val="00375F82"/>
    <w:rsid w:val="0037625F"/>
    <w:rsid w:val="00376B30"/>
    <w:rsid w:val="00376D92"/>
    <w:rsid w:val="003779B1"/>
    <w:rsid w:val="00380508"/>
    <w:rsid w:val="003809D8"/>
    <w:rsid w:val="00381F1B"/>
    <w:rsid w:val="00382263"/>
    <w:rsid w:val="0038340E"/>
    <w:rsid w:val="00383DE1"/>
    <w:rsid w:val="00383FF1"/>
    <w:rsid w:val="00384ADE"/>
    <w:rsid w:val="003856BC"/>
    <w:rsid w:val="00385751"/>
    <w:rsid w:val="00385F16"/>
    <w:rsid w:val="00386555"/>
    <w:rsid w:val="00386664"/>
    <w:rsid w:val="00386E29"/>
    <w:rsid w:val="003870BA"/>
    <w:rsid w:val="0038788D"/>
    <w:rsid w:val="003878DB"/>
    <w:rsid w:val="00387908"/>
    <w:rsid w:val="00387CE4"/>
    <w:rsid w:val="003904CE"/>
    <w:rsid w:val="00390584"/>
    <w:rsid w:val="00390909"/>
    <w:rsid w:val="00390D00"/>
    <w:rsid w:val="00390D5D"/>
    <w:rsid w:val="0039208C"/>
    <w:rsid w:val="00392959"/>
    <w:rsid w:val="00393693"/>
    <w:rsid w:val="00393769"/>
    <w:rsid w:val="003937C2"/>
    <w:rsid w:val="00393C56"/>
    <w:rsid w:val="00394CE0"/>
    <w:rsid w:val="00395888"/>
    <w:rsid w:val="003959D8"/>
    <w:rsid w:val="00395BFF"/>
    <w:rsid w:val="00396639"/>
    <w:rsid w:val="003A0E01"/>
    <w:rsid w:val="003A1078"/>
    <w:rsid w:val="003A2AB9"/>
    <w:rsid w:val="003A349D"/>
    <w:rsid w:val="003A3A01"/>
    <w:rsid w:val="003A3D11"/>
    <w:rsid w:val="003A4AC9"/>
    <w:rsid w:val="003A4BC4"/>
    <w:rsid w:val="003A50E2"/>
    <w:rsid w:val="003A60FE"/>
    <w:rsid w:val="003A70A4"/>
    <w:rsid w:val="003A70BB"/>
    <w:rsid w:val="003A7536"/>
    <w:rsid w:val="003A7F7B"/>
    <w:rsid w:val="003B074A"/>
    <w:rsid w:val="003B0822"/>
    <w:rsid w:val="003B2268"/>
    <w:rsid w:val="003B22B7"/>
    <w:rsid w:val="003B28FA"/>
    <w:rsid w:val="003B2991"/>
    <w:rsid w:val="003B3421"/>
    <w:rsid w:val="003B4AEE"/>
    <w:rsid w:val="003B525E"/>
    <w:rsid w:val="003B596F"/>
    <w:rsid w:val="003B6906"/>
    <w:rsid w:val="003B6D84"/>
    <w:rsid w:val="003B7331"/>
    <w:rsid w:val="003B7B3E"/>
    <w:rsid w:val="003B7CA8"/>
    <w:rsid w:val="003C03F9"/>
    <w:rsid w:val="003C1C4D"/>
    <w:rsid w:val="003C1FD0"/>
    <w:rsid w:val="003C3258"/>
    <w:rsid w:val="003C35F2"/>
    <w:rsid w:val="003C43A3"/>
    <w:rsid w:val="003C45C1"/>
    <w:rsid w:val="003C493E"/>
    <w:rsid w:val="003C4AEB"/>
    <w:rsid w:val="003C4D5C"/>
    <w:rsid w:val="003C5531"/>
    <w:rsid w:val="003C5672"/>
    <w:rsid w:val="003C5864"/>
    <w:rsid w:val="003C5A38"/>
    <w:rsid w:val="003C5EFC"/>
    <w:rsid w:val="003C5FB7"/>
    <w:rsid w:val="003C6171"/>
    <w:rsid w:val="003C6525"/>
    <w:rsid w:val="003C6953"/>
    <w:rsid w:val="003C69FE"/>
    <w:rsid w:val="003C6F10"/>
    <w:rsid w:val="003C7A64"/>
    <w:rsid w:val="003D030D"/>
    <w:rsid w:val="003D0980"/>
    <w:rsid w:val="003D0B23"/>
    <w:rsid w:val="003D1173"/>
    <w:rsid w:val="003D15F3"/>
    <w:rsid w:val="003D16F4"/>
    <w:rsid w:val="003D1911"/>
    <w:rsid w:val="003D1FE1"/>
    <w:rsid w:val="003D25EB"/>
    <w:rsid w:val="003D2FC4"/>
    <w:rsid w:val="003D3D0E"/>
    <w:rsid w:val="003D4A85"/>
    <w:rsid w:val="003D5179"/>
    <w:rsid w:val="003D5D16"/>
    <w:rsid w:val="003D5EA9"/>
    <w:rsid w:val="003D6073"/>
    <w:rsid w:val="003D6849"/>
    <w:rsid w:val="003D77BA"/>
    <w:rsid w:val="003E0A18"/>
    <w:rsid w:val="003E0E32"/>
    <w:rsid w:val="003E220A"/>
    <w:rsid w:val="003E25B7"/>
    <w:rsid w:val="003E2CC9"/>
    <w:rsid w:val="003E2CF9"/>
    <w:rsid w:val="003E4166"/>
    <w:rsid w:val="003E44CF"/>
    <w:rsid w:val="003E4587"/>
    <w:rsid w:val="003E459F"/>
    <w:rsid w:val="003E491D"/>
    <w:rsid w:val="003E5403"/>
    <w:rsid w:val="003E5F1E"/>
    <w:rsid w:val="003E60B8"/>
    <w:rsid w:val="003E614B"/>
    <w:rsid w:val="003E68F1"/>
    <w:rsid w:val="003E6B00"/>
    <w:rsid w:val="003E6CE4"/>
    <w:rsid w:val="003E77D6"/>
    <w:rsid w:val="003E7D2B"/>
    <w:rsid w:val="003E7E06"/>
    <w:rsid w:val="003F0054"/>
    <w:rsid w:val="003F0729"/>
    <w:rsid w:val="003F0DD9"/>
    <w:rsid w:val="003F1072"/>
    <w:rsid w:val="003F16D5"/>
    <w:rsid w:val="003F1856"/>
    <w:rsid w:val="003F1B4C"/>
    <w:rsid w:val="003F1B5F"/>
    <w:rsid w:val="003F2777"/>
    <w:rsid w:val="003F287C"/>
    <w:rsid w:val="003F2DDD"/>
    <w:rsid w:val="003F3882"/>
    <w:rsid w:val="003F3DDE"/>
    <w:rsid w:val="003F4F78"/>
    <w:rsid w:val="003F504F"/>
    <w:rsid w:val="003F5A28"/>
    <w:rsid w:val="003F6248"/>
    <w:rsid w:val="003F6649"/>
    <w:rsid w:val="003F6981"/>
    <w:rsid w:val="003F6E80"/>
    <w:rsid w:val="003F721E"/>
    <w:rsid w:val="003F7649"/>
    <w:rsid w:val="003F7BA3"/>
    <w:rsid w:val="00401646"/>
    <w:rsid w:val="00401973"/>
    <w:rsid w:val="00402021"/>
    <w:rsid w:val="00402AD2"/>
    <w:rsid w:val="00402E2E"/>
    <w:rsid w:val="00403547"/>
    <w:rsid w:val="00403C55"/>
    <w:rsid w:val="0040406B"/>
    <w:rsid w:val="00404570"/>
    <w:rsid w:val="004047DD"/>
    <w:rsid w:val="00404A62"/>
    <w:rsid w:val="0040566B"/>
    <w:rsid w:val="00405A1F"/>
    <w:rsid w:val="0040638B"/>
    <w:rsid w:val="004066C7"/>
    <w:rsid w:val="00407042"/>
    <w:rsid w:val="004079AD"/>
    <w:rsid w:val="00407B55"/>
    <w:rsid w:val="00410326"/>
    <w:rsid w:val="00410BD5"/>
    <w:rsid w:val="00411ACF"/>
    <w:rsid w:val="0041298B"/>
    <w:rsid w:val="00412DA8"/>
    <w:rsid w:val="00413333"/>
    <w:rsid w:val="004135EE"/>
    <w:rsid w:val="0041391E"/>
    <w:rsid w:val="00414055"/>
    <w:rsid w:val="00414D25"/>
    <w:rsid w:val="004153F3"/>
    <w:rsid w:val="004157F9"/>
    <w:rsid w:val="00416044"/>
    <w:rsid w:val="00416527"/>
    <w:rsid w:val="00416637"/>
    <w:rsid w:val="00416812"/>
    <w:rsid w:val="00416A21"/>
    <w:rsid w:val="00417EEF"/>
    <w:rsid w:val="00417FC0"/>
    <w:rsid w:val="00417FCA"/>
    <w:rsid w:val="004211E7"/>
    <w:rsid w:val="00421405"/>
    <w:rsid w:val="00422CB9"/>
    <w:rsid w:val="0042381D"/>
    <w:rsid w:val="00423824"/>
    <w:rsid w:val="00423B73"/>
    <w:rsid w:val="00424A50"/>
    <w:rsid w:val="00424F45"/>
    <w:rsid w:val="004251FB"/>
    <w:rsid w:val="0042542D"/>
    <w:rsid w:val="004259C7"/>
    <w:rsid w:val="00425DEA"/>
    <w:rsid w:val="00426388"/>
    <w:rsid w:val="004264BE"/>
    <w:rsid w:val="00426F47"/>
    <w:rsid w:val="00427185"/>
    <w:rsid w:val="0042771D"/>
    <w:rsid w:val="00427B3C"/>
    <w:rsid w:val="0043034C"/>
    <w:rsid w:val="00430BEA"/>
    <w:rsid w:val="00430E54"/>
    <w:rsid w:val="004317ED"/>
    <w:rsid w:val="00431B09"/>
    <w:rsid w:val="00431C65"/>
    <w:rsid w:val="00431D5A"/>
    <w:rsid w:val="004326F7"/>
    <w:rsid w:val="004330A0"/>
    <w:rsid w:val="00434990"/>
    <w:rsid w:val="004349DC"/>
    <w:rsid w:val="0043572F"/>
    <w:rsid w:val="00435A25"/>
    <w:rsid w:val="00435C40"/>
    <w:rsid w:val="00435DE7"/>
    <w:rsid w:val="00436249"/>
    <w:rsid w:val="0043652F"/>
    <w:rsid w:val="0043659D"/>
    <w:rsid w:val="00436A97"/>
    <w:rsid w:val="0043722D"/>
    <w:rsid w:val="00437B7E"/>
    <w:rsid w:val="00437E5A"/>
    <w:rsid w:val="0044040A"/>
    <w:rsid w:val="00440892"/>
    <w:rsid w:val="00440AA4"/>
    <w:rsid w:val="00440CCF"/>
    <w:rsid w:val="0044187C"/>
    <w:rsid w:val="004418B3"/>
    <w:rsid w:val="004421D4"/>
    <w:rsid w:val="00442617"/>
    <w:rsid w:val="00442AD9"/>
    <w:rsid w:val="00442B98"/>
    <w:rsid w:val="00442DF0"/>
    <w:rsid w:val="00443061"/>
    <w:rsid w:val="00443072"/>
    <w:rsid w:val="0044386C"/>
    <w:rsid w:val="00443E80"/>
    <w:rsid w:val="00444817"/>
    <w:rsid w:val="0044481E"/>
    <w:rsid w:val="00445184"/>
    <w:rsid w:val="00445D0A"/>
    <w:rsid w:val="00446216"/>
    <w:rsid w:val="00446C31"/>
    <w:rsid w:val="0044706D"/>
    <w:rsid w:val="0044754F"/>
    <w:rsid w:val="00447938"/>
    <w:rsid w:val="00447DE8"/>
    <w:rsid w:val="00450897"/>
    <w:rsid w:val="0045123D"/>
    <w:rsid w:val="00451364"/>
    <w:rsid w:val="0045225D"/>
    <w:rsid w:val="0045259F"/>
    <w:rsid w:val="004526F6"/>
    <w:rsid w:val="00452A14"/>
    <w:rsid w:val="00452A62"/>
    <w:rsid w:val="00452CB6"/>
    <w:rsid w:val="00453727"/>
    <w:rsid w:val="00453A3D"/>
    <w:rsid w:val="00453C5E"/>
    <w:rsid w:val="00453CF1"/>
    <w:rsid w:val="00454221"/>
    <w:rsid w:val="004543A9"/>
    <w:rsid w:val="00454659"/>
    <w:rsid w:val="00454DCF"/>
    <w:rsid w:val="00454FDE"/>
    <w:rsid w:val="004551F2"/>
    <w:rsid w:val="00455A03"/>
    <w:rsid w:val="00456574"/>
    <w:rsid w:val="00457499"/>
    <w:rsid w:val="00457506"/>
    <w:rsid w:val="004603DD"/>
    <w:rsid w:val="0046047C"/>
    <w:rsid w:val="00461477"/>
    <w:rsid w:val="0046199B"/>
    <w:rsid w:val="00461F7F"/>
    <w:rsid w:val="00462426"/>
    <w:rsid w:val="0046261A"/>
    <w:rsid w:val="00462766"/>
    <w:rsid w:val="00462AF2"/>
    <w:rsid w:val="00462DCE"/>
    <w:rsid w:val="00463198"/>
    <w:rsid w:val="00463927"/>
    <w:rsid w:val="00463B07"/>
    <w:rsid w:val="00464B4B"/>
    <w:rsid w:val="00464BDE"/>
    <w:rsid w:val="004650A8"/>
    <w:rsid w:val="0046518B"/>
    <w:rsid w:val="00465986"/>
    <w:rsid w:val="00466311"/>
    <w:rsid w:val="00466AB1"/>
    <w:rsid w:val="00466FF2"/>
    <w:rsid w:val="004672E6"/>
    <w:rsid w:val="0046772C"/>
    <w:rsid w:val="00467C2C"/>
    <w:rsid w:val="004701EE"/>
    <w:rsid w:val="00470E3A"/>
    <w:rsid w:val="004711BE"/>
    <w:rsid w:val="004718AB"/>
    <w:rsid w:val="00472067"/>
    <w:rsid w:val="00472395"/>
    <w:rsid w:val="004725B2"/>
    <w:rsid w:val="00472865"/>
    <w:rsid w:val="00472D45"/>
    <w:rsid w:val="0047317D"/>
    <w:rsid w:val="004739BF"/>
    <w:rsid w:val="00473BD2"/>
    <w:rsid w:val="00473EDE"/>
    <w:rsid w:val="00474639"/>
    <w:rsid w:val="00474ED1"/>
    <w:rsid w:val="004750B7"/>
    <w:rsid w:val="00475281"/>
    <w:rsid w:val="00475761"/>
    <w:rsid w:val="00475B22"/>
    <w:rsid w:val="00475E12"/>
    <w:rsid w:val="00476965"/>
    <w:rsid w:val="0048070F"/>
    <w:rsid w:val="00480A91"/>
    <w:rsid w:val="00481107"/>
    <w:rsid w:val="00481C1E"/>
    <w:rsid w:val="00482F84"/>
    <w:rsid w:val="00483B9C"/>
    <w:rsid w:val="00483FDD"/>
    <w:rsid w:val="00484165"/>
    <w:rsid w:val="00484E83"/>
    <w:rsid w:val="00484F27"/>
    <w:rsid w:val="004859CB"/>
    <w:rsid w:val="00485C22"/>
    <w:rsid w:val="00486777"/>
    <w:rsid w:val="00486DCF"/>
    <w:rsid w:val="00487722"/>
    <w:rsid w:val="00487850"/>
    <w:rsid w:val="00487E20"/>
    <w:rsid w:val="004902D6"/>
    <w:rsid w:val="00490A12"/>
    <w:rsid w:val="00490AE7"/>
    <w:rsid w:val="0049163A"/>
    <w:rsid w:val="0049179A"/>
    <w:rsid w:val="00491A26"/>
    <w:rsid w:val="00493627"/>
    <w:rsid w:val="00493B5B"/>
    <w:rsid w:val="00494266"/>
    <w:rsid w:val="0049572B"/>
    <w:rsid w:val="0049579A"/>
    <w:rsid w:val="00495ADB"/>
    <w:rsid w:val="004965BA"/>
    <w:rsid w:val="00496791"/>
    <w:rsid w:val="00496A84"/>
    <w:rsid w:val="004973A8"/>
    <w:rsid w:val="00497BF3"/>
    <w:rsid w:val="004A01CD"/>
    <w:rsid w:val="004A10DB"/>
    <w:rsid w:val="004A18D2"/>
    <w:rsid w:val="004A18DA"/>
    <w:rsid w:val="004A21B3"/>
    <w:rsid w:val="004A2A2D"/>
    <w:rsid w:val="004A301A"/>
    <w:rsid w:val="004A3059"/>
    <w:rsid w:val="004A34DB"/>
    <w:rsid w:val="004A3C52"/>
    <w:rsid w:val="004A407D"/>
    <w:rsid w:val="004A4353"/>
    <w:rsid w:val="004A519E"/>
    <w:rsid w:val="004A5931"/>
    <w:rsid w:val="004A5964"/>
    <w:rsid w:val="004A5A15"/>
    <w:rsid w:val="004A5B6D"/>
    <w:rsid w:val="004A6213"/>
    <w:rsid w:val="004A6472"/>
    <w:rsid w:val="004A6996"/>
    <w:rsid w:val="004A6ED3"/>
    <w:rsid w:val="004A7A38"/>
    <w:rsid w:val="004B06E4"/>
    <w:rsid w:val="004B0C34"/>
    <w:rsid w:val="004B13A9"/>
    <w:rsid w:val="004B1CD7"/>
    <w:rsid w:val="004B201C"/>
    <w:rsid w:val="004B2362"/>
    <w:rsid w:val="004B4B9F"/>
    <w:rsid w:val="004B501E"/>
    <w:rsid w:val="004B516A"/>
    <w:rsid w:val="004B5CBC"/>
    <w:rsid w:val="004B6163"/>
    <w:rsid w:val="004B61D2"/>
    <w:rsid w:val="004B624A"/>
    <w:rsid w:val="004B6785"/>
    <w:rsid w:val="004B6828"/>
    <w:rsid w:val="004C0014"/>
    <w:rsid w:val="004C0052"/>
    <w:rsid w:val="004C0812"/>
    <w:rsid w:val="004C142C"/>
    <w:rsid w:val="004C1FE1"/>
    <w:rsid w:val="004C2B3B"/>
    <w:rsid w:val="004C324B"/>
    <w:rsid w:val="004C3AEA"/>
    <w:rsid w:val="004C3B7D"/>
    <w:rsid w:val="004C3EB8"/>
    <w:rsid w:val="004C4336"/>
    <w:rsid w:val="004C44CC"/>
    <w:rsid w:val="004C5224"/>
    <w:rsid w:val="004C5C06"/>
    <w:rsid w:val="004C630B"/>
    <w:rsid w:val="004C675C"/>
    <w:rsid w:val="004C7B4C"/>
    <w:rsid w:val="004C7BA1"/>
    <w:rsid w:val="004D07EA"/>
    <w:rsid w:val="004D0864"/>
    <w:rsid w:val="004D0997"/>
    <w:rsid w:val="004D09C0"/>
    <w:rsid w:val="004D0B80"/>
    <w:rsid w:val="004D0E11"/>
    <w:rsid w:val="004D0ECE"/>
    <w:rsid w:val="004D0F38"/>
    <w:rsid w:val="004D245F"/>
    <w:rsid w:val="004D26DE"/>
    <w:rsid w:val="004D2947"/>
    <w:rsid w:val="004D2CB9"/>
    <w:rsid w:val="004D2D0C"/>
    <w:rsid w:val="004D2D53"/>
    <w:rsid w:val="004D3822"/>
    <w:rsid w:val="004D3E58"/>
    <w:rsid w:val="004D47D4"/>
    <w:rsid w:val="004D49A9"/>
    <w:rsid w:val="004D4EF6"/>
    <w:rsid w:val="004D50AB"/>
    <w:rsid w:val="004D5611"/>
    <w:rsid w:val="004D5EA0"/>
    <w:rsid w:val="004D5F07"/>
    <w:rsid w:val="004D60CA"/>
    <w:rsid w:val="004D6C04"/>
    <w:rsid w:val="004D6FBC"/>
    <w:rsid w:val="004D732C"/>
    <w:rsid w:val="004D7755"/>
    <w:rsid w:val="004D78A0"/>
    <w:rsid w:val="004E0335"/>
    <w:rsid w:val="004E1A5D"/>
    <w:rsid w:val="004E2D5B"/>
    <w:rsid w:val="004E2DF5"/>
    <w:rsid w:val="004E3122"/>
    <w:rsid w:val="004E3631"/>
    <w:rsid w:val="004E3CE3"/>
    <w:rsid w:val="004E4498"/>
    <w:rsid w:val="004E4A74"/>
    <w:rsid w:val="004E4B9D"/>
    <w:rsid w:val="004E4D9E"/>
    <w:rsid w:val="004E5110"/>
    <w:rsid w:val="004E541F"/>
    <w:rsid w:val="004E5A0F"/>
    <w:rsid w:val="004E75D4"/>
    <w:rsid w:val="004E7B1B"/>
    <w:rsid w:val="004F038A"/>
    <w:rsid w:val="004F0B58"/>
    <w:rsid w:val="004F1296"/>
    <w:rsid w:val="004F21AF"/>
    <w:rsid w:val="004F26F6"/>
    <w:rsid w:val="004F3406"/>
    <w:rsid w:val="004F3659"/>
    <w:rsid w:val="004F3C6B"/>
    <w:rsid w:val="004F497F"/>
    <w:rsid w:val="004F6D9C"/>
    <w:rsid w:val="004F70B6"/>
    <w:rsid w:val="005007B8"/>
    <w:rsid w:val="00500EA9"/>
    <w:rsid w:val="00501448"/>
    <w:rsid w:val="005015BD"/>
    <w:rsid w:val="00501E4E"/>
    <w:rsid w:val="0050354F"/>
    <w:rsid w:val="00503AB7"/>
    <w:rsid w:val="00504AC0"/>
    <w:rsid w:val="00505740"/>
    <w:rsid w:val="00505E3D"/>
    <w:rsid w:val="00506072"/>
    <w:rsid w:val="00506113"/>
    <w:rsid w:val="00506897"/>
    <w:rsid w:val="00506A1D"/>
    <w:rsid w:val="00506B98"/>
    <w:rsid w:val="00506D8A"/>
    <w:rsid w:val="00506FEA"/>
    <w:rsid w:val="00507602"/>
    <w:rsid w:val="005076C8"/>
    <w:rsid w:val="005100BB"/>
    <w:rsid w:val="005101EE"/>
    <w:rsid w:val="0051050E"/>
    <w:rsid w:val="00511047"/>
    <w:rsid w:val="005114E0"/>
    <w:rsid w:val="0051226D"/>
    <w:rsid w:val="00512552"/>
    <w:rsid w:val="00512720"/>
    <w:rsid w:val="00512B11"/>
    <w:rsid w:val="00513648"/>
    <w:rsid w:val="0051379F"/>
    <w:rsid w:val="00514A1B"/>
    <w:rsid w:val="00514F34"/>
    <w:rsid w:val="005154B3"/>
    <w:rsid w:val="00515617"/>
    <w:rsid w:val="00516E8B"/>
    <w:rsid w:val="00517076"/>
    <w:rsid w:val="005172FE"/>
    <w:rsid w:val="00517688"/>
    <w:rsid w:val="00517A42"/>
    <w:rsid w:val="00520AE6"/>
    <w:rsid w:val="00520DC6"/>
    <w:rsid w:val="005229B7"/>
    <w:rsid w:val="00522AEF"/>
    <w:rsid w:val="005238A4"/>
    <w:rsid w:val="005239F3"/>
    <w:rsid w:val="00524876"/>
    <w:rsid w:val="00524ADC"/>
    <w:rsid w:val="00524EE5"/>
    <w:rsid w:val="00524FD9"/>
    <w:rsid w:val="00525684"/>
    <w:rsid w:val="005260F3"/>
    <w:rsid w:val="0052660F"/>
    <w:rsid w:val="0052668F"/>
    <w:rsid w:val="005267B2"/>
    <w:rsid w:val="00526916"/>
    <w:rsid w:val="005270B9"/>
    <w:rsid w:val="0052770D"/>
    <w:rsid w:val="0052788A"/>
    <w:rsid w:val="00527BFD"/>
    <w:rsid w:val="005300DC"/>
    <w:rsid w:val="005304E1"/>
    <w:rsid w:val="005307E3"/>
    <w:rsid w:val="00530C5E"/>
    <w:rsid w:val="00530E3F"/>
    <w:rsid w:val="00531159"/>
    <w:rsid w:val="005319D8"/>
    <w:rsid w:val="00532346"/>
    <w:rsid w:val="00532952"/>
    <w:rsid w:val="00532CED"/>
    <w:rsid w:val="005330DE"/>
    <w:rsid w:val="00533468"/>
    <w:rsid w:val="005337B0"/>
    <w:rsid w:val="00533AC1"/>
    <w:rsid w:val="00533E0F"/>
    <w:rsid w:val="00534204"/>
    <w:rsid w:val="00534DAA"/>
    <w:rsid w:val="00534E5F"/>
    <w:rsid w:val="005355AB"/>
    <w:rsid w:val="0053569B"/>
    <w:rsid w:val="00535D4F"/>
    <w:rsid w:val="005365A4"/>
    <w:rsid w:val="00537248"/>
    <w:rsid w:val="00537613"/>
    <w:rsid w:val="0054071D"/>
    <w:rsid w:val="00540D8F"/>
    <w:rsid w:val="00540F8B"/>
    <w:rsid w:val="00541603"/>
    <w:rsid w:val="005430E9"/>
    <w:rsid w:val="00543683"/>
    <w:rsid w:val="00543CB3"/>
    <w:rsid w:val="00544632"/>
    <w:rsid w:val="005449F9"/>
    <w:rsid w:val="00544FEA"/>
    <w:rsid w:val="00545310"/>
    <w:rsid w:val="00545644"/>
    <w:rsid w:val="00545A82"/>
    <w:rsid w:val="00545BE9"/>
    <w:rsid w:val="005460EE"/>
    <w:rsid w:val="00546E9E"/>
    <w:rsid w:val="005478D7"/>
    <w:rsid w:val="00547EEF"/>
    <w:rsid w:val="0055100D"/>
    <w:rsid w:val="005516CF"/>
    <w:rsid w:val="0055190D"/>
    <w:rsid w:val="00551B89"/>
    <w:rsid w:val="00551CE4"/>
    <w:rsid w:val="00552312"/>
    <w:rsid w:val="00552D9E"/>
    <w:rsid w:val="00552E13"/>
    <w:rsid w:val="005530EB"/>
    <w:rsid w:val="005532EE"/>
    <w:rsid w:val="00553336"/>
    <w:rsid w:val="005537E3"/>
    <w:rsid w:val="00553B9E"/>
    <w:rsid w:val="00554CAE"/>
    <w:rsid w:val="005558F1"/>
    <w:rsid w:val="0055647D"/>
    <w:rsid w:val="00556785"/>
    <w:rsid w:val="00556E8F"/>
    <w:rsid w:val="00557077"/>
    <w:rsid w:val="005577F1"/>
    <w:rsid w:val="00560356"/>
    <w:rsid w:val="005603E7"/>
    <w:rsid w:val="0056085F"/>
    <w:rsid w:val="005609FE"/>
    <w:rsid w:val="00561427"/>
    <w:rsid w:val="00561C70"/>
    <w:rsid w:val="005624FF"/>
    <w:rsid w:val="00562531"/>
    <w:rsid w:val="00562562"/>
    <w:rsid w:val="005625D0"/>
    <w:rsid w:val="005625D1"/>
    <w:rsid w:val="0056273C"/>
    <w:rsid w:val="00562A88"/>
    <w:rsid w:val="005641FE"/>
    <w:rsid w:val="00564BE6"/>
    <w:rsid w:val="00565246"/>
    <w:rsid w:val="0056551F"/>
    <w:rsid w:val="00565EDB"/>
    <w:rsid w:val="00566259"/>
    <w:rsid w:val="0056693F"/>
    <w:rsid w:val="00566C25"/>
    <w:rsid w:val="005670A6"/>
    <w:rsid w:val="00567481"/>
    <w:rsid w:val="00567795"/>
    <w:rsid w:val="00567D1C"/>
    <w:rsid w:val="00570025"/>
    <w:rsid w:val="0057051D"/>
    <w:rsid w:val="005709A8"/>
    <w:rsid w:val="00571C1C"/>
    <w:rsid w:val="00572594"/>
    <w:rsid w:val="00572A67"/>
    <w:rsid w:val="0057350B"/>
    <w:rsid w:val="0057389F"/>
    <w:rsid w:val="00573983"/>
    <w:rsid w:val="00573F70"/>
    <w:rsid w:val="005740C7"/>
    <w:rsid w:val="005743B8"/>
    <w:rsid w:val="0057452C"/>
    <w:rsid w:val="00574BE9"/>
    <w:rsid w:val="00574C9E"/>
    <w:rsid w:val="00575426"/>
    <w:rsid w:val="00575B97"/>
    <w:rsid w:val="00576016"/>
    <w:rsid w:val="00576086"/>
    <w:rsid w:val="0057617F"/>
    <w:rsid w:val="00576352"/>
    <w:rsid w:val="00576772"/>
    <w:rsid w:val="00576D78"/>
    <w:rsid w:val="00576F56"/>
    <w:rsid w:val="005773F7"/>
    <w:rsid w:val="00577B2F"/>
    <w:rsid w:val="00577D63"/>
    <w:rsid w:val="00580609"/>
    <w:rsid w:val="00581A71"/>
    <w:rsid w:val="00581CF5"/>
    <w:rsid w:val="005822FD"/>
    <w:rsid w:val="00582C43"/>
    <w:rsid w:val="00582F5D"/>
    <w:rsid w:val="005831D1"/>
    <w:rsid w:val="00583236"/>
    <w:rsid w:val="00583562"/>
    <w:rsid w:val="005837BA"/>
    <w:rsid w:val="00583D3C"/>
    <w:rsid w:val="00584158"/>
    <w:rsid w:val="0058431E"/>
    <w:rsid w:val="00584453"/>
    <w:rsid w:val="005846A2"/>
    <w:rsid w:val="00584E6A"/>
    <w:rsid w:val="005855B2"/>
    <w:rsid w:val="005857BC"/>
    <w:rsid w:val="00585B84"/>
    <w:rsid w:val="005860C7"/>
    <w:rsid w:val="00586778"/>
    <w:rsid w:val="005870A0"/>
    <w:rsid w:val="0058742C"/>
    <w:rsid w:val="00590854"/>
    <w:rsid w:val="00590A66"/>
    <w:rsid w:val="005913B0"/>
    <w:rsid w:val="00591425"/>
    <w:rsid w:val="00591F01"/>
    <w:rsid w:val="005923E5"/>
    <w:rsid w:val="005925ED"/>
    <w:rsid w:val="00593039"/>
    <w:rsid w:val="00593450"/>
    <w:rsid w:val="00593507"/>
    <w:rsid w:val="005941A1"/>
    <w:rsid w:val="00594510"/>
    <w:rsid w:val="0059490F"/>
    <w:rsid w:val="00594BF3"/>
    <w:rsid w:val="00594EC4"/>
    <w:rsid w:val="005957D2"/>
    <w:rsid w:val="00595FE5"/>
    <w:rsid w:val="0059604B"/>
    <w:rsid w:val="00596C78"/>
    <w:rsid w:val="005971D8"/>
    <w:rsid w:val="0059723F"/>
    <w:rsid w:val="005973CB"/>
    <w:rsid w:val="00597AEB"/>
    <w:rsid w:val="00597C13"/>
    <w:rsid w:val="005A00E2"/>
    <w:rsid w:val="005A0130"/>
    <w:rsid w:val="005A08B6"/>
    <w:rsid w:val="005A1305"/>
    <w:rsid w:val="005A13EF"/>
    <w:rsid w:val="005A145F"/>
    <w:rsid w:val="005A1796"/>
    <w:rsid w:val="005A1C4F"/>
    <w:rsid w:val="005A1D4F"/>
    <w:rsid w:val="005A1D54"/>
    <w:rsid w:val="005A206E"/>
    <w:rsid w:val="005A23CB"/>
    <w:rsid w:val="005A27A2"/>
    <w:rsid w:val="005A2880"/>
    <w:rsid w:val="005A3610"/>
    <w:rsid w:val="005A37BA"/>
    <w:rsid w:val="005A3992"/>
    <w:rsid w:val="005A39DF"/>
    <w:rsid w:val="005A3A51"/>
    <w:rsid w:val="005A3AAB"/>
    <w:rsid w:val="005A3F51"/>
    <w:rsid w:val="005A436C"/>
    <w:rsid w:val="005A55A4"/>
    <w:rsid w:val="005A572A"/>
    <w:rsid w:val="005A585F"/>
    <w:rsid w:val="005A63E7"/>
    <w:rsid w:val="005A67F2"/>
    <w:rsid w:val="005A6C04"/>
    <w:rsid w:val="005A757E"/>
    <w:rsid w:val="005B0413"/>
    <w:rsid w:val="005B0A09"/>
    <w:rsid w:val="005B13E9"/>
    <w:rsid w:val="005B15A2"/>
    <w:rsid w:val="005B1AF0"/>
    <w:rsid w:val="005B1C4A"/>
    <w:rsid w:val="005B1C5A"/>
    <w:rsid w:val="005B2258"/>
    <w:rsid w:val="005B2ED8"/>
    <w:rsid w:val="005B2F3A"/>
    <w:rsid w:val="005B3284"/>
    <w:rsid w:val="005B341A"/>
    <w:rsid w:val="005B3D3B"/>
    <w:rsid w:val="005B3D64"/>
    <w:rsid w:val="005B46B5"/>
    <w:rsid w:val="005B4F81"/>
    <w:rsid w:val="005B5311"/>
    <w:rsid w:val="005B5C08"/>
    <w:rsid w:val="005B5C96"/>
    <w:rsid w:val="005B76CC"/>
    <w:rsid w:val="005B78BD"/>
    <w:rsid w:val="005B7BDA"/>
    <w:rsid w:val="005B7E3F"/>
    <w:rsid w:val="005C00AE"/>
    <w:rsid w:val="005C07AB"/>
    <w:rsid w:val="005C0BE0"/>
    <w:rsid w:val="005C0C9E"/>
    <w:rsid w:val="005C11B7"/>
    <w:rsid w:val="005C28CB"/>
    <w:rsid w:val="005C2DD4"/>
    <w:rsid w:val="005C2F07"/>
    <w:rsid w:val="005C32FB"/>
    <w:rsid w:val="005C3697"/>
    <w:rsid w:val="005C3D75"/>
    <w:rsid w:val="005C4461"/>
    <w:rsid w:val="005C63FE"/>
    <w:rsid w:val="005C6E73"/>
    <w:rsid w:val="005C74EF"/>
    <w:rsid w:val="005C79BC"/>
    <w:rsid w:val="005D0482"/>
    <w:rsid w:val="005D08B9"/>
    <w:rsid w:val="005D0FB1"/>
    <w:rsid w:val="005D0FD6"/>
    <w:rsid w:val="005D12E4"/>
    <w:rsid w:val="005D1646"/>
    <w:rsid w:val="005D27C0"/>
    <w:rsid w:val="005D2D21"/>
    <w:rsid w:val="005D358D"/>
    <w:rsid w:val="005D396F"/>
    <w:rsid w:val="005D397E"/>
    <w:rsid w:val="005D3A2C"/>
    <w:rsid w:val="005D3CB6"/>
    <w:rsid w:val="005D4030"/>
    <w:rsid w:val="005D4AFF"/>
    <w:rsid w:val="005D4BE3"/>
    <w:rsid w:val="005D4C35"/>
    <w:rsid w:val="005D4C8C"/>
    <w:rsid w:val="005D4E28"/>
    <w:rsid w:val="005D58EA"/>
    <w:rsid w:val="005D5952"/>
    <w:rsid w:val="005D74C9"/>
    <w:rsid w:val="005D7A92"/>
    <w:rsid w:val="005D7BA7"/>
    <w:rsid w:val="005D7CF6"/>
    <w:rsid w:val="005D7DDF"/>
    <w:rsid w:val="005E044F"/>
    <w:rsid w:val="005E0639"/>
    <w:rsid w:val="005E0FE5"/>
    <w:rsid w:val="005E1828"/>
    <w:rsid w:val="005E1DF9"/>
    <w:rsid w:val="005E2562"/>
    <w:rsid w:val="005E25FF"/>
    <w:rsid w:val="005E2605"/>
    <w:rsid w:val="005E2623"/>
    <w:rsid w:val="005E320B"/>
    <w:rsid w:val="005E3321"/>
    <w:rsid w:val="005E35E4"/>
    <w:rsid w:val="005E386A"/>
    <w:rsid w:val="005E45AE"/>
    <w:rsid w:val="005E5236"/>
    <w:rsid w:val="005E583E"/>
    <w:rsid w:val="005E5CB8"/>
    <w:rsid w:val="005E5ECB"/>
    <w:rsid w:val="005E65A2"/>
    <w:rsid w:val="005E7427"/>
    <w:rsid w:val="005F0691"/>
    <w:rsid w:val="005F0904"/>
    <w:rsid w:val="005F2157"/>
    <w:rsid w:val="005F2390"/>
    <w:rsid w:val="005F25BC"/>
    <w:rsid w:val="005F2F22"/>
    <w:rsid w:val="005F4D3C"/>
    <w:rsid w:val="005F5444"/>
    <w:rsid w:val="005F584E"/>
    <w:rsid w:val="005F6F5B"/>
    <w:rsid w:val="005F7922"/>
    <w:rsid w:val="005F7A17"/>
    <w:rsid w:val="005F7EDE"/>
    <w:rsid w:val="00600B45"/>
    <w:rsid w:val="00600EBE"/>
    <w:rsid w:val="006011A8"/>
    <w:rsid w:val="00601614"/>
    <w:rsid w:val="006016D5"/>
    <w:rsid w:val="006030AA"/>
    <w:rsid w:val="0060375E"/>
    <w:rsid w:val="00603D94"/>
    <w:rsid w:val="00603E9A"/>
    <w:rsid w:val="00604051"/>
    <w:rsid w:val="00604CBA"/>
    <w:rsid w:val="00604D3A"/>
    <w:rsid w:val="00605887"/>
    <w:rsid w:val="00605D1D"/>
    <w:rsid w:val="00606436"/>
    <w:rsid w:val="00607784"/>
    <w:rsid w:val="006102DA"/>
    <w:rsid w:val="00610434"/>
    <w:rsid w:val="00610C4C"/>
    <w:rsid w:val="00611103"/>
    <w:rsid w:val="0061131D"/>
    <w:rsid w:val="0061173B"/>
    <w:rsid w:val="006118E6"/>
    <w:rsid w:val="006118F9"/>
    <w:rsid w:val="0061191F"/>
    <w:rsid w:val="00611E95"/>
    <w:rsid w:val="00612415"/>
    <w:rsid w:val="00612587"/>
    <w:rsid w:val="00612E32"/>
    <w:rsid w:val="00612F20"/>
    <w:rsid w:val="0061308E"/>
    <w:rsid w:val="006139C3"/>
    <w:rsid w:val="00613A6F"/>
    <w:rsid w:val="00614823"/>
    <w:rsid w:val="00615302"/>
    <w:rsid w:val="00615949"/>
    <w:rsid w:val="006167CC"/>
    <w:rsid w:val="0061680B"/>
    <w:rsid w:val="00616AFD"/>
    <w:rsid w:val="00617073"/>
    <w:rsid w:val="006201D4"/>
    <w:rsid w:val="006202C3"/>
    <w:rsid w:val="0062052B"/>
    <w:rsid w:val="006205A9"/>
    <w:rsid w:val="006207E1"/>
    <w:rsid w:val="00620CBF"/>
    <w:rsid w:val="006211E0"/>
    <w:rsid w:val="0062143D"/>
    <w:rsid w:val="00621AE4"/>
    <w:rsid w:val="006222B0"/>
    <w:rsid w:val="00623D3D"/>
    <w:rsid w:val="00624185"/>
    <w:rsid w:val="0062426B"/>
    <w:rsid w:val="00624DD8"/>
    <w:rsid w:val="00624F57"/>
    <w:rsid w:val="00625398"/>
    <w:rsid w:val="00625B54"/>
    <w:rsid w:val="006263BF"/>
    <w:rsid w:val="00626402"/>
    <w:rsid w:val="00626684"/>
    <w:rsid w:val="006279FF"/>
    <w:rsid w:val="00627FB2"/>
    <w:rsid w:val="0063073D"/>
    <w:rsid w:val="00630CC6"/>
    <w:rsid w:val="00631142"/>
    <w:rsid w:val="00631477"/>
    <w:rsid w:val="00631C24"/>
    <w:rsid w:val="00631D4E"/>
    <w:rsid w:val="0063388E"/>
    <w:rsid w:val="00634A94"/>
    <w:rsid w:val="006352BB"/>
    <w:rsid w:val="00635747"/>
    <w:rsid w:val="0063675D"/>
    <w:rsid w:val="006374C7"/>
    <w:rsid w:val="006375F8"/>
    <w:rsid w:val="0064070F"/>
    <w:rsid w:val="00640854"/>
    <w:rsid w:val="00640B56"/>
    <w:rsid w:val="0064172F"/>
    <w:rsid w:val="00641D09"/>
    <w:rsid w:val="00642160"/>
    <w:rsid w:val="00642ABA"/>
    <w:rsid w:val="00643C8E"/>
    <w:rsid w:val="00644040"/>
    <w:rsid w:val="006441E3"/>
    <w:rsid w:val="0064455D"/>
    <w:rsid w:val="00644FF2"/>
    <w:rsid w:val="00645955"/>
    <w:rsid w:val="00645D2E"/>
    <w:rsid w:val="006465F7"/>
    <w:rsid w:val="006467F9"/>
    <w:rsid w:val="00646B34"/>
    <w:rsid w:val="00647E1C"/>
    <w:rsid w:val="00650FF9"/>
    <w:rsid w:val="00651247"/>
    <w:rsid w:val="006513B5"/>
    <w:rsid w:val="00651A05"/>
    <w:rsid w:val="006531DF"/>
    <w:rsid w:val="006537F4"/>
    <w:rsid w:val="00653EB4"/>
    <w:rsid w:val="00653FE2"/>
    <w:rsid w:val="00654194"/>
    <w:rsid w:val="006546AA"/>
    <w:rsid w:val="006546E3"/>
    <w:rsid w:val="00654832"/>
    <w:rsid w:val="0065549C"/>
    <w:rsid w:val="00655A8A"/>
    <w:rsid w:val="0065640E"/>
    <w:rsid w:val="00656BE4"/>
    <w:rsid w:val="006570BE"/>
    <w:rsid w:val="0065759A"/>
    <w:rsid w:val="00657DEE"/>
    <w:rsid w:val="00657ED6"/>
    <w:rsid w:val="0066066C"/>
    <w:rsid w:val="006618B6"/>
    <w:rsid w:val="0066210C"/>
    <w:rsid w:val="006623B9"/>
    <w:rsid w:val="006628A9"/>
    <w:rsid w:val="006638C8"/>
    <w:rsid w:val="00663F6C"/>
    <w:rsid w:val="006642AC"/>
    <w:rsid w:val="0066475C"/>
    <w:rsid w:val="00664C87"/>
    <w:rsid w:val="006650BC"/>
    <w:rsid w:val="00665357"/>
    <w:rsid w:val="006653D4"/>
    <w:rsid w:val="006655BD"/>
    <w:rsid w:val="006656AB"/>
    <w:rsid w:val="00665C2D"/>
    <w:rsid w:val="00666392"/>
    <w:rsid w:val="00666734"/>
    <w:rsid w:val="00667284"/>
    <w:rsid w:val="00667801"/>
    <w:rsid w:val="00667A53"/>
    <w:rsid w:val="00667FAD"/>
    <w:rsid w:val="00670373"/>
    <w:rsid w:val="00671148"/>
    <w:rsid w:val="006711CF"/>
    <w:rsid w:val="00672141"/>
    <w:rsid w:val="006721E0"/>
    <w:rsid w:val="00672B07"/>
    <w:rsid w:val="0067366F"/>
    <w:rsid w:val="00673958"/>
    <w:rsid w:val="00673F43"/>
    <w:rsid w:val="00674989"/>
    <w:rsid w:val="00674D4A"/>
    <w:rsid w:val="00675807"/>
    <w:rsid w:val="00675820"/>
    <w:rsid w:val="00676BE4"/>
    <w:rsid w:val="00677021"/>
    <w:rsid w:val="00677CCB"/>
    <w:rsid w:val="0068098E"/>
    <w:rsid w:val="00680FB9"/>
    <w:rsid w:val="00681464"/>
    <w:rsid w:val="0068168E"/>
    <w:rsid w:val="0068179A"/>
    <w:rsid w:val="00681993"/>
    <w:rsid w:val="006824B6"/>
    <w:rsid w:val="00682D80"/>
    <w:rsid w:val="00682E81"/>
    <w:rsid w:val="00683694"/>
    <w:rsid w:val="00683DBB"/>
    <w:rsid w:val="00684A0C"/>
    <w:rsid w:val="00684C53"/>
    <w:rsid w:val="00685261"/>
    <w:rsid w:val="00685619"/>
    <w:rsid w:val="00685CDA"/>
    <w:rsid w:val="00685FB1"/>
    <w:rsid w:val="00686635"/>
    <w:rsid w:val="00687732"/>
    <w:rsid w:val="006877F9"/>
    <w:rsid w:val="00687996"/>
    <w:rsid w:val="00687A06"/>
    <w:rsid w:val="00690E42"/>
    <w:rsid w:val="006923E3"/>
    <w:rsid w:val="0069290A"/>
    <w:rsid w:val="00692C83"/>
    <w:rsid w:val="00692CBD"/>
    <w:rsid w:val="00692EC9"/>
    <w:rsid w:val="00694575"/>
    <w:rsid w:val="00694870"/>
    <w:rsid w:val="00695992"/>
    <w:rsid w:val="00695F34"/>
    <w:rsid w:val="00696358"/>
    <w:rsid w:val="00696EA3"/>
    <w:rsid w:val="00696F75"/>
    <w:rsid w:val="006973BA"/>
    <w:rsid w:val="0069773F"/>
    <w:rsid w:val="0069783F"/>
    <w:rsid w:val="006A0D12"/>
    <w:rsid w:val="006A273A"/>
    <w:rsid w:val="006A3A2E"/>
    <w:rsid w:val="006A3BD6"/>
    <w:rsid w:val="006A465A"/>
    <w:rsid w:val="006A4F1A"/>
    <w:rsid w:val="006A5361"/>
    <w:rsid w:val="006A5BFC"/>
    <w:rsid w:val="006A6F33"/>
    <w:rsid w:val="006A7E4E"/>
    <w:rsid w:val="006B0272"/>
    <w:rsid w:val="006B0A84"/>
    <w:rsid w:val="006B0EE2"/>
    <w:rsid w:val="006B1870"/>
    <w:rsid w:val="006B19AC"/>
    <w:rsid w:val="006B1A40"/>
    <w:rsid w:val="006B22AC"/>
    <w:rsid w:val="006B23B8"/>
    <w:rsid w:val="006B265C"/>
    <w:rsid w:val="006B293D"/>
    <w:rsid w:val="006B36F7"/>
    <w:rsid w:val="006B471A"/>
    <w:rsid w:val="006B492E"/>
    <w:rsid w:val="006B4B68"/>
    <w:rsid w:val="006B50FA"/>
    <w:rsid w:val="006B532C"/>
    <w:rsid w:val="006B5BDC"/>
    <w:rsid w:val="006B5DAA"/>
    <w:rsid w:val="006B5FC5"/>
    <w:rsid w:val="006B6689"/>
    <w:rsid w:val="006B66F1"/>
    <w:rsid w:val="006B6AF5"/>
    <w:rsid w:val="006B6CE6"/>
    <w:rsid w:val="006B6F37"/>
    <w:rsid w:val="006C0321"/>
    <w:rsid w:val="006C0367"/>
    <w:rsid w:val="006C07D5"/>
    <w:rsid w:val="006C0861"/>
    <w:rsid w:val="006C12B9"/>
    <w:rsid w:val="006C1399"/>
    <w:rsid w:val="006C2470"/>
    <w:rsid w:val="006C2B90"/>
    <w:rsid w:val="006C43D8"/>
    <w:rsid w:val="006C5AA4"/>
    <w:rsid w:val="006C606A"/>
    <w:rsid w:val="006C656B"/>
    <w:rsid w:val="006C6882"/>
    <w:rsid w:val="006C6ACF"/>
    <w:rsid w:val="006C6FC3"/>
    <w:rsid w:val="006C7B86"/>
    <w:rsid w:val="006D017B"/>
    <w:rsid w:val="006D0826"/>
    <w:rsid w:val="006D0CCB"/>
    <w:rsid w:val="006D1315"/>
    <w:rsid w:val="006D1AE9"/>
    <w:rsid w:val="006D2E54"/>
    <w:rsid w:val="006D417A"/>
    <w:rsid w:val="006D4416"/>
    <w:rsid w:val="006D444A"/>
    <w:rsid w:val="006D5291"/>
    <w:rsid w:val="006D5495"/>
    <w:rsid w:val="006D5DF1"/>
    <w:rsid w:val="006D5ED5"/>
    <w:rsid w:val="006D6069"/>
    <w:rsid w:val="006D7AF5"/>
    <w:rsid w:val="006D7CF1"/>
    <w:rsid w:val="006E0BEB"/>
    <w:rsid w:val="006E1388"/>
    <w:rsid w:val="006E1827"/>
    <w:rsid w:val="006E1B06"/>
    <w:rsid w:val="006E1B26"/>
    <w:rsid w:val="006E2980"/>
    <w:rsid w:val="006E2CE9"/>
    <w:rsid w:val="006E2D8D"/>
    <w:rsid w:val="006E3799"/>
    <w:rsid w:val="006E3DAB"/>
    <w:rsid w:val="006E419B"/>
    <w:rsid w:val="006E42B3"/>
    <w:rsid w:val="006E44BF"/>
    <w:rsid w:val="006E461F"/>
    <w:rsid w:val="006E46AB"/>
    <w:rsid w:val="006E4C16"/>
    <w:rsid w:val="006E4C3E"/>
    <w:rsid w:val="006E5B37"/>
    <w:rsid w:val="006E5B51"/>
    <w:rsid w:val="006E6776"/>
    <w:rsid w:val="006E766C"/>
    <w:rsid w:val="006F18F9"/>
    <w:rsid w:val="006F20E6"/>
    <w:rsid w:val="006F2129"/>
    <w:rsid w:val="006F264E"/>
    <w:rsid w:val="006F27F5"/>
    <w:rsid w:val="006F3030"/>
    <w:rsid w:val="006F407A"/>
    <w:rsid w:val="006F40BA"/>
    <w:rsid w:val="006F498C"/>
    <w:rsid w:val="006F4BD3"/>
    <w:rsid w:val="006F5481"/>
    <w:rsid w:val="006F5749"/>
    <w:rsid w:val="006F5967"/>
    <w:rsid w:val="006F5B81"/>
    <w:rsid w:val="006F652C"/>
    <w:rsid w:val="006F6857"/>
    <w:rsid w:val="006F69FC"/>
    <w:rsid w:val="006F6CDC"/>
    <w:rsid w:val="0070145A"/>
    <w:rsid w:val="007019A9"/>
    <w:rsid w:val="0070212D"/>
    <w:rsid w:val="00702CD0"/>
    <w:rsid w:val="00704A31"/>
    <w:rsid w:val="0070519D"/>
    <w:rsid w:val="00705A0E"/>
    <w:rsid w:val="007061E6"/>
    <w:rsid w:val="0070733D"/>
    <w:rsid w:val="00710E55"/>
    <w:rsid w:val="007122F0"/>
    <w:rsid w:val="00712AC6"/>
    <w:rsid w:val="00713B6B"/>
    <w:rsid w:val="00713B8E"/>
    <w:rsid w:val="00714103"/>
    <w:rsid w:val="00714D7D"/>
    <w:rsid w:val="00714EF9"/>
    <w:rsid w:val="007150A9"/>
    <w:rsid w:val="00716578"/>
    <w:rsid w:val="007166E2"/>
    <w:rsid w:val="007172B5"/>
    <w:rsid w:val="007178F8"/>
    <w:rsid w:val="00720AAF"/>
    <w:rsid w:val="00720AFE"/>
    <w:rsid w:val="00720F63"/>
    <w:rsid w:val="00721AB2"/>
    <w:rsid w:val="00721D75"/>
    <w:rsid w:val="007220CF"/>
    <w:rsid w:val="00722308"/>
    <w:rsid w:val="0072250C"/>
    <w:rsid w:val="00722DA4"/>
    <w:rsid w:val="00723579"/>
    <w:rsid w:val="007238A3"/>
    <w:rsid w:val="007248A8"/>
    <w:rsid w:val="00724B18"/>
    <w:rsid w:val="00724BC5"/>
    <w:rsid w:val="00724BFF"/>
    <w:rsid w:val="00724D87"/>
    <w:rsid w:val="00725523"/>
    <w:rsid w:val="007258DC"/>
    <w:rsid w:val="0072593A"/>
    <w:rsid w:val="0072602B"/>
    <w:rsid w:val="00726429"/>
    <w:rsid w:val="00726694"/>
    <w:rsid w:val="007269CF"/>
    <w:rsid w:val="00726A15"/>
    <w:rsid w:val="007271C4"/>
    <w:rsid w:val="007271FE"/>
    <w:rsid w:val="00727870"/>
    <w:rsid w:val="00727E89"/>
    <w:rsid w:val="007305E6"/>
    <w:rsid w:val="00730935"/>
    <w:rsid w:val="00730C35"/>
    <w:rsid w:val="00730DD6"/>
    <w:rsid w:val="00731453"/>
    <w:rsid w:val="007318FB"/>
    <w:rsid w:val="00731D28"/>
    <w:rsid w:val="00731EFA"/>
    <w:rsid w:val="007323B2"/>
    <w:rsid w:val="00732B98"/>
    <w:rsid w:val="00732CAB"/>
    <w:rsid w:val="007330BB"/>
    <w:rsid w:val="0073345F"/>
    <w:rsid w:val="00734716"/>
    <w:rsid w:val="00735579"/>
    <w:rsid w:val="00735AF1"/>
    <w:rsid w:val="00735CDF"/>
    <w:rsid w:val="00735DF4"/>
    <w:rsid w:val="00736EAC"/>
    <w:rsid w:val="0073701A"/>
    <w:rsid w:val="0073711E"/>
    <w:rsid w:val="00737AEF"/>
    <w:rsid w:val="00740284"/>
    <w:rsid w:val="007409BA"/>
    <w:rsid w:val="0074120B"/>
    <w:rsid w:val="007434E9"/>
    <w:rsid w:val="00743824"/>
    <w:rsid w:val="0074394F"/>
    <w:rsid w:val="00743B62"/>
    <w:rsid w:val="00744B25"/>
    <w:rsid w:val="00744F2A"/>
    <w:rsid w:val="00745442"/>
    <w:rsid w:val="00745816"/>
    <w:rsid w:val="007460E3"/>
    <w:rsid w:val="00746725"/>
    <w:rsid w:val="007467F1"/>
    <w:rsid w:val="00747759"/>
    <w:rsid w:val="00747DDE"/>
    <w:rsid w:val="0075053A"/>
    <w:rsid w:val="00750F4C"/>
    <w:rsid w:val="0075118A"/>
    <w:rsid w:val="007514E8"/>
    <w:rsid w:val="00751508"/>
    <w:rsid w:val="007517BD"/>
    <w:rsid w:val="007527B6"/>
    <w:rsid w:val="007531BA"/>
    <w:rsid w:val="0075342E"/>
    <w:rsid w:val="00753462"/>
    <w:rsid w:val="0075616D"/>
    <w:rsid w:val="0075625B"/>
    <w:rsid w:val="007565C4"/>
    <w:rsid w:val="00756C9C"/>
    <w:rsid w:val="00757406"/>
    <w:rsid w:val="00757534"/>
    <w:rsid w:val="00757CD2"/>
    <w:rsid w:val="0076015A"/>
    <w:rsid w:val="007601E2"/>
    <w:rsid w:val="007605A5"/>
    <w:rsid w:val="0076089B"/>
    <w:rsid w:val="00760B09"/>
    <w:rsid w:val="00761C2E"/>
    <w:rsid w:val="0076442A"/>
    <w:rsid w:val="00764498"/>
    <w:rsid w:val="007648F0"/>
    <w:rsid w:val="00764AC7"/>
    <w:rsid w:val="007679C2"/>
    <w:rsid w:val="00767CD5"/>
    <w:rsid w:val="007713CB"/>
    <w:rsid w:val="007719C4"/>
    <w:rsid w:val="007721D3"/>
    <w:rsid w:val="00773AED"/>
    <w:rsid w:val="007741A1"/>
    <w:rsid w:val="0077431B"/>
    <w:rsid w:val="00774528"/>
    <w:rsid w:val="00775139"/>
    <w:rsid w:val="00775769"/>
    <w:rsid w:val="00775E9A"/>
    <w:rsid w:val="00776705"/>
    <w:rsid w:val="00776804"/>
    <w:rsid w:val="00776B0E"/>
    <w:rsid w:val="0077769B"/>
    <w:rsid w:val="00777D65"/>
    <w:rsid w:val="00780021"/>
    <w:rsid w:val="0078011A"/>
    <w:rsid w:val="00780582"/>
    <w:rsid w:val="007806BB"/>
    <w:rsid w:val="00780892"/>
    <w:rsid w:val="00781336"/>
    <w:rsid w:val="00781E6A"/>
    <w:rsid w:val="00781F50"/>
    <w:rsid w:val="00782507"/>
    <w:rsid w:val="00782AE8"/>
    <w:rsid w:val="0078349F"/>
    <w:rsid w:val="00783680"/>
    <w:rsid w:val="007838C4"/>
    <w:rsid w:val="00783DD0"/>
    <w:rsid w:val="00783EE5"/>
    <w:rsid w:val="007846D7"/>
    <w:rsid w:val="0078476B"/>
    <w:rsid w:val="00784C52"/>
    <w:rsid w:val="00784D56"/>
    <w:rsid w:val="00784FB0"/>
    <w:rsid w:val="00785133"/>
    <w:rsid w:val="00785900"/>
    <w:rsid w:val="00785C1D"/>
    <w:rsid w:val="00785E61"/>
    <w:rsid w:val="007861DD"/>
    <w:rsid w:val="00786808"/>
    <w:rsid w:val="007872C9"/>
    <w:rsid w:val="00787926"/>
    <w:rsid w:val="00787A06"/>
    <w:rsid w:val="00790264"/>
    <w:rsid w:val="00790CD1"/>
    <w:rsid w:val="00790F05"/>
    <w:rsid w:val="00791505"/>
    <w:rsid w:val="00791666"/>
    <w:rsid w:val="007919FF"/>
    <w:rsid w:val="00791DE9"/>
    <w:rsid w:val="00792336"/>
    <w:rsid w:val="00792F77"/>
    <w:rsid w:val="00792F9D"/>
    <w:rsid w:val="00793154"/>
    <w:rsid w:val="00793C72"/>
    <w:rsid w:val="007943B1"/>
    <w:rsid w:val="007949D8"/>
    <w:rsid w:val="0079524A"/>
    <w:rsid w:val="00795BD1"/>
    <w:rsid w:val="00796808"/>
    <w:rsid w:val="007968C8"/>
    <w:rsid w:val="00797485"/>
    <w:rsid w:val="00797A19"/>
    <w:rsid w:val="007A09FE"/>
    <w:rsid w:val="007A2255"/>
    <w:rsid w:val="007A22CE"/>
    <w:rsid w:val="007A233A"/>
    <w:rsid w:val="007A2D35"/>
    <w:rsid w:val="007A3150"/>
    <w:rsid w:val="007A353B"/>
    <w:rsid w:val="007A4336"/>
    <w:rsid w:val="007A4466"/>
    <w:rsid w:val="007A58E8"/>
    <w:rsid w:val="007A66E3"/>
    <w:rsid w:val="007A6746"/>
    <w:rsid w:val="007A6EFF"/>
    <w:rsid w:val="007A748B"/>
    <w:rsid w:val="007A7599"/>
    <w:rsid w:val="007A7AD5"/>
    <w:rsid w:val="007B034E"/>
    <w:rsid w:val="007B0AF6"/>
    <w:rsid w:val="007B0D46"/>
    <w:rsid w:val="007B144D"/>
    <w:rsid w:val="007B1EA4"/>
    <w:rsid w:val="007B24E3"/>
    <w:rsid w:val="007B2CF6"/>
    <w:rsid w:val="007B2E6F"/>
    <w:rsid w:val="007B2FF2"/>
    <w:rsid w:val="007B3279"/>
    <w:rsid w:val="007B3896"/>
    <w:rsid w:val="007B3EB4"/>
    <w:rsid w:val="007B4A0D"/>
    <w:rsid w:val="007B4D23"/>
    <w:rsid w:val="007B517D"/>
    <w:rsid w:val="007B5B20"/>
    <w:rsid w:val="007B5F1A"/>
    <w:rsid w:val="007B5F61"/>
    <w:rsid w:val="007B5FFE"/>
    <w:rsid w:val="007B6375"/>
    <w:rsid w:val="007B68D1"/>
    <w:rsid w:val="007B6EAE"/>
    <w:rsid w:val="007B7D30"/>
    <w:rsid w:val="007C054D"/>
    <w:rsid w:val="007C0A7B"/>
    <w:rsid w:val="007C147E"/>
    <w:rsid w:val="007C214A"/>
    <w:rsid w:val="007C2336"/>
    <w:rsid w:val="007C2BB7"/>
    <w:rsid w:val="007C311D"/>
    <w:rsid w:val="007C35D2"/>
    <w:rsid w:val="007C3734"/>
    <w:rsid w:val="007C39E2"/>
    <w:rsid w:val="007C3B9A"/>
    <w:rsid w:val="007C3E84"/>
    <w:rsid w:val="007C45D4"/>
    <w:rsid w:val="007C4BEE"/>
    <w:rsid w:val="007C54B9"/>
    <w:rsid w:val="007C5651"/>
    <w:rsid w:val="007C60A9"/>
    <w:rsid w:val="007C6221"/>
    <w:rsid w:val="007C665E"/>
    <w:rsid w:val="007C77BC"/>
    <w:rsid w:val="007C7F52"/>
    <w:rsid w:val="007C7FD4"/>
    <w:rsid w:val="007D04D7"/>
    <w:rsid w:val="007D0616"/>
    <w:rsid w:val="007D076D"/>
    <w:rsid w:val="007D0A15"/>
    <w:rsid w:val="007D0D5B"/>
    <w:rsid w:val="007D0DF2"/>
    <w:rsid w:val="007D2711"/>
    <w:rsid w:val="007D289B"/>
    <w:rsid w:val="007D2BAF"/>
    <w:rsid w:val="007D2CC4"/>
    <w:rsid w:val="007D31BF"/>
    <w:rsid w:val="007D39A7"/>
    <w:rsid w:val="007D4096"/>
    <w:rsid w:val="007D441D"/>
    <w:rsid w:val="007D481B"/>
    <w:rsid w:val="007D4BBA"/>
    <w:rsid w:val="007D4C3D"/>
    <w:rsid w:val="007D5030"/>
    <w:rsid w:val="007D61B0"/>
    <w:rsid w:val="007D6234"/>
    <w:rsid w:val="007D6891"/>
    <w:rsid w:val="007D6B87"/>
    <w:rsid w:val="007D7038"/>
    <w:rsid w:val="007D7D23"/>
    <w:rsid w:val="007D7D9A"/>
    <w:rsid w:val="007E023C"/>
    <w:rsid w:val="007E08B1"/>
    <w:rsid w:val="007E08C9"/>
    <w:rsid w:val="007E0E5A"/>
    <w:rsid w:val="007E0F03"/>
    <w:rsid w:val="007E12CF"/>
    <w:rsid w:val="007E14FD"/>
    <w:rsid w:val="007E152D"/>
    <w:rsid w:val="007E16C4"/>
    <w:rsid w:val="007E2539"/>
    <w:rsid w:val="007E31E4"/>
    <w:rsid w:val="007E3958"/>
    <w:rsid w:val="007E396F"/>
    <w:rsid w:val="007E3C1F"/>
    <w:rsid w:val="007E3EB2"/>
    <w:rsid w:val="007E42E7"/>
    <w:rsid w:val="007E46DA"/>
    <w:rsid w:val="007E4BE4"/>
    <w:rsid w:val="007E53B3"/>
    <w:rsid w:val="007E57D0"/>
    <w:rsid w:val="007E5D80"/>
    <w:rsid w:val="007E6061"/>
    <w:rsid w:val="007E63CD"/>
    <w:rsid w:val="007E66DF"/>
    <w:rsid w:val="007E7094"/>
    <w:rsid w:val="007E7287"/>
    <w:rsid w:val="007E792C"/>
    <w:rsid w:val="007E7C72"/>
    <w:rsid w:val="007E7DC0"/>
    <w:rsid w:val="007F053E"/>
    <w:rsid w:val="007F0592"/>
    <w:rsid w:val="007F0978"/>
    <w:rsid w:val="007F16FF"/>
    <w:rsid w:val="007F1A53"/>
    <w:rsid w:val="007F2704"/>
    <w:rsid w:val="007F2BD7"/>
    <w:rsid w:val="007F2C16"/>
    <w:rsid w:val="007F2EA5"/>
    <w:rsid w:val="007F3581"/>
    <w:rsid w:val="007F3853"/>
    <w:rsid w:val="007F3907"/>
    <w:rsid w:val="007F428D"/>
    <w:rsid w:val="007F449E"/>
    <w:rsid w:val="007F4C59"/>
    <w:rsid w:val="007F4D4F"/>
    <w:rsid w:val="007F538D"/>
    <w:rsid w:val="007F68B0"/>
    <w:rsid w:val="007F7720"/>
    <w:rsid w:val="00800482"/>
    <w:rsid w:val="00800584"/>
    <w:rsid w:val="00800AFE"/>
    <w:rsid w:val="00801038"/>
    <w:rsid w:val="00801069"/>
    <w:rsid w:val="00801C16"/>
    <w:rsid w:val="00802692"/>
    <w:rsid w:val="008028CF"/>
    <w:rsid w:val="00802AA7"/>
    <w:rsid w:val="00803957"/>
    <w:rsid w:val="00803B8D"/>
    <w:rsid w:val="00804E45"/>
    <w:rsid w:val="008051AB"/>
    <w:rsid w:val="00805B24"/>
    <w:rsid w:val="008066AF"/>
    <w:rsid w:val="0080690F"/>
    <w:rsid w:val="00806DF5"/>
    <w:rsid w:val="008072CF"/>
    <w:rsid w:val="00807720"/>
    <w:rsid w:val="0080788C"/>
    <w:rsid w:val="0080799C"/>
    <w:rsid w:val="00807C2D"/>
    <w:rsid w:val="00810566"/>
    <w:rsid w:val="00810A0E"/>
    <w:rsid w:val="00810ACB"/>
    <w:rsid w:val="00810DFA"/>
    <w:rsid w:val="00810E26"/>
    <w:rsid w:val="0081125E"/>
    <w:rsid w:val="00811271"/>
    <w:rsid w:val="008112A9"/>
    <w:rsid w:val="00811AE9"/>
    <w:rsid w:val="00813A5C"/>
    <w:rsid w:val="0081441A"/>
    <w:rsid w:val="008144C1"/>
    <w:rsid w:val="00814B94"/>
    <w:rsid w:val="00815050"/>
    <w:rsid w:val="00815105"/>
    <w:rsid w:val="00815879"/>
    <w:rsid w:val="0081637A"/>
    <w:rsid w:val="00816472"/>
    <w:rsid w:val="00816757"/>
    <w:rsid w:val="00816DE2"/>
    <w:rsid w:val="0081748C"/>
    <w:rsid w:val="008210E2"/>
    <w:rsid w:val="00821108"/>
    <w:rsid w:val="00823391"/>
    <w:rsid w:val="008242A3"/>
    <w:rsid w:val="00824346"/>
    <w:rsid w:val="0082499A"/>
    <w:rsid w:val="00824C47"/>
    <w:rsid w:val="00824D8F"/>
    <w:rsid w:val="00826C7D"/>
    <w:rsid w:val="00827278"/>
    <w:rsid w:val="00827B91"/>
    <w:rsid w:val="008301D7"/>
    <w:rsid w:val="0083067B"/>
    <w:rsid w:val="0083115D"/>
    <w:rsid w:val="00831362"/>
    <w:rsid w:val="00831467"/>
    <w:rsid w:val="00832072"/>
    <w:rsid w:val="008320B1"/>
    <w:rsid w:val="00832B94"/>
    <w:rsid w:val="00833D93"/>
    <w:rsid w:val="00834977"/>
    <w:rsid w:val="00835776"/>
    <w:rsid w:val="0083599E"/>
    <w:rsid w:val="00836895"/>
    <w:rsid w:val="008369F6"/>
    <w:rsid w:val="0083752C"/>
    <w:rsid w:val="008406B7"/>
    <w:rsid w:val="00840B72"/>
    <w:rsid w:val="0084108F"/>
    <w:rsid w:val="0084207B"/>
    <w:rsid w:val="00842432"/>
    <w:rsid w:val="00842858"/>
    <w:rsid w:val="00842A41"/>
    <w:rsid w:val="00842B51"/>
    <w:rsid w:val="00842D1E"/>
    <w:rsid w:val="00842D93"/>
    <w:rsid w:val="00842FA6"/>
    <w:rsid w:val="008439EE"/>
    <w:rsid w:val="00843AB1"/>
    <w:rsid w:val="00843D8F"/>
    <w:rsid w:val="00843F97"/>
    <w:rsid w:val="00844654"/>
    <w:rsid w:val="008448BB"/>
    <w:rsid w:val="00844906"/>
    <w:rsid w:val="0084502C"/>
    <w:rsid w:val="0084519B"/>
    <w:rsid w:val="008456D5"/>
    <w:rsid w:val="00845A15"/>
    <w:rsid w:val="00845A7C"/>
    <w:rsid w:val="0084649F"/>
    <w:rsid w:val="008464FF"/>
    <w:rsid w:val="00846A3C"/>
    <w:rsid w:val="008475C3"/>
    <w:rsid w:val="00850692"/>
    <w:rsid w:val="00850F3F"/>
    <w:rsid w:val="00851D24"/>
    <w:rsid w:val="00852022"/>
    <w:rsid w:val="00853909"/>
    <w:rsid w:val="00853E70"/>
    <w:rsid w:val="00853F32"/>
    <w:rsid w:val="0085511F"/>
    <w:rsid w:val="008553AC"/>
    <w:rsid w:val="00855468"/>
    <w:rsid w:val="00855B7F"/>
    <w:rsid w:val="0085714D"/>
    <w:rsid w:val="00860502"/>
    <w:rsid w:val="00860523"/>
    <w:rsid w:val="008608CB"/>
    <w:rsid w:val="00860AA2"/>
    <w:rsid w:val="00860C5B"/>
    <w:rsid w:val="00860DF8"/>
    <w:rsid w:val="00861304"/>
    <w:rsid w:val="00861493"/>
    <w:rsid w:val="0086172A"/>
    <w:rsid w:val="00862AC1"/>
    <w:rsid w:val="00862E97"/>
    <w:rsid w:val="0086302E"/>
    <w:rsid w:val="008632D6"/>
    <w:rsid w:val="00865019"/>
    <w:rsid w:val="00866870"/>
    <w:rsid w:val="0086703E"/>
    <w:rsid w:val="008674DC"/>
    <w:rsid w:val="00867C84"/>
    <w:rsid w:val="00870FD8"/>
    <w:rsid w:val="00871398"/>
    <w:rsid w:val="00871E31"/>
    <w:rsid w:val="00871E70"/>
    <w:rsid w:val="00871FEB"/>
    <w:rsid w:val="00872164"/>
    <w:rsid w:val="008723D2"/>
    <w:rsid w:val="008723E8"/>
    <w:rsid w:val="00873246"/>
    <w:rsid w:val="00873943"/>
    <w:rsid w:val="00873A08"/>
    <w:rsid w:val="00874541"/>
    <w:rsid w:val="00874766"/>
    <w:rsid w:val="008749D5"/>
    <w:rsid w:val="00874A8A"/>
    <w:rsid w:val="008756FB"/>
    <w:rsid w:val="00875CC0"/>
    <w:rsid w:val="00876452"/>
    <w:rsid w:val="008766DD"/>
    <w:rsid w:val="00877B9D"/>
    <w:rsid w:val="008807AF"/>
    <w:rsid w:val="00881098"/>
    <w:rsid w:val="00881800"/>
    <w:rsid w:val="00881821"/>
    <w:rsid w:val="00881AF7"/>
    <w:rsid w:val="00881E61"/>
    <w:rsid w:val="008828AC"/>
    <w:rsid w:val="00883BB8"/>
    <w:rsid w:val="008846FE"/>
    <w:rsid w:val="0088488C"/>
    <w:rsid w:val="00884BD9"/>
    <w:rsid w:val="00884F1D"/>
    <w:rsid w:val="00885A40"/>
    <w:rsid w:val="00886024"/>
    <w:rsid w:val="008863F3"/>
    <w:rsid w:val="008871E0"/>
    <w:rsid w:val="00887246"/>
    <w:rsid w:val="00887BCA"/>
    <w:rsid w:val="00887F78"/>
    <w:rsid w:val="00891064"/>
    <w:rsid w:val="00891158"/>
    <w:rsid w:val="008918EC"/>
    <w:rsid w:val="00891FC0"/>
    <w:rsid w:val="008925FD"/>
    <w:rsid w:val="008937D6"/>
    <w:rsid w:val="00893F62"/>
    <w:rsid w:val="00894399"/>
    <w:rsid w:val="008943F4"/>
    <w:rsid w:val="00894666"/>
    <w:rsid w:val="00894B37"/>
    <w:rsid w:val="008958FF"/>
    <w:rsid w:val="00896778"/>
    <w:rsid w:val="00896A44"/>
    <w:rsid w:val="00896EDE"/>
    <w:rsid w:val="008977FE"/>
    <w:rsid w:val="008A08FF"/>
    <w:rsid w:val="008A0E90"/>
    <w:rsid w:val="008A1880"/>
    <w:rsid w:val="008A1D56"/>
    <w:rsid w:val="008A4007"/>
    <w:rsid w:val="008A4787"/>
    <w:rsid w:val="008A48BB"/>
    <w:rsid w:val="008A6756"/>
    <w:rsid w:val="008A690C"/>
    <w:rsid w:val="008A768F"/>
    <w:rsid w:val="008A7DE7"/>
    <w:rsid w:val="008B014F"/>
    <w:rsid w:val="008B03FF"/>
    <w:rsid w:val="008B0941"/>
    <w:rsid w:val="008B11EE"/>
    <w:rsid w:val="008B1C82"/>
    <w:rsid w:val="008B20EE"/>
    <w:rsid w:val="008B29E4"/>
    <w:rsid w:val="008B2CBB"/>
    <w:rsid w:val="008B2EB3"/>
    <w:rsid w:val="008B3184"/>
    <w:rsid w:val="008B35C7"/>
    <w:rsid w:val="008B3A19"/>
    <w:rsid w:val="008B3A5E"/>
    <w:rsid w:val="008B3A8C"/>
    <w:rsid w:val="008B4A40"/>
    <w:rsid w:val="008B5017"/>
    <w:rsid w:val="008B54E8"/>
    <w:rsid w:val="008B5575"/>
    <w:rsid w:val="008B58CA"/>
    <w:rsid w:val="008B6823"/>
    <w:rsid w:val="008B6D9A"/>
    <w:rsid w:val="008B73CB"/>
    <w:rsid w:val="008B7540"/>
    <w:rsid w:val="008B75BF"/>
    <w:rsid w:val="008C00C3"/>
    <w:rsid w:val="008C00E1"/>
    <w:rsid w:val="008C023F"/>
    <w:rsid w:val="008C043C"/>
    <w:rsid w:val="008C0B0D"/>
    <w:rsid w:val="008C0B8F"/>
    <w:rsid w:val="008C1008"/>
    <w:rsid w:val="008C1393"/>
    <w:rsid w:val="008C1D2A"/>
    <w:rsid w:val="008C1EB9"/>
    <w:rsid w:val="008C1F40"/>
    <w:rsid w:val="008C22A5"/>
    <w:rsid w:val="008C248F"/>
    <w:rsid w:val="008C256A"/>
    <w:rsid w:val="008C2E3B"/>
    <w:rsid w:val="008C31C1"/>
    <w:rsid w:val="008C3701"/>
    <w:rsid w:val="008C395D"/>
    <w:rsid w:val="008C42C3"/>
    <w:rsid w:val="008C43E2"/>
    <w:rsid w:val="008C4525"/>
    <w:rsid w:val="008C4902"/>
    <w:rsid w:val="008C4B9E"/>
    <w:rsid w:val="008C4F1F"/>
    <w:rsid w:val="008C4F37"/>
    <w:rsid w:val="008C626C"/>
    <w:rsid w:val="008C6288"/>
    <w:rsid w:val="008C6C7C"/>
    <w:rsid w:val="008C6CAF"/>
    <w:rsid w:val="008C7CCD"/>
    <w:rsid w:val="008C7FCA"/>
    <w:rsid w:val="008D0C14"/>
    <w:rsid w:val="008D176F"/>
    <w:rsid w:val="008D21E9"/>
    <w:rsid w:val="008D2495"/>
    <w:rsid w:val="008D3638"/>
    <w:rsid w:val="008D40A1"/>
    <w:rsid w:val="008D4211"/>
    <w:rsid w:val="008D42B8"/>
    <w:rsid w:val="008D4517"/>
    <w:rsid w:val="008D4C32"/>
    <w:rsid w:val="008D4C38"/>
    <w:rsid w:val="008D4DA8"/>
    <w:rsid w:val="008D58FB"/>
    <w:rsid w:val="008D593C"/>
    <w:rsid w:val="008D5FA5"/>
    <w:rsid w:val="008D6B00"/>
    <w:rsid w:val="008E0581"/>
    <w:rsid w:val="008E21B6"/>
    <w:rsid w:val="008E22A9"/>
    <w:rsid w:val="008E2E9A"/>
    <w:rsid w:val="008E3333"/>
    <w:rsid w:val="008E3672"/>
    <w:rsid w:val="008E3D9E"/>
    <w:rsid w:val="008E4167"/>
    <w:rsid w:val="008E570E"/>
    <w:rsid w:val="008E5BB6"/>
    <w:rsid w:val="008E6058"/>
    <w:rsid w:val="008E7851"/>
    <w:rsid w:val="008F01AA"/>
    <w:rsid w:val="008F0240"/>
    <w:rsid w:val="008F02CF"/>
    <w:rsid w:val="008F0800"/>
    <w:rsid w:val="008F0C56"/>
    <w:rsid w:val="008F0E21"/>
    <w:rsid w:val="008F1203"/>
    <w:rsid w:val="008F15BA"/>
    <w:rsid w:val="008F194A"/>
    <w:rsid w:val="008F1BD7"/>
    <w:rsid w:val="008F2C1E"/>
    <w:rsid w:val="008F303A"/>
    <w:rsid w:val="008F31B4"/>
    <w:rsid w:val="008F393C"/>
    <w:rsid w:val="008F3AE1"/>
    <w:rsid w:val="008F463E"/>
    <w:rsid w:val="008F4CD3"/>
    <w:rsid w:val="008F4F98"/>
    <w:rsid w:val="008F534F"/>
    <w:rsid w:val="008F58B3"/>
    <w:rsid w:val="008F5D79"/>
    <w:rsid w:val="008F5F05"/>
    <w:rsid w:val="008F60A5"/>
    <w:rsid w:val="008F629A"/>
    <w:rsid w:val="008F6533"/>
    <w:rsid w:val="008F67DB"/>
    <w:rsid w:val="008F6B90"/>
    <w:rsid w:val="008F7B85"/>
    <w:rsid w:val="008F7CEF"/>
    <w:rsid w:val="00900525"/>
    <w:rsid w:val="00900583"/>
    <w:rsid w:val="00900939"/>
    <w:rsid w:val="00900B1F"/>
    <w:rsid w:val="00900EBA"/>
    <w:rsid w:val="00901389"/>
    <w:rsid w:val="0090176C"/>
    <w:rsid w:val="00901ABC"/>
    <w:rsid w:val="0090234B"/>
    <w:rsid w:val="009030C4"/>
    <w:rsid w:val="00903628"/>
    <w:rsid w:val="0090380B"/>
    <w:rsid w:val="00903C79"/>
    <w:rsid w:val="00903ED1"/>
    <w:rsid w:val="00903FEB"/>
    <w:rsid w:val="009042EA"/>
    <w:rsid w:val="0090500F"/>
    <w:rsid w:val="0090563C"/>
    <w:rsid w:val="00905BFE"/>
    <w:rsid w:val="00905EE5"/>
    <w:rsid w:val="0090663F"/>
    <w:rsid w:val="009066E5"/>
    <w:rsid w:val="00906863"/>
    <w:rsid w:val="00906D13"/>
    <w:rsid w:val="0090756F"/>
    <w:rsid w:val="00907626"/>
    <w:rsid w:val="00907827"/>
    <w:rsid w:val="009078AC"/>
    <w:rsid w:val="00907C2C"/>
    <w:rsid w:val="00907F10"/>
    <w:rsid w:val="00910098"/>
    <w:rsid w:val="00910292"/>
    <w:rsid w:val="009103EB"/>
    <w:rsid w:val="00910428"/>
    <w:rsid w:val="00910E7E"/>
    <w:rsid w:val="00911604"/>
    <w:rsid w:val="00911A0F"/>
    <w:rsid w:val="00911B3F"/>
    <w:rsid w:val="0091260D"/>
    <w:rsid w:val="009135FE"/>
    <w:rsid w:val="0091492D"/>
    <w:rsid w:val="00914A12"/>
    <w:rsid w:val="00914F41"/>
    <w:rsid w:val="009151D1"/>
    <w:rsid w:val="009154E2"/>
    <w:rsid w:val="009157D6"/>
    <w:rsid w:val="00915DAC"/>
    <w:rsid w:val="009164C5"/>
    <w:rsid w:val="00916BAF"/>
    <w:rsid w:val="0091742E"/>
    <w:rsid w:val="00917C81"/>
    <w:rsid w:val="00917C84"/>
    <w:rsid w:val="00920F73"/>
    <w:rsid w:val="0092106F"/>
    <w:rsid w:val="009216E7"/>
    <w:rsid w:val="00922169"/>
    <w:rsid w:val="00922891"/>
    <w:rsid w:val="009230B4"/>
    <w:rsid w:val="00923EC0"/>
    <w:rsid w:val="0092401F"/>
    <w:rsid w:val="00924307"/>
    <w:rsid w:val="0092439E"/>
    <w:rsid w:val="00924546"/>
    <w:rsid w:val="009245F4"/>
    <w:rsid w:val="00924604"/>
    <w:rsid w:val="00924726"/>
    <w:rsid w:val="009256D8"/>
    <w:rsid w:val="00925797"/>
    <w:rsid w:val="009264C9"/>
    <w:rsid w:val="00926AB2"/>
    <w:rsid w:val="00926AD6"/>
    <w:rsid w:val="00926CE1"/>
    <w:rsid w:val="00927F90"/>
    <w:rsid w:val="009300FA"/>
    <w:rsid w:val="00930720"/>
    <w:rsid w:val="00930F96"/>
    <w:rsid w:val="009314B3"/>
    <w:rsid w:val="009315E3"/>
    <w:rsid w:val="009317D2"/>
    <w:rsid w:val="00931B84"/>
    <w:rsid w:val="00932B5D"/>
    <w:rsid w:val="00932C05"/>
    <w:rsid w:val="00933989"/>
    <w:rsid w:val="00933B78"/>
    <w:rsid w:val="00933E09"/>
    <w:rsid w:val="00933FD5"/>
    <w:rsid w:val="00934000"/>
    <w:rsid w:val="00934ABD"/>
    <w:rsid w:val="00934BE2"/>
    <w:rsid w:val="00934CEB"/>
    <w:rsid w:val="00935461"/>
    <w:rsid w:val="009361F2"/>
    <w:rsid w:val="00936371"/>
    <w:rsid w:val="009370DC"/>
    <w:rsid w:val="00937116"/>
    <w:rsid w:val="009372E6"/>
    <w:rsid w:val="009374C3"/>
    <w:rsid w:val="00937C02"/>
    <w:rsid w:val="00937F50"/>
    <w:rsid w:val="00937F8C"/>
    <w:rsid w:val="009401F7"/>
    <w:rsid w:val="009402E0"/>
    <w:rsid w:val="00940C0A"/>
    <w:rsid w:val="00940D49"/>
    <w:rsid w:val="00940ECF"/>
    <w:rsid w:val="009410FE"/>
    <w:rsid w:val="00942519"/>
    <w:rsid w:val="00942B35"/>
    <w:rsid w:val="009438D9"/>
    <w:rsid w:val="009440DA"/>
    <w:rsid w:val="009452A5"/>
    <w:rsid w:val="00946020"/>
    <w:rsid w:val="0094625C"/>
    <w:rsid w:val="009467E3"/>
    <w:rsid w:val="0094684D"/>
    <w:rsid w:val="00946AE3"/>
    <w:rsid w:val="00946FA0"/>
    <w:rsid w:val="00946FD2"/>
    <w:rsid w:val="0094793C"/>
    <w:rsid w:val="009500FC"/>
    <w:rsid w:val="0095089D"/>
    <w:rsid w:val="009509C5"/>
    <w:rsid w:val="009512CC"/>
    <w:rsid w:val="0095137C"/>
    <w:rsid w:val="00952DF2"/>
    <w:rsid w:val="009532DE"/>
    <w:rsid w:val="00953416"/>
    <w:rsid w:val="009537D4"/>
    <w:rsid w:val="00953CF7"/>
    <w:rsid w:val="00954079"/>
    <w:rsid w:val="00954504"/>
    <w:rsid w:val="0095478E"/>
    <w:rsid w:val="00954B69"/>
    <w:rsid w:val="00954EB0"/>
    <w:rsid w:val="009551AD"/>
    <w:rsid w:val="009557C6"/>
    <w:rsid w:val="00955840"/>
    <w:rsid w:val="00955FEE"/>
    <w:rsid w:val="00956245"/>
    <w:rsid w:val="009564AC"/>
    <w:rsid w:val="00956713"/>
    <w:rsid w:val="00956AB6"/>
    <w:rsid w:val="00956D3A"/>
    <w:rsid w:val="00957C2D"/>
    <w:rsid w:val="00960391"/>
    <w:rsid w:val="00960655"/>
    <w:rsid w:val="00960901"/>
    <w:rsid w:val="00960C99"/>
    <w:rsid w:val="0096212D"/>
    <w:rsid w:val="00962913"/>
    <w:rsid w:val="00962B73"/>
    <w:rsid w:val="0096314E"/>
    <w:rsid w:val="00963702"/>
    <w:rsid w:val="009644D8"/>
    <w:rsid w:val="00964823"/>
    <w:rsid w:val="00964A19"/>
    <w:rsid w:val="00964C26"/>
    <w:rsid w:val="00965491"/>
    <w:rsid w:val="00965798"/>
    <w:rsid w:val="009659E6"/>
    <w:rsid w:val="00965CEE"/>
    <w:rsid w:val="00965EB0"/>
    <w:rsid w:val="0096629E"/>
    <w:rsid w:val="00966C05"/>
    <w:rsid w:val="009675E4"/>
    <w:rsid w:val="0097045B"/>
    <w:rsid w:val="00970A8E"/>
    <w:rsid w:val="00970D2B"/>
    <w:rsid w:val="00971E9C"/>
    <w:rsid w:val="009727D0"/>
    <w:rsid w:val="009729A8"/>
    <w:rsid w:val="00972B44"/>
    <w:rsid w:val="00972D8C"/>
    <w:rsid w:val="009739A2"/>
    <w:rsid w:val="00973B32"/>
    <w:rsid w:val="009741A1"/>
    <w:rsid w:val="00974707"/>
    <w:rsid w:val="0097481C"/>
    <w:rsid w:val="00974F38"/>
    <w:rsid w:val="00975A95"/>
    <w:rsid w:val="009767A2"/>
    <w:rsid w:val="00976AAC"/>
    <w:rsid w:val="0097716C"/>
    <w:rsid w:val="009775E7"/>
    <w:rsid w:val="00977632"/>
    <w:rsid w:val="0097798A"/>
    <w:rsid w:val="0098150B"/>
    <w:rsid w:val="00981596"/>
    <w:rsid w:val="00981622"/>
    <w:rsid w:val="00981C83"/>
    <w:rsid w:val="00981F22"/>
    <w:rsid w:val="0098215A"/>
    <w:rsid w:val="0098309A"/>
    <w:rsid w:val="00983524"/>
    <w:rsid w:val="00983CE3"/>
    <w:rsid w:val="009849CD"/>
    <w:rsid w:val="00985BE8"/>
    <w:rsid w:val="0098639D"/>
    <w:rsid w:val="00986B0D"/>
    <w:rsid w:val="009870D1"/>
    <w:rsid w:val="0098716C"/>
    <w:rsid w:val="009871F2"/>
    <w:rsid w:val="009875D4"/>
    <w:rsid w:val="00987783"/>
    <w:rsid w:val="009879E0"/>
    <w:rsid w:val="0099016A"/>
    <w:rsid w:val="0099030D"/>
    <w:rsid w:val="0099052C"/>
    <w:rsid w:val="00991025"/>
    <w:rsid w:val="009910E9"/>
    <w:rsid w:val="00991808"/>
    <w:rsid w:val="00991B0A"/>
    <w:rsid w:val="00991B4E"/>
    <w:rsid w:val="00992374"/>
    <w:rsid w:val="009931AF"/>
    <w:rsid w:val="00994BBC"/>
    <w:rsid w:val="00995DDC"/>
    <w:rsid w:val="009964CB"/>
    <w:rsid w:val="00996CDB"/>
    <w:rsid w:val="00996F73"/>
    <w:rsid w:val="00997C61"/>
    <w:rsid w:val="009A0D2B"/>
    <w:rsid w:val="009A10E2"/>
    <w:rsid w:val="009A10F1"/>
    <w:rsid w:val="009A168F"/>
    <w:rsid w:val="009A198E"/>
    <w:rsid w:val="009A1B9D"/>
    <w:rsid w:val="009A1D65"/>
    <w:rsid w:val="009A1DF5"/>
    <w:rsid w:val="009A23AD"/>
    <w:rsid w:val="009A240B"/>
    <w:rsid w:val="009A27A5"/>
    <w:rsid w:val="009A2AE4"/>
    <w:rsid w:val="009A344A"/>
    <w:rsid w:val="009A3787"/>
    <w:rsid w:val="009A3C8F"/>
    <w:rsid w:val="009A3D8A"/>
    <w:rsid w:val="009A3DFB"/>
    <w:rsid w:val="009A3EB4"/>
    <w:rsid w:val="009A3ED4"/>
    <w:rsid w:val="009A3EFC"/>
    <w:rsid w:val="009A4263"/>
    <w:rsid w:val="009A4B26"/>
    <w:rsid w:val="009A5124"/>
    <w:rsid w:val="009A5A4D"/>
    <w:rsid w:val="009A5C5C"/>
    <w:rsid w:val="009A64B5"/>
    <w:rsid w:val="009A7151"/>
    <w:rsid w:val="009B08C8"/>
    <w:rsid w:val="009B0B85"/>
    <w:rsid w:val="009B0C70"/>
    <w:rsid w:val="009B0D18"/>
    <w:rsid w:val="009B1F02"/>
    <w:rsid w:val="009B53D1"/>
    <w:rsid w:val="009B56A4"/>
    <w:rsid w:val="009B5A19"/>
    <w:rsid w:val="009B622A"/>
    <w:rsid w:val="009B65AC"/>
    <w:rsid w:val="009B69AA"/>
    <w:rsid w:val="009B6AD6"/>
    <w:rsid w:val="009B6BD7"/>
    <w:rsid w:val="009B6C03"/>
    <w:rsid w:val="009B6D95"/>
    <w:rsid w:val="009B76C9"/>
    <w:rsid w:val="009B7D2E"/>
    <w:rsid w:val="009C0AD6"/>
    <w:rsid w:val="009C0AF8"/>
    <w:rsid w:val="009C1114"/>
    <w:rsid w:val="009C12A1"/>
    <w:rsid w:val="009C2579"/>
    <w:rsid w:val="009C2784"/>
    <w:rsid w:val="009C2ECB"/>
    <w:rsid w:val="009C33B1"/>
    <w:rsid w:val="009C350F"/>
    <w:rsid w:val="009C56B5"/>
    <w:rsid w:val="009C5C10"/>
    <w:rsid w:val="009C6041"/>
    <w:rsid w:val="009C6262"/>
    <w:rsid w:val="009D0652"/>
    <w:rsid w:val="009D076B"/>
    <w:rsid w:val="009D079F"/>
    <w:rsid w:val="009D2450"/>
    <w:rsid w:val="009D2D65"/>
    <w:rsid w:val="009D2F56"/>
    <w:rsid w:val="009D3414"/>
    <w:rsid w:val="009D36ED"/>
    <w:rsid w:val="009D3722"/>
    <w:rsid w:val="009D39D7"/>
    <w:rsid w:val="009D56CE"/>
    <w:rsid w:val="009D5D93"/>
    <w:rsid w:val="009D5FA3"/>
    <w:rsid w:val="009D631E"/>
    <w:rsid w:val="009D64D3"/>
    <w:rsid w:val="009D6AF3"/>
    <w:rsid w:val="009D6BD1"/>
    <w:rsid w:val="009D70BB"/>
    <w:rsid w:val="009D7296"/>
    <w:rsid w:val="009D733D"/>
    <w:rsid w:val="009D7427"/>
    <w:rsid w:val="009D74D3"/>
    <w:rsid w:val="009D7842"/>
    <w:rsid w:val="009D7E85"/>
    <w:rsid w:val="009E010E"/>
    <w:rsid w:val="009E0570"/>
    <w:rsid w:val="009E106B"/>
    <w:rsid w:val="009E1D9B"/>
    <w:rsid w:val="009E2156"/>
    <w:rsid w:val="009E2980"/>
    <w:rsid w:val="009E4E0A"/>
    <w:rsid w:val="009E5582"/>
    <w:rsid w:val="009E76D2"/>
    <w:rsid w:val="009E7BB5"/>
    <w:rsid w:val="009E7C80"/>
    <w:rsid w:val="009E7F86"/>
    <w:rsid w:val="009F017E"/>
    <w:rsid w:val="009F0D22"/>
    <w:rsid w:val="009F187A"/>
    <w:rsid w:val="009F1958"/>
    <w:rsid w:val="009F2E2F"/>
    <w:rsid w:val="009F351C"/>
    <w:rsid w:val="009F3575"/>
    <w:rsid w:val="009F3E92"/>
    <w:rsid w:val="009F3FCC"/>
    <w:rsid w:val="009F4F9E"/>
    <w:rsid w:val="009F5852"/>
    <w:rsid w:val="009F6C75"/>
    <w:rsid w:val="009F7948"/>
    <w:rsid w:val="00A00599"/>
    <w:rsid w:val="00A0097E"/>
    <w:rsid w:val="00A016EF"/>
    <w:rsid w:val="00A0198F"/>
    <w:rsid w:val="00A02255"/>
    <w:rsid w:val="00A03033"/>
    <w:rsid w:val="00A0306A"/>
    <w:rsid w:val="00A036E0"/>
    <w:rsid w:val="00A03FA1"/>
    <w:rsid w:val="00A04375"/>
    <w:rsid w:val="00A05045"/>
    <w:rsid w:val="00A052E3"/>
    <w:rsid w:val="00A05A58"/>
    <w:rsid w:val="00A060F7"/>
    <w:rsid w:val="00A07134"/>
    <w:rsid w:val="00A074C3"/>
    <w:rsid w:val="00A1129C"/>
    <w:rsid w:val="00A11BDB"/>
    <w:rsid w:val="00A12113"/>
    <w:rsid w:val="00A1225A"/>
    <w:rsid w:val="00A127D3"/>
    <w:rsid w:val="00A12BB0"/>
    <w:rsid w:val="00A13332"/>
    <w:rsid w:val="00A136D2"/>
    <w:rsid w:val="00A143E3"/>
    <w:rsid w:val="00A1472B"/>
    <w:rsid w:val="00A14C37"/>
    <w:rsid w:val="00A15D71"/>
    <w:rsid w:val="00A165F2"/>
    <w:rsid w:val="00A167DB"/>
    <w:rsid w:val="00A17D88"/>
    <w:rsid w:val="00A20488"/>
    <w:rsid w:val="00A20787"/>
    <w:rsid w:val="00A2134E"/>
    <w:rsid w:val="00A21D9C"/>
    <w:rsid w:val="00A225F4"/>
    <w:rsid w:val="00A22995"/>
    <w:rsid w:val="00A22C2D"/>
    <w:rsid w:val="00A22D18"/>
    <w:rsid w:val="00A2337A"/>
    <w:rsid w:val="00A23F72"/>
    <w:rsid w:val="00A23F73"/>
    <w:rsid w:val="00A24A65"/>
    <w:rsid w:val="00A24D44"/>
    <w:rsid w:val="00A24E4C"/>
    <w:rsid w:val="00A254E2"/>
    <w:rsid w:val="00A25730"/>
    <w:rsid w:val="00A259E3"/>
    <w:rsid w:val="00A2603C"/>
    <w:rsid w:val="00A26443"/>
    <w:rsid w:val="00A26547"/>
    <w:rsid w:val="00A26778"/>
    <w:rsid w:val="00A26D9E"/>
    <w:rsid w:val="00A3080F"/>
    <w:rsid w:val="00A32188"/>
    <w:rsid w:val="00A3241F"/>
    <w:rsid w:val="00A329B2"/>
    <w:rsid w:val="00A32EB6"/>
    <w:rsid w:val="00A3321D"/>
    <w:rsid w:val="00A33696"/>
    <w:rsid w:val="00A336E0"/>
    <w:rsid w:val="00A33A71"/>
    <w:rsid w:val="00A349BA"/>
    <w:rsid w:val="00A351C9"/>
    <w:rsid w:val="00A352A2"/>
    <w:rsid w:val="00A366E7"/>
    <w:rsid w:val="00A36BFE"/>
    <w:rsid w:val="00A372FF"/>
    <w:rsid w:val="00A374C2"/>
    <w:rsid w:val="00A4028D"/>
    <w:rsid w:val="00A407FB"/>
    <w:rsid w:val="00A412F0"/>
    <w:rsid w:val="00A41EE4"/>
    <w:rsid w:val="00A421CC"/>
    <w:rsid w:val="00A4230B"/>
    <w:rsid w:val="00A42B49"/>
    <w:rsid w:val="00A4369C"/>
    <w:rsid w:val="00A43A0A"/>
    <w:rsid w:val="00A43F55"/>
    <w:rsid w:val="00A44857"/>
    <w:rsid w:val="00A44A46"/>
    <w:rsid w:val="00A456BA"/>
    <w:rsid w:val="00A4600B"/>
    <w:rsid w:val="00A464C8"/>
    <w:rsid w:val="00A469F8"/>
    <w:rsid w:val="00A46DC0"/>
    <w:rsid w:val="00A46EE7"/>
    <w:rsid w:val="00A5216B"/>
    <w:rsid w:val="00A52748"/>
    <w:rsid w:val="00A52B77"/>
    <w:rsid w:val="00A52BE4"/>
    <w:rsid w:val="00A53721"/>
    <w:rsid w:val="00A537E4"/>
    <w:rsid w:val="00A53BC1"/>
    <w:rsid w:val="00A5409D"/>
    <w:rsid w:val="00A54485"/>
    <w:rsid w:val="00A54DEB"/>
    <w:rsid w:val="00A54FA0"/>
    <w:rsid w:val="00A550C1"/>
    <w:rsid w:val="00A554A0"/>
    <w:rsid w:val="00A555FE"/>
    <w:rsid w:val="00A5573E"/>
    <w:rsid w:val="00A56BF8"/>
    <w:rsid w:val="00A60319"/>
    <w:rsid w:val="00A6050A"/>
    <w:rsid w:val="00A60E6F"/>
    <w:rsid w:val="00A6189D"/>
    <w:rsid w:val="00A61FA5"/>
    <w:rsid w:val="00A62D06"/>
    <w:rsid w:val="00A62E5C"/>
    <w:rsid w:val="00A634D2"/>
    <w:rsid w:val="00A64A1C"/>
    <w:rsid w:val="00A64E9E"/>
    <w:rsid w:val="00A65258"/>
    <w:rsid w:val="00A658E6"/>
    <w:rsid w:val="00A65A14"/>
    <w:rsid w:val="00A66312"/>
    <w:rsid w:val="00A6707A"/>
    <w:rsid w:val="00A677BC"/>
    <w:rsid w:val="00A70145"/>
    <w:rsid w:val="00A7086D"/>
    <w:rsid w:val="00A70B46"/>
    <w:rsid w:val="00A70D8D"/>
    <w:rsid w:val="00A70DAF"/>
    <w:rsid w:val="00A71298"/>
    <w:rsid w:val="00A72806"/>
    <w:rsid w:val="00A735CC"/>
    <w:rsid w:val="00A73B48"/>
    <w:rsid w:val="00A74568"/>
    <w:rsid w:val="00A751C1"/>
    <w:rsid w:val="00A759C8"/>
    <w:rsid w:val="00A76132"/>
    <w:rsid w:val="00A76290"/>
    <w:rsid w:val="00A76A90"/>
    <w:rsid w:val="00A76AAF"/>
    <w:rsid w:val="00A76AD7"/>
    <w:rsid w:val="00A76BD2"/>
    <w:rsid w:val="00A7703E"/>
    <w:rsid w:val="00A77366"/>
    <w:rsid w:val="00A80397"/>
    <w:rsid w:val="00A808D8"/>
    <w:rsid w:val="00A80F44"/>
    <w:rsid w:val="00A8101A"/>
    <w:rsid w:val="00A81651"/>
    <w:rsid w:val="00A820E6"/>
    <w:rsid w:val="00A82957"/>
    <w:rsid w:val="00A82B6D"/>
    <w:rsid w:val="00A82B95"/>
    <w:rsid w:val="00A8308B"/>
    <w:rsid w:val="00A8357F"/>
    <w:rsid w:val="00A842A1"/>
    <w:rsid w:val="00A842AF"/>
    <w:rsid w:val="00A8503F"/>
    <w:rsid w:val="00A85A46"/>
    <w:rsid w:val="00A867FE"/>
    <w:rsid w:val="00A86B3E"/>
    <w:rsid w:val="00A86D06"/>
    <w:rsid w:val="00A873BA"/>
    <w:rsid w:val="00A87687"/>
    <w:rsid w:val="00A87C67"/>
    <w:rsid w:val="00A903F6"/>
    <w:rsid w:val="00A90803"/>
    <w:rsid w:val="00A90D39"/>
    <w:rsid w:val="00A9109F"/>
    <w:rsid w:val="00A91F4E"/>
    <w:rsid w:val="00A9232F"/>
    <w:rsid w:val="00A9296B"/>
    <w:rsid w:val="00A93384"/>
    <w:rsid w:val="00A93AD7"/>
    <w:rsid w:val="00A93C2A"/>
    <w:rsid w:val="00A93F33"/>
    <w:rsid w:val="00A96B21"/>
    <w:rsid w:val="00A96ED8"/>
    <w:rsid w:val="00A9728C"/>
    <w:rsid w:val="00A97D3F"/>
    <w:rsid w:val="00AA11DF"/>
    <w:rsid w:val="00AA14DA"/>
    <w:rsid w:val="00AA16C9"/>
    <w:rsid w:val="00AA1DEA"/>
    <w:rsid w:val="00AA2796"/>
    <w:rsid w:val="00AA2914"/>
    <w:rsid w:val="00AA2AA3"/>
    <w:rsid w:val="00AA3F1E"/>
    <w:rsid w:val="00AA4094"/>
    <w:rsid w:val="00AA420C"/>
    <w:rsid w:val="00AA5013"/>
    <w:rsid w:val="00AA5079"/>
    <w:rsid w:val="00AA57AA"/>
    <w:rsid w:val="00AA5A8A"/>
    <w:rsid w:val="00AA5AB4"/>
    <w:rsid w:val="00AA5DA1"/>
    <w:rsid w:val="00AA5E5B"/>
    <w:rsid w:val="00AA5F49"/>
    <w:rsid w:val="00AA6406"/>
    <w:rsid w:val="00AA69EA"/>
    <w:rsid w:val="00AA789F"/>
    <w:rsid w:val="00AA79FB"/>
    <w:rsid w:val="00AA7F58"/>
    <w:rsid w:val="00AB0343"/>
    <w:rsid w:val="00AB0A48"/>
    <w:rsid w:val="00AB0C3B"/>
    <w:rsid w:val="00AB14CA"/>
    <w:rsid w:val="00AB1699"/>
    <w:rsid w:val="00AB2FDF"/>
    <w:rsid w:val="00AB2FE8"/>
    <w:rsid w:val="00AB3275"/>
    <w:rsid w:val="00AB32E4"/>
    <w:rsid w:val="00AB353C"/>
    <w:rsid w:val="00AB36C6"/>
    <w:rsid w:val="00AB38EC"/>
    <w:rsid w:val="00AB3EAA"/>
    <w:rsid w:val="00AB454C"/>
    <w:rsid w:val="00AB47CA"/>
    <w:rsid w:val="00AB4900"/>
    <w:rsid w:val="00AB5119"/>
    <w:rsid w:val="00AB5182"/>
    <w:rsid w:val="00AB5223"/>
    <w:rsid w:val="00AB585E"/>
    <w:rsid w:val="00AB668B"/>
    <w:rsid w:val="00AB6F51"/>
    <w:rsid w:val="00AB789A"/>
    <w:rsid w:val="00AB7A75"/>
    <w:rsid w:val="00AB7BA6"/>
    <w:rsid w:val="00AB7FC7"/>
    <w:rsid w:val="00AC14C6"/>
    <w:rsid w:val="00AC1BE6"/>
    <w:rsid w:val="00AC2058"/>
    <w:rsid w:val="00AC2374"/>
    <w:rsid w:val="00AC2429"/>
    <w:rsid w:val="00AC24D1"/>
    <w:rsid w:val="00AC2519"/>
    <w:rsid w:val="00AC2C4D"/>
    <w:rsid w:val="00AC3206"/>
    <w:rsid w:val="00AC35EA"/>
    <w:rsid w:val="00AC372F"/>
    <w:rsid w:val="00AC40CD"/>
    <w:rsid w:val="00AC4709"/>
    <w:rsid w:val="00AC47A6"/>
    <w:rsid w:val="00AC4E31"/>
    <w:rsid w:val="00AC4F84"/>
    <w:rsid w:val="00AC5516"/>
    <w:rsid w:val="00AC55DB"/>
    <w:rsid w:val="00AC5B06"/>
    <w:rsid w:val="00AC6D3D"/>
    <w:rsid w:val="00AD019F"/>
    <w:rsid w:val="00AD0355"/>
    <w:rsid w:val="00AD09AA"/>
    <w:rsid w:val="00AD17C1"/>
    <w:rsid w:val="00AD1965"/>
    <w:rsid w:val="00AD1DCE"/>
    <w:rsid w:val="00AD1EA5"/>
    <w:rsid w:val="00AD254C"/>
    <w:rsid w:val="00AD2D21"/>
    <w:rsid w:val="00AD2F69"/>
    <w:rsid w:val="00AD33D8"/>
    <w:rsid w:val="00AD3DC2"/>
    <w:rsid w:val="00AD4811"/>
    <w:rsid w:val="00AD4F3E"/>
    <w:rsid w:val="00AD5986"/>
    <w:rsid w:val="00AD60EA"/>
    <w:rsid w:val="00AD649A"/>
    <w:rsid w:val="00AD6508"/>
    <w:rsid w:val="00AD6E34"/>
    <w:rsid w:val="00AD6FFF"/>
    <w:rsid w:val="00AD73C0"/>
    <w:rsid w:val="00AE1647"/>
    <w:rsid w:val="00AE1951"/>
    <w:rsid w:val="00AE1A87"/>
    <w:rsid w:val="00AE1A95"/>
    <w:rsid w:val="00AE1DC3"/>
    <w:rsid w:val="00AE273B"/>
    <w:rsid w:val="00AE2CF1"/>
    <w:rsid w:val="00AE2F67"/>
    <w:rsid w:val="00AE477A"/>
    <w:rsid w:val="00AE47E1"/>
    <w:rsid w:val="00AE4EDA"/>
    <w:rsid w:val="00AE5428"/>
    <w:rsid w:val="00AE5E10"/>
    <w:rsid w:val="00AE62FB"/>
    <w:rsid w:val="00AE6A29"/>
    <w:rsid w:val="00AE7241"/>
    <w:rsid w:val="00AE7867"/>
    <w:rsid w:val="00AF03B9"/>
    <w:rsid w:val="00AF08F9"/>
    <w:rsid w:val="00AF1B66"/>
    <w:rsid w:val="00AF2369"/>
    <w:rsid w:val="00AF2F32"/>
    <w:rsid w:val="00AF3208"/>
    <w:rsid w:val="00AF3313"/>
    <w:rsid w:val="00AF33AE"/>
    <w:rsid w:val="00AF408D"/>
    <w:rsid w:val="00AF41CE"/>
    <w:rsid w:val="00AF43D4"/>
    <w:rsid w:val="00AF49D4"/>
    <w:rsid w:val="00AF58C0"/>
    <w:rsid w:val="00AF60A1"/>
    <w:rsid w:val="00AF6576"/>
    <w:rsid w:val="00AF762F"/>
    <w:rsid w:val="00AF7AFD"/>
    <w:rsid w:val="00AF7DF7"/>
    <w:rsid w:val="00B0040B"/>
    <w:rsid w:val="00B00538"/>
    <w:rsid w:val="00B00653"/>
    <w:rsid w:val="00B00B74"/>
    <w:rsid w:val="00B00CE9"/>
    <w:rsid w:val="00B00E5B"/>
    <w:rsid w:val="00B00F65"/>
    <w:rsid w:val="00B019AD"/>
    <w:rsid w:val="00B024B6"/>
    <w:rsid w:val="00B02A93"/>
    <w:rsid w:val="00B04174"/>
    <w:rsid w:val="00B048A2"/>
    <w:rsid w:val="00B04D84"/>
    <w:rsid w:val="00B05799"/>
    <w:rsid w:val="00B07EB0"/>
    <w:rsid w:val="00B10A5A"/>
    <w:rsid w:val="00B10E85"/>
    <w:rsid w:val="00B110DD"/>
    <w:rsid w:val="00B111E5"/>
    <w:rsid w:val="00B11861"/>
    <w:rsid w:val="00B124D7"/>
    <w:rsid w:val="00B12576"/>
    <w:rsid w:val="00B128F8"/>
    <w:rsid w:val="00B12C60"/>
    <w:rsid w:val="00B12DE4"/>
    <w:rsid w:val="00B12FB0"/>
    <w:rsid w:val="00B132E4"/>
    <w:rsid w:val="00B13474"/>
    <w:rsid w:val="00B136E7"/>
    <w:rsid w:val="00B13994"/>
    <w:rsid w:val="00B13D59"/>
    <w:rsid w:val="00B13FB4"/>
    <w:rsid w:val="00B15596"/>
    <w:rsid w:val="00B15B35"/>
    <w:rsid w:val="00B169C3"/>
    <w:rsid w:val="00B16F4F"/>
    <w:rsid w:val="00B17C82"/>
    <w:rsid w:val="00B20E48"/>
    <w:rsid w:val="00B21566"/>
    <w:rsid w:val="00B22221"/>
    <w:rsid w:val="00B22477"/>
    <w:rsid w:val="00B22692"/>
    <w:rsid w:val="00B229A1"/>
    <w:rsid w:val="00B23095"/>
    <w:rsid w:val="00B2372F"/>
    <w:rsid w:val="00B23B09"/>
    <w:rsid w:val="00B24A3D"/>
    <w:rsid w:val="00B24FF4"/>
    <w:rsid w:val="00B2580B"/>
    <w:rsid w:val="00B26558"/>
    <w:rsid w:val="00B2655E"/>
    <w:rsid w:val="00B267DD"/>
    <w:rsid w:val="00B26F34"/>
    <w:rsid w:val="00B27115"/>
    <w:rsid w:val="00B27C5D"/>
    <w:rsid w:val="00B303D5"/>
    <w:rsid w:val="00B30BA5"/>
    <w:rsid w:val="00B30C3D"/>
    <w:rsid w:val="00B32732"/>
    <w:rsid w:val="00B32925"/>
    <w:rsid w:val="00B329BB"/>
    <w:rsid w:val="00B32D5A"/>
    <w:rsid w:val="00B33C34"/>
    <w:rsid w:val="00B34288"/>
    <w:rsid w:val="00B34EEB"/>
    <w:rsid w:val="00B35107"/>
    <w:rsid w:val="00B3537A"/>
    <w:rsid w:val="00B353C4"/>
    <w:rsid w:val="00B35688"/>
    <w:rsid w:val="00B36074"/>
    <w:rsid w:val="00B36468"/>
    <w:rsid w:val="00B367B2"/>
    <w:rsid w:val="00B367E1"/>
    <w:rsid w:val="00B36916"/>
    <w:rsid w:val="00B36EA9"/>
    <w:rsid w:val="00B37584"/>
    <w:rsid w:val="00B3790D"/>
    <w:rsid w:val="00B4026E"/>
    <w:rsid w:val="00B405BF"/>
    <w:rsid w:val="00B4100F"/>
    <w:rsid w:val="00B41FDA"/>
    <w:rsid w:val="00B4221E"/>
    <w:rsid w:val="00B42225"/>
    <w:rsid w:val="00B423FD"/>
    <w:rsid w:val="00B4268F"/>
    <w:rsid w:val="00B42B89"/>
    <w:rsid w:val="00B4329D"/>
    <w:rsid w:val="00B438DF"/>
    <w:rsid w:val="00B439B6"/>
    <w:rsid w:val="00B44898"/>
    <w:rsid w:val="00B449A7"/>
    <w:rsid w:val="00B44EDC"/>
    <w:rsid w:val="00B45041"/>
    <w:rsid w:val="00B45225"/>
    <w:rsid w:val="00B45A5F"/>
    <w:rsid w:val="00B45C92"/>
    <w:rsid w:val="00B4608D"/>
    <w:rsid w:val="00B463E2"/>
    <w:rsid w:val="00B46B93"/>
    <w:rsid w:val="00B47CA0"/>
    <w:rsid w:val="00B5037C"/>
    <w:rsid w:val="00B503D8"/>
    <w:rsid w:val="00B5133A"/>
    <w:rsid w:val="00B514FE"/>
    <w:rsid w:val="00B517F5"/>
    <w:rsid w:val="00B51825"/>
    <w:rsid w:val="00B5218C"/>
    <w:rsid w:val="00B52516"/>
    <w:rsid w:val="00B52BA4"/>
    <w:rsid w:val="00B52CA9"/>
    <w:rsid w:val="00B53F2C"/>
    <w:rsid w:val="00B55273"/>
    <w:rsid w:val="00B55692"/>
    <w:rsid w:val="00B55904"/>
    <w:rsid w:val="00B55BEA"/>
    <w:rsid w:val="00B568E3"/>
    <w:rsid w:val="00B56BC9"/>
    <w:rsid w:val="00B5709C"/>
    <w:rsid w:val="00B57611"/>
    <w:rsid w:val="00B6079E"/>
    <w:rsid w:val="00B608F6"/>
    <w:rsid w:val="00B60B9D"/>
    <w:rsid w:val="00B60E2D"/>
    <w:rsid w:val="00B60E75"/>
    <w:rsid w:val="00B620FC"/>
    <w:rsid w:val="00B6308A"/>
    <w:rsid w:val="00B63190"/>
    <w:rsid w:val="00B643E2"/>
    <w:rsid w:val="00B6473F"/>
    <w:rsid w:val="00B64B4C"/>
    <w:rsid w:val="00B64E6A"/>
    <w:rsid w:val="00B6543C"/>
    <w:rsid w:val="00B6587E"/>
    <w:rsid w:val="00B65A5C"/>
    <w:rsid w:val="00B65AB8"/>
    <w:rsid w:val="00B65BFF"/>
    <w:rsid w:val="00B66D88"/>
    <w:rsid w:val="00B66DFE"/>
    <w:rsid w:val="00B66F47"/>
    <w:rsid w:val="00B673F1"/>
    <w:rsid w:val="00B6765C"/>
    <w:rsid w:val="00B67E1E"/>
    <w:rsid w:val="00B70153"/>
    <w:rsid w:val="00B70578"/>
    <w:rsid w:val="00B70E8F"/>
    <w:rsid w:val="00B720B6"/>
    <w:rsid w:val="00B722F2"/>
    <w:rsid w:val="00B72FAD"/>
    <w:rsid w:val="00B7338B"/>
    <w:rsid w:val="00B73CF5"/>
    <w:rsid w:val="00B741AA"/>
    <w:rsid w:val="00B7445B"/>
    <w:rsid w:val="00B74D74"/>
    <w:rsid w:val="00B753A6"/>
    <w:rsid w:val="00B75A7C"/>
    <w:rsid w:val="00B7637B"/>
    <w:rsid w:val="00B768D0"/>
    <w:rsid w:val="00B804B8"/>
    <w:rsid w:val="00B8337C"/>
    <w:rsid w:val="00B835AD"/>
    <w:rsid w:val="00B83A09"/>
    <w:rsid w:val="00B83FA0"/>
    <w:rsid w:val="00B83FC6"/>
    <w:rsid w:val="00B83FF5"/>
    <w:rsid w:val="00B84733"/>
    <w:rsid w:val="00B8485D"/>
    <w:rsid w:val="00B84C55"/>
    <w:rsid w:val="00B84C6B"/>
    <w:rsid w:val="00B85400"/>
    <w:rsid w:val="00B85478"/>
    <w:rsid w:val="00B858B5"/>
    <w:rsid w:val="00B869B6"/>
    <w:rsid w:val="00B874D2"/>
    <w:rsid w:val="00B87C37"/>
    <w:rsid w:val="00B90023"/>
    <w:rsid w:val="00B9006C"/>
    <w:rsid w:val="00B90599"/>
    <w:rsid w:val="00B906A6"/>
    <w:rsid w:val="00B90F0C"/>
    <w:rsid w:val="00B91158"/>
    <w:rsid w:val="00B912E0"/>
    <w:rsid w:val="00B913B5"/>
    <w:rsid w:val="00B915CA"/>
    <w:rsid w:val="00B91D87"/>
    <w:rsid w:val="00B92819"/>
    <w:rsid w:val="00B93759"/>
    <w:rsid w:val="00B93D54"/>
    <w:rsid w:val="00B94C35"/>
    <w:rsid w:val="00B94CEA"/>
    <w:rsid w:val="00B94F0B"/>
    <w:rsid w:val="00B9504B"/>
    <w:rsid w:val="00B951F1"/>
    <w:rsid w:val="00B9548F"/>
    <w:rsid w:val="00B95B5E"/>
    <w:rsid w:val="00B96358"/>
    <w:rsid w:val="00B97169"/>
    <w:rsid w:val="00B97666"/>
    <w:rsid w:val="00BA0424"/>
    <w:rsid w:val="00BA0E31"/>
    <w:rsid w:val="00BA105B"/>
    <w:rsid w:val="00BA220E"/>
    <w:rsid w:val="00BA263F"/>
    <w:rsid w:val="00BA39AB"/>
    <w:rsid w:val="00BA3C28"/>
    <w:rsid w:val="00BA3C68"/>
    <w:rsid w:val="00BA4264"/>
    <w:rsid w:val="00BA45EB"/>
    <w:rsid w:val="00BA5703"/>
    <w:rsid w:val="00BA584C"/>
    <w:rsid w:val="00BA6912"/>
    <w:rsid w:val="00BA6AF5"/>
    <w:rsid w:val="00BA796F"/>
    <w:rsid w:val="00BB0137"/>
    <w:rsid w:val="00BB0AC5"/>
    <w:rsid w:val="00BB0E55"/>
    <w:rsid w:val="00BB1C26"/>
    <w:rsid w:val="00BB2EDD"/>
    <w:rsid w:val="00BB37F5"/>
    <w:rsid w:val="00BB38A6"/>
    <w:rsid w:val="00BB3A32"/>
    <w:rsid w:val="00BB3A5C"/>
    <w:rsid w:val="00BB3BF7"/>
    <w:rsid w:val="00BB42A3"/>
    <w:rsid w:val="00BB45B2"/>
    <w:rsid w:val="00BB7300"/>
    <w:rsid w:val="00BB74BC"/>
    <w:rsid w:val="00BB76AA"/>
    <w:rsid w:val="00BB77E7"/>
    <w:rsid w:val="00BB7FA7"/>
    <w:rsid w:val="00BC00D6"/>
    <w:rsid w:val="00BC10E0"/>
    <w:rsid w:val="00BC10FF"/>
    <w:rsid w:val="00BC1495"/>
    <w:rsid w:val="00BC1816"/>
    <w:rsid w:val="00BC1D96"/>
    <w:rsid w:val="00BC2CEB"/>
    <w:rsid w:val="00BC3193"/>
    <w:rsid w:val="00BC4158"/>
    <w:rsid w:val="00BC43D1"/>
    <w:rsid w:val="00BC4C0F"/>
    <w:rsid w:val="00BC5C36"/>
    <w:rsid w:val="00BC5C50"/>
    <w:rsid w:val="00BC6DE3"/>
    <w:rsid w:val="00BC70A3"/>
    <w:rsid w:val="00BC7F2E"/>
    <w:rsid w:val="00BD0069"/>
    <w:rsid w:val="00BD143A"/>
    <w:rsid w:val="00BD144C"/>
    <w:rsid w:val="00BD1F72"/>
    <w:rsid w:val="00BD2511"/>
    <w:rsid w:val="00BD2CB4"/>
    <w:rsid w:val="00BD2E3C"/>
    <w:rsid w:val="00BD31D7"/>
    <w:rsid w:val="00BD31F5"/>
    <w:rsid w:val="00BD4308"/>
    <w:rsid w:val="00BD43B8"/>
    <w:rsid w:val="00BD51C8"/>
    <w:rsid w:val="00BD55A8"/>
    <w:rsid w:val="00BD5840"/>
    <w:rsid w:val="00BD5C12"/>
    <w:rsid w:val="00BD5F51"/>
    <w:rsid w:val="00BD6537"/>
    <w:rsid w:val="00BD6A55"/>
    <w:rsid w:val="00BD73EF"/>
    <w:rsid w:val="00BE0021"/>
    <w:rsid w:val="00BE0BBE"/>
    <w:rsid w:val="00BE2CD6"/>
    <w:rsid w:val="00BE3548"/>
    <w:rsid w:val="00BE43C7"/>
    <w:rsid w:val="00BE4598"/>
    <w:rsid w:val="00BE49CC"/>
    <w:rsid w:val="00BE4DF4"/>
    <w:rsid w:val="00BE4E99"/>
    <w:rsid w:val="00BE5E41"/>
    <w:rsid w:val="00BE5F10"/>
    <w:rsid w:val="00BE6359"/>
    <w:rsid w:val="00BE63DB"/>
    <w:rsid w:val="00BE69BC"/>
    <w:rsid w:val="00BE74E8"/>
    <w:rsid w:val="00BF02A7"/>
    <w:rsid w:val="00BF0CAC"/>
    <w:rsid w:val="00BF0DE6"/>
    <w:rsid w:val="00BF14F4"/>
    <w:rsid w:val="00BF1508"/>
    <w:rsid w:val="00BF2600"/>
    <w:rsid w:val="00BF28F3"/>
    <w:rsid w:val="00BF2A0D"/>
    <w:rsid w:val="00BF3917"/>
    <w:rsid w:val="00BF3DE0"/>
    <w:rsid w:val="00BF41EC"/>
    <w:rsid w:val="00BF4925"/>
    <w:rsid w:val="00BF4A38"/>
    <w:rsid w:val="00BF4DD4"/>
    <w:rsid w:val="00BF5350"/>
    <w:rsid w:val="00BF56F6"/>
    <w:rsid w:val="00BF63EE"/>
    <w:rsid w:val="00BF6643"/>
    <w:rsid w:val="00BF6980"/>
    <w:rsid w:val="00BF7580"/>
    <w:rsid w:val="00BF7639"/>
    <w:rsid w:val="00BF7728"/>
    <w:rsid w:val="00BF7990"/>
    <w:rsid w:val="00BF7D2D"/>
    <w:rsid w:val="00C002A1"/>
    <w:rsid w:val="00C016B8"/>
    <w:rsid w:val="00C01CE6"/>
    <w:rsid w:val="00C02C9C"/>
    <w:rsid w:val="00C03279"/>
    <w:rsid w:val="00C04514"/>
    <w:rsid w:val="00C05046"/>
    <w:rsid w:val="00C054D0"/>
    <w:rsid w:val="00C05DDA"/>
    <w:rsid w:val="00C064C7"/>
    <w:rsid w:val="00C0659A"/>
    <w:rsid w:val="00C06C4C"/>
    <w:rsid w:val="00C10152"/>
    <w:rsid w:val="00C103DB"/>
    <w:rsid w:val="00C10560"/>
    <w:rsid w:val="00C10B00"/>
    <w:rsid w:val="00C11990"/>
    <w:rsid w:val="00C131BB"/>
    <w:rsid w:val="00C144A2"/>
    <w:rsid w:val="00C144DD"/>
    <w:rsid w:val="00C14DC1"/>
    <w:rsid w:val="00C15598"/>
    <w:rsid w:val="00C15CF9"/>
    <w:rsid w:val="00C16038"/>
    <w:rsid w:val="00C20A40"/>
    <w:rsid w:val="00C213D8"/>
    <w:rsid w:val="00C219DA"/>
    <w:rsid w:val="00C231C4"/>
    <w:rsid w:val="00C23447"/>
    <w:rsid w:val="00C2354A"/>
    <w:rsid w:val="00C23A34"/>
    <w:rsid w:val="00C24AEF"/>
    <w:rsid w:val="00C24E7F"/>
    <w:rsid w:val="00C25137"/>
    <w:rsid w:val="00C25818"/>
    <w:rsid w:val="00C264A2"/>
    <w:rsid w:val="00C302B4"/>
    <w:rsid w:val="00C30498"/>
    <w:rsid w:val="00C3070B"/>
    <w:rsid w:val="00C30FF9"/>
    <w:rsid w:val="00C316A3"/>
    <w:rsid w:val="00C31799"/>
    <w:rsid w:val="00C31BBB"/>
    <w:rsid w:val="00C31C39"/>
    <w:rsid w:val="00C334F2"/>
    <w:rsid w:val="00C33861"/>
    <w:rsid w:val="00C3394A"/>
    <w:rsid w:val="00C34809"/>
    <w:rsid w:val="00C34BDF"/>
    <w:rsid w:val="00C356F4"/>
    <w:rsid w:val="00C364EF"/>
    <w:rsid w:val="00C36E93"/>
    <w:rsid w:val="00C37435"/>
    <w:rsid w:val="00C400EB"/>
    <w:rsid w:val="00C402FF"/>
    <w:rsid w:val="00C40FBA"/>
    <w:rsid w:val="00C41857"/>
    <w:rsid w:val="00C41AE3"/>
    <w:rsid w:val="00C42681"/>
    <w:rsid w:val="00C42835"/>
    <w:rsid w:val="00C42A60"/>
    <w:rsid w:val="00C43552"/>
    <w:rsid w:val="00C451ED"/>
    <w:rsid w:val="00C45294"/>
    <w:rsid w:val="00C45DD5"/>
    <w:rsid w:val="00C4612B"/>
    <w:rsid w:val="00C46A67"/>
    <w:rsid w:val="00C46A7F"/>
    <w:rsid w:val="00C46ECE"/>
    <w:rsid w:val="00C46ED0"/>
    <w:rsid w:val="00C46F7C"/>
    <w:rsid w:val="00C475A5"/>
    <w:rsid w:val="00C475CB"/>
    <w:rsid w:val="00C476B4"/>
    <w:rsid w:val="00C508B9"/>
    <w:rsid w:val="00C5099E"/>
    <w:rsid w:val="00C50AC2"/>
    <w:rsid w:val="00C50BA4"/>
    <w:rsid w:val="00C5198F"/>
    <w:rsid w:val="00C522B1"/>
    <w:rsid w:val="00C5280C"/>
    <w:rsid w:val="00C5324D"/>
    <w:rsid w:val="00C538EF"/>
    <w:rsid w:val="00C5400D"/>
    <w:rsid w:val="00C54235"/>
    <w:rsid w:val="00C54250"/>
    <w:rsid w:val="00C55B11"/>
    <w:rsid w:val="00C56552"/>
    <w:rsid w:val="00C56DF7"/>
    <w:rsid w:val="00C574A0"/>
    <w:rsid w:val="00C600B6"/>
    <w:rsid w:val="00C60877"/>
    <w:rsid w:val="00C62164"/>
    <w:rsid w:val="00C62FCE"/>
    <w:rsid w:val="00C637EB"/>
    <w:rsid w:val="00C64A24"/>
    <w:rsid w:val="00C6557D"/>
    <w:rsid w:val="00C65901"/>
    <w:rsid w:val="00C65E25"/>
    <w:rsid w:val="00C65E57"/>
    <w:rsid w:val="00C66349"/>
    <w:rsid w:val="00C66B5A"/>
    <w:rsid w:val="00C66B96"/>
    <w:rsid w:val="00C671D7"/>
    <w:rsid w:val="00C7027D"/>
    <w:rsid w:val="00C7105C"/>
    <w:rsid w:val="00C71D59"/>
    <w:rsid w:val="00C72EE6"/>
    <w:rsid w:val="00C73EF7"/>
    <w:rsid w:val="00C73F05"/>
    <w:rsid w:val="00C73F70"/>
    <w:rsid w:val="00C74827"/>
    <w:rsid w:val="00C74C52"/>
    <w:rsid w:val="00C74D09"/>
    <w:rsid w:val="00C75A86"/>
    <w:rsid w:val="00C75D9D"/>
    <w:rsid w:val="00C75DAA"/>
    <w:rsid w:val="00C7748A"/>
    <w:rsid w:val="00C7757D"/>
    <w:rsid w:val="00C7772A"/>
    <w:rsid w:val="00C7775B"/>
    <w:rsid w:val="00C77D82"/>
    <w:rsid w:val="00C80AC8"/>
    <w:rsid w:val="00C80B74"/>
    <w:rsid w:val="00C80E8F"/>
    <w:rsid w:val="00C80EC8"/>
    <w:rsid w:val="00C810E8"/>
    <w:rsid w:val="00C818BE"/>
    <w:rsid w:val="00C8196A"/>
    <w:rsid w:val="00C81C45"/>
    <w:rsid w:val="00C827FA"/>
    <w:rsid w:val="00C82A3A"/>
    <w:rsid w:val="00C83196"/>
    <w:rsid w:val="00C84213"/>
    <w:rsid w:val="00C84E06"/>
    <w:rsid w:val="00C85382"/>
    <w:rsid w:val="00C8570D"/>
    <w:rsid w:val="00C85B60"/>
    <w:rsid w:val="00C866E9"/>
    <w:rsid w:val="00C8686E"/>
    <w:rsid w:val="00C86BFA"/>
    <w:rsid w:val="00C871C9"/>
    <w:rsid w:val="00C874DA"/>
    <w:rsid w:val="00C90357"/>
    <w:rsid w:val="00C90C34"/>
    <w:rsid w:val="00C90EBA"/>
    <w:rsid w:val="00C91B46"/>
    <w:rsid w:val="00C91FB5"/>
    <w:rsid w:val="00C922A7"/>
    <w:rsid w:val="00C92313"/>
    <w:rsid w:val="00C92DD1"/>
    <w:rsid w:val="00C93092"/>
    <w:rsid w:val="00C946A5"/>
    <w:rsid w:val="00C94E84"/>
    <w:rsid w:val="00C9510F"/>
    <w:rsid w:val="00C9511A"/>
    <w:rsid w:val="00C95A7E"/>
    <w:rsid w:val="00C96023"/>
    <w:rsid w:val="00C964F0"/>
    <w:rsid w:val="00C968A8"/>
    <w:rsid w:val="00C96915"/>
    <w:rsid w:val="00C96F6B"/>
    <w:rsid w:val="00C96F83"/>
    <w:rsid w:val="00C97FE1"/>
    <w:rsid w:val="00CA06E4"/>
    <w:rsid w:val="00CA155E"/>
    <w:rsid w:val="00CA15EB"/>
    <w:rsid w:val="00CA29B5"/>
    <w:rsid w:val="00CA2A14"/>
    <w:rsid w:val="00CA2AD4"/>
    <w:rsid w:val="00CA3D12"/>
    <w:rsid w:val="00CA4215"/>
    <w:rsid w:val="00CA5318"/>
    <w:rsid w:val="00CA615B"/>
    <w:rsid w:val="00CA737D"/>
    <w:rsid w:val="00CA73BD"/>
    <w:rsid w:val="00CA73C4"/>
    <w:rsid w:val="00CA7578"/>
    <w:rsid w:val="00CA768C"/>
    <w:rsid w:val="00CA7765"/>
    <w:rsid w:val="00CB070D"/>
    <w:rsid w:val="00CB132F"/>
    <w:rsid w:val="00CB1B47"/>
    <w:rsid w:val="00CB1EEF"/>
    <w:rsid w:val="00CB1F08"/>
    <w:rsid w:val="00CB2A9F"/>
    <w:rsid w:val="00CB3633"/>
    <w:rsid w:val="00CB3C54"/>
    <w:rsid w:val="00CB447C"/>
    <w:rsid w:val="00CB4AB5"/>
    <w:rsid w:val="00CB4C53"/>
    <w:rsid w:val="00CB4F45"/>
    <w:rsid w:val="00CB51AE"/>
    <w:rsid w:val="00CB5DC7"/>
    <w:rsid w:val="00CB5FF7"/>
    <w:rsid w:val="00CB6616"/>
    <w:rsid w:val="00CB69DC"/>
    <w:rsid w:val="00CB73BF"/>
    <w:rsid w:val="00CC0401"/>
    <w:rsid w:val="00CC0F76"/>
    <w:rsid w:val="00CC0FB7"/>
    <w:rsid w:val="00CC181A"/>
    <w:rsid w:val="00CC1928"/>
    <w:rsid w:val="00CC1CA6"/>
    <w:rsid w:val="00CC1D18"/>
    <w:rsid w:val="00CC1EE1"/>
    <w:rsid w:val="00CC2526"/>
    <w:rsid w:val="00CC25C2"/>
    <w:rsid w:val="00CC2C51"/>
    <w:rsid w:val="00CC2DE3"/>
    <w:rsid w:val="00CC2EAD"/>
    <w:rsid w:val="00CC2F11"/>
    <w:rsid w:val="00CC3183"/>
    <w:rsid w:val="00CC47DF"/>
    <w:rsid w:val="00CC4D77"/>
    <w:rsid w:val="00CC535F"/>
    <w:rsid w:val="00CC624C"/>
    <w:rsid w:val="00CC6695"/>
    <w:rsid w:val="00CC6929"/>
    <w:rsid w:val="00CC6E66"/>
    <w:rsid w:val="00CC776E"/>
    <w:rsid w:val="00CC788C"/>
    <w:rsid w:val="00CC79F3"/>
    <w:rsid w:val="00CC7C81"/>
    <w:rsid w:val="00CD02C0"/>
    <w:rsid w:val="00CD1025"/>
    <w:rsid w:val="00CD12B5"/>
    <w:rsid w:val="00CD16C2"/>
    <w:rsid w:val="00CD2081"/>
    <w:rsid w:val="00CD21EF"/>
    <w:rsid w:val="00CD2AB7"/>
    <w:rsid w:val="00CD308B"/>
    <w:rsid w:val="00CD3237"/>
    <w:rsid w:val="00CD3C24"/>
    <w:rsid w:val="00CD3C56"/>
    <w:rsid w:val="00CD439E"/>
    <w:rsid w:val="00CD471A"/>
    <w:rsid w:val="00CD48E2"/>
    <w:rsid w:val="00CD51CA"/>
    <w:rsid w:val="00CD5250"/>
    <w:rsid w:val="00CD53A0"/>
    <w:rsid w:val="00CD6408"/>
    <w:rsid w:val="00CD75C7"/>
    <w:rsid w:val="00CE01CA"/>
    <w:rsid w:val="00CE1845"/>
    <w:rsid w:val="00CE30E4"/>
    <w:rsid w:val="00CE3130"/>
    <w:rsid w:val="00CE370F"/>
    <w:rsid w:val="00CE3F9B"/>
    <w:rsid w:val="00CE47DA"/>
    <w:rsid w:val="00CE4EC2"/>
    <w:rsid w:val="00CE5539"/>
    <w:rsid w:val="00CE6F05"/>
    <w:rsid w:val="00CE6F65"/>
    <w:rsid w:val="00CE705A"/>
    <w:rsid w:val="00CE7616"/>
    <w:rsid w:val="00CE7EE8"/>
    <w:rsid w:val="00CF0C71"/>
    <w:rsid w:val="00CF1304"/>
    <w:rsid w:val="00CF148A"/>
    <w:rsid w:val="00CF19E6"/>
    <w:rsid w:val="00CF1C85"/>
    <w:rsid w:val="00CF1E0A"/>
    <w:rsid w:val="00CF25FF"/>
    <w:rsid w:val="00CF2905"/>
    <w:rsid w:val="00CF35FE"/>
    <w:rsid w:val="00CF3FFA"/>
    <w:rsid w:val="00CF4184"/>
    <w:rsid w:val="00CF42F1"/>
    <w:rsid w:val="00CF55C8"/>
    <w:rsid w:val="00CF56BA"/>
    <w:rsid w:val="00CF6E79"/>
    <w:rsid w:val="00CF6EFA"/>
    <w:rsid w:val="00CF6F2B"/>
    <w:rsid w:val="00CF70AB"/>
    <w:rsid w:val="00CF7566"/>
    <w:rsid w:val="00CF765C"/>
    <w:rsid w:val="00CF77AF"/>
    <w:rsid w:val="00CF7AB9"/>
    <w:rsid w:val="00D00D96"/>
    <w:rsid w:val="00D03642"/>
    <w:rsid w:val="00D0364F"/>
    <w:rsid w:val="00D039AD"/>
    <w:rsid w:val="00D03DF6"/>
    <w:rsid w:val="00D03E41"/>
    <w:rsid w:val="00D03FEA"/>
    <w:rsid w:val="00D04177"/>
    <w:rsid w:val="00D0451A"/>
    <w:rsid w:val="00D04A75"/>
    <w:rsid w:val="00D05723"/>
    <w:rsid w:val="00D05E18"/>
    <w:rsid w:val="00D06906"/>
    <w:rsid w:val="00D070B5"/>
    <w:rsid w:val="00D078D9"/>
    <w:rsid w:val="00D07B98"/>
    <w:rsid w:val="00D10091"/>
    <w:rsid w:val="00D1072B"/>
    <w:rsid w:val="00D1080E"/>
    <w:rsid w:val="00D109AE"/>
    <w:rsid w:val="00D109FE"/>
    <w:rsid w:val="00D111A6"/>
    <w:rsid w:val="00D11583"/>
    <w:rsid w:val="00D13046"/>
    <w:rsid w:val="00D13498"/>
    <w:rsid w:val="00D1360E"/>
    <w:rsid w:val="00D13FED"/>
    <w:rsid w:val="00D143EC"/>
    <w:rsid w:val="00D146FA"/>
    <w:rsid w:val="00D14F22"/>
    <w:rsid w:val="00D15104"/>
    <w:rsid w:val="00D15C4D"/>
    <w:rsid w:val="00D15DD8"/>
    <w:rsid w:val="00D17C52"/>
    <w:rsid w:val="00D17C80"/>
    <w:rsid w:val="00D20B33"/>
    <w:rsid w:val="00D21469"/>
    <w:rsid w:val="00D2231B"/>
    <w:rsid w:val="00D22BBD"/>
    <w:rsid w:val="00D22BEF"/>
    <w:rsid w:val="00D22F2C"/>
    <w:rsid w:val="00D235DC"/>
    <w:rsid w:val="00D23A61"/>
    <w:rsid w:val="00D23B33"/>
    <w:rsid w:val="00D246B5"/>
    <w:rsid w:val="00D249B5"/>
    <w:rsid w:val="00D24ACE"/>
    <w:rsid w:val="00D24DF6"/>
    <w:rsid w:val="00D2505D"/>
    <w:rsid w:val="00D26326"/>
    <w:rsid w:val="00D264D2"/>
    <w:rsid w:val="00D26C55"/>
    <w:rsid w:val="00D276A0"/>
    <w:rsid w:val="00D2782F"/>
    <w:rsid w:val="00D27B3A"/>
    <w:rsid w:val="00D303C6"/>
    <w:rsid w:val="00D3059B"/>
    <w:rsid w:val="00D316E8"/>
    <w:rsid w:val="00D32229"/>
    <w:rsid w:val="00D327E6"/>
    <w:rsid w:val="00D332B0"/>
    <w:rsid w:val="00D338D7"/>
    <w:rsid w:val="00D3415E"/>
    <w:rsid w:val="00D3439B"/>
    <w:rsid w:val="00D3556A"/>
    <w:rsid w:val="00D35B4F"/>
    <w:rsid w:val="00D35FD1"/>
    <w:rsid w:val="00D36110"/>
    <w:rsid w:val="00D368BB"/>
    <w:rsid w:val="00D3696B"/>
    <w:rsid w:val="00D37C32"/>
    <w:rsid w:val="00D37D9F"/>
    <w:rsid w:val="00D37E30"/>
    <w:rsid w:val="00D40806"/>
    <w:rsid w:val="00D40CD5"/>
    <w:rsid w:val="00D40D16"/>
    <w:rsid w:val="00D43109"/>
    <w:rsid w:val="00D43372"/>
    <w:rsid w:val="00D43467"/>
    <w:rsid w:val="00D439B8"/>
    <w:rsid w:val="00D44016"/>
    <w:rsid w:val="00D4409A"/>
    <w:rsid w:val="00D44214"/>
    <w:rsid w:val="00D4498E"/>
    <w:rsid w:val="00D44FBB"/>
    <w:rsid w:val="00D45E3D"/>
    <w:rsid w:val="00D45F32"/>
    <w:rsid w:val="00D4690D"/>
    <w:rsid w:val="00D469AC"/>
    <w:rsid w:val="00D46F99"/>
    <w:rsid w:val="00D47186"/>
    <w:rsid w:val="00D477C8"/>
    <w:rsid w:val="00D50929"/>
    <w:rsid w:val="00D50AE7"/>
    <w:rsid w:val="00D50C83"/>
    <w:rsid w:val="00D510CB"/>
    <w:rsid w:val="00D514A5"/>
    <w:rsid w:val="00D51C92"/>
    <w:rsid w:val="00D5231C"/>
    <w:rsid w:val="00D523DB"/>
    <w:rsid w:val="00D5247F"/>
    <w:rsid w:val="00D5271E"/>
    <w:rsid w:val="00D528A2"/>
    <w:rsid w:val="00D52C5C"/>
    <w:rsid w:val="00D54741"/>
    <w:rsid w:val="00D5492B"/>
    <w:rsid w:val="00D54FF6"/>
    <w:rsid w:val="00D550B5"/>
    <w:rsid w:val="00D55373"/>
    <w:rsid w:val="00D55DD0"/>
    <w:rsid w:val="00D56351"/>
    <w:rsid w:val="00D5661A"/>
    <w:rsid w:val="00D56731"/>
    <w:rsid w:val="00D56AD3"/>
    <w:rsid w:val="00D576CF"/>
    <w:rsid w:val="00D57AE6"/>
    <w:rsid w:val="00D60046"/>
    <w:rsid w:val="00D607F9"/>
    <w:rsid w:val="00D609C2"/>
    <w:rsid w:val="00D60CDB"/>
    <w:rsid w:val="00D60E39"/>
    <w:rsid w:val="00D60EA0"/>
    <w:rsid w:val="00D61033"/>
    <w:rsid w:val="00D610A9"/>
    <w:rsid w:val="00D620C2"/>
    <w:rsid w:val="00D626B5"/>
    <w:rsid w:val="00D62941"/>
    <w:rsid w:val="00D63125"/>
    <w:rsid w:val="00D63164"/>
    <w:rsid w:val="00D632EC"/>
    <w:rsid w:val="00D63563"/>
    <w:rsid w:val="00D6438C"/>
    <w:rsid w:val="00D645C0"/>
    <w:rsid w:val="00D6534D"/>
    <w:rsid w:val="00D65353"/>
    <w:rsid w:val="00D65663"/>
    <w:rsid w:val="00D667D2"/>
    <w:rsid w:val="00D66CF9"/>
    <w:rsid w:val="00D66E7D"/>
    <w:rsid w:val="00D66FEF"/>
    <w:rsid w:val="00D671EC"/>
    <w:rsid w:val="00D677EF"/>
    <w:rsid w:val="00D679FE"/>
    <w:rsid w:val="00D70452"/>
    <w:rsid w:val="00D70D74"/>
    <w:rsid w:val="00D71051"/>
    <w:rsid w:val="00D711AB"/>
    <w:rsid w:val="00D71646"/>
    <w:rsid w:val="00D71E4E"/>
    <w:rsid w:val="00D71F11"/>
    <w:rsid w:val="00D71FFB"/>
    <w:rsid w:val="00D73537"/>
    <w:rsid w:val="00D73769"/>
    <w:rsid w:val="00D73C11"/>
    <w:rsid w:val="00D7460F"/>
    <w:rsid w:val="00D74D99"/>
    <w:rsid w:val="00D803B3"/>
    <w:rsid w:val="00D80480"/>
    <w:rsid w:val="00D8214F"/>
    <w:rsid w:val="00D823D8"/>
    <w:rsid w:val="00D82C21"/>
    <w:rsid w:val="00D82C5B"/>
    <w:rsid w:val="00D83622"/>
    <w:rsid w:val="00D83656"/>
    <w:rsid w:val="00D836AC"/>
    <w:rsid w:val="00D837D9"/>
    <w:rsid w:val="00D83C92"/>
    <w:rsid w:val="00D83DE9"/>
    <w:rsid w:val="00D84917"/>
    <w:rsid w:val="00D864A4"/>
    <w:rsid w:val="00D8661D"/>
    <w:rsid w:val="00D86758"/>
    <w:rsid w:val="00D86AF2"/>
    <w:rsid w:val="00D874F2"/>
    <w:rsid w:val="00D8762B"/>
    <w:rsid w:val="00D91627"/>
    <w:rsid w:val="00D9180A"/>
    <w:rsid w:val="00D91A32"/>
    <w:rsid w:val="00D91AA2"/>
    <w:rsid w:val="00D9251E"/>
    <w:rsid w:val="00D925D5"/>
    <w:rsid w:val="00D926A6"/>
    <w:rsid w:val="00D92701"/>
    <w:rsid w:val="00D92CF1"/>
    <w:rsid w:val="00D93F5A"/>
    <w:rsid w:val="00D94554"/>
    <w:rsid w:val="00D94EAC"/>
    <w:rsid w:val="00D96671"/>
    <w:rsid w:val="00D9674C"/>
    <w:rsid w:val="00D96B76"/>
    <w:rsid w:val="00D975D7"/>
    <w:rsid w:val="00D97727"/>
    <w:rsid w:val="00D97A3F"/>
    <w:rsid w:val="00DA0668"/>
    <w:rsid w:val="00DA0D5C"/>
    <w:rsid w:val="00DA1082"/>
    <w:rsid w:val="00DA109D"/>
    <w:rsid w:val="00DA1308"/>
    <w:rsid w:val="00DA187C"/>
    <w:rsid w:val="00DA1C84"/>
    <w:rsid w:val="00DA251D"/>
    <w:rsid w:val="00DA2B8D"/>
    <w:rsid w:val="00DA313D"/>
    <w:rsid w:val="00DA32E4"/>
    <w:rsid w:val="00DA39CA"/>
    <w:rsid w:val="00DA48CF"/>
    <w:rsid w:val="00DA4B0E"/>
    <w:rsid w:val="00DA4D33"/>
    <w:rsid w:val="00DA57DA"/>
    <w:rsid w:val="00DA581D"/>
    <w:rsid w:val="00DA6541"/>
    <w:rsid w:val="00DA6B5A"/>
    <w:rsid w:val="00DA72A1"/>
    <w:rsid w:val="00DA7374"/>
    <w:rsid w:val="00DA7CD8"/>
    <w:rsid w:val="00DB02D1"/>
    <w:rsid w:val="00DB0586"/>
    <w:rsid w:val="00DB0950"/>
    <w:rsid w:val="00DB15D8"/>
    <w:rsid w:val="00DB161D"/>
    <w:rsid w:val="00DB1CD9"/>
    <w:rsid w:val="00DB208F"/>
    <w:rsid w:val="00DB2415"/>
    <w:rsid w:val="00DB275D"/>
    <w:rsid w:val="00DB2808"/>
    <w:rsid w:val="00DB2D79"/>
    <w:rsid w:val="00DB54AF"/>
    <w:rsid w:val="00DB59B9"/>
    <w:rsid w:val="00DB59F3"/>
    <w:rsid w:val="00DB5AC2"/>
    <w:rsid w:val="00DB65AD"/>
    <w:rsid w:val="00DB78B3"/>
    <w:rsid w:val="00DB7B4C"/>
    <w:rsid w:val="00DB7C19"/>
    <w:rsid w:val="00DC1457"/>
    <w:rsid w:val="00DC213E"/>
    <w:rsid w:val="00DC237A"/>
    <w:rsid w:val="00DC27DB"/>
    <w:rsid w:val="00DC2B6E"/>
    <w:rsid w:val="00DC315D"/>
    <w:rsid w:val="00DC350A"/>
    <w:rsid w:val="00DC3672"/>
    <w:rsid w:val="00DC3DE6"/>
    <w:rsid w:val="00DC3E0E"/>
    <w:rsid w:val="00DC403A"/>
    <w:rsid w:val="00DC41CB"/>
    <w:rsid w:val="00DC43C8"/>
    <w:rsid w:val="00DC5C71"/>
    <w:rsid w:val="00DC5F58"/>
    <w:rsid w:val="00DC6D9C"/>
    <w:rsid w:val="00DC6E26"/>
    <w:rsid w:val="00DC6E52"/>
    <w:rsid w:val="00DC713D"/>
    <w:rsid w:val="00DC73CC"/>
    <w:rsid w:val="00DC74D7"/>
    <w:rsid w:val="00DD0442"/>
    <w:rsid w:val="00DD04D7"/>
    <w:rsid w:val="00DD06C0"/>
    <w:rsid w:val="00DD0828"/>
    <w:rsid w:val="00DD0A03"/>
    <w:rsid w:val="00DD0F3E"/>
    <w:rsid w:val="00DD1502"/>
    <w:rsid w:val="00DD1A8D"/>
    <w:rsid w:val="00DD24F1"/>
    <w:rsid w:val="00DD2D66"/>
    <w:rsid w:val="00DD3AF8"/>
    <w:rsid w:val="00DD3B29"/>
    <w:rsid w:val="00DD54ED"/>
    <w:rsid w:val="00DD5A04"/>
    <w:rsid w:val="00DD5D6F"/>
    <w:rsid w:val="00DD6539"/>
    <w:rsid w:val="00DD6A8F"/>
    <w:rsid w:val="00DD7085"/>
    <w:rsid w:val="00DD7987"/>
    <w:rsid w:val="00DE0474"/>
    <w:rsid w:val="00DE09EC"/>
    <w:rsid w:val="00DE1888"/>
    <w:rsid w:val="00DE1A65"/>
    <w:rsid w:val="00DE1D4A"/>
    <w:rsid w:val="00DE221A"/>
    <w:rsid w:val="00DE23F6"/>
    <w:rsid w:val="00DE26BF"/>
    <w:rsid w:val="00DE34A5"/>
    <w:rsid w:val="00DE3F38"/>
    <w:rsid w:val="00DE4A14"/>
    <w:rsid w:val="00DE4E6E"/>
    <w:rsid w:val="00DE569A"/>
    <w:rsid w:val="00DE6D82"/>
    <w:rsid w:val="00DE71A8"/>
    <w:rsid w:val="00DE751A"/>
    <w:rsid w:val="00DE7AB7"/>
    <w:rsid w:val="00DF00DA"/>
    <w:rsid w:val="00DF03D5"/>
    <w:rsid w:val="00DF0615"/>
    <w:rsid w:val="00DF067D"/>
    <w:rsid w:val="00DF1356"/>
    <w:rsid w:val="00DF13E9"/>
    <w:rsid w:val="00DF1449"/>
    <w:rsid w:val="00DF1A06"/>
    <w:rsid w:val="00DF2226"/>
    <w:rsid w:val="00DF2872"/>
    <w:rsid w:val="00DF29BB"/>
    <w:rsid w:val="00DF2E4A"/>
    <w:rsid w:val="00DF3D10"/>
    <w:rsid w:val="00DF3D2D"/>
    <w:rsid w:val="00DF4866"/>
    <w:rsid w:val="00DF6398"/>
    <w:rsid w:val="00DF697A"/>
    <w:rsid w:val="00DF7606"/>
    <w:rsid w:val="00E0010F"/>
    <w:rsid w:val="00E019A4"/>
    <w:rsid w:val="00E01B10"/>
    <w:rsid w:val="00E02334"/>
    <w:rsid w:val="00E02B99"/>
    <w:rsid w:val="00E02C3F"/>
    <w:rsid w:val="00E03222"/>
    <w:rsid w:val="00E03699"/>
    <w:rsid w:val="00E04676"/>
    <w:rsid w:val="00E04B4E"/>
    <w:rsid w:val="00E04D78"/>
    <w:rsid w:val="00E0562B"/>
    <w:rsid w:val="00E05747"/>
    <w:rsid w:val="00E057B6"/>
    <w:rsid w:val="00E05AD0"/>
    <w:rsid w:val="00E060C5"/>
    <w:rsid w:val="00E06B28"/>
    <w:rsid w:val="00E1057F"/>
    <w:rsid w:val="00E10697"/>
    <w:rsid w:val="00E10C27"/>
    <w:rsid w:val="00E10E19"/>
    <w:rsid w:val="00E1151C"/>
    <w:rsid w:val="00E1169C"/>
    <w:rsid w:val="00E11BE8"/>
    <w:rsid w:val="00E11D96"/>
    <w:rsid w:val="00E1206E"/>
    <w:rsid w:val="00E127CF"/>
    <w:rsid w:val="00E128F2"/>
    <w:rsid w:val="00E12A18"/>
    <w:rsid w:val="00E13E64"/>
    <w:rsid w:val="00E13F51"/>
    <w:rsid w:val="00E15139"/>
    <w:rsid w:val="00E15652"/>
    <w:rsid w:val="00E1597C"/>
    <w:rsid w:val="00E15BA3"/>
    <w:rsid w:val="00E160D9"/>
    <w:rsid w:val="00E167A2"/>
    <w:rsid w:val="00E2021A"/>
    <w:rsid w:val="00E2091E"/>
    <w:rsid w:val="00E21095"/>
    <w:rsid w:val="00E21976"/>
    <w:rsid w:val="00E21B79"/>
    <w:rsid w:val="00E21BCD"/>
    <w:rsid w:val="00E2300A"/>
    <w:rsid w:val="00E23065"/>
    <w:rsid w:val="00E234B8"/>
    <w:rsid w:val="00E23DFC"/>
    <w:rsid w:val="00E24419"/>
    <w:rsid w:val="00E2571C"/>
    <w:rsid w:val="00E25769"/>
    <w:rsid w:val="00E25B15"/>
    <w:rsid w:val="00E267E4"/>
    <w:rsid w:val="00E26816"/>
    <w:rsid w:val="00E2749A"/>
    <w:rsid w:val="00E2761F"/>
    <w:rsid w:val="00E27F82"/>
    <w:rsid w:val="00E3079F"/>
    <w:rsid w:val="00E30B23"/>
    <w:rsid w:val="00E30B53"/>
    <w:rsid w:val="00E31889"/>
    <w:rsid w:val="00E32684"/>
    <w:rsid w:val="00E33806"/>
    <w:rsid w:val="00E33C0E"/>
    <w:rsid w:val="00E34AF5"/>
    <w:rsid w:val="00E34F10"/>
    <w:rsid w:val="00E34F15"/>
    <w:rsid w:val="00E35270"/>
    <w:rsid w:val="00E3585E"/>
    <w:rsid w:val="00E35905"/>
    <w:rsid w:val="00E3747B"/>
    <w:rsid w:val="00E37A9C"/>
    <w:rsid w:val="00E37C09"/>
    <w:rsid w:val="00E41859"/>
    <w:rsid w:val="00E42065"/>
    <w:rsid w:val="00E422FC"/>
    <w:rsid w:val="00E42CCC"/>
    <w:rsid w:val="00E433CF"/>
    <w:rsid w:val="00E438C1"/>
    <w:rsid w:val="00E43D3D"/>
    <w:rsid w:val="00E44474"/>
    <w:rsid w:val="00E444A4"/>
    <w:rsid w:val="00E46449"/>
    <w:rsid w:val="00E469CA"/>
    <w:rsid w:val="00E46D99"/>
    <w:rsid w:val="00E470FA"/>
    <w:rsid w:val="00E47D79"/>
    <w:rsid w:val="00E50921"/>
    <w:rsid w:val="00E51921"/>
    <w:rsid w:val="00E51F0E"/>
    <w:rsid w:val="00E524BD"/>
    <w:rsid w:val="00E53DFD"/>
    <w:rsid w:val="00E54623"/>
    <w:rsid w:val="00E54BFA"/>
    <w:rsid w:val="00E5537A"/>
    <w:rsid w:val="00E55ED7"/>
    <w:rsid w:val="00E5682F"/>
    <w:rsid w:val="00E56DB6"/>
    <w:rsid w:val="00E56F05"/>
    <w:rsid w:val="00E60807"/>
    <w:rsid w:val="00E61AE4"/>
    <w:rsid w:val="00E62170"/>
    <w:rsid w:val="00E622E3"/>
    <w:rsid w:val="00E627F9"/>
    <w:rsid w:val="00E62F8A"/>
    <w:rsid w:val="00E630DB"/>
    <w:rsid w:val="00E63582"/>
    <w:rsid w:val="00E63FF0"/>
    <w:rsid w:val="00E64352"/>
    <w:rsid w:val="00E6658B"/>
    <w:rsid w:val="00E66E75"/>
    <w:rsid w:val="00E672F7"/>
    <w:rsid w:val="00E70C42"/>
    <w:rsid w:val="00E710EB"/>
    <w:rsid w:val="00E716AE"/>
    <w:rsid w:val="00E72E22"/>
    <w:rsid w:val="00E735F5"/>
    <w:rsid w:val="00E73E6B"/>
    <w:rsid w:val="00E74EA4"/>
    <w:rsid w:val="00E758E0"/>
    <w:rsid w:val="00E75B38"/>
    <w:rsid w:val="00E7676C"/>
    <w:rsid w:val="00E7686C"/>
    <w:rsid w:val="00E770B1"/>
    <w:rsid w:val="00E77287"/>
    <w:rsid w:val="00E77289"/>
    <w:rsid w:val="00E77D28"/>
    <w:rsid w:val="00E77F92"/>
    <w:rsid w:val="00E77FCF"/>
    <w:rsid w:val="00E8033F"/>
    <w:rsid w:val="00E816C9"/>
    <w:rsid w:val="00E81982"/>
    <w:rsid w:val="00E82193"/>
    <w:rsid w:val="00E83291"/>
    <w:rsid w:val="00E833E4"/>
    <w:rsid w:val="00E83AA4"/>
    <w:rsid w:val="00E83E32"/>
    <w:rsid w:val="00E846D3"/>
    <w:rsid w:val="00E84AA6"/>
    <w:rsid w:val="00E84D98"/>
    <w:rsid w:val="00E85497"/>
    <w:rsid w:val="00E86338"/>
    <w:rsid w:val="00E86880"/>
    <w:rsid w:val="00E87A5A"/>
    <w:rsid w:val="00E910F8"/>
    <w:rsid w:val="00E91BDE"/>
    <w:rsid w:val="00E922D7"/>
    <w:rsid w:val="00E94026"/>
    <w:rsid w:val="00E9451E"/>
    <w:rsid w:val="00E94618"/>
    <w:rsid w:val="00E950C4"/>
    <w:rsid w:val="00E954D1"/>
    <w:rsid w:val="00E955A0"/>
    <w:rsid w:val="00E95A96"/>
    <w:rsid w:val="00E9640E"/>
    <w:rsid w:val="00E96D4A"/>
    <w:rsid w:val="00E96F32"/>
    <w:rsid w:val="00E97A1B"/>
    <w:rsid w:val="00E97FDE"/>
    <w:rsid w:val="00EA1BF0"/>
    <w:rsid w:val="00EA35D2"/>
    <w:rsid w:val="00EA38C9"/>
    <w:rsid w:val="00EA39CD"/>
    <w:rsid w:val="00EA4157"/>
    <w:rsid w:val="00EA55EA"/>
    <w:rsid w:val="00EA5BDA"/>
    <w:rsid w:val="00EA62C3"/>
    <w:rsid w:val="00EA7061"/>
    <w:rsid w:val="00EA7147"/>
    <w:rsid w:val="00EA73B9"/>
    <w:rsid w:val="00EA7422"/>
    <w:rsid w:val="00EA7A30"/>
    <w:rsid w:val="00EB0250"/>
    <w:rsid w:val="00EB0597"/>
    <w:rsid w:val="00EB0B32"/>
    <w:rsid w:val="00EB0F03"/>
    <w:rsid w:val="00EB1067"/>
    <w:rsid w:val="00EB19EF"/>
    <w:rsid w:val="00EB1C87"/>
    <w:rsid w:val="00EB226D"/>
    <w:rsid w:val="00EB28B3"/>
    <w:rsid w:val="00EB2CF6"/>
    <w:rsid w:val="00EB31D7"/>
    <w:rsid w:val="00EB3AC9"/>
    <w:rsid w:val="00EB426D"/>
    <w:rsid w:val="00EB471D"/>
    <w:rsid w:val="00EB5AD3"/>
    <w:rsid w:val="00EB62DE"/>
    <w:rsid w:val="00EB712D"/>
    <w:rsid w:val="00EB7A20"/>
    <w:rsid w:val="00EB7E3F"/>
    <w:rsid w:val="00EB7FE1"/>
    <w:rsid w:val="00EC05D4"/>
    <w:rsid w:val="00EC0798"/>
    <w:rsid w:val="00EC0BF6"/>
    <w:rsid w:val="00EC0D1A"/>
    <w:rsid w:val="00EC1014"/>
    <w:rsid w:val="00EC104B"/>
    <w:rsid w:val="00EC14B9"/>
    <w:rsid w:val="00EC190E"/>
    <w:rsid w:val="00EC21FD"/>
    <w:rsid w:val="00EC2843"/>
    <w:rsid w:val="00EC3082"/>
    <w:rsid w:val="00EC35E5"/>
    <w:rsid w:val="00EC3CA7"/>
    <w:rsid w:val="00EC3EAD"/>
    <w:rsid w:val="00EC3F0E"/>
    <w:rsid w:val="00EC40E9"/>
    <w:rsid w:val="00EC48A5"/>
    <w:rsid w:val="00EC4C81"/>
    <w:rsid w:val="00EC5118"/>
    <w:rsid w:val="00EC52F6"/>
    <w:rsid w:val="00EC56D9"/>
    <w:rsid w:val="00EC57BE"/>
    <w:rsid w:val="00EC5F0A"/>
    <w:rsid w:val="00EC6E1E"/>
    <w:rsid w:val="00EC728E"/>
    <w:rsid w:val="00ED0215"/>
    <w:rsid w:val="00ED0B7B"/>
    <w:rsid w:val="00ED1C8E"/>
    <w:rsid w:val="00ED2F26"/>
    <w:rsid w:val="00ED3041"/>
    <w:rsid w:val="00ED32E8"/>
    <w:rsid w:val="00ED3849"/>
    <w:rsid w:val="00ED42B4"/>
    <w:rsid w:val="00ED4438"/>
    <w:rsid w:val="00ED4477"/>
    <w:rsid w:val="00ED4730"/>
    <w:rsid w:val="00ED487C"/>
    <w:rsid w:val="00ED52FD"/>
    <w:rsid w:val="00ED768F"/>
    <w:rsid w:val="00ED77CB"/>
    <w:rsid w:val="00ED7FE4"/>
    <w:rsid w:val="00EE0D34"/>
    <w:rsid w:val="00EE1AD9"/>
    <w:rsid w:val="00EE1C22"/>
    <w:rsid w:val="00EE263D"/>
    <w:rsid w:val="00EE26E1"/>
    <w:rsid w:val="00EE295D"/>
    <w:rsid w:val="00EE36EF"/>
    <w:rsid w:val="00EE42F7"/>
    <w:rsid w:val="00EE4C39"/>
    <w:rsid w:val="00EE5A14"/>
    <w:rsid w:val="00EE68F5"/>
    <w:rsid w:val="00EE6BFD"/>
    <w:rsid w:val="00EE7161"/>
    <w:rsid w:val="00EF076C"/>
    <w:rsid w:val="00EF08EB"/>
    <w:rsid w:val="00EF0A62"/>
    <w:rsid w:val="00EF1878"/>
    <w:rsid w:val="00EF18DD"/>
    <w:rsid w:val="00EF257B"/>
    <w:rsid w:val="00EF29BB"/>
    <w:rsid w:val="00EF2A5E"/>
    <w:rsid w:val="00EF2DD2"/>
    <w:rsid w:val="00EF3FCD"/>
    <w:rsid w:val="00EF455E"/>
    <w:rsid w:val="00EF4B83"/>
    <w:rsid w:val="00EF4BFD"/>
    <w:rsid w:val="00EF4C59"/>
    <w:rsid w:val="00EF4E6B"/>
    <w:rsid w:val="00EF6924"/>
    <w:rsid w:val="00EF694C"/>
    <w:rsid w:val="00EF6F5D"/>
    <w:rsid w:val="00EF7969"/>
    <w:rsid w:val="00EF79E3"/>
    <w:rsid w:val="00F005BF"/>
    <w:rsid w:val="00F005DE"/>
    <w:rsid w:val="00F01000"/>
    <w:rsid w:val="00F0129D"/>
    <w:rsid w:val="00F01CB6"/>
    <w:rsid w:val="00F01F18"/>
    <w:rsid w:val="00F021D4"/>
    <w:rsid w:val="00F02C66"/>
    <w:rsid w:val="00F02E1E"/>
    <w:rsid w:val="00F03B99"/>
    <w:rsid w:val="00F040C1"/>
    <w:rsid w:val="00F043E5"/>
    <w:rsid w:val="00F05233"/>
    <w:rsid w:val="00F0529E"/>
    <w:rsid w:val="00F05313"/>
    <w:rsid w:val="00F064EA"/>
    <w:rsid w:val="00F074C2"/>
    <w:rsid w:val="00F07A37"/>
    <w:rsid w:val="00F07D64"/>
    <w:rsid w:val="00F11007"/>
    <w:rsid w:val="00F126B6"/>
    <w:rsid w:val="00F12722"/>
    <w:rsid w:val="00F128D4"/>
    <w:rsid w:val="00F12CF7"/>
    <w:rsid w:val="00F13137"/>
    <w:rsid w:val="00F13822"/>
    <w:rsid w:val="00F1388C"/>
    <w:rsid w:val="00F13BF4"/>
    <w:rsid w:val="00F13D0E"/>
    <w:rsid w:val="00F144BC"/>
    <w:rsid w:val="00F15ED4"/>
    <w:rsid w:val="00F1604B"/>
    <w:rsid w:val="00F160F4"/>
    <w:rsid w:val="00F170EB"/>
    <w:rsid w:val="00F171D0"/>
    <w:rsid w:val="00F17380"/>
    <w:rsid w:val="00F17B6F"/>
    <w:rsid w:val="00F17C95"/>
    <w:rsid w:val="00F21497"/>
    <w:rsid w:val="00F21A8B"/>
    <w:rsid w:val="00F21AA1"/>
    <w:rsid w:val="00F21B9A"/>
    <w:rsid w:val="00F220F3"/>
    <w:rsid w:val="00F228BC"/>
    <w:rsid w:val="00F22B10"/>
    <w:rsid w:val="00F22BB1"/>
    <w:rsid w:val="00F22C1D"/>
    <w:rsid w:val="00F22FCB"/>
    <w:rsid w:val="00F22FFB"/>
    <w:rsid w:val="00F24203"/>
    <w:rsid w:val="00F245DB"/>
    <w:rsid w:val="00F24717"/>
    <w:rsid w:val="00F24A69"/>
    <w:rsid w:val="00F24CB7"/>
    <w:rsid w:val="00F258FB"/>
    <w:rsid w:val="00F25CE2"/>
    <w:rsid w:val="00F25FBD"/>
    <w:rsid w:val="00F2620A"/>
    <w:rsid w:val="00F26912"/>
    <w:rsid w:val="00F27BF7"/>
    <w:rsid w:val="00F27EE7"/>
    <w:rsid w:val="00F30BD2"/>
    <w:rsid w:val="00F30DF6"/>
    <w:rsid w:val="00F312E7"/>
    <w:rsid w:val="00F321D2"/>
    <w:rsid w:val="00F322E6"/>
    <w:rsid w:val="00F327BF"/>
    <w:rsid w:val="00F32FC3"/>
    <w:rsid w:val="00F338C6"/>
    <w:rsid w:val="00F33F41"/>
    <w:rsid w:val="00F34434"/>
    <w:rsid w:val="00F35441"/>
    <w:rsid w:val="00F37791"/>
    <w:rsid w:val="00F37D24"/>
    <w:rsid w:val="00F40789"/>
    <w:rsid w:val="00F4079E"/>
    <w:rsid w:val="00F4091C"/>
    <w:rsid w:val="00F40FED"/>
    <w:rsid w:val="00F41819"/>
    <w:rsid w:val="00F41A06"/>
    <w:rsid w:val="00F41E8A"/>
    <w:rsid w:val="00F420C2"/>
    <w:rsid w:val="00F4210F"/>
    <w:rsid w:val="00F426A3"/>
    <w:rsid w:val="00F42DB1"/>
    <w:rsid w:val="00F42E2E"/>
    <w:rsid w:val="00F434A5"/>
    <w:rsid w:val="00F43AD8"/>
    <w:rsid w:val="00F44503"/>
    <w:rsid w:val="00F44951"/>
    <w:rsid w:val="00F44F74"/>
    <w:rsid w:val="00F450B3"/>
    <w:rsid w:val="00F46254"/>
    <w:rsid w:val="00F468D8"/>
    <w:rsid w:val="00F46D9E"/>
    <w:rsid w:val="00F46E2B"/>
    <w:rsid w:val="00F47E6F"/>
    <w:rsid w:val="00F5015C"/>
    <w:rsid w:val="00F5058E"/>
    <w:rsid w:val="00F5072B"/>
    <w:rsid w:val="00F50F95"/>
    <w:rsid w:val="00F51798"/>
    <w:rsid w:val="00F52542"/>
    <w:rsid w:val="00F525DB"/>
    <w:rsid w:val="00F52FEF"/>
    <w:rsid w:val="00F532E9"/>
    <w:rsid w:val="00F533EE"/>
    <w:rsid w:val="00F53C1A"/>
    <w:rsid w:val="00F5440F"/>
    <w:rsid w:val="00F549E0"/>
    <w:rsid w:val="00F54A1F"/>
    <w:rsid w:val="00F55205"/>
    <w:rsid w:val="00F553BC"/>
    <w:rsid w:val="00F554E4"/>
    <w:rsid w:val="00F558A5"/>
    <w:rsid w:val="00F559DB"/>
    <w:rsid w:val="00F55A90"/>
    <w:rsid w:val="00F56630"/>
    <w:rsid w:val="00F56D8A"/>
    <w:rsid w:val="00F57A0E"/>
    <w:rsid w:val="00F57EA1"/>
    <w:rsid w:val="00F600B7"/>
    <w:rsid w:val="00F60389"/>
    <w:rsid w:val="00F60397"/>
    <w:rsid w:val="00F61612"/>
    <w:rsid w:val="00F6185B"/>
    <w:rsid w:val="00F61BE8"/>
    <w:rsid w:val="00F61C3B"/>
    <w:rsid w:val="00F62426"/>
    <w:rsid w:val="00F62DDB"/>
    <w:rsid w:val="00F6319F"/>
    <w:rsid w:val="00F649B2"/>
    <w:rsid w:val="00F64A66"/>
    <w:rsid w:val="00F64CA3"/>
    <w:rsid w:val="00F65E70"/>
    <w:rsid w:val="00F6691C"/>
    <w:rsid w:val="00F6693C"/>
    <w:rsid w:val="00F66A7B"/>
    <w:rsid w:val="00F66BBF"/>
    <w:rsid w:val="00F6706C"/>
    <w:rsid w:val="00F7058B"/>
    <w:rsid w:val="00F7134D"/>
    <w:rsid w:val="00F715D1"/>
    <w:rsid w:val="00F72281"/>
    <w:rsid w:val="00F72373"/>
    <w:rsid w:val="00F72B37"/>
    <w:rsid w:val="00F7311F"/>
    <w:rsid w:val="00F750AA"/>
    <w:rsid w:val="00F75B83"/>
    <w:rsid w:val="00F75E41"/>
    <w:rsid w:val="00F76D93"/>
    <w:rsid w:val="00F77B0C"/>
    <w:rsid w:val="00F77CAA"/>
    <w:rsid w:val="00F80060"/>
    <w:rsid w:val="00F80067"/>
    <w:rsid w:val="00F80BBB"/>
    <w:rsid w:val="00F80CE9"/>
    <w:rsid w:val="00F8156E"/>
    <w:rsid w:val="00F81C1E"/>
    <w:rsid w:val="00F81CD8"/>
    <w:rsid w:val="00F822F4"/>
    <w:rsid w:val="00F824AC"/>
    <w:rsid w:val="00F82ADD"/>
    <w:rsid w:val="00F836F4"/>
    <w:rsid w:val="00F83766"/>
    <w:rsid w:val="00F8415A"/>
    <w:rsid w:val="00F842FB"/>
    <w:rsid w:val="00F845DD"/>
    <w:rsid w:val="00F84B5C"/>
    <w:rsid w:val="00F84C3F"/>
    <w:rsid w:val="00F85120"/>
    <w:rsid w:val="00F85522"/>
    <w:rsid w:val="00F85C7F"/>
    <w:rsid w:val="00F86267"/>
    <w:rsid w:val="00F86D68"/>
    <w:rsid w:val="00F8755F"/>
    <w:rsid w:val="00F87B03"/>
    <w:rsid w:val="00F87C20"/>
    <w:rsid w:val="00F87E8A"/>
    <w:rsid w:val="00F904B0"/>
    <w:rsid w:val="00F90A59"/>
    <w:rsid w:val="00F90DA7"/>
    <w:rsid w:val="00F91493"/>
    <w:rsid w:val="00F927A6"/>
    <w:rsid w:val="00F9353A"/>
    <w:rsid w:val="00F93F43"/>
    <w:rsid w:val="00F942F9"/>
    <w:rsid w:val="00F94534"/>
    <w:rsid w:val="00F94E62"/>
    <w:rsid w:val="00F958FF"/>
    <w:rsid w:val="00F96572"/>
    <w:rsid w:val="00F96713"/>
    <w:rsid w:val="00F967A9"/>
    <w:rsid w:val="00F96B0E"/>
    <w:rsid w:val="00F97054"/>
    <w:rsid w:val="00FA0787"/>
    <w:rsid w:val="00FA0B7D"/>
    <w:rsid w:val="00FA0FD4"/>
    <w:rsid w:val="00FA1445"/>
    <w:rsid w:val="00FA18C9"/>
    <w:rsid w:val="00FA18F0"/>
    <w:rsid w:val="00FA1EBD"/>
    <w:rsid w:val="00FA214B"/>
    <w:rsid w:val="00FA225D"/>
    <w:rsid w:val="00FA3089"/>
    <w:rsid w:val="00FA3A54"/>
    <w:rsid w:val="00FA4223"/>
    <w:rsid w:val="00FA42EB"/>
    <w:rsid w:val="00FA459B"/>
    <w:rsid w:val="00FA4A26"/>
    <w:rsid w:val="00FA4A6B"/>
    <w:rsid w:val="00FA594A"/>
    <w:rsid w:val="00FA6032"/>
    <w:rsid w:val="00FA6BE8"/>
    <w:rsid w:val="00FA7927"/>
    <w:rsid w:val="00FA7CF9"/>
    <w:rsid w:val="00FA7D5E"/>
    <w:rsid w:val="00FB03C8"/>
    <w:rsid w:val="00FB0823"/>
    <w:rsid w:val="00FB0B44"/>
    <w:rsid w:val="00FB0DBC"/>
    <w:rsid w:val="00FB1851"/>
    <w:rsid w:val="00FB196C"/>
    <w:rsid w:val="00FB1D78"/>
    <w:rsid w:val="00FB23AE"/>
    <w:rsid w:val="00FB24B9"/>
    <w:rsid w:val="00FB2F4A"/>
    <w:rsid w:val="00FB2FC5"/>
    <w:rsid w:val="00FB31FB"/>
    <w:rsid w:val="00FB3E0F"/>
    <w:rsid w:val="00FB3E2F"/>
    <w:rsid w:val="00FB3FEE"/>
    <w:rsid w:val="00FB4757"/>
    <w:rsid w:val="00FB5259"/>
    <w:rsid w:val="00FB6C8B"/>
    <w:rsid w:val="00FB6DEE"/>
    <w:rsid w:val="00FB7483"/>
    <w:rsid w:val="00FB7813"/>
    <w:rsid w:val="00FB7A79"/>
    <w:rsid w:val="00FC0968"/>
    <w:rsid w:val="00FC0BBF"/>
    <w:rsid w:val="00FC12B1"/>
    <w:rsid w:val="00FC22B1"/>
    <w:rsid w:val="00FC2758"/>
    <w:rsid w:val="00FC275F"/>
    <w:rsid w:val="00FC2962"/>
    <w:rsid w:val="00FC2CF1"/>
    <w:rsid w:val="00FC36B1"/>
    <w:rsid w:val="00FC38A9"/>
    <w:rsid w:val="00FC3B5F"/>
    <w:rsid w:val="00FC466F"/>
    <w:rsid w:val="00FC4BBE"/>
    <w:rsid w:val="00FC4C26"/>
    <w:rsid w:val="00FC4EF2"/>
    <w:rsid w:val="00FC54D6"/>
    <w:rsid w:val="00FC5B25"/>
    <w:rsid w:val="00FC5E43"/>
    <w:rsid w:val="00FC6063"/>
    <w:rsid w:val="00FC64DC"/>
    <w:rsid w:val="00FC6B58"/>
    <w:rsid w:val="00FC7724"/>
    <w:rsid w:val="00FC7E63"/>
    <w:rsid w:val="00FD110E"/>
    <w:rsid w:val="00FD13CD"/>
    <w:rsid w:val="00FD1FFE"/>
    <w:rsid w:val="00FD21AF"/>
    <w:rsid w:val="00FD2674"/>
    <w:rsid w:val="00FD268B"/>
    <w:rsid w:val="00FD28C6"/>
    <w:rsid w:val="00FD2B19"/>
    <w:rsid w:val="00FD2D3D"/>
    <w:rsid w:val="00FD3157"/>
    <w:rsid w:val="00FD33DB"/>
    <w:rsid w:val="00FD3D6C"/>
    <w:rsid w:val="00FD4B2A"/>
    <w:rsid w:val="00FD4C66"/>
    <w:rsid w:val="00FD4EAC"/>
    <w:rsid w:val="00FD590A"/>
    <w:rsid w:val="00FD590D"/>
    <w:rsid w:val="00FD60E0"/>
    <w:rsid w:val="00FD65E9"/>
    <w:rsid w:val="00FD65F3"/>
    <w:rsid w:val="00FD6B42"/>
    <w:rsid w:val="00FD6C23"/>
    <w:rsid w:val="00FD765C"/>
    <w:rsid w:val="00FE001E"/>
    <w:rsid w:val="00FE0C2F"/>
    <w:rsid w:val="00FE0DA6"/>
    <w:rsid w:val="00FE0F53"/>
    <w:rsid w:val="00FE1864"/>
    <w:rsid w:val="00FE3216"/>
    <w:rsid w:val="00FE4113"/>
    <w:rsid w:val="00FE452E"/>
    <w:rsid w:val="00FE48B3"/>
    <w:rsid w:val="00FE4ACE"/>
    <w:rsid w:val="00FE4B5E"/>
    <w:rsid w:val="00FE4C2C"/>
    <w:rsid w:val="00FE4DF1"/>
    <w:rsid w:val="00FE5C4E"/>
    <w:rsid w:val="00FE5F5A"/>
    <w:rsid w:val="00FE5FD6"/>
    <w:rsid w:val="00FE6074"/>
    <w:rsid w:val="00FE6284"/>
    <w:rsid w:val="00FE6547"/>
    <w:rsid w:val="00FE68EF"/>
    <w:rsid w:val="00FE740B"/>
    <w:rsid w:val="00FE7756"/>
    <w:rsid w:val="00FE7BA1"/>
    <w:rsid w:val="00FF0EA2"/>
    <w:rsid w:val="00FF1039"/>
    <w:rsid w:val="00FF1D9A"/>
    <w:rsid w:val="00FF23E3"/>
    <w:rsid w:val="00FF317F"/>
    <w:rsid w:val="00FF35F2"/>
    <w:rsid w:val="00FF3AB1"/>
    <w:rsid w:val="00FF3CBE"/>
    <w:rsid w:val="00FF3E61"/>
    <w:rsid w:val="00FF41CB"/>
    <w:rsid w:val="00FF43A6"/>
    <w:rsid w:val="00FF4E7A"/>
    <w:rsid w:val="00FF4EAA"/>
    <w:rsid w:val="00FF663F"/>
    <w:rsid w:val="00FF6835"/>
    <w:rsid w:val="00FF72F9"/>
    <w:rsid w:val="00FF7F98"/>
    <w:rsid w:val="0218D188"/>
    <w:rsid w:val="03AA676E"/>
    <w:rsid w:val="04B626DE"/>
    <w:rsid w:val="08CAE885"/>
    <w:rsid w:val="0C1748B8"/>
    <w:rsid w:val="0C8DB671"/>
    <w:rsid w:val="0EF9915F"/>
    <w:rsid w:val="19F9E50F"/>
    <w:rsid w:val="1DDA18F2"/>
    <w:rsid w:val="1E4B58B1"/>
    <w:rsid w:val="1EF15363"/>
    <w:rsid w:val="22F83767"/>
    <w:rsid w:val="2C6C27B7"/>
    <w:rsid w:val="2DE4DE98"/>
    <w:rsid w:val="304F4F66"/>
    <w:rsid w:val="34AE7D5D"/>
    <w:rsid w:val="374F3611"/>
    <w:rsid w:val="3822DD20"/>
    <w:rsid w:val="3B4413DB"/>
    <w:rsid w:val="3EB467F5"/>
    <w:rsid w:val="41312AD6"/>
    <w:rsid w:val="439D2DDA"/>
    <w:rsid w:val="45CBE54D"/>
    <w:rsid w:val="48499959"/>
    <w:rsid w:val="48EB63D0"/>
    <w:rsid w:val="4964A8BB"/>
    <w:rsid w:val="4BF53E0D"/>
    <w:rsid w:val="4E30DC51"/>
    <w:rsid w:val="522B53B1"/>
    <w:rsid w:val="56800356"/>
    <w:rsid w:val="62D49C6F"/>
    <w:rsid w:val="6A99B802"/>
    <w:rsid w:val="6E63A123"/>
    <w:rsid w:val="6F4EC7DB"/>
    <w:rsid w:val="7300C597"/>
    <w:rsid w:val="797A54DA"/>
    <w:rsid w:val="79A12EBD"/>
    <w:rsid w:val="7CC785D1"/>
    <w:rsid w:val="7D21936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E7FE1A"/>
  <w15:chartTrackingRefBased/>
  <w15:docId w15:val="{B067B4CB-493B-44C6-BB93-2C8EBB884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88C"/>
    <w:pPr>
      <w:spacing w:after="0" w:line="240" w:lineRule="auto"/>
      <w:jc w:val="both"/>
    </w:pPr>
    <w:rPr>
      <w:rFonts w:ascii="Times New Roman" w:eastAsia="Times New Roman" w:hAnsi="Times New Roman" w:cs="Times New Roman"/>
      <w:kern w:val="0"/>
      <w:szCs w:val="24"/>
      <w14:ligatures w14:val="none"/>
    </w:rPr>
  </w:style>
  <w:style w:type="paragraph" w:styleId="Ttulo1">
    <w:name w:val="heading 1"/>
    <w:basedOn w:val="Normal"/>
    <w:next w:val="Normal"/>
    <w:link w:val="Ttulo1Car"/>
    <w:uiPriority w:val="9"/>
    <w:qFormat/>
    <w:rsid w:val="007C77BC"/>
    <w:pPr>
      <w:keepNext/>
      <w:keepLines/>
      <w:numPr>
        <w:numId w:val="1"/>
      </w:numPr>
      <w:spacing w:before="240" w:after="120"/>
      <w:jc w:val="left"/>
      <w:outlineLvl w:val="0"/>
    </w:pPr>
    <w:rPr>
      <w:rFonts w:eastAsiaTheme="majorEastAsia" w:cstheme="majorBidi"/>
      <w:b/>
      <w:bCs/>
      <w:kern w:val="2"/>
      <w:sz w:val="28"/>
      <w:szCs w:val="32"/>
      <w14:ligatures w14:val="standardContextual"/>
    </w:rPr>
  </w:style>
  <w:style w:type="paragraph" w:styleId="Ttulo2">
    <w:name w:val="heading 2"/>
    <w:basedOn w:val="Normal"/>
    <w:next w:val="Normal"/>
    <w:link w:val="Ttulo2C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Ttulo3">
    <w:name w:val="heading 3"/>
    <w:basedOn w:val="Normal"/>
    <w:next w:val="Normal"/>
    <w:link w:val="Ttulo3Car"/>
    <w:uiPriority w:val="9"/>
    <w:unhideWhenUsed/>
    <w:qFormat/>
    <w:rsid w:val="007C77BC"/>
    <w:pPr>
      <w:keepNext/>
      <w:keepLines/>
      <w:numPr>
        <w:numId w:val="3"/>
      </w:numPr>
      <w:spacing w:before="120" w:after="120"/>
      <w:ind w:left="567" w:hanging="578"/>
      <w:outlineLvl w:val="2"/>
    </w:pPr>
    <w:rPr>
      <w:rFonts w:eastAsiaTheme="majorEastAsia"/>
      <w:b/>
      <w:bCs/>
      <w:szCs w:val="22"/>
    </w:rPr>
  </w:style>
  <w:style w:type="paragraph" w:styleId="Ttulo4">
    <w:name w:val="heading 4"/>
    <w:basedOn w:val="Normal"/>
    <w:next w:val="Normal"/>
    <w:link w:val="Ttulo4Car"/>
    <w:uiPriority w:val="9"/>
    <w:unhideWhenUsed/>
    <w:qFormat/>
    <w:rsid w:val="00310608"/>
    <w:pPr>
      <w:keepNext/>
      <w:spacing w:before="120" w:after="120"/>
      <w:ind w:left="567" w:hanging="567"/>
      <w:outlineLvl w:val="3"/>
    </w:pPr>
    <w:rPr>
      <w:rFonts w:eastAsiaTheme="majorEastAsia"/>
      <w:b/>
      <w:bCs/>
    </w:rPr>
  </w:style>
  <w:style w:type="paragraph" w:styleId="Ttulo5">
    <w:name w:val="heading 5"/>
    <w:basedOn w:val="Normal"/>
    <w:next w:val="Normal"/>
    <w:link w:val="Ttulo5Car"/>
    <w:uiPriority w:val="9"/>
    <w:unhideWhenUsed/>
    <w:qFormat/>
    <w:rsid w:val="00310608"/>
    <w:pPr>
      <w:keepNext/>
      <w:spacing w:before="120" w:after="120"/>
      <w:ind w:left="567" w:hanging="567"/>
      <w:outlineLvl w:val="4"/>
    </w:pPr>
    <w:rPr>
      <w:rFonts w:eastAsiaTheme="majorEastAsia"/>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tem">
    <w:name w:val="Item"/>
    <w:basedOn w:val="Textoindependiente"/>
    <w:qFormat/>
    <w:rsid w:val="00657ED6"/>
    <w:pPr>
      <w:suppressLineNumbers/>
      <w:suppressAutoHyphens/>
      <w:spacing w:before="120" w:line="240" w:lineRule="auto"/>
    </w:pPr>
    <w:rPr>
      <w:rFonts w:ascii="Times New Roman" w:eastAsia="Times New Roman" w:hAnsi="Times New Roman" w:cs="Times New Roman"/>
      <w:b/>
      <w:iCs/>
      <w:snapToGrid w:val="0"/>
      <w:kern w:val="22"/>
      <w:sz w:val="24"/>
      <w14:ligatures w14:val="none"/>
    </w:rPr>
  </w:style>
  <w:style w:type="paragraph" w:styleId="Textoindependiente">
    <w:name w:val="Body Text"/>
    <w:basedOn w:val="Normal"/>
    <w:link w:val="TextoindependienteCar"/>
    <w:uiPriority w:val="99"/>
    <w:semiHidden/>
    <w:unhideWhenUsed/>
    <w:rsid w:val="00657ED6"/>
    <w:pPr>
      <w:spacing w:after="120" w:line="259" w:lineRule="auto"/>
      <w:jc w:val="left"/>
    </w:pPr>
    <w:rPr>
      <w:rFonts w:asciiTheme="minorHAnsi" w:eastAsiaTheme="minorHAnsi" w:hAnsiTheme="minorHAnsi" w:cstheme="minorBidi"/>
      <w:kern w:val="2"/>
      <w:szCs w:val="22"/>
      <w14:ligatures w14:val="standardContextual"/>
    </w:rPr>
  </w:style>
  <w:style w:type="character" w:customStyle="1" w:styleId="TextoindependienteCar">
    <w:name w:val="Texto independiente Car"/>
    <w:basedOn w:val="Fuentedeprrafopredeter"/>
    <w:link w:val="Textoindependiente"/>
    <w:uiPriority w:val="99"/>
    <w:semiHidden/>
    <w:rsid w:val="00657ED6"/>
  </w:style>
  <w:style w:type="paragraph" w:styleId="Ttulo">
    <w:name w:val="Title"/>
    <w:basedOn w:val="Normal"/>
    <w:next w:val="Normal"/>
    <w:link w:val="TtuloC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tuloCar">
    <w:name w:val="Título Car"/>
    <w:basedOn w:val="Fuentedeprrafopredeter"/>
    <w:link w:val="Ttulo"/>
    <w:uiPriority w:val="10"/>
    <w:rsid w:val="00ED3849"/>
    <w:rPr>
      <w:rFonts w:ascii="Times New Roman Bold" w:eastAsiaTheme="majorEastAsia" w:hAnsi="Times New Roman Bold" w:cs="Times New Roman"/>
      <w:b/>
      <w:bCs/>
      <w:spacing w:val="5"/>
      <w:kern w:val="28"/>
      <w:sz w:val="28"/>
      <w:szCs w:val="28"/>
      <w:lang w:val="es-ES"/>
    </w:rPr>
  </w:style>
  <w:style w:type="character" w:customStyle="1" w:styleId="Ttulo1Car">
    <w:name w:val="Título 1 Car"/>
    <w:basedOn w:val="Fuentedeprrafopredeter"/>
    <w:link w:val="Ttulo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anormal"/>
    <w:next w:val="Tablaconcuadrcula"/>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uiPriority w:val="99"/>
    <w:unhideWhenUsed/>
    <w:qFormat/>
    <w:rsid w:val="00A96B21"/>
    <w:rPr>
      <w:sz w:val="20"/>
      <w:szCs w:val="20"/>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basedOn w:val="Fuentedeprrafopredeter"/>
    <w:link w:val="Textonotapie"/>
    <w:uiPriority w:val="99"/>
    <w:rsid w:val="00A96B21"/>
    <w:rPr>
      <w:rFonts w:ascii="Times New Roman" w:eastAsia="Times New Roman" w:hAnsi="Times New Roman" w:cs="Times New Roman"/>
      <w:kern w:val="0"/>
      <w:sz w:val="20"/>
      <w:szCs w:val="20"/>
      <w:lang w:val="es-ES"/>
      <w14:ligatures w14:val="none"/>
    </w:rPr>
  </w:style>
  <w:style w:type="character" w:styleId="Refdenotaalpie">
    <w:name w:val="footnote reference"/>
    <w:aliases w:val="BVI fnr Char Char,BVI fnr Car Car Char Char,BVI fnr Car Char Char,BVI fnr Car Car Car Car Char Char Char,BVI fnr Car Car Car Car Char Char1,BVI fnr Car Car Car Char Char,BVI fnr Car Car Car Car Car Char Char,number,-E Fußnotenzeichen"/>
    <w:basedOn w:val="Fuentedeprrafopredeter"/>
    <w:link w:val="BVIfnrChar"/>
    <w:unhideWhenUsed/>
    <w:qFormat/>
    <w:rsid w:val="00A96B21"/>
    <w:rPr>
      <w:vertAlign w:val="superscript"/>
    </w:rPr>
  </w:style>
  <w:style w:type="paragraph" w:customStyle="1" w:styleId="Footnote">
    <w:name w:val="Footnote"/>
    <w:basedOn w:val="Textonotapie"/>
    <w:qFormat/>
    <w:rsid w:val="00D71FFB"/>
    <w:rPr>
      <w:sz w:val="18"/>
      <w:szCs w:val="18"/>
    </w:rPr>
  </w:style>
  <w:style w:type="paragraph" w:customStyle="1" w:styleId="Cornernotation-Item">
    <w:name w:val="Corner notation - Item"/>
    <w:basedOn w:val="Venuedate"/>
    <w:qFormat/>
    <w:rsid w:val="00A96B21"/>
    <w:rPr>
      <w:b/>
    </w:rPr>
  </w:style>
  <w:style w:type="paragraph" w:styleId="Subttulo">
    <w:name w:val="Subtitle"/>
    <w:basedOn w:val="Normal"/>
    <w:next w:val="Normal"/>
    <w:link w:val="SubttuloC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tuloCar">
    <w:name w:val="Subtítulo Car"/>
    <w:basedOn w:val="Fuentedeprrafopredeter"/>
    <w:link w:val="Subttulo"/>
    <w:uiPriority w:val="11"/>
    <w:rsid w:val="00A96B21"/>
    <w:rPr>
      <w:rFonts w:ascii="Times New Roman Bold" w:eastAsiaTheme="minorEastAsia" w:hAnsi="Times New Roman Bold"/>
      <w:b/>
      <w:color w:val="5A5A5A" w:themeColor="text1" w:themeTint="A5"/>
      <w:kern w:val="0"/>
      <w:lang w:val="es-ES"/>
      <w14:ligatures w14:val="none"/>
    </w:rPr>
  </w:style>
  <w:style w:type="paragraph" w:customStyle="1" w:styleId="Para10">
    <w:name w:val="Para 1"/>
    <w:basedOn w:val="Normal"/>
    <w:qFormat/>
    <w:rsid w:val="00C2354A"/>
    <w:pPr>
      <w:tabs>
        <w:tab w:val="left" w:pos="1134"/>
      </w:tabs>
      <w:spacing w:before="120" w:after="120"/>
    </w:pPr>
  </w:style>
  <w:style w:type="character" w:customStyle="1" w:styleId="Ttulo2Car">
    <w:name w:val="Título 2 Car"/>
    <w:basedOn w:val="Fuentedeprrafopredeter"/>
    <w:link w:val="Ttulo2"/>
    <w:uiPriority w:val="9"/>
    <w:rsid w:val="007C77BC"/>
    <w:rPr>
      <w:rFonts w:ascii="Times New Roman" w:eastAsiaTheme="majorEastAsia" w:hAnsi="Times New Roman" w:cstheme="majorBidi"/>
      <w:b/>
      <w:kern w:val="0"/>
      <w:sz w:val="24"/>
      <w:szCs w:val="26"/>
      <w:lang w:val="es-ES"/>
      <w14:ligatures w14:val="none"/>
    </w:rPr>
  </w:style>
  <w:style w:type="character" w:styleId="Textodelmarcadordeposicin">
    <w:name w:val="Placeholder Text"/>
    <w:basedOn w:val="Fuentedeprrafopredeter"/>
    <w:uiPriority w:val="99"/>
    <w:semiHidden/>
    <w:rsid w:val="00995DDC"/>
    <w:rPr>
      <w:color w:val="808080"/>
    </w:rPr>
  </w:style>
  <w:style w:type="paragraph" w:styleId="Encabezado">
    <w:name w:val="header"/>
    <w:basedOn w:val="Normal"/>
    <w:link w:val="EncabezadoCar"/>
    <w:unhideWhenUsed/>
    <w:rsid w:val="00D71FFB"/>
    <w:pPr>
      <w:tabs>
        <w:tab w:val="center" w:pos="4680"/>
        <w:tab w:val="right" w:pos="9360"/>
      </w:tabs>
    </w:pPr>
    <w:rPr>
      <w:caps/>
    </w:rPr>
  </w:style>
  <w:style w:type="character" w:customStyle="1" w:styleId="EncabezadoCar">
    <w:name w:val="Encabezado Car"/>
    <w:basedOn w:val="Fuentedeprrafopredeter"/>
    <w:link w:val="Encabezado"/>
    <w:rsid w:val="00D71FFB"/>
    <w:rPr>
      <w:rFonts w:ascii="Times New Roman" w:eastAsia="Times New Roman" w:hAnsi="Times New Roman" w:cs="Times New Roman"/>
      <w:caps/>
      <w:kern w:val="0"/>
      <w:szCs w:val="24"/>
      <w:lang w:val="es-ES"/>
      <w14:ligatures w14:val="none"/>
    </w:rPr>
  </w:style>
  <w:style w:type="paragraph" w:styleId="Piedepgina">
    <w:name w:val="footer"/>
    <w:basedOn w:val="Normal"/>
    <w:link w:val="PiedepginaCar"/>
    <w:unhideWhenUsed/>
    <w:rsid w:val="002B559C"/>
    <w:pPr>
      <w:tabs>
        <w:tab w:val="center" w:pos="4680"/>
        <w:tab w:val="right" w:pos="9360"/>
      </w:tabs>
    </w:pPr>
  </w:style>
  <w:style w:type="character" w:customStyle="1" w:styleId="PiedepginaCar">
    <w:name w:val="Pie de página Car"/>
    <w:basedOn w:val="Fuentedeprrafopredeter"/>
    <w:link w:val="Piedepgina"/>
    <w:rsid w:val="002B559C"/>
    <w:rPr>
      <w:rFonts w:ascii="Times New Roman" w:eastAsia="Times New Roman" w:hAnsi="Times New Roman" w:cs="Times New Roman"/>
      <w:kern w:val="0"/>
      <w:szCs w:val="24"/>
      <w:lang w:val="es-ES"/>
      <w14:ligatures w14:val="none"/>
    </w:rPr>
  </w:style>
  <w:style w:type="character" w:customStyle="1" w:styleId="Ttulo3Car">
    <w:name w:val="Título 3 Car"/>
    <w:basedOn w:val="Fuentedeprrafopredeter"/>
    <w:link w:val="Ttulo3"/>
    <w:uiPriority w:val="9"/>
    <w:rsid w:val="007C77BC"/>
    <w:rPr>
      <w:rFonts w:ascii="Times New Roman" w:eastAsiaTheme="majorEastAsia" w:hAnsi="Times New Roman" w:cs="Times New Roman"/>
      <w:b/>
      <w:bCs/>
      <w:kern w:val="0"/>
      <w:lang w:val="es-ES"/>
      <w14:ligatures w14:val="none"/>
    </w:rPr>
  </w:style>
  <w:style w:type="paragraph" w:customStyle="1" w:styleId="Para2">
    <w:name w:val="Para 2"/>
    <w:qFormat/>
    <w:rsid w:val="00537248"/>
    <w:pPr>
      <w:tabs>
        <w:tab w:val="left" w:pos="1701"/>
      </w:tabs>
      <w:spacing w:before="120" w:after="120" w:line="240" w:lineRule="auto"/>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0">
    <w:name w:val="Para 3"/>
    <w:basedOn w:val="Normal"/>
    <w:qFormat/>
    <w:rsid w:val="002B00CA"/>
    <w:pPr>
      <w:numPr>
        <w:numId w:val="5"/>
      </w:numPr>
      <w:tabs>
        <w:tab w:val="left" w:pos="1701"/>
      </w:tabs>
      <w:spacing w:before="120" w:after="120"/>
      <w:ind w:left="1134" w:firstLine="0"/>
    </w:pPr>
  </w:style>
  <w:style w:type="character" w:customStyle="1" w:styleId="Ttulo4Car">
    <w:name w:val="Título 4 Car"/>
    <w:basedOn w:val="Fuentedeprrafopredeter"/>
    <w:link w:val="Ttulo4"/>
    <w:uiPriority w:val="9"/>
    <w:rsid w:val="00310608"/>
    <w:rPr>
      <w:rFonts w:ascii="Times New Roman" w:eastAsiaTheme="majorEastAsia" w:hAnsi="Times New Roman" w:cs="Times New Roman"/>
      <w:b/>
      <w:bCs/>
      <w:kern w:val="0"/>
      <w:szCs w:val="24"/>
      <w:lang w:val="es-ES"/>
      <w14:ligatures w14:val="none"/>
    </w:rPr>
  </w:style>
  <w:style w:type="character" w:customStyle="1" w:styleId="Ttulo5Car">
    <w:name w:val="Título 5 Car"/>
    <w:basedOn w:val="Fuentedeprrafopredeter"/>
    <w:link w:val="Ttulo5"/>
    <w:uiPriority w:val="9"/>
    <w:rsid w:val="00310608"/>
    <w:rPr>
      <w:rFonts w:ascii="Times New Roman" w:eastAsiaTheme="majorEastAsia" w:hAnsi="Times New Roman" w:cs="Times New Roman"/>
      <w:i/>
      <w:iCs/>
      <w:kern w:val="0"/>
      <w:szCs w:val="24"/>
      <w:lang w:val="es-ES"/>
      <w14:ligatures w14:val="none"/>
    </w:rPr>
  </w:style>
  <w:style w:type="character" w:styleId="Refdecomentario">
    <w:name w:val="annotation reference"/>
    <w:basedOn w:val="Fuentedeprrafopredeter"/>
    <w:semiHidden/>
    <w:unhideWhenUsed/>
    <w:rsid w:val="00CF70AB"/>
    <w:rPr>
      <w:sz w:val="16"/>
      <w:szCs w:val="16"/>
    </w:rPr>
  </w:style>
  <w:style w:type="paragraph" w:styleId="Textocomentario">
    <w:name w:val="annotation text"/>
    <w:basedOn w:val="Normal"/>
    <w:link w:val="TextocomentarioCar"/>
    <w:unhideWhenUsed/>
    <w:rsid w:val="00CF70AB"/>
    <w:rPr>
      <w:sz w:val="20"/>
      <w:szCs w:val="20"/>
    </w:rPr>
  </w:style>
  <w:style w:type="character" w:customStyle="1" w:styleId="TextocomentarioCar">
    <w:name w:val="Texto comentario Car"/>
    <w:basedOn w:val="Fuentedeprrafopredeter"/>
    <w:link w:val="Textocomentario"/>
    <w:rsid w:val="00CF70AB"/>
    <w:rPr>
      <w:rFonts w:ascii="Times New Roman" w:eastAsia="Times New Roman" w:hAnsi="Times New Roman" w:cs="Times New Roman"/>
      <w:kern w:val="0"/>
      <w:sz w:val="20"/>
      <w:szCs w:val="20"/>
      <w:lang w:val="es-ES"/>
      <w14:ligatures w14:val="none"/>
    </w:rPr>
  </w:style>
  <w:style w:type="paragraph" w:styleId="Asuntodelcomentario">
    <w:name w:val="annotation subject"/>
    <w:basedOn w:val="Textocomentario"/>
    <w:next w:val="Textocomentario"/>
    <w:link w:val="AsuntodelcomentarioCar"/>
    <w:uiPriority w:val="99"/>
    <w:semiHidden/>
    <w:unhideWhenUsed/>
    <w:rsid w:val="00CF70AB"/>
    <w:rPr>
      <w:b/>
      <w:bCs/>
    </w:rPr>
  </w:style>
  <w:style w:type="character" w:customStyle="1" w:styleId="AsuntodelcomentarioCar">
    <w:name w:val="Asunto del comentario Car"/>
    <w:basedOn w:val="TextocomentarioCar"/>
    <w:link w:val="Asuntodelcomentario"/>
    <w:uiPriority w:val="99"/>
    <w:semiHidden/>
    <w:rsid w:val="00CF70AB"/>
    <w:rPr>
      <w:rFonts w:ascii="Times New Roman" w:eastAsia="Times New Roman" w:hAnsi="Times New Roman" w:cs="Times New Roman"/>
      <w:b/>
      <w:bCs/>
      <w:kern w:val="0"/>
      <w:sz w:val="20"/>
      <w:szCs w:val="20"/>
      <w:lang w:val="es-ES"/>
      <w14:ligatures w14:val="none"/>
    </w:rPr>
  </w:style>
  <w:style w:type="character" w:styleId="Hipervnculo">
    <w:name w:val="Hyperlink"/>
    <w:rsid w:val="0031031A"/>
    <w:rPr>
      <w:color w:val="0000FF"/>
      <w:u w:val="single"/>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Refdenotaalpie"/>
    <w:rsid w:val="0031031A"/>
    <w:pPr>
      <w:spacing w:after="160" w:line="240" w:lineRule="exact"/>
      <w:jc w:val="left"/>
    </w:pPr>
    <w:rPr>
      <w:rFonts w:asciiTheme="minorHAnsi" w:eastAsiaTheme="minorHAnsi" w:hAnsiTheme="minorHAnsi" w:cstheme="minorBidi"/>
      <w:kern w:val="2"/>
      <w:szCs w:val="22"/>
      <w:vertAlign w:val="superscript"/>
      <w14:ligatures w14:val="standardContextual"/>
    </w:rPr>
  </w:style>
  <w:style w:type="paragraph" w:customStyle="1" w:styleId="Para1">
    <w:name w:val="Para1"/>
    <w:basedOn w:val="Normal"/>
    <w:link w:val="Para1Char"/>
    <w:rsid w:val="008406B7"/>
    <w:pPr>
      <w:numPr>
        <w:numId w:val="7"/>
      </w:numPr>
      <w:spacing w:before="120" w:after="120"/>
      <w:jc w:val="left"/>
    </w:pPr>
    <w:rPr>
      <w:snapToGrid w:val="0"/>
      <w:sz w:val="24"/>
      <w:szCs w:val="18"/>
      <w:lang w:eastAsia="ja-JP"/>
    </w:rPr>
  </w:style>
  <w:style w:type="paragraph" w:customStyle="1" w:styleId="Para3">
    <w:name w:val="Para3"/>
    <w:basedOn w:val="Normal"/>
    <w:rsid w:val="008406B7"/>
    <w:pPr>
      <w:numPr>
        <w:ilvl w:val="2"/>
        <w:numId w:val="7"/>
      </w:numPr>
      <w:tabs>
        <w:tab w:val="clear" w:pos="1440"/>
        <w:tab w:val="num" w:pos="360"/>
        <w:tab w:val="left" w:pos="1980"/>
      </w:tabs>
      <w:spacing w:before="80" w:after="80"/>
      <w:ind w:left="0" w:firstLine="0"/>
      <w:jc w:val="left"/>
    </w:pPr>
    <w:rPr>
      <w:sz w:val="24"/>
      <w:szCs w:val="20"/>
      <w:lang w:eastAsia="ja-JP"/>
    </w:rPr>
  </w:style>
  <w:style w:type="character" w:customStyle="1" w:styleId="Para1Char">
    <w:name w:val="Para1 Char"/>
    <w:link w:val="Para1"/>
    <w:rsid w:val="008406B7"/>
    <w:rPr>
      <w:rFonts w:ascii="Times New Roman" w:eastAsia="Times New Roman" w:hAnsi="Times New Roman" w:cs="Times New Roman"/>
      <w:snapToGrid w:val="0"/>
      <w:kern w:val="0"/>
      <w:sz w:val="24"/>
      <w:szCs w:val="18"/>
      <w:lang w:eastAsia="ja-JP"/>
      <w14:ligatures w14:val="none"/>
    </w:rPr>
  </w:style>
  <w:style w:type="paragraph" w:styleId="Prrafodelista">
    <w:name w:val="List Paragraph"/>
    <w:basedOn w:val="Normal"/>
    <w:uiPriority w:val="34"/>
    <w:qFormat/>
    <w:rsid w:val="002B50FE"/>
    <w:pPr>
      <w:ind w:left="720"/>
      <w:contextualSpacing/>
      <w:jc w:val="left"/>
    </w:pPr>
    <w:rPr>
      <w:sz w:val="24"/>
      <w:lang w:eastAsia="ja-JP"/>
    </w:rPr>
  </w:style>
  <w:style w:type="paragraph" w:styleId="Revisin">
    <w:name w:val="Revision"/>
    <w:hidden/>
    <w:uiPriority w:val="99"/>
    <w:semiHidden/>
    <w:rsid w:val="0006086F"/>
    <w:pPr>
      <w:spacing w:after="0" w:line="240" w:lineRule="auto"/>
    </w:pPr>
    <w:rPr>
      <w:rFonts w:ascii="Times New Roman" w:eastAsia="Times New Roman" w:hAnsi="Times New Roman" w:cs="Times New Roman"/>
      <w:kern w:val="0"/>
      <w:szCs w:val="24"/>
      <w14:ligatures w14:val="none"/>
    </w:rPr>
  </w:style>
  <w:style w:type="character" w:customStyle="1" w:styleId="cf01">
    <w:name w:val="cf01"/>
    <w:basedOn w:val="Fuentedeprrafopredeter"/>
    <w:rsid w:val="00A60319"/>
    <w:rPr>
      <w:rFonts w:ascii="Segoe UI" w:hAnsi="Segoe UI" w:cs="Segoe UI" w:hint="default"/>
      <w:sz w:val="18"/>
      <w:szCs w:val="18"/>
      <w:u w:val="single"/>
    </w:rPr>
  </w:style>
  <w:style w:type="character" w:styleId="Nmerodepgina">
    <w:name w:val="page number"/>
    <w:rsid w:val="00D609C2"/>
    <w:rPr>
      <w:rFonts w:ascii="Times New Roman" w:hAnsi="Times New Roman"/>
      <w:sz w:val="22"/>
    </w:rPr>
  </w:style>
  <w:style w:type="character" w:styleId="Mencinsinresolver">
    <w:name w:val="Unresolved Mention"/>
    <w:basedOn w:val="Fuentedeprrafopredeter"/>
    <w:uiPriority w:val="99"/>
    <w:semiHidden/>
    <w:unhideWhenUsed/>
    <w:rsid w:val="00624185"/>
    <w:rPr>
      <w:color w:val="605E5C"/>
      <w:shd w:val="clear" w:color="auto" w:fill="E1DFDD"/>
    </w:rPr>
  </w:style>
  <w:style w:type="character" w:styleId="Hipervnculovisitado">
    <w:name w:val="FollowedHyperlink"/>
    <w:basedOn w:val="Fuentedeprrafopredeter"/>
    <w:uiPriority w:val="99"/>
    <w:semiHidden/>
    <w:unhideWhenUsed/>
    <w:rsid w:val="00624185"/>
    <w:rPr>
      <w:color w:val="954F72" w:themeColor="followedHyperlink"/>
      <w:u w:val="single"/>
    </w:rPr>
  </w:style>
  <w:style w:type="paragraph" w:customStyle="1" w:styleId="Decision">
    <w:name w:val="Decision"/>
    <w:basedOn w:val="Ttulo2"/>
    <w:link w:val="DecisionChar"/>
    <w:rsid w:val="00996F73"/>
    <w:pPr>
      <w:keepLines w:val="0"/>
      <w:tabs>
        <w:tab w:val="left" w:pos="720"/>
      </w:tabs>
      <w:ind w:left="0" w:firstLine="0"/>
      <w:jc w:val="center"/>
    </w:pPr>
    <w:rPr>
      <w:rFonts w:eastAsia="Times New Roman" w:cs="Times New Roman"/>
      <w:bCs/>
      <w:i/>
      <w:iCs/>
      <w:sz w:val="22"/>
      <w:szCs w:val="24"/>
    </w:rPr>
  </w:style>
  <w:style w:type="character" w:customStyle="1" w:styleId="DecisionChar">
    <w:name w:val="Decision Char"/>
    <w:link w:val="Decision"/>
    <w:rsid w:val="00996F73"/>
    <w:rPr>
      <w:rFonts w:ascii="Times New Roman" w:eastAsia="Times New Roman" w:hAnsi="Times New Roman" w:cs="Times New Roman"/>
      <w:b/>
      <w:bCs/>
      <w:i/>
      <w:iCs/>
      <w:kern w:val="0"/>
      <w:szCs w:val="24"/>
      <w:lang w:val="es-ES"/>
      <w14:ligatures w14:val="none"/>
    </w:rPr>
  </w:style>
  <w:style w:type="character" w:styleId="Mencionar">
    <w:name w:val="Mention"/>
    <w:basedOn w:val="Fuentedeprrafopredeter"/>
    <w:uiPriority w:val="99"/>
    <w:unhideWhenUsed/>
    <w:rsid w:val="0086703E"/>
    <w:rPr>
      <w:color w:val="2B579A"/>
      <w:shd w:val="clear" w:color="auto" w:fill="E1DFDD"/>
    </w:rPr>
  </w:style>
  <w:style w:type="paragraph" w:customStyle="1" w:styleId="paragraph">
    <w:name w:val="paragraph"/>
    <w:basedOn w:val="Normal"/>
    <w:rsid w:val="00FD21AF"/>
    <w:pPr>
      <w:spacing w:before="100" w:beforeAutospacing="1" w:after="100" w:afterAutospacing="1"/>
      <w:jc w:val="left"/>
    </w:pPr>
    <w:rPr>
      <w:sz w:val="24"/>
      <w:lang w:eastAsia="en-CA"/>
    </w:rPr>
  </w:style>
  <w:style w:type="character" w:customStyle="1" w:styleId="normaltextrun">
    <w:name w:val="normaltextrun"/>
    <w:basedOn w:val="Fuentedeprrafopredeter"/>
    <w:rsid w:val="00FD21AF"/>
  </w:style>
  <w:style w:type="character" w:customStyle="1" w:styleId="eop">
    <w:name w:val="eop"/>
    <w:basedOn w:val="Fuentedeprrafopredeter"/>
    <w:rsid w:val="00FD21AF"/>
  </w:style>
  <w:style w:type="paragraph" w:customStyle="1" w:styleId="pf0">
    <w:name w:val="pf0"/>
    <w:basedOn w:val="Normal"/>
    <w:rsid w:val="008F194A"/>
    <w:pPr>
      <w:spacing w:before="100" w:beforeAutospacing="1" w:after="100" w:afterAutospacing="1"/>
      <w:jc w:val="left"/>
    </w:pPr>
    <w:rPr>
      <w:sz w:val="24"/>
      <w:lang w:eastAsia="en-CA"/>
    </w:rPr>
  </w:style>
  <w:style w:type="paragraph" w:styleId="Textonotaalfinal">
    <w:name w:val="endnote text"/>
    <w:basedOn w:val="Normal"/>
    <w:link w:val="TextonotaalfinalCar"/>
    <w:uiPriority w:val="99"/>
    <w:semiHidden/>
    <w:unhideWhenUsed/>
    <w:rsid w:val="00BF56F6"/>
    <w:rPr>
      <w:sz w:val="20"/>
      <w:szCs w:val="20"/>
    </w:rPr>
  </w:style>
  <w:style w:type="character" w:customStyle="1" w:styleId="TextonotaalfinalCar">
    <w:name w:val="Texto nota al final Car"/>
    <w:basedOn w:val="Fuentedeprrafopredeter"/>
    <w:link w:val="Textonotaalfinal"/>
    <w:uiPriority w:val="99"/>
    <w:semiHidden/>
    <w:rsid w:val="00BF56F6"/>
    <w:rPr>
      <w:rFonts w:ascii="Times New Roman" w:eastAsia="Times New Roman" w:hAnsi="Times New Roman" w:cs="Times New Roman"/>
      <w:kern w:val="0"/>
      <w:sz w:val="20"/>
      <w:szCs w:val="20"/>
      <w:lang w:val="es-ES"/>
      <w14:ligatures w14:val="none"/>
    </w:rPr>
  </w:style>
  <w:style w:type="character" w:styleId="Refdenotaalfinal">
    <w:name w:val="endnote reference"/>
    <w:basedOn w:val="Fuentedeprrafopredeter"/>
    <w:uiPriority w:val="99"/>
    <w:semiHidden/>
    <w:unhideWhenUsed/>
    <w:rsid w:val="00BF56F6"/>
    <w:rPr>
      <w:vertAlign w:val="superscript"/>
    </w:rPr>
  </w:style>
  <w:style w:type="character" w:styleId="VariableHTML">
    <w:name w:val="HTML Variable"/>
    <w:basedOn w:val="Fuentedeprrafopredeter"/>
    <w:uiPriority w:val="99"/>
    <w:semiHidden/>
    <w:unhideWhenUsed/>
    <w:rsid w:val="009A4263"/>
    <w:rPr>
      <w:i/>
      <w:iCs/>
    </w:rPr>
  </w:style>
  <w:style w:type="character" w:styleId="nfasis">
    <w:name w:val="Emphasis"/>
    <w:basedOn w:val="Fuentedeprrafopredeter"/>
    <w:uiPriority w:val="20"/>
    <w:qFormat/>
    <w:rsid w:val="009A4263"/>
    <w:rPr>
      <w:i/>
      <w:iCs/>
    </w:rPr>
  </w:style>
  <w:style w:type="paragraph" w:styleId="Textodeglobo">
    <w:name w:val="Balloon Text"/>
    <w:basedOn w:val="Normal"/>
    <w:link w:val="TextodegloboCar"/>
    <w:uiPriority w:val="99"/>
    <w:semiHidden/>
    <w:unhideWhenUsed/>
    <w:rsid w:val="000C1C8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1C86"/>
    <w:rPr>
      <w:rFonts w:ascii="Segoe UI" w:eastAsia="Times New Roman" w:hAnsi="Segoe UI" w:cs="Segoe UI"/>
      <w:kern w:val="0"/>
      <w:sz w:val="18"/>
      <w:szCs w:val="18"/>
      <w:lang w:val="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4974658">
      <w:bodyDiv w:val="1"/>
      <w:marLeft w:val="0"/>
      <w:marRight w:val="0"/>
      <w:marTop w:val="0"/>
      <w:marBottom w:val="0"/>
      <w:divBdr>
        <w:top w:val="none" w:sz="0" w:space="0" w:color="auto"/>
        <w:left w:val="none" w:sz="0" w:space="0" w:color="auto"/>
        <w:bottom w:val="none" w:sz="0" w:space="0" w:color="auto"/>
        <w:right w:val="none" w:sz="0" w:space="0" w:color="auto"/>
      </w:divBdr>
    </w:div>
    <w:div w:id="538861523">
      <w:bodyDiv w:val="1"/>
      <w:marLeft w:val="0"/>
      <w:marRight w:val="0"/>
      <w:marTop w:val="0"/>
      <w:marBottom w:val="0"/>
      <w:divBdr>
        <w:top w:val="none" w:sz="0" w:space="0" w:color="auto"/>
        <w:left w:val="none" w:sz="0" w:space="0" w:color="auto"/>
        <w:bottom w:val="none" w:sz="0" w:space="0" w:color="auto"/>
        <w:right w:val="none" w:sz="0" w:space="0" w:color="auto"/>
      </w:divBdr>
    </w:div>
    <w:div w:id="767391604">
      <w:bodyDiv w:val="1"/>
      <w:marLeft w:val="0"/>
      <w:marRight w:val="0"/>
      <w:marTop w:val="0"/>
      <w:marBottom w:val="0"/>
      <w:divBdr>
        <w:top w:val="none" w:sz="0" w:space="0" w:color="auto"/>
        <w:left w:val="none" w:sz="0" w:space="0" w:color="auto"/>
        <w:bottom w:val="none" w:sz="0" w:space="0" w:color="auto"/>
        <w:right w:val="none" w:sz="0" w:space="0" w:color="auto"/>
      </w:divBdr>
    </w:div>
    <w:div w:id="835801118">
      <w:bodyDiv w:val="1"/>
      <w:marLeft w:val="0"/>
      <w:marRight w:val="0"/>
      <w:marTop w:val="0"/>
      <w:marBottom w:val="0"/>
      <w:divBdr>
        <w:top w:val="none" w:sz="0" w:space="0" w:color="auto"/>
        <w:left w:val="none" w:sz="0" w:space="0" w:color="auto"/>
        <w:bottom w:val="none" w:sz="0" w:space="0" w:color="auto"/>
        <w:right w:val="none" w:sz="0" w:space="0" w:color="auto"/>
      </w:divBdr>
    </w:div>
    <w:div w:id="1006131494">
      <w:bodyDiv w:val="1"/>
      <w:marLeft w:val="0"/>
      <w:marRight w:val="0"/>
      <w:marTop w:val="0"/>
      <w:marBottom w:val="0"/>
      <w:divBdr>
        <w:top w:val="none" w:sz="0" w:space="0" w:color="auto"/>
        <w:left w:val="none" w:sz="0" w:space="0" w:color="auto"/>
        <w:bottom w:val="none" w:sz="0" w:space="0" w:color="auto"/>
        <w:right w:val="none" w:sz="0" w:space="0" w:color="auto"/>
      </w:divBdr>
    </w:div>
    <w:div w:id="1315600208">
      <w:bodyDiv w:val="1"/>
      <w:marLeft w:val="0"/>
      <w:marRight w:val="0"/>
      <w:marTop w:val="0"/>
      <w:marBottom w:val="0"/>
      <w:divBdr>
        <w:top w:val="none" w:sz="0" w:space="0" w:color="auto"/>
        <w:left w:val="none" w:sz="0" w:space="0" w:color="auto"/>
        <w:bottom w:val="none" w:sz="0" w:space="0" w:color="auto"/>
        <w:right w:val="none" w:sz="0" w:space="0" w:color="auto"/>
      </w:divBdr>
      <w:divsChild>
        <w:div w:id="2043744886">
          <w:marLeft w:val="0"/>
          <w:marRight w:val="0"/>
          <w:marTop w:val="0"/>
          <w:marBottom w:val="0"/>
          <w:divBdr>
            <w:top w:val="none" w:sz="0" w:space="0" w:color="auto"/>
            <w:left w:val="none" w:sz="0" w:space="0" w:color="auto"/>
            <w:bottom w:val="none" w:sz="0" w:space="0" w:color="auto"/>
            <w:right w:val="none" w:sz="0" w:space="0" w:color="auto"/>
          </w:divBdr>
          <w:divsChild>
            <w:div w:id="869026901">
              <w:marLeft w:val="0"/>
              <w:marRight w:val="0"/>
              <w:marTop w:val="0"/>
              <w:marBottom w:val="0"/>
              <w:divBdr>
                <w:top w:val="none" w:sz="0" w:space="0" w:color="auto"/>
                <w:left w:val="none" w:sz="0" w:space="0" w:color="auto"/>
                <w:bottom w:val="none" w:sz="0" w:space="0" w:color="auto"/>
                <w:right w:val="none" w:sz="0" w:space="0" w:color="auto"/>
              </w:divBdr>
              <w:divsChild>
                <w:div w:id="14321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053140">
      <w:bodyDiv w:val="1"/>
      <w:marLeft w:val="0"/>
      <w:marRight w:val="0"/>
      <w:marTop w:val="0"/>
      <w:marBottom w:val="0"/>
      <w:divBdr>
        <w:top w:val="none" w:sz="0" w:space="0" w:color="auto"/>
        <w:left w:val="none" w:sz="0" w:space="0" w:color="auto"/>
        <w:bottom w:val="none" w:sz="0" w:space="0" w:color="auto"/>
        <w:right w:val="none" w:sz="0" w:space="0" w:color="auto"/>
      </w:divBdr>
    </w:div>
    <w:div w:id="1637105936">
      <w:bodyDiv w:val="1"/>
      <w:marLeft w:val="0"/>
      <w:marRight w:val="0"/>
      <w:marTop w:val="0"/>
      <w:marBottom w:val="0"/>
      <w:divBdr>
        <w:top w:val="none" w:sz="0" w:space="0" w:color="auto"/>
        <w:left w:val="none" w:sz="0" w:space="0" w:color="auto"/>
        <w:bottom w:val="none" w:sz="0" w:space="0" w:color="auto"/>
        <w:right w:val="none" w:sz="0" w:space="0" w:color="auto"/>
      </w:divBdr>
    </w:div>
    <w:div w:id="1933203305">
      <w:bodyDiv w:val="1"/>
      <w:marLeft w:val="0"/>
      <w:marRight w:val="0"/>
      <w:marTop w:val="0"/>
      <w:marBottom w:val="0"/>
      <w:divBdr>
        <w:top w:val="none" w:sz="0" w:space="0" w:color="auto"/>
        <w:left w:val="none" w:sz="0" w:space="0" w:color="auto"/>
        <w:bottom w:val="none" w:sz="0" w:space="0" w:color="auto"/>
        <w:right w:val="none" w:sz="0" w:space="0" w:color="auto"/>
      </w:divBdr>
    </w:div>
    <w:div w:id="2051876380">
      <w:bodyDiv w:val="1"/>
      <w:marLeft w:val="0"/>
      <w:marRight w:val="0"/>
      <w:marTop w:val="0"/>
      <w:marBottom w:val="0"/>
      <w:divBdr>
        <w:top w:val="none" w:sz="0" w:space="0" w:color="auto"/>
        <w:left w:val="none" w:sz="0" w:space="0" w:color="auto"/>
        <w:bottom w:val="none" w:sz="0" w:space="0" w:color="auto"/>
        <w:right w:val="none" w:sz="0" w:space="0" w:color="auto"/>
      </w:divBdr>
    </w:div>
    <w:div w:id="207955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bd.int/doc/decisions/cop-15/cop-15-dec-06-es.pdf" TargetMode="External"/><Relationship Id="rId26" Type="http://schemas.openxmlformats.org/officeDocument/2006/relationships/hyperlink" Target="https://www.cbd.int/abs/text/articles?sec=abs-21" TargetMode="External"/><Relationship Id="rId3" Type="http://schemas.openxmlformats.org/officeDocument/2006/relationships/customXml" Target="../customXml/item3.xml"/><Relationship Id="rId21" Type="http://schemas.openxmlformats.org/officeDocument/2006/relationships/hyperlink" Target="https://www.cbd.int/doc/decisions/np-mop-03/np-mop-03-dec-01-es.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decisions/cp-mop-10/cp-mop-10-dec-09-es.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bd.int/decisions/np-mop/?m=np-mop-04" TargetMode="External"/><Relationship Id="rId20" Type="http://schemas.openxmlformats.org/officeDocument/2006/relationships/hyperlink" Target="https://www.cbd.int/doc/decisions/np-mop-03/np-mop-03-dec-04-es.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bd.int/doc/c/1d15/f1a7/84cdba903adbeb28921c357c/np-mop-03-03-es.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bd.int/doc/decisions/cop-14/cop-14-dec-27-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np-mop-03/np-mop-03-dec-01-es.pdf" TargetMode="External"/><Relationship Id="rId22" Type="http://schemas.openxmlformats.org/officeDocument/2006/relationships/header" Target="header1.xml"/><Relationship Id="rId27" Type="http://schemas.openxmlformats.org/officeDocument/2006/relationships/hyperlink" Target="https://www.cbd.int/decisions/?id=1340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15ff/7143/d28c99fdf597838d88407011/np-cc-04-04-en.pdf" TargetMode="External"/><Relationship Id="rId2" Type="http://schemas.openxmlformats.org/officeDocument/2006/relationships/hyperlink" Target="https://www.cbd.int/doc/c/679b/5453/3b1a3616b09ba37af014ca24/cp-cc-17-06-en.pdf" TargetMode="External"/><Relationship Id="rId1" Type="http://schemas.openxmlformats.org/officeDocument/2006/relationships/hyperlink" Target="https://absch.cbd.int/es/reports" TargetMode="External"/><Relationship Id="rId4" Type="http://schemas.openxmlformats.org/officeDocument/2006/relationships/hyperlink" Target="https://www.cbd.int/doc/decisions/np-mop-01/np-mop-01-dec-04-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bd\Downloads\template-general%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SharedWithUsers xmlns="13ad741f-c0db-4e29-b5a6-03b4a1bc18ba">
      <UserInfo>
        <DisplayName>Taukondjo Shikongo</DisplayName>
        <AccountId>30</AccountId>
        <AccountType/>
      </UserInfo>
      <UserInfo>
        <DisplayName>David Cooper</DisplayName>
        <AccountId>45</AccountId>
        <AccountType/>
      </UserInfo>
      <UserInfo>
        <DisplayName>Kathryn Garforth</DisplayName>
        <AccountId>12</AccountId>
        <AccountType/>
      </UserInfo>
      <UserInfo>
        <DisplayName>Matthew Dias</DisplayName>
        <AccountId>13</AccountId>
        <AccountType/>
      </UserInfo>
      <UserInfo>
        <DisplayName>Regina Kipper</DisplayName>
        <AccountId>427</AccountId>
        <AccountType/>
      </UserInfo>
      <UserInfo>
        <DisplayName>Neil Pratt</DisplayName>
        <AccountId>182</AccountId>
        <AccountType/>
      </UserInfo>
      <UserInfo>
        <DisplayName>Beatriz Gomez Castro</DisplayName>
        <AccountId>16</AccountId>
        <AccountType/>
      </UserInfo>
    </SharedWithUsers>
  </documentManagement>
</p:properties>
</file>

<file path=customXml/itemProps1.xml><?xml version="1.0" encoding="utf-8"?>
<ds:datastoreItem xmlns:ds="http://schemas.openxmlformats.org/officeDocument/2006/customXml" ds:itemID="{BD779B43-7F2B-4E8E-9D31-39DD7BCEF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6DA5B8-8D51-4A2E-9335-2CE77E695577}">
  <ds:schemaRefs>
    <ds:schemaRef ds:uri="http://schemas.openxmlformats.org/officeDocument/2006/bibliography"/>
  </ds:schemaRefs>
</ds:datastoreItem>
</file>

<file path=customXml/itemProps3.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4.xml><?xml version="1.0" encoding="utf-8"?>
<ds:datastoreItem xmlns:ds="http://schemas.openxmlformats.org/officeDocument/2006/customXml" ds:itemID="{3C9185FB-4D4E-4FC2-8814-761E17E385A0}">
  <ds:schemaRefs>
    <ds:schemaRef ds:uri="http://schemas.microsoft.com/office/2006/metadata/properties"/>
    <ds:schemaRef ds:uri="http://schemas.microsoft.com/office/infopath/2007/PartnerControls"/>
    <ds:schemaRef ds:uri="985ec44e-1bab-4c0b-9df0-6ba128686fc9"/>
    <ds:schemaRef ds:uri="358298e0-1b7e-4ebe-8695-94439b74f0d1"/>
    <ds:schemaRef ds:uri="13ad741f-c0db-4e29-b5a6-03b4a1bc18ba"/>
  </ds:schemaRefs>
</ds:datastoreItem>
</file>

<file path=docProps/app.xml><?xml version="1.0" encoding="utf-8"?>
<Properties xmlns="http://schemas.openxmlformats.org/officeDocument/2006/extended-properties" xmlns:vt="http://schemas.openxmlformats.org/officeDocument/2006/docPropsVTypes">
  <Template>template-general (2).dotm</Template>
  <TotalTime>226</TotalTime>
  <Pages>10</Pages>
  <Words>5268</Words>
  <Characters>28979</Characters>
  <Application>Microsoft Office Word</Application>
  <DocSecurity>0</DocSecurity>
  <Lines>241</Lines>
  <Paragraphs>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Development of the methodology for the second assessment and review of the effectiveness of the Nagoya Protocol</vt:lpstr>
      <vt:lpstr>Development of the methodology for the second assessment and review of the effectiveness of the Nagoya Protocol</vt:lpstr>
    </vt:vector>
  </TitlesOfParts>
  <Company/>
  <LinksUpToDate>false</LinksUpToDate>
  <CharactersWithSpaces>34179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the methodology for the second assessment and review of the effectiveness of the Nagoya Protocol</dc:title>
  <dc:subject>CBD/SBI/4/12</dc:subject>
  <dc:creator>scbd</dc:creator>
  <cp:keywords/>
  <dc:description/>
  <cp:lastModifiedBy>Maria Troitino</cp:lastModifiedBy>
  <cp:revision>6</cp:revision>
  <dcterms:created xsi:type="dcterms:W3CDTF">2024-04-23T20:03:00Z</dcterms:created>
  <dcterms:modified xsi:type="dcterms:W3CDTF">2024-04-24T11:21:00Z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