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60CB5" w:rsidRPr="00CE7DE5" w14:paraId="2F15BC55" w14:textId="77777777" w:rsidTr="5C3699A0">
        <w:trPr>
          <w:trHeight w:val="709"/>
        </w:trPr>
        <w:tc>
          <w:tcPr>
            <w:tcW w:w="976" w:type="dxa"/>
            <w:tcBorders>
              <w:bottom w:val="single" w:sz="12" w:space="0" w:color="auto"/>
            </w:tcBorders>
          </w:tcPr>
          <w:p w14:paraId="451A5BF4" w14:textId="77777777" w:rsidR="00660CB5" w:rsidRPr="00CE7DE5" w:rsidRDefault="00660CB5" w:rsidP="00D50F9F">
            <w:pPr>
              <w:spacing w:line="276" w:lineRule="auto"/>
              <w:rPr>
                <w:rFonts w:asciiTheme="majorBidi" w:hAnsiTheme="majorBidi" w:cstheme="majorBidi"/>
                <w:lang w:val="fr-FR"/>
              </w:rPr>
            </w:pPr>
            <w:r w:rsidRPr="00CE7DE5">
              <w:rPr>
                <w:rFonts w:asciiTheme="majorBidi" w:hAnsiTheme="majorBidi" w:cstheme="majorBidi"/>
                <w:noProof/>
                <w:lang w:val="fr-FR"/>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1C48662C" w:rsidR="00660CB5" w:rsidRPr="00CE7DE5" w:rsidRDefault="00305CF1" w:rsidP="00D50F9F">
            <w:pPr>
              <w:spacing w:line="276" w:lineRule="auto"/>
              <w:rPr>
                <w:rFonts w:asciiTheme="majorBidi" w:hAnsiTheme="majorBidi" w:cstheme="majorBidi"/>
                <w:lang w:val="fr-FR"/>
              </w:rPr>
            </w:pPr>
            <w:r w:rsidRPr="00CE7DE5">
              <w:rPr>
                <w:noProof/>
                <w:lang w:val="fr-FR"/>
              </w:rPr>
              <w:drawing>
                <wp:inline distT="0" distB="0" distL="0" distR="0" wp14:anchorId="2084654D" wp14:editId="122F011C">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C64379" w:rsidRPr="00CE7DE5">
              <w:rPr>
                <w:rFonts w:asciiTheme="majorBidi" w:hAnsiTheme="majorBidi" w:cstheme="majorBidi"/>
                <w:lang w:val="fr-FR"/>
              </w:rPr>
              <w:t xml:space="preserve"> </w:t>
            </w:r>
          </w:p>
        </w:tc>
        <w:tc>
          <w:tcPr>
            <w:tcW w:w="4090" w:type="dxa"/>
            <w:tcBorders>
              <w:bottom w:val="single" w:sz="12" w:space="0" w:color="auto"/>
            </w:tcBorders>
          </w:tcPr>
          <w:p w14:paraId="6B8A2E0E" w14:textId="77777777" w:rsidR="00660CB5" w:rsidRPr="00CE7DE5" w:rsidRDefault="00660CB5" w:rsidP="00D50F9F">
            <w:pPr>
              <w:suppressLineNumbers/>
              <w:suppressAutoHyphens/>
              <w:kinsoku w:val="0"/>
              <w:overflowPunct w:val="0"/>
              <w:autoSpaceDE w:val="0"/>
              <w:autoSpaceDN w:val="0"/>
              <w:jc w:val="right"/>
              <w:rPr>
                <w:rFonts w:asciiTheme="minorBidi" w:hAnsiTheme="minorBidi" w:cstheme="minorBidi"/>
                <w:b/>
                <w:sz w:val="32"/>
                <w:szCs w:val="32"/>
                <w:lang w:val="fr-FR"/>
              </w:rPr>
            </w:pPr>
            <w:r w:rsidRPr="00CE7DE5">
              <w:rPr>
                <w:rFonts w:asciiTheme="minorBidi" w:eastAsiaTheme="minorEastAsia" w:hAnsiTheme="minorBidi" w:cstheme="minorBidi"/>
                <w:b/>
                <w:snapToGrid w:val="0"/>
                <w:kern w:val="22"/>
                <w:sz w:val="32"/>
                <w:szCs w:val="32"/>
                <w:lang w:val="fr-FR"/>
              </w:rPr>
              <w:t>CBD</w:t>
            </w:r>
          </w:p>
        </w:tc>
      </w:tr>
      <w:tr w:rsidR="00660CB5" w:rsidRPr="00CE7DE5" w14:paraId="7A608A6E" w14:textId="77777777" w:rsidTr="5C3699A0">
        <w:tc>
          <w:tcPr>
            <w:tcW w:w="6117" w:type="dxa"/>
            <w:gridSpan w:val="2"/>
            <w:tcBorders>
              <w:top w:val="single" w:sz="12" w:space="0" w:color="auto"/>
              <w:bottom w:val="single" w:sz="36" w:space="0" w:color="auto"/>
            </w:tcBorders>
            <w:vAlign w:val="center"/>
          </w:tcPr>
          <w:p w14:paraId="6FE6DC6C" w14:textId="14F0D1A7" w:rsidR="00660CB5" w:rsidRPr="00CE7DE5" w:rsidRDefault="00305CF1" w:rsidP="00D50F9F">
            <w:pPr>
              <w:spacing w:line="276" w:lineRule="auto"/>
              <w:rPr>
                <w:rFonts w:asciiTheme="majorBidi" w:hAnsiTheme="majorBidi" w:cstheme="majorBidi"/>
                <w:lang w:val="fr-FR"/>
              </w:rPr>
            </w:pPr>
            <w:r w:rsidRPr="00CE7DE5">
              <w:rPr>
                <w:bCs/>
                <w:noProof/>
                <w:szCs w:val="22"/>
                <w:lang w:val="fr-FR"/>
              </w:rPr>
              <w:drawing>
                <wp:inline distT="0" distB="0" distL="0" distR="0" wp14:anchorId="75A7C0C4" wp14:editId="3F9B1BE2">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CE7DE5" w:rsidRDefault="00660CB5" w:rsidP="00D50F9F">
            <w:pPr>
              <w:spacing w:line="276" w:lineRule="auto"/>
              <w:ind w:left="1575"/>
              <w:rPr>
                <w:rFonts w:asciiTheme="majorBidi" w:hAnsiTheme="majorBidi" w:cstheme="majorBidi"/>
                <w:szCs w:val="22"/>
                <w:lang w:val="fr-FR"/>
              </w:rPr>
            </w:pPr>
            <w:r w:rsidRPr="00CE7DE5">
              <w:rPr>
                <w:rFonts w:asciiTheme="majorBidi" w:hAnsiTheme="majorBidi" w:cstheme="majorBidi"/>
                <w:szCs w:val="22"/>
                <w:lang w:val="fr-FR"/>
              </w:rPr>
              <w:t>Distr.</w:t>
            </w:r>
          </w:p>
          <w:p w14:paraId="37ABA8AD" w14:textId="7768F0D3" w:rsidR="00660CB5" w:rsidRPr="00CE7DE5" w:rsidRDefault="007F1E4B" w:rsidP="00D50F9F">
            <w:pPr>
              <w:spacing w:line="276" w:lineRule="auto"/>
              <w:ind w:left="1575"/>
              <w:rPr>
                <w:rFonts w:asciiTheme="majorBidi" w:hAnsiTheme="majorBidi" w:cstheme="majorBidi"/>
                <w:szCs w:val="22"/>
                <w:lang w:val="fr-FR"/>
              </w:rPr>
            </w:pPr>
            <w:r w:rsidRPr="00CE7DE5">
              <w:rPr>
                <w:rFonts w:asciiTheme="majorBidi" w:hAnsiTheme="majorBidi" w:cstheme="majorBidi"/>
                <w:caps/>
                <w:szCs w:val="22"/>
                <w:lang w:val="fr-FR"/>
              </w:rPr>
              <w:t>LIMITED</w:t>
            </w:r>
          </w:p>
          <w:p w14:paraId="4F72D7E7" w14:textId="77777777" w:rsidR="00660CB5" w:rsidRPr="00CE7DE5" w:rsidRDefault="00660CB5" w:rsidP="00D50F9F">
            <w:pPr>
              <w:spacing w:line="276" w:lineRule="auto"/>
              <w:ind w:left="1575"/>
              <w:rPr>
                <w:rFonts w:asciiTheme="majorBidi" w:hAnsiTheme="majorBidi" w:cstheme="majorBidi"/>
                <w:szCs w:val="22"/>
                <w:lang w:val="fr-FR"/>
              </w:rPr>
            </w:pPr>
          </w:p>
          <w:p w14:paraId="03D197B5" w14:textId="4BA24CBB" w:rsidR="00660CB5" w:rsidRPr="00CE7DE5" w:rsidRDefault="00000000" w:rsidP="00D50F9F">
            <w:pPr>
              <w:ind w:left="1570"/>
              <w:rPr>
                <w:rFonts w:asciiTheme="majorBidi" w:hAnsiTheme="majorBidi" w:cstheme="majorBidi"/>
                <w:lang w:val="fr-FR"/>
              </w:rPr>
            </w:pPr>
            <w:sdt>
              <w:sdtPr>
                <w:rPr>
                  <w:rFonts w:asciiTheme="majorBidi" w:hAnsiTheme="majorBidi" w:cstheme="majorBidi"/>
                  <w:lang w:val="fr-FR"/>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Content>
                <w:r w:rsidR="00E23046" w:rsidRPr="00CE7DE5">
                  <w:rPr>
                    <w:rFonts w:asciiTheme="majorBidi" w:hAnsiTheme="majorBidi" w:cstheme="majorBidi"/>
                    <w:lang w:val="fr-FR"/>
                  </w:rPr>
                  <w:t>CBD/CP/MOP/10/</w:t>
                </w:r>
                <w:r w:rsidR="007F1E4B" w:rsidRPr="00CE7DE5">
                  <w:rPr>
                    <w:rFonts w:asciiTheme="majorBidi" w:hAnsiTheme="majorBidi" w:cstheme="majorBidi"/>
                    <w:lang w:val="fr-FR"/>
                  </w:rPr>
                  <w:t>L.1</w:t>
                </w:r>
              </w:sdtContent>
            </w:sdt>
          </w:p>
          <w:p w14:paraId="30A3C7A6" w14:textId="383F5A02" w:rsidR="00FB0D24" w:rsidRPr="00CE7DE5" w:rsidRDefault="00D61A1C" w:rsidP="00D50F9F">
            <w:pPr>
              <w:ind w:left="1570"/>
              <w:rPr>
                <w:rFonts w:asciiTheme="majorBidi" w:hAnsiTheme="majorBidi" w:cstheme="majorBidi"/>
                <w:lang w:val="fr-FR"/>
              </w:rPr>
            </w:pPr>
            <w:r w:rsidRPr="00420D11">
              <w:rPr>
                <w:rFonts w:asciiTheme="majorBidi" w:hAnsiTheme="majorBidi" w:cstheme="majorBidi"/>
                <w:lang w:val="fr-FR"/>
              </w:rPr>
              <w:t>1</w:t>
            </w:r>
            <w:r w:rsidR="007F1E4B" w:rsidRPr="00420D11">
              <w:rPr>
                <w:rFonts w:asciiTheme="majorBidi" w:hAnsiTheme="majorBidi" w:cstheme="majorBidi"/>
                <w:lang w:val="fr-FR"/>
              </w:rPr>
              <w:t>9</w:t>
            </w:r>
            <w:r w:rsidR="78322FB3" w:rsidRPr="00420D11">
              <w:rPr>
                <w:rFonts w:asciiTheme="majorBidi" w:hAnsiTheme="majorBidi" w:cstheme="majorBidi"/>
                <w:lang w:val="fr-FR"/>
              </w:rPr>
              <w:t xml:space="preserve"> </w:t>
            </w:r>
            <w:proofErr w:type="spellStart"/>
            <w:r w:rsidR="00305CF1" w:rsidRPr="00420D11">
              <w:rPr>
                <w:rFonts w:asciiTheme="majorBidi" w:hAnsiTheme="majorBidi" w:cstheme="majorBidi"/>
                <w:lang w:val="fr-FR"/>
              </w:rPr>
              <w:t>décembre</w:t>
            </w:r>
            <w:proofErr w:type="spellEnd"/>
            <w:r w:rsidRPr="00CE7DE5">
              <w:rPr>
                <w:rFonts w:asciiTheme="majorBidi" w:hAnsiTheme="majorBidi" w:cstheme="majorBidi"/>
                <w:lang w:val="fr-FR"/>
              </w:rPr>
              <w:t xml:space="preserve"> </w:t>
            </w:r>
            <w:r w:rsidR="78322FB3" w:rsidRPr="00CE7DE5">
              <w:rPr>
                <w:rFonts w:asciiTheme="majorBidi" w:hAnsiTheme="majorBidi" w:cstheme="majorBidi"/>
                <w:lang w:val="fr-FR"/>
              </w:rPr>
              <w:t>2022</w:t>
            </w:r>
          </w:p>
          <w:p w14:paraId="459F4DFA" w14:textId="77777777" w:rsidR="00660CB5" w:rsidRPr="00CE7DE5" w:rsidRDefault="00660CB5" w:rsidP="00D50F9F">
            <w:pPr>
              <w:spacing w:line="276" w:lineRule="auto"/>
              <w:ind w:left="1575"/>
              <w:rPr>
                <w:rFonts w:asciiTheme="majorBidi" w:hAnsiTheme="majorBidi" w:cstheme="majorBidi"/>
                <w:szCs w:val="22"/>
                <w:lang w:val="fr-FR"/>
              </w:rPr>
            </w:pPr>
          </w:p>
          <w:p w14:paraId="2F30B370" w14:textId="7E730062" w:rsidR="00660CB5" w:rsidRPr="00CE7DE5" w:rsidRDefault="00305CF1" w:rsidP="00D50F9F">
            <w:pPr>
              <w:ind w:left="1570"/>
              <w:rPr>
                <w:rFonts w:asciiTheme="majorBidi" w:hAnsiTheme="majorBidi" w:cstheme="majorBidi"/>
                <w:lang w:val="fr-FR"/>
              </w:rPr>
            </w:pPr>
            <w:r w:rsidRPr="00CE7DE5">
              <w:rPr>
                <w:snapToGrid w:val="0"/>
                <w:kern w:val="22"/>
                <w:szCs w:val="22"/>
                <w:lang w:val="fr-FR"/>
              </w:rPr>
              <w:t xml:space="preserve">FRANÇAIS </w:t>
            </w:r>
            <w:r w:rsidRPr="00CE7DE5">
              <w:rPr>
                <w:snapToGrid w:val="0"/>
                <w:kern w:val="22"/>
                <w:szCs w:val="22"/>
                <w:lang w:val="fr-FR"/>
              </w:rPr>
              <w:br/>
              <w:t>ORIGINAL : ANGLAIS</w:t>
            </w:r>
          </w:p>
        </w:tc>
      </w:tr>
    </w:tbl>
    <w:p w14:paraId="221C01DC" w14:textId="5F131301" w:rsidR="001C3FBA" w:rsidRPr="00CE7DE5" w:rsidRDefault="00532D54" w:rsidP="00D50F9F">
      <w:pPr>
        <w:pStyle w:val="Cornernotation"/>
        <w:kinsoku w:val="0"/>
        <w:overflowPunct w:val="0"/>
        <w:autoSpaceDE w:val="0"/>
        <w:autoSpaceDN w:val="0"/>
        <w:spacing w:before="60"/>
        <w:ind w:left="227" w:right="3831" w:hanging="227"/>
        <w:rPr>
          <w:rFonts w:asciiTheme="majorBidi" w:hAnsiTheme="majorBidi" w:cstheme="majorBidi"/>
          <w:snapToGrid w:val="0"/>
          <w:kern w:val="22"/>
          <w:lang w:val="fr-FR"/>
        </w:rPr>
      </w:pPr>
      <w:r w:rsidRPr="00CE7DE5">
        <w:rPr>
          <w:rFonts w:asciiTheme="majorBidi" w:hAnsiTheme="majorBidi" w:cstheme="majorBidi"/>
          <w:snapToGrid w:val="0"/>
          <w:kern w:val="22"/>
          <w:lang w:val="fr-FR"/>
        </w:rPr>
        <w:t>CONFÉRENCE DES PARTIES À LA CONVENTION SUR LA DIVERSITÉ BIOLOGIQUE SIÉGEANT EN TANT QUE RÉUNION DES PARTIES AU PROTOCOLE DE CARTAGENA SUR LA PRÉVENTION DES RISQUES BIOTECHNOLOGIQUES</w:t>
      </w:r>
    </w:p>
    <w:p w14:paraId="0DA9FBC9" w14:textId="77777777" w:rsidR="00532D54" w:rsidRPr="00CE7DE5" w:rsidRDefault="00532D54" w:rsidP="00D50F9F">
      <w:pPr>
        <w:pStyle w:val="Cornernotation"/>
        <w:kinsoku w:val="0"/>
        <w:overflowPunct w:val="0"/>
        <w:autoSpaceDE w:val="0"/>
        <w:autoSpaceDN w:val="0"/>
        <w:ind w:right="3831"/>
        <w:rPr>
          <w:rFonts w:asciiTheme="majorBidi" w:hAnsiTheme="majorBidi" w:cstheme="majorBidi"/>
          <w:snapToGrid w:val="0"/>
          <w:kern w:val="22"/>
          <w:lang w:val="fr-FR"/>
        </w:rPr>
      </w:pPr>
      <w:r w:rsidRPr="00CE7DE5">
        <w:rPr>
          <w:rFonts w:asciiTheme="majorBidi" w:hAnsiTheme="majorBidi" w:cstheme="majorBidi"/>
          <w:snapToGrid w:val="0"/>
          <w:kern w:val="22"/>
          <w:lang w:val="fr-FR"/>
        </w:rPr>
        <w:t>Dixième réunion Partie II</w:t>
      </w:r>
    </w:p>
    <w:p w14:paraId="4D2CF85B" w14:textId="77777777" w:rsidR="00532D54" w:rsidRPr="00CE7DE5" w:rsidRDefault="00532D54" w:rsidP="00D50F9F">
      <w:pPr>
        <w:pStyle w:val="Cornernotation"/>
        <w:kinsoku w:val="0"/>
        <w:overflowPunct w:val="0"/>
        <w:autoSpaceDE w:val="0"/>
        <w:autoSpaceDN w:val="0"/>
        <w:ind w:right="3831"/>
        <w:rPr>
          <w:rFonts w:asciiTheme="majorBidi" w:hAnsiTheme="majorBidi" w:cstheme="majorBidi"/>
          <w:snapToGrid w:val="0"/>
          <w:kern w:val="22"/>
          <w:lang w:val="fr-FR"/>
        </w:rPr>
      </w:pPr>
      <w:r w:rsidRPr="00CE7DE5">
        <w:rPr>
          <w:rFonts w:asciiTheme="majorBidi" w:hAnsiTheme="majorBidi" w:cstheme="majorBidi"/>
          <w:snapToGrid w:val="0"/>
          <w:kern w:val="22"/>
          <w:lang w:val="fr-FR"/>
        </w:rPr>
        <w:t>Montréal, Canada, 719 décembre 2022</w:t>
      </w:r>
    </w:p>
    <w:p w14:paraId="3535B321" w14:textId="51408696" w:rsidR="00954B4F" w:rsidRPr="00CE7DE5" w:rsidRDefault="00532D54" w:rsidP="00D50F9F">
      <w:pPr>
        <w:pStyle w:val="Cornernotation"/>
        <w:kinsoku w:val="0"/>
        <w:overflowPunct w:val="0"/>
        <w:autoSpaceDE w:val="0"/>
        <w:autoSpaceDN w:val="0"/>
        <w:ind w:right="3831"/>
        <w:jc w:val="both"/>
        <w:rPr>
          <w:rFonts w:asciiTheme="majorBidi" w:hAnsiTheme="majorBidi" w:cstheme="majorBidi"/>
          <w:snapToGrid w:val="0"/>
          <w:kern w:val="22"/>
          <w:szCs w:val="22"/>
          <w:lang w:val="fr-FR" w:eastAsia="nb-NO"/>
        </w:rPr>
      </w:pPr>
      <w:r w:rsidRPr="00CE7DE5">
        <w:rPr>
          <w:rFonts w:asciiTheme="majorBidi" w:hAnsiTheme="majorBidi" w:cstheme="majorBidi"/>
          <w:snapToGrid w:val="0"/>
          <w:kern w:val="22"/>
          <w:lang w:val="fr-FR"/>
        </w:rPr>
        <w:t>Point 19 de l'ordre du jour</w:t>
      </w:r>
      <w:r w:rsidR="00954B4F" w:rsidRPr="00CE7DE5">
        <w:rPr>
          <w:rFonts w:asciiTheme="majorBidi" w:hAnsiTheme="majorBidi" w:cstheme="majorBidi"/>
          <w:snapToGrid w:val="0"/>
          <w:kern w:val="22"/>
          <w:szCs w:val="22"/>
          <w:lang w:val="fr-FR"/>
        </w:rPr>
        <w:t xml:space="preserve"> </w:t>
      </w:r>
    </w:p>
    <w:p w14:paraId="3A2EF13A" w14:textId="77777777" w:rsidR="00E562FE" w:rsidRPr="00CE7DE5" w:rsidRDefault="00E562FE" w:rsidP="00D50F9F">
      <w:pPr>
        <w:pStyle w:val="Cornernotation"/>
        <w:kinsoku w:val="0"/>
        <w:overflowPunct w:val="0"/>
        <w:autoSpaceDE w:val="0"/>
        <w:autoSpaceDN w:val="0"/>
        <w:ind w:left="227" w:right="4512" w:hanging="227"/>
        <w:jc w:val="both"/>
        <w:rPr>
          <w:rFonts w:asciiTheme="majorBidi" w:hAnsiTheme="majorBidi" w:cstheme="majorBidi"/>
          <w:snapToGrid w:val="0"/>
          <w:kern w:val="22"/>
          <w:szCs w:val="22"/>
          <w:lang w:val="fr-FR" w:eastAsia="nb-NO"/>
        </w:rPr>
      </w:pPr>
    </w:p>
    <w:p w14:paraId="59D511B7" w14:textId="77777777" w:rsidR="00532D54" w:rsidRPr="00CE7DE5" w:rsidRDefault="00532D54" w:rsidP="00D50F9F">
      <w:pPr>
        <w:kinsoku w:val="0"/>
        <w:overflowPunct w:val="0"/>
        <w:autoSpaceDE w:val="0"/>
        <w:autoSpaceDN w:val="0"/>
        <w:spacing w:before="120" w:after="240"/>
        <w:jc w:val="center"/>
        <w:rPr>
          <w:rFonts w:asciiTheme="majorBidi" w:eastAsia="MS Mincho" w:hAnsiTheme="majorBidi" w:cstheme="majorBidi"/>
          <w:b/>
          <w:bCs/>
          <w:caps/>
          <w:snapToGrid w:val="0"/>
          <w:kern w:val="22"/>
          <w:szCs w:val="22"/>
          <w:lang w:val="fr-FR"/>
        </w:rPr>
      </w:pPr>
      <w:r w:rsidRPr="00CE7DE5">
        <w:rPr>
          <w:rFonts w:asciiTheme="majorBidi" w:eastAsia="MS Mincho" w:hAnsiTheme="majorBidi" w:cstheme="majorBidi"/>
          <w:b/>
          <w:bCs/>
          <w:caps/>
          <w:snapToGrid w:val="0"/>
          <w:kern w:val="22"/>
          <w:szCs w:val="22"/>
          <w:lang w:val="fr-FR"/>
        </w:rPr>
        <w:t xml:space="preserve">PROJET DE RAPPORT DE LA RÉUNION </w:t>
      </w:r>
    </w:p>
    <w:p w14:paraId="474B0763" w14:textId="27B625AB" w:rsidR="007F1E4B" w:rsidRPr="00CE7DE5" w:rsidRDefault="007F1E4B" w:rsidP="00D50F9F">
      <w:pPr>
        <w:kinsoku w:val="0"/>
        <w:overflowPunct w:val="0"/>
        <w:autoSpaceDE w:val="0"/>
        <w:autoSpaceDN w:val="0"/>
        <w:spacing w:before="120" w:after="240"/>
        <w:jc w:val="center"/>
        <w:rPr>
          <w:rFonts w:asciiTheme="majorBidi" w:hAnsiTheme="majorBidi" w:cstheme="majorBidi"/>
          <w:i/>
          <w:iCs/>
          <w:caps/>
          <w:snapToGrid w:val="0"/>
          <w:kern w:val="22"/>
          <w:lang w:val="fr-FR"/>
        </w:rPr>
      </w:pPr>
      <w:r w:rsidRPr="00CE7DE5">
        <w:rPr>
          <w:rFonts w:asciiTheme="majorBidi" w:hAnsiTheme="majorBidi" w:cstheme="majorBidi"/>
          <w:i/>
          <w:iCs/>
          <w:snapToGrid w:val="0"/>
          <w:kern w:val="22"/>
          <w:lang w:val="fr-FR"/>
        </w:rPr>
        <w:t>Rapporteu</w:t>
      </w:r>
      <w:r w:rsidR="00532D54" w:rsidRPr="00CE7DE5">
        <w:rPr>
          <w:rFonts w:asciiTheme="majorBidi" w:hAnsiTheme="majorBidi" w:cstheme="majorBidi"/>
          <w:i/>
          <w:iCs/>
          <w:snapToGrid w:val="0"/>
          <w:kern w:val="22"/>
          <w:lang w:val="fr-FR"/>
        </w:rPr>
        <w:t xml:space="preserve">se </w:t>
      </w:r>
      <w:r w:rsidRPr="00CE7DE5">
        <w:rPr>
          <w:rFonts w:asciiTheme="majorBidi" w:hAnsiTheme="majorBidi" w:cstheme="majorBidi"/>
          <w:i/>
          <w:iCs/>
          <w:caps/>
          <w:snapToGrid w:val="0"/>
          <w:kern w:val="22"/>
          <w:lang w:val="fr-FR"/>
        </w:rPr>
        <w:t xml:space="preserve">: </w:t>
      </w:r>
      <w:r w:rsidR="008B46D4" w:rsidRPr="00CE7DE5">
        <w:rPr>
          <w:rFonts w:asciiTheme="majorBidi" w:hAnsiTheme="majorBidi" w:cstheme="majorBidi"/>
          <w:bCs/>
          <w:i/>
          <w:iCs/>
          <w:snapToGrid w:val="0"/>
          <w:lang w:val="fr-FR"/>
        </w:rPr>
        <w:t>Elvana Ramaj (Albani</w:t>
      </w:r>
      <w:r w:rsidR="00532D54" w:rsidRPr="00CE7DE5">
        <w:rPr>
          <w:rFonts w:asciiTheme="majorBidi" w:hAnsiTheme="majorBidi" w:cstheme="majorBidi"/>
          <w:bCs/>
          <w:i/>
          <w:iCs/>
          <w:snapToGrid w:val="0"/>
          <w:lang w:val="fr-FR"/>
        </w:rPr>
        <w:t>e</w:t>
      </w:r>
      <w:r w:rsidR="008B46D4" w:rsidRPr="00CE7DE5">
        <w:rPr>
          <w:rFonts w:asciiTheme="majorBidi" w:hAnsiTheme="majorBidi" w:cstheme="majorBidi"/>
          <w:bCs/>
          <w:i/>
          <w:iCs/>
          <w:snapToGrid w:val="0"/>
          <w:lang w:val="fr-FR"/>
        </w:rPr>
        <w:t>)</w:t>
      </w:r>
    </w:p>
    <w:p w14:paraId="0486A22E" w14:textId="4222ACC6" w:rsidR="00E562FE" w:rsidRPr="00CE7DE5" w:rsidRDefault="00E562FE" w:rsidP="00D50F9F">
      <w:pPr>
        <w:kinsoku w:val="0"/>
        <w:overflowPunct w:val="0"/>
        <w:autoSpaceDE w:val="0"/>
        <w:autoSpaceDN w:val="0"/>
        <w:spacing w:before="120" w:after="240"/>
        <w:jc w:val="center"/>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INTRODUCTION</w:t>
      </w:r>
    </w:p>
    <w:p w14:paraId="4C711839" w14:textId="15E6DE15" w:rsidR="00A42AB5" w:rsidRPr="00CE7DE5" w:rsidRDefault="00A42AB5" w:rsidP="00D50F9F">
      <w:pPr>
        <w:pStyle w:val="Titre2"/>
        <w:rPr>
          <w:lang w:val="fr-FR"/>
        </w:rPr>
      </w:pPr>
      <w:bookmarkStart w:id="0" w:name="_Hlk121908993"/>
      <w:r w:rsidRPr="00CE7DE5">
        <w:rPr>
          <w:lang w:val="fr-FR"/>
        </w:rPr>
        <w:t>A.</w:t>
      </w:r>
      <w:r w:rsidRPr="00CE7DE5">
        <w:rPr>
          <w:lang w:val="fr-FR"/>
        </w:rPr>
        <w:tab/>
      </w:r>
      <w:r w:rsidR="00532D54" w:rsidRPr="00CE7DE5">
        <w:rPr>
          <w:lang w:val="fr-FR"/>
        </w:rPr>
        <w:t>Contexte</w:t>
      </w:r>
    </w:p>
    <w:p w14:paraId="3F5B15CE" w14:textId="082FD144" w:rsidR="0092426A" w:rsidRPr="00CE7DE5" w:rsidRDefault="00532D54" w:rsidP="00D50F9F">
      <w:pPr>
        <w:pStyle w:val="Para1"/>
        <w:rPr>
          <w:lang w:val="fr-FR"/>
        </w:rPr>
      </w:pPr>
      <w:r w:rsidRPr="00CE7DE5">
        <w:rPr>
          <w:lang w:val="fr-FR"/>
        </w:rPr>
        <w:t>La Conférence des Parties siégeant en tant que Réunion des Parties au Protocole de Cartagena sur la prévention des risques biotechnologiques (le Protocole de Cartagena) a tenu sa dixième réunion à l'occasion de la quinzième réunion de la Conférence des Parties à la Convention sur la diversité biologique et de la quatrième réunion de la Conférence des Parties siégeant en tant que Réunion des Parties au Protocole de Nagoya sur l'accès aux ressources génétiques et le partage juste et équitable des avantages découlant de leur utilisation (le Protocole de Nagoya)</w:t>
      </w:r>
      <w:r w:rsidR="0092426A" w:rsidRPr="00CE7DE5">
        <w:rPr>
          <w:lang w:val="fr-FR"/>
        </w:rPr>
        <w:t xml:space="preserve">. </w:t>
      </w:r>
    </w:p>
    <w:p w14:paraId="43449A5C" w14:textId="77777777" w:rsidR="00D50F9F" w:rsidRDefault="00532D54" w:rsidP="00D50F9F">
      <w:pPr>
        <w:pStyle w:val="Para1"/>
        <w:overflowPunct w:val="0"/>
        <w:autoSpaceDE w:val="0"/>
        <w:autoSpaceDN w:val="0"/>
        <w:snapToGrid w:val="0"/>
        <w:spacing w:before="0"/>
        <w:rPr>
          <w:rFonts w:asciiTheme="majorBidi" w:hAnsiTheme="majorBidi" w:cstheme="majorBidi"/>
          <w:bCs/>
          <w:lang w:val="fr-FR"/>
        </w:rPr>
      </w:pPr>
      <w:r w:rsidRPr="00CE7DE5">
        <w:rPr>
          <w:lang w:val="fr-FR"/>
        </w:rPr>
        <w:t>En raison des circonstances entourant la pandémie de la maladie à coronavirus (COVID-19), la réunion s’est tenue en deux parties, la première partie (partie I) consistant en un débat de haut niveau tenu en ligne et comprenant une participation limitée en personne à Kunming (Chine), les 12 et 13 octobre 2021, et la seconde partie (partie II) tenue en personne à Montréal (Canada), du 7 au 19 décembre 2022. Le présent rapport rend compte des travaux de la deuxième partie de la réunion</w:t>
      </w:r>
      <w:r w:rsidRPr="003D308C">
        <w:rPr>
          <w:rStyle w:val="Appelnotedebasdep"/>
          <w:u w:val="none"/>
          <w:vertAlign w:val="superscript"/>
          <w:lang w:val="fr-FR"/>
        </w:rPr>
        <w:footnoteReference w:id="2"/>
      </w:r>
      <w:r w:rsidRPr="003D308C">
        <w:rPr>
          <w:lang w:val="fr-FR"/>
        </w:rPr>
        <w:t xml:space="preserve">. </w:t>
      </w:r>
    </w:p>
    <w:p w14:paraId="1D66159E" w14:textId="3F25FBDE" w:rsidR="0092426A" w:rsidRPr="00D50F9F" w:rsidRDefault="00532D54" w:rsidP="00D50F9F">
      <w:pPr>
        <w:pStyle w:val="Para1"/>
        <w:overflowPunct w:val="0"/>
        <w:autoSpaceDE w:val="0"/>
        <w:autoSpaceDN w:val="0"/>
        <w:snapToGrid w:val="0"/>
        <w:spacing w:before="0"/>
        <w:rPr>
          <w:rFonts w:asciiTheme="majorBidi" w:hAnsiTheme="majorBidi" w:cstheme="majorBidi"/>
          <w:bCs/>
          <w:lang w:val="fr-FR"/>
        </w:rPr>
      </w:pPr>
      <w:r w:rsidRPr="00D50F9F">
        <w:rPr>
          <w:lang w:val="fr-FR"/>
        </w:rPr>
        <w:t>La deuxième partie de la réunion a été précédée d’une cérémonie d’accueil par le chef traditionnel de la nation Onondaga, suivie de déclarations d’autres dignitaires et d’une présentation culturelle, le 6 décembre 2022</w:t>
      </w:r>
      <w:r w:rsidR="003D308C">
        <w:rPr>
          <w:lang w:val="fr-FR"/>
        </w:rPr>
        <w:t>.</w:t>
      </w:r>
    </w:p>
    <w:p w14:paraId="1F7F0B67" w14:textId="0EE43E2F" w:rsidR="003D39DE" w:rsidRPr="00CE7DE5" w:rsidRDefault="003D39DE" w:rsidP="00D50F9F">
      <w:pPr>
        <w:pStyle w:val="Titre2"/>
        <w:rPr>
          <w:lang w:val="fr-FR"/>
        </w:rPr>
      </w:pPr>
      <w:bookmarkStart w:id="1" w:name="_Hlk121909316"/>
      <w:bookmarkEnd w:id="0"/>
      <w:r w:rsidRPr="00CE7DE5">
        <w:rPr>
          <w:lang w:val="fr-FR"/>
        </w:rPr>
        <w:t xml:space="preserve">B. </w:t>
      </w:r>
      <w:r w:rsidRPr="00CE7DE5">
        <w:rPr>
          <w:lang w:val="fr-FR"/>
        </w:rPr>
        <w:tab/>
      </w:r>
      <w:r w:rsidR="00532D54" w:rsidRPr="00CE7DE5">
        <w:rPr>
          <w:lang w:val="fr-FR"/>
        </w:rPr>
        <w:t>Participation</w:t>
      </w:r>
    </w:p>
    <w:p w14:paraId="4256DB99" w14:textId="652F64C9" w:rsidR="00532D54" w:rsidRPr="00CE7DE5" w:rsidRDefault="00532D54" w:rsidP="00D50F9F">
      <w:pPr>
        <w:pStyle w:val="Para1"/>
        <w:rPr>
          <w:lang w:val="fr-FR"/>
        </w:rPr>
      </w:pPr>
      <w:r w:rsidRPr="00CE7DE5">
        <w:rPr>
          <w:lang w:val="fr-FR"/>
        </w:rPr>
        <w:t>Tous les États ont été invités à participer à la partie II de la réunion. Les Parties au Protocole de Cartagena suivantes étaient présentes : [</w:t>
      </w:r>
      <w:r w:rsidRPr="00CE7DE5">
        <w:rPr>
          <w:i/>
          <w:iCs/>
          <w:lang w:val="fr-FR"/>
        </w:rPr>
        <w:t>à compléter</w:t>
      </w:r>
      <w:r w:rsidRPr="00CE7DE5">
        <w:rPr>
          <w:lang w:val="fr-FR"/>
        </w:rPr>
        <w:t>].</w:t>
      </w:r>
    </w:p>
    <w:p w14:paraId="1BD2CD52" w14:textId="77777777" w:rsidR="00D50F9F" w:rsidRDefault="00532D54" w:rsidP="00D50F9F">
      <w:pPr>
        <w:pStyle w:val="Para1"/>
        <w:rPr>
          <w:lang w:val="fr-FR"/>
        </w:rPr>
      </w:pPr>
      <w:r w:rsidRPr="00CE7DE5">
        <w:rPr>
          <w:lang w:val="fr-FR"/>
        </w:rPr>
        <w:t>Les États suivants, non parties au Protocole de Cartagena, étaient également représentés : [</w:t>
      </w:r>
      <w:r w:rsidRPr="00CE7DE5">
        <w:rPr>
          <w:i/>
          <w:iCs/>
          <w:lang w:val="fr-FR"/>
        </w:rPr>
        <w:t>à compléter</w:t>
      </w:r>
      <w:r w:rsidRPr="00CE7DE5">
        <w:rPr>
          <w:lang w:val="fr-FR"/>
        </w:rPr>
        <w:t>].</w:t>
      </w:r>
    </w:p>
    <w:p w14:paraId="28695FED" w14:textId="528D8FCF" w:rsidR="003D39DE" w:rsidRPr="00D50F9F" w:rsidRDefault="00532D54" w:rsidP="00D50F9F">
      <w:pPr>
        <w:pStyle w:val="Para1"/>
        <w:rPr>
          <w:lang w:val="fr-FR"/>
        </w:rPr>
      </w:pPr>
      <w:r w:rsidRPr="00D50F9F">
        <w:rPr>
          <w:lang w:val="fr-FR"/>
        </w:rPr>
        <w:lastRenderedPageBreak/>
        <w:t>Pour tous les autres participants, voir l'annexe I du rapport de la Conférence des Parties sur sa quinzième réunion (CBD/COP/15/[ ]).</w:t>
      </w:r>
    </w:p>
    <w:bookmarkEnd w:id="1"/>
    <w:p w14:paraId="20322965" w14:textId="04B0F53B" w:rsidR="00BC629F" w:rsidRPr="00CE7DE5" w:rsidRDefault="00532D54" w:rsidP="00D50F9F">
      <w:pPr>
        <w:keepNext/>
        <w:kinsoku w:val="0"/>
        <w:overflowPunct w:val="0"/>
        <w:autoSpaceDE w:val="0"/>
        <w:autoSpaceDN w:val="0"/>
        <w:spacing w:before="240" w:after="120"/>
        <w:jc w:val="center"/>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Point</w:t>
      </w:r>
      <w:r w:rsidR="00BC629F" w:rsidRPr="00CE7DE5">
        <w:rPr>
          <w:rFonts w:asciiTheme="majorBidi" w:hAnsiTheme="majorBidi" w:cstheme="majorBidi"/>
          <w:b/>
          <w:bCs/>
          <w:caps/>
          <w:snapToGrid w:val="0"/>
          <w:kern w:val="22"/>
          <w:lang w:val="fr-FR"/>
        </w:rPr>
        <w:t xml:space="preserve"> 1.</w:t>
      </w:r>
      <w:r w:rsidR="00BC629F" w:rsidRPr="00CE7DE5">
        <w:rPr>
          <w:rFonts w:asciiTheme="majorBidi" w:hAnsiTheme="majorBidi" w:cstheme="majorBidi"/>
          <w:b/>
          <w:bCs/>
          <w:caps/>
          <w:snapToGrid w:val="0"/>
          <w:kern w:val="22"/>
          <w:lang w:val="fr-FR"/>
        </w:rPr>
        <w:tab/>
      </w:r>
      <w:r w:rsidRPr="00CE7DE5">
        <w:rPr>
          <w:rFonts w:asciiTheme="majorBidi" w:hAnsiTheme="majorBidi" w:cstheme="majorBidi"/>
          <w:b/>
          <w:bCs/>
          <w:caps/>
          <w:snapToGrid w:val="0"/>
          <w:kern w:val="22"/>
          <w:lang w:val="fr-FR"/>
        </w:rPr>
        <w:t>OUVERTURE DE LA RÉUNION</w:t>
      </w:r>
      <w:r w:rsidR="00BC629F" w:rsidRPr="00CE7DE5">
        <w:rPr>
          <w:rFonts w:asciiTheme="majorBidi" w:hAnsiTheme="majorBidi" w:cstheme="majorBidi"/>
          <w:b/>
          <w:bCs/>
          <w:caps/>
          <w:snapToGrid w:val="0"/>
          <w:kern w:val="22"/>
          <w:lang w:val="fr-FR"/>
        </w:rPr>
        <w:t xml:space="preserve"> </w:t>
      </w:r>
    </w:p>
    <w:p w14:paraId="6F3D5897" w14:textId="4BEFB818" w:rsidR="003D39DE"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bookmarkStart w:id="2" w:name="_Hlk121912763"/>
      <w:r w:rsidRPr="00CE7DE5">
        <w:rPr>
          <w:szCs w:val="22"/>
          <w:lang w:val="fr-FR"/>
        </w:rPr>
        <w:t xml:space="preserve">La dixième réunion de la Conférence des Parties siégeant en tant que Réunion des Parties au Protocole de Cartagena, partie II, a été déclarée ouverte le mercredi 7 décembre 2022 à 10 h 25 par Runqiu Huang, Ministre de l'écologie et de l'environnement de la Chine et Président de la Conférence des Parties à sa quinzième réunion, qui a également présidé la dixième réunion de la Conférence des Parties siégeant en tant que Réunion des Parties au Protocole de </w:t>
      </w:r>
      <w:r w:rsidR="00D50F9F" w:rsidRPr="00CE7DE5">
        <w:rPr>
          <w:szCs w:val="22"/>
          <w:lang w:val="fr-FR"/>
        </w:rPr>
        <w:t>Cartagena.</w:t>
      </w:r>
    </w:p>
    <w:p w14:paraId="4581D87C" w14:textId="77777777" w:rsidR="00532D54"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after="120"/>
        <w:rPr>
          <w:szCs w:val="22"/>
          <w:lang w:val="fr-FR"/>
        </w:rPr>
      </w:pPr>
      <w:r w:rsidRPr="00CE7DE5">
        <w:rPr>
          <w:szCs w:val="22"/>
          <w:lang w:val="fr-FR"/>
        </w:rPr>
        <w:t>Le président, ainsi que Inger Andersen, Directrice exécutive du Programme des Nations Unies pour l’environnement, Steven Guilbeault, ministre de l’Environnement et du Changement climatique du Canada, et Elisabeth Merma, Secrétaire exécutive de la Convention sur la diversité biologique, ont prononcé des discours d’ouverture.</w:t>
      </w:r>
    </w:p>
    <w:p w14:paraId="215AD428" w14:textId="77777777" w:rsidR="00532D54" w:rsidRPr="00CE7DE5" w:rsidRDefault="00532D54" w:rsidP="00D50F9F">
      <w:pPr>
        <w:pStyle w:val="Paragraphedeliste"/>
        <w:numPr>
          <w:ilvl w:val="0"/>
          <w:numId w:val="36"/>
        </w:numPr>
        <w:spacing w:after="120"/>
        <w:contextualSpacing w:val="0"/>
        <w:rPr>
          <w:lang w:val="fr-FR"/>
        </w:rPr>
      </w:pPr>
      <w:r w:rsidRPr="00CE7DE5">
        <w:rPr>
          <w:lang w:val="fr-FR"/>
        </w:rPr>
        <w:t>Dans sa déclaration, le président a déclaré que la partie actuelle de la réunion - pour laquelle la première partie avait jeté des bases solides - était l’occasion de passer de la disharmonie à l’harmonie, de mettre fin à l’orgie de destruction et de conclure un pacte de paix avec la nature dans le cadre de l’élaboration d’une stratégie de renforcement de la protection mondiale de la biodiversité. Dans ce contexte, il attend avec intérêt une démonstration de coopération internationale, de détermination politique, d’extrême bonne volonté, de souplesse, de compromis sur les questions clefs, et d’engagements positifs en faveur d’une augmentation continue du financement visant à promouvoir le processus de consultation. L’accent devrait être mis en priorité sur la résolution des difficultés et la recherche d’un consensus le plus large possible afin de parvenir à un document-cadre qui ferait date et écrirait un nouveau chapitre dans la gouvernance mondiale de la biodiversité.</w:t>
      </w:r>
    </w:p>
    <w:p w14:paraId="3489C478" w14:textId="422B6C3A" w:rsidR="00532D54" w:rsidRPr="00CE7DE5" w:rsidRDefault="00532D54" w:rsidP="00D50F9F">
      <w:pPr>
        <w:pStyle w:val="Paragraphedeliste"/>
        <w:numPr>
          <w:ilvl w:val="0"/>
          <w:numId w:val="36"/>
        </w:numPr>
        <w:spacing w:after="120"/>
        <w:contextualSpacing w:val="0"/>
        <w:rPr>
          <w:lang w:val="fr-FR"/>
        </w:rPr>
      </w:pPr>
      <w:r w:rsidRPr="00CE7DE5">
        <w:rPr>
          <w:lang w:val="fr-FR"/>
        </w:rPr>
        <w:t xml:space="preserve">Dans ses remarques, Mme Andersen a déclaré que la réunion devait garantir l’avenir du système de maintien de la vie sur Terre, en mettant en place un cadre mondial de la biodiversité pour l’après-2020 ambitieux, qui affronterait les cinq cavaliers de l’apocalypse naturelle, aborderait les facteurs sous-jacents de la perte de biodiversité, et reconnaîtrait et protégerait les droits des peuples autochtones et des communautés locales. Le cadre doit également être en adéquation avec l’Accord de Paris et d’autres instruments pertinents, être doté de ressources suffisantes et mis en </w:t>
      </w:r>
      <w:r w:rsidR="00D50F9F" w:rsidRPr="00CE7DE5">
        <w:rPr>
          <w:lang w:val="fr-FR"/>
        </w:rPr>
        <w:t>œuvre</w:t>
      </w:r>
      <w:r w:rsidRPr="00CE7DE5">
        <w:rPr>
          <w:lang w:val="fr-FR"/>
        </w:rPr>
        <w:t xml:space="preserve"> avec une plus grande transparence et une plus grande responsabilité en ce qui concerne les progrès. Il est toutefois essentiel d’accélérer le rythme des négociations, toutes les parties prenantes assumant leur responsabilité unique de décider d’un plan pour faire la paix avec la nature, en tant qu’essence irremplaçable de la vie. C’était un choix entre tout – au moyen du renforcement du réseau de la vie afin qu’il puisse porter tout le poids de l’humanité pour les siècles à venir - ou rien.</w:t>
      </w:r>
    </w:p>
    <w:p w14:paraId="24430371" w14:textId="77777777" w:rsidR="00532D54"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sidRPr="00CE7DE5">
        <w:rPr>
          <w:szCs w:val="22"/>
          <w:lang w:val="fr-FR"/>
        </w:rPr>
        <w:t>M. Guilbeault a souligné que le cadre mondial de la biodiversité pour l’après-2020 doit arrêter et inverser les facteurs à l’origine de l’effondrement rapide des écosystèmes et mettre la nature sur la voie du rétablissement. Il est essentiel que le cadre comprenne un engagement à conserver un minimum de 30 % des terres et des océans du monde d’ici à 2030. Les objectifs ambitieux doivent aller de pair avec des mesures concrètes : comme le Premier ministre Trudeau l’avait annoncé lors de la cérémonie d’ouverture la veille, le Canada a augmenté considérablement son aide aux pays en développement pour qu’ils prennent des mesures en matière de biodiversité. Le Gouvernement joue un rôle central, mais il doit travailler en étroite collaboration avec la société civile, le secteur privé, les fondations, les milieux universitaires, les citoyens et les peuples autochtones et les premières nations. Le cadre mondial de la biodiversité pour l’après-2020 doit nous unir dans nos efforts pour mettre un terme à l’érosion de la biodiversité et mettre le monde sur la voie d’une Vie en harmonie avec la nature d’ici à 2050.</w:t>
      </w:r>
    </w:p>
    <w:p w14:paraId="39E7C358" w14:textId="2CA40679" w:rsidR="00532D54"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sidRPr="00CE7DE5">
        <w:rPr>
          <w:szCs w:val="22"/>
          <w:lang w:val="fr-FR"/>
        </w:rPr>
        <w:t>Mme Mrema a remercié le Gouvernement chinois de son appui résolu au cadre mondial de la biodiversité pour l’après-2020. Elle a également remercié les nombreux pays donateurs et parties prenantes présents, dont la générosité avait permis la participation de représentants des pays en développement et des communautés autochtones. Elle a exhorté les participants à unir leurs voix individuelles en une seule voix et à élaborer un texte reflétant un consensus, un compromis et une ambition.</w:t>
      </w:r>
      <w:r w:rsidR="006C10D0">
        <w:rPr>
          <w:szCs w:val="22"/>
          <w:lang w:val="fr-FR"/>
        </w:rPr>
        <w:t xml:space="preserve"> </w:t>
      </w:r>
    </w:p>
    <w:p w14:paraId="0B3DD0C7" w14:textId="77777777" w:rsidR="00532D54"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sidRPr="00CE7DE5">
        <w:rPr>
          <w:snapToGrid w:val="0"/>
          <w:kern w:val="22"/>
          <w:szCs w:val="22"/>
          <w:lang w:val="fr-FR"/>
        </w:rPr>
        <w:lastRenderedPageBreak/>
        <w:t xml:space="preserve">À la première séance plénière de la deuxième partie de la réunion, le 7 décembre 2022, la Conférence des Parties a également entendu des déclarations générales des représentants de régions, de groupes de pays, de pays individuels, d’entités des Nations Unies et de grands groupes et d’autres parties prenantes. </w:t>
      </w:r>
    </w:p>
    <w:p w14:paraId="5D7F128C" w14:textId="77777777" w:rsidR="00532D54"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sidRPr="00CE7DE5">
        <w:rPr>
          <w:szCs w:val="22"/>
          <w:lang w:val="fr-FR"/>
        </w:rPr>
        <w:t>Des déclarations ont été faites par les représentants du Costa Rica, au nom des États d’Amérique latine et des Caraïbes o; des Palaos, au nom des États d’Asie et du Pacifique ; et du Sénégal, au nom des États d’Afrique.</w:t>
      </w:r>
    </w:p>
    <w:p w14:paraId="6EF75DCC" w14:textId="77777777" w:rsidR="00532D54"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sidRPr="00CE7DE5">
        <w:rPr>
          <w:szCs w:val="22"/>
          <w:lang w:val="fr-FR"/>
        </w:rPr>
        <w:t>Des déclarations ont été faites par les représentants d’Antigua-et-Barbuda, au nom des petits États insulaires en développement ; de l’Éthiopie, au nom du Groupe des pays hyperdivers animés du même esprit ; du Mexique, au nom de l'Australie, du Canada, de la Colombie, du Costa Rica, des États-Unis d'Amérique, du Gabon, du Japon, du Malawi, du Mexique, de Monaco, du Nigeria, de la Norvège, de la Nouvelle-Zélande, des Palaos, de la République de Corée, du Royaume-Uni de Grande-Bretagne et d'Irlande du Nord, de la Suisse, de l'Union européenne et de ses États membres, du Vanuatu et de la Zambie; de la Nouvelle-Zélande, également au nom de l’Australie, du Canada, des États-Unis, de l’Islande, du Japon, du Mexique, de la Norvège, de la Nouvelle-Zélande, de la République de Corée et de la Suisse; des Philippines, au nom des États membres de la Coalition de haute ambition pour la nature et les peuples et de l’Alliance mondiale pour les océans; et de l’Union européenne, également au nom de ses États membres.</w:t>
      </w:r>
    </w:p>
    <w:p w14:paraId="22D64C41" w14:textId="77777777" w:rsidR="00532D54"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sidRPr="00CE7DE5">
        <w:rPr>
          <w:szCs w:val="22"/>
          <w:lang w:val="fr-FR"/>
        </w:rPr>
        <w:t>Des déclarations ont été faites également par les représentants de l’Organisation des Nations Unies pour l’alimentation et l’agriculture et du secrétariat de la Convention sur la conservation des espèces migratrices appartenant à la faune sauvage, au nom du Groupe de liaison des conventions relatives à la biodiversité.</w:t>
      </w:r>
    </w:p>
    <w:p w14:paraId="123817E2" w14:textId="77777777" w:rsidR="00532D54"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sidRPr="00CE7DE5">
        <w:rPr>
          <w:szCs w:val="22"/>
          <w:lang w:val="fr-FR"/>
        </w:rPr>
        <w:t>Des déclarations ont été faites par les représentants du Comité consultatif sur les gouvernements infranationaux et la biodiversité (coordonné par Régions4 et le gouvernement du Québec), du Caucus des femmes de la CDB, du Réseau mondial des jeunes pour la biodiversité (GBYN) et du Forum international des autochtones sur la biodiversité (FIAB).</w:t>
      </w:r>
    </w:p>
    <w:p w14:paraId="0CF8EA68" w14:textId="77777777" w:rsidR="00532D54"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sidRPr="00CE7DE5">
        <w:rPr>
          <w:szCs w:val="22"/>
          <w:lang w:val="fr-FR"/>
        </w:rPr>
        <w:t>Le représentant de la Fédération de Russie a exercé son droit de réponse.</w:t>
      </w:r>
    </w:p>
    <w:p w14:paraId="44455F30" w14:textId="77777777" w:rsidR="00532D54"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sidRPr="00CE7DE5">
        <w:rPr>
          <w:szCs w:val="22"/>
          <w:lang w:val="fr-FR"/>
        </w:rPr>
        <w:t>À la deuxième séance plénière de la deuxième partie de la réunion, le 10 décembre, la Conférence des Parties a entendu d'autres déclarations des représentants d'une agence des Nations Unies et de grands groupes et d'autres parties prenantes.</w:t>
      </w:r>
    </w:p>
    <w:p w14:paraId="34619240" w14:textId="77777777" w:rsidR="00532D54" w:rsidRPr="00CE7DE5"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sidRPr="00CE7DE5">
        <w:rPr>
          <w:szCs w:val="22"/>
          <w:lang w:val="fr-FR"/>
        </w:rPr>
        <w:t xml:space="preserve">Un représentant du Haut-Commissariat des Nations Unies aux droits de l'homme a également fait une déclaration. </w:t>
      </w:r>
    </w:p>
    <w:p w14:paraId="3A0025BE" w14:textId="1E34649D" w:rsidR="003D39DE" w:rsidRPr="00D50F9F"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sidRPr="00D50F9F">
        <w:rPr>
          <w:szCs w:val="22"/>
          <w:lang w:val="fr-FR"/>
        </w:rPr>
        <w:t xml:space="preserve">Des déclarations ont été faites également par les représentants de BirdLife International, également </w:t>
      </w:r>
      <w:r w:rsidRPr="00CE7DE5">
        <w:rPr>
          <w:szCs w:val="22"/>
          <w:lang w:val="fr-FR"/>
        </w:rPr>
        <w:t>au nom de Conservation International, de Campaign for Nature, de Nature and Biodiversity Conservation Union, de Panthera, de la Royal Society for the Protection of Birds, de The Nature Conservancy, de la Wildlife Conservation Society, du Fonds mondial pour la nature et de la Zoological Society of London ; de la Business for Nature Coalition ; de la Finance for Biodiversity Foundation ; du Grantham Institute - Climate Change and Environment ; du Comité international de planification pour la souveraineté alimentaire ; et de l'Union internationale pour la conservation de la nature (UICN)</w:t>
      </w:r>
      <w:r w:rsidR="003D39DE" w:rsidRPr="00D50F9F">
        <w:rPr>
          <w:szCs w:val="22"/>
          <w:lang w:val="fr-FR"/>
        </w:rPr>
        <w:t xml:space="preserve">. </w:t>
      </w:r>
    </w:p>
    <w:p w14:paraId="32B4B8B3" w14:textId="2A871B27" w:rsidR="003D39DE" w:rsidRPr="00CE7DE5" w:rsidRDefault="00532D54" w:rsidP="00D50F9F">
      <w:pPr>
        <w:numPr>
          <w:ilvl w:val="0"/>
          <w:numId w:val="36"/>
        </w:numPr>
        <w:suppressLineNumbers/>
        <w:suppressAutoHyphens/>
        <w:kinsoku w:val="0"/>
        <w:overflowPunct w:val="0"/>
        <w:autoSpaceDE w:val="0"/>
        <w:autoSpaceDN w:val="0"/>
        <w:adjustRightInd w:val="0"/>
        <w:snapToGrid w:val="0"/>
        <w:spacing w:before="120" w:after="120"/>
        <w:rPr>
          <w:szCs w:val="22"/>
          <w:lang w:val="fr-FR"/>
        </w:rPr>
      </w:pPr>
      <w:r w:rsidRPr="00CE7DE5">
        <w:rPr>
          <w:szCs w:val="22"/>
          <w:lang w:val="fr-FR"/>
        </w:rPr>
        <w:t xml:space="preserve">Les déclarations, une fois soumises, peuvent être consultées à l'adresse </w:t>
      </w:r>
      <w:hyperlink r:id="rId15" w:history="1">
        <w:r w:rsidRPr="00CE7DE5">
          <w:rPr>
            <w:rStyle w:val="Lienhypertexte"/>
            <w:sz w:val="22"/>
            <w:szCs w:val="22"/>
            <w:lang w:val="fr-FR"/>
          </w:rPr>
          <w:t>https://www.cbd.int/meetings/COP-15</w:t>
        </w:r>
      </w:hyperlink>
      <w:r w:rsidRPr="00CE7DE5">
        <w:rPr>
          <w:szCs w:val="22"/>
          <w:lang w:val="fr-FR"/>
        </w:rPr>
        <w:t xml:space="preserve"> sous l'onglet </w:t>
      </w:r>
      <w:r w:rsidR="00D50F9F">
        <w:rPr>
          <w:szCs w:val="22"/>
          <w:lang w:val="fr-FR"/>
        </w:rPr>
        <w:t>« </w:t>
      </w:r>
      <w:r w:rsidRPr="00CE7DE5">
        <w:rPr>
          <w:szCs w:val="22"/>
          <w:lang w:val="fr-FR"/>
        </w:rPr>
        <w:t>Déclarations</w:t>
      </w:r>
      <w:r w:rsidR="00D50F9F">
        <w:rPr>
          <w:szCs w:val="22"/>
          <w:lang w:val="fr-FR"/>
        </w:rPr>
        <w:t> »</w:t>
      </w:r>
      <w:r w:rsidRPr="00CE7DE5">
        <w:rPr>
          <w:szCs w:val="22"/>
          <w:lang w:val="fr-FR"/>
        </w:rPr>
        <w:t>.</w:t>
      </w:r>
    </w:p>
    <w:bookmarkEnd w:id="2"/>
    <w:p w14:paraId="5572CB05" w14:textId="0A85CCC3" w:rsidR="00D623E5" w:rsidRPr="00CE7DE5" w:rsidRDefault="00532D54" w:rsidP="00D50F9F">
      <w:pPr>
        <w:kinsoku w:val="0"/>
        <w:overflowPunct w:val="0"/>
        <w:autoSpaceDE w:val="0"/>
        <w:autoSpaceDN w:val="0"/>
        <w:spacing w:before="120" w:after="240"/>
        <w:jc w:val="center"/>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Point</w:t>
      </w:r>
      <w:r w:rsidR="00BC629F" w:rsidRPr="00CE7DE5">
        <w:rPr>
          <w:rFonts w:asciiTheme="majorBidi" w:hAnsiTheme="majorBidi" w:cstheme="majorBidi"/>
          <w:b/>
          <w:bCs/>
          <w:caps/>
          <w:snapToGrid w:val="0"/>
          <w:kern w:val="22"/>
          <w:lang w:val="fr-FR"/>
        </w:rPr>
        <w:t xml:space="preserve"> 2</w:t>
      </w:r>
      <w:r w:rsidR="009311E6" w:rsidRPr="00CE7DE5">
        <w:rPr>
          <w:rFonts w:asciiTheme="majorBidi" w:hAnsiTheme="majorBidi" w:cstheme="majorBidi"/>
          <w:b/>
          <w:bCs/>
          <w:caps/>
          <w:lang w:val="fr-FR"/>
        </w:rPr>
        <w:t>.</w:t>
      </w:r>
      <w:r w:rsidR="00BC629F" w:rsidRPr="00CE7DE5">
        <w:rPr>
          <w:rFonts w:asciiTheme="majorBidi" w:hAnsiTheme="majorBidi" w:cstheme="majorBidi"/>
          <w:b/>
          <w:bCs/>
          <w:caps/>
          <w:snapToGrid w:val="0"/>
          <w:kern w:val="22"/>
          <w:lang w:val="fr-FR"/>
        </w:rPr>
        <w:tab/>
      </w:r>
      <w:r w:rsidRPr="00CE7DE5">
        <w:rPr>
          <w:rFonts w:asciiTheme="majorBidi" w:hAnsiTheme="majorBidi" w:cstheme="majorBidi"/>
          <w:b/>
          <w:bCs/>
          <w:caps/>
          <w:snapToGrid w:val="0"/>
          <w:kern w:val="22"/>
          <w:lang w:val="fr-FR"/>
        </w:rPr>
        <w:t>QUESTIONS D’ORGANISATION</w:t>
      </w:r>
    </w:p>
    <w:p w14:paraId="112ABD45" w14:textId="6D4D3171" w:rsidR="00502D1D" w:rsidRPr="00CE7DE5" w:rsidRDefault="00502D1D" w:rsidP="00D50F9F">
      <w:pPr>
        <w:pStyle w:val="Titre2"/>
        <w:rPr>
          <w:lang w:val="fr-FR"/>
        </w:rPr>
      </w:pPr>
      <w:bookmarkStart w:id="3" w:name="_Hlk121913481"/>
      <w:r w:rsidRPr="00CE7DE5">
        <w:rPr>
          <w:lang w:val="fr-FR"/>
        </w:rPr>
        <w:t>A.</w:t>
      </w:r>
      <w:r w:rsidRPr="00CE7DE5">
        <w:rPr>
          <w:lang w:val="fr-FR"/>
        </w:rPr>
        <w:tab/>
      </w:r>
      <w:r w:rsidR="00532D54" w:rsidRPr="00CE7DE5">
        <w:rPr>
          <w:lang w:val="fr-FR"/>
        </w:rPr>
        <w:t>Élection du Bureau</w:t>
      </w:r>
    </w:p>
    <w:p w14:paraId="4365ED06" w14:textId="77777777" w:rsidR="00D50F9F"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CE7DE5">
        <w:rPr>
          <w:iCs/>
          <w:color w:val="000000"/>
          <w:kern w:val="22"/>
          <w:lang w:val="fr-FR"/>
        </w:rPr>
        <w:t>En application du paragraphe 3 de l'article 29 du Protocole, le Bureau de la Conférence des Parties à la Convention a également fait office de Bureau de la Réunion des Parties au Protocole de Cartagena</w:t>
      </w:r>
      <w:r w:rsidR="00C747FD" w:rsidRPr="00CE7DE5">
        <w:rPr>
          <w:iCs/>
          <w:color w:val="000000"/>
          <w:kern w:val="22"/>
          <w:lang w:val="fr-FR"/>
        </w:rPr>
        <w:t xml:space="preserve">. </w:t>
      </w:r>
    </w:p>
    <w:p w14:paraId="2FABB8CA" w14:textId="4B136DBE" w:rsidR="00502D1D" w:rsidRPr="00D50F9F" w:rsidRDefault="00532D54"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D50F9F">
        <w:rPr>
          <w:kern w:val="22"/>
          <w:szCs w:val="22"/>
          <w:lang w:val="fr-FR"/>
        </w:rPr>
        <w:t xml:space="preserve">À la première séance plénière de la deuxième partie de la réunion, le 7 décembre, la Conférence des Parties siégeant en tant que réunion des Parties a pris note du fait que le président, les vice-présidents </w:t>
      </w:r>
      <w:r w:rsidRPr="00D50F9F">
        <w:rPr>
          <w:kern w:val="22"/>
          <w:szCs w:val="22"/>
          <w:lang w:val="fr-FR"/>
        </w:rPr>
        <w:lastRenderedPageBreak/>
        <w:t>et le rapporteur qui avaient siégé à la première partie de la réunion continueraient de s’acquitter de leurs fonctions, à l’exception de deux des vice-présidents, qui ont depuis été remplacés</w:t>
      </w:r>
      <w:r w:rsidRPr="00CE4A98">
        <w:rPr>
          <w:rStyle w:val="Appelnotedebasdep"/>
          <w:rFonts w:asciiTheme="majorBidi" w:hAnsiTheme="majorBidi" w:cstheme="majorBidi"/>
          <w:szCs w:val="22"/>
          <w:u w:val="none"/>
          <w:vertAlign w:val="superscript"/>
          <w:lang w:val="fr-FR"/>
        </w:rPr>
        <w:footnoteReference w:id="3"/>
      </w:r>
      <w:r w:rsidRPr="00CE4A98">
        <w:rPr>
          <w:kern w:val="22"/>
          <w:szCs w:val="22"/>
          <w:lang w:val="fr-FR"/>
        </w:rPr>
        <w:t>.</w:t>
      </w:r>
    </w:p>
    <w:bookmarkEnd w:id="3"/>
    <w:p w14:paraId="3E307A6A" w14:textId="2C2B4E23" w:rsidR="00575F20" w:rsidRPr="00CE7DE5" w:rsidRDefault="00575F20"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color w:val="000000"/>
          <w:lang w:val="fr-FR"/>
        </w:rPr>
        <w:t>]</w:t>
      </w:r>
    </w:p>
    <w:p w14:paraId="0B4AF43E" w14:textId="718F77BC" w:rsidR="00BC629F" w:rsidRPr="00CE7DE5" w:rsidRDefault="00C52438" w:rsidP="00D50F9F">
      <w:pPr>
        <w:pStyle w:val="Titre2"/>
        <w:rPr>
          <w:szCs w:val="22"/>
          <w:lang w:val="fr-FR"/>
        </w:rPr>
      </w:pPr>
      <w:r w:rsidRPr="00CE7DE5">
        <w:rPr>
          <w:lang w:val="fr-FR"/>
        </w:rPr>
        <w:t>B.</w:t>
      </w:r>
      <w:r w:rsidRPr="00CE7DE5">
        <w:rPr>
          <w:lang w:val="fr-FR"/>
        </w:rPr>
        <w:tab/>
      </w:r>
      <w:r w:rsidR="00532D54" w:rsidRPr="00CE7DE5">
        <w:rPr>
          <w:lang w:val="fr-FR"/>
        </w:rPr>
        <w:t>Adoption de l’ordre du jour</w:t>
      </w:r>
    </w:p>
    <w:p w14:paraId="5D85F08A" w14:textId="6AA6A080" w:rsidR="00142CEE" w:rsidRPr="00CE7DE5" w:rsidRDefault="00532D54" w:rsidP="00D50F9F">
      <w:pPr>
        <w:pStyle w:val="Para1"/>
        <w:rPr>
          <w:rFonts w:asciiTheme="majorBidi" w:eastAsiaTheme="minorEastAsia" w:hAnsiTheme="majorBidi" w:cstheme="majorBidi"/>
          <w:color w:val="000000" w:themeColor="text1"/>
          <w:lang w:val="fr-FR"/>
        </w:rPr>
      </w:pPr>
      <w:bookmarkStart w:id="4" w:name="_Hlk121915715"/>
      <w:r w:rsidRPr="00CE7DE5">
        <w:rPr>
          <w:lang w:val="fr-FR"/>
        </w:rPr>
        <w:t xml:space="preserve">L'ordre du jour de la dixième réunion de la Conférence des Parties siégeant en tant que Réunion des Parties, tel qu'adopté pendant la première partie de la réunion, était le suivant </w:t>
      </w:r>
      <w:r w:rsidR="007F0EAC" w:rsidRPr="00CE7DE5">
        <w:rPr>
          <w:lang w:val="fr-FR"/>
        </w:rPr>
        <w:t>:</w:t>
      </w:r>
    </w:p>
    <w:p w14:paraId="6CA23C31"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szCs w:val="22"/>
          <w:lang w:val="fr-FR"/>
        </w:rPr>
        <w:t>Ouverture de la réunion.</w:t>
      </w:r>
    </w:p>
    <w:p w14:paraId="26EC21E8"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szCs w:val="22"/>
          <w:lang w:val="fr-FR"/>
        </w:rPr>
        <w:t>Questions d’organisation.</w:t>
      </w:r>
    </w:p>
    <w:p w14:paraId="4BDD8FBB"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szCs w:val="22"/>
          <w:lang w:val="fr-FR"/>
        </w:rPr>
        <w:t>Rapport sur les pouvoirs des représentants à la dixième réunion de la Conférence des Parties siégeant en tant que réunion des Parties au Protocole de Cartagena.</w:t>
      </w:r>
    </w:p>
    <w:p w14:paraId="0DDFD998"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szCs w:val="22"/>
          <w:lang w:val="fr-FR"/>
        </w:rPr>
        <w:t>Rapports des organes subsidiaires.</w:t>
      </w:r>
    </w:p>
    <w:p w14:paraId="5FAB5BD5"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lang w:val="fr-FR"/>
        </w:rPr>
        <w:t>Rapport du Comité d’examen du respect des dispositions</w:t>
      </w:r>
      <w:r w:rsidRPr="00CE7DE5">
        <w:rPr>
          <w:bCs/>
          <w:snapToGrid w:val="0"/>
          <w:kern w:val="22"/>
          <w:szCs w:val="22"/>
          <w:lang w:val="fr-FR"/>
        </w:rPr>
        <w:t>.</w:t>
      </w:r>
    </w:p>
    <w:p w14:paraId="4BEEDC62"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szCs w:val="22"/>
          <w:lang w:val="fr-FR"/>
        </w:rPr>
        <w:t>Administration du Protocole et budget des Fonds d’affectation spéciale.</w:t>
      </w:r>
    </w:p>
    <w:p w14:paraId="25898BEC"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szCs w:val="22"/>
          <w:lang w:val="fr-FR"/>
        </w:rPr>
        <w:t>Plan de mise en œuvre et plan d'action de renforcement des capacités du Protocole de Cartagena.</w:t>
      </w:r>
    </w:p>
    <w:p w14:paraId="28C99AED"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snapToGrid w:val="0"/>
          <w:kern w:val="22"/>
          <w:szCs w:val="22"/>
          <w:lang w:val="fr-FR"/>
        </w:rPr>
        <w:t>Suivi et établissement des rapports</w:t>
      </w:r>
      <w:r w:rsidRPr="00CE7DE5">
        <w:rPr>
          <w:bCs/>
          <w:snapToGrid w:val="0"/>
          <w:kern w:val="22"/>
          <w:szCs w:val="22"/>
          <w:lang w:val="fr-FR"/>
        </w:rPr>
        <w:t xml:space="preserve"> (article 33).</w:t>
      </w:r>
    </w:p>
    <w:p w14:paraId="594946CB"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snapToGrid w:val="0"/>
          <w:kern w:val="22"/>
          <w:szCs w:val="22"/>
          <w:lang w:val="fr-FR"/>
        </w:rPr>
        <w:t xml:space="preserve">Évaluation et examen de l’efficacité du </w:t>
      </w:r>
      <w:r w:rsidRPr="00CE7DE5">
        <w:rPr>
          <w:snapToGrid w:val="0"/>
          <w:kern w:val="22"/>
          <w:lang w:val="fr-FR"/>
        </w:rPr>
        <w:t>Protocole (article 35)</w:t>
      </w:r>
      <w:r w:rsidRPr="00CE7DE5">
        <w:rPr>
          <w:bCs/>
          <w:snapToGrid w:val="0"/>
          <w:kern w:val="22"/>
          <w:szCs w:val="22"/>
          <w:lang w:val="fr-FR"/>
        </w:rPr>
        <w:t xml:space="preserve"> et évaluation finale du Plan stratégique relatif au Protocole de Cartagena pour la période 2011-2020.</w:t>
      </w:r>
    </w:p>
    <w:p w14:paraId="6B2DCBA3"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lang w:val="fr-FR"/>
        </w:rPr>
        <w:t>Questions relatives au mécanisme de financement et aux ressources financières</w:t>
      </w:r>
      <w:r w:rsidRPr="00CE7DE5">
        <w:rPr>
          <w:snapToGrid w:val="0"/>
          <w:kern w:val="22"/>
          <w:szCs w:val="22"/>
          <w:lang w:val="fr-FR"/>
        </w:rPr>
        <w:t xml:space="preserve"> (article 28)</w:t>
      </w:r>
      <w:r w:rsidRPr="00CE7DE5">
        <w:rPr>
          <w:bCs/>
          <w:snapToGrid w:val="0"/>
          <w:kern w:val="22"/>
          <w:szCs w:val="22"/>
          <w:lang w:val="fr-FR"/>
        </w:rPr>
        <w:t>.</w:t>
      </w:r>
    </w:p>
    <w:p w14:paraId="56EA09A6"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snapToGrid w:val="0"/>
          <w:kern w:val="22"/>
          <w:szCs w:val="22"/>
          <w:lang w:val="fr-FR"/>
        </w:rPr>
        <w:t>Fonctionnement et activités du Centre d’échange pour la prévention des risques biotechnologiques (article 20)</w:t>
      </w:r>
      <w:r w:rsidRPr="00CE7DE5">
        <w:rPr>
          <w:bCs/>
          <w:snapToGrid w:val="0"/>
          <w:kern w:val="22"/>
          <w:szCs w:val="22"/>
          <w:lang w:val="fr-FR"/>
        </w:rPr>
        <w:t>.</w:t>
      </w:r>
    </w:p>
    <w:p w14:paraId="6B81129F"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lang w:val="fr-FR"/>
        </w:rPr>
        <w:t>Coopération avec d’autres organisations, conventions et initiatives</w:t>
      </w:r>
      <w:r w:rsidRPr="00CE7DE5">
        <w:rPr>
          <w:bCs/>
          <w:snapToGrid w:val="0"/>
          <w:kern w:val="22"/>
          <w:szCs w:val="22"/>
          <w:lang w:val="fr-FR"/>
        </w:rPr>
        <w:t>.</w:t>
      </w:r>
    </w:p>
    <w:p w14:paraId="51B45E7D"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snapToGrid w:val="0"/>
          <w:kern w:val="22"/>
          <w:szCs w:val="22"/>
          <w:lang w:val="fr-FR"/>
        </w:rPr>
        <w:t>Examen de l’efficacité des structures et des processus au titre de la Convention et de ses Protocoles</w:t>
      </w:r>
      <w:r w:rsidRPr="00CE7DE5">
        <w:rPr>
          <w:bCs/>
          <w:snapToGrid w:val="0"/>
          <w:kern w:val="22"/>
          <w:szCs w:val="22"/>
          <w:lang w:val="fr-FR"/>
        </w:rPr>
        <w:t>.</w:t>
      </w:r>
    </w:p>
    <w:p w14:paraId="0F99BDA6"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lang w:val="fr-FR"/>
        </w:rPr>
        <w:t>Évaluation des risques et gestion des risques</w:t>
      </w:r>
      <w:r w:rsidRPr="00CE7DE5">
        <w:rPr>
          <w:snapToGrid w:val="0"/>
          <w:kern w:val="22"/>
          <w:szCs w:val="22"/>
          <w:lang w:val="fr-FR"/>
        </w:rPr>
        <w:t xml:space="preserve"> (articles 15 et 16)</w:t>
      </w:r>
      <w:r w:rsidRPr="00CE7DE5">
        <w:rPr>
          <w:bCs/>
          <w:snapToGrid w:val="0"/>
          <w:kern w:val="22"/>
          <w:szCs w:val="22"/>
          <w:lang w:val="fr-FR"/>
        </w:rPr>
        <w:t>.</w:t>
      </w:r>
    </w:p>
    <w:p w14:paraId="180D53C9"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szCs w:val="22"/>
          <w:lang w:val="fr-FR"/>
        </w:rPr>
        <w:t>Détection et identification d'organismes vivants modifiés.</w:t>
      </w:r>
    </w:p>
    <w:p w14:paraId="52540EA0"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szCs w:val="22"/>
          <w:lang w:val="fr-FR"/>
        </w:rPr>
        <w:t>Considérations socio-économiques (article 26).</w:t>
      </w:r>
    </w:p>
    <w:p w14:paraId="7DC1EA56"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szCs w:val="22"/>
          <w:lang w:val="fr-FR"/>
        </w:rPr>
        <w:t>Protocole additionnel de Nagoya – Kuala Lumpur sur la responsabilité et la réparation.</w:t>
      </w:r>
    </w:p>
    <w:p w14:paraId="1347D9C2" w14:textId="77777777"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szCs w:val="22"/>
          <w:lang w:val="fr-FR"/>
        </w:rPr>
        <w:t>Questions diverses.</w:t>
      </w:r>
    </w:p>
    <w:p w14:paraId="4679AC56" w14:textId="234B1D16"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kern w:val="22"/>
          <w:szCs w:val="22"/>
          <w:lang w:val="fr-FR"/>
        </w:rPr>
        <w:t>Adoption du rapport.</w:t>
      </w:r>
    </w:p>
    <w:p w14:paraId="156831C8" w14:textId="6AFDC8DB" w:rsidR="00D105FC" w:rsidRPr="00CE7DE5" w:rsidRDefault="00D105FC" w:rsidP="00D50F9F">
      <w:pPr>
        <w:pStyle w:val="bodytextnoindent"/>
        <w:numPr>
          <w:ilvl w:val="0"/>
          <w:numId w:val="14"/>
        </w:numPr>
        <w:tabs>
          <w:tab w:val="clear" w:pos="720"/>
        </w:tabs>
        <w:kinsoku w:val="0"/>
        <w:overflowPunct w:val="0"/>
        <w:autoSpaceDE w:val="0"/>
        <w:autoSpaceDN w:val="0"/>
        <w:spacing w:before="120" w:after="120"/>
        <w:ind w:left="1134" w:hanging="708"/>
        <w:jc w:val="left"/>
        <w:rPr>
          <w:bCs/>
          <w:snapToGrid w:val="0"/>
          <w:kern w:val="22"/>
          <w:szCs w:val="22"/>
          <w:lang w:val="fr-FR"/>
        </w:rPr>
      </w:pPr>
      <w:r w:rsidRPr="00CE7DE5">
        <w:rPr>
          <w:bCs/>
          <w:snapToGrid w:val="0"/>
          <w:lang w:val="fr-FR"/>
        </w:rPr>
        <w:t>Clôture de la réunion</w:t>
      </w:r>
      <w:r w:rsidR="0031327F">
        <w:rPr>
          <w:bCs/>
          <w:snapToGrid w:val="0"/>
          <w:lang w:val="fr-FR"/>
        </w:rPr>
        <w:t>.</w:t>
      </w:r>
    </w:p>
    <w:bookmarkEnd w:id="4"/>
    <w:p w14:paraId="744E9C18" w14:textId="48066D74" w:rsidR="00BC629F" w:rsidRPr="00CE7DE5" w:rsidRDefault="00C52438" w:rsidP="00D50F9F">
      <w:pPr>
        <w:pStyle w:val="Titre2"/>
        <w:rPr>
          <w:lang w:val="fr-FR"/>
        </w:rPr>
      </w:pPr>
      <w:r w:rsidRPr="00CE7DE5">
        <w:rPr>
          <w:lang w:val="fr-FR"/>
        </w:rPr>
        <w:t>C.</w:t>
      </w:r>
      <w:r w:rsidRPr="00CE7DE5">
        <w:rPr>
          <w:lang w:val="fr-FR"/>
        </w:rPr>
        <w:tab/>
      </w:r>
      <w:r w:rsidR="00617788" w:rsidRPr="00CE7DE5">
        <w:rPr>
          <w:lang w:val="fr-FR"/>
        </w:rPr>
        <w:t>Organisation des travaux</w:t>
      </w:r>
    </w:p>
    <w:p w14:paraId="13C551E0" w14:textId="77777777" w:rsidR="00617788" w:rsidRPr="00CE7DE5" w:rsidRDefault="00617788"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CE7DE5">
        <w:rPr>
          <w:szCs w:val="22"/>
          <w:lang w:val="fr-FR"/>
        </w:rPr>
        <w:t xml:space="preserve">À la première séance plénière de la deuxième partie de la réunion, le 7 décembre, la Conférence des Parties a examiné une note de la Secrétaire exécutive sur le projet d’organisation des travaux </w:t>
      </w:r>
      <w:r w:rsidRPr="0031327F">
        <w:rPr>
          <w:szCs w:val="22"/>
          <w:lang w:val="fr-FR"/>
        </w:rPr>
        <w:t xml:space="preserve">(CBD/COP/15/1/Add.4/Rev.1-CBD/CP/MOP/10/1/Add.4/Rev.1-CBD/NP/MOP/4/1/Add.4/Rev.1) </w:t>
      </w:r>
      <w:r w:rsidRPr="00CE7DE5">
        <w:rPr>
          <w:szCs w:val="22"/>
          <w:lang w:val="fr-FR"/>
        </w:rPr>
        <w:t>et a décidé d’organiser ses travaux comme indiqué dans cette note</w:t>
      </w:r>
      <w:r w:rsidRPr="00CE7DE5">
        <w:rPr>
          <w:bCs/>
          <w:szCs w:val="22"/>
          <w:lang w:val="fr-FR"/>
        </w:rPr>
        <w:t xml:space="preserve">. En conséquence, la Conférence des Parties </w:t>
      </w:r>
      <w:r w:rsidRPr="00CE7DE5">
        <w:rPr>
          <w:bCs/>
          <w:szCs w:val="22"/>
          <w:lang w:val="fr-FR"/>
        </w:rPr>
        <w:lastRenderedPageBreak/>
        <w:t>a créé deux groupes de travail et a élu Rosemary Paterson (Nouvelle-Zélande) à la présidence du Groupe de travail I et Helena Jefferey-Brown (Antigua-et-Barbuda) à la présidence du Groupe de travail II.</w:t>
      </w:r>
    </w:p>
    <w:p w14:paraId="13E2C1F7" w14:textId="77777777" w:rsidR="00617788" w:rsidRPr="00CE7DE5" w:rsidRDefault="00617788" w:rsidP="00D50F9F">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CE7DE5">
        <w:rPr>
          <w:lang w:val="fr-FR"/>
        </w:rPr>
        <w:t>Le 10 décembre, au cours de sa deuxième séance plénière, qui a été en partie une séance de bilan, la Conférence des Parties a entendu les rapports des présidents des groupes de travail et du groupe de contact sur le budget créé au titre du point 7 sur les progrès accomplis à ce jour.</w:t>
      </w:r>
    </w:p>
    <w:p w14:paraId="7D37CE0F" w14:textId="77777777" w:rsidR="00617788" w:rsidRPr="00CE7DE5" w:rsidRDefault="00617788" w:rsidP="00D50F9F">
      <w:pPr>
        <w:pStyle w:val="Para1"/>
        <w:overflowPunct w:val="0"/>
        <w:autoSpaceDE w:val="0"/>
        <w:autoSpaceDN w:val="0"/>
        <w:snapToGrid w:val="0"/>
        <w:spacing w:before="0"/>
        <w:rPr>
          <w:lang w:val="fr-FR"/>
        </w:rPr>
      </w:pPr>
      <w:r w:rsidRPr="00CE7DE5">
        <w:rPr>
          <w:lang w:val="fr-FR"/>
        </w:rPr>
        <w:t xml:space="preserve">Des déclarations ont été faites par les représentants de l'Argentine, au nom des États d'Amérique latine et des Caraïbes ; de la Nouvelle-Zélande, également au nom de l'Australie, du Canada, des États-Unis, de l'Islande, d'Israël, de Monaco, de la Norvège, de la République de Corée, de la Suisse et du Royaume-Uni ; et de l'Union européenne, également au nom de ses États membres. </w:t>
      </w:r>
    </w:p>
    <w:p w14:paraId="60E91187" w14:textId="77777777" w:rsidR="00617788" w:rsidRPr="00CE7DE5" w:rsidRDefault="00617788" w:rsidP="00D50F9F">
      <w:pPr>
        <w:pStyle w:val="Para1"/>
        <w:overflowPunct w:val="0"/>
        <w:autoSpaceDE w:val="0"/>
        <w:autoSpaceDN w:val="0"/>
        <w:snapToGrid w:val="0"/>
        <w:spacing w:before="0"/>
        <w:rPr>
          <w:lang w:val="fr-FR"/>
        </w:rPr>
      </w:pPr>
      <w:r w:rsidRPr="00CE7DE5">
        <w:rPr>
          <w:lang w:val="fr-FR"/>
        </w:rPr>
        <w:t>Lors du débat de haut niveau de la réunion, à la séance plénière d'ouverture, le 15 décembre, le président a informé les participants à la réunion qu'il avait mis en place un processus de consultations ministérielles pour le cadre mondial de la biodiversité pour l’après-2020 et qu'il avait invité six ministres à diriger les consultations sur les questions non résolues qui pourraient bénéficier d'une orientation politique. Ainsi, Jochen Flashbarth (Allemagne) et Jeanne d'Arc Mujawamariya (Rwanda) dirigeraient les consultations sur la mobilisation des ressources ; Espen Barth Eide (Norvège) et Maisa Rojas (Chili) dirigeraient les consultations sur l’information de séquençage numérique ; et Yasmine Fouad (Égypte) et Steven Gilbeault (Canada) dirigeraient les consultations sur les principaux éléments non résolus du cadre mondial de la biodiversité pour l’après-2020.</w:t>
      </w:r>
    </w:p>
    <w:p w14:paraId="68526073" w14:textId="77777777" w:rsidR="00617788" w:rsidRPr="00CE7DE5" w:rsidRDefault="00617788" w:rsidP="00D50F9F">
      <w:pPr>
        <w:pStyle w:val="Para1"/>
        <w:overflowPunct w:val="0"/>
        <w:autoSpaceDE w:val="0"/>
        <w:autoSpaceDN w:val="0"/>
        <w:snapToGrid w:val="0"/>
        <w:spacing w:before="0"/>
        <w:rPr>
          <w:lang w:val="fr-FR"/>
        </w:rPr>
      </w:pPr>
      <w:r w:rsidRPr="00CE7DE5">
        <w:rPr>
          <w:lang w:val="fr-FR"/>
        </w:rPr>
        <w:t xml:space="preserve">Le 17 décembre, à la troisième séance plénière, qui a fait office de deuxième séance de bilan, la Conférence des Parties a entendu les rapports des présidents des groupes de travail et du groupe de contact sur le budget établi au titre du point 7 sur les progrès réalisés à ce jour. </w:t>
      </w:r>
    </w:p>
    <w:p w14:paraId="3B4B1802" w14:textId="77777777" w:rsidR="00617788" w:rsidRPr="00CE7DE5" w:rsidRDefault="00617788" w:rsidP="00D50F9F">
      <w:pPr>
        <w:pStyle w:val="Para1"/>
        <w:overflowPunct w:val="0"/>
        <w:autoSpaceDE w:val="0"/>
        <w:autoSpaceDN w:val="0"/>
        <w:snapToGrid w:val="0"/>
        <w:spacing w:before="0"/>
        <w:rPr>
          <w:lang w:val="fr-FR"/>
        </w:rPr>
      </w:pPr>
      <w:r w:rsidRPr="00CE7DE5">
        <w:rPr>
          <w:lang w:val="fr-FR"/>
        </w:rPr>
        <w:t>Le Groupe de travail a également entendu les rapports des ministres qui ont mené les consultations ministérielles dans le cadre du processus établi par le président lors du débat de haut niveau.</w:t>
      </w:r>
    </w:p>
    <w:p w14:paraId="5BF4B521" w14:textId="77777777" w:rsidR="00D50F9F" w:rsidRDefault="00617788" w:rsidP="00D50F9F">
      <w:pPr>
        <w:pStyle w:val="Para1"/>
        <w:overflowPunct w:val="0"/>
        <w:autoSpaceDE w:val="0"/>
        <w:autoSpaceDN w:val="0"/>
        <w:snapToGrid w:val="0"/>
        <w:spacing w:before="0"/>
        <w:rPr>
          <w:lang w:val="fr-FR"/>
        </w:rPr>
      </w:pPr>
      <w:r w:rsidRPr="00CE7DE5">
        <w:rPr>
          <w:lang w:val="fr-FR"/>
        </w:rPr>
        <w:t xml:space="preserve">Des déclarations ont été faites par les représentants des pays suivants : Afrique du Sud, Antigua-et-Barbuda (au nom des petits États insulaires en développement), Argentine, Australie, Bolivie (État plurinational de), Brésil, Canada, Chili (également au nom de la Colombie, du Costa Rica, du Mexique et du Pérou), Colombie, Costa Rica, Inde, Indonésie, Iran (République islamique d’), Japon, Micronésie (États fédérés de), Nigeria, Norvège, Nouvelle-Zélande, Royaume Uni, Sainte-Lucie, Sénégal (au nom des États africains), Suisse et Union européenne et ses 27 États membres. </w:t>
      </w:r>
    </w:p>
    <w:p w14:paraId="014B46F6" w14:textId="712A54CF" w:rsidR="00281815" w:rsidRPr="00D50F9F" w:rsidRDefault="00617788" w:rsidP="00D50F9F">
      <w:pPr>
        <w:pStyle w:val="Para1"/>
        <w:overflowPunct w:val="0"/>
        <w:autoSpaceDE w:val="0"/>
        <w:autoSpaceDN w:val="0"/>
        <w:snapToGrid w:val="0"/>
        <w:spacing w:before="0"/>
        <w:rPr>
          <w:lang w:val="fr-FR"/>
        </w:rPr>
      </w:pPr>
      <w:r w:rsidRPr="00D50F9F">
        <w:rPr>
          <w:lang w:val="fr-FR"/>
        </w:rPr>
        <w:t>Des déclarations ont également été faites par les représentants de CBD Alliance, du Caucus des femmes de la CDB, du FIAB et de l’UICN</w:t>
      </w:r>
      <w:r w:rsidR="0031327F">
        <w:rPr>
          <w:lang w:val="fr-FR"/>
        </w:rPr>
        <w:t>.</w:t>
      </w:r>
    </w:p>
    <w:p w14:paraId="4D66C0E1" w14:textId="7B807328" w:rsidR="00575F20" w:rsidRPr="00CE7DE5" w:rsidRDefault="00575F20"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color w:val="000000"/>
          <w:lang w:val="fr-FR"/>
        </w:rPr>
        <w:t>]</w:t>
      </w:r>
    </w:p>
    <w:p w14:paraId="2FE36BB0" w14:textId="48B1AD3B" w:rsidR="00D623E5" w:rsidRPr="00CE7DE5" w:rsidRDefault="00617788" w:rsidP="00D50F9F">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lang w:val="fr-FR"/>
        </w:rPr>
      </w:pPr>
      <w:r w:rsidRPr="00CE7DE5">
        <w:rPr>
          <w:rFonts w:asciiTheme="majorBidi" w:eastAsia="MS Mincho" w:hAnsiTheme="majorBidi" w:cstheme="majorBidi"/>
          <w:b/>
          <w:caps/>
          <w:snapToGrid w:val="0"/>
          <w:kern w:val="22"/>
          <w:szCs w:val="22"/>
          <w:lang w:val="fr-FR"/>
        </w:rPr>
        <w:t>POINT</w:t>
      </w:r>
      <w:r w:rsidR="00BC629F" w:rsidRPr="00CE7DE5">
        <w:rPr>
          <w:rFonts w:asciiTheme="majorBidi" w:eastAsia="MS Mincho" w:hAnsiTheme="majorBidi" w:cstheme="majorBidi"/>
          <w:b/>
          <w:caps/>
          <w:snapToGrid w:val="0"/>
          <w:kern w:val="22"/>
          <w:szCs w:val="22"/>
          <w:lang w:val="fr-FR"/>
        </w:rPr>
        <w:t xml:space="preserve"> 3</w:t>
      </w:r>
      <w:r w:rsidR="009311E6" w:rsidRPr="00CE7DE5">
        <w:rPr>
          <w:rFonts w:asciiTheme="majorBidi" w:eastAsia="MS Mincho" w:hAnsiTheme="majorBidi" w:cstheme="majorBidi"/>
          <w:b/>
          <w:caps/>
          <w:snapToGrid w:val="0"/>
          <w:kern w:val="22"/>
          <w:szCs w:val="22"/>
          <w:lang w:val="fr-FR"/>
        </w:rPr>
        <w:t>.</w:t>
      </w:r>
      <w:r w:rsidR="00BC629F" w:rsidRPr="00CE7DE5">
        <w:rPr>
          <w:rFonts w:asciiTheme="majorBidi" w:eastAsia="MS Mincho" w:hAnsiTheme="majorBidi" w:cstheme="majorBidi"/>
          <w:b/>
          <w:caps/>
          <w:snapToGrid w:val="0"/>
          <w:kern w:val="22"/>
          <w:szCs w:val="22"/>
          <w:lang w:val="fr-FR"/>
        </w:rPr>
        <w:tab/>
      </w:r>
      <w:r w:rsidRPr="00CE7DE5">
        <w:rPr>
          <w:rFonts w:asciiTheme="majorBidi" w:eastAsia="MS Mincho" w:hAnsiTheme="majorBidi" w:cstheme="majorBidi"/>
          <w:b/>
          <w:caps/>
          <w:snapToGrid w:val="0"/>
          <w:kern w:val="22"/>
          <w:szCs w:val="22"/>
          <w:lang w:val="fr-FR"/>
        </w:rPr>
        <w:t xml:space="preserve">Rapport sur les pouvoirs des </w:t>
      </w:r>
      <w:r w:rsidR="008B65FB" w:rsidRPr="00CE7DE5">
        <w:rPr>
          <w:rFonts w:asciiTheme="majorBidi" w:eastAsia="MS Mincho" w:hAnsiTheme="majorBidi" w:cstheme="majorBidi"/>
          <w:b/>
          <w:caps/>
          <w:snapToGrid w:val="0"/>
          <w:kern w:val="22"/>
          <w:szCs w:val="22"/>
          <w:lang w:val="fr-FR"/>
        </w:rPr>
        <w:t>REPRÉSENTANTS</w:t>
      </w:r>
      <w:r w:rsidRPr="00CE7DE5">
        <w:rPr>
          <w:rFonts w:asciiTheme="majorBidi" w:eastAsia="MS Mincho" w:hAnsiTheme="majorBidi" w:cstheme="majorBidi"/>
          <w:b/>
          <w:caps/>
          <w:snapToGrid w:val="0"/>
          <w:kern w:val="22"/>
          <w:szCs w:val="22"/>
          <w:lang w:val="fr-FR"/>
        </w:rPr>
        <w:t xml:space="preserve"> à la </w:t>
      </w:r>
      <w:r w:rsidR="008B65FB" w:rsidRPr="00CE7DE5">
        <w:rPr>
          <w:rFonts w:asciiTheme="majorBidi" w:eastAsia="MS Mincho" w:hAnsiTheme="majorBidi" w:cstheme="majorBidi"/>
          <w:b/>
          <w:caps/>
          <w:snapToGrid w:val="0"/>
          <w:kern w:val="22"/>
          <w:szCs w:val="22"/>
          <w:lang w:val="fr-FR"/>
        </w:rPr>
        <w:t>DIXIÈME</w:t>
      </w:r>
      <w:r w:rsidRPr="00CE7DE5">
        <w:rPr>
          <w:rFonts w:asciiTheme="majorBidi" w:eastAsia="MS Mincho" w:hAnsiTheme="majorBidi" w:cstheme="majorBidi"/>
          <w:b/>
          <w:caps/>
          <w:snapToGrid w:val="0"/>
          <w:kern w:val="22"/>
          <w:szCs w:val="22"/>
          <w:lang w:val="fr-FR"/>
        </w:rPr>
        <w:t xml:space="preserve"> </w:t>
      </w:r>
      <w:r w:rsidR="008B65FB" w:rsidRPr="00CE7DE5">
        <w:rPr>
          <w:rFonts w:asciiTheme="majorBidi" w:eastAsia="MS Mincho" w:hAnsiTheme="majorBidi" w:cstheme="majorBidi"/>
          <w:b/>
          <w:caps/>
          <w:snapToGrid w:val="0"/>
          <w:kern w:val="22"/>
          <w:szCs w:val="22"/>
          <w:lang w:val="fr-FR"/>
        </w:rPr>
        <w:t>RÉUNION</w:t>
      </w:r>
      <w:r w:rsidRPr="00CE7DE5">
        <w:rPr>
          <w:rFonts w:asciiTheme="majorBidi" w:eastAsia="MS Mincho" w:hAnsiTheme="majorBidi" w:cstheme="majorBidi"/>
          <w:b/>
          <w:caps/>
          <w:snapToGrid w:val="0"/>
          <w:kern w:val="22"/>
          <w:szCs w:val="22"/>
          <w:lang w:val="fr-FR"/>
        </w:rPr>
        <w:t xml:space="preserve"> de la </w:t>
      </w:r>
      <w:r w:rsidR="008B65FB" w:rsidRPr="00CE7DE5">
        <w:rPr>
          <w:rFonts w:asciiTheme="majorBidi" w:eastAsia="MS Mincho" w:hAnsiTheme="majorBidi" w:cstheme="majorBidi"/>
          <w:b/>
          <w:caps/>
          <w:snapToGrid w:val="0"/>
          <w:kern w:val="22"/>
          <w:szCs w:val="22"/>
          <w:lang w:val="fr-FR"/>
        </w:rPr>
        <w:t>CONFÉRENCE</w:t>
      </w:r>
      <w:r w:rsidRPr="00CE7DE5">
        <w:rPr>
          <w:rFonts w:asciiTheme="majorBidi" w:eastAsia="MS Mincho" w:hAnsiTheme="majorBidi" w:cstheme="majorBidi"/>
          <w:b/>
          <w:caps/>
          <w:snapToGrid w:val="0"/>
          <w:kern w:val="22"/>
          <w:szCs w:val="22"/>
          <w:lang w:val="fr-FR"/>
        </w:rPr>
        <w:t xml:space="preserve"> des Parties </w:t>
      </w:r>
      <w:r w:rsidR="008B65FB" w:rsidRPr="00CE7DE5">
        <w:rPr>
          <w:rFonts w:asciiTheme="majorBidi" w:eastAsia="MS Mincho" w:hAnsiTheme="majorBidi" w:cstheme="majorBidi"/>
          <w:b/>
          <w:caps/>
          <w:snapToGrid w:val="0"/>
          <w:kern w:val="22"/>
          <w:szCs w:val="22"/>
          <w:lang w:val="fr-FR"/>
        </w:rPr>
        <w:t>SIÉGEANT</w:t>
      </w:r>
      <w:r w:rsidRPr="00CE7DE5">
        <w:rPr>
          <w:rFonts w:asciiTheme="majorBidi" w:eastAsia="MS Mincho" w:hAnsiTheme="majorBidi" w:cstheme="majorBidi"/>
          <w:b/>
          <w:caps/>
          <w:snapToGrid w:val="0"/>
          <w:kern w:val="22"/>
          <w:szCs w:val="22"/>
          <w:lang w:val="fr-FR"/>
        </w:rPr>
        <w:t xml:space="preserve"> en tant que </w:t>
      </w:r>
      <w:r w:rsidR="008B65FB" w:rsidRPr="00CE7DE5">
        <w:rPr>
          <w:rFonts w:asciiTheme="majorBidi" w:eastAsia="MS Mincho" w:hAnsiTheme="majorBidi" w:cstheme="majorBidi"/>
          <w:b/>
          <w:caps/>
          <w:snapToGrid w:val="0"/>
          <w:kern w:val="22"/>
          <w:szCs w:val="22"/>
          <w:lang w:val="fr-FR"/>
        </w:rPr>
        <w:t>RÉUNION</w:t>
      </w:r>
      <w:r w:rsidRPr="00CE7DE5">
        <w:rPr>
          <w:rFonts w:asciiTheme="majorBidi" w:eastAsia="MS Mincho" w:hAnsiTheme="majorBidi" w:cstheme="majorBidi"/>
          <w:b/>
          <w:caps/>
          <w:snapToGrid w:val="0"/>
          <w:kern w:val="22"/>
          <w:szCs w:val="22"/>
          <w:lang w:val="fr-FR"/>
        </w:rPr>
        <w:t xml:space="preserve"> des Parties au Protocole de Cartagena</w:t>
      </w:r>
    </w:p>
    <w:p w14:paraId="165F8646" w14:textId="77777777" w:rsidR="00CE7DE5" w:rsidRPr="00CE7DE5" w:rsidRDefault="00CE7DE5" w:rsidP="00D50F9F">
      <w:pPr>
        <w:pStyle w:val="Para1"/>
        <w:rPr>
          <w:lang w:val="fr-FR"/>
        </w:rPr>
      </w:pPr>
      <w:bookmarkStart w:id="5" w:name="_Hlk122171160"/>
      <w:r w:rsidRPr="00CE7DE5">
        <w:rPr>
          <w:lang w:val="fr-FR"/>
        </w:rPr>
        <w:t>À la première séance plénière de la deuxième partie de la réunion, le 7 décembre, la Conférence des Parties siégeant en tant que Réunion des Parties a pris note du fait que, conformément au règlement intérieur et aux décisions pertinentes de la Conférence des Parties, le Bureau avait examiné la liste des observateurs admis à la réunion (CBD/COP/15/INF/2) et examinerait les pouvoirs des représentants et ferait rapport à ce sujet à une session ultérieure.</w:t>
      </w:r>
    </w:p>
    <w:p w14:paraId="6536F7D2" w14:textId="7ECD188F" w:rsidR="00FB2F9E" w:rsidRPr="00CE7DE5" w:rsidRDefault="00CE7DE5" w:rsidP="00D50F9F">
      <w:pPr>
        <w:pStyle w:val="Para1"/>
        <w:rPr>
          <w:lang w:val="fr-FR"/>
        </w:rPr>
      </w:pPr>
      <w:r w:rsidRPr="00CE7DE5">
        <w:rPr>
          <w:lang w:val="fr-FR"/>
        </w:rPr>
        <w:t xml:space="preserve">En conséquence, à la deuxième séance plénière de la deuxième partie de la réunion, le 10 décembre, Eric Okoree (Ghana), désigné par le Bureau au cours de la première partie de la réunion comme son représentant chargé de faire rapport sur les pouvoirs, a informé la Conférence des Parties siégeant en tant que Réunion des Parties que 161 Parties étaient inscrites comme participant à la réunion. Le Bureau avait examiné les pouvoirs des représentants de 122 Parties qui assistaient à la réunion. Les pouvoirs de 103 délégations étaient pleinement conformes à l'article 18 du règlement intérieur. Ceux de 17 délégations n'étaient pas entièrement conformes à l'article 18 et 39 autres délégations n'avaient pas présenté leurs pouvoirs à ce </w:t>
      </w:r>
      <w:r w:rsidR="00D50F9F" w:rsidRPr="00CE7DE5">
        <w:rPr>
          <w:lang w:val="fr-FR"/>
        </w:rPr>
        <w:t>jour.</w:t>
      </w:r>
    </w:p>
    <w:bookmarkEnd w:id="5"/>
    <w:p w14:paraId="21C8D561" w14:textId="58E9D8A2" w:rsidR="00575F20" w:rsidRPr="00CE7DE5" w:rsidRDefault="00575F20"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lastRenderedPageBreak/>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color w:val="000000"/>
          <w:lang w:val="fr-FR"/>
        </w:rPr>
        <w:t>]</w:t>
      </w:r>
    </w:p>
    <w:p w14:paraId="42A715DB" w14:textId="1B427C1F" w:rsidR="008A5F16" w:rsidRPr="00CE7DE5" w:rsidRDefault="00617788" w:rsidP="00D50F9F">
      <w:pPr>
        <w:kinsoku w:val="0"/>
        <w:overflowPunct w:val="0"/>
        <w:autoSpaceDE w:val="0"/>
        <w:autoSpaceDN w:val="0"/>
        <w:spacing w:before="240" w:after="120"/>
        <w:jc w:val="center"/>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POINT</w:t>
      </w:r>
      <w:r w:rsidR="00BC629F" w:rsidRPr="00CE7DE5">
        <w:rPr>
          <w:rFonts w:asciiTheme="majorBidi" w:hAnsiTheme="majorBidi" w:cstheme="majorBidi"/>
          <w:b/>
          <w:bCs/>
          <w:caps/>
          <w:snapToGrid w:val="0"/>
          <w:kern w:val="22"/>
          <w:lang w:val="fr-FR"/>
        </w:rPr>
        <w:t xml:space="preserve"> 4</w:t>
      </w:r>
      <w:r w:rsidR="008D5E8B" w:rsidRPr="00CE7DE5">
        <w:rPr>
          <w:rFonts w:asciiTheme="majorBidi" w:hAnsiTheme="majorBidi" w:cstheme="majorBidi"/>
          <w:b/>
          <w:bCs/>
          <w:caps/>
          <w:snapToGrid w:val="0"/>
          <w:kern w:val="22"/>
          <w:lang w:val="fr-FR"/>
        </w:rPr>
        <w:t>.</w:t>
      </w:r>
      <w:r w:rsidRPr="00CE7DE5">
        <w:rPr>
          <w:rFonts w:asciiTheme="majorBidi" w:hAnsiTheme="majorBidi" w:cstheme="majorBidi"/>
          <w:b/>
          <w:bCs/>
          <w:caps/>
          <w:snapToGrid w:val="0"/>
          <w:kern w:val="22"/>
          <w:lang w:val="fr-FR"/>
        </w:rPr>
        <w:t xml:space="preserve">   Rapports des organes subsidiaires</w:t>
      </w:r>
    </w:p>
    <w:p w14:paraId="731D0787" w14:textId="77777777" w:rsidR="00CE7DE5" w:rsidRPr="00CE7DE5" w:rsidRDefault="00CE7DE5" w:rsidP="00D50F9F">
      <w:pPr>
        <w:pStyle w:val="Para1"/>
        <w:rPr>
          <w:lang w:val="fr-FR"/>
        </w:rPr>
      </w:pPr>
      <w:bookmarkStart w:id="6" w:name="_Hlk122171820"/>
      <w:r w:rsidRPr="00CE7DE5">
        <w:rPr>
          <w:lang w:val="fr-FR"/>
        </w:rPr>
        <w:t>À la première séance plénière de la deuxième partie de la réunion, le 7 décembre, la Conférence des Parties siégeant en tant que réunion des Parties a entendu des rapports sur les travaux intersessions entrepris depuis la première partie de la réunion. La Conférence des Parties siégeant en tant que réunion des Parties était saisie du rapport de l’Organe subsidiaire chargé de fournir des avis scientifiques, techniques et technologiques sur sa vingt-quatrième réunion (CBD/SBI/24/12), du rapport de l’Organe subsidiaire chargé de l’application sur sa troisième réunion (CBD/SBI/3/21) et des rapports du Groupe de travail à composition non limitée sur le cadre mondial de la biodiversité pour l’après-2020 sur ses troisième, quatrième et cinquième réunions (CBD/WG2020/3/7, CBD/WG2020/4/4 et CBD/WG2020/5/5).</w:t>
      </w:r>
    </w:p>
    <w:p w14:paraId="3BB6BCA8" w14:textId="77777777" w:rsidR="00CE7DE5" w:rsidRPr="00CE7DE5" w:rsidRDefault="00CE7DE5" w:rsidP="00D50F9F">
      <w:pPr>
        <w:pStyle w:val="Para1"/>
        <w:overflowPunct w:val="0"/>
        <w:autoSpaceDE w:val="0"/>
        <w:autoSpaceDN w:val="0"/>
        <w:snapToGrid w:val="0"/>
        <w:spacing w:before="0"/>
        <w:rPr>
          <w:lang w:val="fr-FR"/>
        </w:rPr>
      </w:pPr>
      <w:r w:rsidRPr="00CE7DE5">
        <w:rPr>
          <w:lang w:val="fr-FR"/>
        </w:rPr>
        <w:t>La Conférence des Parties siégeant en tant que réunion des Parties a ensuite entendu les rapports oraux des présidents de l’Organe subsidiaire chargé de fournir des avis scientifiques, techniques et technologiques et de l’Organe subsidiaire chargé de l’application, et des coprésidents du Groupe de travail à composition non limitée sur le cadre mondial de la biodiversité pour l’après-2020.</w:t>
      </w:r>
    </w:p>
    <w:p w14:paraId="2165EFD1" w14:textId="5A7A8525" w:rsidR="00541561" w:rsidRPr="00CE7DE5" w:rsidRDefault="00CE7DE5" w:rsidP="00D50F9F">
      <w:pPr>
        <w:pStyle w:val="Para1"/>
        <w:overflowPunct w:val="0"/>
        <w:autoSpaceDE w:val="0"/>
        <w:autoSpaceDN w:val="0"/>
        <w:snapToGrid w:val="0"/>
        <w:spacing w:before="0"/>
        <w:rPr>
          <w:lang w:val="fr-FR"/>
        </w:rPr>
      </w:pPr>
      <w:r w:rsidRPr="00CE7DE5">
        <w:rPr>
          <w:lang w:val="fr-FR"/>
        </w:rPr>
        <w:t>La Conférence des Parties siégeant en tant que réunion des Parties a pris note des informations fournies et a décidé d’examiner les recommandations des organes subsidiaires au titre des points de l’ordre du jour correspondants</w:t>
      </w:r>
      <w:r w:rsidR="0031327F">
        <w:rPr>
          <w:lang w:val="fr-FR"/>
        </w:rPr>
        <w:t>.</w:t>
      </w:r>
    </w:p>
    <w:bookmarkEnd w:id="6"/>
    <w:p w14:paraId="1EFE4103" w14:textId="10ED0E64" w:rsidR="00D623E5" w:rsidRPr="00CE7DE5" w:rsidRDefault="00617788" w:rsidP="00D50F9F">
      <w:pPr>
        <w:kinsoku w:val="0"/>
        <w:overflowPunct w:val="0"/>
        <w:autoSpaceDE w:val="0"/>
        <w:autoSpaceDN w:val="0"/>
        <w:spacing w:before="240" w:after="120"/>
        <w:jc w:val="center"/>
        <w:outlineLvl w:val="0"/>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POINT</w:t>
      </w:r>
      <w:r w:rsidR="00BC629F" w:rsidRPr="00CE7DE5">
        <w:rPr>
          <w:rFonts w:asciiTheme="majorBidi" w:hAnsiTheme="majorBidi" w:cstheme="majorBidi"/>
          <w:b/>
          <w:bCs/>
          <w:caps/>
          <w:snapToGrid w:val="0"/>
          <w:kern w:val="22"/>
          <w:lang w:val="fr-FR"/>
        </w:rPr>
        <w:t xml:space="preserve"> 5</w:t>
      </w:r>
      <w:r w:rsidR="008D5E8B" w:rsidRPr="00CE7DE5">
        <w:rPr>
          <w:rFonts w:asciiTheme="majorBidi" w:hAnsiTheme="majorBidi" w:cstheme="majorBidi"/>
          <w:b/>
          <w:bCs/>
          <w:caps/>
          <w:snapToGrid w:val="0"/>
          <w:kern w:val="22"/>
          <w:lang w:val="fr-FR"/>
        </w:rPr>
        <w:t>.</w:t>
      </w:r>
      <w:r w:rsidR="00BC629F" w:rsidRPr="00CE7DE5">
        <w:rPr>
          <w:rFonts w:asciiTheme="majorBidi" w:hAnsiTheme="majorBidi" w:cstheme="majorBidi"/>
          <w:b/>
          <w:bCs/>
          <w:caps/>
          <w:snapToGrid w:val="0"/>
          <w:kern w:val="22"/>
          <w:lang w:val="fr-FR"/>
        </w:rPr>
        <w:tab/>
      </w:r>
      <w:r w:rsidRPr="00CE7DE5">
        <w:rPr>
          <w:rFonts w:asciiTheme="majorBidi" w:hAnsiTheme="majorBidi" w:cstheme="majorBidi"/>
          <w:b/>
          <w:bCs/>
          <w:caps/>
          <w:snapToGrid w:val="0"/>
          <w:kern w:val="22"/>
          <w:lang w:val="fr-FR"/>
        </w:rPr>
        <w:t>Rapport du Comit</w:t>
      </w:r>
      <w:r w:rsidR="003932F2">
        <w:rPr>
          <w:rFonts w:asciiTheme="majorBidi" w:hAnsiTheme="majorBidi" w:cstheme="majorBidi"/>
          <w:b/>
          <w:bCs/>
          <w:caps/>
          <w:snapToGrid w:val="0"/>
          <w:kern w:val="22"/>
          <w:lang w:val="fr-FR"/>
        </w:rPr>
        <w:t>É</w:t>
      </w:r>
      <w:r w:rsidRPr="00CE7DE5">
        <w:rPr>
          <w:rFonts w:asciiTheme="majorBidi" w:hAnsiTheme="majorBidi" w:cstheme="majorBidi"/>
          <w:b/>
          <w:bCs/>
          <w:caps/>
          <w:snapToGrid w:val="0"/>
          <w:kern w:val="22"/>
          <w:lang w:val="fr-FR"/>
        </w:rPr>
        <w:t xml:space="preserve"> d’examen du respect des dispositions</w:t>
      </w:r>
    </w:p>
    <w:p w14:paraId="5DDF9CD3" w14:textId="77777777" w:rsidR="00CE7DE5" w:rsidRPr="00CE7DE5" w:rsidRDefault="00CE7DE5" w:rsidP="00D50F9F">
      <w:pPr>
        <w:pStyle w:val="Para1"/>
        <w:rPr>
          <w:rFonts w:asciiTheme="majorBidi" w:eastAsia="MS Mincho" w:hAnsiTheme="majorBidi" w:cstheme="majorBidi"/>
          <w:bCs/>
          <w:color w:val="000000"/>
          <w:lang w:val="fr-FR"/>
        </w:rPr>
      </w:pPr>
      <w:r w:rsidRPr="00CE7DE5">
        <w:rPr>
          <w:rFonts w:asciiTheme="majorBidi" w:eastAsia="MS Mincho" w:hAnsiTheme="majorBidi" w:cstheme="majorBidi"/>
          <w:bCs/>
          <w:color w:val="000000"/>
          <w:lang w:val="fr-FR"/>
        </w:rPr>
        <w:t>À la première séance plénière de la deuxième partie de la réunion, le 7 décembre, Rigobert Ntep, président du Comité d'examen du respect des dispositions du Protocole de Cartagena, a brièvement passé en revue le rapport du Comité d'examen du respect des dispositions figurant dans le document CBD/CP/MOP/10/2, qui avait été présenté dans son intégralité au cours de la première partie de la réunion. Comme convenu dans le cadre de l'organisation des travaux, les questions de fond découlant du rapport devaient être renvoyées aux groupes de travail pour examen.</w:t>
      </w:r>
    </w:p>
    <w:p w14:paraId="3FAA6B02" w14:textId="1C6B77E4" w:rsidR="00671090" w:rsidRPr="00CE7DE5" w:rsidRDefault="00CE7DE5" w:rsidP="00D50F9F">
      <w:pPr>
        <w:pStyle w:val="Para1"/>
        <w:rPr>
          <w:lang w:val="fr-FR"/>
        </w:rPr>
      </w:pPr>
      <w:r w:rsidRPr="00CE7DE5">
        <w:rPr>
          <w:rFonts w:asciiTheme="majorBidi" w:eastAsia="MS Mincho" w:hAnsiTheme="majorBidi" w:cstheme="majorBidi"/>
          <w:bCs/>
          <w:color w:val="000000"/>
          <w:lang w:val="fr-FR"/>
        </w:rPr>
        <w:t>Conformément à une notification publiée par le secrétariat le 1er septembre 2022, la Conférence des Parties siégeant en tant que Réunion des Parties a convenu de prolonger de deux ans le mandat de cinq membres du Comité, soit un par région. Elle a également convenu que 10 nouveaux membres seraient élus à un stade ultérieur de la réunion pour remplacer les 10 membres énumérés dans l'annexe de la notification, à raison de deux par région, dont le mandat prendrait fin à la fin de l'année en cours</w:t>
      </w:r>
      <w:r w:rsidR="00671090" w:rsidRPr="00CE7DE5">
        <w:rPr>
          <w:lang w:val="fr-FR"/>
        </w:rPr>
        <w:t xml:space="preserve">. </w:t>
      </w:r>
    </w:p>
    <w:p w14:paraId="228D34D4" w14:textId="15823AF8" w:rsidR="000E50F4" w:rsidRPr="00CE7DE5" w:rsidRDefault="000E50F4"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color w:val="000000"/>
          <w:lang w:val="fr-FR"/>
        </w:rPr>
        <w:t>]</w:t>
      </w:r>
    </w:p>
    <w:p w14:paraId="436BE269" w14:textId="6641AD34" w:rsidR="000E50F4" w:rsidRPr="00CE7DE5" w:rsidRDefault="000E50F4"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i/>
          <w:iCs/>
          <w:color w:val="000000"/>
          <w:lang w:val="fr-FR"/>
        </w:rPr>
        <w:t xml:space="preserve"> </w:t>
      </w:r>
      <w:r w:rsidR="00CE7DE5" w:rsidRPr="00CE7DE5">
        <w:rPr>
          <w:rFonts w:asciiTheme="majorBidi" w:eastAsia="MS Mincho" w:hAnsiTheme="majorBidi" w:cstheme="majorBidi"/>
          <w:i/>
          <w:iCs/>
          <w:color w:val="000000"/>
          <w:lang w:val="fr-FR"/>
        </w:rPr>
        <w:t>sur la base du rapport du Groupe de travail II</w:t>
      </w:r>
      <w:r w:rsidRPr="00CE7DE5">
        <w:rPr>
          <w:rFonts w:asciiTheme="majorBidi" w:eastAsia="MS Mincho" w:hAnsiTheme="majorBidi" w:cstheme="majorBidi"/>
          <w:color w:val="000000"/>
          <w:lang w:val="fr-FR"/>
        </w:rPr>
        <w:t>]</w:t>
      </w:r>
    </w:p>
    <w:p w14:paraId="153DAF2A" w14:textId="26A5C44F" w:rsidR="00CB4649" w:rsidRPr="00CE7DE5" w:rsidRDefault="00CE7DE5" w:rsidP="00D50F9F">
      <w:pPr>
        <w:pStyle w:val="Para1"/>
        <w:suppressLineNumbers/>
        <w:suppressAutoHyphens/>
        <w:kinsoku w:val="0"/>
        <w:overflowPunct w:val="0"/>
        <w:autoSpaceDE w:val="0"/>
        <w:autoSpaceDN w:val="0"/>
        <w:snapToGrid w:val="0"/>
        <w:rPr>
          <w:lang w:val="fr-FR"/>
        </w:rPr>
      </w:pPr>
      <w:r w:rsidRPr="00CE7DE5">
        <w:rPr>
          <w:lang w:val="fr-FR"/>
        </w:rPr>
        <w:t>À la deuxième séance plénière de la deuxième partie de la réunion, le 10 décembre, la Conférence des Parties siégeant en tant que Réunion des Parties a examiné le projet de décision CBD/CP/MOP/10/L.3 et l'a adopté en tant que décision CP 10/[ ] (pour le texte, voir chap. I, page [ ]).</w:t>
      </w:r>
      <w:r w:rsidR="00CB4649" w:rsidRPr="00CE7DE5">
        <w:rPr>
          <w:rFonts w:asciiTheme="majorBidi" w:eastAsia="MS Mincho" w:hAnsiTheme="majorBidi" w:cstheme="majorBidi"/>
          <w:color w:val="000000"/>
          <w:lang w:val="fr-FR"/>
        </w:rPr>
        <w:t xml:space="preserve"> </w:t>
      </w:r>
    </w:p>
    <w:p w14:paraId="1EEDD7E3" w14:textId="7F0DBEDD" w:rsidR="00D623E5" w:rsidRPr="00CE7DE5" w:rsidRDefault="00617788" w:rsidP="00D50F9F">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POINT</w:t>
      </w:r>
      <w:r w:rsidR="00C300AD" w:rsidRPr="00CE7DE5">
        <w:rPr>
          <w:rFonts w:asciiTheme="majorBidi" w:hAnsiTheme="majorBidi" w:cstheme="majorBidi"/>
          <w:b/>
          <w:bCs/>
          <w:caps/>
          <w:snapToGrid w:val="0"/>
          <w:kern w:val="22"/>
          <w:lang w:val="fr-FR"/>
        </w:rPr>
        <w:t xml:space="preserve"> 6</w:t>
      </w:r>
      <w:r w:rsidR="008D5E8B" w:rsidRPr="00CE7DE5">
        <w:rPr>
          <w:rFonts w:asciiTheme="majorBidi" w:hAnsiTheme="majorBidi" w:cstheme="majorBidi"/>
          <w:b/>
          <w:bCs/>
          <w:caps/>
          <w:snapToGrid w:val="0"/>
          <w:kern w:val="22"/>
          <w:lang w:val="fr-FR"/>
        </w:rPr>
        <w:t>.</w:t>
      </w:r>
      <w:r w:rsidR="00C300AD" w:rsidRPr="00CE7DE5">
        <w:rPr>
          <w:rFonts w:asciiTheme="majorBidi" w:hAnsiTheme="majorBidi" w:cstheme="majorBidi"/>
          <w:b/>
          <w:bCs/>
          <w:caps/>
          <w:snapToGrid w:val="0"/>
          <w:kern w:val="22"/>
          <w:lang w:val="fr-FR"/>
        </w:rPr>
        <w:tab/>
      </w:r>
      <w:r w:rsidRPr="00CE7DE5">
        <w:rPr>
          <w:rFonts w:asciiTheme="majorBidi" w:hAnsiTheme="majorBidi" w:cstheme="majorBidi"/>
          <w:b/>
          <w:bCs/>
          <w:caps/>
          <w:snapToGrid w:val="0"/>
          <w:kern w:val="22"/>
          <w:lang w:val="fr-FR"/>
        </w:rPr>
        <w:t xml:space="preserve">Administration du Protocole et budget des Fonds d’affectation </w:t>
      </w:r>
      <w:r w:rsidR="008B65FB" w:rsidRPr="00CE7DE5">
        <w:rPr>
          <w:rFonts w:asciiTheme="majorBidi" w:hAnsiTheme="majorBidi" w:cstheme="majorBidi"/>
          <w:b/>
          <w:bCs/>
          <w:caps/>
          <w:snapToGrid w:val="0"/>
          <w:kern w:val="22"/>
          <w:lang w:val="fr-FR"/>
        </w:rPr>
        <w:t>SPÉCIALE</w:t>
      </w:r>
    </w:p>
    <w:p w14:paraId="7D6FF04A" w14:textId="77777777" w:rsidR="00CE7DE5" w:rsidRPr="00CE7DE5" w:rsidRDefault="00CE7DE5" w:rsidP="00D50F9F">
      <w:pPr>
        <w:pStyle w:val="Para1"/>
        <w:rPr>
          <w:lang w:val="fr-FR"/>
        </w:rPr>
      </w:pPr>
      <w:r w:rsidRPr="00CE7DE5">
        <w:rPr>
          <w:lang w:val="fr-FR"/>
        </w:rPr>
        <w:t xml:space="preserve">À la première séance plénière de la deuxième partie de la réunion, le 7 décembre, la Secrétaire exécutive a rendu compte des activités du secrétariat et a présenté le projet de budget des programmes de travail de la Convention et de ses protocoles pour l'exercice biennal 20232024 (CBD/COP/15/7). </w:t>
      </w:r>
    </w:p>
    <w:p w14:paraId="56A03B0D" w14:textId="4A622F1C" w:rsidR="00BD4A18" w:rsidRPr="00CE7DE5" w:rsidRDefault="00CE7DE5" w:rsidP="00D50F9F">
      <w:pPr>
        <w:pStyle w:val="Para1"/>
        <w:rPr>
          <w:lang w:val="fr-FR"/>
        </w:rPr>
      </w:pPr>
      <w:r w:rsidRPr="00CE7DE5">
        <w:rPr>
          <w:lang w:val="fr-FR"/>
        </w:rPr>
        <w:t>La Conférence des Parties a convenu de créer un groupe de contact sur le budget, présidé par Hamdallah Zedan (Égypte), ayant pour mandat d'examiner en détail le projet de budget pour l'exercice biennal 20232024</w:t>
      </w:r>
      <w:r w:rsidR="00BD4A18" w:rsidRPr="00CE7DE5">
        <w:rPr>
          <w:lang w:val="fr-FR"/>
        </w:rPr>
        <w:t xml:space="preserve">. </w:t>
      </w:r>
    </w:p>
    <w:p w14:paraId="0B7096B3" w14:textId="486D15D2" w:rsidR="00575F20" w:rsidRPr="00CE7DE5" w:rsidRDefault="00575F20"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color w:val="000000"/>
          <w:lang w:val="fr-FR"/>
        </w:rPr>
        <w:t>]</w:t>
      </w:r>
    </w:p>
    <w:p w14:paraId="682F999A" w14:textId="7B7BCBB4" w:rsidR="00827FC7" w:rsidRPr="00CE7DE5" w:rsidRDefault="00617788" w:rsidP="00D50F9F">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lastRenderedPageBreak/>
        <w:t>POINT</w:t>
      </w:r>
      <w:r w:rsidR="00142CEE" w:rsidRPr="00CE7DE5">
        <w:rPr>
          <w:rFonts w:asciiTheme="majorBidi" w:hAnsiTheme="majorBidi" w:cstheme="majorBidi"/>
          <w:b/>
          <w:bCs/>
          <w:caps/>
          <w:snapToGrid w:val="0"/>
          <w:kern w:val="22"/>
          <w:lang w:val="fr-FR"/>
        </w:rPr>
        <w:t xml:space="preserve"> 7</w:t>
      </w:r>
      <w:r w:rsidR="008D5E8B" w:rsidRPr="00CE7DE5">
        <w:rPr>
          <w:rFonts w:asciiTheme="majorBidi" w:hAnsiTheme="majorBidi" w:cstheme="majorBidi"/>
          <w:b/>
          <w:bCs/>
          <w:caps/>
          <w:snapToGrid w:val="0"/>
          <w:kern w:val="22"/>
          <w:lang w:val="fr-FR"/>
        </w:rPr>
        <w:t>.</w:t>
      </w:r>
      <w:r w:rsidR="00142CEE" w:rsidRPr="00CE7DE5">
        <w:rPr>
          <w:rFonts w:asciiTheme="majorBidi" w:hAnsiTheme="majorBidi" w:cstheme="majorBidi"/>
          <w:b/>
          <w:bCs/>
          <w:caps/>
          <w:snapToGrid w:val="0"/>
          <w:kern w:val="22"/>
          <w:lang w:val="fr-FR"/>
        </w:rPr>
        <w:tab/>
      </w:r>
      <w:r w:rsidRPr="00CE7DE5">
        <w:rPr>
          <w:rFonts w:asciiTheme="majorBidi" w:hAnsiTheme="majorBidi" w:cstheme="majorBidi"/>
          <w:b/>
          <w:bCs/>
          <w:caps/>
          <w:snapToGrid w:val="0"/>
          <w:kern w:val="22"/>
          <w:lang w:val="fr-FR"/>
        </w:rPr>
        <w:t xml:space="preserve">Plan de mise en œuvre et plan d'action de renforcement des </w:t>
      </w:r>
      <w:r w:rsidR="008B65FB" w:rsidRPr="00CE7DE5">
        <w:rPr>
          <w:rFonts w:asciiTheme="majorBidi" w:hAnsiTheme="majorBidi" w:cstheme="majorBidi"/>
          <w:b/>
          <w:bCs/>
          <w:caps/>
          <w:snapToGrid w:val="0"/>
          <w:kern w:val="22"/>
          <w:lang w:val="fr-FR"/>
        </w:rPr>
        <w:t>CAPACITÉS</w:t>
      </w:r>
      <w:r w:rsidRPr="00CE7DE5">
        <w:rPr>
          <w:rFonts w:asciiTheme="majorBidi" w:hAnsiTheme="majorBidi" w:cstheme="majorBidi"/>
          <w:b/>
          <w:bCs/>
          <w:caps/>
          <w:snapToGrid w:val="0"/>
          <w:kern w:val="22"/>
          <w:lang w:val="fr-FR"/>
        </w:rPr>
        <w:t xml:space="preserve"> du Protocole de Cartagena</w:t>
      </w:r>
    </w:p>
    <w:p w14:paraId="0CAB9839" w14:textId="1FAEE877" w:rsidR="00575F20" w:rsidRPr="00CE7DE5" w:rsidRDefault="00575F20"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color w:val="000000"/>
          <w:lang w:val="fr-FR"/>
        </w:rPr>
        <w:t>]</w:t>
      </w:r>
    </w:p>
    <w:p w14:paraId="167770C9" w14:textId="30F22A53" w:rsidR="00C85B3F" w:rsidRPr="00CE7DE5" w:rsidRDefault="00617788" w:rsidP="00D50F9F">
      <w:pPr>
        <w:pStyle w:val="Titre1"/>
        <w:tabs>
          <w:tab w:val="clear" w:pos="720"/>
        </w:tabs>
        <w:rPr>
          <w:color w:val="000000" w:themeColor="text1"/>
          <w:lang w:val="fr-FR"/>
        </w:rPr>
      </w:pPr>
      <w:r w:rsidRPr="00CE7DE5">
        <w:rPr>
          <w:lang w:val="fr-FR"/>
        </w:rPr>
        <w:t>POINT</w:t>
      </w:r>
      <w:r w:rsidR="00C300AD" w:rsidRPr="00CE7DE5">
        <w:rPr>
          <w:lang w:val="fr-FR"/>
        </w:rPr>
        <w:t xml:space="preserve"> 8</w:t>
      </w:r>
      <w:r w:rsidR="008D5E8B" w:rsidRPr="00CE7DE5">
        <w:rPr>
          <w:lang w:val="fr-FR"/>
        </w:rPr>
        <w:t>.</w:t>
      </w:r>
      <w:r w:rsidR="00C300AD" w:rsidRPr="00CE7DE5">
        <w:rPr>
          <w:lang w:val="fr-FR"/>
        </w:rPr>
        <w:tab/>
      </w:r>
      <w:r w:rsidRPr="00CE7DE5">
        <w:rPr>
          <w:snapToGrid w:val="0"/>
          <w:kern w:val="22"/>
          <w:szCs w:val="22"/>
          <w:lang w:val="fr-FR"/>
        </w:rPr>
        <w:t>Suivi et ÉTABLISSEMENT des rapports</w:t>
      </w:r>
      <w:r w:rsidRPr="00CE7DE5">
        <w:rPr>
          <w:bCs/>
          <w:snapToGrid w:val="0"/>
          <w:kern w:val="22"/>
          <w:szCs w:val="22"/>
          <w:lang w:val="fr-FR"/>
        </w:rPr>
        <w:t xml:space="preserve"> (article 33)</w:t>
      </w:r>
    </w:p>
    <w:p w14:paraId="41F42CF4" w14:textId="5CD12F04" w:rsidR="000E50F4" w:rsidRPr="00CE7DE5" w:rsidRDefault="000E50F4"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i/>
          <w:iCs/>
          <w:color w:val="000000"/>
          <w:lang w:val="fr-FR"/>
        </w:rPr>
        <w:t xml:space="preserve"> </w:t>
      </w:r>
      <w:r w:rsidR="00CE7DE5" w:rsidRPr="00CE7DE5">
        <w:rPr>
          <w:rFonts w:asciiTheme="majorBidi" w:eastAsia="MS Mincho" w:hAnsiTheme="majorBidi" w:cstheme="majorBidi"/>
          <w:i/>
          <w:iCs/>
          <w:color w:val="000000"/>
          <w:lang w:val="fr-FR"/>
        </w:rPr>
        <w:t>sur la base du rapport du Groupe de travail II</w:t>
      </w:r>
      <w:r w:rsidRPr="00CE7DE5">
        <w:rPr>
          <w:rFonts w:asciiTheme="majorBidi" w:eastAsia="MS Mincho" w:hAnsiTheme="majorBidi" w:cstheme="majorBidi"/>
          <w:color w:val="000000"/>
          <w:lang w:val="fr-FR"/>
        </w:rPr>
        <w:t>]</w:t>
      </w:r>
    </w:p>
    <w:p w14:paraId="547B640F" w14:textId="7256A220" w:rsidR="00B566C9" w:rsidRPr="00CE7DE5" w:rsidRDefault="00CE7DE5" w:rsidP="00D50F9F">
      <w:pPr>
        <w:pStyle w:val="Para1"/>
        <w:rPr>
          <w:color w:val="000000"/>
          <w:lang w:val="fr-FR"/>
        </w:rPr>
      </w:pPr>
      <w:r w:rsidRPr="00CE7DE5">
        <w:rPr>
          <w:lang w:val="fr-FR"/>
        </w:rPr>
        <w:t>À la deuxième séance plénière de la deuxième partie de la réunion, le 10 décembre, la Conférence des Parties siégeant en tant que Réunion des Parties a examiné le projet de décision CBD/CP/MOP/10/L.4 et l'a adopté en tant que décision CP 10/[ ] (pour le texte, voir chap. I, page [ ]).</w:t>
      </w:r>
    </w:p>
    <w:p w14:paraId="7F3B7546" w14:textId="217D4750" w:rsidR="00C40DD5" w:rsidRPr="00CE7DE5" w:rsidRDefault="00617788" w:rsidP="00D50F9F">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POINT</w:t>
      </w:r>
      <w:r w:rsidR="00B927C2" w:rsidRPr="00CE7DE5">
        <w:rPr>
          <w:rFonts w:asciiTheme="majorBidi" w:hAnsiTheme="majorBidi" w:cstheme="majorBidi"/>
          <w:b/>
          <w:bCs/>
          <w:caps/>
          <w:snapToGrid w:val="0"/>
          <w:kern w:val="22"/>
          <w:lang w:val="fr-FR"/>
        </w:rPr>
        <w:t xml:space="preserve"> 9</w:t>
      </w:r>
      <w:r w:rsidR="008D5E8B" w:rsidRPr="00CE7DE5">
        <w:rPr>
          <w:rFonts w:asciiTheme="majorBidi" w:hAnsiTheme="majorBidi" w:cstheme="majorBidi"/>
          <w:b/>
          <w:bCs/>
          <w:caps/>
          <w:snapToGrid w:val="0"/>
          <w:kern w:val="22"/>
          <w:lang w:val="fr-FR"/>
        </w:rPr>
        <w:t>.</w:t>
      </w:r>
      <w:r w:rsidR="00B927C2" w:rsidRPr="00CE7DE5">
        <w:rPr>
          <w:rFonts w:asciiTheme="majorBidi" w:hAnsiTheme="majorBidi" w:cstheme="majorBidi"/>
          <w:b/>
          <w:bCs/>
          <w:caps/>
          <w:snapToGrid w:val="0"/>
          <w:kern w:val="22"/>
          <w:lang w:val="fr-FR"/>
        </w:rPr>
        <w:tab/>
      </w:r>
      <w:r w:rsidRPr="00CE7DE5">
        <w:rPr>
          <w:rFonts w:asciiTheme="majorBidi" w:hAnsiTheme="majorBidi" w:cstheme="majorBidi"/>
          <w:b/>
          <w:bCs/>
          <w:caps/>
          <w:snapToGrid w:val="0"/>
          <w:kern w:val="22"/>
          <w:lang w:val="fr-FR"/>
        </w:rPr>
        <w:t>Évaluation et examen de l’</w:t>
      </w:r>
      <w:r w:rsidR="008B65FB" w:rsidRPr="00CE7DE5">
        <w:rPr>
          <w:rFonts w:asciiTheme="majorBidi" w:hAnsiTheme="majorBidi" w:cstheme="majorBidi"/>
          <w:b/>
          <w:bCs/>
          <w:caps/>
          <w:snapToGrid w:val="0"/>
          <w:kern w:val="22"/>
          <w:lang w:val="fr-FR"/>
        </w:rPr>
        <w:t>EFFICACITÉ</w:t>
      </w:r>
      <w:r w:rsidRPr="00CE7DE5">
        <w:rPr>
          <w:rFonts w:asciiTheme="majorBidi" w:hAnsiTheme="majorBidi" w:cstheme="majorBidi"/>
          <w:b/>
          <w:bCs/>
          <w:caps/>
          <w:snapToGrid w:val="0"/>
          <w:kern w:val="22"/>
          <w:lang w:val="fr-FR"/>
        </w:rPr>
        <w:t xml:space="preserve"> du Protocole (article 35) et </w:t>
      </w:r>
      <w:r w:rsidR="008B65FB" w:rsidRPr="00CE7DE5">
        <w:rPr>
          <w:rFonts w:asciiTheme="majorBidi" w:hAnsiTheme="majorBidi" w:cstheme="majorBidi"/>
          <w:b/>
          <w:bCs/>
          <w:caps/>
          <w:snapToGrid w:val="0"/>
          <w:kern w:val="22"/>
          <w:lang w:val="fr-FR"/>
        </w:rPr>
        <w:t>ÉVALUATION</w:t>
      </w:r>
      <w:r w:rsidRPr="00CE7DE5">
        <w:rPr>
          <w:rFonts w:asciiTheme="majorBidi" w:hAnsiTheme="majorBidi" w:cstheme="majorBidi"/>
          <w:b/>
          <w:bCs/>
          <w:caps/>
          <w:snapToGrid w:val="0"/>
          <w:kern w:val="22"/>
          <w:lang w:val="fr-FR"/>
        </w:rPr>
        <w:t xml:space="preserve"> finale du Plan </w:t>
      </w:r>
      <w:r w:rsidR="008B65FB" w:rsidRPr="00CE7DE5">
        <w:rPr>
          <w:rFonts w:asciiTheme="majorBidi" w:hAnsiTheme="majorBidi" w:cstheme="majorBidi"/>
          <w:b/>
          <w:bCs/>
          <w:caps/>
          <w:snapToGrid w:val="0"/>
          <w:kern w:val="22"/>
          <w:lang w:val="fr-FR"/>
        </w:rPr>
        <w:t>STRATÉGIQUE</w:t>
      </w:r>
      <w:r w:rsidRPr="00CE7DE5">
        <w:rPr>
          <w:rFonts w:asciiTheme="majorBidi" w:hAnsiTheme="majorBidi" w:cstheme="majorBidi"/>
          <w:b/>
          <w:bCs/>
          <w:caps/>
          <w:snapToGrid w:val="0"/>
          <w:kern w:val="22"/>
          <w:lang w:val="fr-FR"/>
        </w:rPr>
        <w:t xml:space="preserve"> relatif au Protocole de Cartagena pour la </w:t>
      </w:r>
      <w:r w:rsidR="008B65FB" w:rsidRPr="00CE7DE5">
        <w:rPr>
          <w:rFonts w:asciiTheme="majorBidi" w:hAnsiTheme="majorBidi" w:cstheme="majorBidi"/>
          <w:b/>
          <w:bCs/>
          <w:caps/>
          <w:snapToGrid w:val="0"/>
          <w:kern w:val="22"/>
          <w:lang w:val="fr-FR"/>
        </w:rPr>
        <w:t>PÉRIODE</w:t>
      </w:r>
      <w:r w:rsidRPr="00CE7DE5">
        <w:rPr>
          <w:rFonts w:asciiTheme="majorBidi" w:hAnsiTheme="majorBidi" w:cstheme="majorBidi"/>
          <w:b/>
          <w:bCs/>
          <w:caps/>
          <w:snapToGrid w:val="0"/>
          <w:kern w:val="22"/>
          <w:lang w:val="fr-FR"/>
        </w:rPr>
        <w:t xml:space="preserve"> 2011-2020</w:t>
      </w:r>
    </w:p>
    <w:p w14:paraId="4062A8DE" w14:textId="512B6F4B" w:rsidR="00097EE2" w:rsidRPr="00CE7DE5" w:rsidRDefault="00097EE2"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i/>
          <w:iCs/>
          <w:color w:val="000000"/>
          <w:lang w:val="fr-FR"/>
        </w:rPr>
        <w:t xml:space="preserve"> </w:t>
      </w:r>
      <w:r w:rsidR="00CE7DE5" w:rsidRPr="00CE7DE5">
        <w:rPr>
          <w:rFonts w:asciiTheme="majorBidi" w:eastAsia="MS Mincho" w:hAnsiTheme="majorBidi" w:cstheme="majorBidi"/>
          <w:i/>
          <w:iCs/>
          <w:color w:val="000000"/>
          <w:lang w:val="fr-FR"/>
        </w:rPr>
        <w:t>sur la base du rapport du Groupe de travail II</w:t>
      </w:r>
      <w:r w:rsidRPr="00CE7DE5">
        <w:rPr>
          <w:rFonts w:asciiTheme="majorBidi" w:eastAsia="MS Mincho" w:hAnsiTheme="majorBidi" w:cstheme="majorBidi"/>
          <w:color w:val="000000"/>
          <w:lang w:val="fr-FR"/>
        </w:rPr>
        <w:t>]</w:t>
      </w:r>
    </w:p>
    <w:p w14:paraId="1137A968" w14:textId="79316CBB" w:rsidR="00097EE2" w:rsidRPr="00CE7DE5" w:rsidRDefault="00CE7DE5" w:rsidP="00D50F9F">
      <w:pPr>
        <w:pStyle w:val="Para1"/>
        <w:suppressLineNumbers/>
        <w:suppressAutoHyphens/>
        <w:kinsoku w:val="0"/>
        <w:overflowPunct w:val="0"/>
        <w:autoSpaceDE w:val="0"/>
        <w:autoSpaceDN w:val="0"/>
        <w:snapToGrid w:val="0"/>
        <w:rPr>
          <w:lang w:val="fr-FR"/>
        </w:rPr>
      </w:pPr>
      <w:r w:rsidRPr="00CE7DE5">
        <w:rPr>
          <w:lang w:val="fr-FR"/>
        </w:rPr>
        <w:t>À la deuxième session de la deuxième partie de la réunion, le 10 décembre, la Conférence des Parties siégeant en tant que Réunion des Parties a examiné le projet de décision CBD/CP/MOP/10/L.9 et l'a adopté, tel qu'il a été modifié oralement, en tant que décision CP-10/[ ] (pour le texte, voir chap. I, page [ ])</w:t>
      </w:r>
      <w:r w:rsidR="00097EE2" w:rsidRPr="00CE7DE5">
        <w:rPr>
          <w:lang w:val="fr-FR"/>
        </w:rPr>
        <w:t>.</w:t>
      </w:r>
    </w:p>
    <w:p w14:paraId="7B65D00E" w14:textId="32CDFBD2" w:rsidR="006A1DE3" w:rsidRPr="00CE7DE5" w:rsidRDefault="00617788" w:rsidP="00D50F9F">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POINT</w:t>
      </w:r>
      <w:r w:rsidR="00A716F5" w:rsidRPr="00CE7DE5">
        <w:rPr>
          <w:rFonts w:asciiTheme="majorBidi" w:hAnsiTheme="majorBidi" w:cstheme="majorBidi"/>
          <w:b/>
          <w:bCs/>
          <w:caps/>
          <w:snapToGrid w:val="0"/>
          <w:kern w:val="22"/>
          <w:lang w:val="fr-FR"/>
        </w:rPr>
        <w:t xml:space="preserve"> 10</w:t>
      </w:r>
      <w:r w:rsidR="008D5E8B" w:rsidRPr="00CE7DE5">
        <w:rPr>
          <w:rFonts w:asciiTheme="majorBidi" w:hAnsiTheme="majorBidi" w:cstheme="majorBidi"/>
          <w:b/>
          <w:bCs/>
          <w:caps/>
          <w:snapToGrid w:val="0"/>
          <w:kern w:val="22"/>
          <w:lang w:val="fr-FR"/>
        </w:rPr>
        <w:t>.</w:t>
      </w:r>
      <w:r w:rsidR="00A716F5" w:rsidRPr="00CE7DE5">
        <w:rPr>
          <w:rFonts w:asciiTheme="majorBidi" w:hAnsiTheme="majorBidi" w:cstheme="majorBidi"/>
          <w:b/>
          <w:bCs/>
          <w:caps/>
          <w:snapToGrid w:val="0"/>
          <w:kern w:val="22"/>
          <w:lang w:val="fr-FR"/>
        </w:rPr>
        <w:tab/>
      </w:r>
      <w:r w:rsidRPr="00CE7DE5">
        <w:rPr>
          <w:rFonts w:asciiTheme="majorBidi" w:hAnsiTheme="majorBidi" w:cstheme="majorBidi"/>
          <w:b/>
          <w:bCs/>
          <w:caps/>
          <w:snapToGrid w:val="0"/>
          <w:kern w:val="22"/>
          <w:lang w:val="fr-FR"/>
        </w:rPr>
        <w:t xml:space="preserve">Questions relatives au </w:t>
      </w:r>
      <w:r w:rsidR="008B65FB" w:rsidRPr="00CE7DE5">
        <w:rPr>
          <w:rFonts w:asciiTheme="majorBidi" w:hAnsiTheme="majorBidi" w:cstheme="majorBidi"/>
          <w:b/>
          <w:bCs/>
          <w:caps/>
          <w:snapToGrid w:val="0"/>
          <w:kern w:val="22"/>
          <w:lang w:val="fr-FR"/>
        </w:rPr>
        <w:t>MÉCANISME</w:t>
      </w:r>
      <w:r w:rsidRPr="00CE7DE5">
        <w:rPr>
          <w:rFonts w:asciiTheme="majorBidi" w:hAnsiTheme="majorBidi" w:cstheme="majorBidi"/>
          <w:b/>
          <w:bCs/>
          <w:caps/>
          <w:snapToGrid w:val="0"/>
          <w:kern w:val="22"/>
          <w:lang w:val="fr-FR"/>
        </w:rPr>
        <w:t xml:space="preserve"> de financement et aux ressources </w:t>
      </w:r>
      <w:r w:rsidR="008B65FB" w:rsidRPr="00CE7DE5">
        <w:rPr>
          <w:rFonts w:asciiTheme="majorBidi" w:hAnsiTheme="majorBidi" w:cstheme="majorBidi"/>
          <w:b/>
          <w:bCs/>
          <w:caps/>
          <w:snapToGrid w:val="0"/>
          <w:kern w:val="22"/>
          <w:lang w:val="fr-FR"/>
        </w:rPr>
        <w:t>FINANCIÈRES</w:t>
      </w:r>
      <w:r w:rsidRPr="00CE7DE5">
        <w:rPr>
          <w:rFonts w:asciiTheme="majorBidi" w:hAnsiTheme="majorBidi" w:cstheme="majorBidi"/>
          <w:b/>
          <w:bCs/>
          <w:caps/>
          <w:snapToGrid w:val="0"/>
          <w:kern w:val="22"/>
          <w:lang w:val="fr-FR"/>
        </w:rPr>
        <w:t xml:space="preserve"> (article 28</w:t>
      </w:r>
    </w:p>
    <w:p w14:paraId="53731390" w14:textId="7ACAA9AC" w:rsidR="00575F20" w:rsidRPr="00CE7DE5" w:rsidRDefault="00575F20"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color w:val="000000"/>
          <w:lang w:val="fr-FR"/>
        </w:rPr>
        <w:t>]</w:t>
      </w:r>
    </w:p>
    <w:p w14:paraId="0BEBA300" w14:textId="38C53D1E" w:rsidR="006A1DE3" w:rsidRPr="00CE7DE5" w:rsidRDefault="00617788" w:rsidP="00D50F9F">
      <w:pPr>
        <w:keepNext/>
        <w:kinsoku w:val="0"/>
        <w:overflowPunct w:val="0"/>
        <w:autoSpaceDE w:val="0"/>
        <w:autoSpaceDN w:val="0"/>
        <w:spacing w:before="240" w:after="120"/>
        <w:ind w:left="1712" w:right="970" w:hanging="1287"/>
        <w:jc w:val="left"/>
        <w:outlineLvl w:val="0"/>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POINT</w:t>
      </w:r>
      <w:r w:rsidR="00A716F5" w:rsidRPr="00CE7DE5">
        <w:rPr>
          <w:rFonts w:asciiTheme="majorBidi" w:hAnsiTheme="majorBidi" w:cstheme="majorBidi"/>
          <w:b/>
          <w:bCs/>
          <w:caps/>
          <w:snapToGrid w:val="0"/>
          <w:kern w:val="22"/>
          <w:lang w:val="fr-FR"/>
        </w:rPr>
        <w:t xml:space="preserve"> 11</w:t>
      </w:r>
      <w:r w:rsidR="008D5E8B" w:rsidRPr="00CE7DE5">
        <w:rPr>
          <w:rFonts w:asciiTheme="majorBidi" w:hAnsiTheme="majorBidi" w:cstheme="majorBidi"/>
          <w:b/>
          <w:bCs/>
          <w:caps/>
          <w:snapToGrid w:val="0"/>
          <w:kern w:val="22"/>
          <w:lang w:val="fr-FR"/>
        </w:rPr>
        <w:t>.</w:t>
      </w:r>
      <w:r w:rsidR="00A716F5" w:rsidRPr="00CE7DE5">
        <w:rPr>
          <w:rFonts w:asciiTheme="majorBidi" w:hAnsiTheme="majorBidi" w:cstheme="majorBidi"/>
          <w:b/>
          <w:bCs/>
          <w:caps/>
          <w:snapToGrid w:val="0"/>
          <w:kern w:val="22"/>
          <w:lang w:val="fr-FR"/>
        </w:rPr>
        <w:tab/>
      </w:r>
      <w:r w:rsidRPr="00CE7DE5">
        <w:rPr>
          <w:rFonts w:asciiTheme="majorBidi" w:hAnsiTheme="majorBidi" w:cstheme="majorBidi"/>
          <w:b/>
          <w:bCs/>
          <w:caps/>
          <w:snapToGrid w:val="0"/>
          <w:kern w:val="22"/>
          <w:lang w:val="fr-FR"/>
        </w:rPr>
        <w:t xml:space="preserve">Fonctionnement et </w:t>
      </w:r>
      <w:r w:rsidR="008B65FB" w:rsidRPr="00CE7DE5">
        <w:rPr>
          <w:rFonts w:asciiTheme="majorBidi" w:hAnsiTheme="majorBidi" w:cstheme="majorBidi"/>
          <w:b/>
          <w:bCs/>
          <w:caps/>
          <w:snapToGrid w:val="0"/>
          <w:kern w:val="22"/>
          <w:lang w:val="fr-FR"/>
        </w:rPr>
        <w:t>ACTIVITÉS</w:t>
      </w:r>
      <w:r w:rsidRPr="00CE7DE5">
        <w:rPr>
          <w:rFonts w:asciiTheme="majorBidi" w:hAnsiTheme="majorBidi" w:cstheme="majorBidi"/>
          <w:b/>
          <w:bCs/>
          <w:caps/>
          <w:snapToGrid w:val="0"/>
          <w:kern w:val="22"/>
          <w:lang w:val="fr-FR"/>
        </w:rPr>
        <w:t xml:space="preserve"> du Centre d’</w:t>
      </w:r>
      <w:r w:rsidR="008B65FB" w:rsidRPr="00CE7DE5">
        <w:rPr>
          <w:rFonts w:asciiTheme="majorBidi" w:hAnsiTheme="majorBidi" w:cstheme="majorBidi"/>
          <w:b/>
          <w:bCs/>
          <w:caps/>
          <w:snapToGrid w:val="0"/>
          <w:kern w:val="22"/>
          <w:lang w:val="fr-FR"/>
        </w:rPr>
        <w:t>ÉCHANGE</w:t>
      </w:r>
      <w:r w:rsidRPr="00CE7DE5">
        <w:rPr>
          <w:rFonts w:asciiTheme="majorBidi" w:hAnsiTheme="majorBidi" w:cstheme="majorBidi"/>
          <w:b/>
          <w:bCs/>
          <w:caps/>
          <w:snapToGrid w:val="0"/>
          <w:kern w:val="22"/>
          <w:lang w:val="fr-FR"/>
        </w:rPr>
        <w:t xml:space="preserve"> pour la prévention des risques biotechnologiques (article 20)</w:t>
      </w:r>
    </w:p>
    <w:p w14:paraId="6E1B3824" w14:textId="22EE83AD" w:rsidR="00097EE2" w:rsidRPr="00CE7DE5" w:rsidRDefault="00097EE2"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i/>
          <w:iCs/>
          <w:color w:val="000000"/>
          <w:lang w:val="fr-FR"/>
        </w:rPr>
        <w:t xml:space="preserve"> </w:t>
      </w:r>
      <w:r w:rsidR="00CE7DE5" w:rsidRPr="00CE7DE5">
        <w:rPr>
          <w:rFonts w:asciiTheme="majorBidi" w:eastAsia="MS Mincho" w:hAnsiTheme="majorBidi" w:cstheme="majorBidi"/>
          <w:i/>
          <w:iCs/>
          <w:color w:val="000000"/>
          <w:lang w:val="fr-FR"/>
        </w:rPr>
        <w:t>sur la base du rapport du Groupe de travail II</w:t>
      </w:r>
      <w:r w:rsidRPr="00CE7DE5">
        <w:rPr>
          <w:rFonts w:asciiTheme="majorBidi" w:eastAsia="MS Mincho" w:hAnsiTheme="majorBidi" w:cstheme="majorBidi"/>
          <w:color w:val="000000"/>
          <w:lang w:val="fr-FR"/>
        </w:rPr>
        <w:t>]</w:t>
      </w:r>
    </w:p>
    <w:p w14:paraId="7F26C0D9" w14:textId="306F715D" w:rsidR="00097EE2" w:rsidRPr="00CE7DE5" w:rsidRDefault="00CE7DE5" w:rsidP="00D50F9F">
      <w:pPr>
        <w:pStyle w:val="Para1"/>
        <w:suppressLineNumbers/>
        <w:suppressAutoHyphens/>
        <w:kinsoku w:val="0"/>
        <w:overflowPunct w:val="0"/>
        <w:autoSpaceDE w:val="0"/>
        <w:autoSpaceDN w:val="0"/>
        <w:snapToGrid w:val="0"/>
        <w:rPr>
          <w:lang w:val="fr-FR"/>
        </w:rPr>
      </w:pPr>
      <w:r w:rsidRPr="00CE7DE5">
        <w:rPr>
          <w:lang w:val="fr-FR"/>
        </w:rPr>
        <w:t>À la deuxième session de la partie II de la réunion, le 10 décembre, la Conférence des Parties siégeant en tant que Réunion des Parties a examiné le projet de décision CBD/CP/MOP/10/L.7 et l'a adopté en tant que décision CP-10/[ ] (pour le texte, voir chap. I, page [ ])</w:t>
      </w:r>
    </w:p>
    <w:p w14:paraId="59D3B5A2" w14:textId="35555963" w:rsidR="00D623E5" w:rsidRPr="00CE7DE5" w:rsidRDefault="00617788" w:rsidP="00D50F9F">
      <w:pPr>
        <w:kinsoku w:val="0"/>
        <w:overflowPunct w:val="0"/>
        <w:autoSpaceDE w:val="0"/>
        <w:autoSpaceDN w:val="0"/>
        <w:spacing w:before="240" w:after="120"/>
        <w:ind w:left="1701" w:right="6" w:hanging="1276"/>
        <w:jc w:val="left"/>
        <w:outlineLvl w:val="0"/>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POINT</w:t>
      </w:r>
      <w:r w:rsidR="00F32D04" w:rsidRPr="00CE7DE5">
        <w:rPr>
          <w:rFonts w:asciiTheme="majorBidi" w:hAnsiTheme="majorBidi" w:cstheme="majorBidi"/>
          <w:b/>
          <w:bCs/>
          <w:caps/>
          <w:snapToGrid w:val="0"/>
          <w:kern w:val="22"/>
          <w:lang w:val="fr-FR"/>
        </w:rPr>
        <w:t xml:space="preserve"> 12</w:t>
      </w:r>
      <w:r w:rsidR="008D5E8B" w:rsidRPr="00CE7DE5">
        <w:rPr>
          <w:rFonts w:asciiTheme="majorBidi" w:hAnsiTheme="majorBidi" w:cstheme="majorBidi"/>
          <w:b/>
          <w:bCs/>
          <w:caps/>
          <w:snapToGrid w:val="0"/>
          <w:kern w:val="22"/>
          <w:lang w:val="fr-FR"/>
        </w:rPr>
        <w:t>.</w:t>
      </w:r>
      <w:r w:rsidR="00F32D04" w:rsidRPr="00CE7DE5">
        <w:rPr>
          <w:rFonts w:asciiTheme="majorBidi" w:hAnsiTheme="majorBidi" w:cstheme="majorBidi"/>
          <w:b/>
          <w:bCs/>
          <w:caps/>
          <w:snapToGrid w:val="0"/>
          <w:kern w:val="22"/>
          <w:lang w:val="fr-FR"/>
        </w:rPr>
        <w:tab/>
      </w:r>
      <w:r w:rsidR="008B65FB" w:rsidRPr="00CE7DE5">
        <w:rPr>
          <w:rFonts w:asciiTheme="majorBidi" w:hAnsiTheme="majorBidi" w:cstheme="majorBidi"/>
          <w:b/>
          <w:bCs/>
          <w:caps/>
          <w:snapToGrid w:val="0"/>
          <w:kern w:val="22"/>
          <w:lang w:val="fr-FR"/>
        </w:rPr>
        <w:t>COOPÉRATION</w:t>
      </w:r>
      <w:r w:rsidRPr="00CE7DE5">
        <w:rPr>
          <w:rFonts w:asciiTheme="majorBidi" w:hAnsiTheme="majorBidi" w:cstheme="majorBidi"/>
          <w:b/>
          <w:bCs/>
          <w:caps/>
          <w:snapToGrid w:val="0"/>
          <w:kern w:val="22"/>
          <w:lang w:val="fr-FR"/>
        </w:rPr>
        <w:t xml:space="preserve"> avec d’autres organisations, conventions et initiatives</w:t>
      </w:r>
    </w:p>
    <w:p w14:paraId="306E57E5" w14:textId="5D9EAD4F" w:rsidR="00575F20" w:rsidRPr="00CE7DE5" w:rsidRDefault="00575F20"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color w:val="000000"/>
          <w:lang w:val="fr-FR"/>
        </w:rPr>
        <w:t>]</w:t>
      </w:r>
    </w:p>
    <w:p w14:paraId="5D5D0582" w14:textId="59BE3D94" w:rsidR="00A11B01" w:rsidRPr="00CE7DE5" w:rsidRDefault="00617788" w:rsidP="00D50F9F">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POINT</w:t>
      </w:r>
      <w:r w:rsidR="003B4172" w:rsidRPr="00CE7DE5">
        <w:rPr>
          <w:rFonts w:asciiTheme="majorBidi" w:hAnsiTheme="majorBidi" w:cstheme="majorBidi"/>
          <w:b/>
          <w:bCs/>
          <w:caps/>
          <w:snapToGrid w:val="0"/>
          <w:kern w:val="22"/>
          <w:lang w:val="fr-FR"/>
        </w:rPr>
        <w:t xml:space="preserve"> 13</w:t>
      </w:r>
      <w:r w:rsidR="008D5E8B" w:rsidRPr="00CE7DE5">
        <w:rPr>
          <w:rFonts w:asciiTheme="majorBidi" w:hAnsiTheme="majorBidi" w:cstheme="majorBidi"/>
          <w:b/>
          <w:bCs/>
          <w:caps/>
          <w:snapToGrid w:val="0"/>
          <w:kern w:val="22"/>
          <w:lang w:val="fr-FR"/>
        </w:rPr>
        <w:t>.</w:t>
      </w:r>
      <w:r w:rsidR="003B4172" w:rsidRPr="00CE7DE5">
        <w:rPr>
          <w:rFonts w:asciiTheme="majorBidi" w:hAnsiTheme="majorBidi" w:cstheme="majorBidi"/>
          <w:b/>
          <w:bCs/>
          <w:caps/>
          <w:snapToGrid w:val="0"/>
          <w:kern w:val="22"/>
          <w:lang w:val="fr-FR"/>
        </w:rPr>
        <w:tab/>
      </w:r>
      <w:r w:rsidRPr="00CE7DE5">
        <w:rPr>
          <w:rFonts w:asciiTheme="majorBidi" w:hAnsiTheme="majorBidi" w:cstheme="majorBidi"/>
          <w:b/>
          <w:bCs/>
          <w:caps/>
          <w:snapToGrid w:val="0"/>
          <w:kern w:val="22"/>
          <w:lang w:val="fr-FR"/>
        </w:rPr>
        <w:t>Examen de l’</w:t>
      </w:r>
      <w:r w:rsidR="008B65FB" w:rsidRPr="00CE7DE5">
        <w:rPr>
          <w:rFonts w:asciiTheme="majorBidi" w:hAnsiTheme="majorBidi" w:cstheme="majorBidi"/>
          <w:b/>
          <w:bCs/>
          <w:caps/>
          <w:snapToGrid w:val="0"/>
          <w:kern w:val="22"/>
          <w:lang w:val="fr-FR"/>
        </w:rPr>
        <w:t>EFFICACITÉ</w:t>
      </w:r>
      <w:r w:rsidRPr="00CE7DE5">
        <w:rPr>
          <w:rFonts w:asciiTheme="majorBidi" w:hAnsiTheme="majorBidi" w:cstheme="majorBidi"/>
          <w:b/>
          <w:bCs/>
          <w:caps/>
          <w:snapToGrid w:val="0"/>
          <w:kern w:val="22"/>
          <w:lang w:val="fr-FR"/>
        </w:rPr>
        <w:t xml:space="preserve"> des structures et des processus au titre de la Convention et de ses Protocoles</w:t>
      </w:r>
    </w:p>
    <w:p w14:paraId="0E0ADA36" w14:textId="76B1C7BE" w:rsidR="006E0F0C" w:rsidRPr="00CE7DE5" w:rsidRDefault="006E0F0C" w:rsidP="00D50F9F">
      <w:pPr>
        <w:pStyle w:val="Para1"/>
        <w:suppressLineNumbers/>
        <w:suppressAutoHyphens/>
        <w:kinsoku w:val="0"/>
        <w:overflowPunct w:val="0"/>
        <w:autoSpaceDE w:val="0"/>
        <w:autoSpaceDN w:val="0"/>
        <w:snapToGrid w:val="0"/>
        <w:rPr>
          <w:lang w:val="fr-FR"/>
        </w:rPr>
      </w:pPr>
      <w:bookmarkStart w:id="7" w:name="_Hlk122182305"/>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i/>
          <w:iCs/>
          <w:color w:val="000000"/>
          <w:lang w:val="fr-FR"/>
        </w:rPr>
        <w:t xml:space="preserve"> </w:t>
      </w:r>
      <w:r w:rsidR="00CE7DE5" w:rsidRPr="00CE7DE5">
        <w:rPr>
          <w:rFonts w:asciiTheme="majorBidi" w:eastAsia="MS Mincho" w:hAnsiTheme="majorBidi" w:cstheme="majorBidi"/>
          <w:i/>
          <w:iCs/>
          <w:color w:val="000000"/>
          <w:lang w:val="fr-FR"/>
        </w:rPr>
        <w:t>sur la base du rapport du Groupe de travail II</w:t>
      </w:r>
      <w:r w:rsidRPr="00CE7DE5">
        <w:rPr>
          <w:rFonts w:asciiTheme="majorBidi" w:eastAsia="MS Mincho" w:hAnsiTheme="majorBidi" w:cstheme="majorBidi"/>
          <w:color w:val="000000"/>
          <w:lang w:val="fr-FR"/>
        </w:rPr>
        <w:t>]</w:t>
      </w:r>
    </w:p>
    <w:p w14:paraId="7962747B" w14:textId="548E9E63" w:rsidR="00BF2DD6" w:rsidRPr="00CE7DE5" w:rsidRDefault="00CE7DE5" w:rsidP="00D50F9F">
      <w:pPr>
        <w:pStyle w:val="Para1"/>
        <w:suppressLineNumbers/>
        <w:suppressAutoHyphens/>
        <w:kinsoku w:val="0"/>
        <w:overflowPunct w:val="0"/>
        <w:autoSpaceDE w:val="0"/>
        <w:autoSpaceDN w:val="0"/>
        <w:snapToGrid w:val="0"/>
        <w:rPr>
          <w:lang w:val="fr-FR"/>
        </w:rPr>
      </w:pPr>
      <w:r w:rsidRPr="00CE7DE5">
        <w:rPr>
          <w:lang w:val="fr-FR"/>
        </w:rPr>
        <w:t>À la deuxième session de la partie II de la réunion, le 10 décembre, la Conférence des Parties siégeant en tant que Réunion des Parties a examiné le projet de décision CBD/CP/MOP/10/L.11 et l'a adopté en tant que décision CP-10/[ ] (pour le texte, voir chap. I, page [ ]).</w:t>
      </w:r>
    </w:p>
    <w:bookmarkEnd w:id="7"/>
    <w:p w14:paraId="48B1FA3A" w14:textId="70A80F46" w:rsidR="00783258" w:rsidRPr="00CE7DE5" w:rsidRDefault="00617788" w:rsidP="00D50F9F">
      <w:pPr>
        <w:pStyle w:val="Titre1"/>
        <w:rPr>
          <w:lang w:val="fr-FR"/>
        </w:rPr>
      </w:pPr>
      <w:r w:rsidRPr="00CE7DE5">
        <w:rPr>
          <w:lang w:val="fr-FR"/>
        </w:rPr>
        <w:t>POINT</w:t>
      </w:r>
      <w:r w:rsidR="00783258" w:rsidRPr="00CE7DE5">
        <w:rPr>
          <w:lang w:val="fr-FR"/>
        </w:rPr>
        <w:t xml:space="preserve"> 14</w:t>
      </w:r>
      <w:r w:rsidR="008D5E8B" w:rsidRPr="00CE7DE5">
        <w:rPr>
          <w:lang w:val="fr-FR"/>
        </w:rPr>
        <w:t>.</w:t>
      </w:r>
      <w:r w:rsidR="00783258" w:rsidRPr="00CE7DE5">
        <w:rPr>
          <w:lang w:val="fr-FR"/>
        </w:rPr>
        <w:tab/>
      </w:r>
      <w:r w:rsidRPr="00CE7DE5">
        <w:rPr>
          <w:lang w:val="fr-FR"/>
        </w:rPr>
        <w:t>Évaluation des risques et gestion des risques (articles 15 et 16)</w:t>
      </w:r>
    </w:p>
    <w:p w14:paraId="12B6F902" w14:textId="089D3947" w:rsidR="00097EE2" w:rsidRPr="00CE7DE5" w:rsidRDefault="00097EE2"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i/>
          <w:iCs/>
          <w:color w:val="000000"/>
          <w:lang w:val="fr-FR"/>
        </w:rPr>
        <w:t xml:space="preserve"> </w:t>
      </w:r>
      <w:r w:rsidR="00CE7DE5" w:rsidRPr="00CE7DE5">
        <w:rPr>
          <w:rFonts w:asciiTheme="majorBidi" w:eastAsia="MS Mincho" w:hAnsiTheme="majorBidi" w:cstheme="majorBidi"/>
          <w:i/>
          <w:iCs/>
          <w:color w:val="000000"/>
          <w:lang w:val="fr-FR"/>
        </w:rPr>
        <w:t>sur la base du rapport du Groupe de travail II</w:t>
      </w:r>
      <w:r w:rsidRPr="00CE7DE5">
        <w:rPr>
          <w:rFonts w:asciiTheme="majorBidi" w:eastAsia="MS Mincho" w:hAnsiTheme="majorBidi" w:cstheme="majorBidi"/>
          <w:color w:val="000000"/>
          <w:lang w:val="fr-FR"/>
        </w:rPr>
        <w:t>]</w:t>
      </w:r>
    </w:p>
    <w:p w14:paraId="5286970C" w14:textId="720A07D1" w:rsidR="00097EE2" w:rsidRPr="00CE7DE5" w:rsidRDefault="00CE7DE5" w:rsidP="00D50F9F">
      <w:pPr>
        <w:pStyle w:val="Para1"/>
        <w:suppressLineNumbers/>
        <w:suppressAutoHyphens/>
        <w:kinsoku w:val="0"/>
        <w:overflowPunct w:val="0"/>
        <w:autoSpaceDE w:val="0"/>
        <w:autoSpaceDN w:val="0"/>
        <w:snapToGrid w:val="0"/>
        <w:rPr>
          <w:lang w:val="fr-FR"/>
        </w:rPr>
      </w:pPr>
      <w:r w:rsidRPr="00CE7DE5">
        <w:rPr>
          <w:lang w:val="fr-FR"/>
        </w:rPr>
        <w:lastRenderedPageBreak/>
        <w:t>À la deuxième session de la deuxième partie de la réunion, le 10 décembre, la Conférence des Parties siégeant en tant que Réunion des Parties a examiné le projet de décision CBD/CP/MOP/10/L.8 et l'a adopté en tant que décision CP-10/[ ] (pour le texte, voir chap. I, page [ ]).</w:t>
      </w:r>
    </w:p>
    <w:p w14:paraId="2AF61AF6" w14:textId="19033CD1" w:rsidR="00A11B01" w:rsidRPr="00CE7DE5" w:rsidRDefault="00617788" w:rsidP="00D50F9F">
      <w:pPr>
        <w:pStyle w:val="Titre1"/>
        <w:rPr>
          <w:lang w:val="fr-FR"/>
        </w:rPr>
      </w:pPr>
      <w:r w:rsidRPr="00CE7DE5">
        <w:rPr>
          <w:lang w:val="fr-FR"/>
        </w:rPr>
        <w:t>POINT</w:t>
      </w:r>
      <w:r w:rsidR="003B4172" w:rsidRPr="00CE7DE5">
        <w:rPr>
          <w:lang w:val="fr-FR"/>
        </w:rPr>
        <w:t xml:space="preserve"> 15</w:t>
      </w:r>
      <w:r w:rsidR="008D5E8B" w:rsidRPr="00CE7DE5">
        <w:rPr>
          <w:lang w:val="fr-FR"/>
        </w:rPr>
        <w:t>.</w:t>
      </w:r>
      <w:r w:rsidR="003B4172" w:rsidRPr="00CE7DE5">
        <w:rPr>
          <w:lang w:val="fr-FR"/>
        </w:rPr>
        <w:tab/>
      </w:r>
      <w:r w:rsidR="008B65FB" w:rsidRPr="00CE7DE5">
        <w:rPr>
          <w:lang w:val="fr-FR"/>
        </w:rPr>
        <w:t>DÉTECTION</w:t>
      </w:r>
      <w:r w:rsidRPr="00CE7DE5">
        <w:rPr>
          <w:lang w:val="fr-FR"/>
        </w:rPr>
        <w:t xml:space="preserve"> et identification d'organismes vivants modifiés</w:t>
      </w:r>
    </w:p>
    <w:p w14:paraId="4C73BD4F" w14:textId="451CBA98" w:rsidR="00097EE2" w:rsidRPr="00CE7DE5" w:rsidRDefault="00097EE2"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i/>
          <w:iCs/>
          <w:color w:val="000000"/>
          <w:lang w:val="fr-FR"/>
        </w:rPr>
        <w:t xml:space="preserve"> </w:t>
      </w:r>
      <w:r w:rsidR="00CE7DE5" w:rsidRPr="00CE7DE5">
        <w:rPr>
          <w:rFonts w:asciiTheme="majorBidi" w:eastAsia="MS Mincho" w:hAnsiTheme="majorBidi" w:cstheme="majorBidi"/>
          <w:i/>
          <w:iCs/>
          <w:color w:val="000000"/>
          <w:lang w:val="fr-FR"/>
        </w:rPr>
        <w:t>sur la base du rapport du Groupe de travail II</w:t>
      </w:r>
      <w:r w:rsidRPr="00CE7DE5">
        <w:rPr>
          <w:rFonts w:asciiTheme="majorBidi" w:eastAsia="MS Mincho" w:hAnsiTheme="majorBidi" w:cstheme="majorBidi"/>
          <w:color w:val="000000"/>
          <w:lang w:val="fr-FR"/>
        </w:rPr>
        <w:t>]</w:t>
      </w:r>
    </w:p>
    <w:p w14:paraId="78241F9A" w14:textId="1D34313E" w:rsidR="00097EE2" w:rsidRPr="00CE7DE5" w:rsidRDefault="00CE7DE5" w:rsidP="00D50F9F">
      <w:pPr>
        <w:pStyle w:val="Para1"/>
        <w:rPr>
          <w:lang w:val="fr-FR"/>
        </w:rPr>
      </w:pPr>
      <w:r w:rsidRPr="00CE7DE5">
        <w:rPr>
          <w:lang w:val="fr-FR"/>
        </w:rPr>
        <w:t>À la deuxième session de la deuxième partie de la réunion, le 10 décembre, la Conférence des Parties siégeant en tant que Réunion des Parties a adopté la décision CP-10/[ ], telle qu'elle a été modifiée oralement (pour le texte, voir chap. I, page [ ]).</w:t>
      </w:r>
    </w:p>
    <w:p w14:paraId="0A037152" w14:textId="6E6F1527" w:rsidR="00D623E5" w:rsidRPr="00CE7DE5" w:rsidRDefault="00617788" w:rsidP="00D50F9F">
      <w:pPr>
        <w:pStyle w:val="Titre1"/>
        <w:rPr>
          <w:lang w:val="fr-FR"/>
        </w:rPr>
      </w:pPr>
      <w:r w:rsidRPr="00CE7DE5">
        <w:rPr>
          <w:lang w:val="fr-FR"/>
        </w:rPr>
        <w:t>POINT</w:t>
      </w:r>
      <w:r w:rsidR="00783258" w:rsidRPr="00CE7DE5">
        <w:rPr>
          <w:lang w:val="fr-FR"/>
        </w:rPr>
        <w:t xml:space="preserve"> </w:t>
      </w:r>
      <w:r w:rsidR="00E638D8" w:rsidRPr="00CE7DE5">
        <w:rPr>
          <w:lang w:val="fr-FR"/>
        </w:rPr>
        <w:t>16</w:t>
      </w:r>
      <w:r w:rsidR="008D5E8B" w:rsidRPr="00CE7DE5">
        <w:rPr>
          <w:lang w:val="fr-FR"/>
        </w:rPr>
        <w:t>.</w:t>
      </w:r>
      <w:r w:rsidR="00783258" w:rsidRPr="00CE7DE5">
        <w:rPr>
          <w:lang w:val="fr-FR"/>
        </w:rPr>
        <w:tab/>
      </w:r>
      <w:r w:rsidR="008B65FB" w:rsidRPr="00CE7DE5">
        <w:rPr>
          <w:bCs/>
          <w:snapToGrid w:val="0"/>
          <w:kern w:val="22"/>
          <w:szCs w:val="22"/>
          <w:lang w:val="fr-FR"/>
        </w:rPr>
        <w:t>CONSIDÉRATIONS</w:t>
      </w:r>
      <w:r w:rsidRPr="00CE7DE5">
        <w:rPr>
          <w:bCs/>
          <w:snapToGrid w:val="0"/>
          <w:kern w:val="22"/>
          <w:szCs w:val="22"/>
          <w:lang w:val="fr-FR"/>
        </w:rPr>
        <w:t xml:space="preserve"> </w:t>
      </w:r>
      <w:r w:rsidR="008B65FB" w:rsidRPr="00CE7DE5">
        <w:rPr>
          <w:bCs/>
          <w:snapToGrid w:val="0"/>
          <w:kern w:val="22"/>
          <w:szCs w:val="22"/>
          <w:lang w:val="fr-FR"/>
        </w:rPr>
        <w:t>SOCIO-ÉCONOMIQUES</w:t>
      </w:r>
      <w:r w:rsidRPr="00CE7DE5">
        <w:rPr>
          <w:bCs/>
          <w:snapToGrid w:val="0"/>
          <w:kern w:val="22"/>
          <w:szCs w:val="22"/>
          <w:lang w:val="fr-FR"/>
        </w:rPr>
        <w:t xml:space="preserve"> (article 26)</w:t>
      </w:r>
    </w:p>
    <w:p w14:paraId="412B85F5" w14:textId="26FB7C18" w:rsidR="000E50F4" w:rsidRPr="00CE7DE5" w:rsidRDefault="000E50F4"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i/>
          <w:iCs/>
          <w:color w:val="000000"/>
          <w:lang w:val="fr-FR"/>
        </w:rPr>
        <w:t xml:space="preserve"> </w:t>
      </w:r>
      <w:r w:rsidR="00CE7DE5" w:rsidRPr="00CE7DE5">
        <w:rPr>
          <w:rFonts w:asciiTheme="majorBidi" w:eastAsia="MS Mincho" w:hAnsiTheme="majorBidi" w:cstheme="majorBidi"/>
          <w:i/>
          <w:iCs/>
          <w:color w:val="000000"/>
          <w:lang w:val="fr-FR"/>
        </w:rPr>
        <w:t>sur la base du rapport du Groupe de travail II</w:t>
      </w:r>
      <w:r w:rsidRPr="00CE7DE5">
        <w:rPr>
          <w:rFonts w:asciiTheme="majorBidi" w:eastAsia="MS Mincho" w:hAnsiTheme="majorBidi" w:cstheme="majorBidi"/>
          <w:color w:val="000000"/>
          <w:lang w:val="fr-FR"/>
        </w:rPr>
        <w:t>]</w:t>
      </w:r>
    </w:p>
    <w:p w14:paraId="2BBD02B4" w14:textId="007FC9C8" w:rsidR="00575F20" w:rsidRPr="00CE7DE5" w:rsidRDefault="00CE7DE5" w:rsidP="00D50F9F">
      <w:pPr>
        <w:pStyle w:val="Para1"/>
        <w:suppressLineNumbers/>
        <w:suppressAutoHyphens/>
        <w:kinsoku w:val="0"/>
        <w:overflowPunct w:val="0"/>
        <w:autoSpaceDE w:val="0"/>
        <w:autoSpaceDN w:val="0"/>
        <w:snapToGrid w:val="0"/>
        <w:rPr>
          <w:lang w:val="fr-FR"/>
        </w:rPr>
      </w:pPr>
      <w:r w:rsidRPr="00CE7DE5">
        <w:rPr>
          <w:lang w:val="fr-FR"/>
        </w:rPr>
        <w:t>À la deuxième session de la partie II de la réunion, le 10 décembre, la Conférence des Parties siégeant en tant que Réunion des Parties a examiné le projet de décision CBD/CP/MOP/10/L.6 et l'a adopté en tant que décision CP-10/[ ] (pour le texte, voir le chapitre I).</w:t>
      </w:r>
    </w:p>
    <w:p w14:paraId="476397EA" w14:textId="5BD5ADBF" w:rsidR="008C52BD" w:rsidRPr="00CE7DE5" w:rsidRDefault="00617788" w:rsidP="00D50F9F">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lang w:val="fr-FR"/>
        </w:rPr>
      </w:pPr>
      <w:r w:rsidRPr="00CE7DE5">
        <w:rPr>
          <w:rFonts w:asciiTheme="majorBidi" w:hAnsiTheme="majorBidi" w:cstheme="majorBidi"/>
          <w:b/>
          <w:bCs/>
          <w:caps/>
          <w:snapToGrid w:val="0"/>
          <w:kern w:val="22"/>
          <w:lang w:val="fr-FR"/>
        </w:rPr>
        <w:t>POINT</w:t>
      </w:r>
      <w:r w:rsidR="00783258" w:rsidRPr="00CE7DE5">
        <w:rPr>
          <w:rFonts w:asciiTheme="majorBidi" w:hAnsiTheme="majorBidi" w:cstheme="majorBidi"/>
          <w:b/>
          <w:bCs/>
          <w:caps/>
          <w:snapToGrid w:val="0"/>
          <w:kern w:val="22"/>
          <w:lang w:val="fr-FR"/>
        </w:rPr>
        <w:t xml:space="preserve"> 1</w:t>
      </w:r>
      <w:r w:rsidR="006B6C07" w:rsidRPr="00CE7DE5">
        <w:rPr>
          <w:rFonts w:asciiTheme="majorBidi" w:hAnsiTheme="majorBidi" w:cstheme="majorBidi"/>
          <w:b/>
          <w:bCs/>
          <w:caps/>
          <w:snapToGrid w:val="0"/>
          <w:kern w:val="22"/>
          <w:lang w:val="fr-FR"/>
        </w:rPr>
        <w:t>7</w:t>
      </w:r>
      <w:r w:rsidR="008D5E8B" w:rsidRPr="00CE7DE5">
        <w:rPr>
          <w:rFonts w:asciiTheme="majorBidi" w:hAnsiTheme="majorBidi" w:cstheme="majorBidi"/>
          <w:b/>
          <w:bCs/>
          <w:caps/>
          <w:snapToGrid w:val="0"/>
          <w:kern w:val="22"/>
          <w:lang w:val="fr-FR"/>
        </w:rPr>
        <w:t>.</w:t>
      </w:r>
      <w:r w:rsidR="00783258" w:rsidRPr="00CE7DE5">
        <w:rPr>
          <w:rFonts w:asciiTheme="majorBidi" w:hAnsiTheme="majorBidi" w:cstheme="majorBidi"/>
          <w:b/>
          <w:bCs/>
          <w:caps/>
          <w:snapToGrid w:val="0"/>
          <w:kern w:val="22"/>
          <w:lang w:val="fr-FR"/>
        </w:rPr>
        <w:tab/>
      </w:r>
      <w:r w:rsidRPr="00CE7DE5">
        <w:rPr>
          <w:rFonts w:asciiTheme="majorBidi" w:hAnsiTheme="majorBidi" w:cstheme="majorBidi"/>
          <w:b/>
          <w:bCs/>
          <w:caps/>
          <w:snapToGrid w:val="0"/>
          <w:kern w:val="22"/>
          <w:lang w:val="fr-FR"/>
        </w:rPr>
        <w:t xml:space="preserve">Protocole additionnel de Nagoya – Kuala Lumpur sur la </w:t>
      </w:r>
      <w:r w:rsidR="008B65FB" w:rsidRPr="00CE7DE5">
        <w:rPr>
          <w:rFonts w:asciiTheme="majorBidi" w:hAnsiTheme="majorBidi" w:cstheme="majorBidi"/>
          <w:b/>
          <w:bCs/>
          <w:caps/>
          <w:snapToGrid w:val="0"/>
          <w:kern w:val="22"/>
          <w:lang w:val="fr-FR"/>
        </w:rPr>
        <w:t>RESPONSABILITÉ</w:t>
      </w:r>
      <w:r w:rsidRPr="00CE7DE5">
        <w:rPr>
          <w:rFonts w:asciiTheme="majorBidi" w:hAnsiTheme="majorBidi" w:cstheme="majorBidi"/>
          <w:b/>
          <w:bCs/>
          <w:caps/>
          <w:snapToGrid w:val="0"/>
          <w:kern w:val="22"/>
          <w:lang w:val="fr-FR"/>
        </w:rPr>
        <w:t xml:space="preserve"> et la </w:t>
      </w:r>
      <w:r w:rsidR="008B65FB" w:rsidRPr="00CE7DE5">
        <w:rPr>
          <w:rFonts w:asciiTheme="majorBidi" w:hAnsiTheme="majorBidi" w:cstheme="majorBidi"/>
          <w:b/>
          <w:bCs/>
          <w:caps/>
          <w:snapToGrid w:val="0"/>
          <w:kern w:val="22"/>
          <w:lang w:val="fr-FR"/>
        </w:rPr>
        <w:t>RÉPARATION</w:t>
      </w:r>
    </w:p>
    <w:p w14:paraId="4F6D582B" w14:textId="2B13851B" w:rsidR="000E50F4" w:rsidRPr="00CE7DE5" w:rsidRDefault="000E50F4"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i/>
          <w:iCs/>
          <w:color w:val="000000"/>
          <w:lang w:val="fr-FR"/>
        </w:rPr>
        <w:t xml:space="preserve"> </w:t>
      </w:r>
      <w:r w:rsidR="00CE7DE5" w:rsidRPr="00CE7DE5">
        <w:rPr>
          <w:rFonts w:asciiTheme="majorBidi" w:eastAsia="MS Mincho" w:hAnsiTheme="majorBidi" w:cstheme="majorBidi"/>
          <w:i/>
          <w:iCs/>
          <w:color w:val="000000"/>
          <w:lang w:val="fr-FR"/>
        </w:rPr>
        <w:t>sur la base du rapport du Groupe de travail II</w:t>
      </w:r>
      <w:r w:rsidRPr="00CE7DE5">
        <w:rPr>
          <w:rFonts w:asciiTheme="majorBidi" w:eastAsia="MS Mincho" w:hAnsiTheme="majorBidi" w:cstheme="majorBidi"/>
          <w:color w:val="000000"/>
          <w:lang w:val="fr-FR"/>
        </w:rPr>
        <w:t>]</w:t>
      </w:r>
    </w:p>
    <w:p w14:paraId="07314782" w14:textId="0D1CC793" w:rsidR="00575F20" w:rsidRPr="00CE7DE5" w:rsidRDefault="00CE7DE5" w:rsidP="00D50F9F">
      <w:pPr>
        <w:pStyle w:val="Para1"/>
        <w:suppressLineNumbers/>
        <w:suppressAutoHyphens/>
        <w:kinsoku w:val="0"/>
        <w:overflowPunct w:val="0"/>
        <w:autoSpaceDE w:val="0"/>
        <w:autoSpaceDN w:val="0"/>
        <w:snapToGrid w:val="0"/>
        <w:rPr>
          <w:lang w:val="fr-FR"/>
        </w:rPr>
      </w:pPr>
      <w:r w:rsidRPr="00CE7DE5">
        <w:rPr>
          <w:lang w:val="fr-FR"/>
        </w:rPr>
        <w:t>À la deuxième séance plénière de la deuxième partie de la réunion, le 10 décembre, la Conférence des Parties siégeant en tant que Réunion des Parties a examiné le projet de décision CBD/CP/MOP/10/L.5 et l'a adopté en tant que décision CP-10/[ ] (pour le texte, voir chap. I, page [ ]).</w:t>
      </w:r>
    </w:p>
    <w:p w14:paraId="03C38553" w14:textId="13646DF0" w:rsidR="004C0A0D" w:rsidRPr="00CE7DE5" w:rsidRDefault="00617788" w:rsidP="00D50F9F">
      <w:pPr>
        <w:pStyle w:val="Titre1"/>
        <w:rPr>
          <w:rFonts w:eastAsia="MS Mincho"/>
          <w:lang w:val="fr-FR"/>
        </w:rPr>
      </w:pPr>
      <w:r w:rsidRPr="00CE7DE5">
        <w:rPr>
          <w:lang w:val="fr-FR"/>
        </w:rPr>
        <w:t>POINT</w:t>
      </w:r>
      <w:r w:rsidR="0068142A" w:rsidRPr="00CE7DE5">
        <w:rPr>
          <w:lang w:val="fr-FR"/>
        </w:rPr>
        <w:t xml:space="preserve"> </w:t>
      </w:r>
      <w:r w:rsidR="006B6C07" w:rsidRPr="00CE7DE5">
        <w:rPr>
          <w:lang w:val="fr-FR"/>
        </w:rPr>
        <w:t>18</w:t>
      </w:r>
      <w:r w:rsidR="008D5E8B" w:rsidRPr="00CE7DE5">
        <w:rPr>
          <w:lang w:val="fr-FR"/>
        </w:rPr>
        <w:t>.</w:t>
      </w:r>
      <w:r w:rsidR="0068142A" w:rsidRPr="00CE7DE5">
        <w:rPr>
          <w:lang w:val="fr-FR"/>
        </w:rPr>
        <w:tab/>
      </w:r>
      <w:r w:rsidRPr="00CE7DE5">
        <w:rPr>
          <w:bCs/>
          <w:snapToGrid w:val="0"/>
          <w:kern w:val="22"/>
          <w:szCs w:val="22"/>
          <w:lang w:val="fr-FR"/>
        </w:rPr>
        <w:t>Questions diverses</w:t>
      </w:r>
    </w:p>
    <w:p w14:paraId="655CC309" w14:textId="48F68E43" w:rsidR="00575F20" w:rsidRPr="00CE7DE5" w:rsidRDefault="00575F20"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color w:val="000000"/>
          <w:lang w:val="fr-FR"/>
        </w:rPr>
        <w:t>]</w:t>
      </w:r>
    </w:p>
    <w:p w14:paraId="2EA5DC6C" w14:textId="7C35122A" w:rsidR="00AD3AFD" w:rsidRPr="00CE7DE5" w:rsidRDefault="00617788" w:rsidP="00D50F9F">
      <w:pPr>
        <w:pStyle w:val="Titre1"/>
        <w:rPr>
          <w:lang w:val="fr-FR"/>
        </w:rPr>
      </w:pPr>
      <w:r w:rsidRPr="00CE7DE5">
        <w:rPr>
          <w:lang w:val="fr-FR"/>
        </w:rPr>
        <w:t>POINT</w:t>
      </w:r>
      <w:r w:rsidR="003B4172" w:rsidRPr="00CE7DE5">
        <w:rPr>
          <w:lang w:val="fr-FR"/>
        </w:rPr>
        <w:t xml:space="preserve"> </w:t>
      </w:r>
      <w:r w:rsidR="007951C5" w:rsidRPr="00CE7DE5">
        <w:rPr>
          <w:lang w:val="fr-FR"/>
        </w:rPr>
        <w:t>19</w:t>
      </w:r>
      <w:r w:rsidR="003B4172" w:rsidRPr="00CE7DE5">
        <w:rPr>
          <w:lang w:val="fr-FR"/>
        </w:rPr>
        <w:t xml:space="preserve"> </w:t>
      </w:r>
      <w:r w:rsidR="008D5E8B" w:rsidRPr="00CE7DE5">
        <w:rPr>
          <w:lang w:val="fr-FR"/>
        </w:rPr>
        <w:tab/>
      </w:r>
      <w:r w:rsidRPr="00CE7DE5">
        <w:rPr>
          <w:bCs/>
          <w:snapToGrid w:val="0"/>
          <w:kern w:val="22"/>
          <w:szCs w:val="22"/>
          <w:lang w:val="fr-FR"/>
        </w:rPr>
        <w:t>Adoption du rapport</w:t>
      </w:r>
    </w:p>
    <w:p w14:paraId="2CE7A410" w14:textId="18A57F89" w:rsidR="00575F20" w:rsidRPr="00CE7DE5" w:rsidRDefault="00575F20"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color w:val="000000"/>
          <w:lang w:val="fr-FR"/>
        </w:rPr>
        <w:t>]</w:t>
      </w:r>
    </w:p>
    <w:p w14:paraId="7C0C5F17" w14:textId="6C8004F1" w:rsidR="00D623E5" w:rsidRPr="00CE7DE5" w:rsidRDefault="00617788" w:rsidP="00D50F9F">
      <w:pPr>
        <w:pStyle w:val="Titre1"/>
        <w:rPr>
          <w:lang w:val="fr-FR"/>
        </w:rPr>
      </w:pPr>
      <w:r w:rsidRPr="00CE7DE5">
        <w:rPr>
          <w:lang w:val="fr-FR"/>
        </w:rPr>
        <w:t>POINT</w:t>
      </w:r>
      <w:r w:rsidR="003B4172" w:rsidRPr="00CE7DE5">
        <w:rPr>
          <w:lang w:val="fr-FR"/>
        </w:rPr>
        <w:t xml:space="preserve"> </w:t>
      </w:r>
      <w:r w:rsidR="006B6C07" w:rsidRPr="00CE7DE5">
        <w:rPr>
          <w:lang w:val="fr-FR"/>
        </w:rPr>
        <w:t>20</w:t>
      </w:r>
      <w:r w:rsidR="008D5E8B" w:rsidRPr="00CE7DE5">
        <w:rPr>
          <w:lang w:val="fr-FR"/>
        </w:rPr>
        <w:t>.</w:t>
      </w:r>
      <w:r w:rsidR="003B4172" w:rsidRPr="00CE7DE5">
        <w:rPr>
          <w:lang w:val="fr-FR"/>
        </w:rPr>
        <w:t xml:space="preserve"> </w:t>
      </w:r>
      <w:r w:rsidR="008D5E8B" w:rsidRPr="00CE7DE5">
        <w:rPr>
          <w:lang w:val="fr-FR"/>
        </w:rPr>
        <w:tab/>
      </w:r>
      <w:r w:rsidR="00CE7DE5" w:rsidRPr="00CE7DE5">
        <w:rPr>
          <w:bCs/>
          <w:snapToGrid w:val="0"/>
          <w:kern w:val="22"/>
          <w:szCs w:val="22"/>
          <w:lang w:val="fr-FR"/>
        </w:rPr>
        <w:t>CLÔTURE</w:t>
      </w:r>
      <w:r w:rsidRPr="00CE7DE5">
        <w:rPr>
          <w:bCs/>
          <w:snapToGrid w:val="0"/>
          <w:kern w:val="22"/>
          <w:szCs w:val="22"/>
          <w:lang w:val="fr-FR"/>
        </w:rPr>
        <w:t xml:space="preserve"> de la </w:t>
      </w:r>
      <w:r w:rsidR="00CE7DE5" w:rsidRPr="00CE7DE5">
        <w:rPr>
          <w:bCs/>
          <w:snapToGrid w:val="0"/>
          <w:kern w:val="22"/>
          <w:szCs w:val="22"/>
          <w:lang w:val="fr-FR"/>
        </w:rPr>
        <w:t>RÉUNION</w:t>
      </w:r>
    </w:p>
    <w:p w14:paraId="400EEBE4" w14:textId="261C04F8" w:rsidR="00575F20" w:rsidRPr="00CE7DE5" w:rsidRDefault="00575F20" w:rsidP="00D50F9F">
      <w:pPr>
        <w:pStyle w:val="Para1"/>
        <w:suppressLineNumbers/>
        <w:suppressAutoHyphens/>
        <w:kinsoku w:val="0"/>
        <w:overflowPunct w:val="0"/>
        <w:autoSpaceDE w:val="0"/>
        <w:autoSpaceDN w:val="0"/>
        <w:snapToGrid w:val="0"/>
        <w:rPr>
          <w:lang w:val="fr-FR"/>
        </w:rPr>
      </w:pPr>
      <w:r w:rsidRPr="00CE7DE5">
        <w:rPr>
          <w:rFonts w:asciiTheme="majorBidi" w:eastAsia="MS Mincho" w:hAnsiTheme="majorBidi" w:cstheme="majorBidi"/>
          <w:color w:val="000000"/>
          <w:lang w:val="fr-FR"/>
        </w:rPr>
        <w:t>[</w:t>
      </w:r>
      <w:r w:rsidR="00532D54" w:rsidRPr="00CE7DE5">
        <w:rPr>
          <w:rFonts w:asciiTheme="majorBidi" w:eastAsia="MS Mincho" w:hAnsiTheme="majorBidi" w:cstheme="majorBidi"/>
          <w:i/>
          <w:iCs/>
          <w:color w:val="000000"/>
          <w:lang w:val="fr-FR"/>
        </w:rPr>
        <w:t>à compléter</w:t>
      </w:r>
      <w:r w:rsidRPr="00CE7DE5">
        <w:rPr>
          <w:rFonts w:asciiTheme="majorBidi" w:eastAsia="MS Mincho" w:hAnsiTheme="majorBidi" w:cstheme="majorBidi"/>
          <w:color w:val="000000"/>
          <w:lang w:val="fr-FR"/>
        </w:rPr>
        <w:t>]</w:t>
      </w:r>
      <w:r w:rsidR="00D10F43">
        <w:rPr>
          <w:rFonts w:asciiTheme="majorBidi" w:eastAsia="MS Mincho" w:hAnsiTheme="majorBidi" w:cstheme="majorBidi"/>
          <w:color w:val="000000"/>
          <w:lang w:val="fr-FR"/>
        </w:rPr>
        <w:t xml:space="preserve"> </w:t>
      </w:r>
    </w:p>
    <w:p w14:paraId="649E3838" w14:textId="67E7429B" w:rsidR="00F85044" w:rsidRPr="00CE7DE5" w:rsidRDefault="00F85044" w:rsidP="00D50F9F">
      <w:pPr>
        <w:jc w:val="left"/>
        <w:rPr>
          <w:rFonts w:asciiTheme="majorBidi" w:eastAsia="MS Mincho" w:hAnsiTheme="majorBidi" w:cstheme="majorBidi"/>
          <w:snapToGrid w:val="0"/>
          <w:color w:val="000000"/>
          <w:kern w:val="22"/>
          <w:szCs w:val="22"/>
          <w:lang w:val="fr-FR"/>
        </w:rPr>
      </w:pPr>
    </w:p>
    <w:p w14:paraId="2DF326CD" w14:textId="3401C580" w:rsidR="007F2CFF" w:rsidRPr="00CE7DE5" w:rsidRDefault="007F2CFF" w:rsidP="00D50F9F">
      <w:pPr>
        <w:jc w:val="left"/>
        <w:rPr>
          <w:rFonts w:asciiTheme="majorBidi" w:eastAsia="MS Mincho" w:hAnsiTheme="majorBidi" w:cstheme="majorBidi"/>
          <w:snapToGrid w:val="0"/>
          <w:color w:val="000000"/>
          <w:kern w:val="22"/>
          <w:szCs w:val="22"/>
          <w:lang w:val="fr-FR"/>
        </w:rPr>
      </w:pPr>
    </w:p>
    <w:p w14:paraId="43028F26" w14:textId="76A3D75B" w:rsidR="007F2CFF" w:rsidRPr="00CE7DE5" w:rsidRDefault="007F2CFF" w:rsidP="00D50F9F">
      <w:pPr>
        <w:jc w:val="left"/>
        <w:rPr>
          <w:rFonts w:asciiTheme="majorBidi" w:eastAsia="MS Mincho" w:hAnsiTheme="majorBidi" w:cstheme="majorBidi"/>
          <w:snapToGrid w:val="0"/>
          <w:color w:val="000000"/>
          <w:kern w:val="22"/>
          <w:szCs w:val="22"/>
          <w:lang w:val="fr-FR"/>
        </w:rPr>
      </w:pPr>
    </w:p>
    <w:p w14:paraId="0689B978" w14:textId="5C04D7F5" w:rsidR="007F2CFF" w:rsidRPr="00CE7DE5" w:rsidRDefault="007F2CFF" w:rsidP="00D50F9F">
      <w:pPr>
        <w:jc w:val="left"/>
        <w:rPr>
          <w:rFonts w:asciiTheme="majorBidi" w:eastAsia="MS Mincho" w:hAnsiTheme="majorBidi" w:cstheme="majorBidi"/>
          <w:snapToGrid w:val="0"/>
          <w:color w:val="000000"/>
          <w:kern w:val="22"/>
          <w:szCs w:val="22"/>
          <w:lang w:val="fr-FR"/>
        </w:rPr>
      </w:pPr>
    </w:p>
    <w:p w14:paraId="40DDC3F8" w14:textId="5D3B6EFF" w:rsidR="007F2CFF" w:rsidRPr="00CE7DE5" w:rsidRDefault="007F2CFF" w:rsidP="00D50F9F">
      <w:pPr>
        <w:jc w:val="left"/>
        <w:rPr>
          <w:rFonts w:asciiTheme="majorBidi" w:eastAsia="MS Mincho" w:hAnsiTheme="majorBidi" w:cstheme="majorBidi"/>
          <w:snapToGrid w:val="0"/>
          <w:color w:val="000000"/>
          <w:kern w:val="22"/>
          <w:szCs w:val="22"/>
          <w:lang w:val="fr-FR"/>
        </w:rPr>
      </w:pPr>
    </w:p>
    <w:sectPr w:rsidR="007F2CFF" w:rsidRPr="00CE7DE5" w:rsidSect="00BB6DDC">
      <w:headerReference w:type="even" r:id="rId16"/>
      <w:headerReference w:type="default" r:id="rId17"/>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A306A" w14:textId="77777777" w:rsidR="00850A64" w:rsidRDefault="00850A64" w:rsidP="00CF1848">
      <w:r>
        <w:separator/>
      </w:r>
    </w:p>
  </w:endnote>
  <w:endnote w:type="continuationSeparator" w:id="0">
    <w:p w14:paraId="2DD373C8" w14:textId="77777777" w:rsidR="00850A64" w:rsidRDefault="00850A64" w:rsidP="00CF1848">
      <w:r>
        <w:continuationSeparator/>
      </w:r>
    </w:p>
  </w:endnote>
  <w:endnote w:type="continuationNotice" w:id="1">
    <w:p w14:paraId="3950689A" w14:textId="77777777" w:rsidR="00850A64" w:rsidRDefault="00850A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Calibri"/>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86EED" w14:textId="77777777" w:rsidR="00850A64" w:rsidRDefault="00850A64" w:rsidP="00CF1848">
      <w:r>
        <w:separator/>
      </w:r>
    </w:p>
  </w:footnote>
  <w:footnote w:type="continuationSeparator" w:id="0">
    <w:p w14:paraId="3BD00384" w14:textId="77777777" w:rsidR="00850A64" w:rsidRDefault="00850A64" w:rsidP="00CF1848">
      <w:r>
        <w:continuationSeparator/>
      </w:r>
    </w:p>
  </w:footnote>
  <w:footnote w:type="continuationNotice" w:id="1">
    <w:p w14:paraId="1546C078" w14:textId="77777777" w:rsidR="00850A64" w:rsidRDefault="00850A64"/>
  </w:footnote>
  <w:footnote w:id="2">
    <w:p w14:paraId="7E4202B4" w14:textId="3EC2642F" w:rsidR="00532D54" w:rsidRPr="002665CB" w:rsidRDefault="00532D54" w:rsidP="00532D54">
      <w:pPr>
        <w:pStyle w:val="Notedebasdepage"/>
        <w:rPr>
          <w:lang w:val="fr-FR"/>
        </w:rPr>
      </w:pPr>
      <w:r w:rsidRPr="003D308C">
        <w:rPr>
          <w:rStyle w:val="Appelnotedebasdep"/>
          <w:u w:val="none"/>
          <w:vertAlign w:val="superscript"/>
          <w:lang w:val="fr-FR"/>
        </w:rPr>
        <w:footnoteRef/>
      </w:r>
      <w:r w:rsidRPr="003D308C">
        <w:rPr>
          <w:vertAlign w:val="superscript"/>
          <w:lang w:val="fr-FR"/>
        </w:rPr>
        <w:t xml:space="preserve"> </w:t>
      </w:r>
      <w:r w:rsidRPr="002665CB">
        <w:rPr>
          <w:kern w:val="22"/>
          <w:lang w:val="fr-FR"/>
        </w:rPr>
        <w:t xml:space="preserve">Le rapport de la première partie est publié sous la </w:t>
      </w:r>
      <w:r w:rsidR="00D50F9F" w:rsidRPr="002665CB">
        <w:rPr>
          <w:kern w:val="22"/>
          <w:lang w:val="fr-FR"/>
        </w:rPr>
        <w:t>cote CBD</w:t>
      </w:r>
      <w:r w:rsidRPr="002665CB">
        <w:rPr>
          <w:kern w:val="22"/>
          <w:lang w:val="fr-FR"/>
        </w:rPr>
        <w:t>/NP/MOP/4/4.</w:t>
      </w:r>
    </w:p>
  </w:footnote>
  <w:footnote w:id="3">
    <w:p w14:paraId="227ADBDF" w14:textId="77777777" w:rsidR="00532D54" w:rsidRPr="002665CB" w:rsidRDefault="00532D54" w:rsidP="00532D54">
      <w:pPr>
        <w:pStyle w:val="Notedebasdepage"/>
        <w:ind w:firstLine="0"/>
        <w:rPr>
          <w:lang w:val="fr-FR"/>
        </w:rPr>
      </w:pPr>
      <w:r w:rsidRPr="00CE4A98">
        <w:rPr>
          <w:rStyle w:val="Appelnotedebasdep"/>
          <w:u w:val="none"/>
          <w:vertAlign w:val="superscript"/>
          <w:lang w:val="fr-FR"/>
        </w:rPr>
        <w:footnoteRef/>
      </w:r>
      <w:r w:rsidRPr="002665CB">
        <w:rPr>
          <w:lang w:val="fr-FR"/>
        </w:rPr>
        <w:t xml:space="preserve"> Vinod Mathur (Inde), qui a été vice-président pour la première partie de la réunion, a été remplacé par Naresh Pal Gangwar, et Andrea Meza Murillo (Costa Rica), qui a été vice-président pour la première partie de la réunion, a été remplacé par Eugenia Arguedas Montezuma.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29DE" w14:textId="4D2C7DD9" w:rsidR="00112E28" w:rsidRPr="001E6565" w:rsidRDefault="00112E28" w:rsidP="00910961">
    <w:pPr>
      <w:pStyle w:val="En-tte"/>
      <w:tabs>
        <w:tab w:val="clear" w:pos="4320"/>
        <w:tab w:val="clear" w:pos="8640"/>
      </w:tabs>
      <w:rPr>
        <w:lang w:val="en-US"/>
      </w:rPr>
    </w:pPr>
    <w:r w:rsidRPr="001E6565">
      <w:rPr>
        <w:lang w:val="en-US"/>
      </w:rPr>
      <w:t>CBD/CP/MOP/10/1/Add.</w:t>
    </w:r>
    <w:r w:rsidR="00814858">
      <w:rPr>
        <w:lang w:val="en-US"/>
      </w:rPr>
      <w:t>3</w:t>
    </w:r>
  </w:p>
  <w:p w14:paraId="2417E9CA" w14:textId="77777777" w:rsidR="00112E28" w:rsidRPr="00BB6DDC" w:rsidRDefault="00112E28" w:rsidP="00910961">
    <w:pPr>
      <w:pStyle w:val="En-tte"/>
      <w:tabs>
        <w:tab w:val="clear" w:pos="4320"/>
        <w:tab w:val="clear" w:pos="8640"/>
      </w:tabs>
      <w:rPr>
        <w:lang w:val="en-US"/>
      </w:rPr>
    </w:pPr>
    <w:r w:rsidRPr="00BB6DDC">
      <w:rPr>
        <w:lang w:val="en-US"/>
      </w:rPr>
      <w:t xml:space="preserve">Page </w:t>
    </w:r>
    <w:r>
      <w:fldChar w:fldCharType="begin"/>
    </w:r>
    <w:r w:rsidRPr="00BB6DDC">
      <w:rPr>
        <w:lang w:val="en-US"/>
      </w:rPr>
      <w:instrText xml:space="preserve"> PAGE   \* MERGEFORMAT </w:instrText>
    </w:r>
    <w:r>
      <w:fldChar w:fldCharType="separate"/>
    </w:r>
    <w:r w:rsidRPr="00BB6DDC">
      <w:rPr>
        <w:noProof/>
        <w:lang w:val="en-US"/>
      </w:rPr>
      <w:t>4</w:t>
    </w:r>
    <w:r>
      <w:rPr>
        <w:noProof/>
      </w:rPr>
      <w:fldChar w:fldCharType="end"/>
    </w:r>
  </w:p>
  <w:p w14:paraId="4470B071" w14:textId="77777777" w:rsidR="00112E28" w:rsidRPr="00BB6DDC" w:rsidRDefault="00112E28" w:rsidP="00910961">
    <w:pPr>
      <w:pStyle w:val="En-tte"/>
      <w:tabs>
        <w:tab w:val="clear" w:pos="4320"/>
        <w:tab w:val="clear" w:pos="8640"/>
      </w:tabs>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E267F7F" w14:textId="70E3E0E7" w:rsidR="00112E28" w:rsidRPr="008B46D4" w:rsidRDefault="007F1E4B" w:rsidP="009505C9">
        <w:pPr>
          <w:pStyle w:val="En-tte"/>
          <w:jc w:val="right"/>
          <w:rPr>
            <w:lang w:val="nl-NL"/>
          </w:rPr>
        </w:pPr>
        <w:r w:rsidRPr="008B46D4">
          <w:rPr>
            <w:lang w:val="nl-NL"/>
          </w:rPr>
          <w:t>CBD/CP/MOP/10/L.1</w:t>
        </w:r>
      </w:p>
    </w:sdtContent>
  </w:sdt>
  <w:p w14:paraId="45F5E32F" w14:textId="77777777" w:rsidR="00112E28" w:rsidRPr="008B46D4" w:rsidRDefault="00112E28" w:rsidP="009505C9">
    <w:pPr>
      <w:pStyle w:val="En-tte"/>
      <w:jc w:val="right"/>
      <w:rPr>
        <w:lang w:val="nl-NL"/>
      </w:rPr>
    </w:pPr>
    <w:r w:rsidRPr="008B46D4">
      <w:rPr>
        <w:lang w:val="nl-NL"/>
      </w:rPr>
      <w:t xml:space="preserve">Page </w:t>
    </w:r>
    <w:r>
      <w:fldChar w:fldCharType="begin"/>
    </w:r>
    <w:r w:rsidRPr="008B46D4">
      <w:rPr>
        <w:lang w:val="nl-NL"/>
      </w:rPr>
      <w:instrText xml:space="preserve"> PAGE   \* MERGEFORMAT </w:instrText>
    </w:r>
    <w:r>
      <w:fldChar w:fldCharType="separate"/>
    </w:r>
    <w:r w:rsidRPr="008B46D4">
      <w:rPr>
        <w:noProof/>
        <w:lang w:val="nl-NL"/>
      </w:rPr>
      <w:t>3</w:t>
    </w:r>
    <w:r>
      <w:rPr>
        <w:noProof/>
      </w:rPr>
      <w:fldChar w:fldCharType="end"/>
    </w:r>
  </w:p>
  <w:p w14:paraId="051956D2" w14:textId="77777777" w:rsidR="00112E28" w:rsidRPr="008B46D4" w:rsidRDefault="00112E28">
    <w:pPr>
      <w:pStyle w:val="En-tte"/>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1480806">
    <w:abstractNumId w:val="23"/>
  </w:num>
  <w:num w:numId="2" w16cid:durableId="549655898">
    <w:abstractNumId w:val="34"/>
  </w:num>
  <w:num w:numId="3" w16cid:durableId="311644682">
    <w:abstractNumId w:val="31"/>
  </w:num>
  <w:num w:numId="4" w16cid:durableId="1230730880">
    <w:abstractNumId w:val="34"/>
  </w:num>
  <w:num w:numId="5" w16cid:durableId="1411734884">
    <w:abstractNumId w:val="32"/>
  </w:num>
  <w:num w:numId="6" w16cid:durableId="1677729532">
    <w:abstractNumId w:val="9"/>
  </w:num>
  <w:num w:numId="7" w16cid:durableId="1680430559">
    <w:abstractNumId w:val="15"/>
  </w:num>
  <w:num w:numId="8" w16cid:durableId="230433720">
    <w:abstractNumId w:val="31"/>
    <w:lvlOverride w:ilvl="0">
      <w:startOverride w:val="1"/>
    </w:lvlOverride>
  </w:num>
  <w:num w:numId="9" w16cid:durableId="1471943977">
    <w:abstractNumId w:val="51"/>
  </w:num>
  <w:num w:numId="10" w16cid:durableId="441531043">
    <w:abstractNumId w:val="31"/>
    <w:lvlOverride w:ilvl="0">
      <w:startOverride w:val="1"/>
    </w:lvlOverride>
  </w:num>
  <w:num w:numId="11" w16cid:durableId="451364432">
    <w:abstractNumId w:val="31"/>
    <w:lvlOverride w:ilvl="0">
      <w:startOverride w:val="1"/>
    </w:lvlOverride>
  </w:num>
  <w:num w:numId="12" w16cid:durableId="2043553257">
    <w:abstractNumId w:val="31"/>
    <w:lvlOverride w:ilvl="0">
      <w:startOverride w:val="1"/>
    </w:lvlOverride>
  </w:num>
  <w:num w:numId="13" w16cid:durableId="1169952258">
    <w:abstractNumId w:val="31"/>
    <w:lvlOverride w:ilvl="0">
      <w:startOverride w:val="1"/>
    </w:lvlOverride>
  </w:num>
  <w:num w:numId="14" w16cid:durableId="719328484">
    <w:abstractNumId w:val="37"/>
    <w:lvlOverride w:ilvl="0">
      <w:startOverride w:val="1"/>
    </w:lvlOverride>
    <w:lvlOverride w:ilvl="1"/>
    <w:lvlOverride w:ilvl="2"/>
    <w:lvlOverride w:ilvl="3"/>
    <w:lvlOverride w:ilvl="4"/>
    <w:lvlOverride w:ilvl="5"/>
    <w:lvlOverride w:ilvl="6"/>
    <w:lvlOverride w:ilvl="7"/>
    <w:lvlOverride w:ilvl="8"/>
  </w:num>
  <w:num w:numId="15" w16cid:durableId="32906111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88436002">
    <w:abstractNumId w:val="29"/>
  </w:num>
  <w:num w:numId="17" w16cid:durableId="629094510">
    <w:abstractNumId w:val="48"/>
  </w:num>
  <w:num w:numId="18" w16cid:durableId="470906232">
    <w:abstractNumId w:val="19"/>
  </w:num>
  <w:num w:numId="19" w16cid:durableId="407920510">
    <w:abstractNumId w:val="55"/>
  </w:num>
  <w:num w:numId="20" w16cid:durableId="1607273372">
    <w:abstractNumId w:val="12"/>
  </w:num>
  <w:num w:numId="21" w16cid:durableId="1289967112">
    <w:abstractNumId w:val="5"/>
  </w:num>
  <w:num w:numId="22" w16cid:durableId="790131721">
    <w:abstractNumId w:val="22"/>
  </w:num>
  <w:num w:numId="23" w16cid:durableId="1050693936">
    <w:abstractNumId w:val="24"/>
  </w:num>
  <w:num w:numId="24" w16cid:durableId="830411990">
    <w:abstractNumId w:val="11"/>
  </w:num>
  <w:num w:numId="25" w16cid:durableId="312562615">
    <w:abstractNumId w:val="59"/>
  </w:num>
  <w:num w:numId="26" w16cid:durableId="1053115093">
    <w:abstractNumId w:val="3"/>
  </w:num>
  <w:num w:numId="27" w16cid:durableId="12540892">
    <w:abstractNumId w:val="20"/>
  </w:num>
  <w:num w:numId="28" w16cid:durableId="1340231788">
    <w:abstractNumId w:val="47"/>
  </w:num>
  <w:num w:numId="29" w16cid:durableId="74909605">
    <w:abstractNumId w:val="2"/>
  </w:num>
  <w:num w:numId="30" w16cid:durableId="389771037">
    <w:abstractNumId w:val="54"/>
  </w:num>
  <w:num w:numId="31" w16cid:durableId="298463281">
    <w:abstractNumId w:val="1"/>
  </w:num>
  <w:num w:numId="32" w16cid:durableId="156964970">
    <w:abstractNumId w:val="13"/>
  </w:num>
  <w:num w:numId="33" w16cid:durableId="1326475633">
    <w:abstractNumId w:val="27"/>
  </w:num>
  <w:num w:numId="34" w16cid:durableId="644773937">
    <w:abstractNumId w:val="17"/>
  </w:num>
  <w:num w:numId="35" w16cid:durableId="1763723851">
    <w:abstractNumId w:val="50"/>
  </w:num>
  <w:num w:numId="36" w16cid:durableId="1727532630">
    <w:abstractNumId w:val="41"/>
  </w:num>
  <w:num w:numId="37" w16cid:durableId="2145538627">
    <w:abstractNumId w:val="8"/>
  </w:num>
  <w:num w:numId="38" w16cid:durableId="971599004">
    <w:abstractNumId w:val="10"/>
  </w:num>
  <w:num w:numId="39" w16cid:durableId="534543229">
    <w:abstractNumId w:val="58"/>
  </w:num>
  <w:num w:numId="40" w16cid:durableId="1267150793">
    <w:abstractNumId w:val="0"/>
  </w:num>
  <w:num w:numId="41" w16cid:durableId="2095784155">
    <w:abstractNumId w:val="46"/>
  </w:num>
  <w:num w:numId="42" w16cid:durableId="83651130">
    <w:abstractNumId w:val="49"/>
  </w:num>
  <w:num w:numId="43" w16cid:durableId="1533154833">
    <w:abstractNumId w:val="26"/>
  </w:num>
  <w:num w:numId="44" w16cid:durableId="1763723556">
    <w:abstractNumId w:val="36"/>
  </w:num>
  <w:num w:numId="45" w16cid:durableId="907419976">
    <w:abstractNumId w:val="40"/>
  </w:num>
  <w:num w:numId="46" w16cid:durableId="263458715">
    <w:abstractNumId w:val="33"/>
  </w:num>
  <w:num w:numId="47" w16cid:durableId="2030326084">
    <w:abstractNumId w:val="52"/>
  </w:num>
  <w:num w:numId="48" w16cid:durableId="1144809553">
    <w:abstractNumId w:val="57"/>
  </w:num>
  <w:num w:numId="49" w16cid:durableId="1969968737">
    <w:abstractNumId w:val="44"/>
  </w:num>
  <w:num w:numId="50" w16cid:durableId="80296956">
    <w:abstractNumId w:val="35"/>
  </w:num>
  <w:num w:numId="51" w16cid:durableId="893080729">
    <w:abstractNumId w:val="45"/>
  </w:num>
  <w:num w:numId="52" w16cid:durableId="1384867127">
    <w:abstractNumId w:val="7"/>
  </w:num>
  <w:num w:numId="53" w16cid:durableId="942153136">
    <w:abstractNumId w:val="42"/>
  </w:num>
  <w:num w:numId="54" w16cid:durableId="2118132145">
    <w:abstractNumId w:val="18"/>
  </w:num>
  <w:num w:numId="55" w16cid:durableId="1412040418">
    <w:abstractNumId w:val="14"/>
  </w:num>
  <w:num w:numId="56" w16cid:durableId="338847305">
    <w:abstractNumId w:val="4"/>
  </w:num>
  <w:num w:numId="57" w16cid:durableId="802381326">
    <w:abstractNumId w:val="30"/>
  </w:num>
  <w:num w:numId="58" w16cid:durableId="2063747570">
    <w:abstractNumId w:val="21"/>
  </w:num>
  <w:num w:numId="59" w16cid:durableId="2559094">
    <w:abstractNumId w:val="38"/>
  </w:num>
  <w:num w:numId="60" w16cid:durableId="1458526331">
    <w:abstractNumId w:val="16"/>
  </w:num>
  <w:num w:numId="61" w16cid:durableId="884756652">
    <w:abstractNumId w:val="25"/>
  </w:num>
  <w:num w:numId="62" w16cid:durableId="1825273378">
    <w:abstractNumId w:val="43"/>
  </w:num>
  <w:num w:numId="63" w16cid:durableId="1448087807">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16643700">
    <w:abstractNumId w:val="41"/>
  </w:num>
  <w:num w:numId="65" w16cid:durableId="1409034841">
    <w:abstractNumId w:val="56"/>
  </w:num>
  <w:num w:numId="66" w16cid:durableId="1665552907">
    <w:abstractNumId w:val="53"/>
  </w:num>
  <w:num w:numId="67" w16cid:durableId="1558466964">
    <w:abstractNumId w:val="39"/>
  </w:num>
  <w:num w:numId="68" w16cid:durableId="2064862154">
    <w:abstractNumId w:val="2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isplayBackgroundShape/>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775E"/>
    <w:rsid w:val="00007BDE"/>
    <w:rsid w:val="00012BEA"/>
    <w:rsid w:val="00013696"/>
    <w:rsid w:val="00017488"/>
    <w:rsid w:val="00020A5D"/>
    <w:rsid w:val="00022609"/>
    <w:rsid w:val="00025D61"/>
    <w:rsid w:val="000274F0"/>
    <w:rsid w:val="00027E53"/>
    <w:rsid w:val="000302BF"/>
    <w:rsid w:val="000347A1"/>
    <w:rsid w:val="00042057"/>
    <w:rsid w:val="0004420E"/>
    <w:rsid w:val="00044389"/>
    <w:rsid w:val="000473BD"/>
    <w:rsid w:val="0005153E"/>
    <w:rsid w:val="00052091"/>
    <w:rsid w:val="00053982"/>
    <w:rsid w:val="00053A3A"/>
    <w:rsid w:val="000554B4"/>
    <w:rsid w:val="000558FE"/>
    <w:rsid w:val="00055EB5"/>
    <w:rsid w:val="0006202C"/>
    <w:rsid w:val="00062942"/>
    <w:rsid w:val="00066F26"/>
    <w:rsid w:val="000704FE"/>
    <w:rsid w:val="00070D5F"/>
    <w:rsid w:val="00071921"/>
    <w:rsid w:val="00071FAE"/>
    <w:rsid w:val="00074C61"/>
    <w:rsid w:val="000769AF"/>
    <w:rsid w:val="00077BE8"/>
    <w:rsid w:val="0008014A"/>
    <w:rsid w:val="00080D1E"/>
    <w:rsid w:val="00080D2D"/>
    <w:rsid w:val="000875B0"/>
    <w:rsid w:val="00093F6B"/>
    <w:rsid w:val="00094A41"/>
    <w:rsid w:val="000957F6"/>
    <w:rsid w:val="00095A2C"/>
    <w:rsid w:val="00097384"/>
    <w:rsid w:val="00097EE2"/>
    <w:rsid w:val="00097F5F"/>
    <w:rsid w:val="000A0830"/>
    <w:rsid w:val="000A0AC1"/>
    <w:rsid w:val="000A3D17"/>
    <w:rsid w:val="000A53AA"/>
    <w:rsid w:val="000A79C8"/>
    <w:rsid w:val="000B4A47"/>
    <w:rsid w:val="000B7FDD"/>
    <w:rsid w:val="000C3F36"/>
    <w:rsid w:val="000C4CFC"/>
    <w:rsid w:val="000D0253"/>
    <w:rsid w:val="000D1F98"/>
    <w:rsid w:val="000D34CA"/>
    <w:rsid w:val="000D419C"/>
    <w:rsid w:val="000D553B"/>
    <w:rsid w:val="000D57E7"/>
    <w:rsid w:val="000D707C"/>
    <w:rsid w:val="000E1AEE"/>
    <w:rsid w:val="000E50F4"/>
    <w:rsid w:val="000E673A"/>
    <w:rsid w:val="000F28AF"/>
    <w:rsid w:val="000F468E"/>
    <w:rsid w:val="000F5A13"/>
    <w:rsid w:val="000F74F5"/>
    <w:rsid w:val="00105372"/>
    <w:rsid w:val="00106B4E"/>
    <w:rsid w:val="00111F11"/>
    <w:rsid w:val="00112E28"/>
    <w:rsid w:val="001133E5"/>
    <w:rsid w:val="00116B44"/>
    <w:rsid w:val="00117CBC"/>
    <w:rsid w:val="00121058"/>
    <w:rsid w:val="00121613"/>
    <w:rsid w:val="00122ECF"/>
    <w:rsid w:val="001249F6"/>
    <w:rsid w:val="00130187"/>
    <w:rsid w:val="00131529"/>
    <w:rsid w:val="00131C42"/>
    <w:rsid w:val="00131E7A"/>
    <w:rsid w:val="0013330A"/>
    <w:rsid w:val="00134717"/>
    <w:rsid w:val="001414C9"/>
    <w:rsid w:val="00142CEE"/>
    <w:rsid w:val="00151E2B"/>
    <w:rsid w:val="00160872"/>
    <w:rsid w:val="00165323"/>
    <w:rsid w:val="00165478"/>
    <w:rsid w:val="00172AF6"/>
    <w:rsid w:val="00173AEF"/>
    <w:rsid w:val="00174982"/>
    <w:rsid w:val="00176586"/>
    <w:rsid w:val="0017659E"/>
    <w:rsid w:val="00176CEE"/>
    <w:rsid w:val="001779A1"/>
    <w:rsid w:val="00177EFB"/>
    <w:rsid w:val="00183022"/>
    <w:rsid w:val="0018461B"/>
    <w:rsid w:val="00184870"/>
    <w:rsid w:val="00185151"/>
    <w:rsid w:val="0018765F"/>
    <w:rsid w:val="001879DF"/>
    <w:rsid w:val="00190281"/>
    <w:rsid w:val="001929FF"/>
    <w:rsid w:val="001A015E"/>
    <w:rsid w:val="001A0379"/>
    <w:rsid w:val="001A1267"/>
    <w:rsid w:val="001A12D8"/>
    <w:rsid w:val="001A548B"/>
    <w:rsid w:val="001A5B91"/>
    <w:rsid w:val="001A62F7"/>
    <w:rsid w:val="001B0178"/>
    <w:rsid w:val="001B09F5"/>
    <w:rsid w:val="001B24B8"/>
    <w:rsid w:val="001B5293"/>
    <w:rsid w:val="001C083C"/>
    <w:rsid w:val="001C3A11"/>
    <w:rsid w:val="001C3FBA"/>
    <w:rsid w:val="001D3CE8"/>
    <w:rsid w:val="001D725B"/>
    <w:rsid w:val="001E0869"/>
    <w:rsid w:val="001E09E8"/>
    <w:rsid w:val="001E6565"/>
    <w:rsid w:val="001F20DA"/>
    <w:rsid w:val="001F470B"/>
    <w:rsid w:val="001F4D3C"/>
    <w:rsid w:val="001F4FC7"/>
    <w:rsid w:val="001F544B"/>
    <w:rsid w:val="00205993"/>
    <w:rsid w:val="00207B73"/>
    <w:rsid w:val="00211F85"/>
    <w:rsid w:val="00214EDA"/>
    <w:rsid w:val="002167ED"/>
    <w:rsid w:val="0022173B"/>
    <w:rsid w:val="00222239"/>
    <w:rsid w:val="002231C6"/>
    <w:rsid w:val="002278B7"/>
    <w:rsid w:val="00227A7C"/>
    <w:rsid w:val="00230661"/>
    <w:rsid w:val="00235276"/>
    <w:rsid w:val="00235BB4"/>
    <w:rsid w:val="00235C05"/>
    <w:rsid w:val="00237BE3"/>
    <w:rsid w:val="00241B02"/>
    <w:rsid w:val="00245596"/>
    <w:rsid w:val="0026209C"/>
    <w:rsid w:val="00262284"/>
    <w:rsid w:val="00262614"/>
    <w:rsid w:val="002656CA"/>
    <w:rsid w:val="002665CB"/>
    <w:rsid w:val="00267F4F"/>
    <w:rsid w:val="00270151"/>
    <w:rsid w:val="00273893"/>
    <w:rsid w:val="00274A85"/>
    <w:rsid w:val="002759AB"/>
    <w:rsid w:val="00281815"/>
    <w:rsid w:val="00281B22"/>
    <w:rsid w:val="002862AB"/>
    <w:rsid w:val="00287939"/>
    <w:rsid w:val="00287CD5"/>
    <w:rsid w:val="00292DD1"/>
    <w:rsid w:val="002949DB"/>
    <w:rsid w:val="00294D07"/>
    <w:rsid w:val="00295DF4"/>
    <w:rsid w:val="002A09E0"/>
    <w:rsid w:val="002A0E0A"/>
    <w:rsid w:val="002A4498"/>
    <w:rsid w:val="002A48EE"/>
    <w:rsid w:val="002B3B68"/>
    <w:rsid w:val="002B4215"/>
    <w:rsid w:val="002B4748"/>
    <w:rsid w:val="002B6574"/>
    <w:rsid w:val="002B6BAD"/>
    <w:rsid w:val="002C059D"/>
    <w:rsid w:val="002C1F25"/>
    <w:rsid w:val="002D10FC"/>
    <w:rsid w:val="002D2802"/>
    <w:rsid w:val="002D2B28"/>
    <w:rsid w:val="002D6108"/>
    <w:rsid w:val="002D677D"/>
    <w:rsid w:val="002E01C5"/>
    <w:rsid w:val="002E1EEC"/>
    <w:rsid w:val="002E2ACE"/>
    <w:rsid w:val="002E5F58"/>
    <w:rsid w:val="002F26BA"/>
    <w:rsid w:val="002F5A76"/>
    <w:rsid w:val="002F672F"/>
    <w:rsid w:val="002F7849"/>
    <w:rsid w:val="003001BA"/>
    <w:rsid w:val="00303570"/>
    <w:rsid w:val="00303CCB"/>
    <w:rsid w:val="0030536C"/>
    <w:rsid w:val="00305CF1"/>
    <w:rsid w:val="0031327F"/>
    <w:rsid w:val="003158C4"/>
    <w:rsid w:val="00316048"/>
    <w:rsid w:val="0032181E"/>
    <w:rsid w:val="00326BA0"/>
    <w:rsid w:val="00332C99"/>
    <w:rsid w:val="00334674"/>
    <w:rsid w:val="003371AF"/>
    <w:rsid w:val="003413A7"/>
    <w:rsid w:val="00341403"/>
    <w:rsid w:val="0034721B"/>
    <w:rsid w:val="00353DA9"/>
    <w:rsid w:val="003548FB"/>
    <w:rsid w:val="003576D0"/>
    <w:rsid w:val="00360039"/>
    <w:rsid w:val="003612B7"/>
    <w:rsid w:val="003644B1"/>
    <w:rsid w:val="0036503A"/>
    <w:rsid w:val="00365DE4"/>
    <w:rsid w:val="0037069B"/>
    <w:rsid w:val="00372F74"/>
    <w:rsid w:val="00375A02"/>
    <w:rsid w:val="003768E5"/>
    <w:rsid w:val="003819BA"/>
    <w:rsid w:val="003842FC"/>
    <w:rsid w:val="0038448C"/>
    <w:rsid w:val="00386392"/>
    <w:rsid w:val="00387257"/>
    <w:rsid w:val="00387F84"/>
    <w:rsid w:val="00393029"/>
    <w:rsid w:val="003932F2"/>
    <w:rsid w:val="00395487"/>
    <w:rsid w:val="003A03BF"/>
    <w:rsid w:val="003A05FB"/>
    <w:rsid w:val="003A1274"/>
    <w:rsid w:val="003A1339"/>
    <w:rsid w:val="003A385C"/>
    <w:rsid w:val="003B4172"/>
    <w:rsid w:val="003B74B8"/>
    <w:rsid w:val="003B7F67"/>
    <w:rsid w:val="003C13D8"/>
    <w:rsid w:val="003C4261"/>
    <w:rsid w:val="003D007D"/>
    <w:rsid w:val="003D216A"/>
    <w:rsid w:val="003D308C"/>
    <w:rsid w:val="003D39DE"/>
    <w:rsid w:val="003E364F"/>
    <w:rsid w:val="003E7594"/>
    <w:rsid w:val="003F16B7"/>
    <w:rsid w:val="003F21DC"/>
    <w:rsid w:val="003F2FC2"/>
    <w:rsid w:val="003F4329"/>
    <w:rsid w:val="003F44C7"/>
    <w:rsid w:val="003F757C"/>
    <w:rsid w:val="00401AF1"/>
    <w:rsid w:val="004040BE"/>
    <w:rsid w:val="00404734"/>
    <w:rsid w:val="00411329"/>
    <w:rsid w:val="0041335B"/>
    <w:rsid w:val="00414896"/>
    <w:rsid w:val="00415390"/>
    <w:rsid w:val="00415939"/>
    <w:rsid w:val="00415C19"/>
    <w:rsid w:val="00420479"/>
    <w:rsid w:val="00420D11"/>
    <w:rsid w:val="004212F1"/>
    <w:rsid w:val="004213B6"/>
    <w:rsid w:val="00421DC1"/>
    <w:rsid w:val="00424C9F"/>
    <w:rsid w:val="00426AD7"/>
    <w:rsid w:val="00427B3B"/>
    <w:rsid w:val="00430BAB"/>
    <w:rsid w:val="004310B6"/>
    <w:rsid w:val="00432469"/>
    <w:rsid w:val="00432875"/>
    <w:rsid w:val="0043653C"/>
    <w:rsid w:val="0044007E"/>
    <w:rsid w:val="004409A7"/>
    <w:rsid w:val="00446233"/>
    <w:rsid w:val="004521D2"/>
    <w:rsid w:val="004529D0"/>
    <w:rsid w:val="00453D57"/>
    <w:rsid w:val="00460D02"/>
    <w:rsid w:val="00461254"/>
    <w:rsid w:val="00462967"/>
    <w:rsid w:val="00462C1C"/>
    <w:rsid w:val="00462D4F"/>
    <w:rsid w:val="004644C2"/>
    <w:rsid w:val="00465EF5"/>
    <w:rsid w:val="00471DC6"/>
    <w:rsid w:val="00474FB1"/>
    <w:rsid w:val="00480386"/>
    <w:rsid w:val="004931F0"/>
    <w:rsid w:val="0049624C"/>
    <w:rsid w:val="0049640E"/>
    <w:rsid w:val="00497091"/>
    <w:rsid w:val="004A28DD"/>
    <w:rsid w:val="004A48F7"/>
    <w:rsid w:val="004A5DEA"/>
    <w:rsid w:val="004B2DDA"/>
    <w:rsid w:val="004B32E3"/>
    <w:rsid w:val="004B4451"/>
    <w:rsid w:val="004B7758"/>
    <w:rsid w:val="004B7853"/>
    <w:rsid w:val="004B7A01"/>
    <w:rsid w:val="004B7AAC"/>
    <w:rsid w:val="004C0A0D"/>
    <w:rsid w:val="004C2ABB"/>
    <w:rsid w:val="004C34B3"/>
    <w:rsid w:val="004C5DAE"/>
    <w:rsid w:val="004C63FE"/>
    <w:rsid w:val="004C75D8"/>
    <w:rsid w:val="004D0309"/>
    <w:rsid w:val="004D3DFC"/>
    <w:rsid w:val="004D5F8B"/>
    <w:rsid w:val="004D6601"/>
    <w:rsid w:val="004D674C"/>
    <w:rsid w:val="004E027D"/>
    <w:rsid w:val="004E42EE"/>
    <w:rsid w:val="004E59B3"/>
    <w:rsid w:val="004F091A"/>
    <w:rsid w:val="004F2306"/>
    <w:rsid w:val="004F344F"/>
    <w:rsid w:val="004F39C9"/>
    <w:rsid w:val="004F5A7E"/>
    <w:rsid w:val="004F5B46"/>
    <w:rsid w:val="004F7B5A"/>
    <w:rsid w:val="00502D1D"/>
    <w:rsid w:val="00515A33"/>
    <w:rsid w:val="0052231B"/>
    <w:rsid w:val="00523E4C"/>
    <w:rsid w:val="005268FB"/>
    <w:rsid w:val="00530B24"/>
    <w:rsid w:val="00532D54"/>
    <w:rsid w:val="0053369C"/>
    <w:rsid w:val="00534681"/>
    <w:rsid w:val="0053472E"/>
    <w:rsid w:val="005358B9"/>
    <w:rsid w:val="00541561"/>
    <w:rsid w:val="00541C1F"/>
    <w:rsid w:val="0054299D"/>
    <w:rsid w:val="005430AD"/>
    <w:rsid w:val="00544E3F"/>
    <w:rsid w:val="00544F9A"/>
    <w:rsid w:val="005507C1"/>
    <w:rsid w:val="00553DBF"/>
    <w:rsid w:val="00554291"/>
    <w:rsid w:val="00555D31"/>
    <w:rsid w:val="005635DB"/>
    <w:rsid w:val="0057042F"/>
    <w:rsid w:val="00575F20"/>
    <w:rsid w:val="00576754"/>
    <w:rsid w:val="005821B8"/>
    <w:rsid w:val="00584781"/>
    <w:rsid w:val="00584A88"/>
    <w:rsid w:val="00587489"/>
    <w:rsid w:val="005960AF"/>
    <w:rsid w:val="00596B16"/>
    <w:rsid w:val="005A36B8"/>
    <w:rsid w:val="005A432B"/>
    <w:rsid w:val="005B25AE"/>
    <w:rsid w:val="005B5791"/>
    <w:rsid w:val="005C4FB3"/>
    <w:rsid w:val="005C50AF"/>
    <w:rsid w:val="005C68EF"/>
    <w:rsid w:val="005D20FA"/>
    <w:rsid w:val="005D5A58"/>
    <w:rsid w:val="005D6441"/>
    <w:rsid w:val="005D7B82"/>
    <w:rsid w:val="005E0389"/>
    <w:rsid w:val="005E052A"/>
    <w:rsid w:val="005E2146"/>
    <w:rsid w:val="005E5999"/>
    <w:rsid w:val="005E7635"/>
    <w:rsid w:val="005F0B02"/>
    <w:rsid w:val="005F5432"/>
    <w:rsid w:val="005F7B3C"/>
    <w:rsid w:val="00601C97"/>
    <w:rsid w:val="00602BFA"/>
    <w:rsid w:val="00610955"/>
    <w:rsid w:val="006133D7"/>
    <w:rsid w:val="006171A7"/>
    <w:rsid w:val="00617788"/>
    <w:rsid w:val="006209F0"/>
    <w:rsid w:val="00621BE3"/>
    <w:rsid w:val="00623556"/>
    <w:rsid w:val="00624296"/>
    <w:rsid w:val="00624746"/>
    <w:rsid w:val="006309DE"/>
    <w:rsid w:val="00631F58"/>
    <w:rsid w:val="006340BF"/>
    <w:rsid w:val="00637D16"/>
    <w:rsid w:val="00642D32"/>
    <w:rsid w:val="00642F7E"/>
    <w:rsid w:val="006435F9"/>
    <w:rsid w:val="0064615B"/>
    <w:rsid w:val="0064796E"/>
    <w:rsid w:val="00653535"/>
    <w:rsid w:val="00660370"/>
    <w:rsid w:val="00660CB5"/>
    <w:rsid w:val="00662272"/>
    <w:rsid w:val="00663AF3"/>
    <w:rsid w:val="006655B7"/>
    <w:rsid w:val="0066578E"/>
    <w:rsid w:val="00665907"/>
    <w:rsid w:val="00671090"/>
    <w:rsid w:val="00675499"/>
    <w:rsid w:val="0068142A"/>
    <w:rsid w:val="00684857"/>
    <w:rsid w:val="00685151"/>
    <w:rsid w:val="006867E0"/>
    <w:rsid w:val="0068745F"/>
    <w:rsid w:val="006913EA"/>
    <w:rsid w:val="006921E4"/>
    <w:rsid w:val="00692A1A"/>
    <w:rsid w:val="00694334"/>
    <w:rsid w:val="006958BC"/>
    <w:rsid w:val="00696A66"/>
    <w:rsid w:val="006A072A"/>
    <w:rsid w:val="006A1DE3"/>
    <w:rsid w:val="006A6DAD"/>
    <w:rsid w:val="006B1230"/>
    <w:rsid w:val="006B2A77"/>
    <w:rsid w:val="006B44C0"/>
    <w:rsid w:val="006B6C07"/>
    <w:rsid w:val="006B75A0"/>
    <w:rsid w:val="006C10D0"/>
    <w:rsid w:val="006C15A9"/>
    <w:rsid w:val="006C2038"/>
    <w:rsid w:val="006C377A"/>
    <w:rsid w:val="006C6EE7"/>
    <w:rsid w:val="006C76FC"/>
    <w:rsid w:val="006C772A"/>
    <w:rsid w:val="006D1134"/>
    <w:rsid w:val="006D55E0"/>
    <w:rsid w:val="006D6A26"/>
    <w:rsid w:val="006E0F0C"/>
    <w:rsid w:val="006E250A"/>
    <w:rsid w:val="006E2A11"/>
    <w:rsid w:val="006E5103"/>
    <w:rsid w:val="006E52E0"/>
    <w:rsid w:val="006E6BFE"/>
    <w:rsid w:val="006F02BF"/>
    <w:rsid w:val="006F294D"/>
    <w:rsid w:val="007001F6"/>
    <w:rsid w:val="0070673A"/>
    <w:rsid w:val="00711006"/>
    <w:rsid w:val="00713852"/>
    <w:rsid w:val="00714E40"/>
    <w:rsid w:val="00715C39"/>
    <w:rsid w:val="00716716"/>
    <w:rsid w:val="00717D88"/>
    <w:rsid w:val="007245A7"/>
    <w:rsid w:val="00725BF2"/>
    <w:rsid w:val="00726B36"/>
    <w:rsid w:val="007302B4"/>
    <w:rsid w:val="00731430"/>
    <w:rsid w:val="007415C9"/>
    <w:rsid w:val="00745039"/>
    <w:rsid w:val="00746EF4"/>
    <w:rsid w:val="00751800"/>
    <w:rsid w:val="00755B17"/>
    <w:rsid w:val="007606AD"/>
    <w:rsid w:val="0076186C"/>
    <w:rsid w:val="00766799"/>
    <w:rsid w:val="007704E7"/>
    <w:rsid w:val="00771A99"/>
    <w:rsid w:val="00775BBF"/>
    <w:rsid w:val="00780CC3"/>
    <w:rsid w:val="00781AB7"/>
    <w:rsid w:val="00782213"/>
    <w:rsid w:val="00783258"/>
    <w:rsid w:val="00785A5C"/>
    <w:rsid w:val="007915AC"/>
    <w:rsid w:val="00792C8D"/>
    <w:rsid w:val="007942D3"/>
    <w:rsid w:val="007951C5"/>
    <w:rsid w:val="00797984"/>
    <w:rsid w:val="007A19CC"/>
    <w:rsid w:val="007B1E20"/>
    <w:rsid w:val="007B4BB8"/>
    <w:rsid w:val="007B631C"/>
    <w:rsid w:val="007B6C09"/>
    <w:rsid w:val="007B7EDB"/>
    <w:rsid w:val="007C3B23"/>
    <w:rsid w:val="007C4396"/>
    <w:rsid w:val="007C4471"/>
    <w:rsid w:val="007C5F7D"/>
    <w:rsid w:val="007C69A4"/>
    <w:rsid w:val="007C7485"/>
    <w:rsid w:val="007C78AE"/>
    <w:rsid w:val="007D1291"/>
    <w:rsid w:val="007D2CFA"/>
    <w:rsid w:val="007D2D7D"/>
    <w:rsid w:val="007D4114"/>
    <w:rsid w:val="007D4C44"/>
    <w:rsid w:val="007D5118"/>
    <w:rsid w:val="007D698F"/>
    <w:rsid w:val="007E09DA"/>
    <w:rsid w:val="007E204A"/>
    <w:rsid w:val="007E6546"/>
    <w:rsid w:val="007F0719"/>
    <w:rsid w:val="007F0EAC"/>
    <w:rsid w:val="007F0F85"/>
    <w:rsid w:val="007F1B7B"/>
    <w:rsid w:val="007F1E4B"/>
    <w:rsid w:val="007F2CFF"/>
    <w:rsid w:val="007F7462"/>
    <w:rsid w:val="008034E9"/>
    <w:rsid w:val="0080403F"/>
    <w:rsid w:val="00810572"/>
    <w:rsid w:val="00810A55"/>
    <w:rsid w:val="0081195A"/>
    <w:rsid w:val="00812E12"/>
    <w:rsid w:val="008131A0"/>
    <w:rsid w:val="00814858"/>
    <w:rsid w:val="008157D1"/>
    <w:rsid w:val="008178B6"/>
    <w:rsid w:val="00822CB9"/>
    <w:rsid w:val="00822DF6"/>
    <w:rsid w:val="008247AB"/>
    <w:rsid w:val="00825070"/>
    <w:rsid w:val="00825B54"/>
    <w:rsid w:val="008265B0"/>
    <w:rsid w:val="00827FC7"/>
    <w:rsid w:val="0083076C"/>
    <w:rsid w:val="00833068"/>
    <w:rsid w:val="00835E2C"/>
    <w:rsid w:val="00836A94"/>
    <w:rsid w:val="008425A3"/>
    <w:rsid w:val="00842DAF"/>
    <w:rsid w:val="008430F1"/>
    <w:rsid w:val="0084429C"/>
    <w:rsid w:val="00850A64"/>
    <w:rsid w:val="0085428A"/>
    <w:rsid w:val="008645B5"/>
    <w:rsid w:val="00866204"/>
    <w:rsid w:val="008707A9"/>
    <w:rsid w:val="00870B09"/>
    <w:rsid w:val="008720C2"/>
    <w:rsid w:val="008722D9"/>
    <w:rsid w:val="008728F8"/>
    <w:rsid w:val="00880878"/>
    <w:rsid w:val="0088375F"/>
    <w:rsid w:val="00885ED0"/>
    <w:rsid w:val="008907A5"/>
    <w:rsid w:val="00890BC5"/>
    <w:rsid w:val="00891A7B"/>
    <w:rsid w:val="00892333"/>
    <w:rsid w:val="00892E67"/>
    <w:rsid w:val="00895A8B"/>
    <w:rsid w:val="008966F1"/>
    <w:rsid w:val="008A5F16"/>
    <w:rsid w:val="008B2B26"/>
    <w:rsid w:val="008B46D4"/>
    <w:rsid w:val="008B65FB"/>
    <w:rsid w:val="008C00DF"/>
    <w:rsid w:val="008C012E"/>
    <w:rsid w:val="008C1DEB"/>
    <w:rsid w:val="008C47A9"/>
    <w:rsid w:val="008C52BD"/>
    <w:rsid w:val="008C6619"/>
    <w:rsid w:val="008C7E9D"/>
    <w:rsid w:val="008D1183"/>
    <w:rsid w:val="008D1689"/>
    <w:rsid w:val="008D57DD"/>
    <w:rsid w:val="008D5E8B"/>
    <w:rsid w:val="008D6A02"/>
    <w:rsid w:val="008D7F66"/>
    <w:rsid w:val="008E0A7C"/>
    <w:rsid w:val="008E1054"/>
    <w:rsid w:val="008E2408"/>
    <w:rsid w:val="008E24C6"/>
    <w:rsid w:val="008E52D4"/>
    <w:rsid w:val="008F01DE"/>
    <w:rsid w:val="008F043E"/>
    <w:rsid w:val="008F050B"/>
    <w:rsid w:val="008F3B6B"/>
    <w:rsid w:val="008F6780"/>
    <w:rsid w:val="0090161B"/>
    <w:rsid w:val="00902894"/>
    <w:rsid w:val="00910961"/>
    <w:rsid w:val="00910B3B"/>
    <w:rsid w:val="00911742"/>
    <w:rsid w:val="00912210"/>
    <w:rsid w:val="0091321D"/>
    <w:rsid w:val="00915862"/>
    <w:rsid w:val="009202DF"/>
    <w:rsid w:val="0092273C"/>
    <w:rsid w:val="0092426A"/>
    <w:rsid w:val="009311E6"/>
    <w:rsid w:val="00935832"/>
    <w:rsid w:val="00936B8B"/>
    <w:rsid w:val="00941A60"/>
    <w:rsid w:val="00943084"/>
    <w:rsid w:val="00944586"/>
    <w:rsid w:val="009448D9"/>
    <w:rsid w:val="00946A16"/>
    <w:rsid w:val="00946BAE"/>
    <w:rsid w:val="00947C39"/>
    <w:rsid w:val="009505C9"/>
    <w:rsid w:val="00952A0F"/>
    <w:rsid w:val="00952F27"/>
    <w:rsid w:val="00954B4F"/>
    <w:rsid w:val="00954ED3"/>
    <w:rsid w:val="00956483"/>
    <w:rsid w:val="009573A6"/>
    <w:rsid w:val="00963855"/>
    <w:rsid w:val="009654E1"/>
    <w:rsid w:val="009678B5"/>
    <w:rsid w:val="00970A79"/>
    <w:rsid w:val="0097276A"/>
    <w:rsid w:val="00973926"/>
    <w:rsid w:val="00975A5D"/>
    <w:rsid w:val="009802CE"/>
    <w:rsid w:val="00983095"/>
    <w:rsid w:val="00986059"/>
    <w:rsid w:val="00992F67"/>
    <w:rsid w:val="00995263"/>
    <w:rsid w:val="00997A6B"/>
    <w:rsid w:val="009A2B52"/>
    <w:rsid w:val="009A3AA2"/>
    <w:rsid w:val="009A400B"/>
    <w:rsid w:val="009A6C26"/>
    <w:rsid w:val="009B03C7"/>
    <w:rsid w:val="009B56FD"/>
    <w:rsid w:val="009C1C4C"/>
    <w:rsid w:val="009C2A1F"/>
    <w:rsid w:val="009C486E"/>
    <w:rsid w:val="009C55E0"/>
    <w:rsid w:val="009D0111"/>
    <w:rsid w:val="009D662F"/>
    <w:rsid w:val="009D6E60"/>
    <w:rsid w:val="009D7C24"/>
    <w:rsid w:val="009E08EA"/>
    <w:rsid w:val="009E1635"/>
    <w:rsid w:val="009E2075"/>
    <w:rsid w:val="009E5726"/>
    <w:rsid w:val="009E5D15"/>
    <w:rsid w:val="009E669C"/>
    <w:rsid w:val="009E66B0"/>
    <w:rsid w:val="009F1CED"/>
    <w:rsid w:val="009F3137"/>
    <w:rsid w:val="009F5E62"/>
    <w:rsid w:val="009F65D9"/>
    <w:rsid w:val="00A00625"/>
    <w:rsid w:val="00A00B25"/>
    <w:rsid w:val="00A0220E"/>
    <w:rsid w:val="00A030C0"/>
    <w:rsid w:val="00A059D8"/>
    <w:rsid w:val="00A0730E"/>
    <w:rsid w:val="00A11B01"/>
    <w:rsid w:val="00A1521A"/>
    <w:rsid w:val="00A15413"/>
    <w:rsid w:val="00A17437"/>
    <w:rsid w:val="00A23C06"/>
    <w:rsid w:val="00A25E86"/>
    <w:rsid w:val="00A273FC"/>
    <w:rsid w:val="00A31D0B"/>
    <w:rsid w:val="00A32C8F"/>
    <w:rsid w:val="00A352AF"/>
    <w:rsid w:val="00A42A70"/>
    <w:rsid w:val="00A42AB5"/>
    <w:rsid w:val="00A44201"/>
    <w:rsid w:val="00A47D3E"/>
    <w:rsid w:val="00A53F6B"/>
    <w:rsid w:val="00A544D1"/>
    <w:rsid w:val="00A555F3"/>
    <w:rsid w:val="00A63BF7"/>
    <w:rsid w:val="00A65B07"/>
    <w:rsid w:val="00A7067A"/>
    <w:rsid w:val="00A7078E"/>
    <w:rsid w:val="00A716F5"/>
    <w:rsid w:val="00A72033"/>
    <w:rsid w:val="00A7435F"/>
    <w:rsid w:val="00A77848"/>
    <w:rsid w:val="00A84728"/>
    <w:rsid w:val="00A909D4"/>
    <w:rsid w:val="00A920E4"/>
    <w:rsid w:val="00A9462A"/>
    <w:rsid w:val="00AA25F7"/>
    <w:rsid w:val="00AA2A51"/>
    <w:rsid w:val="00AA46A2"/>
    <w:rsid w:val="00AA4F9C"/>
    <w:rsid w:val="00AA525E"/>
    <w:rsid w:val="00AA5918"/>
    <w:rsid w:val="00AB2885"/>
    <w:rsid w:val="00AB3845"/>
    <w:rsid w:val="00AB4249"/>
    <w:rsid w:val="00AB638C"/>
    <w:rsid w:val="00AC0A8F"/>
    <w:rsid w:val="00AC0ED3"/>
    <w:rsid w:val="00AC77CE"/>
    <w:rsid w:val="00AD1345"/>
    <w:rsid w:val="00AD3AFD"/>
    <w:rsid w:val="00AD4A5A"/>
    <w:rsid w:val="00AD4EC2"/>
    <w:rsid w:val="00AD51BB"/>
    <w:rsid w:val="00AD629E"/>
    <w:rsid w:val="00AE1913"/>
    <w:rsid w:val="00AE7F21"/>
    <w:rsid w:val="00AF6052"/>
    <w:rsid w:val="00B00704"/>
    <w:rsid w:val="00B009D1"/>
    <w:rsid w:val="00B0326A"/>
    <w:rsid w:val="00B1072C"/>
    <w:rsid w:val="00B1270C"/>
    <w:rsid w:val="00B156C6"/>
    <w:rsid w:val="00B21237"/>
    <w:rsid w:val="00B24386"/>
    <w:rsid w:val="00B2513F"/>
    <w:rsid w:val="00B3369F"/>
    <w:rsid w:val="00B35BC3"/>
    <w:rsid w:val="00B3778F"/>
    <w:rsid w:val="00B378F5"/>
    <w:rsid w:val="00B40F4F"/>
    <w:rsid w:val="00B42E9A"/>
    <w:rsid w:val="00B46EB4"/>
    <w:rsid w:val="00B47E13"/>
    <w:rsid w:val="00B512CB"/>
    <w:rsid w:val="00B53059"/>
    <w:rsid w:val="00B556D9"/>
    <w:rsid w:val="00B566C9"/>
    <w:rsid w:val="00B61605"/>
    <w:rsid w:val="00B62998"/>
    <w:rsid w:val="00B63D34"/>
    <w:rsid w:val="00B64831"/>
    <w:rsid w:val="00B76776"/>
    <w:rsid w:val="00B80657"/>
    <w:rsid w:val="00B84670"/>
    <w:rsid w:val="00B90618"/>
    <w:rsid w:val="00B90DD5"/>
    <w:rsid w:val="00B924F2"/>
    <w:rsid w:val="00B927C2"/>
    <w:rsid w:val="00B93CC8"/>
    <w:rsid w:val="00B95BF2"/>
    <w:rsid w:val="00BA0BBA"/>
    <w:rsid w:val="00BA2243"/>
    <w:rsid w:val="00BB219E"/>
    <w:rsid w:val="00BB2E20"/>
    <w:rsid w:val="00BB392B"/>
    <w:rsid w:val="00BB3B65"/>
    <w:rsid w:val="00BB5533"/>
    <w:rsid w:val="00BB6DDC"/>
    <w:rsid w:val="00BB7211"/>
    <w:rsid w:val="00BB7AB0"/>
    <w:rsid w:val="00BC006E"/>
    <w:rsid w:val="00BC31A7"/>
    <w:rsid w:val="00BC629F"/>
    <w:rsid w:val="00BC6E32"/>
    <w:rsid w:val="00BD23E3"/>
    <w:rsid w:val="00BD2EC3"/>
    <w:rsid w:val="00BD4A18"/>
    <w:rsid w:val="00BD5520"/>
    <w:rsid w:val="00BD61C6"/>
    <w:rsid w:val="00BE01CC"/>
    <w:rsid w:val="00BE18D0"/>
    <w:rsid w:val="00BE1BD0"/>
    <w:rsid w:val="00BE246F"/>
    <w:rsid w:val="00BE45EE"/>
    <w:rsid w:val="00BE6DAC"/>
    <w:rsid w:val="00BE771C"/>
    <w:rsid w:val="00BE7B1D"/>
    <w:rsid w:val="00BF2DD6"/>
    <w:rsid w:val="00C03499"/>
    <w:rsid w:val="00C06550"/>
    <w:rsid w:val="00C11A54"/>
    <w:rsid w:val="00C20047"/>
    <w:rsid w:val="00C242FA"/>
    <w:rsid w:val="00C254BA"/>
    <w:rsid w:val="00C300AD"/>
    <w:rsid w:val="00C37DF4"/>
    <w:rsid w:val="00C40DD5"/>
    <w:rsid w:val="00C42E51"/>
    <w:rsid w:val="00C46880"/>
    <w:rsid w:val="00C51498"/>
    <w:rsid w:val="00C52438"/>
    <w:rsid w:val="00C56165"/>
    <w:rsid w:val="00C613E3"/>
    <w:rsid w:val="00C62CFF"/>
    <w:rsid w:val="00C64379"/>
    <w:rsid w:val="00C65246"/>
    <w:rsid w:val="00C71388"/>
    <w:rsid w:val="00C722B8"/>
    <w:rsid w:val="00C747FD"/>
    <w:rsid w:val="00C74936"/>
    <w:rsid w:val="00C814C9"/>
    <w:rsid w:val="00C83552"/>
    <w:rsid w:val="00C85B3F"/>
    <w:rsid w:val="00C865FF"/>
    <w:rsid w:val="00C91614"/>
    <w:rsid w:val="00C9161D"/>
    <w:rsid w:val="00C92960"/>
    <w:rsid w:val="00C96778"/>
    <w:rsid w:val="00C97640"/>
    <w:rsid w:val="00C97673"/>
    <w:rsid w:val="00CA1574"/>
    <w:rsid w:val="00CA190D"/>
    <w:rsid w:val="00CA2494"/>
    <w:rsid w:val="00CA25C9"/>
    <w:rsid w:val="00CA69C8"/>
    <w:rsid w:val="00CA7B0D"/>
    <w:rsid w:val="00CB278D"/>
    <w:rsid w:val="00CB4649"/>
    <w:rsid w:val="00CB6AB2"/>
    <w:rsid w:val="00CB7C2C"/>
    <w:rsid w:val="00CB7C33"/>
    <w:rsid w:val="00CC15F1"/>
    <w:rsid w:val="00CC23FC"/>
    <w:rsid w:val="00CC4E92"/>
    <w:rsid w:val="00CD07BF"/>
    <w:rsid w:val="00CD2B7F"/>
    <w:rsid w:val="00CD5F8E"/>
    <w:rsid w:val="00CE00AB"/>
    <w:rsid w:val="00CE4962"/>
    <w:rsid w:val="00CE4A98"/>
    <w:rsid w:val="00CE5115"/>
    <w:rsid w:val="00CE7DE5"/>
    <w:rsid w:val="00CF1848"/>
    <w:rsid w:val="00CF2BA9"/>
    <w:rsid w:val="00D00999"/>
    <w:rsid w:val="00D03320"/>
    <w:rsid w:val="00D0790F"/>
    <w:rsid w:val="00D10451"/>
    <w:rsid w:val="00D105FC"/>
    <w:rsid w:val="00D10F43"/>
    <w:rsid w:val="00D13D28"/>
    <w:rsid w:val="00D239D9"/>
    <w:rsid w:val="00D25F6A"/>
    <w:rsid w:val="00D267DD"/>
    <w:rsid w:val="00D315CD"/>
    <w:rsid w:val="00D31A74"/>
    <w:rsid w:val="00D35C99"/>
    <w:rsid w:val="00D43B3C"/>
    <w:rsid w:val="00D4601B"/>
    <w:rsid w:val="00D46349"/>
    <w:rsid w:val="00D50F9F"/>
    <w:rsid w:val="00D515E4"/>
    <w:rsid w:val="00D53446"/>
    <w:rsid w:val="00D5395D"/>
    <w:rsid w:val="00D60036"/>
    <w:rsid w:val="00D61679"/>
    <w:rsid w:val="00D61A1C"/>
    <w:rsid w:val="00D623E5"/>
    <w:rsid w:val="00D627B3"/>
    <w:rsid w:val="00D648AE"/>
    <w:rsid w:val="00D655EB"/>
    <w:rsid w:val="00D65D28"/>
    <w:rsid w:val="00D669A5"/>
    <w:rsid w:val="00D713A3"/>
    <w:rsid w:val="00D7144B"/>
    <w:rsid w:val="00D72748"/>
    <w:rsid w:val="00D7480A"/>
    <w:rsid w:val="00D76A18"/>
    <w:rsid w:val="00D833D3"/>
    <w:rsid w:val="00D87312"/>
    <w:rsid w:val="00D9248D"/>
    <w:rsid w:val="00D941CD"/>
    <w:rsid w:val="00DA187E"/>
    <w:rsid w:val="00DA21FA"/>
    <w:rsid w:val="00DA4BD0"/>
    <w:rsid w:val="00DA70B9"/>
    <w:rsid w:val="00DB084E"/>
    <w:rsid w:val="00DB29B7"/>
    <w:rsid w:val="00DC0907"/>
    <w:rsid w:val="00DD118C"/>
    <w:rsid w:val="00DD3EF2"/>
    <w:rsid w:val="00DD4459"/>
    <w:rsid w:val="00DD6419"/>
    <w:rsid w:val="00DD6A91"/>
    <w:rsid w:val="00DE07A6"/>
    <w:rsid w:val="00DE435B"/>
    <w:rsid w:val="00DE6043"/>
    <w:rsid w:val="00DE7E9F"/>
    <w:rsid w:val="00DF054E"/>
    <w:rsid w:val="00DF1E5F"/>
    <w:rsid w:val="00DF3D49"/>
    <w:rsid w:val="00DF4351"/>
    <w:rsid w:val="00DF6303"/>
    <w:rsid w:val="00DF6EFD"/>
    <w:rsid w:val="00E009BD"/>
    <w:rsid w:val="00E03559"/>
    <w:rsid w:val="00E03DBF"/>
    <w:rsid w:val="00E060B2"/>
    <w:rsid w:val="00E075B3"/>
    <w:rsid w:val="00E10D1C"/>
    <w:rsid w:val="00E12894"/>
    <w:rsid w:val="00E1501B"/>
    <w:rsid w:val="00E1690E"/>
    <w:rsid w:val="00E172F1"/>
    <w:rsid w:val="00E204A7"/>
    <w:rsid w:val="00E21100"/>
    <w:rsid w:val="00E23046"/>
    <w:rsid w:val="00E32F49"/>
    <w:rsid w:val="00E34F8A"/>
    <w:rsid w:val="00E36C96"/>
    <w:rsid w:val="00E37003"/>
    <w:rsid w:val="00E40F06"/>
    <w:rsid w:val="00E431F2"/>
    <w:rsid w:val="00E43FD1"/>
    <w:rsid w:val="00E45770"/>
    <w:rsid w:val="00E45A62"/>
    <w:rsid w:val="00E4603E"/>
    <w:rsid w:val="00E50D01"/>
    <w:rsid w:val="00E562FE"/>
    <w:rsid w:val="00E56B35"/>
    <w:rsid w:val="00E574F0"/>
    <w:rsid w:val="00E636CF"/>
    <w:rsid w:val="00E638D8"/>
    <w:rsid w:val="00E65272"/>
    <w:rsid w:val="00E654E2"/>
    <w:rsid w:val="00E66235"/>
    <w:rsid w:val="00E719BC"/>
    <w:rsid w:val="00E745B4"/>
    <w:rsid w:val="00E76EF1"/>
    <w:rsid w:val="00E77ED7"/>
    <w:rsid w:val="00E83C24"/>
    <w:rsid w:val="00E854BC"/>
    <w:rsid w:val="00E85EE0"/>
    <w:rsid w:val="00E92467"/>
    <w:rsid w:val="00E928AE"/>
    <w:rsid w:val="00E94207"/>
    <w:rsid w:val="00E96F3E"/>
    <w:rsid w:val="00EA4C38"/>
    <w:rsid w:val="00EA5F11"/>
    <w:rsid w:val="00EA6C0B"/>
    <w:rsid w:val="00EA6D13"/>
    <w:rsid w:val="00EB29DB"/>
    <w:rsid w:val="00EB3B60"/>
    <w:rsid w:val="00EB6B29"/>
    <w:rsid w:val="00EC2F86"/>
    <w:rsid w:val="00EC4695"/>
    <w:rsid w:val="00EC47A4"/>
    <w:rsid w:val="00EC4D24"/>
    <w:rsid w:val="00EC6722"/>
    <w:rsid w:val="00ED00C2"/>
    <w:rsid w:val="00ED20DB"/>
    <w:rsid w:val="00ED6C5E"/>
    <w:rsid w:val="00EE1432"/>
    <w:rsid w:val="00EE1719"/>
    <w:rsid w:val="00EE4DD3"/>
    <w:rsid w:val="00EE61E9"/>
    <w:rsid w:val="00EF032D"/>
    <w:rsid w:val="00EF3EFA"/>
    <w:rsid w:val="00EF5BA5"/>
    <w:rsid w:val="00EF6419"/>
    <w:rsid w:val="00EF7396"/>
    <w:rsid w:val="00F00A9E"/>
    <w:rsid w:val="00F00B5F"/>
    <w:rsid w:val="00F04291"/>
    <w:rsid w:val="00F04FE6"/>
    <w:rsid w:val="00F05563"/>
    <w:rsid w:val="00F05EAE"/>
    <w:rsid w:val="00F072ED"/>
    <w:rsid w:val="00F1220D"/>
    <w:rsid w:val="00F15D34"/>
    <w:rsid w:val="00F1794F"/>
    <w:rsid w:val="00F2157C"/>
    <w:rsid w:val="00F21C65"/>
    <w:rsid w:val="00F3009B"/>
    <w:rsid w:val="00F31067"/>
    <w:rsid w:val="00F32D04"/>
    <w:rsid w:val="00F343FB"/>
    <w:rsid w:val="00F36B9C"/>
    <w:rsid w:val="00F379A6"/>
    <w:rsid w:val="00F42CC8"/>
    <w:rsid w:val="00F43E3C"/>
    <w:rsid w:val="00F47A8D"/>
    <w:rsid w:val="00F50738"/>
    <w:rsid w:val="00F522EB"/>
    <w:rsid w:val="00F5583A"/>
    <w:rsid w:val="00F578D3"/>
    <w:rsid w:val="00F60C31"/>
    <w:rsid w:val="00F61693"/>
    <w:rsid w:val="00F61C12"/>
    <w:rsid w:val="00F63F3A"/>
    <w:rsid w:val="00F70094"/>
    <w:rsid w:val="00F71251"/>
    <w:rsid w:val="00F738A2"/>
    <w:rsid w:val="00F83862"/>
    <w:rsid w:val="00F85044"/>
    <w:rsid w:val="00F86C4E"/>
    <w:rsid w:val="00F91D46"/>
    <w:rsid w:val="00F92FA4"/>
    <w:rsid w:val="00F93483"/>
    <w:rsid w:val="00F94774"/>
    <w:rsid w:val="00F96C96"/>
    <w:rsid w:val="00FA048F"/>
    <w:rsid w:val="00FA2190"/>
    <w:rsid w:val="00FB0D24"/>
    <w:rsid w:val="00FB23D2"/>
    <w:rsid w:val="00FB2F9E"/>
    <w:rsid w:val="00FB33EF"/>
    <w:rsid w:val="00FB6E10"/>
    <w:rsid w:val="00FC0581"/>
    <w:rsid w:val="00FC4DE4"/>
    <w:rsid w:val="00FC53DB"/>
    <w:rsid w:val="00FC5D64"/>
    <w:rsid w:val="00FD4184"/>
    <w:rsid w:val="00FD757D"/>
    <w:rsid w:val="00FD7D7D"/>
    <w:rsid w:val="00FE06CC"/>
    <w:rsid w:val="00FE3DA2"/>
    <w:rsid w:val="00FE4218"/>
    <w:rsid w:val="00FE5EB6"/>
    <w:rsid w:val="00FF417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224C4E2C-CC86-40CC-825D-FC6BDD7C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D6C5E"/>
    <w:pPr>
      <w:keepNext/>
      <w:tabs>
        <w:tab w:val="left" w:pos="720"/>
      </w:tabs>
      <w:spacing w:before="240" w:after="120"/>
      <w:jc w:val="center"/>
      <w:outlineLvl w:val="1"/>
    </w:pPr>
    <w:rPr>
      <w:b/>
      <w:bCs/>
      <w:i/>
      <w:iCs/>
      <w:snapToGrid w:val="0"/>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semiHidden/>
    <w:rsid w:val="007E09DA"/>
    <w:rPr>
      <w:sz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aragraphedeliste">
    <w:name w:val="List Paragraph"/>
    <w:basedOn w:val="Normal"/>
    <w:uiPriority w:val="34"/>
    <w:qFormat/>
    <w:rsid w:val="00B3778F"/>
    <w:pPr>
      <w:ind w:left="720"/>
      <w:contextualSpacing/>
    </w:pPr>
  </w:style>
  <w:style w:type="paragraph" w:styleId="Objetducommentaire">
    <w:name w:val="annotation subject"/>
    <w:basedOn w:val="Commentaire"/>
    <w:next w:val="Commentaire"/>
    <w:link w:val="ObjetducommentaireCar"/>
    <w:uiPriority w:val="99"/>
    <w:semiHidden/>
    <w:unhideWhenUsed/>
    <w:rsid w:val="00C40DD5"/>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Policepardfau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Corpsdetexte"/>
    <w:rsid w:val="00C46880"/>
    <w:pPr>
      <w:ind w:firstLine="0"/>
      <w:jc w:val="center"/>
    </w:pPr>
    <w:rPr>
      <w:rFonts w:eastAsia="Malgun Gothic"/>
      <w:b/>
      <w:bCs/>
      <w:i/>
      <w:iCs w:val="0"/>
      <w:lang w:eastAsia="x-none"/>
    </w:rPr>
  </w:style>
  <w:style w:type="character" w:styleId="Mentionnonrsolue">
    <w:name w:val="Unresolved Mention"/>
    <w:basedOn w:val="Policepardfau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meetings/COP-15" TargetMode="External"/><Relationship Id="rId10" Type="http://schemas.openxmlformats.org/officeDocument/2006/relationships/footnotes" Target="footnotes.xml"/><Relationship Id="rId19" Type="http://schemas.openxmlformats.org/officeDocument/2006/relationships/glossaryDocument" Target="glossary/document.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Calibri"/>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C44F5"/>
    <w:rsid w:val="0018788D"/>
    <w:rsid w:val="001D08C1"/>
    <w:rsid w:val="00204ED8"/>
    <w:rsid w:val="00293EF7"/>
    <w:rsid w:val="002B64FF"/>
    <w:rsid w:val="002E024C"/>
    <w:rsid w:val="003161D7"/>
    <w:rsid w:val="00334D4E"/>
    <w:rsid w:val="00377183"/>
    <w:rsid w:val="00382240"/>
    <w:rsid w:val="004102C1"/>
    <w:rsid w:val="00420803"/>
    <w:rsid w:val="004F086B"/>
    <w:rsid w:val="00500A2B"/>
    <w:rsid w:val="00517E50"/>
    <w:rsid w:val="00571DB8"/>
    <w:rsid w:val="0058288D"/>
    <w:rsid w:val="00590CF3"/>
    <w:rsid w:val="005B62B8"/>
    <w:rsid w:val="005E1DAB"/>
    <w:rsid w:val="005F7933"/>
    <w:rsid w:val="00601B49"/>
    <w:rsid w:val="006047BD"/>
    <w:rsid w:val="0061507A"/>
    <w:rsid w:val="0064470C"/>
    <w:rsid w:val="006801B3"/>
    <w:rsid w:val="00736ECC"/>
    <w:rsid w:val="007743E0"/>
    <w:rsid w:val="007C4396"/>
    <w:rsid w:val="007C4C70"/>
    <w:rsid w:val="007E5562"/>
    <w:rsid w:val="00810A55"/>
    <w:rsid w:val="008350F9"/>
    <w:rsid w:val="00840476"/>
    <w:rsid w:val="008C6619"/>
    <w:rsid w:val="008D420E"/>
    <w:rsid w:val="00944794"/>
    <w:rsid w:val="00971A74"/>
    <w:rsid w:val="0098140C"/>
    <w:rsid w:val="0098642F"/>
    <w:rsid w:val="009B5A7E"/>
    <w:rsid w:val="00A4311C"/>
    <w:rsid w:val="00B32BAC"/>
    <w:rsid w:val="00BF5CC0"/>
    <w:rsid w:val="00C745B9"/>
    <w:rsid w:val="00C9570A"/>
    <w:rsid w:val="00CD0B52"/>
    <w:rsid w:val="00D10070"/>
    <w:rsid w:val="00D43F44"/>
    <w:rsid w:val="00D46BBF"/>
    <w:rsid w:val="00D47623"/>
    <w:rsid w:val="00DB3D05"/>
    <w:rsid w:val="00DC5AE1"/>
    <w:rsid w:val="00DE47E1"/>
    <w:rsid w:val="00DF0F24"/>
    <w:rsid w:val="00E23C57"/>
    <w:rsid w:val="00E37F2E"/>
    <w:rsid w:val="00E75D63"/>
    <w:rsid w:val="00E971CB"/>
    <w:rsid w:val="00F438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64470C"/>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3.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customXml/itemProps5.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3804</Words>
  <Characters>20927</Characters>
  <Application>Microsoft Office Word</Application>
  <DocSecurity>0</DocSecurity>
  <Lines>174</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REPORT OF THE MEETING</vt:lpstr>
      <vt:lpstr>DRAFT REPORT OF THE MEETING</vt:lpstr>
    </vt:vector>
  </TitlesOfParts>
  <Company>SCBD</Company>
  <LinksUpToDate>false</LinksUpToDate>
  <CharactersWithSpaces>24682</CharactersWithSpaces>
  <SharedDoc>false</SharedDoc>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CBD/CP/MOP/10/L.1</dc:subject>
  <dc:creator>SCBD</dc:creator>
  <cp:keywords>Conference of the Parties serving as the meeting of the Parties to the Cartagena Protocol on Biosafety, tenth meeting</cp:keywords>
  <dc:description/>
  <cp:lastModifiedBy>Matthias Massoulier</cp:lastModifiedBy>
  <cp:revision>16</cp:revision>
  <cp:lastPrinted>2019-03-11T16:24:00Z</cp:lastPrinted>
  <dcterms:created xsi:type="dcterms:W3CDTF">2022-12-18T14:53:00Z</dcterms:created>
  <dcterms:modified xsi:type="dcterms:W3CDTF">2022-12-18T15:41:00Z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