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6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141"/>
        <w:gridCol w:w="533"/>
        <w:gridCol w:w="4090"/>
        <w:gridCol w:w="156"/>
      </w:tblGrid>
      <w:tr w:rsidR="00405963" w:rsidRPr="008159AD" w14:paraId="7DC6A171" w14:textId="77777777" w:rsidTr="00625E38">
        <w:trPr>
          <w:trHeight w:val="844"/>
        </w:trPr>
        <w:tc>
          <w:tcPr>
            <w:tcW w:w="443" w:type="dxa"/>
            <w:tcBorders>
              <w:bottom w:val="single" w:sz="12" w:space="0" w:color="auto"/>
            </w:tcBorders>
          </w:tcPr>
          <w:p w14:paraId="7C5A3ECD" w14:textId="77777777" w:rsidR="00625E38" w:rsidRPr="008159AD" w:rsidRDefault="00625E38" w:rsidP="008159AD">
            <w:pPr>
              <w:suppressLineNumbers/>
              <w:suppressAutoHyphens/>
              <w:rPr>
                <w:kern w:val="22"/>
              </w:rPr>
            </w:pPr>
            <w:bookmarkStart w:id="0" w:name="_Hlk505247837"/>
            <w:r w:rsidRPr="008159AD">
              <w:rPr>
                <w:kern w:val="22"/>
              </w:rPr>
              <w:drawing>
                <wp:anchor distT="0" distB="0" distL="114300" distR="114300" simplePos="0" relativeHeight="251658241" behindDoc="0" locked="0" layoutInCell="1" allowOverlap="1" wp14:anchorId="482C5E77" wp14:editId="6930E327">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D282FB1" w14:textId="77777777" w:rsidR="00625E38" w:rsidRPr="008159AD" w:rsidRDefault="00625E38" w:rsidP="008159AD">
            <w:pPr>
              <w:suppressLineNumbers/>
              <w:suppressAutoHyphens/>
              <w:rPr>
                <w:kern w:val="22"/>
              </w:rPr>
            </w:pPr>
            <w:r w:rsidRPr="008159AD">
              <w:drawing>
                <wp:anchor distT="0" distB="0" distL="114300" distR="114300" simplePos="0" relativeHeight="251658240" behindDoc="0" locked="0" layoutInCell="1" allowOverlap="1" wp14:anchorId="13874CE7" wp14:editId="489DE573">
                  <wp:simplePos x="0" y="0"/>
                  <wp:positionH relativeFrom="column">
                    <wp:posOffset>52100</wp:posOffset>
                  </wp:positionH>
                  <wp:positionV relativeFrom="page">
                    <wp:posOffset>-76134</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779" w:type="dxa"/>
            <w:gridSpan w:val="3"/>
            <w:tcBorders>
              <w:bottom w:val="single" w:sz="12" w:space="0" w:color="auto"/>
            </w:tcBorders>
          </w:tcPr>
          <w:p w14:paraId="79BA5E75" w14:textId="77777777" w:rsidR="00625E38" w:rsidRPr="008159AD" w:rsidRDefault="00625E38" w:rsidP="008159AD">
            <w:pPr>
              <w:suppressLineNumbers/>
              <w:suppressAutoHyphens/>
              <w:jc w:val="right"/>
              <w:rPr>
                <w:rFonts w:ascii="Arial" w:hAnsi="Arial" w:cs="Arial"/>
                <w:b/>
                <w:kern w:val="22"/>
                <w:sz w:val="32"/>
                <w:szCs w:val="32"/>
              </w:rPr>
            </w:pPr>
            <w:r w:rsidRPr="008159AD">
              <w:rPr>
                <w:rFonts w:ascii="Arial" w:hAnsi="Arial" w:cs="Arial"/>
                <w:b/>
                <w:kern w:val="22"/>
                <w:sz w:val="32"/>
                <w:szCs w:val="32"/>
              </w:rPr>
              <w:t>CBD</w:t>
            </w:r>
          </w:p>
        </w:tc>
      </w:tr>
      <w:bookmarkEnd w:id="0"/>
      <w:tr w:rsidR="00833145" w:rsidRPr="008159AD" w14:paraId="7F91CA98" w14:textId="77777777" w:rsidTr="00625E38">
        <w:trPr>
          <w:gridAfter w:val="1"/>
          <w:wAfter w:w="156" w:type="dxa"/>
        </w:trPr>
        <w:tc>
          <w:tcPr>
            <w:tcW w:w="6117" w:type="dxa"/>
            <w:gridSpan w:val="3"/>
            <w:tcBorders>
              <w:top w:val="single" w:sz="12" w:space="0" w:color="auto"/>
              <w:bottom w:val="single" w:sz="36" w:space="0" w:color="auto"/>
            </w:tcBorders>
            <w:vAlign w:val="center"/>
          </w:tcPr>
          <w:p w14:paraId="5F528349" w14:textId="77777777" w:rsidR="00C9161D" w:rsidRPr="008159AD" w:rsidRDefault="00C9161D" w:rsidP="008159AD">
            <w:pPr>
              <w:suppressLineNumbers/>
              <w:suppressAutoHyphens/>
              <w:kinsoku w:val="0"/>
              <w:overflowPunct w:val="0"/>
              <w:autoSpaceDE w:val="0"/>
              <w:autoSpaceDN w:val="0"/>
              <w:rPr>
                <w:snapToGrid w:val="0"/>
                <w:kern w:val="22"/>
              </w:rPr>
            </w:pPr>
            <w:r w:rsidRPr="008159AD">
              <w:rPr>
                <w:snapToGrid w:val="0"/>
                <w:kern w:val="22"/>
              </w:rPr>
              <w:drawing>
                <wp:inline distT="0" distB="0" distL="0" distR="0" wp14:anchorId="411E553A" wp14:editId="43B85D7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B8367F3" w14:textId="77777777" w:rsidR="00C9161D" w:rsidRPr="008159AD" w:rsidRDefault="00C9161D" w:rsidP="008159AD">
            <w:pPr>
              <w:suppressLineNumbers/>
              <w:suppressAutoHyphens/>
              <w:kinsoku w:val="0"/>
              <w:overflowPunct w:val="0"/>
              <w:autoSpaceDE w:val="0"/>
              <w:autoSpaceDN w:val="0"/>
              <w:ind w:left="1183"/>
              <w:jc w:val="left"/>
              <w:rPr>
                <w:snapToGrid w:val="0"/>
                <w:kern w:val="22"/>
                <w:szCs w:val="22"/>
              </w:rPr>
            </w:pPr>
            <w:r w:rsidRPr="008159AD">
              <w:rPr>
                <w:snapToGrid w:val="0"/>
                <w:kern w:val="22"/>
                <w:szCs w:val="22"/>
              </w:rPr>
              <w:t>Distr.</w:t>
            </w:r>
          </w:p>
          <w:p w14:paraId="7B37CCB6" w14:textId="77777777" w:rsidR="00C9161D" w:rsidRPr="008159AD" w:rsidRDefault="006633B4" w:rsidP="008159AD">
            <w:pPr>
              <w:suppressLineNumbers/>
              <w:suppressAutoHyphens/>
              <w:kinsoku w:val="0"/>
              <w:overflowPunct w:val="0"/>
              <w:autoSpaceDE w:val="0"/>
              <w:autoSpaceDN w:val="0"/>
              <w:ind w:left="1183"/>
              <w:jc w:val="left"/>
              <w:rPr>
                <w:snapToGrid w:val="0"/>
                <w:kern w:val="22"/>
                <w:szCs w:val="22"/>
              </w:rPr>
            </w:pPr>
            <w:sdt>
              <w:sdtPr>
                <w:rPr>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8159AD">
                  <w:rPr>
                    <w:snapToGrid w:val="0"/>
                    <w:kern w:val="22"/>
                    <w:szCs w:val="22"/>
                  </w:rPr>
                  <w:t>GENERAL</w:t>
                </w:r>
              </w:sdtContent>
            </w:sdt>
          </w:p>
          <w:p w14:paraId="26B550A3" w14:textId="77777777" w:rsidR="00C9161D" w:rsidRPr="008159AD" w:rsidRDefault="00C9161D" w:rsidP="008159AD">
            <w:pPr>
              <w:suppressLineNumbers/>
              <w:suppressAutoHyphens/>
              <w:kinsoku w:val="0"/>
              <w:overflowPunct w:val="0"/>
              <w:autoSpaceDE w:val="0"/>
              <w:autoSpaceDN w:val="0"/>
              <w:ind w:left="1183"/>
              <w:jc w:val="left"/>
              <w:rPr>
                <w:snapToGrid w:val="0"/>
                <w:kern w:val="22"/>
                <w:szCs w:val="22"/>
              </w:rPr>
            </w:pPr>
          </w:p>
          <w:p w14:paraId="14E3540F" w14:textId="6A4D9D31" w:rsidR="00C9161D" w:rsidRPr="008159AD" w:rsidRDefault="006633B4" w:rsidP="008159AD">
            <w:pPr>
              <w:suppressLineNumbers/>
              <w:suppressAutoHyphens/>
              <w:ind w:left="1183"/>
              <w:jc w:val="left"/>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60318" w:rsidRPr="008159AD">
                  <w:rPr>
                    <w:snapToGrid w:val="0"/>
                    <w:kern w:val="22"/>
                    <w:szCs w:val="22"/>
                  </w:rPr>
                  <w:t>CBD/CP/CC/1</w:t>
                </w:r>
                <w:r w:rsidR="009C494D" w:rsidRPr="008159AD">
                  <w:rPr>
                    <w:snapToGrid w:val="0"/>
                    <w:kern w:val="22"/>
                    <w:szCs w:val="22"/>
                  </w:rPr>
                  <w:t>7</w:t>
                </w:r>
                <w:r w:rsidR="00C60318" w:rsidRPr="008159AD">
                  <w:rPr>
                    <w:snapToGrid w:val="0"/>
                    <w:kern w:val="22"/>
                    <w:szCs w:val="22"/>
                  </w:rPr>
                  <w:t>/</w:t>
                </w:r>
                <w:r w:rsidR="003B71B5" w:rsidRPr="008159AD">
                  <w:rPr>
                    <w:snapToGrid w:val="0"/>
                    <w:kern w:val="22"/>
                    <w:szCs w:val="22"/>
                  </w:rPr>
                  <w:t>2</w:t>
                </w:r>
              </w:sdtContent>
            </w:sdt>
          </w:p>
          <w:p w14:paraId="701C8AEE" w14:textId="3F03E986" w:rsidR="00C9161D" w:rsidRPr="008159AD" w:rsidRDefault="006633B4" w:rsidP="008159AD">
            <w:pPr>
              <w:suppressLineNumbers/>
              <w:suppressAutoHyphens/>
              <w:kinsoku w:val="0"/>
              <w:overflowPunct w:val="0"/>
              <w:autoSpaceDE w:val="0"/>
              <w:autoSpaceDN w:val="0"/>
              <w:ind w:left="1183"/>
              <w:jc w:val="left"/>
              <w:rPr>
                <w:snapToGrid w:val="0"/>
                <w:kern w:val="22"/>
                <w:szCs w:val="22"/>
              </w:rPr>
            </w:pPr>
            <w:sdt>
              <w:sdtPr>
                <w:rPr>
                  <w:snapToGrid w:val="0"/>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3-16T00:00:00Z">
                  <w:dateFormat w:val="d MMMM yyyy"/>
                  <w:lid w:val="en-US"/>
                  <w:storeMappedDataAs w:val="dateTime"/>
                  <w:calendar w:val="gregorian"/>
                </w:date>
              </w:sdtPr>
              <w:sdtEndPr/>
              <w:sdtContent>
                <w:r w:rsidR="00625E38" w:rsidRPr="008159AD">
                  <w:rPr>
                    <w:snapToGrid w:val="0"/>
                    <w:kern w:val="22"/>
                    <w:szCs w:val="22"/>
                  </w:rPr>
                  <w:t>16</w:t>
                </w:r>
                <w:r w:rsidR="009C494D" w:rsidRPr="008159AD">
                  <w:rPr>
                    <w:snapToGrid w:val="0"/>
                    <w:kern w:val="22"/>
                    <w:szCs w:val="22"/>
                  </w:rPr>
                  <w:t xml:space="preserve"> </w:t>
                </w:r>
                <w:r w:rsidR="00625E38" w:rsidRPr="008159AD">
                  <w:rPr>
                    <w:snapToGrid w:val="0"/>
                    <w:kern w:val="22"/>
                    <w:szCs w:val="22"/>
                  </w:rPr>
                  <w:t>March</w:t>
                </w:r>
                <w:r w:rsidR="009C494D" w:rsidRPr="008159AD">
                  <w:rPr>
                    <w:snapToGrid w:val="0"/>
                    <w:kern w:val="22"/>
                    <w:szCs w:val="22"/>
                  </w:rPr>
                  <w:t xml:space="preserve"> 2020</w:t>
                </w:r>
              </w:sdtContent>
            </w:sdt>
          </w:p>
          <w:p w14:paraId="120AB13E" w14:textId="77777777" w:rsidR="00C9161D" w:rsidRPr="008159AD" w:rsidRDefault="00C9161D" w:rsidP="008159AD">
            <w:pPr>
              <w:suppressLineNumbers/>
              <w:suppressAutoHyphens/>
              <w:kinsoku w:val="0"/>
              <w:overflowPunct w:val="0"/>
              <w:autoSpaceDE w:val="0"/>
              <w:autoSpaceDN w:val="0"/>
              <w:ind w:left="1183"/>
              <w:jc w:val="left"/>
              <w:rPr>
                <w:snapToGrid w:val="0"/>
                <w:kern w:val="22"/>
                <w:szCs w:val="22"/>
              </w:rPr>
            </w:pPr>
          </w:p>
          <w:p w14:paraId="3F3E56D7" w14:textId="77777777" w:rsidR="00C9161D" w:rsidRPr="008159AD" w:rsidRDefault="00C9161D" w:rsidP="008159AD">
            <w:pPr>
              <w:suppressLineNumbers/>
              <w:suppressAutoHyphens/>
              <w:kinsoku w:val="0"/>
              <w:overflowPunct w:val="0"/>
              <w:autoSpaceDE w:val="0"/>
              <w:autoSpaceDN w:val="0"/>
              <w:ind w:left="1183"/>
              <w:jc w:val="left"/>
              <w:rPr>
                <w:snapToGrid w:val="0"/>
                <w:kern w:val="22"/>
                <w:szCs w:val="22"/>
              </w:rPr>
            </w:pPr>
            <w:r w:rsidRPr="008159AD">
              <w:rPr>
                <w:snapToGrid w:val="0"/>
                <w:kern w:val="22"/>
                <w:szCs w:val="22"/>
              </w:rPr>
              <w:t>ENGLISH</w:t>
            </w:r>
            <w:r w:rsidR="00172AF6" w:rsidRPr="008159AD">
              <w:rPr>
                <w:snapToGrid w:val="0"/>
                <w:kern w:val="22"/>
                <w:szCs w:val="22"/>
              </w:rPr>
              <w:t xml:space="preserve"> ONLY</w:t>
            </w:r>
          </w:p>
          <w:p w14:paraId="55963C3D" w14:textId="77777777" w:rsidR="00C9161D" w:rsidRPr="008159AD" w:rsidRDefault="00C9161D" w:rsidP="008159AD">
            <w:pPr>
              <w:suppressLineNumbers/>
              <w:suppressAutoHyphens/>
              <w:kinsoku w:val="0"/>
              <w:overflowPunct w:val="0"/>
              <w:autoSpaceDE w:val="0"/>
              <w:autoSpaceDN w:val="0"/>
              <w:jc w:val="left"/>
              <w:rPr>
                <w:snapToGrid w:val="0"/>
                <w:kern w:val="22"/>
              </w:rPr>
            </w:pPr>
          </w:p>
        </w:tc>
      </w:tr>
    </w:tbl>
    <w:p w14:paraId="171632A4" w14:textId="77777777" w:rsidR="000D09CE" w:rsidRPr="00FF018F" w:rsidRDefault="000D09CE" w:rsidP="008159AD">
      <w:pPr>
        <w:pStyle w:val="Cornernotation"/>
        <w:suppressLineNumbers/>
        <w:suppressAutoHyphens/>
        <w:kinsoku w:val="0"/>
        <w:overflowPunct w:val="0"/>
        <w:autoSpaceDE w:val="0"/>
        <w:autoSpaceDN w:val="0"/>
        <w:ind w:left="284" w:right="4682" w:hanging="283"/>
        <w:rPr>
          <w:snapToGrid w:val="0"/>
          <w:kern w:val="22"/>
          <w:szCs w:val="22"/>
        </w:rPr>
      </w:pPr>
      <w:r w:rsidRPr="00FF018F">
        <w:rPr>
          <w:snapToGrid w:val="0"/>
          <w:kern w:val="22"/>
          <w:szCs w:val="22"/>
        </w:rPr>
        <w:t>COMPLIANCE COMMITTEE UNDER THE CARTAGENA PROTOCOL ON BIOSAFETY</w:t>
      </w:r>
    </w:p>
    <w:p w14:paraId="49A17626" w14:textId="5324E1B5" w:rsidR="000D09CE" w:rsidRPr="00FF018F" w:rsidRDefault="00564C27" w:rsidP="008159AD">
      <w:pPr>
        <w:pStyle w:val="Cornernotation"/>
        <w:suppressLineNumbers/>
        <w:suppressAutoHyphens/>
        <w:kinsoku w:val="0"/>
        <w:overflowPunct w:val="0"/>
        <w:autoSpaceDE w:val="0"/>
        <w:autoSpaceDN w:val="0"/>
        <w:ind w:left="0" w:firstLine="0"/>
        <w:rPr>
          <w:snapToGrid w:val="0"/>
          <w:kern w:val="22"/>
          <w:szCs w:val="22"/>
        </w:rPr>
      </w:pPr>
      <w:r w:rsidRPr="00FF018F">
        <w:rPr>
          <w:snapToGrid w:val="0"/>
          <w:kern w:val="22"/>
          <w:szCs w:val="22"/>
        </w:rPr>
        <w:t>Seven</w:t>
      </w:r>
      <w:r w:rsidR="000D09CE" w:rsidRPr="00FF018F">
        <w:rPr>
          <w:snapToGrid w:val="0"/>
          <w:kern w:val="22"/>
          <w:szCs w:val="22"/>
        </w:rPr>
        <w:t>teenth meeting</w:t>
      </w:r>
    </w:p>
    <w:p w14:paraId="7BB91EAB" w14:textId="2BDC741C" w:rsidR="001276E1" w:rsidRPr="00FF018F" w:rsidRDefault="00645320" w:rsidP="008159AD">
      <w:pPr>
        <w:pStyle w:val="Cornernotation"/>
        <w:suppressLineNumbers/>
        <w:suppressAutoHyphens/>
        <w:kinsoku w:val="0"/>
        <w:overflowPunct w:val="0"/>
        <w:autoSpaceDE w:val="0"/>
        <w:autoSpaceDN w:val="0"/>
        <w:ind w:left="0" w:right="3548" w:firstLine="0"/>
        <w:rPr>
          <w:snapToGrid w:val="0"/>
          <w:kern w:val="22"/>
          <w:szCs w:val="22"/>
        </w:rPr>
      </w:pPr>
      <w:r w:rsidRPr="00FF018F">
        <w:rPr>
          <w:snapToGrid w:val="0"/>
          <w:kern w:val="22"/>
          <w:szCs w:val="22"/>
        </w:rPr>
        <w:t>Online</w:t>
      </w:r>
      <w:r w:rsidR="000D09CE" w:rsidRPr="00FF018F">
        <w:rPr>
          <w:snapToGrid w:val="0"/>
          <w:kern w:val="22"/>
          <w:szCs w:val="22"/>
        </w:rPr>
        <w:t xml:space="preserve">, </w:t>
      </w:r>
      <w:r w:rsidR="008B6BA9" w:rsidRPr="00FF018F">
        <w:rPr>
          <w:snapToGrid w:val="0"/>
          <w:kern w:val="22"/>
          <w:szCs w:val="22"/>
        </w:rPr>
        <w:t>15</w:t>
      </w:r>
      <w:r w:rsidR="000D3B5E" w:rsidRPr="00FF018F">
        <w:rPr>
          <w:snapToGrid w:val="0"/>
          <w:kern w:val="22"/>
          <w:szCs w:val="22"/>
        </w:rPr>
        <w:t>-</w:t>
      </w:r>
      <w:r w:rsidR="008B6BA9" w:rsidRPr="00FF018F">
        <w:rPr>
          <w:snapToGrid w:val="0"/>
          <w:kern w:val="22"/>
          <w:szCs w:val="22"/>
        </w:rPr>
        <w:t>17</w:t>
      </w:r>
      <w:r w:rsidR="000D3B5E" w:rsidRPr="00FF018F">
        <w:rPr>
          <w:snapToGrid w:val="0"/>
          <w:kern w:val="22"/>
          <w:szCs w:val="22"/>
        </w:rPr>
        <w:t xml:space="preserve"> </w:t>
      </w:r>
      <w:r w:rsidR="009C494D" w:rsidRPr="00FF018F">
        <w:rPr>
          <w:snapToGrid w:val="0"/>
          <w:kern w:val="22"/>
          <w:szCs w:val="22"/>
        </w:rPr>
        <w:t>April</w:t>
      </w:r>
      <w:r w:rsidR="000D09CE" w:rsidRPr="00FF018F">
        <w:rPr>
          <w:snapToGrid w:val="0"/>
          <w:kern w:val="22"/>
          <w:szCs w:val="22"/>
        </w:rPr>
        <w:t xml:space="preserve"> </w:t>
      </w:r>
      <w:r w:rsidR="008B6BA9" w:rsidRPr="00FF018F">
        <w:rPr>
          <w:snapToGrid w:val="0"/>
          <w:kern w:val="22"/>
          <w:szCs w:val="22"/>
        </w:rPr>
        <w:t>2020</w:t>
      </w:r>
    </w:p>
    <w:p w14:paraId="2AA1DD39" w14:textId="0E30F25C" w:rsidR="005B3DCF" w:rsidRPr="00FF018F" w:rsidRDefault="008571F8" w:rsidP="008159AD">
      <w:pPr>
        <w:pStyle w:val="Cornernotation"/>
        <w:suppressLineNumbers/>
        <w:suppressAutoHyphens/>
        <w:kinsoku w:val="0"/>
        <w:overflowPunct w:val="0"/>
        <w:autoSpaceDE w:val="0"/>
        <w:autoSpaceDN w:val="0"/>
        <w:ind w:left="0" w:right="3548" w:firstLine="0"/>
        <w:rPr>
          <w:snapToGrid w:val="0"/>
          <w:kern w:val="22"/>
          <w:szCs w:val="22"/>
        </w:rPr>
      </w:pPr>
      <w:r w:rsidRPr="00FF018F">
        <w:rPr>
          <w:snapToGrid w:val="0"/>
          <w:kern w:val="22"/>
          <w:szCs w:val="22"/>
        </w:rPr>
        <w:t xml:space="preserve">Item </w:t>
      </w:r>
      <w:r w:rsidR="002F2019" w:rsidRPr="00FF018F">
        <w:rPr>
          <w:snapToGrid w:val="0"/>
          <w:kern w:val="22"/>
          <w:szCs w:val="22"/>
        </w:rPr>
        <w:t>3</w:t>
      </w:r>
      <w:r w:rsidRPr="00FF018F">
        <w:rPr>
          <w:snapToGrid w:val="0"/>
          <w:kern w:val="22"/>
          <w:szCs w:val="22"/>
        </w:rPr>
        <w:t xml:space="preserve"> of the provisional agenda</w:t>
      </w:r>
    </w:p>
    <w:p w14:paraId="4033C76E" w14:textId="08D5D291" w:rsidR="00176CEE" w:rsidRPr="00FF018F" w:rsidRDefault="006633B4" w:rsidP="008159AD">
      <w:pPr>
        <w:suppressLineNumbers/>
        <w:suppressAutoHyphens/>
        <w:kinsoku w:val="0"/>
        <w:overflowPunct w:val="0"/>
        <w:autoSpaceDE w:val="0"/>
        <w:autoSpaceDN w:val="0"/>
        <w:spacing w:before="240" w:after="120"/>
        <w:jc w:val="center"/>
        <w:rPr>
          <w:b/>
          <w:caps/>
          <w:snapToGrid w:val="0"/>
          <w:kern w:val="22"/>
          <w:szCs w:val="22"/>
        </w:rPr>
      </w:pPr>
      <w:sdt>
        <w:sdtPr>
          <w:rPr>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r w:rsidR="005B3DCF" w:rsidRPr="00FF018F">
            <w:rPr>
              <w:b/>
              <w:bCs/>
              <w:caps/>
              <w:snapToGrid w:val="0"/>
              <w:kern w:val="22"/>
              <w:szCs w:val="22"/>
            </w:rPr>
            <w:t>Overview of compliance with the obligation to submit national reports</w:t>
          </w:r>
        </w:sdtContent>
      </w:sdt>
    </w:p>
    <w:p w14:paraId="2871D311" w14:textId="77777777" w:rsidR="003B71B5" w:rsidRPr="00FF018F" w:rsidRDefault="003B71B5">
      <w:pPr>
        <w:pStyle w:val="HEADING"/>
        <w:keepNext w:val="0"/>
        <w:suppressLineNumbers/>
        <w:suppressAutoHyphens/>
        <w:spacing w:before="120"/>
        <w:rPr>
          <w:b w:val="0"/>
          <w:i/>
          <w:caps w:val="0"/>
          <w:snapToGrid w:val="0"/>
          <w:kern w:val="22"/>
          <w:szCs w:val="22"/>
        </w:rPr>
      </w:pPr>
      <w:r w:rsidRPr="00FF018F">
        <w:rPr>
          <w:b w:val="0"/>
          <w:i/>
          <w:caps w:val="0"/>
          <w:snapToGrid w:val="0"/>
          <w:kern w:val="22"/>
          <w:szCs w:val="22"/>
        </w:rPr>
        <w:t>Note by the Executive Secretary</w:t>
      </w:r>
    </w:p>
    <w:p w14:paraId="31BAF617" w14:textId="77777777" w:rsidR="003B71B5" w:rsidRPr="00FF018F" w:rsidRDefault="003B71B5" w:rsidP="008159AD">
      <w:pPr>
        <w:pStyle w:val="Heading1"/>
        <w:suppressLineNumbers/>
        <w:tabs>
          <w:tab w:val="clear" w:pos="720"/>
          <w:tab w:val="left" w:pos="426"/>
        </w:tabs>
        <w:suppressAutoHyphens/>
        <w:spacing w:before="120"/>
        <w:rPr>
          <w:snapToGrid w:val="0"/>
          <w:kern w:val="22"/>
          <w:szCs w:val="22"/>
        </w:rPr>
      </w:pPr>
      <w:r w:rsidRPr="00FF018F">
        <w:rPr>
          <w:snapToGrid w:val="0"/>
          <w:kern w:val="22"/>
          <w:szCs w:val="22"/>
        </w:rPr>
        <w:t>I.</w:t>
      </w:r>
      <w:r w:rsidRPr="00FF018F">
        <w:rPr>
          <w:snapToGrid w:val="0"/>
          <w:kern w:val="22"/>
          <w:szCs w:val="22"/>
        </w:rPr>
        <w:tab/>
        <w:t>INTRODUCTION</w:t>
      </w:r>
    </w:p>
    <w:p w14:paraId="6C7F8BB2" w14:textId="0DFBC771" w:rsidR="003B71B5" w:rsidRPr="00FF018F" w:rsidRDefault="003B71B5" w:rsidP="008159AD">
      <w:pPr>
        <w:pStyle w:val="Para1"/>
        <w:numPr>
          <w:ilvl w:val="0"/>
          <w:numId w:val="17"/>
        </w:numPr>
        <w:suppressLineNumbers/>
        <w:tabs>
          <w:tab w:val="clear" w:pos="644"/>
        </w:tabs>
        <w:suppressAutoHyphens/>
        <w:ind w:left="0"/>
        <w:rPr>
          <w:snapToGrid/>
          <w:kern w:val="22"/>
          <w:szCs w:val="22"/>
        </w:rPr>
      </w:pPr>
      <w:r w:rsidRPr="00FF018F">
        <w:rPr>
          <w:snapToGrid/>
          <w:kern w:val="22"/>
          <w:szCs w:val="22"/>
        </w:rPr>
        <w:t xml:space="preserve">Article 33 of the </w:t>
      </w:r>
      <w:r w:rsidR="00F0344A" w:rsidRPr="00FF018F">
        <w:rPr>
          <w:snapToGrid/>
          <w:kern w:val="22"/>
          <w:szCs w:val="22"/>
        </w:rPr>
        <w:t xml:space="preserve">Cartagena </w:t>
      </w:r>
      <w:r w:rsidRPr="00FF018F">
        <w:rPr>
          <w:snapToGrid/>
          <w:kern w:val="22"/>
          <w:szCs w:val="22"/>
        </w:rPr>
        <w:t xml:space="preserve">Protocol </w:t>
      </w:r>
      <w:r w:rsidR="00F0344A" w:rsidRPr="00FF018F">
        <w:rPr>
          <w:snapToGrid/>
          <w:kern w:val="22"/>
          <w:szCs w:val="22"/>
        </w:rPr>
        <w:t xml:space="preserve">on Biosafety </w:t>
      </w:r>
      <w:r w:rsidRPr="00FF018F">
        <w:rPr>
          <w:snapToGrid/>
          <w:kern w:val="22"/>
          <w:szCs w:val="22"/>
        </w:rPr>
        <w:t xml:space="preserve">requires each Party to monitor the implementation of its obligations under the Protocol and to report </w:t>
      </w:r>
      <w:r w:rsidR="00DB76EE" w:rsidRPr="00FF018F">
        <w:rPr>
          <w:snapToGrid/>
          <w:kern w:val="22"/>
          <w:szCs w:val="22"/>
        </w:rPr>
        <w:t xml:space="preserve">periodically </w:t>
      </w:r>
      <w:r w:rsidR="003D6478" w:rsidRPr="00FF018F">
        <w:rPr>
          <w:snapToGrid/>
          <w:kern w:val="22"/>
          <w:szCs w:val="22"/>
        </w:rPr>
        <w:t>to</w:t>
      </w:r>
      <w:r w:rsidRPr="00FF018F">
        <w:rPr>
          <w:snapToGrid/>
          <w:kern w:val="22"/>
          <w:szCs w:val="22"/>
        </w:rPr>
        <w:t xml:space="preserve"> the Conference of the Parties serving as the meeting of the Parties to the Protocol on measures it has taken to implement the Protocol.</w:t>
      </w:r>
    </w:p>
    <w:p w14:paraId="2515442A" w14:textId="4596156A" w:rsidR="00F363A8" w:rsidRPr="00FF018F" w:rsidRDefault="00D35C0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In its decision </w:t>
      </w:r>
      <w:hyperlink r:id="rId15" w:history="1">
        <w:r w:rsidRPr="00FF018F">
          <w:rPr>
            <w:rStyle w:val="Hyperlink"/>
            <w:snapToGrid w:val="0"/>
            <w:kern w:val="22"/>
            <w:sz w:val="22"/>
            <w:szCs w:val="22"/>
            <w:lang w:val="en-GB"/>
          </w:rPr>
          <w:t>CP-9/5</w:t>
        </w:r>
      </w:hyperlink>
      <w:r w:rsidR="003B71B5" w:rsidRPr="00FF018F">
        <w:rPr>
          <w:snapToGrid w:val="0"/>
          <w:kern w:val="22"/>
          <w:sz w:val="22"/>
          <w:szCs w:val="22"/>
          <w:lang w:val="en-GB"/>
        </w:rPr>
        <w:t xml:space="preserve">, the </w:t>
      </w:r>
      <w:r w:rsidR="000C469A" w:rsidRPr="00FF018F">
        <w:rPr>
          <w:snapToGrid w:val="0"/>
          <w:kern w:val="22"/>
          <w:sz w:val="22"/>
          <w:szCs w:val="22"/>
          <w:lang w:val="en-GB"/>
        </w:rPr>
        <w:t>Conference of the Parties serving as the meeting of the Parties to the Protocol</w:t>
      </w:r>
      <w:r w:rsidR="003B71B5" w:rsidRPr="00FF018F">
        <w:rPr>
          <w:snapToGrid w:val="0"/>
          <w:kern w:val="22"/>
          <w:sz w:val="22"/>
          <w:szCs w:val="22"/>
          <w:lang w:val="en-GB"/>
        </w:rPr>
        <w:t xml:space="preserve">, adopted the reporting format for the fourth national report on the implementation of the Cartagena Protocol on Biosafety. </w:t>
      </w:r>
      <w:r w:rsidR="00F375FA" w:rsidRPr="00FF018F">
        <w:rPr>
          <w:snapToGrid w:val="0"/>
          <w:kern w:val="22"/>
          <w:sz w:val="22"/>
          <w:szCs w:val="22"/>
          <w:lang w:val="en-GB"/>
        </w:rPr>
        <w:t>It</w:t>
      </w:r>
      <w:r w:rsidR="000C469A" w:rsidRPr="00FF018F" w:rsidDel="000C469A">
        <w:rPr>
          <w:snapToGrid w:val="0"/>
          <w:kern w:val="22"/>
          <w:sz w:val="22"/>
          <w:szCs w:val="22"/>
          <w:lang w:val="en-GB"/>
        </w:rPr>
        <w:t xml:space="preserve"> </w:t>
      </w:r>
      <w:r w:rsidR="003B71B5" w:rsidRPr="00FF018F">
        <w:rPr>
          <w:snapToGrid w:val="0"/>
          <w:kern w:val="22"/>
          <w:sz w:val="22"/>
          <w:szCs w:val="22"/>
          <w:lang w:val="en-GB"/>
        </w:rPr>
        <w:t xml:space="preserve">requested Parties to submit to the Secretariat their fourth national report in an official language of the United Nations, </w:t>
      </w:r>
      <w:r w:rsidR="00826799" w:rsidRPr="00FF018F">
        <w:rPr>
          <w:snapToGrid w:val="0"/>
          <w:kern w:val="22"/>
          <w:sz w:val="22"/>
          <w:szCs w:val="22"/>
          <w:lang w:val="en-GB"/>
        </w:rPr>
        <w:t>12</w:t>
      </w:r>
      <w:r w:rsidR="001671A1" w:rsidRPr="00FF018F">
        <w:rPr>
          <w:snapToGrid w:val="0"/>
          <w:kern w:val="22"/>
          <w:sz w:val="22"/>
          <w:szCs w:val="22"/>
          <w:lang w:val="en-GB"/>
        </w:rPr>
        <w:t xml:space="preserve"> </w:t>
      </w:r>
      <w:r w:rsidR="003B71B5" w:rsidRPr="00FF018F">
        <w:rPr>
          <w:snapToGrid w:val="0"/>
          <w:kern w:val="22"/>
          <w:sz w:val="22"/>
          <w:szCs w:val="22"/>
          <w:lang w:val="en-GB"/>
        </w:rPr>
        <w:t xml:space="preserve">months prior to the tenth meeting of the </w:t>
      </w:r>
      <w:r w:rsidR="000C469A" w:rsidRPr="00FF018F">
        <w:rPr>
          <w:kern w:val="22"/>
          <w:sz w:val="22"/>
          <w:szCs w:val="22"/>
          <w:lang w:val="en-GB"/>
        </w:rPr>
        <w:t>Parties to the Protocol</w:t>
      </w:r>
      <w:r w:rsidR="003B71B5" w:rsidRPr="00FF018F">
        <w:rPr>
          <w:snapToGrid w:val="0"/>
          <w:kern w:val="22"/>
          <w:sz w:val="22"/>
          <w:szCs w:val="22"/>
          <w:lang w:val="en-GB"/>
        </w:rPr>
        <w:t>, preferably online through the Biosafety Clearing-House</w:t>
      </w:r>
      <w:r w:rsidR="00133ABE" w:rsidRPr="00FF018F">
        <w:rPr>
          <w:snapToGrid w:val="0"/>
          <w:kern w:val="22"/>
          <w:sz w:val="22"/>
          <w:szCs w:val="22"/>
          <w:lang w:val="en-GB"/>
        </w:rPr>
        <w:t xml:space="preserve"> (BCH)</w:t>
      </w:r>
      <w:r w:rsidR="003B71B5" w:rsidRPr="00FF018F">
        <w:rPr>
          <w:snapToGrid w:val="0"/>
          <w:kern w:val="22"/>
          <w:sz w:val="22"/>
          <w:szCs w:val="22"/>
          <w:lang w:val="en-GB"/>
        </w:rPr>
        <w:t>, or offline using the appropriate form, duly signed by the national focal point for the Cartagena Protocol.</w:t>
      </w:r>
    </w:p>
    <w:p w14:paraId="6A13BEB4" w14:textId="51E9E69A" w:rsidR="003B71B5" w:rsidRPr="00FF018F" w:rsidRDefault="00F363A8"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In the same decision, t</w:t>
      </w:r>
      <w:r w:rsidR="003B71B5" w:rsidRPr="00FF018F">
        <w:rPr>
          <w:snapToGrid w:val="0"/>
          <w:kern w:val="22"/>
          <w:sz w:val="22"/>
          <w:szCs w:val="22"/>
          <w:lang w:val="en-GB"/>
        </w:rPr>
        <w:t xml:space="preserve">he </w:t>
      </w:r>
      <w:r w:rsidR="000C469A" w:rsidRPr="00FF018F">
        <w:rPr>
          <w:kern w:val="22"/>
          <w:sz w:val="22"/>
          <w:szCs w:val="22"/>
          <w:lang w:val="en-GB"/>
        </w:rPr>
        <w:t>Conference of the Parties serving as the meeting of the Parties to the Protocol</w:t>
      </w:r>
      <w:r w:rsidR="000C469A" w:rsidRPr="00FF018F" w:rsidDel="000C469A">
        <w:rPr>
          <w:snapToGrid w:val="0"/>
          <w:kern w:val="22"/>
          <w:sz w:val="22"/>
          <w:szCs w:val="22"/>
          <w:lang w:val="en-GB"/>
        </w:rPr>
        <w:t xml:space="preserve"> </w:t>
      </w:r>
      <w:r w:rsidR="003B71B5" w:rsidRPr="00FF018F">
        <w:rPr>
          <w:snapToGrid w:val="0"/>
          <w:kern w:val="22"/>
          <w:sz w:val="22"/>
          <w:szCs w:val="22"/>
          <w:lang w:val="en-GB"/>
        </w:rPr>
        <w:t xml:space="preserve">encouraged Parties to respond to all questions in the reporting format and stressed the importance of the timely submission of the fourth national reports in order to facilitate the fourth assessment and review of the Cartagena Protocol and </w:t>
      </w:r>
      <w:r w:rsidR="00FD0687" w:rsidRPr="00FF018F">
        <w:rPr>
          <w:snapToGrid w:val="0"/>
          <w:kern w:val="22"/>
          <w:sz w:val="22"/>
          <w:szCs w:val="22"/>
          <w:lang w:val="en-GB"/>
        </w:rPr>
        <w:t xml:space="preserve">the </w:t>
      </w:r>
      <w:r w:rsidR="003B71B5" w:rsidRPr="00FF018F">
        <w:rPr>
          <w:snapToGrid w:val="0"/>
          <w:kern w:val="22"/>
          <w:sz w:val="22"/>
          <w:szCs w:val="22"/>
          <w:lang w:val="en-GB"/>
        </w:rPr>
        <w:t>final evaluation of the Strategic Plan for the Cartagena Protocol on Biosafety for the period 2011-2020.</w:t>
      </w:r>
    </w:p>
    <w:p w14:paraId="05DB421A" w14:textId="054BCC89"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Through notification 2019-19, dated 13 February 2019, the Executive Secretary invited Parties to submit their fourth national report by 1 October 2019.</w:t>
      </w:r>
      <w:r w:rsidRPr="00FF018F">
        <w:rPr>
          <w:rStyle w:val="FootnoteReference"/>
          <w:rFonts w:eastAsiaTheme="majorEastAsia"/>
          <w:snapToGrid w:val="0"/>
          <w:kern w:val="22"/>
          <w:sz w:val="22"/>
          <w:szCs w:val="22"/>
          <w:u w:val="none"/>
          <w:vertAlign w:val="superscript"/>
          <w:lang w:val="en-GB" w:eastAsia="en-US"/>
        </w:rPr>
        <w:footnoteReference w:id="2"/>
      </w:r>
    </w:p>
    <w:p w14:paraId="1E7CEFD7" w14:textId="388DEC1A"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In accordance with its organization of work, agreed at the Committee’s eighth meeting, the Committee reviews compliance by Parties with their obligation to submit a national report at the first meeting following the deadline for submission of the national reports.</w:t>
      </w:r>
    </w:p>
    <w:p w14:paraId="231AA937" w14:textId="2C3D7335"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To facilitate the review, the present note provides, in section II, an overview of </w:t>
      </w:r>
      <w:r w:rsidR="0036130D" w:rsidRPr="00FF018F">
        <w:rPr>
          <w:snapToGrid w:val="0"/>
          <w:kern w:val="22"/>
          <w:sz w:val="22"/>
          <w:szCs w:val="22"/>
          <w:lang w:val="en-GB"/>
        </w:rPr>
        <w:t>the submission rate of fourth national reports</w:t>
      </w:r>
      <w:r w:rsidR="009A5BC3" w:rsidRPr="00FF018F">
        <w:rPr>
          <w:snapToGrid w:val="0"/>
          <w:kern w:val="22"/>
          <w:sz w:val="22"/>
          <w:szCs w:val="22"/>
          <w:lang w:val="en-GB"/>
        </w:rPr>
        <w:t xml:space="preserve"> and, in section </w:t>
      </w:r>
      <w:r w:rsidR="0036130D" w:rsidRPr="00FF018F">
        <w:rPr>
          <w:snapToGrid w:val="0"/>
          <w:kern w:val="22"/>
          <w:sz w:val="22"/>
          <w:szCs w:val="22"/>
          <w:lang w:val="en-GB"/>
        </w:rPr>
        <w:t xml:space="preserve">III, </w:t>
      </w:r>
      <w:r w:rsidR="009A5BC3" w:rsidRPr="00FF018F">
        <w:rPr>
          <w:snapToGrid w:val="0"/>
          <w:kern w:val="22"/>
          <w:sz w:val="22"/>
          <w:szCs w:val="22"/>
          <w:lang w:val="en-GB"/>
        </w:rPr>
        <w:t>an overview of</w:t>
      </w:r>
      <w:r w:rsidR="0036130D" w:rsidRPr="00FF018F">
        <w:rPr>
          <w:snapToGrid w:val="0"/>
          <w:kern w:val="22"/>
          <w:sz w:val="22"/>
          <w:szCs w:val="22"/>
          <w:lang w:val="en-GB"/>
        </w:rPr>
        <w:t xml:space="preserve"> submission rates of previous national reports. Section I</w:t>
      </w:r>
      <w:r w:rsidR="00DA125F" w:rsidRPr="00FF018F">
        <w:rPr>
          <w:snapToGrid w:val="0"/>
          <w:kern w:val="22"/>
          <w:sz w:val="22"/>
          <w:szCs w:val="22"/>
          <w:lang w:val="en-GB"/>
        </w:rPr>
        <w:t>V</w:t>
      </w:r>
      <w:r w:rsidR="0036130D" w:rsidRPr="00FF018F">
        <w:rPr>
          <w:snapToGrid w:val="0"/>
          <w:kern w:val="22"/>
          <w:sz w:val="22"/>
          <w:szCs w:val="22"/>
          <w:lang w:val="en-GB"/>
        </w:rPr>
        <w:t xml:space="preserve"> summarizes </w:t>
      </w:r>
      <w:r w:rsidR="002F0C85" w:rsidRPr="00FF018F">
        <w:rPr>
          <w:snapToGrid w:val="0"/>
          <w:kern w:val="22"/>
          <w:sz w:val="22"/>
          <w:szCs w:val="22"/>
          <w:lang w:val="en-GB"/>
        </w:rPr>
        <w:t xml:space="preserve">the </w:t>
      </w:r>
      <w:r w:rsidR="007C4274" w:rsidRPr="00FF018F">
        <w:rPr>
          <w:snapToGrid w:val="0"/>
          <w:kern w:val="22"/>
          <w:sz w:val="22"/>
          <w:szCs w:val="22"/>
          <w:lang w:val="en-GB"/>
        </w:rPr>
        <w:t xml:space="preserve">past </w:t>
      </w:r>
      <w:r w:rsidR="0036130D" w:rsidRPr="00FF018F">
        <w:rPr>
          <w:snapToGrid w:val="0"/>
          <w:kern w:val="22"/>
          <w:sz w:val="22"/>
          <w:szCs w:val="22"/>
          <w:lang w:val="en-GB"/>
        </w:rPr>
        <w:t>actions taken by the Committee in respect of Parties that had not complied with their reporting obligation. Section V contains some suggestions for the consideration of the Committee.</w:t>
      </w:r>
    </w:p>
    <w:p w14:paraId="50DA76AD" w14:textId="77777777" w:rsidR="003B71B5" w:rsidRPr="00FF018F" w:rsidRDefault="003B71B5" w:rsidP="008159AD">
      <w:pPr>
        <w:pStyle w:val="Heading1"/>
        <w:suppressLineNumbers/>
        <w:tabs>
          <w:tab w:val="clear" w:pos="720"/>
          <w:tab w:val="left" w:pos="426"/>
        </w:tabs>
        <w:suppressAutoHyphens/>
        <w:spacing w:before="120"/>
        <w:rPr>
          <w:snapToGrid w:val="0"/>
          <w:kern w:val="22"/>
          <w:szCs w:val="22"/>
        </w:rPr>
      </w:pPr>
      <w:r w:rsidRPr="00FF018F">
        <w:rPr>
          <w:snapToGrid w:val="0"/>
          <w:kern w:val="22"/>
          <w:szCs w:val="22"/>
        </w:rPr>
        <w:lastRenderedPageBreak/>
        <w:t>II.</w:t>
      </w:r>
      <w:r w:rsidRPr="00FF018F">
        <w:rPr>
          <w:snapToGrid w:val="0"/>
          <w:kern w:val="22"/>
          <w:szCs w:val="22"/>
        </w:rPr>
        <w:tab/>
        <w:t>Submission rate of fourth national reports</w:t>
      </w:r>
    </w:p>
    <w:p w14:paraId="07A7ACBA" w14:textId="090D1241"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This section provides, in sub-section </w:t>
      </w:r>
      <w:r w:rsidR="002D4B79" w:rsidRPr="00FF018F">
        <w:rPr>
          <w:snapToGrid w:val="0"/>
          <w:kern w:val="22"/>
          <w:sz w:val="22"/>
          <w:szCs w:val="22"/>
          <w:lang w:val="en-GB"/>
        </w:rPr>
        <w:t>A</w:t>
      </w:r>
      <w:r w:rsidRPr="00FF018F">
        <w:rPr>
          <w:snapToGrid w:val="0"/>
          <w:kern w:val="22"/>
          <w:sz w:val="22"/>
          <w:szCs w:val="22"/>
          <w:lang w:val="en-GB"/>
        </w:rPr>
        <w:t>, an overview of the submission rate of fourth national reports and</w:t>
      </w:r>
      <w:r w:rsidR="00A17121" w:rsidRPr="00FF018F">
        <w:rPr>
          <w:snapToGrid w:val="0"/>
          <w:kern w:val="22"/>
          <w:sz w:val="22"/>
          <w:szCs w:val="22"/>
          <w:lang w:val="en-GB"/>
        </w:rPr>
        <w:t>,</w:t>
      </w:r>
      <w:r w:rsidRPr="00FF018F">
        <w:rPr>
          <w:snapToGrid w:val="0"/>
          <w:kern w:val="22"/>
          <w:sz w:val="22"/>
          <w:szCs w:val="22"/>
          <w:lang w:val="en-GB"/>
        </w:rPr>
        <w:t xml:space="preserve"> in subsection </w:t>
      </w:r>
      <w:r w:rsidR="002D4B79" w:rsidRPr="00FF018F">
        <w:rPr>
          <w:snapToGrid w:val="0"/>
          <w:kern w:val="22"/>
          <w:sz w:val="22"/>
          <w:szCs w:val="22"/>
          <w:lang w:val="en-GB"/>
        </w:rPr>
        <w:t>B</w:t>
      </w:r>
      <w:r w:rsidR="00A17121" w:rsidRPr="00FF018F">
        <w:rPr>
          <w:snapToGrid w:val="0"/>
          <w:kern w:val="22"/>
          <w:sz w:val="22"/>
          <w:szCs w:val="22"/>
          <w:lang w:val="en-GB"/>
        </w:rPr>
        <w:t>,</w:t>
      </w:r>
      <w:r w:rsidRPr="00FF018F">
        <w:rPr>
          <w:snapToGrid w:val="0"/>
          <w:kern w:val="22"/>
          <w:sz w:val="22"/>
          <w:szCs w:val="22"/>
          <w:lang w:val="en-GB"/>
        </w:rPr>
        <w:t xml:space="preserve"> some considerations on factors that may have affected the submission rate.</w:t>
      </w:r>
    </w:p>
    <w:p w14:paraId="1EA7B7E3" w14:textId="521E2A9E" w:rsidR="003B71B5" w:rsidRPr="00FF018F" w:rsidRDefault="000C469A" w:rsidP="008159AD">
      <w:pPr>
        <w:pStyle w:val="Heading2"/>
        <w:suppressLineNumbers/>
        <w:tabs>
          <w:tab w:val="clear" w:pos="720"/>
          <w:tab w:val="left" w:pos="426"/>
        </w:tabs>
        <w:suppressAutoHyphens/>
        <w:rPr>
          <w:b w:val="0"/>
          <w:bCs w:val="0"/>
          <w:snapToGrid w:val="0"/>
          <w:kern w:val="22"/>
          <w:szCs w:val="22"/>
        </w:rPr>
      </w:pPr>
      <w:r w:rsidRPr="00FF018F">
        <w:rPr>
          <w:iCs w:val="0"/>
          <w:snapToGrid w:val="0"/>
          <w:kern w:val="22"/>
          <w:szCs w:val="22"/>
        </w:rPr>
        <w:t>A.</w:t>
      </w:r>
      <w:r w:rsidRPr="00FF018F">
        <w:rPr>
          <w:snapToGrid w:val="0"/>
          <w:kern w:val="22"/>
          <w:szCs w:val="22"/>
        </w:rPr>
        <w:tab/>
      </w:r>
      <w:r w:rsidR="00117754" w:rsidRPr="00FF018F">
        <w:rPr>
          <w:snapToGrid w:val="0"/>
          <w:kern w:val="22"/>
          <w:szCs w:val="22"/>
        </w:rPr>
        <w:t>Overview</w:t>
      </w:r>
    </w:p>
    <w:p w14:paraId="5B084C16" w14:textId="792FAE28"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The determination of the submission rate of fourth national reports in the present document was based on the number of fourth national reports received by 15 January 2020.</w:t>
      </w:r>
      <w:r w:rsidRPr="00FF018F">
        <w:rPr>
          <w:rStyle w:val="FootnoteReference"/>
          <w:rFonts w:eastAsiaTheme="majorEastAsia"/>
          <w:snapToGrid w:val="0"/>
          <w:kern w:val="22"/>
          <w:sz w:val="22"/>
          <w:szCs w:val="22"/>
          <w:u w:val="none"/>
          <w:vertAlign w:val="superscript"/>
          <w:lang w:val="en-GB" w:eastAsia="en-US"/>
        </w:rPr>
        <w:footnoteReference w:id="3"/>
      </w:r>
    </w:p>
    <w:p w14:paraId="2604D913" w14:textId="3872155A"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Fourth national reports were due on 1 October 2019. By 15 January 2020, out of a total of 171 Parties that had the obligation to submit a fourth national report, 99 Parties had submitted a complete fourth national report, representing a reporting rate of 58</w:t>
      </w:r>
      <w:r w:rsidR="00C23A4B" w:rsidRPr="00FF018F">
        <w:rPr>
          <w:snapToGrid w:val="0"/>
          <w:kern w:val="22"/>
          <w:sz w:val="22"/>
          <w:szCs w:val="22"/>
          <w:lang w:val="en-GB"/>
        </w:rPr>
        <w:t xml:space="preserve"> per cent</w:t>
      </w:r>
      <w:r w:rsidRPr="00FF018F">
        <w:rPr>
          <w:snapToGrid w:val="0"/>
          <w:kern w:val="22"/>
          <w:sz w:val="22"/>
          <w:szCs w:val="22"/>
          <w:lang w:val="en-GB"/>
        </w:rPr>
        <w:t xml:space="preserve">. These national reports were available through the </w:t>
      </w:r>
      <w:r w:rsidR="004B6529" w:rsidRPr="00FF018F">
        <w:rPr>
          <w:snapToGrid w:val="0"/>
          <w:kern w:val="22"/>
          <w:sz w:val="22"/>
          <w:szCs w:val="22"/>
          <w:lang w:val="en-GB"/>
        </w:rPr>
        <w:t>BCH</w:t>
      </w:r>
      <w:r w:rsidRPr="00FF018F">
        <w:rPr>
          <w:snapToGrid w:val="0"/>
          <w:kern w:val="22"/>
          <w:sz w:val="22"/>
          <w:szCs w:val="22"/>
          <w:lang w:val="en-GB"/>
        </w:rPr>
        <w:t>.</w:t>
      </w:r>
    </w:p>
    <w:p w14:paraId="16F95078" w14:textId="19D4112E"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The regional breakdown of the number of Parties that had submitted their fourth national report is shown in </w:t>
      </w:r>
      <w:r w:rsidR="00B0416B" w:rsidRPr="00FF018F">
        <w:rPr>
          <w:snapToGrid w:val="0"/>
          <w:kern w:val="22"/>
          <w:sz w:val="22"/>
          <w:szCs w:val="22"/>
          <w:lang w:val="en-GB"/>
        </w:rPr>
        <w:t>table </w:t>
      </w:r>
      <w:r w:rsidRPr="00FF018F">
        <w:rPr>
          <w:snapToGrid w:val="0"/>
          <w:kern w:val="22"/>
          <w:sz w:val="22"/>
          <w:szCs w:val="22"/>
          <w:lang w:val="en-GB"/>
        </w:rPr>
        <w:t>1.</w:t>
      </w:r>
    </w:p>
    <w:p w14:paraId="7590C7AF" w14:textId="6334D890" w:rsidR="003B71B5" w:rsidRPr="00FF018F" w:rsidRDefault="00B0416B" w:rsidP="008159AD">
      <w:pPr>
        <w:pStyle w:val="Para10"/>
        <w:keepNext/>
        <w:suppressLineNumbers/>
        <w:tabs>
          <w:tab w:val="clear" w:pos="644"/>
        </w:tabs>
        <w:suppressAutoHyphens/>
        <w:spacing w:before="240"/>
        <w:ind w:left="0"/>
        <w:jc w:val="both"/>
        <w:rPr>
          <w:b/>
          <w:bCs/>
          <w:snapToGrid w:val="0"/>
          <w:kern w:val="22"/>
          <w:sz w:val="22"/>
          <w:szCs w:val="22"/>
          <w:lang w:val="en-GB"/>
        </w:rPr>
      </w:pPr>
      <w:r w:rsidRPr="00FF018F">
        <w:rPr>
          <w:b/>
          <w:bCs/>
          <w:snapToGrid w:val="0"/>
          <w:kern w:val="22"/>
          <w:sz w:val="22"/>
          <w:szCs w:val="22"/>
          <w:lang w:val="en-GB"/>
        </w:rPr>
        <w:t xml:space="preserve">Table </w:t>
      </w:r>
      <w:r w:rsidR="003B71B5" w:rsidRPr="00FF018F">
        <w:rPr>
          <w:b/>
          <w:bCs/>
          <w:snapToGrid w:val="0"/>
          <w:kern w:val="22"/>
          <w:sz w:val="22"/>
          <w:szCs w:val="22"/>
          <w:lang w:val="en-GB"/>
        </w:rPr>
        <w:t>1. Regional breakdown of fourth national reports received by 15 January 2020</w:t>
      </w:r>
    </w:p>
    <w:p w14:paraId="4E497856" w14:textId="77777777" w:rsidR="003B71B5" w:rsidRPr="00FF018F" w:rsidRDefault="003B71B5" w:rsidP="008159AD">
      <w:pPr>
        <w:pStyle w:val="Para10"/>
        <w:keepNext/>
        <w:suppressLineNumbers/>
        <w:tabs>
          <w:tab w:val="clear" w:pos="644"/>
        </w:tabs>
        <w:suppressAutoHyphens/>
        <w:ind w:left="0"/>
        <w:rPr>
          <w:snapToGrid w:val="0"/>
          <w:kern w:val="22"/>
          <w:sz w:val="22"/>
          <w:szCs w:val="22"/>
          <w:lang w:val="en-GB"/>
        </w:rPr>
      </w:pPr>
    </w:p>
    <w:tbl>
      <w:tblPr>
        <w:tblStyle w:val="TableGrid"/>
        <w:tblW w:w="0" w:type="auto"/>
        <w:jc w:val="center"/>
        <w:tblLook w:val="04A0" w:firstRow="1" w:lastRow="0" w:firstColumn="1" w:lastColumn="0" w:noHBand="0" w:noVBand="1"/>
      </w:tblPr>
      <w:tblGrid>
        <w:gridCol w:w="3600"/>
        <w:gridCol w:w="3870"/>
        <w:gridCol w:w="1897"/>
      </w:tblGrid>
      <w:tr w:rsidR="003B71B5" w:rsidRPr="00FF018F" w14:paraId="7A266F1C" w14:textId="77777777" w:rsidTr="008159AD">
        <w:trPr>
          <w:jc w:val="center"/>
        </w:trPr>
        <w:tc>
          <w:tcPr>
            <w:tcW w:w="3600" w:type="dxa"/>
            <w:shd w:val="clear" w:color="EEECE1" w:themeColor="background2" w:fill="auto"/>
            <w:vAlign w:val="center"/>
          </w:tcPr>
          <w:p w14:paraId="739A6D81" w14:textId="7D64EA58" w:rsidR="003B71B5" w:rsidRPr="00FF018F" w:rsidRDefault="003B71B5" w:rsidP="008159AD">
            <w:pPr>
              <w:pStyle w:val="Para10"/>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 xml:space="preserve">Regional </w:t>
            </w:r>
            <w:r w:rsidR="00FB587C" w:rsidRPr="00FF018F">
              <w:rPr>
                <w:i/>
                <w:iCs/>
                <w:snapToGrid w:val="0"/>
                <w:kern w:val="22"/>
                <w:sz w:val="22"/>
                <w:szCs w:val="22"/>
                <w:lang w:val="en-GB"/>
              </w:rPr>
              <w:t>g</w:t>
            </w:r>
            <w:r w:rsidRPr="00FF018F">
              <w:rPr>
                <w:i/>
                <w:iCs/>
                <w:snapToGrid w:val="0"/>
                <w:kern w:val="22"/>
                <w:sz w:val="22"/>
                <w:szCs w:val="22"/>
                <w:lang w:val="en-GB"/>
              </w:rPr>
              <w:t>roups</w:t>
            </w:r>
          </w:p>
        </w:tc>
        <w:tc>
          <w:tcPr>
            <w:tcW w:w="3870" w:type="dxa"/>
            <w:shd w:val="clear" w:color="EEECE1" w:themeColor="background2" w:fill="auto"/>
            <w:vAlign w:val="center"/>
          </w:tcPr>
          <w:p w14:paraId="0667EE25" w14:textId="61783685" w:rsidR="003B71B5" w:rsidRPr="00FF018F" w:rsidRDefault="003B71B5" w:rsidP="008159AD">
            <w:pPr>
              <w:pStyle w:val="Para10"/>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Number of Parties that submitted a complete fourth national report</w:t>
            </w:r>
            <w:r w:rsidR="00E44C54" w:rsidRPr="00FF018F">
              <w:rPr>
                <w:i/>
                <w:iCs/>
                <w:snapToGrid w:val="0"/>
                <w:kern w:val="22"/>
                <w:sz w:val="22"/>
                <w:szCs w:val="22"/>
                <w:lang w:val="en-GB"/>
              </w:rPr>
              <w:br/>
            </w:r>
            <w:r w:rsidRPr="00FF018F">
              <w:rPr>
                <w:i/>
                <w:iCs/>
                <w:snapToGrid w:val="0"/>
                <w:kern w:val="22"/>
                <w:sz w:val="22"/>
                <w:szCs w:val="22"/>
                <w:lang w:val="en-GB"/>
              </w:rPr>
              <w:t>(</w:t>
            </w:r>
            <w:r w:rsidR="00FB587C" w:rsidRPr="00FF018F">
              <w:rPr>
                <w:i/>
                <w:iCs/>
                <w:snapToGrid w:val="0"/>
                <w:kern w:val="22"/>
                <w:sz w:val="22"/>
                <w:szCs w:val="22"/>
                <w:lang w:val="en-GB"/>
              </w:rPr>
              <w:t>T</w:t>
            </w:r>
            <w:r w:rsidRPr="00FF018F">
              <w:rPr>
                <w:i/>
                <w:iCs/>
                <w:snapToGrid w:val="0"/>
                <w:kern w:val="22"/>
                <w:sz w:val="22"/>
                <w:szCs w:val="22"/>
                <w:lang w:val="en-GB"/>
              </w:rPr>
              <w:t>otal number of Parties for each region)</w:t>
            </w:r>
          </w:p>
        </w:tc>
        <w:tc>
          <w:tcPr>
            <w:tcW w:w="1897" w:type="dxa"/>
            <w:shd w:val="clear" w:color="EEECE1" w:themeColor="background2" w:fill="auto"/>
            <w:vAlign w:val="center"/>
          </w:tcPr>
          <w:p w14:paraId="5C27B3B8" w14:textId="669F4F4E" w:rsidR="003B71B5" w:rsidRPr="00FF018F" w:rsidRDefault="003B71B5" w:rsidP="008159AD">
            <w:pPr>
              <w:pStyle w:val="Para10"/>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Regional submission rate</w:t>
            </w:r>
            <w:r w:rsidR="00FB587C" w:rsidRPr="00FF018F">
              <w:rPr>
                <w:i/>
                <w:iCs/>
                <w:snapToGrid w:val="0"/>
                <w:kern w:val="22"/>
                <w:sz w:val="22"/>
                <w:szCs w:val="22"/>
                <w:lang w:val="en-GB"/>
              </w:rPr>
              <w:br/>
              <w:t>(Percentage)</w:t>
            </w:r>
          </w:p>
        </w:tc>
      </w:tr>
      <w:tr w:rsidR="003B71B5" w:rsidRPr="00FF018F" w14:paraId="619741F3" w14:textId="77777777" w:rsidTr="008159AD">
        <w:trPr>
          <w:jc w:val="center"/>
        </w:trPr>
        <w:tc>
          <w:tcPr>
            <w:tcW w:w="3600" w:type="dxa"/>
          </w:tcPr>
          <w:p w14:paraId="2F817A23"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tc>
        <w:tc>
          <w:tcPr>
            <w:tcW w:w="3870" w:type="dxa"/>
          </w:tcPr>
          <w:p w14:paraId="15375906"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tc>
        <w:tc>
          <w:tcPr>
            <w:tcW w:w="1897" w:type="dxa"/>
          </w:tcPr>
          <w:p w14:paraId="075EF986"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tc>
      </w:tr>
      <w:tr w:rsidR="003B71B5" w:rsidRPr="00FF018F" w14:paraId="479E42F9" w14:textId="77777777" w:rsidTr="008159AD">
        <w:trPr>
          <w:jc w:val="center"/>
        </w:trPr>
        <w:tc>
          <w:tcPr>
            <w:tcW w:w="3600" w:type="dxa"/>
            <w:vAlign w:val="center"/>
          </w:tcPr>
          <w:p w14:paraId="02C9F0EE"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Africa</w:t>
            </w:r>
          </w:p>
        </w:tc>
        <w:tc>
          <w:tcPr>
            <w:tcW w:w="3870" w:type="dxa"/>
            <w:vAlign w:val="center"/>
          </w:tcPr>
          <w:p w14:paraId="182C9249" w14:textId="5BD07D75" w:rsidR="003B71B5" w:rsidRPr="00FF018F" w:rsidRDefault="003B71B5" w:rsidP="008159AD">
            <w:pPr>
              <w:pStyle w:val="Para10"/>
              <w:suppressLineNumbers/>
              <w:tabs>
                <w:tab w:val="clear" w:pos="644"/>
              </w:tabs>
              <w:suppressAutoHyphens/>
              <w:ind w:left="1134"/>
              <w:jc w:val="both"/>
              <w:rPr>
                <w:snapToGrid w:val="0"/>
                <w:kern w:val="22"/>
                <w:sz w:val="22"/>
                <w:szCs w:val="22"/>
                <w:lang w:val="en-GB"/>
              </w:rPr>
            </w:pPr>
            <w:r w:rsidRPr="00FF018F">
              <w:rPr>
                <w:snapToGrid w:val="0"/>
                <w:kern w:val="22"/>
                <w:sz w:val="22"/>
                <w:szCs w:val="22"/>
                <w:lang w:val="en-GB"/>
              </w:rPr>
              <w:t>3</w:t>
            </w:r>
            <w:r w:rsidR="004567CA" w:rsidRPr="00FF018F">
              <w:rPr>
                <w:snapToGrid w:val="0"/>
                <w:kern w:val="22"/>
                <w:sz w:val="22"/>
                <w:szCs w:val="22"/>
                <w:lang w:val="en-GB"/>
              </w:rPr>
              <w:t>1</w:t>
            </w:r>
            <w:r w:rsidRPr="00FF018F">
              <w:rPr>
                <w:snapToGrid w:val="0"/>
                <w:kern w:val="22"/>
                <w:sz w:val="22"/>
                <w:szCs w:val="22"/>
                <w:lang w:val="en-GB"/>
              </w:rPr>
              <w:t xml:space="preserve"> (</w:t>
            </w:r>
            <w:r w:rsidRPr="00FF018F">
              <w:rPr>
                <w:i/>
                <w:snapToGrid w:val="0"/>
                <w:kern w:val="22"/>
                <w:sz w:val="22"/>
                <w:szCs w:val="22"/>
                <w:lang w:val="en-GB"/>
              </w:rPr>
              <w:t>49</w:t>
            </w:r>
            <w:r w:rsidRPr="00FF018F">
              <w:rPr>
                <w:snapToGrid w:val="0"/>
                <w:kern w:val="22"/>
                <w:sz w:val="22"/>
                <w:szCs w:val="22"/>
                <w:lang w:val="en-GB"/>
              </w:rPr>
              <w:t>)</w:t>
            </w:r>
          </w:p>
        </w:tc>
        <w:tc>
          <w:tcPr>
            <w:tcW w:w="1897" w:type="dxa"/>
            <w:vAlign w:val="center"/>
          </w:tcPr>
          <w:p w14:paraId="00F4BA5D" w14:textId="33DFC8C3" w:rsidR="003B71B5" w:rsidRPr="00FF018F" w:rsidRDefault="003B71B5" w:rsidP="008159AD">
            <w:pPr>
              <w:pStyle w:val="Para10"/>
              <w:suppressLineNumbers/>
              <w:tabs>
                <w:tab w:val="clear" w:pos="644"/>
              </w:tabs>
              <w:suppressAutoHyphens/>
              <w:ind w:left="737"/>
              <w:jc w:val="both"/>
              <w:rPr>
                <w:snapToGrid w:val="0"/>
                <w:kern w:val="22"/>
                <w:sz w:val="22"/>
                <w:szCs w:val="22"/>
                <w:lang w:val="en-GB"/>
              </w:rPr>
            </w:pPr>
            <w:r w:rsidRPr="00FF018F">
              <w:rPr>
                <w:snapToGrid w:val="0"/>
                <w:kern w:val="22"/>
                <w:sz w:val="22"/>
                <w:szCs w:val="22"/>
                <w:lang w:val="en-GB"/>
              </w:rPr>
              <w:t>6</w:t>
            </w:r>
            <w:r w:rsidR="004567CA" w:rsidRPr="00FF018F">
              <w:rPr>
                <w:snapToGrid w:val="0"/>
                <w:kern w:val="22"/>
                <w:sz w:val="22"/>
                <w:szCs w:val="22"/>
                <w:lang w:val="en-GB"/>
              </w:rPr>
              <w:t>3</w:t>
            </w:r>
            <w:r w:rsidRPr="00FF018F">
              <w:rPr>
                <w:snapToGrid w:val="0"/>
                <w:kern w:val="22"/>
                <w:sz w:val="22"/>
                <w:szCs w:val="22"/>
                <w:lang w:val="en-GB"/>
              </w:rPr>
              <w:t>%</w:t>
            </w:r>
          </w:p>
        </w:tc>
      </w:tr>
      <w:tr w:rsidR="003B71B5" w:rsidRPr="00FF018F" w14:paraId="76DAFD31" w14:textId="77777777" w:rsidTr="008159AD">
        <w:trPr>
          <w:jc w:val="center"/>
        </w:trPr>
        <w:tc>
          <w:tcPr>
            <w:tcW w:w="3600" w:type="dxa"/>
            <w:vAlign w:val="center"/>
          </w:tcPr>
          <w:p w14:paraId="1D7C2559"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Asia and the Pacific</w:t>
            </w:r>
          </w:p>
        </w:tc>
        <w:tc>
          <w:tcPr>
            <w:tcW w:w="3870" w:type="dxa"/>
            <w:vAlign w:val="center"/>
          </w:tcPr>
          <w:p w14:paraId="3EB192EF" w14:textId="460B47FD" w:rsidR="003B71B5" w:rsidRPr="00FF018F" w:rsidRDefault="003B71B5" w:rsidP="008159AD">
            <w:pPr>
              <w:pStyle w:val="Para10"/>
              <w:suppressLineNumbers/>
              <w:tabs>
                <w:tab w:val="clear" w:pos="644"/>
              </w:tabs>
              <w:suppressAutoHyphens/>
              <w:ind w:left="1134"/>
              <w:jc w:val="both"/>
              <w:rPr>
                <w:snapToGrid w:val="0"/>
                <w:kern w:val="22"/>
                <w:sz w:val="22"/>
                <w:szCs w:val="22"/>
                <w:lang w:val="en-GB"/>
              </w:rPr>
            </w:pPr>
            <w:r w:rsidRPr="00FF018F">
              <w:rPr>
                <w:snapToGrid w:val="0"/>
                <w:kern w:val="22"/>
                <w:sz w:val="22"/>
                <w:szCs w:val="22"/>
                <w:lang w:val="en-GB"/>
              </w:rPr>
              <w:t>1</w:t>
            </w:r>
            <w:r w:rsidR="004567CA" w:rsidRPr="00FF018F">
              <w:rPr>
                <w:snapToGrid w:val="0"/>
                <w:kern w:val="22"/>
                <w:sz w:val="22"/>
                <w:szCs w:val="22"/>
                <w:lang w:val="en-GB"/>
              </w:rPr>
              <w:t>8</w:t>
            </w:r>
            <w:r w:rsidRPr="00FF018F">
              <w:rPr>
                <w:snapToGrid w:val="0"/>
                <w:kern w:val="22"/>
                <w:sz w:val="22"/>
                <w:szCs w:val="22"/>
                <w:lang w:val="en-GB"/>
              </w:rPr>
              <w:t xml:space="preserve"> (</w:t>
            </w:r>
            <w:r w:rsidRPr="00FF018F">
              <w:rPr>
                <w:i/>
                <w:snapToGrid w:val="0"/>
                <w:kern w:val="22"/>
                <w:sz w:val="22"/>
                <w:szCs w:val="22"/>
                <w:lang w:val="en-GB"/>
              </w:rPr>
              <w:t>48</w:t>
            </w:r>
            <w:r w:rsidRPr="00FF018F">
              <w:rPr>
                <w:snapToGrid w:val="0"/>
                <w:kern w:val="22"/>
                <w:sz w:val="22"/>
                <w:szCs w:val="22"/>
                <w:lang w:val="en-GB"/>
              </w:rPr>
              <w:t>)</w:t>
            </w:r>
          </w:p>
        </w:tc>
        <w:tc>
          <w:tcPr>
            <w:tcW w:w="1897" w:type="dxa"/>
            <w:vAlign w:val="center"/>
          </w:tcPr>
          <w:p w14:paraId="3D5EBF3B" w14:textId="5DFF3ED8" w:rsidR="003B71B5" w:rsidRPr="00FF018F" w:rsidRDefault="003B71B5" w:rsidP="008159AD">
            <w:pPr>
              <w:pStyle w:val="Para10"/>
              <w:suppressLineNumbers/>
              <w:tabs>
                <w:tab w:val="clear" w:pos="644"/>
              </w:tabs>
              <w:suppressAutoHyphens/>
              <w:ind w:left="737"/>
              <w:jc w:val="both"/>
              <w:rPr>
                <w:snapToGrid w:val="0"/>
                <w:kern w:val="22"/>
                <w:sz w:val="22"/>
                <w:szCs w:val="22"/>
                <w:lang w:val="en-GB"/>
              </w:rPr>
            </w:pPr>
            <w:r w:rsidRPr="00FF018F">
              <w:rPr>
                <w:snapToGrid w:val="0"/>
                <w:kern w:val="22"/>
                <w:sz w:val="22"/>
                <w:szCs w:val="22"/>
                <w:lang w:val="en-GB"/>
              </w:rPr>
              <w:t>3</w:t>
            </w:r>
            <w:r w:rsidR="004567CA" w:rsidRPr="00FF018F">
              <w:rPr>
                <w:snapToGrid w:val="0"/>
                <w:kern w:val="22"/>
                <w:sz w:val="22"/>
                <w:szCs w:val="22"/>
                <w:lang w:val="en-GB"/>
              </w:rPr>
              <w:t>8</w:t>
            </w:r>
            <w:r w:rsidRPr="00FF018F">
              <w:rPr>
                <w:snapToGrid w:val="0"/>
                <w:kern w:val="22"/>
                <w:sz w:val="22"/>
                <w:szCs w:val="22"/>
                <w:lang w:val="en-GB"/>
              </w:rPr>
              <w:t>%</w:t>
            </w:r>
          </w:p>
        </w:tc>
      </w:tr>
      <w:tr w:rsidR="003B71B5" w:rsidRPr="00FF018F" w14:paraId="6D21BBF9" w14:textId="77777777" w:rsidTr="008159AD">
        <w:trPr>
          <w:jc w:val="center"/>
        </w:trPr>
        <w:tc>
          <w:tcPr>
            <w:tcW w:w="3600" w:type="dxa"/>
            <w:vAlign w:val="center"/>
          </w:tcPr>
          <w:p w14:paraId="4A303AEF" w14:textId="6869D5FB"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Central and Eastern Europe</w:t>
            </w:r>
          </w:p>
        </w:tc>
        <w:tc>
          <w:tcPr>
            <w:tcW w:w="3870" w:type="dxa"/>
            <w:vAlign w:val="center"/>
          </w:tcPr>
          <w:p w14:paraId="3751BFA9" w14:textId="4F429F66" w:rsidR="003B71B5" w:rsidRPr="00FF018F" w:rsidRDefault="003B71B5" w:rsidP="008159AD">
            <w:pPr>
              <w:pStyle w:val="Para10"/>
              <w:suppressLineNumbers/>
              <w:tabs>
                <w:tab w:val="clear" w:pos="644"/>
              </w:tabs>
              <w:suppressAutoHyphens/>
              <w:ind w:left="1134"/>
              <w:jc w:val="both"/>
              <w:rPr>
                <w:snapToGrid w:val="0"/>
                <w:kern w:val="22"/>
                <w:sz w:val="22"/>
                <w:szCs w:val="22"/>
                <w:lang w:val="en-GB"/>
              </w:rPr>
            </w:pPr>
            <w:r w:rsidRPr="00FF018F">
              <w:rPr>
                <w:snapToGrid w:val="0"/>
                <w:kern w:val="22"/>
                <w:sz w:val="22"/>
                <w:szCs w:val="22"/>
                <w:lang w:val="en-GB"/>
              </w:rPr>
              <w:t>1</w:t>
            </w:r>
            <w:r w:rsidR="004567CA" w:rsidRPr="00FF018F">
              <w:rPr>
                <w:snapToGrid w:val="0"/>
                <w:kern w:val="22"/>
                <w:sz w:val="22"/>
                <w:szCs w:val="22"/>
                <w:lang w:val="en-GB"/>
              </w:rPr>
              <w:t>6</w:t>
            </w:r>
            <w:r w:rsidRPr="00FF018F">
              <w:rPr>
                <w:snapToGrid w:val="0"/>
                <w:kern w:val="22"/>
                <w:sz w:val="22"/>
                <w:szCs w:val="22"/>
                <w:lang w:val="en-GB"/>
              </w:rPr>
              <w:t xml:space="preserve"> (</w:t>
            </w:r>
            <w:r w:rsidRPr="00FF018F">
              <w:rPr>
                <w:i/>
                <w:snapToGrid w:val="0"/>
                <w:kern w:val="22"/>
                <w:sz w:val="22"/>
                <w:szCs w:val="22"/>
                <w:lang w:val="en-GB"/>
              </w:rPr>
              <w:t>22</w:t>
            </w:r>
            <w:r w:rsidRPr="00FF018F">
              <w:rPr>
                <w:snapToGrid w:val="0"/>
                <w:kern w:val="22"/>
                <w:sz w:val="22"/>
                <w:szCs w:val="22"/>
                <w:lang w:val="en-GB"/>
              </w:rPr>
              <w:t>)</w:t>
            </w:r>
          </w:p>
        </w:tc>
        <w:tc>
          <w:tcPr>
            <w:tcW w:w="1897" w:type="dxa"/>
            <w:vAlign w:val="center"/>
          </w:tcPr>
          <w:p w14:paraId="56329241" w14:textId="3136CE00" w:rsidR="003B71B5" w:rsidRPr="00FF018F" w:rsidRDefault="004567CA" w:rsidP="008159AD">
            <w:pPr>
              <w:pStyle w:val="Para10"/>
              <w:suppressLineNumbers/>
              <w:tabs>
                <w:tab w:val="clear" w:pos="644"/>
              </w:tabs>
              <w:suppressAutoHyphens/>
              <w:ind w:left="737"/>
              <w:jc w:val="both"/>
              <w:rPr>
                <w:snapToGrid w:val="0"/>
                <w:kern w:val="22"/>
                <w:sz w:val="22"/>
                <w:szCs w:val="22"/>
                <w:lang w:val="en-GB"/>
              </w:rPr>
            </w:pPr>
            <w:r w:rsidRPr="00FF018F">
              <w:rPr>
                <w:snapToGrid w:val="0"/>
                <w:kern w:val="22"/>
                <w:sz w:val="22"/>
                <w:szCs w:val="22"/>
                <w:lang w:val="en-GB"/>
              </w:rPr>
              <w:t>73</w:t>
            </w:r>
            <w:r w:rsidR="003B71B5" w:rsidRPr="00FF018F">
              <w:rPr>
                <w:snapToGrid w:val="0"/>
                <w:kern w:val="22"/>
                <w:sz w:val="22"/>
                <w:szCs w:val="22"/>
                <w:lang w:val="en-GB"/>
              </w:rPr>
              <w:t>%</w:t>
            </w:r>
          </w:p>
        </w:tc>
      </w:tr>
      <w:tr w:rsidR="003B71B5" w:rsidRPr="00FF018F" w14:paraId="33A89B07" w14:textId="77777777" w:rsidTr="008159AD">
        <w:trPr>
          <w:jc w:val="center"/>
        </w:trPr>
        <w:tc>
          <w:tcPr>
            <w:tcW w:w="3600" w:type="dxa"/>
            <w:vAlign w:val="center"/>
          </w:tcPr>
          <w:p w14:paraId="42354308" w14:textId="3F42EE4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Latin America and Caribbean</w:t>
            </w:r>
          </w:p>
        </w:tc>
        <w:tc>
          <w:tcPr>
            <w:tcW w:w="3870" w:type="dxa"/>
            <w:vAlign w:val="center"/>
          </w:tcPr>
          <w:p w14:paraId="10596240" w14:textId="77777777" w:rsidR="003B71B5" w:rsidRPr="00FF018F" w:rsidRDefault="003B71B5" w:rsidP="008159AD">
            <w:pPr>
              <w:pStyle w:val="Para10"/>
              <w:suppressLineNumbers/>
              <w:tabs>
                <w:tab w:val="clear" w:pos="644"/>
              </w:tabs>
              <w:suppressAutoHyphens/>
              <w:ind w:left="1134"/>
              <w:jc w:val="both"/>
              <w:rPr>
                <w:snapToGrid w:val="0"/>
                <w:kern w:val="22"/>
                <w:sz w:val="22"/>
                <w:szCs w:val="22"/>
                <w:lang w:val="en-GB"/>
              </w:rPr>
            </w:pPr>
            <w:r w:rsidRPr="00FF018F">
              <w:rPr>
                <w:snapToGrid w:val="0"/>
                <w:kern w:val="22"/>
                <w:sz w:val="22"/>
                <w:szCs w:val="22"/>
                <w:lang w:val="en-GB"/>
              </w:rPr>
              <w:t>15 (</w:t>
            </w:r>
            <w:r w:rsidRPr="00FF018F">
              <w:rPr>
                <w:i/>
                <w:snapToGrid w:val="0"/>
                <w:kern w:val="22"/>
                <w:sz w:val="22"/>
                <w:szCs w:val="22"/>
                <w:lang w:val="en-GB"/>
              </w:rPr>
              <w:t>31</w:t>
            </w:r>
            <w:r w:rsidRPr="00FF018F">
              <w:rPr>
                <w:snapToGrid w:val="0"/>
                <w:kern w:val="22"/>
                <w:sz w:val="22"/>
                <w:szCs w:val="22"/>
                <w:lang w:val="en-GB"/>
              </w:rPr>
              <w:t>)</w:t>
            </w:r>
          </w:p>
        </w:tc>
        <w:tc>
          <w:tcPr>
            <w:tcW w:w="1897" w:type="dxa"/>
            <w:vAlign w:val="center"/>
          </w:tcPr>
          <w:p w14:paraId="501AEAA5" w14:textId="77777777" w:rsidR="003B71B5" w:rsidRPr="00FF018F" w:rsidRDefault="003B71B5" w:rsidP="008159AD">
            <w:pPr>
              <w:pStyle w:val="Para10"/>
              <w:suppressLineNumbers/>
              <w:tabs>
                <w:tab w:val="clear" w:pos="644"/>
              </w:tabs>
              <w:suppressAutoHyphens/>
              <w:ind w:left="737"/>
              <w:jc w:val="both"/>
              <w:rPr>
                <w:snapToGrid w:val="0"/>
                <w:kern w:val="22"/>
                <w:sz w:val="22"/>
                <w:szCs w:val="22"/>
                <w:lang w:val="en-GB"/>
              </w:rPr>
            </w:pPr>
            <w:r w:rsidRPr="00FF018F">
              <w:rPr>
                <w:snapToGrid w:val="0"/>
                <w:kern w:val="22"/>
                <w:sz w:val="22"/>
                <w:szCs w:val="22"/>
                <w:lang w:val="en-GB"/>
              </w:rPr>
              <w:t>48%</w:t>
            </w:r>
          </w:p>
        </w:tc>
      </w:tr>
      <w:tr w:rsidR="003B71B5" w:rsidRPr="00FF018F" w14:paraId="4E34F2CF" w14:textId="77777777" w:rsidTr="008159AD">
        <w:trPr>
          <w:jc w:val="center"/>
        </w:trPr>
        <w:tc>
          <w:tcPr>
            <w:tcW w:w="3600" w:type="dxa"/>
            <w:vAlign w:val="center"/>
          </w:tcPr>
          <w:p w14:paraId="66502246" w14:textId="05BBE972"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Western European and Others</w:t>
            </w:r>
          </w:p>
        </w:tc>
        <w:tc>
          <w:tcPr>
            <w:tcW w:w="3870" w:type="dxa"/>
            <w:vAlign w:val="center"/>
          </w:tcPr>
          <w:p w14:paraId="2B3FC341" w14:textId="2CAF792B" w:rsidR="003B71B5" w:rsidRPr="00FF018F" w:rsidRDefault="003B71B5" w:rsidP="008159AD">
            <w:pPr>
              <w:pStyle w:val="Para10"/>
              <w:suppressLineNumbers/>
              <w:tabs>
                <w:tab w:val="clear" w:pos="644"/>
              </w:tabs>
              <w:suppressAutoHyphens/>
              <w:ind w:left="1134"/>
              <w:jc w:val="both"/>
              <w:rPr>
                <w:snapToGrid w:val="0"/>
                <w:kern w:val="22"/>
                <w:sz w:val="22"/>
                <w:szCs w:val="22"/>
                <w:lang w:val="en-GB"/>
              </w:rPr>
            </w:pPr>
            <w:r w:rsidRPr="00FF018F">
              <w:rPr>
                <w:snapToGrid w:val="0"/>
                <w:kern w:val="22"/>
                <w:sz w:val="22"/>
                <w:szCs w:val="22"/>
                <w:lang w:val="en-GB"/>
              </w:rPr>
              <w:t>1</w:t>
            </w:r>
            <w:r w:rsidR="004567CA" w:rsidRPr="00FF018F">
              <w:rPr>
                <w:snapToGrid w:val="0"/>
                <w:kern w:val="22"/>
                <w:sz w:val="22"/>
                <w:szCs w:val="22"/>
                <w:lang w:val="en-GB"/>
              </w:rPr>
              <w:t>9</w:t>
            </w:r>
            <w:r w:rsidRPr="00FF018F">
              <w:rPr>
                <w:snapToGrid w:val="0"/>
                <w:kern w:val="22"/>
                <w:sz w:val="22"/>
                <w:szCs w:val="22"/>
                <w:lang w:val="en-GB"/>
              </w:rPr>
              <w:t xml:space="preserve"> (</w:t>
            </w:r>
            <w:r w:rsidRPr="00FF018F">
              <w:rPr>
                <w:i/>
                <w:snapToGrid w:val="0"/>
                <w:kern w:val="22"/>
                <w:sz w:val="22"/>
                <w:szCs w:val="22"/>
                <w:lang w:val="en-GB"/>
              </w:rPr>
              <w:t>21</w:t>
            </w:r>
            <w:r w:rsidRPr="00FF018F">
              <w:rPr>
                <w:snapToGrid w:val="0"/>
                <w:kern w:val="22"/>
                <w:sz w:val="22"/>
                <w:szCs w:val="22"/>
                <w:lang w:val="en-GB"/>
              </w:rPr>
              <w:t>)</w:t>
            </w:r>
          </w:p>
        </w:tc>
        <w:tc>
          <w:tcPr>
            <w:tcW w:w="1897" w:type="dxa"/>
            <w:vAlign w:val="center"/>
          </w:tcPr>
          <w:p w14:paraId="483256B3" w14:textId="240DFCBD" w:rsidR="003B71B5" w:rsidRPr="00FF018F" w:rsidRDefault="004567CA" w:rsidP="008159AD">
            <w:pPr>
              <w:pStyle w:val="Para10"/>
              <w:suppressLineNumbers/>
              <w:tabs>
                <w:tab w:val="clear" w:pos="644"/>
              </w:tabs>
              <w:suppressAutoHyphens/>
              <w:ind w:left="737"/>
              <w:jc w:val="both"/>
              <w:rPr>
                <w:snapToGrid w:val="0"/>
                <w:kern w:val="22"/>
                <w:sz w:val="22"/>
                <w:szCs w:val="22"/>
                <w:lang w:val="en-GB"/>
              </w:rPr>
            </w:pPr>
            <w:r w:rsidRPr="00FF018F">
              <w:rPr>
                <w:snapToGrid w:val="0"/>
                <w:kern w:val="22"/>
                <w:sz w:val="22"/>
                <w:szCs w:val="22"/>
                <w:lang w:val="en-GB"/>
              </w:rPr>
              <w:t>90</w:t>
            </w:r>
            <w:r w:rsidR="003B71B5" w:rsidRPr="00FF018F">
              <w:rPr>
                <w:snapToGrid w:val="0"/>
                <w:kern w:val="22"/>
                <w:sz w:val="22"/>
                <w:szCs w:val="22"/>
                <w:lang w:val="en-GB"/>
              </w:rPr>
              <w:t>%</w:t>
            </w:r>
          </w:p>
        </w:tc>
      </w:tr>
    </w:tbl>
    <w:p w14:paraId="6053CA9C"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p w14:paraId="1B75DD53" w14:textId="73BB2FF0" w:rsidR="00DB76EE"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In addition, three </w:t>
      </w:r>
      <w:r w:rsidR="00DB76EE" w:rsidRPr="00FF018F">
        <w:rPr>
          <w:snapToGrid w:val="0"/>
          <w:kern w:val="22"/>
          <w:sz w:val="22"/>
          <w:szCs w:val="22"/>
          <w:lang w:val="en-GB"/>
        </w:rPr>
        <w:t xml:space="preserve">Parties had submitted </w:t>
      </w:r>
      <w:r w:rsidRPr="00FF018F">
        <w:rPr>
          <w:snapToGrid w:val="0"/>
          <w:kern w:val="22"/>
          <w:sz w:val="22"/>
          <w:szCs w:val="22"/>
          <w:lang w:val="en-GB"/>
        </w:rPr>
        <w:t xml:space="preserve">national reports offline but </w:t>
      </w:r>
      <w:r w:rsidR="00DB76EE" w:rsidRPr="00FF018F">
        <w:rPr>
          <w:snapToGrid w:val="0"/>
          <w:kern w:val="22"/>
          <w:sz w:val="22"/>
          <w:szCs w:val="22"/>
          <w:lang w:val="en-GB"/>
        </w:rPr>
        <w:t xml:space="preserve">these </w:t>
      </w:r>
      <w:r w:rsidRPr="00FF018F">
        <w:rPr>
          <w:snapToGrid w:val="0"/>
          <w:kern w:val="22"/>
          <w:sz w:val="22"/>
          <w:szCs w:val="22"/>
          <w:lang w:val="en-GB"/>
        </w:rPr>
        <w:t xml:space="preserve">appeared to be incomplete and had not yet been made available in the </w:t>
      </w:r>
      <w:r w:rsidR="004B6529" w:rsidRPr="00FF018F">
        <w:rPr>
          <w:snapToGrid w:val="0"/>
          <w:kern w:val="22"/>
          <w:sz w:val="22"/>
          <w:szCs w:val="22"/>
          <w:lang w:val="en-GB"/>
        </w:rPr>
        <w:t>BCH</w:t>
      </w:r>
      <w:r w:rsidRPr="00FF018F">
        <w:rPr>
          <w:snapToGrid w:val="0"/>
          <w:kern w:val="22"/>
          <w:sz w:val="22"/>
          <w:szCs w:val="22"/>
          <w:lang w:val="en-GB"/>
        </w:rPr>
        <w:t xml:space="preserve"> by 15 January 2020. </w:t>
      </w:r>
      <w:r w:rsidR="00DB76EE" w:rsidRPr="00FF018F">
        <w:rPr>
          <w:snapToGrid w:val="0"/>
          <w:kern w:val="22"/>
          <w:sz w:val="22"/>
          <w:szCs w:val="22"/>
          <w:lang w:val="en-GB"/>
        </w:rPr>
        <w:t>The Secretariat is communicating with these Parties to encourage them to provide the missing information and to publish their reports online.</w:t>
      </w:r>
    </w:p>
    <w:p w14:paraId="0F46776F" w14:textId="5D99F9C5" w:rsidR="003B71B5" w:rsidRPr="00FF018F" w:rsidRDefault="006F31D6"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An oral update on the number of fourth national report submitted to the BCH and received offline will be provided during the meeting.</w:t>
      </w:r>
    </w:p>
    <w:p w14:paraId="1C10209D" w14:textId="39483DEE" w:rsidR="003B71B5" w:rsidRPr="00FF018F" w:rsidRDefault="002C7A26" w:rsidP="008159AD">
      <w:pPr>
        <w:pStyle w:val="Heading2"/>
        <w:suppressLineNumbers/>
        <w:tabs>
          <w:tab w:val="clear" w:pos="720"/>
          <w:tab w:val="left" w:pos="426"/>
        </w:tabs>
        <w:suppressAutoHyphens/>
        <w:rPr>
          <w:b w:val="0"/>
          <w:bCs w:val="0"/>
          <w:iCs w:val="0"/>
          <w:snapToGrid w:val="0"/>
          <w:kern w:val="22"/>
          <w:szCs w:val="22"/>
        </w:rPr>
      </w:pPr>
      <w:r w:rsidRPr="00FF018F">
        <w:rPr>
          <w:snapToGrid w:val="0"/>
          <w:kern w:val="22"/>
          <w:szCs w:val="22"/>
        </w:rPr>
        <w:t>B.</w:t>
      </w:r>
      <w:r w:rsidRPr="00FF018F">
        <w:rPr>
          <w:snapToGrid w:val="0"/>
          <w:kern w:val="22"/>
          <w:szCs w:val="22"/>
        </w:rPr>
        <w:tab/>
      </w:r>
      <w:r w:rsidR="003B71B5" w:rsidRPr="00FF018F">
        <w:rPr>
          <w:snapToGrid w:val="0"/>
          <w:kern w:val="22"/>
          <w:szCs w:val="22"/>
        </w:rPr>
        <w:t>Factors that may have affected the submission rate of fourth national reports</w:t>
      </w:r>
    </w:p>
    <w:p w14:paraId="2A3F8D78" w14:textId="0219A8C0"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Through its decision </w:t>
      </w:r>
      <w:hyperlink r:id="rId16" w:history="1">
        <w:r w:rsidRPr="00FF018F">
          <w:rPr>
            <w:rStyle w:val="Hyperlink"/>
            <w:snapToGrid w:val="0"/>
            <w:kern w:val="22"/>
            <w:sz w:val="22"/>
            <w:szCs w:val="22"/>
            <w:lang w:val="en-GB"/>
          </w:rPr>
          <w:t>14/23</w:t>
        </w:r>
      </w:hyperlink>
      <w:r w:rsidRPr="00FF018F">
        <w:rPr>
          <w:snapToGrid w:val="0"/>
          <w:kern w:val="22"/>
          <w:sz w:val="22"/>
          <w:szCs w:val="22"/>
          <w:lang w:val="en-GB"/>
        </w:rPr>
        <w:t>, the Conference of the Parties invited the Global Environment Facility (GEF) to continue making funds available to assist eligible Parties in implementing the Cartagena Protocol, in particular to support eligible Parties in fulfilling their reporting obligations under the Protocol, including the preparation and submission of their fourth national reports under the Protocol.</w:t>
      </w:r>
    </w:p>
    <w:p w14:paraId="4E757D78" w14:textId="4EB58F68"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Through notification </w:t>
      </w:r>
      <w:hyperlink r:id="rId17" w:history="1">
        <w:r w:rsidRPr="00FF018F">
          <w:rPr>
            <w:rStyle w:val="Hyperlink"/>
            <w:snapToGrid w:val="0"/>
            <w:kern w:val="22"/>
            <w:sz w:val="22"/>
            <w:szCs w:val="22"/>
            <w:lang w:val="en-GB"/>
          </w:rPr>
          <w:t>2019-42</w:t>
        </w:r>
      </w:hyperlink>
      <w:r w:rsidRPr="00FF018F">
        <w:rPr>
          <w:snapToGrid w:val="0"/>
          <w:kern w:val="22"/>
          <w:sz w:val="22"/>
          <w:szCs w:val="22"/>
          <w:lang w:val="en-GB"/>
        </w:rPr>
        <w:t>, dated 1 May 2019, the Executive Secretary informed Parties that the United Nations Environment Programme (UNEP) was preparing a project for funding by GEF to assist eligible Parties in the preparation of their fourth national report and encouraged eligible Parties to submit a letter of commitment</w:t>
      </w:r>
      <w:r w:rsidR="009D5FE8" w:rsidRPr="00FF018F">
        <w:rPr>
          <w:snapToGrid w:val="0"/>
          <w:kern w:val="22"/>
          <w:sz w:val="22"/>
          <w:szCs w:val="22"/>
          <w:lang w:val="en-GB"/>
        </w:rPr>
        <w:t xml:space="preserve"> to UNEP</w:t>
      </w:r>
      <w:r w:rsidRPr="00FF018F">
        <w:rPr>
          <w:snapToGrid w:val="0"/>
          <w:kern w:val="22"/>
          <w:sz w:val="22"/>
          <w:szCs w:val="22"/>
          <w:lang w:val="en-GB"/>
        </w:rPr>
        <w:t xml:space="preserve"> expressing their support for the project, signed by their GEF operational focal point.</w:t>
      </w:r>
    </w:p>
    <w:p w14:paraId="1B229F5F" w14:textId="07E5308A" w:rsidR="00670B6B" w:rsidRPr="00FF018F" w:rsidRDefault="00670B6B"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By message of 17 December 2020 posted on the “BCH on BCH Forum”</w:t>
      </w:r>
      <w:r w:rsidR="000C469A" w:rsidRPr="00FF018F">
        <w:rPr>
          <w:snapToGrid w:val="0"/>
          <w:kern w:val="22"/>
          <w:sz w:val="22"/>
          <w:szCs w:val="22"/>
          <w:lang w:val="en-GB"/>
        </w:rPr>
        <w:t>,</w:t>
      </w:r>
      <w:r w:rsidRPr="00FF018F">
        <w:rPr>
          <w:rStyle w:val="FootnoteReference"/>
          <w:rFonts w:eastAsiaTheme="majorEastAsia"/>
          <w:snapToGrid w:val="0"/>
          <w:kern w:val="22"/>
          <w:sz w:val="22"/>
          <w:szCs w:val="22"/>
          <w:u w:val="none"/>
          <w:vertAlign w:val="superscript"/>
          <w:lang w:val="en-GB" w:eastAsia="en-US"/>
        </w:rPr>
        <w:footnoteReference w:id="4"/>
      </w:r>
      <w:r w:rsidRPr="00FF018F">
        <w:rPr>
          <w:snapToGrid w:val="0"/>
          <w:kern w:val="22"/>
          <w:sz w:val="22"/>
          <w:szCs w:val="22"/>
          <w:lang w:val="en-GB"/>
        </w:rPr>
        <w:t xml:space="preserve"> UNEP </w:t>
      </w:r>
      <w:r w:rsidR="002D51DA" w:rsidRPr="00FF018F">
        <w:rPr>
          <w:snapToGrid w:val="0"/>
          <w:kern w:val="22"/>
          <w:sz w:val="22"/>
          <w:szCs w:val="22"/>
          <w:lang w:val="en-GB"/>
        </w:rPr>
        <w:t>reiterated</w:t>
      </w:r>
      <w:r w:rsidRPr="00FF018F">
        <w:rPr>
          <w:snapToGrid w:val="0"/>
          <w:kern w:val="22"/>
          <w:sz w:val="22"/>
          <w:szCs w:val="22"/>
          <w:lang w:val="en-GB"/>
        </w:rPr>
        <w:t xml:space="preserve"> </w:t>
      </w:r>
      <w:r w:rsidR="00DB3E92" w:rsidRPr="00FF018F">
        <w:rPr>
          <w:snapToGrid w:val="0"/>
          <w:kern w:val="22"/>
          <w:sz w:val="22"/>
          <w:szCs w:val="22"/>
          <w:lang w:val="en-GB"/>
        </w:rPr>
        <w:t>the</w:t>
      </w:r>
      <w:r w:rsidR="000C5FFC" w:rsidRPr="00FF018F">
        <w:rPr>
          <w:snapToGrid w:val="0"/>
          <w:kern w:val="22"/>
          <w:sz w:val="22"/>
          <w:szCs w:val="22"/>
          <w:lang w:val="en-GB"/>
        </w:rPr>
        <w:t xml:space="preserve"> importance of receiving </w:t>
      </w:r>
      <w:r w:rsidR="00DB3E92" w:rsidRPr="00FF018F">
        <w:rPr>
          <w:snapToGrid w:val="0"/>
          <w:kern w:val="22"/>
          <w:sz w:val="22"/>
          <w:szCs w:val="22"/>
          <w:lang w:val="en-GB"/>
        </w:rPr>
        <w:t>letters of commitment of all participating countries</w:t>
      </w:r>
      <w:r w:rsidR="000C5FFC" w:rsidRPr="00FF018F">
        <w:rPr>
          <w:snapToGrid w:val="0"/>
          <w:kern w:val="22"/>
          <w:sz w:val="22"/>
          <w:szCs w:val="22"/>
          <w:lang w:val="en-GB"/>
        </w:rPr>
        <w:t xml:space="preserve"> as soon as possible, </w:t>
      </w:r>
      <w:r w:rsidR="00E60EA7" w:rsidRPr="00FF018F">
        <w:rPr>
          <w:snapToGrid w:val="0"/>
          <w:kern w:val="22"/>
          <w:sz w:val="22"/>
          <w:szCs w:val="22"/>
          <w:lang w:val="en-GB"/>
        </w:rPr>
        <w:t xml:space="preserve">to enable </w:t>
      </w:r>
      <w:r w:rsidR="00B224E9" w:rsidRPr="00FF018F">
        <w:rPr>
          <w:snapToGrid w:val="0"/>
          <w:kern w:val="22"/>
          <w:sz w:val="22"/>
          <w:szCs w:val="22"/>
          <w:lang w:val="en-GB"/>
        </w:rPr>
        <w:lastRenderedPageBreak/>
        <w:t xml:space="preserve">UNEP </w:t>
      </w:r>
      <w:r w:rsidR="00E60EA7" w:rsidRPr="00FF018F">
        <w:rPr>
          <w:snapToGrid w:val="0"/>
          <w:kern w:val="22"/>
          <w:sz w:val="22"/>
          <w:szCs w:val="22"/>
          <w:lang w:val="en-GB"/>
        </w:rPr>
        <w:t>to</w:t>
      </w:r>
      <w:r w:rsidR="00B224E9" w:rsidRPr="00FF018F">
        <w:rPr>
          <w:snapToGrid w:val="0"/>
          <w:kern w:val="22"/>
          <w:sz w:val="22"/>
          <w:szCs w:val="22"/>
          <w:lang w:val="en-GB"/>
        </w:rPr>
        <w:t xml:space="preserve"> submit</w:t>
      </w:r>
      <w:r w:rsidR="00E60EA7" w:rsidRPr="00FF018F">
        <w:rPr>
          <w:snapToGrid w:val="0"/>
          <w:kern w:val="22"/>
          <w:sz w:val="22"/>
          <w:szCs w:val="22"/>
          <w:lang w:val="en-GB"/>
        </w:rPr>
        <w:t xml:space="preserve"> to GEF </w:t>
      </w:r>
      <w:r w:rsidR="000C5FFC" w:rsidRPr="00FF018F">
        <w:rPr>
          <w:snapToGrid w:val="0"/>
          <w:kern w:val="22"/>
          <w:sz w:val="22"/>
          <w:szCs w:val="22"/>
          <w:lang w:val="en-GB"/>
        </w:rPr>
        <w:t>project proposals</w:t>
      </w:r>
      <w:r w:rsidR="003A1EC2" w:rsidRPr="00FF018F">
        <w:rPr>
          <w:snapToGrid w:val="0"/>
          <w:kern w:val="22"/>
          <w:sz w:val="22"/>
          <w:szCs w:val="22"/>
          <w:lang w:val="en-GB"/>
        </w:rPr>
        <w:t xml:space="preserve"> covering all </w:t>
      </w:r>
      <w:r w:rsidR="00E60EA7" w:rsidRPr="00FF018F">
        <w:rPr>
          <w:snapToGrid w:val="0"/>
          <w:kern w:val="22"/>
          <w:sz w:val="22"/>
          <w:szCs w:val="22"/>
          <w:lang w:val="en-GB"/>
        </w:rPr>
        <w:t xml:space="preserve">participating </w:t>
      </w:r>
      <w:r w:rsidR="003A1EC2" w:rsidRPr="00FF018F">
        <w:rPr>
          <w:snapToGrid w:val="0"/>
          <w:kern w:val="22"/>
          <w:sz w:val="22"/>
          <w:szCs w:val="22"/>
          <w:lang w:val="en-GB"/>
        </w:rPr>
        <w:t>Parties</w:t>
      </w:r>
      <w:r w:rsidRPr="00FF018F">
        <w:rPr>
          <w:snapToGrid w:val="0"/>
          <w:kern w:val="22"/>
          <w:sz w:val="22"/>
          <w:szCs w:val="22"/>
          <w:lang w:val="en-GB"/>
        </w:rPr>
        <w:t xml:space="preserve">. UNEP indicated that </w:t>
      </w:r>
      <w:r w:rsidR="00F83C0B" w:rsidRPr="00FF018F">
        <w:rPr>
          <w:snapToGrid w:val="0"/>
          <w:kern w:val="22"/>
          <w:sz w:val="22"/>
          <w:szCs w:val="22"/>
          <w:lang w:val="en-GB"/>
        </w:rPr>
        <w:t xml:space="preserve">Parties </w:t>
      </w:r>
      <w:r w:rsidR="00FB35C1" w:rsidRPr="00FF018F">
        <w:rPr>
          <w:snapToGrid w:val="0"/>
          <w:kern w:val="22"/>
          <w:sz w:val="22"/>
          <w:szCs w:val="22"/>
          <w:lang w:val="en-GB"/>
        </w:rPr>
        <w:t xml:space="preserve">had until the end of January 2020 to </w:t>
      </w:r>
      <w:r w:rsidR="003712EB" w:rsidRPr="00FF018F">
        <w:rPr>
          <w:snapToGrid w:val="0"/>
          <w:kern w:val="22"/>
          <w:sz w:val="22"/>
          <w:szCs w:val="22"/>
          <w:lang w:val="en-GB"/>
        </w:rPr>
        <w:t>submit their letter of commitment</w:t>
      </w:r>
      <w:r w:rsidRPr="00FF018F">
        <w:rPr>
          <w:snapToGrid w:val="0"/>
          <w:kern w:val="22"/>
          <w:sz w:val="22"/>
          <w:szCs w:val="22"/>
          <w:lang w:val="en-GB"/>
        </w:rPr>
        <w:t>.</w:t>
      </w:r>
    </w:p>
    <w:p w14:paraId="0DAC09F4" w14:textId="1995E682" w:rsidR="00031C30" w:rsidRPr="00FF018F" w:rsidRDefault="00166E00"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Based on information provided</w:t>
      </w:r>
      <w:r w:rsidR="00236283" w:rsidRPr="00FF018F">
        <w:rPr>
          <w:snapToGrid w:val="0"/>
          <w:kern w:val="22"/>
          <w:sz w:val="22"/>
          <w:szCs w:val="22"/>
          <w:lang w:val="en-GB"/>
        </w:rPr>
        <w:t xml:space="preserve"> subsequently</w:t>
      </w:r>
      <w:r w:rsidRPr="00FF018F">
        <w:rPr>
          <w:snapToGrid w:val="0"/>
          <w:kern w:val="22"/>
          <w:sz w:val="22"/>
          <w:szCs w:val="22"/>
          <w:lang w:val="en-GB"/>
        </w:rPr>
        <w:t xml:space="preserve"> by UNEP, </w:t>
      </w:r>
      <w:r w:rsidR="004E7729" w:rsidRPr="00FF018F">
        <w:rPr>
          <w:snapToGrid w:val="0"/>
          <w:kern w:val="22"/>
          <w:sz w:val="22"/>
          <w:szCs w:val="22"/>
          <w:lang w:val="en-GB"/>
        </w:rPr>
        <w:t>98</w:t>
      </w:r>
      <w:r w:rsidR="00742218" w:rsidRPr="00FF018F">
        <w:rPr>
          <w:snapToGrid w:val="0"/>
          <w:kern w:val="22"/>
          <w:sz w:val="22"/>
          <w:szCs w:val="22"/>
          <w:lang w:val="en-GB"/>
        </w:rPr>
        <w:t xml:space="preserve"> Parties</w:t>
      </w:r>
      <w:r w:rsidR="003B71B5" w:rsidRPr="00FF018F">
        <w:rPr>
          <w:snapToGrid w:val="0"/>
          <w:kern w:val="22"/>
          <w:sz w:val="22"/>
          <w:szCs w:val="22"/>
          <w:lang w:val="en-GB"/>
        </w:rPr>
        <w:t xml:space="preserve"> had submitted a letter of commitment to UNEP</w:t>
      </w:r>
      <w:r w:rsidR="00742218" w:rsidRPr="00FF018F">
        <w:rPr>
          <w:snapToGrid w:val="0"/>
          <w:kern w:val="22"/>
          <w:sz w:val="22"/>
          <w:szCs w:val="22"/>
          <w:lang w:val="en-GB"/>
        </w:rPr>
        <w:t xml:space="preserve"> by </w:t>
      </w:r>
      <w:r w:rsidR="00232472" w:rsidRPr="00FF018F">
        <w:rPr>
          <w:snapToGrid w:val="0"/>
          <w:kern w:val="22"/>
          <w:sz w:val="22"/>
          <w:szCs w:val="22"/>
          <w:lang w:val="en-GB"/>
        </w:rPr>
        <w:t xml:space="preserve">the end of </w:t>
      </w:r>
      <w:r w:rsidR="00670B6B" w:rsidRPr="00FF018F">
        <w:rPr>
          <w:snapToGrid w:val="0"/>
          <w:kern w:val="22"/>
          <w:sz w:val="22"/>
          <w:szCs w:val="22"/>
          <w:lang w:val="en-GB"/>
        </w:rPr>
        <w:t>January 2020</w:t>
      </w:r>
      <w:r w:rsidR="003B71B5" w:rsidRPr="00FF018F">
        <w:rPr>
          <w:snapToGrid w:val="0"/>
          <w:kern w:val="22"/>
          <w:sz w:val="22"/>
          <w:szCs w:val="22"/>
          <w:lang w:val="en-GB"/>
        </w:rPr>
        <w:t>.</w:t>
      </w:r>
      <w:r w:rsidR="005447DC" w:rsidRPr="00FF018F">
        <w:rPr>
          <w:rStyle w:val="FootnoteReference"/>
          <w:rFonts w:eastAsiaTheme="majorEastAsia"/>
          <w:snapToGrid w:val="0"/>
          <w:kern w:val="22"/>
          <w:sz w:val="22"/>
          <w:szCs w:val="22"/>
          <w:u w:val="none"/>
          <w:vertAlign w:val="superscript"/>
          <w:lang w:val="en-GB" w:eastAsia="en-US"/>
        </w:rPr>
        <w:footnoteReference w:id="5"/>
      </w:r>
      <w:r w:rsidR="00C222AC" w:rsidRPr="00FF018F">
        <w:rPr>
          <w:snapToGrid w:val="0"/>
          <w:kern w:val="22"/>
          <w:sz w:val="22"/>
          <w:szCs w:val="22"/>
          <w:lang w:val="en-GB"/>
        </w:rPr>
        <w:t xml:space="preserve"> </w:t>
      </w:r>
      <w:r w:rsidR="003B71B5" w:rsidRPr="00FF018F">
        <w:rPr>
          <w:snapToGrid w:val="0"/>
          <w:kern w:val="22"/>
          <w:sz w:val="22"/>
          <w:szCs w:val="22"/>
          <w:lang w:val="en-GB"/>
        </w:rPr>
        <w:t xml:space="preserve">UNEP </w:t>
      </w:r>
      <w:r w:rsidR="00AF3029" w:rsidRPr="00FF018F">
        <w:rPr>
          <w:snapToGrid w:val="0"/>
          <w:kern w:val="22"/>
          <w:sz w:val="22"/>
          <w:szCs w:val="22"/>
          <w:lang w:val="en-GB"/>
        </w:rPr>
        <w:t xml:space="preserve">informed the Secretariat </w:t>
      </w:r>
      <w:r w:rsidR="003B71B5" w:rsidRPr="00FF018F">
        <w:rPr>
          <w:snapToGrid w:val="0"/>
          <w:kern w:val="22"/>
          <w:sz w:val="22"/>
          <w:szCs w:val="22"/>
          <w:lang w:val="en-GB"/>
        </w:rPr>
        <w:t xml:space="preserve">that </w:t>
      </w:r>
      <w:r w:rsidR="002D51DA" w:rsidRPr="00FF018F">
        <w:rPr>
          <w:snapToGrid w:val="0"/>
          <w:kern w:val="22"/>
          <w:sz w:val="22"/>
          <w:szCs w:val="22"/>
          <w:lang w:val="en-GB"/>
        </w:rPr>
        <w:t xml:space="preserve">two </w:t>
      </w:r>
      <w:r w:rsidR="00AF3029" w:rsidRPr="00FF018F">
        <w:rPr>
          <w:snapToGrid w:val="0"/>
          <w:kern w:val="22"/>
          <w:sz w:val="22"/>
          <w:szCs w:val="22"/>
          <w:lang w:val="en-GB"/>
        </w:rPr>
        <w:t xml:space="preserve">medium-sized projects </w:t>
      </w:r>
      <w:r w:rsidR="00FA3304" w:rsidRPr="00FF018F">
        <w:rPr>
          <w:snapToGrid w:val="0"/>
          <w:kern w:val="22"/>
          <w:sz w:val="22"/>
          <w:szCs w:val="22"/>
          <w:lang w:val="en-GB"/>
        </w:rPr>
        <w:t>would</w:t>
      </w:r>
      <w:r w:rsidR="00AF3029" w:rsidRPr="00FF018F">
        <w:rPr>
          <w:snapToGrid w:val="0"/>
          <w:kern w:val="22"/>
          <w:sz w:val="22"/>
          <w:szCs w:val="22"/>
          <w:lang w:val="en-GB"/>
        </w:rPr>
        <w:t xml:space="preserve"> be submitted </w:t>
      </w:r>
      <w:r w:rsidR="001C2181" w:rsidRPr="00FF018F">
        <w:rPr>
          <w:snapToGrid w:val="0"/>
          <w:kern w:val="22"/>
          <w:sz w:val="22"/>
          <w:szCs w:val="22"/>
          <w:lang w:val="en-GB"/>
        </w:rPr>
        <w:t xml:space="preserve">to GEF </w:t>
      </w:r>
      <w:r w:rsidR="00AF3029" w:rsidRPr="00FF018F">
        <w:rPr>
          <w:snapToGrid w:val="0"/>
          <w:kern w:val="22"/>
          <w:sz w:val="22"/>
          <w:szCs w:val="22"/>
          <w:lang w:val="en-GB"/>
        </w:rPr>
        <w:t xml:space="preserve">for approval </w:t>
      </w:r>
      <w:r w:rsidR="0084049B" w:rsidRPr="00FF018F">
        <w:rPr>
          <w:snapToGrid w:val="0"/>
          <w:kern w:val="22"/>
          <w:sz w:val="22"/>
          <w:szCs w:val="22"/>
          <w:lang w:val="en-GB"/>
        </w:rPr>
        <w:t>and that</w:t>
      </w:r>
      <w:r w:rsidR="00970C54" w:rsidRPr="00FF018F">
        <w:rPr>
          <w:snapToGrid w:val="0"/>
          <w:kern w:val="22"/>
          <w:sz w:val="22"/>
          <w:szCs w:val="22"/>
          <w:lang w:val="en-GB"/>
        </w:rPr>
        <w:t>,</w:t>
      </w:r>
      <w:r w:rsidR="0084049B" w:rsidRPr="00FF018F">
        <w:rPr>
          <w:snapToGrid w:val="0"/>
          <w:kern w:val="22"/>
          <w:sz w:val="22"/>
          <w:szCs w:val="22"/>
          <w:lang w:val="en-GB"/>
        </w:rPr>
        <w:t xml:space="preserve"> following the approval of these projects, contractual arrangements w</w:t>
      </w:r>
      <w:r w:rsidR="00FA3304" w:rsidRPr="00FF018F">
        <w:rPr>
          <w:snapToGrid w:val="0"/>
          <w:kern w:val="22"/>
          <w:sz w:val="22"/>
          <w:szCs w:val="22"/>
          <w:lang w:val="en-GB"/>
        </w:rPr>
        <w:t>ould</w:t>
      </w:r>
      <w:r w:rsidR="0084049B" w:rsidRPr="00FF018F">
        <w:rPr>
          <w:snapToGrid w:val="0"/>
          <w:kern w:val="22"/>
          <w:sz w:val="22"/>
          <w:szCs w:val="22"/>
          <w:lang w:val="en-GB"/>
        </w:rPr>
        <w:t xml:space="preserve"> be made with the Parties concerned</w:t>
      </w:r>
      <w:r w:rsidR="00C13E21" w:rsidRPr="00FF018F">
        <w:rPr>
          <w:snapToGrid w:val="0"/>
          <w:kern w:val="22"/>
          <w:sz w:val="22"/>
          <w:szCs w:val="22"/>
          <w:lang w:val="en-GB"/>
        </w:rPr>
        <w:t xml:space="preserve"> that would enable </w:t>
      </w:r>
      <w:r w:rsidR="00FA3304" w:rsidRPr="00FF018F">
        <w:rPr>
          <w:snapToGrid w:val="0"/>
          <w:kern w:val="22"/>
          <w:sz w:val="22"/>
          <w:szCs w:val="22"/>
          <w:lang w:val="en-GB"/>
        </w:rPr>
        <w:t>UNEP to disburse the</w:t>
      </w:r>
      <w:r w:rsidR="00C13E21" w:rsidRPr="00FF018F">
        <w:rPr>
          <w:snapToGrid w:val="0"/>
          <w:kern w:val="22"/>
          <w:sz w:val="22"/>
          <w:szCs w:val="22"/>
          <w:lang w:val="en-GB"/>
        </w:rPr>
        <w:t xml:space="preserve"> funds</w:t>
      </w:r>
      <w:r w:rsidR="00991B84" w:rsidRPr="00FF018F">
        <w:rPr>
          <w:snapToGrid w:val="0"/>
          <w:kern w:val="22"/>
          <w:sz w:val="22"/>
          <w:szCs w:val="22"/>
          <w:lang w:val="en-GB"/>
        </w:rPr>
        <w:t>.</w:t>
      </w:r>
      <w:r w:rsidR="00BD0250" w:rsidRPr="00FF018F">
        <w:rPr>
          <w:snapToGrid w:val="0"/>
          <w:kern w:val="22"/>
          <w:sz w:val="22"/>
          <w:szCs w:val="22"/>
          <w:lang w:val="en-GB"/>
        </w:rPr>
        <w:t xml:space="preserve"> </w:t>
      </w:r>
      <w:r w:rsidR="00FA3304" w:rsidRPr="00FF018F">
        <w:rPr>
          <w:snapToGrid w:val="0"/>
          <w:kern w:val="22"/>
          <w:sz w:val="22"/>
          <w:szCs w:val="22"/>
          <w:lang w:val="en-GB"/>
        </w:rPr>
        <w:t>A third project proposal</w:t>
      </w:r>
      <w:r w:rsidR="00AF62CB" w:rsidRPr="00FF018F">
        <w:rPr>
          <w:snapToGrid w:val="0"/>
          <w:kern w:val="22"/>
          <w:sz w:val="22"/>
          <w:szCs w:val="22"/>
          <w:lang w:val="en-GB"/>
        </w:rPr>
        <w:t>,</w:t>
      </w:r>
      <w:r w:rsidR="00FA3304" w:rsidRPr="00FF018F">
        <w:rPr>
          <w:snapToGrid w:val="0"/>
          <w:kern w:val="22"/>
          <w:sz w:val="22"/>
          <w:szCs w:val="22"/>
          <w:lang w:val="en-GB"/>
        </w:rPr>
        <w:t xml:space="preserve"> includ</w:t>
      </w:r>
      <w:r w:rsidR="00AF62CB" w:rsidRPr="00FF018F">
        <w:rPr>
          <w:snapToGrid w:val="0"/>
          <w:kern w:val="22"/>
          <w:sz w:val="22"/>
          <w:szCs w:val="22"/>
          <w:lang w:val="en-GB"/>
        </w:rPr>
        <w:t>ing</w:t>
      </w:r>
      <w:r w:rsidR="00FA3304" w:rsidRPr="00FF018F">
        <w:rPr>
          <w:snapToGrid w:val="0"/>
          <w:kern w:val="22"/>
          <w:sz w:val="22"/>
          <w:szCs w:val="22"/>
          <w:lang w:val="en-GB"/>
        </w:rPr>
        <w:t xml:space="preserve"> </w:t>
      </w:r>
      <w:r w:rsidR="00FC6E42" w:rsidRPr="00FF018F">
        <w:rPr>
          <w:snapToGrid w:val="0"/>
          <w:kern w:val="22"/>
          <w:sz w:val="22"/>
          <w:szCs w:val="22"/>
          <w:lang w:val="en-GB"/>
        </w:rPr>
        <w:t xml:space="preserve">eligible </w:t>
      </w:r>
      <w:r w:rsidR="00FA3304" w:rsidRPr="00FF018F">
        <w:rPr>
          <w:snapToGrid w:val="0"/>
          <w:kern w:val="22"/>
          <w:sz w:val="22"/>
          <w:szCs w:val="22"/>
          <w:lang w:val="en-GB"/>
        </w:rPr>
        <w:t xml:space="preserve">Parties </w:t>
      </w:r>
      <w:r w:rsidR="00D533F5" w:rsidRPr="00FF018F">
        <w:rPr>
          <w:snapToGrid w:val="0"/>
          <w:kern w:val="22"/>
          <w:sz w:val="22"/>
          <w:szCs w:val="22"/>
          <w:lang w:val="en-GB"/>
        </w:rPr>
        <w:t xml:space="preserve">that </w:t>
      </w:r>
      <w:r w:rsidR="00FC6E42" w:rsidRPr="00FF018F">
        <w:rPr>
          <w:snapToGrid w:val="0"/>
          <w:kern w:val="22"/>
          <w:sz w:val="22"/>
          <w:szCs w:val="22"/>
          <w:lang w:val="en-GB"/>
        </w:rPr>
        <w:t>submit</w:t>
      </w:r>
      <w:r w:rsidR="00DD2D81" w:rsidRPr="00FF018F">
        <w:rPr>
          <w:snapToGrid w:val="0"/>
          <w:kern w:val="22"/>
          <w:sz w:val="22"/>
          <w:szCs w:val="22"/>
          <w:lang w:val="en-GB"/>
        </w:rPr>
        <w:t>ted</w:t>
      </w:r>
      <w:r w:rsidR="00FC6E42" w:rsidRPr="00FF018F">
        <w:rPr>
          <w:snapToGrid w:val="0"/>
          <w:kern w:val="22"/>
          <w:sz w:val="22"/>
          <w:szCs w:val="22"/>
          <w:lang w:val="en-GB"/>
        </w:rPr>
        <w:t xml:space="preserve"> their letters of commitment later</w:t>
      </w:r>
      <w:r w:rsidR="00D533F5" w:rsidRPr="00FF018F">
        <w:rPr>
          <w:snapToGrid w:val="0"/>
          <w:kern w:val="22"/>
          <w:sz w:val="22"/>
          <w:szCs w:val="22"/>
          <w:lang w:val="en-GB"/>
        </w:rPr>
        <w:t>,</w:t>
      </w:r>
      <w:r w:rsidR="00FA3304" w:rsidRPr="00FF018F">
        <w:rPr>
          <w:snapToGrid w:val="0"/>
          <w:kern w:val="22"/>
          <w:sz w:val="22"/>
          <w:szCs w:val="22"/>
          <w:lang w:val="en-GB"/>
        </w:rPr>
        <w:t xml:space="preserve"> would </w:t>
      </w:r>
      <w:r w:rsidR="00E63ECC" w:rsidRPr="00FF018F">
        <w:rPr>
          <w:snapToGrid w:val="0"/>
          <w:kern w:val="22"/>
          <w:sz w:val="22"/>
          <w:szCs w:val="22"/>
          <w:lang w:val="en-GB"/>
        </w:rPr>
        <w:t xml:space="preserve">subsequently </w:t>
      </w:r>
      <w:r w:rsidR="00FA3304" w:rsidRPr="00FF018F">
        <w:rPr>
          <w:snapToGrid w:val="0"/>
          <w:kern w:val="22"/>
          <w:sz w:val="22"/>
          <w:szCs w:val="22"/>
          <w:lang w:val="en-GB"/>
        </w:rPr>
        <w:t xml:space="preserve">be submitted </w:t>
      </w:r>
      <w:r w:rsidR="00AF62CB" w:rsidRPr="00FF018F">
        <w:rPr>
          <w:snapToGrid w:val="0"/>
          <w:kern w:val="22"/>
          <w:sz w:val="22"/>
          <w:szCs w:val="22"/>
          <w:lang w:val="en-GB"/>
        </w:rPr>
        <w:t>to GEF</w:t>
      </w:r>
      <w:r w:rsidR="00FA3304" w:rsidRPr="00FF018F">
        <w:rPr>
          <w:snapToGrid w:val="0"/>
          <w:kern w:val="22"/>
          <w:sz w:val="22"/>
          <w:szCs w:val="22"/>
          <w:lang w:val="en-GB"/>
        </w:rPr>
        <w:t>.</w:t>
      </w:r>
    </w:p>
    <w:p w14:paraId="642A2AC8" w14:textId="2EF497CF" w:rsidR="000762B1"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A total of 72 Parties </w:t>
      </w:r>
      <w:r w:rsidR="00684445" w:rsidRPr="00FF018F">
        <w:rPr>
          <w:snapToGrid w:val="0"/>
          <w:kern w:val="22"/>
          <w:sz w:val="22"/>
          <w:szCs w:val="22"/>
          <w:lang w:val="en-GB"/>
        </w:rPr>
        <w:t>had not submitted their complete fourth national report</w:t>
      </w:r>
      <w:r w:rsidRPr="00FF018F">
        <w:rPr>
          <w:snapToGrid w:val="0"/>
          <w:kern w:val="22"/>
          <w:sz w:val="22"/>
          <w:szCs w:val="22"/>
          <w:lang w:val="en-GB"/>
        </w:rPr>
        <w:t xml:space="preserve"> </w:t>
      </w:r>
      <w:r w:rsidR="00684445" w:rsidRPr="00FF018F">
        <w:rPr>
          <w:snapToGrid w:val="0"/>
          <w:kern w:val="22"/>
          <w:sz w:val="22"/>
          <w:szCs w:val="22"/>
          <w:lang w:val="en-GB"/>
        </w:rPr>
        <w:t>by 15 January 2020</w:t>
      </w:r>
      <w:r w:rsidR="00FC3EC8" w:rsidRPr="00FF018F">
        <w:rPr>
          <w:snapToGrid w:val="0"/>
          <w:kern w:val="22"/>
          <w:sz w:val="22"/>
          <w:szCs w:val="22"/>
          <w:lang w:val="en-GB"/>
        </w:rPr>
        <w:t xml:space="preserve">, of which 63 were eligible for GEF funding. </w:t>
      </w:r>
      <w:r w:rsidR="000D169E" w:rsidRPr="00FF018F">
        <w:rPr>
          <w:snapToGrid w:val="0"/>
          <w:kern w:val="22"/>
          <w:sz w:val="22"/>
          <w:szCs w:val="22"/>
          <w:lang w:val="en-GB"/>
        </w:rPr>
        <w:t xml:space="preserve"> O</w:t>
      </w:r>
      <w:r w:rsidR="000F6E5D" w:rsidRPr="00FF018F">
        <w:rPr>
          <w:snapToGrid w:val="0"/>
          <w:kern w:val="22"/>
          <w:sz w:val="22"/>
          <w:szCs w:val="22"/>
          <w:lang w:val="en-GB"/>
        </w:rPr>
        <w:t xml:space="preserve">f these </w:t>
      </w:r>
      <w:r w:rsidR="00B515FF" w:rsidRPr="00FF018F">
        <w:rPr>
          <w:snapToGrid w:val="0"/>
          <w:kern w:val="22"/>
          <w:sz w:val="22"/>
          <w:szCs w:val="22"/>
          <w:lang w:val="en-GB"/>
        </w:rPr>
        <w:t>Parties</w:t>
      </w:r>
      <w:r w:rsidR="000D169E" w:rsidRPr="00FF018F">
        <w:rPr>
          <w:snapToGrid w:val="0"/>
          <w:kern w:val="22"/>
          <w:sz w:val="22"/>
          <w:szCs w:val="22"/>
          <w:lang w:val="en-GB"/>
        </w:rPr>
        <w:t>, 47</w:t>
      </w:r>
      <w:r w:rsidR="00B515FF" w:rsidRPr="00FF018F">
        <w:rPr>
          <w:snapToGrid w:val="0"/>
          <w:kern w:val="22"/>
          <w:sz w:val="22"/>
          <w:szCs w:val="22"/>
          <w:lang w:val="en-GB"/>
        </w:rPr>
        <w:t xml:space="preserve"> </w:t>
      </w:r>
      <w:r w:rsidR="00A025A3" w:rsidRPr="00FF018F">
        <w:rPr>
          <w:snapToGrid w:val="0"/>
          <w:kern w:val="22"/>
          <w:sz w:val="22"/>
          <w:szCs w:val="22"/>
          <w:lang w:val="en-GB"/>
        </w:rPr>
        <w:t>had submitted</w:t>
      </w:r>
      <w:r w:rsidRPr="00FF018F">
        <w:rPr>
          <w:snapToGrid w:val="0"/>
          <w:kern w:val="22"/>
          <w:sz w:val="22"/>
          <w:szCs w:val="22"/>
          <w:lang w:val="en-GB"/>
        </w:rPr>
        <w:t xml:space="preserve"> a letter of commitment to UNEP</w:t>
      </w:r>
      <w:r w:rsidR="00062A01" w:rsidRPr="00FF018F">
        <w:rPr>
          <w:snapToGrid w:val="0"/>
          <w:kern w:val="22"/>
          <w:sz w:val="22"/>
          <w:szCs w:val="22"/>
          <w:lang w:val="en-GB"/>
        </w:rPr>
        <w:t xml:space="preserve"> by the end of 2019</w:t>
      </w:r>
      <w:r w:rsidRPr="00FF018F">
        <w:rPr>
          <w:snapToGrid w:val="0"/>
          <w:kern w:val="22"/>
          <w:sz w:val="22"/>
          <w:szCs w:val="22"/>
          <w:lang w:val="en-GB"/>
        </w:rPr>
        <w:t>.</w:t>
      </w:r>
      <w:r w:rsidR="0059436B" w:rsidRPr="00FF018F">
        <w:rPr>
          <w:snapToGrid w:val="0"/>
          <w:kern w:val="22"/>
          <w:sz w:val="22"/>
          <w:szCs w:val="22"/>
          <w:lang w:val="en-GB"/>
        </w:rPr>
        <w:t xml:space="preserve"> </w:t>
      </w:r>
      <w:r w:rsidR="000762B1" w:rsidRPr="00FF018F">
        <w:rPr>
          <w:snapToGrid w:val="0"/>
          <w:kern w:val="22"/>
          <w:sz w:val="22"/>
          <w:szCs w:val="22"/>
          <w:lang w:val="en-GB"/>
        </w:rPr>
        <w:t>T</w:t>
      </w:r>
      <w:r w:rsidR="00147254" w:rsidRPr="00FF018F">
        <w:rPr>
          <w:snapToGrid w:val="0"/>
          <w:kern w:val="22"/>
          <w:sz w:val="22"/>
          <w:szCs w:val="22"/>
          <w:lang w:val="en-GB"/>
        </w:rPr>
        <w:t>he delay in accessing GEF funding may have affected the reporting rate negatively.</w:t>
      </w:r>
      <w:r w:rsidR="00147254" w:rsidRPr="00FF018F">
        <w:rPr>
          <w:rStyle w:val="FootnoteReference"/>
          <w:rFonts w:eastAsiaTheme="majorEastAsia"/>
          <w:snapToGrid w:val="0"/>
          <w:kern w:val="22"/>
          <w:sz w:val="22"/>
          <w:szCs w:val="22"/>
          <w:u w:val="none"/>
          <w:vertAlign w:val="superscript"/>
          <w:lang w:val="en-GB" w:eastAsia="en-US"/>
        </w:rPr>
        <w:footnoteReference w:id="6"/>
      </w:r>
    </w:p>
    <w:p w14:paraId="23CDA934" w14:textId="2DD58592" w:rsidR="00A62B09" w:rsidRPr="00FF018F" w:rsidRDefault="00CF05EF"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Other factors that may have affected the reporting rate may be related to changes to and launch of the online reporting tool. A</w:t>
      </w:r>
      <w:r w:rsidR="003B71B5" w:rsidRPr="00FF018F">
        <w:rPr>
          <w:snapToGrid w:val="0"/>
          <w:kern w:val="22"/>
          <w:sz w:val="22"/>
          <w:szCs w:val="22"/>
          <w:lang w:val="en-GB"/>
        </w:rPr>
        <w:t xml:space="preserve">s part of the ongoing migration of the </w:t>
      </w:r>
      <w:r w:rsidR="00A62B09" w:rsidRPr="00FF018F">
        <w:rPr>
          <w:snapToGrid w:val="0"/>
          <w:kern w:val="22"/>
          <w:sz w:val="22"/>
          <w:szCs w:val="22"/>
          <w:lang w:val="en-GB"/>
        </w:rPr>
        <w:t>BCH</w:t>
      </w:r>
      <w:r w:rsidR="003B71B5" w:rsidRPr="00FF018F">
        <w:rPr>
          <w:snapToGrid w:val="0"/>
          <w:kern w:val="22"/>
          <w:sz w:val="22"/>
          <w:szCs w:val="22"/>
          <w:lang w:val="en-GB"/>
        </w:rPr>
        <w:t xml:space="preserve"> to its new platform, the Secretariat made available the </w:t>
      </w:r>
      <w:r w:rsidR="00D028AB" w:rsidRPr="00FF018F">
        <w:rPr>
          <w:snapToGrid w:val="0"/>
          <w:kern w:val="22"/>
          <w:sz w:val="22"/>
          <w:szCs w:val="22"/>
          <w:lang w:val="en-GB"/>
        </w:rPr>
        <w:t xml:space="preserve">online </w:t>
      </w:r>
      <w:r w:rsidR="003B71B5" w:rsidRPr="00FF018F">
        <w:rPr>
          <w:snapToGrid w:val="0"/>
          <w:kern w:val="22"/>
          <w:sz w:val="22"/>
          <w:szCs w:val="22"/>
          <w:lang w:val="en-GB"/>
        </w:rPr>
        <w:t xml:space="preserve">format for the fourth national report for the Cartagena Protocol through the preview version of the new BCH platform, in all six official languages of the United Nations. Due to the </w:t>
      </w:r>
      <w:r w:rsidR="003D6478" w:rsidRPr="00FF018F">
        <w:rPr>
          <w:snapToGrid w:val="0"/>
          <w:kern w:val="22"/>
          <w:sz w:val="22"/>
          <w:szCs w:val="22"/>
          <w:lang w:val="en-GB"/>
        </w:rPr>
        <w:t xml:space="preserve">time required to create the preview version </w:t>
      </w:r>
      <w:r w:rsidR="003B71B5" w:rsidRPr="00FF018F">
        <w:rPr>
          <w:snapToGrid w:val="0"/>
          <w:kern w:val="22"/>
          <w:sz w:val="22"/>
          <w:szCs w:val="22"/>
          <w:lang w:val="en-GB"/>
        </w:rPr>
        <w:t>of the</w:t>
      </w:r>
      <w:r w:rsidR="003D6478" w:rsidRPr="00FF018F">
        <w:rPr>
          <w:snapToGrid w:val="0"/>
          <w:kern w:val="22"/>
          <w:sz w:val="22"/>
          <w:szCs w:val="22"/>
          <w:lang w:val="en-GB"/>
        </w:rPr>
        <w:t xml:space="preserve"> new</w:t>
      </w:r>
      <w:r w:rsidR="003B71B5" w:rsidRPr="00FF018F">
        <w:rPr>
          <w:snapToGrid w:val="0"/>
          <w:kern w:val="22"/>
          <w:sz w:val="22"/>
          <w:szCs w:val="22"/>
          <w:lang w:val="en-GB"/>
        </w:rPr>
        <w:t xml:space="preserve"> </w:t>
      </w:r>
      <w:r w:rsidR="003D6478" w:rsidRPr="00FF018F">
        <w:rPr>
          <w:snapToGrid w:val="0"/>
          <w:kern w:val="22"/>
          <w:sz w:val="22"/>
          <w:szCs w:val="22"/>
          <w:lang w:val="en-GB"/>
        </w:rPr>
        <w:t>platform</w:t>
      </w:r>
      <w:r w:rsidR="003B71B5" w:rsidRPr="00FF018F">
        <w:rPr>
          <w:snapToGrid w:val="0"/>
          <w:kern w:val="22"/>
          <w:sz w:val="22"/>
          <w:szCs w:val="22"/>
          <w:lang w:val="en-GB"/>
        </w:rPr>
        <w:t>, the online version of the format for the fourth national report could only be made available in June 2019.</w:t>
      </w:r>
      <w:r w:rsidR="00D028AB" w:rsidRPr="00FF018F">
        <w:rPr>
          <w:snapToGrid w:val="0"/>
          <w:kern w:val="22"/>
          <w:sz w:val="22"/>
          <w:szCs w:val="22"/>
          <w:lang w:val="en-GB"/>
        </w:rPr>
        <w:t xml:space="preserve"> </w:t>
      </w:r>
      <w:r w:rsidR="00A62B09" w:rsidRPr="00FF018F">
        <w:rPr>
          <w:snapToGrid w:val="0"/>
          <w:kern w:val="22"/>
          <w:sz w:val="22"/>
          <w:szCs w:val="22"/>
          <w:lang w:val="en-GB"/>
        </w:rPr>
        <w:t xml:space="preserve">Through notification </w:t>
      </w:r>
      <w:hyperlink r:id="rId18" w:history="1">
        <w:r w:rsidR="00A62B09" w:rsidRPr="00FF018F">
          <w:rPr>
            <w:rStyle w:val="Hyperlink"/>
            <w:sz w:val="22"/>
            <w:szCs w:val="22"/>
            <w:lang w:val="en-GB"/>
          </w:rPr>
          <w:t>2019-19</w:t>
        </w:r>
      </w:hyperlink>
      <w:r w:rsidR="00A62B09" w:rsidRPr="00FF018F">
        <w:rPr>
          <w:snapToGrid w:val="0"/>
          <w:kern w:val="22"/>
          <w:sz w:val="22"/>
          <w:szCs w:val="22"/>
          <w:lang w:val="en-GB"/>
        </w:rPr>
        <w:t xml:space="preserve">, dated 13 February 2019, the Executive Secretary encouraged Parties to make use of the offline format, which had been made available in all six </w:t>
      </w:r>
      <w:r w:rsidR="001E3410" w:rsidRPr="00FF018F">
        <w:rPr>
          <w:snapToGrid w:val="0"/>
          <w:kern w:val="22"/>
          <w:sz w:val="22"/>
          <w:szCs w:val="22"/>
          <w:lang w:val="en-GB"/>
        </w:rPr>
        <w:t xml:space="preserve">official </w:t>
      </w:r>
      <w:r w:rsidR="00A62B09" w:rsidRPr="00FF018F">
        <w:rPr>
          <w:snapToGrid w:val="0"/>
          <w:kern w:val="22"/>
          <w:sz w:val="22"/>
          <w:szCs w:val="22"/>
          <w:lang w:val="en-GB"/>
        </w:rPr>
        <w:t xml:space="preserve">languages, to organize and record the information </w:t>
      </w:r>
      <w:r w:rsidR="00427C0F" w:rsidRPr="00FF018F">
        <w:rPr>
          <w:snapToGrid w:val="0"/>
          <w:kern w:val="22"/>
          <w:sz w:val="22"/>
          <w:szCs w:val="22"/>
          <w:lang w:val="en-GB"/>
        </w:rPr>
        <w:t xml:space="preserve">for </w:t>
      </w:r>
      <w:r w:rsidR="00A62B09" w:rsidRPr="00FF018F">
        <w:rPr>
          <w:snapToGrid w:val="0"/>
          <w:kern w:val="22"/>
          <w:sz w:val="22"/>
          <w:szCs w:val="22"/>
          <w:lang w:val="en-GB"/>
        </w:rPr>
        <w:t>the fourth national report pending the availability of the online version of the reporting format. Some Parties may have postponed the preparation of their fourth national report pending the availability of the online reporting tool.</w:t>
      </w:r>
    </w:p>
    <w:p w14:paraId="32BA5EBC" w14:textId="5DC1E958" w:rsidR="003B71B5" w:rsidRPr="00FF018F" w:rsidRDefault="00D028AB"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To assist Parties</w:t>
      </w:r>
      <w:r w:rsidR="00A62B09" w:rsidRPr="00FF018F">
        <w:rPr>
          <w:snapToGrid w:val="0"/>
          <w:kern w:val="22"/>
          <w:sz w:val="22"/>
          <w:szCs w:val="22"/>
          <w:lang w:val="en-GB"/>
        </w:rPr>
        <w:t xml:space="preserve"> </w:t>
      </w:r>
      <w:r w:rsidR="00915AA5" w:rsidRPr="00FF018F">
        <w:rPr>
          <w:snapToGrid w:val="0"/>
          <w:kern w:val="22"/>
          <w:sz w:val="22"/>
          <w:szCs w:val="22"/>
          <w:lang w:val="en-GB"/>
        </w:rPr>
        <w:t>in using</w:t>
      </w:r>
      <w:r w:rsidR="00A62B09" w:rsidRPr="00FF018F">
        <w:rPr>
          <w:snapToGrid w:val="0"/>
          <w:kern w:val="22"/>
          <w:sz w:val="22"/>
          <w:szCs w:val="22"/>
          <w:lang w:val="en-GB"/>
        </w:rPr>
        <w:t xml:space="preserve"> the new platform to submit their fourth national report</w:t>
      </w:r>
      <w:r w:rsidRPr="00FF018F">
        <w:rPr>
          <w:snapToGrid w:val="0"/>
          <w:kern w:val="22"/>
          <w:sz w:val="22"/>
          <w:szCs w:val="22"/>
          <w:lang w:val="en-GB"/>
        </w:rPr>
        <w:t>, the Secretariat prepared “Questions and Answers” that included step-by-step instructions on how to submit the report through the preview version of the BCH.</w:t>
      </w:r>
      <w:r w:rsidRPr="00FF018F">
        <w:rPr>
          <w:rStyle w:val="FootnoteReference"/>
          <w:rFonts w:eastAsiaTheme="majorEastAsia"/>
          <w:snapToGrid w:val="0"/>
          <w:kern w:val="22"/>
          <w:sz w:val="22"/>
          <w:szCs w:val="22"/>
          <w:u w:val="none"/>
          <w:vertAlign w:val="superscript"/>
          <w:lang w:val="en-GB" w:eastAsia="en-US"/>
        </w:rPr>
        <w:footnoteReference w:id="7"/>
      </w:r>
      <w:r w:rsidRPr="00FF018F">
        <w:rPr>
          <w:snapToGrid w:val="0"/>
          <w:kern w:val="22"/>
          <w:sz w:val="22"/>
          <w:szCs w:val="22"/>
          <w:lang w:val="en-GB"/>
        </w:rPr>
        <w:t xml:space="preserve"> The Secretariat also used the “BCH on BCH” forum</w:t>
      </w:r>
      <w:r w:rsidRPr="00FF018F">
        <w:rPr>
          <w:rStyle w:val="FootnoteReference"/>
          <w:rFonts w:eastAsiaTheme="majorEastAsia"/>
          <w:snapToGrid w:val="0"/>
          <w:kern w:val="22"/>
          <w:sz w:val="22"/>
          <w:szCs w:val="22"/>
          <w:u w:val="none"/>
          <w:vertAlign w:val="superscript"/>
          <w:lang w:val="en-GB" w:eastAsia="en-US"/>
        </w:rPr>
        <w:footnoteReference w:id="8"/>
      </w:r>
      <w:r w:rsidRPr="00FF018F">
        <w:rPr>
          <w:snapToGrid w:val="0"/>
          <w:kern w:val="22"/>
          <w:sz w:val="22"/>
          <w:szCs w:val="22"/>
          <w:lang w:val="en-GB"/>
        </w:rPr>
        <w:t xml:space="preserve"> to share information on the fourth national reports with focal points.</w:t>
      </w:r>
      <w:r w:rsidR="00A62B09" w:rsidRPr="00FF018F">
        <w:rPr>
          <w:snapToGrid w:val="0"/>
          <w:kern w:val="22"/>
          <w:sz w:val="22"/>
          <w:szCs w:val="22"/>
          <w:lang w:val="en-GB"/>
        </w:rPr>
        <w:t xml:space="preserve"> </w:t>
      </w:r>
      <w:r w:rsidR="003B71B5" w:rsidRPr="00FF018F">
        <w:rPr>
          <w:snapToGrid w:val="0"/>
          <w:kern w:val="22"/>
          <w:sz w:val="22"/>
          <w:szCs w:val="22"/>
          <w:lang w:val="en-GB"/>
        </w:rPr>
        <w:t>While the delay</w:t>
      </w:r>
      <w:r w:rsidR="00E53D5D" w:rsidRPr="00FF018F">
        <w:rPr>
          <w:snapToGrid w:val="0"/>
          <w:kern w:val="22"/>
          <w:sz w:val="22"/>
          <w:szCs w:val="22"/>
          <w:lang w:val="en-GB"/>
        </w:rPr>
        <w:t xml:space="preserve">ed availability of </w:t>
      </w:r>
      <w:r w:rsidR="003B71B5" w:rsidRPr="00FF018F">
        <w:rPr>
          <w:snapToGrid w:val="0"/>
          <w:kern w:val="22"/>
          <w:sz w:val="22"/>
          <w:szCs w:val="22"/>
          <w:lang w:val="en-GB"/>
        </w:rPr>
        <w:t xml:space="preserve">the online </w:t>
      </w:r>
      <w:r w:rsidR="001460BF" w:rsidRPr="00FF018F">
        <w:rPr>
          <w:snapToGrid w:val="0"/>
          <w:kern w:val="22"/>
          <w:sz w:val="22"/>
          <w:szCs w:val="22"/>
          <w:lang w:val="en-GB"/>
        </w:rPr>
        <w:t xml:space="preserve">reporting tool </w:t>
      </w:r>
      <w:r w:rsidR="00630840" w:rsidRPr="00FF018F">
        <w:rPr>
          <w:snapToGrid w:val="0"/>
          <w:kern w:val="22"/>
          <w:sz w:val="22"/>
          <w:szCs w:val="22"/>
          <w:lang w:val="en-GB"/>
        </w:rPr>
        <w:t xml:space="preserve">may </w:t>
      </w:r>
      <w:r w:rsidR="00406CCD" w:rsidRPr="00FF018F">
        <w:rPr>
          <w:snapToGrid w:val="0"/>
          <w:kern w:val="22"/>
          <w:sz w:val="22"/>
          <w:szCs w:val="22"/>
          <w:lang w:val="en-GB"/>
        </w:rPr>
        <w:t>have caused some inconvenience</w:t>
      </w:r>
      <w:r w:rsidR="00A32AC3" w:rsidRPr="00FF018F">
        <w:rPr>
          <w:snapToGrid w:val="0"/>
          <w:kern w:val="22"/>
          <w:sz w:val="22"/>
          <w:szCs w:val="22"/>
          <w:lang w:val="en-GB"/>
        </w:rPr>
        <w:t>s</w:t>
      </w:r>
      <w:r w:rsidR="003B71B5" w:rsidRPr="00FF018F">
        <w:rPr>
          <w:snapToGrid w:val="0"/>
          <w:kern w:val="22"/>
          <w:sz w:val="22"/>
          <w:szCs w:val="22"/>
          <w:lang w:val="en-GB"/>
        </w:rPr>
        <w:t>, the user experience reported to the Secretariat on the new BCH platform has been positive, based on communications from Parties.</w:t>
      </w:r>
      <w:r w:rsidR="003B71B5" w:rsidRPr="00FF018F">
        <w:rPr>
          <w:rStyle w:val="FootnoteReference"/>
          <w:rFonts w:eastAsiaTheme="majorEastAsia"/>
          <w:snapToGrid w:val="0"/>
          <w:kern w:val="22"/>
          <w:sz w:val="22"/>
          <w:szCs w:val="22"/>
          <w:u w:val="none"/>
          <w:vertAlign w:val="superscript"/>
          <w:lang w:val="en-GB" w:eastAsia="en-US"/>
        </w:rPr>
        <w:footnoteReference w:id="9"/>
      </w:r>
    </w:p>
    <w:p w14:paraId="53A0020D" w14:textId="1D470284" w:rsidR="003B71B5" w:rsidRPr="00FF018F" w:rsidRDefault="00BE74CD"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In considering factors that may have affected the submission rate of national reports in the past, the Committee considered that the length of the reporting format </w:t>
      </w:r>
      <w:r w:rsidR="00995D54" w:rsidRPr="00FF018F">
        <w:rPr>
          <w:snapToGrid w:val="0"/>
          <w:kern w:val="22"/>
          <w:sz w:val="22"/>
          <w:szCs w:val="22"/>
          <w:lang w:val="en-GB"/>
        </w:rPr>
        <w:t xml:space="preserve">might </w:t>
      </w:r>
      <w:r w:rsidRPr="00FF018F">
        <w:rPr>
          <w:snapToGrid w:val="0"/>
          <w:kern w:val="22"/>
          <w:sz w:val="22"/>
          <w:szCs w:val="22"/>
          <w:lang w:val="en-GB"/>
        </w:rPr>
        <w:t>be challenging.</w:t>
      </w:r>
      <w:r w:rsidRPr="00FF018F">
        <w:rPr>
          <w:rStyle w:val="FootnoteReference"/>
          <w:rFonts w:eastAsiaTheme="majorEastAsia"/>
          <w:snapToGrid w:val="0"/>
          <w:kern w:val="22"/>
          <w:sz w:val="22"/>
          <w:szCs w:val="22"/>
          <w:u w:val="none"/>
          <w:vertAlign w:val="superscript"/>
          <w:lang w:val="en-GB" w:eastAsia="en-US"/>
        </w:rPr>
        <w:footnoteReference w:id="10"/>
      </w:r>
      <w:r w:rsidR="003B71B5" w:rsidRPr="00FF018F">
        <w:rPr>
          <w:snapToGrid w:val="0"/>
          <w:kern w:val="22"/>
          <w:sz w:val="22"/>
          <w:szCs w:val="22"/>
          <w:lang w:val="en-GB"/>
        </w:rPr>
        <w:t xml:space="preserve"> The reporting format for the fourth national report, while still lengthy, has undergone a number of revisions as a result of which it contains </w:t>
      </w:r>
      <w:r w:rsidR="00A62B09" w:rsidRPr="00FF018F">
        <w:rPr>
          <w:snapToGrid w:val="0"/>
          <w:kern w:val="22"/>
          <w:sz w:val="22"/>
          <w:szCs w:val="22"/>
          <w:lang w:val="en-GB"/>
        </w:rPr>
        <w:t xml:space="preserve">fewer </w:t>
      </w:r>
      <w:r w:rsidR="003B71B5" w:rsidRPr="00FF018F">
        <w:rPr>
          <w:snapToGrid w:val="0"/>
          <w:kern w:val="22"/>
          <w:sz w:val="22"/>
          <w:szCs w:val="22"/>
          <w:lang w:val="en-GB"/>
        </w:rPr>
        <w:t xml:space="preserve">questions (187) than the format for the third national report (209). In addition, some editorial issues and problems related to lack of clarity have been addressed in the format for the fourth national report. </w:t>
      </w:r>
      <w:r w:rsidR="003B71B5" w:rsidRPr="00FF018F">
        <w:rPr>
          <w:snapToGrid w:val="0"/>
          <w:kern w:val="22"/>
          <w:sz w:val="22"/>
          <w:szCs w:val="22"/>
          <w:lang w:val="en-GB"/>
        </w:rPr>
        <w:lastRenderedPageBreak/>
        <w:t>The revisions made to the reporting format may have had some limited positive effect on the ease of reporting</w:t>
      </w:r>
      <w:r w:rsidR="00C23041" w:rsidRPr="00FF018F">
        <w:rPr>
          <w:snapToGrid w:val="0"/>
          <w:kern w:val="22"/>
          <w:sz w:val="22"/>
          <w:szCs w:val="22"/>
          <w:lang w:val="en-GB"/>
        </w:rPr>
        <w:t>, as compared to previous reporting cycles</w:t>
      </w:r>
      <w:r w:rsidR="003B71B5" w:rsidRPr="00FF018F">
        <w:rPr>
          <w:snapToGrid w:val="0"/>
          <w:kern w:val="22"/>
          <w:sz w:val="22"/>
          <w:szCs w:val="22"/>
          <w:lang w:val="en-GB"/>
        </w:rPr>
        <w:t>.</w:t>
      </w:r>
    </w:p>
    <w:p w14:paraId="6D21EEBC" w14:textId="483840BE" w:rsidR="003B71B5" w:rsidRPr="00FF018F" w:rsidRDefault="003B71B5" w:rsidP="008159AD">
      <w:pPr>
        <w:pStyle w:val="Heading1"/>
        <w:suppressLineNumbers/>
        <w:tabs>
          <w:tab w:val="clear" w:pos="720"/>
        </w:tabs>
        <w:suppressAutoHyphens/>
        <w:spacing w:before="120"/>
        <w:ind w:left="1560" w:hanging="709"/>
        <w:jc w:val="left"/>
        <w:rPr>
          <w:snapToGrid w:val="0"/>
          <w:kern w:val="22"/>
          <w:szCs w:val="22"/>
        </w:rPr>
      </w:pPr>
      <w:r w:rsidRPr="00FF018F">
        <w:rPr>
          <w:snapToGrid w:val="0"/>
          <w:kern w:val="22"/>
          <w:szCs w:val="22"/>
        </w:rPr>
        <w:t>III.</w:t>
      </w:r>
      <w:r w:rsidRPr="00FF018F">
        <w:rPr>
          <w:snapToGrid w:val="0"/>
          <w:kern w:val="22"/>
          <w:szCs w:val="22"/>
        </w:rPr>
        <w:tab/>
        <w:t>Submission rate of third, second, first and interim national</w:t>
      </w:r>
      <w:r w:rsidR="00B2497D" w:rsidRPr="00FF018F">
        <w:rPr>
          <w:snapToGrid w:val="0"/>
          <w:kern w:val="22"/>
          <w:szCs w:val="22"/>
        </w:rPr>
        <w:t> </w:t>
      </w:r>
      <w:r w:rsidRPr="00FF018F">
        <w:rPr>
          <w:snapToGrid w:val="0"/>
          <w:kern w:val="22"/>
          <w:szCs w:val="22"/>
        </w:rPr>
        <w:t>reports</w:t>
      </w:r>
    </w:p>
    <w:p w14:paraId="187AD9CA" w14:textId="18032BBC" w:rsidR="00D028AB"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This section provides an overview of submission rates of the third, second, first and interim national reports, as well as some information on factors identified by the Committee that may have affected the submission rate of the respective national reports.</w:t>
      </w:r>
      <w:r w:rsidR="006543D2" w:rsidRPr="00FF018F">
        <w:rPr>
          <w:snapToGrid w:val="0"/>
          <w:kern w:val="22"/>
          <w:sz w:val="22"/>
          <w:szCs w:val="22"/>
          <w:lang w:val="en-GB"/>
        </w:rPr>
        <w:t xml:space="preserve"> This information may help to identify </w:t>
      </w:r>
      <w:r w:rsidR="00D3570A" w:rsidRPr="00FF018F">
        <w:rPr>
          <w:snapToGrid w:val="0"/>
          <w:kern w:val="22"/>
          <w:sz w:val="22"/>
          <w:szCs w:val="22"/>
          <w:lang w:val="en-GB"/>
        </w:rPr>
        <w:t xml:space="preserve">the </w:t>
      </w:r>
      <w:r w:rsidR="006543D2" w:rsidRPr="00FF018F">
        <w:rPr>
          <w:snapToGrid w:val="0"/>
          <w:kern w:val="22"/>
          <w:sz w:val="22"/>
          <w:szCs w:val="22"/>
          <w:lang w:val="en-GB"/>
        </w:rPr>
        <w:t>reasons why more than 40</w:t>
      </w:r>
      <w:r w:rsidR="004A575B" w:rsidRPr="00FF018F">
        <w:rPr>
          <w:snapToGrid w:val="0"/>
          <w:kern w:val="22"/>
          <w:sz w:val="22"/>
          <w:szCs w:val="22"/>
          <w:lang w:val="en-GB"/>
        </w:rPr>
        <w:t> per cent</w:t>
      </w:r>
      <w:r w:rsidR="006543D2" w:rsidRPr="00FF018F">
        <w:rPr>
          <w:snapToGrid w:val="0"/>
          <w:kern w:val="22"/>
          <w:sz w:val="22"/>
          <w:szCs w:val="22"/>
          <w:lang w:val="en-GB"/>
        </w:rPr>
        <w:t xml:space="preserve"> of Parties had not submitted their fourth national report by 15 January 2020.</w:t>
      </w:r>
    </w:p>
    <w:p w14:paraId="4A5778FF" w14:textId="4CB1855E" w:rsidR="00D028AB" w:rsidRPr="00FF018F" w:rsidRDefault="00D028AB"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As of 15 January 2020, the reporting rate for the previous national reports on the implementation of the Protocol </w:t>
      </w:r>
      <w:r w:rsidR="00525824" w:rsidRPr="00FF018F">
        <w:rPr>
          <w:snapToGrid w:val="0"/>
          <w:kern w:val="22"/>
          <w:sz w:val="22"/>
          <w:szCs w:val="22"/>
          <w:lang w:val="en-GB"/>
        </w:rPr>
        <w:t>wa</w:t>
      </w:r>
      <w:r w:rsidRPr="00FF018F">
        <w:rPr>
          <w:snapToGrid w:val="0"/>
          <w:kern w:val="22"/>
          <w:sz w:val="22"/>
          <w:szCs w:val="22"/>
          <w:lang w:val="en-GB"/>
        </w:rPr>
        <w:t>s as follows:</w:t>
      </w:r>
    </w:p>
    <w:p w14:paraId="551BF038" w14:textId="681CF74F" w:rsidR="00D028AB" w:rsidRPr="00FF018F" w:rsidRDefault="00D028AB" w:rsidP="008159AD">
      <w:pPr>
        <w:pStyle w:val="Para10"/>
        <w:numPr>
          <w:ilvl w:val="1"/>
          <w:numId w:val="17"/>
        </w:numPr>
        <w:suppressLineNumbers/>
        <w:tabs>
          <w:tab w:val="clear" w:pos="1570"/>
        </w:tabs>
        <w:suppressAutoHyphens/>
        <w:spacing w:before="120" w:after="120"/>
        <w:ind w:left="0"/>
        <w:jc w:val="both"/>
        <w:rPr>
          <w:snapToGrid w:val="0"/>
          <w:kern w:val="22"/>
          <w:sz w:val="22"/>
          <w:szCs w:val="22"/>
          <w:lang w:val="en-GB"/>
        </w:rPr>
      </w:pPr>
      <w:r w:rsidRPr="00FF018F">
        <w:rPr>
          <w:snapToGrid w:val="0"/>
          <w:kern w:val="22"/>
          <w:sz w:val="22"/>
          <w:szCs w:val="22"/>
          <w:lang w:val="en-GB"/>
        </w:rPr>
        <w:t>Third national reports: 15</w:t>
      </w:r>
      <w:r w:rsidR="00783C22" w:rsidRPr="00FF018F">
        <w:rPr>
          <w:snapToGrid w:val="0"/>
          <w:kern w:val="22"/>
          <w:sz w:val="22"/>
          <w:szCs w:val="22"/>
          <w:lang w:val="en-GB"/>
        </w:rPr>
        <w:t>7</w:t>
      </w:r>
      <w:r w:rsidRPr="00FF018F">
        <w:rPr>
          <w:snapToGrid w:val="0"/>
          <w:kern w:val="22"/>
          <w:sz w:val="22"/>
          <w:szCs w:val="22"/>
          <w:lang w:val="en-GB"/>
        </w:rPr>
        <w:t xml:space="preserve"> reports received out of the 1</w:t>
      </w:r>
      <w:r w:rsidR="003A269A" w:rsidRPr="00FF018F">
        <w:rPr>
          <w:snapToGrid w:val="0"/>
          <w:kern w:val="22"/>
          <w:sz w:val="22"/>
          <w:szCs w:val="22"/>
          <w:lang w:val="en-GB"/>
        </w:rPr>
        <w:t>70 Parties with an obligation to report (92</w:t>
      </w:r>
      <w:r w:rsidR="005B3525" w:rsidRPr="00FF018F">
        <w:rPr>
          <w:snapToGrid w:val="0"/>
          <w:kern w:val="22"/>
          <w:sz w:val="22"/>
          <w:szCs w:val="22"/>
          <w:lang w:val="en-GB"/>
        </w:rPr>
        <w:t> </w:t>
      </w:r>
      <w:r w:rsidR="0068445D" w:rsidRPr="00FF018F">
        <w:rPr>
          <w:snapToGrid w:val="0"/>
          <w:kern w:val="22"/>
          <w:sz w:val="22"/>
          <w:szCs w:val="22"/>
          <w:lang w:val="en-GB"/>
        </w:rPr>
        <w:t>per cent</w:t>
      </w:r>
      <w:r w:rsidR="003A269A" w:rsidRPr="00FF018F">
        <w:rPr>
          <w:snapToGrid w:val="0"/>
          <w:kern w:val="22"/>
          <w:sz w:val="22"/>
          <w:szCs w:val="22"/>
          <w:lang w:val="en-GB"/>
        </w:rPr>
        <w:t>). This includes the third national report</w:t>
      </w:r>
      <w:r w:rsidR="00BB6E26" w:rsidRPr="00FF018F">
        <w:rPr>
          <w:snapToGrid w:val="0"/>
          <w:kern w:val="22"/>
          <w:sz w:val="22"/>
          <w:szCs w:val="22"/>
          <w:lang w:val="en-GB"/>
        </w:rPr>
        <w:t>s</w:t>
      </w:r>
      <w:r w:rsidR="003A269A" w:rsidRPr="00FF018F">
        <w:rPr>
          <w:snapToGrid w:val="0"/>
          <w:kern w:val="22"/>
          <w:sz w:val="22"/>
          <w:szCs w:val="22"/>
          <w:lang w:val="en-GB"/>
        </w:rPr>
        <w:t xml:space="preserve"> of </w:t>
      </w:r>
      <w:r w:rsidR="00BB6E26" w:rsidRPr="00FF018F">
        <w:rPr>
          <w:snapToGrid w:val="0"/>
          <w:kern w:val="22"/>
          <w:sz w:val="22"/>
          <w:szCs w:val="22"/>
          <w:lang w:val="en-GB"/>
        </w:rPr>
        <w:t xml:space="preserve">Djibouti and </w:t>
      </w:r>
      <w:r w:rsidR="00BE3594" w:rsidRPr="00FF018F">
        <w:rPr>
          <w:snapToGrid w:val="0"/>
          <w:kern w:val="22"/>
          <w:sz w:val="22"/>
          <w:szCs w:val="22"/>
          <w:lang w:val="en-GB"/>
        </w:rPr>
        <w:t>Serbia</w:t>
      </w:r>
      <w:r w:rsidR="003A269A" w:rsidRPr="00FF018F">
        <w:rPr>
          <w:snapToGrid w:val="0"/>
          <w:kern w:val="22"/>
          <w:sz w:val="22"/>
          <w:szCs w:val="22"/>
          <w:lang w:val="en-GB"/>
        </w:rPr>
        <w:t>, which w</w:t>
      </w:r>
      <w:r w:rsidR="00BB6E26" w:rsidRPr="00FF018F">
        <w:rPr>
          <w:snapToGrid w:val="0"/>
          <w:kern w:val="22"/>
          <w:sz w:val="22"/>
          <w:szCs w:val="22"/>
          <w:lang w:val="en-GB"/>
        </w:rPr>
        <w:t>ere</w:t>
      </w:r>
      <w:r w:rsidR="003A269A" w:rsidRPr="00FF018F">
        <w:rPr>
          <w:snapToGrid w:val="0"/>
          <w:kern w:val="22"/>
          <w:sz w:val="22"/>
          <w:szCs w:val="22"/>
          <w:lang w:val="en-GB"/>
        </w:rPr>
        <w:t xml:space="preserve"> submitted since the last meeting of the Committee</w:t>
      </w:r>
      <w:r w:rsidR="009434D4" w:rsidRPr="00FF018F">
        <w:rPr>
          <w:snapToGrid w:val="0"/>
          <w:kern w:val="22"/>
          <w:sz w:val="22"/>
          <w:szCs w:val="22"/>
          <w:lang w:val="en-GB"/>
        </w:rPr>
        <w:t>;</w:t>
      </w:r>
    </w:p>
    <w:p w14:paraId="30C1DFA6" w14:textId="0A82BA14" w:rsidR="00D028AB" w:rsidRPr="00FF018F" w:rsidRDefault="00D028AB" w:rsidP="008159AD">
      <w:pPr>
        <w:pStyle w:val="Para10"/>
        <w:numPr>
          <w:ilvl w:val="1"/>
          <w:numId w:val="17"/>
        </w:numPr>
        <w:suppressLineNumbers/>
        <w:tabs>
          <w:tab w:val="clear" w:pos="1570"/>
        </w:tabs>
        <w:suppressAutoHyphens/>
        <w:spacing w:before="120" w:after="120"/>
        <w:ind w:left="0"/>
        <w:jc w:val="both"/>
        <w:rPr>
          <w:snapToGrid w:val="0"/>
          <w:kern w:val="22"/>
          <w:sz w:val="22"/>
          <w:szCs w:val="22"/>
          <w:lang w:val="en-GB"/>
        </w:rPr>
      </w:pPr>
      <w:r w:rsidRPr="00FF018F">
        <w:rPr>
          <w:snapToGrid w:val="0"/>
          <w:kern w:val="22"/>
          <w:sz w:val="22"/>
          <w:szCs w:val="22"/>
          <w:lang w:val="en-GB"/>
        </w:rPr>
        <w:t>Second national reports:</w:t>
      </w:r>
      <w:r w:rsidR="003A269A" w:rsidRPr="00FF018F">
        <w:rPr>
          <w:snapToGrid w:val="0"/>
          <w:kern w:val="22"/>
          <w:sz w:val="22"/>
          <w:szCs w:val="22"/>
          <w:lang w:val="en-GB"/>
        </w:rPr>
        <w:t xml:space="preserve"> 153 reports received out of the 161 Parties with an obligation to report (</w:t>
      </w:r>
      <w:r w:rsidR="00525824" w:rsidRPr="00FF018F">
        <w:rPr>
          <w:snapToGrid w:val="0"/>
          <w:kern w:val="22"/>
          <w:sz w:val="22"/>
          <w:szCs w:val="22"/>
          <w:lang w:val="en-GB"/>
        </w:rPr>
        <w:t>95</w:t>
      </w:r>
      <w:r w:rsidR="0068445D" w:rsidRPr="00FF018F">
        <w:rPr>
          <w:snapToGrid w:val="0"/>
          <w:kern w:val="22"/>
          <w:sz w:val="22"/>
          <w:szCs w:val="22"/>
          <w:lang w:val="en-GB"/>
        </w:rPr>
        <w:t> per cent</w:t>
      </w:r>
      <w:r w:rsidR="003A269A" w:rsidRPr="00FF018F">
        <w:rPr>
          <w:snapToGrid w:val="0"/>
          <w:kern w:val="22"/>
          <w:sz w:val="22"/>
          <w:szCs w:val="22"/>
          <w:lang w:val="en-GB"/>
        </w:rPr>
        <w:t>)</w:t>
      </w:r>
      <w:r w:rsidR="009434D4" w:rsidRPr="00FF018F">
        <w:rPr>
          <w:snapToGrid w:val="0"/>
          <w:kern w:val="22"/>
          <w:sz w:val="22"/>
          <w:szCs w:val="22"/>
          <w:lang w:val="en-GB"/>
        </w:rPr>
        <w:t>;</w:t>
      </w:r>
    </w:p>
    <w:p w14:paraId="7EBEDA00" w14:textId="51021EE1" w:rsidR="00D028AB" w:rsidRPr="00FF018F" w:rsidRDefault="00D028AB" w:rsidP="008159AD">
      <w:pPr>
        <w:pStyle w:val="Para10"/>
        <w:numPr>
          <w:ilvl w:val="1"/>
          <w:numId w:val="17"/>
        </w:numPr>
        <w:suppressLineNumbers/>
        <w:tabs>
          <w:tab w:val="clear" w:pos="1570"/>
        </w:tabs>
        <w:suppressAutoHyphens/>
        <w:spacing w:before="120" w:after="120"/>
        <w:ind w:left="0"/>
        <w:jc w:val="both"/>
        <w:rPr>
          <w:snapToGrid w:val="0"/>
          <w:kern w:val="22"/>
          <w:sz w:val="22"/>
          <w:szCs w:val="22"/>
          <w:lang w:val="en-GB"/>
        </w:rPr>
      </w:pPr>
      <w:r w:rsidRPr="00FF018F">
        <w:rPr>
          <w:snapToGrid w:val="0"/>
          <w:kern w:val="22"/>
          <w:sz w:val="22"/>
          <w:szCs w:val="22"/>
          <w:lang w:val="en-GB"/>
        </w:rPr>
        <w:t>First national reports:</w:t>
      </w:r>
      <w:r w:rsidR="003A269A" w:rsidRPr="00FF018F">
        <w:rPr>
          <w:snapToGrid w:val="0"/>
          <w:kern w:val="22"/>
          <w:sz w:val="22"/>
          <w:szCs w:val="22"/>
          <w:lang w:val="en-GB"/>
        </w:rPr>
        <w:t xml:space="preserve"> 87 reports received out of the 141 Parties with an obligation to report (</w:t>
      </w:r>
      <w:r w:rsidR="00C07DE1" w:rsidRPr="00FF018F">
        <w:rPr>
          <w:snapToGrid w:val="0"/>
          <w:kern w:val="22"/>
          <w:sz w:val="22"/>
          <w:szCs w:val="22"/>
          <w:lang w:val="en-GB"/>
        </w:rPr>
        <w:t>62</w:t>
      </w:r>
      <w:r w:rsidR="00D84DB7" w:rsidRPr="00FF018F">
        <w:rPr>
          <w:snapToGrid w:val="0"/>
          <w:kern w:val="22"/>
          <w:sz w:val="22"/>
          <w:szCs w:val="22"/>
          <w:lang w:val="en-GB"/>
        </w:rPr>
        <w:t> per cent</w:t>
      </w:r>
      <w:r w:rsidR="003A269A" w:rsidRPr="00FF018F">
        <w:rPr>
          <w:snapToGrid w:val="0"/>
          <w:kern w:val="22"/>
          <w:sz w:val="22"/>
          <w:szCs w:val="22"/>
          <w:lang w:val="en-GB"/>
        </w:rPr>
        <w:t>). In addition, first national reports were received from four countries that were not Parties to the Protocol at that time</w:t>
      </w:r>
      <w:r w:rsidR="009434D4" w:rsidRPr="00FF018F">
        <w:rPr>
          <w:snapToGrid w:val="0"/>
          <w:kern w:val="22"/>
          <w:sz w:val="22"/>
          <w:szCs w:val="22"/>
          <w:lang w:val="en-GB"/>
        </w:rPr>
        <w:t>;</w:t>
      </w:r>
    </w:p>
    <w:p w14:paraId="644196E2" w14:textId="749F1530" w:rsidR="003B71B5" w:rsidRPr="00FF018F" w:rsidRDefault="00D028AB" w:rsidP="008159AD">
      <w:pPr>
        <w:pStyle w:val="Para10"/>
        <w:numPr>
          <w:ilvl w:val="1"/>
          <w:numId w:val="17"/>
        </w:numPr>
        <w:suppressLineNumbers/>
        <w:tabs>
          <w:tab w:val="clear" w:pos="1570"/>
        </w:tabs>
        <w:suppressAutoHyphens/>
        <w:spacing w:before="120" w:after="120"/>
        <w:ind w:left="0"/>
        <w:jc w:val="both"/>
        <w:rPr>
          <w:snapToGrid w:val="0"/>
          <w:kern w:val="22"/>
          <w:sz w:val="22"/>
          <w:szCs w:val="22"/>
          <w:lang w:val="en-GB"/>
        </w:rPr>
      </w:pPr>
      <w:r w:rsidRPr="00FF018F">
        <w:rPr>
          <w:snapToGrid w:val="0"/>
          <w:kern w:val="22"/>
          <w:sz w:val="22"/>
          <w:szCs w:val="22"/>
          <w:lang w:val="en-GB"/>
        </w:rPr>
        <w:t>Interim national reports:</w:t>
      </w:r>
      <w:r w:rsidR="003B71B5" w:rsidRPr="00FF018F">
        <w:rPr>
          <w:snapToGrid w:val="0"/>
          <w:kern w:val="22"/>
          <w:sz w:val="22"/>
          <w:szCs w:val="22"/>
          <w:lang w:val="en-GB"/>
        </w:rPr>
        <w:t xml:space="preserve"> </w:t>
      </w:r>
      <w:r w:rsidR="003A269A" w:rsidRPr="00FF018F">
        <w:rPr>
          <w:snapToGrid w:val="0"/>
          <w:kern w:val="22"/>
          <w:sz w:val="22"/>
          <w:szCs w:val="22"/>
          <w:lang w:val="en-GB"/>
        </w:rPr>
        <w:t>55 reports received out of the 121 Parties with an obligation to report (</w:t>
      </w:r>
      <w:r w:rsidR="00C07DE1" w:rsidRPr="00FF018F">
        <w:rPr>
          <w:snapToGrid w:val="0"/>
          <w:kern w:val="22"/>
          <w:sz w:val="22"/>
          <w:szCs w:val="22"/>
          <w:lang w:val="en-GB"/>
        </w:rPr>
        <w:t>45</w:t>
      </w:r>
      <w:r w:rsidR="00D84DB7" w:rsidRPr="00FF018F">
        <w:rPr>
          <w:snapToGrid w:val="0"/>
          <w:kern w:val="22"/>
          <w:sz w:val="22"/>
          <w:szCs w:val="22"/>
          <w:lang w:val="en-GB"/>
        </w:rPr>
        <w:t> per cent</w:t>
      </w:r>
      <w:r w:rsidR="003A269A" w:rsidRPr="00FF018F">
        <w:rPr>
          <w:snapToGrid w:val="0"/>
          <w:kern w:val="22"/>
          <w:sz w:val="22"/>
          <w:szCs w:val="22"/>
          <w:lang w:val="en-GB"/>
        </w:rPr>
        <w:t>).</w:t>
      </w:r>
    </w:p>
    <w:p w14:paraId="79BAF742" w14:textId="15FCD497" w:rsidR="003B71B5" w:rsidRPr="00FF018F" w:rsidRDefault="003B71B5" w:rsidP="008159AD">
      <w:pPr>
        <w:pStyle w:val="Para10"/>
        <w:numPr>
          <w:ilvl w:val="0"/>
          <w:numId w:val="17"/>
        </w:numPr>
        <w:suppressLineNumbers/>
        <w:tabs>
          <w:tab w:val="clear" w:pos="644"/>
        </w:tabs>
        <w:suppressAutoHyphens/>
        <w:spacing w:before="120" w:after="120"/>
        <w:ind w:left="0"/>
        <w:jc w:val="both"/>
        <w:rPr>
          <w:i/>
          <w:snapToGrid w:val="0"/>
          <w:kern w:val="22"/>
          <w:sz w:val="22"/>
          <w:szCs w:val="22"/>
          <w:lang w:val="en-GB"/>
        </w:rPr>
      </w:pPr>
      <w:r w:rsidRPr="00FF018F">
        <w:rPr>
          <w:snapToGrid w:val="0"/>
          <w:kern w:val="22"/>
          <w:sz w:val="22"/>
          <w:szCs w:val="22"/>
          <w:lang w:val="en-GB"/>
        </w:rPr>
        <w:t xml:space="preserve">As set out above, the determination of the submission rate of fourth national reports in the present document was based on the number of fourth national reports received by 15 January 2020. In order to facilitate a correct comparison of the submission rate of fourth national reports with </w:t>
      </w:r>
      <w:r w:rsidR="00C46DCA" w:rsidRPr="00FF018F">
        <w:rPr>
          <w:snapToGrid w:val="0"/>
          <w:kern w:val="22"/>
          <w:sz w:val="22"/>
          <w:szCs w:val="22"/>
          <w:lang w:val="en-GB"/>
        </w:rPr>
        <w:t xml:space="preserve">the </w:t>
      </w:r>
      <w:r w:rsidRPr="00FF018F">
        <w:rPr>
          <w:snapToGrid w:val="0"/>
          <w:kern w:val="22"/>
          <w:sz w:val="22"/>
          <w:szCs w:val="22"/>
          <w:lang w:val="en-GB"/>
        </w:rPr>
        <w:t>submission rates of previous national reports, th</w:t>
      </w:r>
      <w:r w:rsidR="00525824" w:rsidRPr="00FF018F">
        <w:rPr>
          <w:snapToGrid w:val="0"/>
          <w:kern w:val="22"/>
          <w:sz w:val="22"/>
          <w:szCs w:val="22"/>
          <w:lang w:val="en-GB"/>
        </w:rPr>
        <w:t>e</w:t>
      </w:r>
      <w:r w:rsidRPr="00FF018F">
        <w:rPr>
          <w:snapToGrid w:val="0"/>
          <w:kern w:val="22"/>
          <w:sz w:val="22"/>
          <w:szCs w:val="22"/>
          <w:lang w:val="en-GB"/>
        </w:rPr>
        <w:t xml:space="preserve"> </w:t>
      </w:r>
      <w:r w:rsidR="00525824" w:rsidRPr="00FF018F">
        <w:rPr>
          <w:snapToGrid w:val="0"/>
          <w:kern w:val="22"/>
          <w:sz w:val="22"/>
          <w:szCs w:val="22"/>
          <w:lang w:val="en-GB"/>
        </w:rPr>
        <w:t xml:space="preserve">analysis that follows </w:t>
      </w:r>
      <w:r w:rsidR="006543D2" w:rsidRPr="00FF018F">
        <w:rPr>
          <w:snapToGrid w:val="0"/>
          <w:kern w:val="22"/>
          <w:sz w:val="22"/>
          <w:szCs w:val="22"/>
          <w:lang w:val="en-GB"/>
        </w:rPr>
        <w:t>is</w:t>
      </w:r>
      <w:r w:rsidRPr="00FF018F">
        <w:rPr>
          <w:snapToGrid w:val="0"/>
          <w:kern w:val="22"/>
          <w:sz w:val="22"/>
          <w:szCs w:val="22"/>
          <w:lang w:val="en-GB"/>
        </w:rPr>
        <w:t xml:space="preserve"> based on the number of national reports received at a similar point in time following the submission deadline of the respective national report.</w:t>
      </w:r>
      <w:r w:rsidRPr="00FF018F">
        <w:rPr>
          <w:rStyle w:val="FootnoteReference"/>
          <w:rFonts w:eastAsiaTheme="majorEastAsia"/>
          <w:snapToGrid w:val="0"/>
          <w:kern w:val="22"/>
          <w:sz w:val="22"/>
          <w:szCs w:val="22"/>
          <w:u w:val="none"/>
          <w:vertAlign w:val="superscript"/>
          <w:lang w:val="en-GB" w:eastAsia="en-US"/>
        </w:rPr>
        <w:footnoteReference w:id="11"/>
      </w:r>
    </w:p>
    <w:p w14:paraId="3EDC0897" w14:textId="029E7264" w:rsidR="003B71B5" w:rsidRPr="00FF018F" w:rsidRDefault="00276F0D" w:rsidP="008159AD">
      <w:pPr>
        <w:pStyle w:val="Heading2"/>
        <w:numPr>
          <w:ilvl w:val="0"/>
          <w:numId w:val="26"/>
        </w:numPr>
        <w:suppressLineNumbers/>
        <w:suppressAutoHyphens/>
        <w:rPr>
          <w:snapToGrid w:val="0"/>
          <w:kern w:val="22"/>
          <w:szCs w:val="22"/>
        </w:rPr>
      </w:pPr>
      <w:r w:rsidRPr="00FF018F">
        <w:rPr>
          <w:snapToGrid w:val="0"/>
          <w:kern w:val="22"/>
          <w:szCs w:val="22"/>
        </w:rPr>
        <w:t>T</w:t>
      </w:r>
      <w:r w:rsidR="003B71B5" w:rsidRPr="00FF018F">
        <w:rPr>
          <w:snapToGrid w:val="0"/>
          <w:kern w:val="22"/>
          <w:szCs w:val="22"/>
        </w:rPr>
        <w:t>hird national reports</w:t>
      </w:r>
    </w:p>
    <w:p w14:paraId="016C25D9" w14:textId="64B025BC"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Third national reports were due on 31 October 2015. By </w:t>
      </w:r>
      <w:r w:rsidR="0064081A" w:rsidRPr="00FF018F">
        <w:rPr>
          <w:snapToGrid w:val="0"/>
          <w:kern w:val="22"/>
          <w:sz w:val="22"/>
          <w:szCs w:val="22"/>
          <w:lang w:val="en-GB"/>
        </w:rPr>
        <w:t xml:space="preserve">31 December 2015, </w:t>
      </w:r>
      <w:r w:rsidRPr="00FF018F">
        <w:rPr>
          <w:snapToGrid w:val="0"/>
          <w:kern w:val="22"/>
          <w:sz w:val="22"/>
          <w:szCs w:val="22"/>
          <w:lang w:val="en-GB"/>
        </w:rPr>
        <w:t>105 Parties had submitted their third national report out of 170 Parties to the Protocol that had the obligation to do so, which constituted a reporting rate of 62</w:t>
      </w:r>
      <w:r w:rsidR="005B5031" w:rsidRPr="00FF018F">
        <w:rPr>
          <w:snapToGrid w:val="0"/>
          <w:kern w:val="22"/>
          <w:sz w:val="22"/>
          <w:szCs w:val="22"/>
          <w:lang w:val="en-GB"/>
        </w:rPr>
        <w:t xml:space="preserve"> per cent.</w:t>
      </w:r>
      <w:r w:rsidR="005B5031" w:rsidRPr="00FF018F">
        <w:rPr>
          <w:rStyle w:val="FootnoteReference"/>
          <w:rFonts w:eastAsiaTheme="majorEastAsia"/>
          <w:snapToGrid w:val="0"/>
          <w:kern w:val="22"/>
          <w:sz w:val="22"/>
          <w:szCs w:val="22"/>
          <w:u w:val="none"/>
          <w:vertAlign w:val="superscript"/>
          <w:lang w:val="en-GB" w:eastAsia="en-US"/>
        </w:rPr>
        <w:footnoteReference w:id="12"/>
      </w:r>
      <w:r w:rsidR="005B5031" w:rsidRPr="00FF018F">
        <w:rPr>
          <w:snapToGrid w:val="0"/>
          <w:kern w:val="22"/>
          <w:sz w:val="22"/>
          <w:szCs w:val="22"/>
          <w:lang w:val="en-GB"/>
        </w:rPr>
        <w:t xml:space="preserve"> </w:t>
      </w:r>
      <w:r w:rsidRPr="00FF018F">
        <w:rPr>
          <w:snapToGrid w:val="0"/>
          <w:kern w:val="22"/>
          <w:sz w:val="22"/>
          <w:szCs w:val="22"/>
          <w:lang w:val="en-GB"/>
        </w:rPr>
        <w:t>A regional breakdown of third national reports received by 31</w:t>
      </w:r>
      <w:r w:rsidR="00EC7FF4" w:rsidRPr="00FF018F">
        <w:rPr>
          <w:snapToGrid w:val="0"/>
          <w:kern w:val="22"/>
          <w:sz w:val="22"/>
          <w:szCs w:val="22"/>
          <w:lang w:val="en-GB"/>
        </w:rPr>
        <w:t> </w:t>
      </w:r>
      <w:r w:rsidRPr="00FF018F">
        <w:rPr>
          <w:snapToGrid w:val="0"/>
          <w:kern w:val="22"/>
          <w:sz w:val="22"/>
          <w:szCs w:val="22"/>
          <w:lang w:val="en-GB"/>
        </w:rPr>
        <w:t xml:space="preserve">December 2015 is provided in </w:t>
      </w:r>
      <w:r w:rsidR="00B23724" w:rsidRPr="00FF018F">
        <w:rPr>
          <w:snapToGrid w:val="0"/>
          <w:kern w:val="22"/>
          <w:sz w:val="22"/>
          <w:szCs w:val="22"/>
          <w:lang w:val="en-GB"/>
        </w:rPr>
        <w:t>table </w:t>
      </w:r>
      <w:r w:rsidRPr="00FF018F">
        <w:rPr>
          <w:snapToGrid w:val="0"/>
          <w:kern w:val="22"/>
          <w:sz w:val="22"/>
          <w:szCs w:val="22"/>
          <w:lang w:val="en-GB"/>
        </w:rPr>
        <w:t>2.</w:t>
      </w:r>
    </w:p>
    <w:p w14:paraId="2CF49AFF" w14:textId="482D00D7" w:rsidR="003B71B5" w:rsidRPr="00FF018F" w:rsidRDefault="00276F0D" w:rsidP="008159AD">
      <w:pPr>
        <w:pStyle w:val="Para10"/>
        <w:keepNext/>
        <w:suppressLineNumbers/>
        <w:tabs>
          <w:tab w:val="clear" w:pos="644"/>
        </w:tabs>
        <w:suppressAutoHyphens/>
        <w:spacing w:before="120"/>
        <w:ind w:left="0"/>
        <w:rPr>
          <w:b/>
          <w:bCs/>
          <w:snapToGrid w:val="0"/>
          <w:kern w:val="22"/>
          <w:sz w:val="22"/>
          <w:szCs w:val="22"/>
          <w:lang w:val="en-GB"/>
        </w:rPr>
      </w:pPr>
      <w:r w:rsidRPr="00FF018F">
        <w:rPr>
          <w:b/>
          <w:bCs/>
          <w:snapToGrid w:val="0"/>
          <w:kern w:val="22"/>
          <w:sz w:val="22"/>
          <w:szCs w:val="22"/>
          <w:lang w:val="en-GB"/>
        </w:rPr>
        <w:lastRenderedPageBreak/>
        <w:t xml:space="preserve">Table </w:t>
      </w:r>
      <w:r w:rsidR="003B71B5" w:rsidRPr="00FF018F">
        <w:rPr>
          <w:b/>
          <w:bCs/>
          <w:snapToGrid w:val="0"/>
          <w:kern w:val="22"/>
          <w:sz w:val="22"/>
          <w:szCs w:val="22"/>
          <w:lang w:val="en-GB"/>
        </w:rPr>
        <w:t>2. Regional breakdown of third national reports received by 31 December 2015</w:t>
      </w:r>
    </w:p>
    <w:p w14:paraId="3EEB0613" w14:textId="77777777" w:rsidR="003B71B5" w:rsidRPr="00FF018F" w:rsidRDefault="003B71B5" w:rsidP="008159AD">
      <w:pPr>
        <w:pStyle w:val="Para10"/>
        <w:keepNext/>
        <w:suppressLineNumbers/>
        <w:tabs>
          <w:tab w:val="clear" w:pos="644"/>
        </w:tabs>
        <w:suppressAutoHyphens/>
        <w:ind w:left="0"/>
        <w:rPr>
          <w:snapToGrid w:val="0"/>
          <w:kern w:val="22"/>
          <w:sz w:val="22"/>
          <w:szCs w:val="22"/>
          <w:lang w:val="en-GB"/>
        </w:rPr>
      </w:pPr>
    </w:p>
    <w:tbl>
      <w:tblPr>
        <w:tblStyle w:val="TableGrid"/>
        <w:tblW w:w="9565" w:type="dxa"/>
        <w:jc w:val="center"/>
        <w:tblLook w:val="04A0" w:firstRow="1" w:lastRow="0" w:firstColumn="1" w:lastColumn="0" w:noHBand="0" w:noVBand="1"/>
      </w:tblPr>
      <w:tblGrid>
        <w:gridCol w:w="2972"/>
        <w:gridCol w:w="3402"/>
        <w:gridCol w:w="3191"/>
      </w:tblGrid>
      <w:tr w:rsidR="00AB0708" w:rsidRPr="00FF018F" w14:paraId="49B7AE31" w14:textId="77777777" w:rsidTr="005B3E1E">
        <w:trPr>
          <w:cantSplit/>
          <w:jc w:val="center"/>
        </w:trPr>
        <w:tc>
          <w:tcPr>
            <w:tcW w:w="2972" w:type="dxa"/>
            <w:shd w:val="pct15" w:color="EEECE1" w:themeColor="background2" w:fill="auto"/>
            <w:vAlign w:val="center"/>
          </w:tcPr>
          <w:p w14:paraId="5954D949" w14:textId="01860463" w:rsidR="003B71B5" w:rsidRPr="00FF018F" w:rsidRDefault="003B71B5" w:rsidP="008159AD">
            <w:pPr>
              <w:pStyle w:val="Para10"/>
              <w:keepNext/>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 xml:space="preserve">Regional </w:t>
            </w:r>
            <w:r w:rsidR="00BB1BC0" w:rsidRPr="00FF018F">
              <w:rPr>
                <w:i/>
                <w:iCs/>
                <w:snapToGrid w:val="0"/>
                <w:kern w:val="22"/>
                <w:sz w:val="22"/>
                <w:szCs w:val="22"/>
                <w:lang w:val="en-GB"/>
              </w:rPr>
              <w:t>g</w:t>
            </w:r>
            <w:r w:rsidRPr="00FF018F">
              <w:rPr>
                <w:i/>
                <w:iCs/>
                <w:snapToGrid w:val="0"/>
                <w:kern w:val="22"/>
                <w:sz w:val="22"/>
                <w:szCs w:val="22"/>
                <w:lang w:val="en-GB"/>
              </w:rPr>
              <w:t>roups</w:t>
            </w:r>
          </w:p>
        </w:tc>
        <w:tc>
          <w:tcPr>
            <w:tcW w:w="3402" w:type="dxa"/>
            <w:shd w:val="pct15" w:color="EEECE1" w:themeColor="background2" w:fill="auto"/>
            <w:vAlign w:val="center"/>
          </w:tcPr>
          <w:p w14:paraId="2720A787" w14:textId="291D6FAD" w:rsidR="003B71B5" w:rsidRPr="00FF018F" w:rsidRDefault="003B71B5" w:rsidP="008159AD">
            <w:pPr>
              <w:pStyle w:val="Para10"/>
              <w:keepNext/>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Number of Parties that submitted a complete third national report</w:t>
            </w:r>
            <w:r w:rsidR="002616C3" w:rsidRPr="00FF018F">
              <w:rPr>
                <w:i/>
                <w:iCs/>
                <w:snapToGrid w:val="0"/>
                <w:kern w:val="22"/>
                <w:sz w:val="22"/>
                <w:szCs w:val="22"/>
                <w:lang w:val="en-GB"/>
              </w:rPr>
              <w:br/>
            </w:r>
            <w:r w:rsidRPr="00FF018F">
              <w:rPr>
                <w:i/>
                <w:iCs/>
                <w:snapToGrid w:val="0"/>
                <w:kern w:val="22"/>
                <w:sz w:val="22"/>
                <w:szCs w:val="22"/>
                <w:lang w:val="en-GB"/>
              </w:rPr>
              <w:t>(</w:t>
            </w:r>
            <w:r w:rsidR="006A0B89" w:rsidRPr="00FF018F">
              <w:rPr>
                <w:i/>
                <w:iCs/>
                <w:snapToGrid w:val="0"/>
                <w:kern w:val="22"/>
                <w:sz w:val="22"/>
                <w:szCs w:val="22"/>
                <w:lang w:val="en-GB"/>
              </w:rPr>
              <w:t>T</w:t>
            </w:r>
            <w:r w:rsidRPr="00FF018F">
              <w:rPr>
                <w:i/>
                <w:iCs/>
                <w:snapToGrid w:val="0"/>
                <w:kern w:val="22"/>
                <w:sz w:val="22"/>
                <w:szCs w:val="22"/>
                <w:lang w:val="en-GB"/>
              </w:rPr>
              <w:t>otal number of Parties for each region)</w:t>
            </w:r>
          </w:p>
        </w:tc>
        <w:tc>
          <w:tcPr>
            <w:tcW w:w="3191" w:type="dxa"/>
            <w:shd w:val="pct15" w:color="EEECE1" w:themeColor="background2" w:fill="auto"/>
            <w:vAlign w:val="center"/>
          </w:tcPr>
          <w:p w14:paraId="2AC7B000" w14:textId="104FE613" w:rsidR="006A0B89" w:rsidRPr="00FF018F" w:rsidRDefault="003B71B5" w:rsidP="008159AD">
            <w:pPr>
              <w:pStyle w:val="Para10"/>
              <w:keepNext/>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Regional submission rate</w:t>
            </w:r>
            <w:r w:rsidR="002616C3" w:rsidRPr="00FF018F">
              <w:rPr>
                <w:i/>
                <w:iCs/>
                <w:snapToGrid w:val="0"/>
                <w:kern w:val="22"/>
                <w:sz w:val="22"/>
                <w:szCs w:val="22"/>
                <w:lang w:val="en-GB"/>
              </w:rPr>
              <w:br/>
            </w:r>
            <w:r w:rsidR="006A0B89" w:rsidRPr="00FF018F">
              <w:rPr>
                <w:i/>
                <w:iCs/>
                <w:snapToGrid w:val="0"/>
                <w:kern w:val="22"/>
                <w:sz w:val="22"/>
                <w:szCs w:val="22"/>
                <w:lang w:val="en-GB"/>
              </w:rPr>
              <w:t>(Percentage)</w:t>
            </w:r>
          </w:p>
        </w:tc>
      </w:tr>
      <w:tr w:rsidR="0077089D" w:rsidRPr="00FF018F" w14:paraId="021F2912" w14:textId="77777777" w:rsidTr="006A0B89">
        <w:trPr>
          <w:cantSplit/>
          <w:jc w:val="center"/>
        </w:trPr>
        <w:tc>
          <w:tcPr>
            <w:tcW w:w="2972" w:type="dxa"/>
          </w:tcPr>
          <w:p w14:paraId="26A25E80"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p>
        </w:tc>
        <w:tc>
          <w:tcPr>
            <w:tcW w:w="3402" w:type="dxa"/>
          </w:tcPr>
          <w:p w14:paraId="3E102007"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p>
        </w:tc>
        <w:tc>
          <w:tcPr>
            <w:tcW w:w="3191" w:type="dxa"/>
          </w:tcPr>
          <w:p w14:paraId="0BA989FB"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p>
        </w:tc>
      </w:tr>
      <w:tr w:rsidR="006A0B89" w:rsidRPr="00FF018F" w14:paraId="77382024" w14:textId="77777777" w:rsidTr="006A0B89">
        <w:trPr>
          <w:cantSplit/>
          <w:jc w:val="center"/>
        </w:trPr>
        <w:tc>
          <w:tcPr>
            <w:tcW w:w="2972" w:type="dxa"/>
            <w:vAlign w:val="center"/>
          </w:tcPr>
          <w:p w14:paraId="00774493"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Africa</w:t>
            </w:r>
          </w:p>
        </w:tc>
        <w:tc>
          <w:tcPr>
            <w:tcW w:w="3402" w:type="dxa"/>
            <w:vAlign w:val="center"/>
          </w:tcPr>
          <w:p w14:paraId="7A8E753F" w14:textId="6951FC20" w:rsidR="003B71B5" w:rsidRPr="00FF018F" w:rsidRDefault="003B71B5" w:rsidP="008159AD">
            <w:pPr>
              <w:pStyle w:val="Para10"/>
              <w:keepNext/>
              <w:suppressLineNumbers/>
              <w:tabs>
                <w:tab w:val="clear" w:pos="644"/>
              </w:tabs>
              <w:suppressAutoHyphens/>
              <w:ind w:left="1395"/>
              <w:jc w:val="both"/>
              <w:rPr>
                <w:snapToGrid w:val="0"/>
                <w:kern w:val="22"/>
                <w:sz w:val="22"/>
                <w:szCs w:val="22"/>
                <w:lang w:val="en-GB"/>
              </w:rPr>
            </w:pPr>
            <w:r w:rsidRPr="00FF018F">
              <w:rPr>
                <w:snapToGrid w:val="0"/>
                <w:kern w:val="22"/>
                <w:sz w:val="22"/>
                <w:szCs w:val="22"/>
                <w:lang w:val="en-GB"/>
              </w:rPr>
              <w:t>33 (</w:t>
            </w:r>
            <w:r w:rsidRPr="00FF018F">
              <w:rPr>
                <w:i/>
                <w:snapToGrid w:val="0"/>
                <w:kern w:val="22"/>
                <w:sz w:val="22"/>
                <w:szCs w:val="22"/>
                <w:lang w:val="en-GB"/>
              </w:rPr>
              <w:t>49</w:t>
            </w:r>
            <w:r w:rsidRPr="00FF018F">
              <w:rPr>
                <w:snapToGrid w:val="0"/>
                <w:kern w:val="22"/>
                <w:sz w:val="22"/>
                <w:szCs w:val="22"/>
                <w:lang w:val="en-GB"/>
              </w:rPr>
              <w:t>)</w:t>
            </w:r>
          </w:p>
        </w:tc>
        <w:tc>
          <w:tcPr>
            <w:tcW w:w="3191" w:type="dxa"/>
            <w:vAlign w:val="center"/>
          </w:tcPr>
          <w:p w14:paraId="4634EB6A" w14:textId="77777777" w:rsidR="003B71B5" w:rsidRPr="00FF018F" w:rsidRDefault="003B71B5" w:rsidP="008159AD">
            <w:pPr>
              <w:pStyle w:val="Para10"/>
              <w:keepNext/>
              <w:suppressLineNumbers/>
              <w:tabs>
                <w:tab w:val="clear" w:pos="644"/>
              </w:tabs>
              <w:suppressAutoHyphens/>
              <w:ind w:left="1311"/>
              <w:jc w:val="both"/>
              <w:rPr>
                <w:snapToGrid w:val="0"/>
                <w:kern w:val="22"/>
                <w:sz w:val="22"/>
                <w:szCs w:val="22"/>
                <w:lang w:val="en-GB"/>
              </w:rPr>
            </w:pPr>
            <w:r w:rsidRPr="00FF018F">
              <w:rPr>
                <w:snapToGrid w:val="0"/>
                <w:kern w:val="22"/>
                <w:sz w:val="22"/>
                <w:szCs w:val="22"/>
                <w:lang w:val="en-GB"/>
              </w:rPr>
              <w:t>67%</w:t>
            </w:r>
          </w:p>
        </w:tc>
      </w:tr>
      <w:tr w:rsidR="006A0B89" w:rsidRPr="00FF018F" w14:paraId="7C861CC0" w14:textId="77777777" w:rsidTr="006A0B89">
        <w:trPr>
          <w:cantSplit/>
          <w:jc w:val="center"/>
        </w:trPr>
        <w:tc>
          <w:tcPr>
            <w:tcW w:w="2972" w:type="dxa"/>
            <w:vAlign w:val="center"/>
          </w:tcPr>
          <w:p w14:paraId="3F35EEBA"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Asia and the Pacific</w:t>
            </w:r>
          </w:p>
        </w:tc>
        <w:tc>
          <w:tcPr>
            <w:tcW w:w="3402" w:type="dxa"/>
            <w:vAlign w:val="center"/>
          </w:tcPr>
          <w:p w14:paraId="131433E8" w14:textId="77777777" w:rsidR="003B71B5" w:rsidRPr="00FF018F" w:rsidRDefault="003B71B5" w:rsidP="008159AD">
            <w:pPr>
              <w:pStyle w:val="Para10"/>
              <w:keepNext/>
              <w:suppressLineNumbers/>
              <w:tabs>
                <w:tab w:val="clear" w:pos="644"/>
              </w:tabs>
              <w:suppressAutoHyphens/>
              <w:ind w:left="1395"/>
              <w:jc w:val="both"/>
              <w:rPr>
                <w:snapToGrid w:val="0"/>
                <w:kern w:val="22"/>
                <w:sz w:val="22"/>
                <w:szCs w:val="22"/>
                <w:lang w:val="en-GB"/>
              </w:rPr>
            </w:pPr>
            <w:r w:rsidRPr="00FF018F">
              <w:rPr>
                <w:snapToGrid w:val="0"/>
                <w:kern w:val="22"/>
                <w:sz w:val="22"/>
                <w:szCs w:val="22"/>
                <w:lang w:val="en-GB"/>
              </w:rPr>
              <w:t>22 (</w:t>
            </w:r>
            <w:r w:rsidRPr="00FF018F">
              <w:rPr>
                <w:i/>
                <w:snapToGrid w:val="0"/>
                <w:kern w:val="22"/>
                <w:sz w:val="22"/>
                <w:szCs w:val="22"/>
                <w:lang w:val="en-GB"/>
              </w:rPr>
              <w:t>47</w:t>
            </w:r>
            <w:r w:rsidRPr="00FF018F">
              <w:rPr>
                <w:snapToGrid w:val="0"/>
                <w:kern w:val="22"/>
                <w:sz w:val="22"/>
                <w:szCs w:val="22"/>
                <w:lang w:val="en-GB"/>
              </w:rPr>
              <w:t>)</w:t>
            </w:r>
          </w:p>
        </w:tc>
        <w:tc>
          <w:tcPr>
            <w:tcW w:w="3191" w:type="dxa"/>
            <w:vAlign w:val="center"/>
          </w:tcPr>
          <w:p w14:paraId="0918190F" w14:textId="77777777" w:rsidR="003B71B5" w:rsidRPr="00FF018F" w:rsidRDefault="003B71B5" w:rsidP="008159AD">
            <w:pPr>
              <w:pStyle w:val="Para10"/>
              <w:keepNext/>
              <w:suppressLineNumbers/>
              <w:tabs>
                <w:tab w:val="clear" w:pos="644"/>
              </w:tabs>
              <w:suppressAutoHyphens/>
              <w:ind w:left="1311"/>
              <w:jc w:val="both"/>
              <w:rPr>
                <w:snapToGrid w:val="0"/>
                <w:kern w:val="22"/>
                <w:sz w:val="22"/>
                <w:szCs w:val="22"/>
                <w:lang w:val="en-GB"/>
              </w:rPr>
            </w:pPr>
            <w:r w:rsidRPr="00FF018F">
              <w:rPr>
                <w:snapToGrid w:val="0"/>
                <w:kern w:val="22"/>
                <w:sz w:val="22"/>
                <w:szCs w:val="22"/>
                <w:lang w:val="en-GB"/>
              </w:rPr>
              <w:t>47%</w:t>
            </w:r>
          </w:p>
        </w:tc>
      </w:tr>
      <w:tr w:rsidR="006A0B89" w:rsidRPr="00FF018F" w14:paraId="15BB02C5" w14:textId="77777777" w:rsidTr="006A0B89">
        <w:trPr>
          <w:cantSplit/>
          <w:jc w:val="center"/>
        </w:trPr>
        <w:tc>
          <w:tcPr>
            <w:tcW w:w="2972" w:type="dxa"/>
            <w:vAlign w:val="center"/>
          </w:tcPr>
          <w:p w14:paraId="4009FCD1" w14:textId="094249A2"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Central and Eastern Europe</w:t>
            </w:r>
          </w:p>
        </w:tc>
        <w:tc>
          <w:tcPr>
            <w:tcW w:w="3402" w:type="dxa"/>
            <w:vAlign w:val="center"/>
          </w:tcPr>
          <w:p w14:paraId="5A34BC8F" w14:textId="77777777" w:rsidR="003B71B5" w:rsidRPr="00FF018F" w:rsidRDefault="003B71B5" w:rsidP="008159AD">
            <w:pPr>
              <w:pStyle w:val="Para10"/>
              <w:keepNext/>
              <w:suppressLineNumbers/>
              <w:tabs>
                <w:tab w:val="clear" w:pos="644"/>
              </w:tabs>
              <w:suppressAutoHyphens/>
              <w:ind w:left="1395"/>
              <w:jc w:val="both"/>
              <w:rPr>
                <w:snapToGrid w:val="0"/>
                <w:kern w:val="22"/>
                <w:sz w:val="22"/>
                <w:szCs w:val="22"/>
                <w:lang w:val="en-GB"/>
              </w:rPr>
            </w:pPr>
            <w:r w:rsidRPr="00FF018F">
              <w:rPr>
                <w:snapToGrid w:val="0"/>
                <w:kern w:val="22"/>
                <w:sz w:val="22"/>
                <w:szCs w:val="22"/>
                <w:lang w:val="en-GB"/>
              </w:rPr>
              <w:t>17 (</w:t>
            </w:r>
            <w:r w:rsidRPr="00FF018F">
              <w:rPr>
                <w:i/>
                <w:snapToGrid w:val="0"/>
                <w:kern w:val="22"/>
                <w:sz w:val="22"/>
                <w:szCs w:val="22"/>
                <w:lang w:val="en-GB"/>
              </w:rPr>
              <w:t>22</w:t>
            </w:r>
            <w:r w:rsidRPr="00FF018F">
              <w:rPr>
                <w:snapToGrid w:val="0"/>
                <w:kern w:val="22"/>
                <w:sz w:val="22"/>
                <w:szCs w:val="22"/>
                <w:lang w:val="en-GB"/>
              </w:rPr>
              <w:t>)</w:t>
            </w:r>
          </w:p>
        </w:tc>
        <w:tc>
          <w:tcPr>
            <w:tcW w:w="3191" w:type="dxa"/>
            <w:vAlign w:val="center"/>
          </w:tcPr>
          <w:p w14:paraId="3432A399" w14:textId="77777777" w:rsidR="003B71B5" w:rsidRPr="00FF018F" w:rsidRDefault="003B71B5" w:rsidP="008159AD">
            <w:pPr>
              <w:pStyle w:val="Para10"/>
              <w:keepNext/>
              <w:suppressLineNumbers/>
              <w:tabs>
                <w:tab w:val="clear" w:pos="644"/>
              </w:tabs>
              <w:suppressAutoHyphens/>
              <w:ind w:left="1311"/>
              <w:jc w:val="both"/>
              <w:rPr>
                <w:snapToGrid w:val="0"/>
                <w:kern w:val="22"/>
                <w:sz w:val="22"/>
                <w:szCs w:val="22"/>
                <w:lang w:val="en-GB"/>
              </w:rPr>
            </w:pPr>
            <w:r w:rsidRPr="00FF018F">
              <w:rPr>
                <w:snapToGrid w:val="0"/>
                <w:kern w:val="22"/>
                <w:sz w:val="22"/>
                <w:szCs w:val="22"/>
                <w:lang w:val="en-GB"/>
              </w:rPr>
              <w:t>77%</w:t>
            </w:r>
          </w:p>
        </w:tc>
      </w:tr>
      <w:tr w:rsidR="006A0B89" w:rsidRPr="00FF018F" w14:paraId="3E4C4446" w14:textId="77777777" w:rsidTr="006A0B89">
        <w:trPr>
          <w:cantSplit/>
          <w:jc w:val="center"/>
        </w:trPr>
        <w:tc>
          <w:tcPr>
            <w:tcW w:w="2972" w:type="dxa"/>
            <w:vAlign w:val="center"/>
          </w:tcPr>
          <w:p w14:paraId="4265FF68" w14:textId="4F0F7A28"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Latin America and Caribbean</w:t>
            </w:r>
          </w:p>
        </w:tc>
        <w:tc>
          <w:tcPr>
            <w:tcW w:w="3402" w:type="dxa"/>
            <w:vAlign w:val="center"/>
          </w:tcPr>
          <w:p w14:paraId="5E040954" w14:textId="77777777" w:rsidR="003B71B5" w:rsidRPr="00FF018F" w:rsidRDefault="003B71B5" w:rsidP="008159AD">
            <w:pPr>
              <w:pStyle w:val="Para10"/>
              <w:keepNext/>
              <w:suppressLineNumbers/>
              <w:tabs>
                <w:tab w:val="clear" w:pos="644"/>
              </w:tabs>
              <w:suppressAutoHyphens/>
              <w:ind w:left="1395"/>
              <w:jc w:val="both"/>
              <w:rPr>
                <w:snapToGrid w:val="0"/>
                <w:kern w:val="22"/>
                <w:sz w:val="22"/>
                <w:szCs w:val="22"/>
                <w:lang w:val="en-GB"/>
              </w:rPr>
            </w:pPr>
            <w:r w:rsidRPr="00FF018F">
              <w:rPr>
                <w:snapToGrid w:val="0"/>
                <w:kern w:val="22"/>
                <w:sz w:val="22"/>
                <w:szCs w:val="22"/>
                <w:lang w:val="en-GB"/>
              </w:rPr>
              <w:t>16 (</w:t>
            </w:r>
            <w:r w:rsidRPr="00FF018F">
              <w:rPr>
                <w:i/>
                <w:snapToGrid w:val="0"/>
                <w:kern w:val="22"/>
                <w:sz w:val="22"/>
                <w:szCs w:val="22"/>
                <w:lang w:val="en-GB"/>
              </w:rPr>
              <w:t>31</w:t>
            </w:r>
            <w:r w:rsidRPr="00FF018F">
              <w:rPr>
                <w:snapToGrid w:val="0"/>
                <w:kern w:val="22"/>
                <w:sz w:val="22"/>
                <w:szCs w:val="22"/>
                <w:lang w:val="en-GB"/>
              </w:rPr>
              <w:t>)</w:t>
            </w:r>
          </w:p>
        </w:tc>
        <w:tc>
          <w:tcPr>
            <w:tcW w:w="3191" w:type="dxa"/>
            <w:vAlign w:val="center"/>
          </w:tcPr>
          <w:p w14:paraId="5BE6BF78" w14:textId="77777777" w:rsidR="003B71B5" w:rsidRPr="00FF018F" w:rsidRDefault="003B71B5" w:rsidP="008159AD">
            <w:pPr>
              <w:pStyle w:val="Para10"/>
              <w:keepNext/>
              <w:suppressLineNumbers/>
              <w:tabs>
                <w:tab w:val="clear" w:pos="644"/>
              </w:tabs>
              <w:suppressAutoHyphens/>
              <w:ind w:left="1311"/>
              <w:jc w:val="both"/>
              <w:rPr>
                <w:snapToGrid w:val="0"/>
                <w:kern w:val="22"/>
                <w:sz w:val="22"/>
                <w:szCs w:val="22"/>
                <w:lang w:val="en-GB"/>
              </w:rPr>
            </w:pPr>
            <w:r w:rsidRPr="00FF018F">
              <w:rPr>
                <w:snapToGrid w:val="0"/>
                <w:kern w:val="22"/>
                <w:sz w:val="22"/>
                <w:szCs w:val="22"/>
                <w:lang w:val="en-GB"/>
              </w:rPr>
              <w:t>52%</w:t>
            </w:r>
          </w:p>
        </w:tc>
      </w:tr>
      <w:tr w:rsidR="006A0B89" w:rsidRPr="00FF018F" w14:paraId="6BE7F69E" w14:textId="77777777" w:rsidTr="006A0B89">
        <w:trPr>
          <w:cantSplit/>
          <w:jc w:val="center"/>
        </w:trPr>
        <w:tc>
          <w:tcPr>
            <w:tcW w:w="2972" w:type="dxa"/>
            <w:vAlign w:val="center"/>
          </w:tcPr>
          <w:p w14:paraId="0EE3F791" w14:textId="1FCE341D"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Western European and Others</w:t>
            </w:r>
          </w:p>
        </w:tc>
        <w:tc>
          <w:tcPr>
            <w:tcW w:w="3402" w:type="dxa"/>
            <w:vAlign w:val="center"/>
          </w:tcPr>
          <w:p w14:paraId="5A9D29C0" w14:textId="77777777" w:rsidR="003B71B5" w:rsidRPr="00FF018F" w:rsidRDefault="003B71B5" w:rsidP="008159AD">
            <w:pPr>
              <w:pStyle w:val="Para10"/>
              <w:suppressLineNumbers/>
              <w:tabs>
                <w:tab w:val="clear" w:pos="644"/>
              </w:tabs>
              <w:suppressAutoHyphens/>
              <w:ind w:left="1395"/>
              <w:jc w:val="both"/>
              <w:rPr>
                <w:snapToGrid w:val="0"/>
                <w:kern w:val="22"/>
                <w:sz w:val="22"/>
                <w:szCs w:val="22"/>
                <w:lang w:val="en-GB"/>
              </w:rPr>
            </w:pPr>
            <w:r w:rsidRPr="00FF018F">
              <w:rPr>
                <w:snapToGrid w:val="0"/>
                <w:kern w:val="22"/>
                <w:sz w:val="22"/>
                <w:szCs w:val="22"/>
                <w:lang w:val="en-GB"/>
              </w:rPr>
              <w:t>17 (</w:t>
            </w:r>
            <w:r w:rsidRPr="00FF018F">
              <w:rPr>
                <w:i/>
                <w:snapToGrid w:val="0"/>
                <w:kern w:val="22"/>
                <w:sz w:val="22"/>
                <w:szCs w:val="22"/>
                <w:lang w:val="en-GB"/>
              </w:rPr>
              <w:t>21</w:t>
            </w:r>
            <w:r w:rsidRPr="00FF018F">
              <w:rPr>
                <w:snapToGrid w:val="0"/>
                <w:kern w:val="22"/>
                <w:sz w:val="22"/>
                <w:szCs w:val="22"/>
                <w:lang w:val="en-GB"/>
              </w:rPr>
              <w:t>)</w:t>
            </w:r>
          </w:p>
        </w:tc>
        <w:tc>
          <w:tcPr>
            <w:tcW w:w="3191" w:type="dxa"/>
            <w:vAlign w:val="center"/>
          </w:tcPr>
          <w:p w14:paraId="5A578DCE" w14:textId="77777777" w:rsidR="003B71B5" w:rsidRPr="00FF018F" w:rsidRDefault="003B71B5" w:rsidP="008159AD">
            <w:pPr>
              <w:pStyle w:val="Para10"/>
              <w:suppressLineNumbers/>
              <w:tabs>
                <w:tab w:val="clear" w:pos="644"/>
              </w:tabs>
              <w:suppressAutoHyphens/>
              <w:ind w:left="1311"/>
              <w:jc w:val="both"/>
              <w:rPr>
                <w:snapToGrid w:val="0"/>
                <w:kern w:val="22"/>
                <w:sz w:val="22"/>
                <w:szCs w:val="22"/>
                <w:lang w:val="en-GB"/>
              </w:rPr>
            </w:pPr>
            <w:r w:rsidRPr="00FF018F">
              <w:rPr>
                <w:snapToGrid w:val="0"/>
                <w:kern w:val="22"/>
                <w:sz w:val="22"/>
                <w:szCs w:val="22"/>
                <w:lang w:val="en-GB"/>
              </w:rPr>
              <w:t>81%</w:t>
            </w:r>
          </w:p>
        </w:tc>
      </w:tr>
    </w:tbl>
    <w:p w14:paraId="3CED02FC"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p w14:paraId="4DC7C95C" w14:textId="4BBE7D60"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The documentation presented to the Committee at its thirteenth meeting furthermore indicated that, by 19 January 2016, an additional 12 incomplete national reports had been submitted to the Secretariat which</w:t>
      </w:r>
      <w:r w:rsidR="007B7F3C" w:rsidRPr="00FF018F">
        <w:rPr>
          <w:snapToGrid w:val="0"/>
          <w:kern w:val="22"/>
          <w:sz w:val="22"/>
          <w:szCs w:val="22"/>
          <w:lang w:val="en-GB"/>
        </w:rPr>
        <w:t>, pending their completion,</w:t>
      </w:r>
      <w:r w:rsidRPr="00FF018F">
        <w:rPr>
          <w:snapToGrid w:val="0"/>
          <w:kern w:val="22"/>
          <w:sz w:val="22"/>
          <w:szCs w:val="22"/>
          <w:lang w:val="en-GB"/>
        </w:rPr>
        <w:t xml:space="preserve"> had not been published through the BCH.</w:t>
      </w:r>
    </w:p>
    <w:p w14:paraId="738ABDBA" w14:textId="25B0C8AE"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At the Committee’s thirteenth meeting, </w:t>
      </w:r>
      <w:r w:rsidR="00B1008A" w:rsidRPr="00FF018F">
        <w:rPr>
          <w:snapToGrid w:val="0"/>
          <w:kern w:val="22"/>
          <w:sz w:val="22"/>
          <w:szCs w:val="22"/>
          <w:lang w:val="en-GB"/>
        </w:rPr>
        <w:t xml:space="preserve">the Secretariat provided </w:t>
      </w:r>
      <w:r w:rsidRPr="00FF018F">
        <w:rPr>
          <w:snapToGrid w:val="0"/>
          <w:kern w:val="22"/>
          <w:sz w:val="22"/>
          <w:szCs w:val="22"/>
          <w:lang w:val="en-GB"/>
        </w:rPr>
        <w:t>an oral update o</w:t>
      </w:r>
      <w:r w:rsidR="000146A1" w:rsidRPr="00FF018F">
        <w:rPr>
          <w:snapToGrid w:val="0"/>
          <w:kern w:val="22"/>
          <w:sz w:val="22"/>
          <w:szCs w:val="22"/>
          <w:lang w:val="en-GB"/>
        </w:rPr>
        <w:t>n</w:t>
      </w:r>
      <w:r w:rsidRPr="00FF018F">
        <w:rPr>
          <w:snapToGrid w:val="0"/>
          <w:kern w:val="22"/>
          <w:sz w:val="22"/>
          <w:szCs w:val="22"/>
          <w:lang w:val="en-GB"/>
        </w:rPr>
        <w:t xml:space="preserve"> the number of reports received after the date of preparation of the </w:t>
      </w:r>
      <w:r w:rsidR="00747176" w:rsidRPr="00FF018F">
        <w:rPr>
          <w:snapToGrid w:val="0"/>
          <w:kern w:val="22"/>
          <w:sz w:val="22"/>
          <w:szCs w:val="22"/>
          <w:lang w:val="en-GB"/>
        </w:rPr>
        <w:t>documentation for the meeting</w:t>
      </w:r>
      <w:r w:rsidRPr="00FF018F">
        <w:rPr>
          <w:snapToGrid w:val="0"/>
          <w:kern w:val="22"/>
          <w:sz w:val="22"/>
          <w:szCs w:val="22"/>
          <w:lang w:val="en-GB"/>
        </w:rPr>
        <w:t>. At that time</w:t>
      </w:r>
      <w:r w:rsidR="006543D2" w:rsidRPr="00FF018F">
        <w:rPr>
          <w:snapToGrid w:val="0"/>
          <w:kern w:val="22"/>
          <w:sz w:val="22"/>
          <w:szCs w:val="22"/>
          <w:lang w:val="en-GB"/>
        </w:rPr>
        <w:t xml:space="preserve"> (February 2016)</w:t>
      </w:r>
      <w:r w:rsidRPr="00FF018F">
        <w:rPr>
          <w:snapToGrid w:val="0"/>
          <w:kern w:val="22"/>
          <w:sz w:val="22"/>
          <w:szCs w:val="22"/>
          <w:lang w:val="en-GB"/>
        </w:rPr>
        <w:t>, almost four months after the submission deadline, 112 Parties had submitted their complete third national report, bringing the submission rate to 66</w:t>
      </w:r>
      <w:r w:rsidR="005B5031" w:rsidRPr="00FF018F">
        <w:rPr>
          <w:snapToGrid w:val="0"/>
          <w:kern w:val="22"/>
          <w:sz w:val="22"/>
          <w:szCs w:val="22"/>
          <w:lang w:val="en-GB"/>
        </w:rPr>
        <w:t xml:space="preserve"> per cent</w:t>
      </w:r>
      <w:r w:rsidRPr="00FF018F">
        <w:rPr>
          <w:snapToGrid w:val="0"/>
          <w:kern w:val="22"/>
          <w:sz w:val="22"/>
          <w:szCs w:val="22"/>
          <w:lang w:val="en-GB"/>
        </w:rPr>
        <w:t>.</w:t>
      </w:r>
      <w:r w:rsidRPr="00FF018F">
        <w:rPr>
          <w:rStyle w:val="FootnoteReference"/>
          <w:rFonts w:eastAsiaTheme="majorEastAsia"/>
          <w:snapToGrid w:val="0"/>
          <w:kern w:val="22"/>
          <w:sz w:val="22"/>
          <w:szCs w:val="22"/>
          <w:u w:val="none"/>
          <w:vertAlign w:val="superscript"/>
          <w:lang w:val="en-GB" w:eastAsia="en-US"/>
        </w:rPr>
        <w:footnoteReference w:id="13"/>
      </w:r>
    </w:p>
    <w:p w14:paraId="33AE9901" w14:textId="3A589B74"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Through notification 2015-59, dated 22 May 2015, the Executive Secretary announced that GEF had approved funding to support eligible Parties in the preparation of their third national report. In the documentation </w:t>
      </w:r>
      <w:r w:rsidR="001242D7" w:rsidRPr="00FF018F">
        <w:rPr>
          <w:snapToGrid w:val="0"/>
          <w:kern w:val="22"/>
          <w:sz w:val="22"/>
          <w:szCs w:val="22"/>
          <w:lang w:val="en-GB"/>
        </w:rPr>
        <w:t>issued for</w:t>
      </w:r>
      <w:r w:rsidRPr="00FF018F">
        <w:rPr>
          <w:snapToGrid w:val="0"/>
          <w:kern w:val="22"/>
          <w:sz w:val="22"/>
          <w:szCs w:val="22"/>
          <w:lang w:val="en-GB"/>
        </w:rPr>
        <w:t xml:space="preserve"> the Committee</w:t>
      </w:r>
      <w:r w:rsidR="006543D2" w:rsidRPr="00FF018F">
        <w:rPr>
          <w:snapToGrid w:val="0"/>
          <w:kern w:val="22"/>
          <w:sz w:val="22"/>
          <w:szCs w:val="22"/>
          <w:lang w:val="en-GB"/>
        </w:rPr>
        <w:t>’s</w:t>
      </w:r>
      <w:r w:rsidRPr="00FF018F">
        <w:rPr>
          <w:snapToGrid w:val="0"/>
          <w:kern w:val="22"/>
          <w:sz w:val="22"/>
          <w:szCs w:val="22"/>
          <w:lang w:val="en-GB"/>
        </w:rPr>
        <w:t xml:space="preserve"> thirteenth meeting, it was reported that</w:t>
      </w:r>
      <w:r w:rsidR="001242D7" w:rsidRPr="00FF018F">
        <w:rPr>
          <w:snapToGrid w:val="0"/>
          <w:kern w:val="22"/>
          <w:sz w:val="22"/>
          <w:szCs w:val="22"/>
          <w:lang w:val="en-GB"/>
        </w:rPr>
        <w:t>,</w:t>
      </w:r>
      <w:r w:rsidRPr="00FF018F">
        <w:rPr>
          <w:snapToGrid w:val="0"/>
          <w:kern w:val="22"/>
          <w:sz w:val="22"/>
          <w:szCs w:val="22"/>
          <w:lang w:val="en-GB"/>
        </w:rPr>
        <w:t xml:space="preserve"> by 19 January 2016, 82</w:t>
      </w:r>
      <w:r w:rsidR="00BF563E" w:rsidRPr="00FF018F">
        <w:rPr>
          <w:snapToGrid w:val="0"/>
          <w:kern w:val="22"/>
          <w:sz w:val="22"/>
          <w:szCs w:val="22"/>
          <w:lang w:val="en-GB"/>
        </w:rPr>
        <w:t> </w:t>
      </w:r>
      <w:r w:rsidRPr="00FF018F">
        <w:rPr>
          <w:snapToGrid w:val="0"/>
          <w:kern w:val="22"/>
          <w:sz w:val="22"/>
          <w:szCs w:val="22"/>
          <w:lang w:val="en-GB"/>
        </w:rPr>
        <w:t xml:space="preserve">Parties had received funding </w:t>
      </w:r>
      <w:r w:rsidR="00057B8F" w:rsidRPr="00FF018F">
        <w:rPr>
          <w:snapToGrid w:val="0"/>
          <w:kern w:val="22"/>
          <w:sz w:val="22"/>
          <w:szCs w:val="22"/>
          <w:lang w:val="en-GB"/>
        </w:rPr>
        <w:t xml:space="preserve">or were in the process of accessing funds </w:t>
      </w:r>
      <w:r w:rsidRPr="00FF018F">
        <w:rPr>
          <w:snapToGrid w:val="0"/>
          <w:kern w:val="22"/>
          <w:sz w:val="22"/>
          <w:szCs w:val="22"/>
          <w:lang w:val="en-GB"/>
        </w:rPr>
        <w:t>for the preparation of their third national report. Ultimately, a total of 68 Parties accessed GEF funding for the preparation of their third national report.</w:t>
      </w:r>
      <w:r w:rsidRPr="00FF018F">
        <w:rPr>
          <w:rStyle w:val="FootnoteReference"/>
          <w:rFonts w:eastAsiaTheme="majorEastAsia"/>
          <w:snapToGrid w:val="0"/>
          <w:kern w:val="22"/>
          <w:sz w:val="22"/>
          <w:szCs w:val="22"/>
          <w:u w:val="none"/>
          <w:vertAlign w:val="superscript"/>
          <w:lang w:val="en-GB"/>
        </w:rPr>
        <w:footnoteReference w:id="14"/>
      </w:r>
    </w:p>
    <w:p w14:paraId="7CCAB53A" w14:textId="57CF21C3"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The Committee noted </w:t>
      </w:r>
      <w:r w:rsidR="00D15B42" w:rsidRPr="00FF018F">
        <w:rPr>
          <w:snapToGrid w:val="0"/>
          <w:kern w:val="22"/>
          <w:sz w:val="22"/>
          <w:szCs w:val="22"/>
          <w:lang w:val="en-GB"/>
        </w:rPr>
        <w:t xml:space="preserve">that </w:t>
      </w:r>
      <w:r w:rsidRPr="00FF018F">
        <w:rPr>
          <w:snapToGrid w:val="0"/>
          <w:kern w:val="22"/>
          <w:sz w:val="22"/>
          <w:szCs w:val="22"/>
          <w:lang w:val="en-GB"/>
        </w:rPr>
        <w:t>administrative changes within the United Nations had created system</w:t>
      </w:r>
      <w:r w:rsidR="00583C49" w:rsidRPr="00FF018F">
        <w:rPr>
          <w:snapToGrid w:val="0"/>
          <w:kern w:val="22"/>
          <w:sz w:val="22"/>
          <w:szCs w:val="22"/>
          <w:lang w:val="en-GB"/>
        </w:rPr>
        <w:t>ic</w:t>
      </w:r>
      <w:r w:rsidRPr="00FF018F">
        <w:rPr>
          <w:snapToGrid w:val="0"/>
          <w:kern w:val="22"/>
          <w:sz w:val="22"/>
          <w:szCs w:val="22"/>
          <w:lang w:val="en-GB"/>
        </w:rPr>
        <w:t xml:space="preserve"> challenges that resulted in delays for a number of eligible Parties in accessing funding</w:t>
      </w:r>
      <w:r w:rsidR="00D5249C" w:rsidRPr="00FF018F">
        <w:rPr>
          <w:snapToGrid w:val="0"/>
          <w:kern w:val="22"/>
          <w:sz w:val="22"/>
          <w:szCs w:val="22"/>
          <w:lang w:val="en-GB"/>
        </w:rPr>
        <w:t>.</w:t>
      </w:r>
      <w:r w:rsidRPr="00FF018F">
        <w:rPr>
          <w:snapToGrid w:val="0"/>
          <w:kern w:val="22"/>
          <w:sz w:val="22"/>
          <w:szCs w:val="22"/>
          <w:lang w:val="en-GB"/>
        </w:rPr>
        <w:t xml:space="preserve"> </w:t>
      </w:r>
      <w:r w:rsidR="00D5249C" w:rsidRPr="00FF018F">
        <w:rPr>
          <w:snapToGrid w:val="0"/>
          <w:kern w:val="22"/>
          <w:sz w:val="22"/>
          <w:szCs w:val="22"/>
          <w:lang w:val="en-GB"/>
        </w:rPr>
        <w:t>The Committee also</w:t>
      </w:r>
      <w:r w:rsidRPr="00FF018F">
        <w:rPr>
          <w:snapToGrid w:val="0"/>
          <w:kern w:val="22"/>
          <w:sz w:val="22"/>
          <w:szCs w:val="22"/>
          <w:lang w:val="en-GB"/>
        </w:rPr>
        <w:t xml:space="preserve"> noted that this had caused difficulties for a number of Parties in fulfilling their obligations under the Protocol, for example as regards submission of their third national report.</w:t>
      </w:r>
      <w:r w:rsidRPr="00FF018F">
        <w:rPr>
          <w:rStyle w:val="FootnoteReference"/>
          <w:rFonts w:eastAsiaTheme="majorEastAsia"/>
          <w:snapToGrid w:val="0"/>
          <w:kern w:val="22"/>
          <w:sz w:val="22"/>
          <w:szCs w:val="22"/>
          <w:u w:val="none"/>
          <w:vertAlign w:val="superscript"/>
          <w:lang w:val="en-GB" w:eastAsia="en-US"/>
        </w:rPr>
        <w:footnoteReference w:id="15"/>
      </w:r>
    </w:p>
    <w:p w14:paraId="55FF70A9" w14:textId="03D5E9E4" w:rsidR="003B71B5" w:rsidRPr="00FF018F" w:rsidRDefault="004B58DF" w:rsidP="008159AD">
      <w:pPr>
        <w:pStyle w:val="Heading2"/>
        <w:numPr>
          <w:ilvl w:val="0"/>
          <w:numId w:val="26"/>
        </w:numPr>
        <w:suppressLineNumbers/>
        <w:suppressAutoHyphens/>
        <w:ind w:left="714" w:hanging="357"/>
        <w:rPr>
          <w:snapToGrid w:val="0"/>
          <w:kern w:val="22"/>
          <w:szCs w:val="22"/>
        </w:rPr>
      </w:pPr>
      <w:r w:rsidRPr="00FF018F">
        <w:rPr>
          <w:snapToGrid w:val="0"/>
          <w:kern w:val="22"/>
          <w:szCs w:val="22"/>
        </w:rPr>
        <w:t>S</w:t>
      </w:r>
      <w:r w:rsidR="003B71B5" w:rsidRPr="00FF018F">
        <w:rPr>
          <w:snapToGrid w:val="0"/>
          <w:kern w:val="22"/>
          <w:szCs w:val="22"/>
        </w:rPr>
        <w:t>econd national reports</w:t>
      </w:r>
    </w:p>
    <w:p w14:paraId="4CB3460C" w14:textId="6350BFB0"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Second national reports were due on 30 September 2011. </w:t>
      </w:r>
      <w:r w:rsidR="003D216D" w:rsidRPr="00FF018F">
        <w:rPr>
          <w:snapToGrid w:val="0"/>
          <w:kern w:val="22"/>
          <w:sz w:val="22"/>
          <w:szCs w:val="22"/>
          <w:lang w:val="en-GB"/>
        </w:rPr>
        <w:t xml:space="preserve">By </w:t>
      </w:r>
      <w:r w:rsidRPr="00FF018F">
        <w:rPr>
          <w:snapToGrid w:val="0"/>
          <w:kern w:val="22"/>
          <w:sz w:val="22"/>
          <w:szCs w:val="22"/>
          <w:lang w:val="en-GB"/>
        </w:rPr>
        <w:t>31 December 2011, three months after the submission deadline, 143 of the 161 Parties that had an obligation to do so had submitted their second national report, representing a submission rate of 89</w:t>
      </w:r>
      <w:r w:rsidR="00BF563E" w:rsidRPr="00FF018F">
        <w:rPr>
          <w:snapToGrid w:val="0"/>
          <w:kern w:val="22"/>
          <w:sz w:val="22"/>
          <w:szCs w:val="22"/>
          <w:lang w:val="en-GB"/>
        </w:rPr>
        <w:t xml:space="preserve"> per cent</w:t>
      </w:r>
      <w:r w:rsidRPr="00FF018F">
        <w:rPr>
          <w:snapToGrid w:val="0"/>
          <w:kern w:val="22"/>
          <w:sz w:val="22"/>
          <w:szCs w:val="22"/>
          <w:lang w:val="en-GB"/>
        </w:rPr>
        <w:t>.</w:t>
      </w:r>
      <w:r w:rsidRPr="00FF018F">
        <w:rPr>
          <w:rStyle w:val="FootnoteReference"/>
          <w:rFonts w:eastAsiaTheme="majorEastAsia"/>
          <w:snapToGrid w:val="0"/>
          <w:kern w:val="22"/>
          <w:sz w:val="22"/>
          <w:szCs w:val="22"/>
          <w:u w:val="none"/>
          <w:vertAlign w:val="superscript"/>
          <w:lang w:val="en-GB" w:eastAsia="en-US"/>
        </w:rPr>
        <w:footnoteReference w:id="16"/>
      </w:r>
      <w:r w:rsidRPr="00FF018F">
        <w:rPr>
          <w:snapToGrid w:val="0"/>
          <w:kern w:val="22"/>
          <w:sz w:val="22"/>
          <w:szCs w:val="22"/>
          <w:lang w:val="en-GB"/>
        </w:rPr>
        <w:t xml:space="preserve"> A regional breakdown of second national reports received is provided in </w:t>
      </w:r>
      <w:r w:rsidR="009A4159" w:rsidRPr="00FF018F">
        <w:rPr>
          <w:snapToGrid w:val="0"/>
          <w:kern w:val="22"/>
          <w:sz w:val="22"/>
          <w:szCs w:val="22"/>
          <w:lang w:val="en-GB"/>
        </w:rPr>
        <w:t>table </w:t>
      </w:r>
      <w:r w:rsidRPr="00FF018F">
        <w:rPr>
          <w:snapToGrid w:val="0"/>
          <w:kern w:val="22"/>
          <w:sz w:val="22"/>
          <w:szCs w:val="22"/>
          <w:lang w:val="en-GB"/>
        </w:rPr>
        <w:t>3.</w:t>
      </w:r>
    </w:p>
    <w:p w14:paraId="14931E77" w14:textId="66AD68E8" w:rsidR="003B71B5" w:rsidRPr="00FF018F" w:rsidRDefault="004B58DF" w:rsidP="008159AD">
      <w:pPr>
        <w:pStyle w:val="Para10"/>
        <w:keepNext/>
        <w:suppressLineNumbers/>
        <w:tabs>
          <w:tab w:val="clear" w:pos="644"/>
        </w:tabs>
        <w:suppressAutoHyphens/>
        <w:spacing w:before="240"/>
        <w:ind w:left="0"/>
        <w:rPr>
          <w:b/>
          <w:bCs/>
          <w:snapToGrid w:val="0"/>
          <w:kern w:val="22"/>
          <w:sz w:val="22"/>
          <w:szCs w:val="22"/>
          <w:lang w:val="en-GB"/>
        </w:rPr>
      </w:pPr>
      <w:r w:rsidRPr="00FF018F">
        <w:rPr>
          <w:b/>
          <w:bCs/>
          <w:snapToGrid w:val="0"/>
          <w:kern w:val="22"/>
          <w:sz w:val="22"/>
          <w:szCs w:val="22"/>
          <w:lang w:val="en-GB"/>
        </w:rPr>
        <w:lastRenderedPageBreak/>
        <w:t xml:space="preserve">Table </w:t>
      </w:r>
      <w:r w:rsidR="003B71B5" w:rsidRPr="00FF018F">
        <w:rPr>
          <w:b/>
          <w:bCs/>
          <w:snapToGrid w:val="0"/>
          <w:kern w:val="22"/>
          <w:sz w:val="22"/>
          <w:szCs w:val="22"/>
          <w:lang w:val="en-GB"/>
        </w:rPr>
        <w:t>3. Regional breakdown of second national reports received by 31 December 2011</w:t>
      </w:r>
    </w:p>
    <w:p w14:paraId="6B04887B"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p>
    <w:tbl>
      <w:tblPr>
        <w:tblStyle w:val="TableGrid"/>
        <w:tblW w:w="0" w:type="auto"/>
        <w:jc w:val="center"/>
        <w:tblLook w:val="04A0" w:firstRow="1" w:lastRow="0" w:firstColumn="1" w:lastColumn="0" w:noHBand="0" w:noVBand="1"/>
      </w:tblPr>
      <w:tblGrid>
        <w:gridCol w:w="3991"/>
        <w:gridCol w:w="3876"/>
        <w:gridCol w:w="1585"/>
      </w:tblGrid>
      <w:tr w:rsidR="00E871F4" w:rsidRPr="00FF018F" w14:paraId="354BBE56" w14:textId="77777777" w:rsidTr="00FC385E">
        <w:trPr>
          <w:cantSplit/>
          <w:jc w:val="center"/>
        </w:trPr>
        <w:tc>
          <w:tcPr>
            <w:tcW w:w="4140" w:type="dxa"/>
            <w:shd w:val="pct15" w:color="EEECE1" w:themeColor="background2" w:fill="auto"/>
            <w:vAlign w:val="center"/>
          </w:tcPr>
          <w:p w14:paraId="27F4BAF1" w14:textId="259E7B1A" w:rsidR="003B71B5" w:rsidRPr="00FF018F" w:rsidRDefault="003B71B5" w:rsidP="008159AD">
            <w:pPr>
              <w:pStyle w:val="Para10"/>
              <w:keepNext/>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 xml:space="preserve">Regional </w:t>
            </w:r>
            <w:r w:rsidR="0089774C" w:rsidRPr="00FF018F">
              <w:rPr>
                <w:i/>
                <w:iCs/>
                <w:snapToGrid w:val="0"/>
                <w:kern w:val="22"/>
                <w:sz w:val="22"/>
                <w:szCs w:val="22"/>
                <w:lang w:val="en-GB"/>
              </w:rPr>
              <w:t>g</w:t>
            </w:r>
            <w:r w:rsidRPr="00FF018F">
              <w:rPr>
                <w:i/>
                <w:iCs/>
                <w:snapToGrid w:val="0"/>
                <w:kern w:val="22"/>
                <w:sz w:val="22"/>
                <w:szCs w:val="22"/>
                <w:lang w:val="en-GB"/>
              </w:rPr>
              <w:t>roups</w:t>
            </w:r>
          </w:p>
        </w:tc>
        <w:tc>
          <w:tcPr>
            <w:tcW w:w="3960" w:type="dxa"/>
            <w:shd w:val="pct15" w:color="EEECE1" w:themeColor="background2" w:fill="auto"/>
            <w:vAlign w:val="center"/>
          </w:tcPr>
          <w:p w14:paraId="72B46486" w14:textId="39BC6F9A" w:rsidR="003B71B5" w:rsidRPr="00FF018F" w:rsidRDefault="003B71B5" w:rsidP="008159AD">
            <w:pPr>
              <w:pStyle w:val="Para10"/>
              <w:keepNext/>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Number of Parties that submitted a complete second national report</w:t>
            </w:r>
            <w:r w:rsidR="00AB0708" w:rsidRPr="00FF018F">
              <w:rPr>
                <w:i/>
                <w:iCs/>
                <w:snapToGrid w:val="0"/>
                <w:kern w:val="22"/>
                <w:sz w:val="22"/>
                <w:szCs w:val="22"/>
                <w:lang w:val="en-GB"/>
              </w:rPr>
              <w:br/>
            </w:r>
            <w:r w:rsidRPr="00FF018F">
              <w:rPr>
                <w:i/>
                <w:iCs/>
                <w:snapToGrid w:val="0"/>
                <w:kern w:val="22"/>
                <w:sz w:val="22"/>
                <w:szCs w:val="22"/>
                <w:lang w:val="en-GB"/>
              </w:rPr>
              <w:t>(</w:t>
            </w:r>
            <w:r w:rsidR="0089774C" w:rsidRPr="00FF018F">
              <w:rPr>
                <w:i/>
                <w:iCs/>
                <w:snapToGrid w:val="0"/>
                <w:kern w:val="22"/>
                <w:sz w:val="22"/>
                <w:szCs w:val="22"/>
                <w:lang w:val="en-GB"/>
              </w:rPr>
              <w:t>T</w:t>
            </w:r>
            <w:r w:rsidRPr="00FF018F">
              <w:rPr>
                <w:i/>
                <w:iCs/>
                <w:snapToGrid w:val="0"/>
                <w:kern w:val="22"/>
                <w:sz w:val="22"/>
                <w:szCs w:val="22"/>
                <w:lang w:val="en-GB"/>
              </w:rPr>
              <w:t>otal number of Parties for each region)</w:t>
            </w:r>
          </w:p>
        </w:tc>
        <w:tc>
          <w:tcPr>
            <w:tcW w:w="1597" w:type="dxa"/>
            <w:shd w:val="pct15" w:color="EEECE1" w:themeColor="background2" w:fill="auto"/>
            <w:vAlign w:val="center"/>
          </w:tcPr>
          <w:p w14:paraId="0D8152A2" w14:textId="2C78C8F5" w:rsidR="003B71B5" w:rsidRPr="00FF018F" w:rsidRDefault="003B71B5" w:rsidP="008159AD">
            <w:pPr>
              <w:pStyle w:val="Para10"/>
              <w:keepNext/>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Regional submission rate</w:t>
            </w:r>
            <w:r w:rsidR="00C22C7B" w:rsidRPr="00FF018F">
              <w:rPr>
                <w:i/>
                <w:iCs/>
                <w:snapToGrid w:val="0"/>
                <w:kern w:val="22"/>
                <w:sz w:val="22"/>
                <w:szCs w:val="22"/>
                <w:lang w:val="en-GB"/>
              </w:rPr>
              <w:br/>
              <w:t>(Percentage)</w:t>
            </w:r>
          </w:p>
        </w:tc>
      </w:tr>
      <w:tr w:rsidR="003B71B5" w:rsidRPr="00FF018F" w14:paraId="216A15C2" w14:textId="77777777" w:rsidTr="008159AD">
        <w:trPr>
          <w:cantSplit/>
          <w:jc w:val="center"/>
        </w:trPr>
        <w:tc>
          <w:tcPr>
            <w:tcW w:w="4140" w:type="dxa"/>
          </w:tcPr>
          <w:p w14:paraId="35D1A689"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p>
        </w:tc>
        <w:tc>
          <w:tcPr>
            <w:tcW w:w="3960" w:type="dxa"/>
          </w:tcPr>
          <w:p w14:paraId="46EE9F93"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p>
        </w:tc>
        <w:tc>
          <w:tcPr>
            <w:tcW w:w="1597" w:type="dxa"/>
          </w:tcPr>
          <w:p w14:paraId="4B6CA105"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p>
        </w:tc>
      </w:tr>
      <w:tr w:rsidR="003B71B5" w:rsidRPr="00FF018F" w14:paraId="30872D4C" w14:textId="77777777" w:rsidTr="008159AD">
        <w:trPr>
          <w:cantSplit/>
          <w:jc w:val="center"/>
        </w:trPr>
        <w:tc>
          <w:tcPr>
            <w:tcW w:w="4140" w:type="dxa"/>
            <w:vAlign w:val="center"/>
          </w:tcPr>
          <w:p w14:paraId="7DD17E40"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Africa</w:t>
            </w:r>
          </w:p>
        </w:tc>
        <w:tc>
          <w:tcPr>
            <w:tcW w:w="3960" w:type="dxa"/>
            <w:vAlign w:val="center"/>
          </w:tcPr>
          <w:p w14:paraId="68E56817" w14:textId="77777777" w:rsidR="003B71B5" w:rsidRPr="00FF018F" w:rsidRDefault="003B71B5" w:rsidP="008159AD">
            <w:pPr>
              <w:pStyle w:val="Para10"/>
              <w:keepNext/>
              <w:suppressLineNumbers/>
              <w:tabs>
                <w:tab w:val="clear" w:pos="644"/>
              </w:tabs>
              <w:suppressAutoHyphens/>
              <w:ind w:left="1678"/>
              <w:jc w:val="both"/>
              <w:rPr>
                <w:snapToGrid w:val="0"/>
                <w:kern w:val="22"/>
                <w:sz w:val="22"/>
                <w:szCs w:val="22"/>
                <w:lang w:val="en-GB"/>
              </w:rPr>
            </w:pPr>
            <w:r w:rsidRPr="00FF018F">
              <w:rPr>
                <w:snapToGrid w:val="0"/>
                <w:kern w:val="22"/>
                <w:sz w:val="22"/>
                <w:szCs w:val="22"/>
                <w:lang w:val="en-GB"/>
              </w:rPr>
              <w:t>49 (</w:t>
            </w:r>
            <w:r w:rsidRPr="00FF018F">
              <w:rPr>
                <w:i/>
                <w:snapToGrid w:val="0"/>
                <w:kern w:val="22"/>
                <w:sz w:val="22"/>
                <w:szCs w:val="22"/>
                <w:lang w:val="en-GB"/>
              </w:rPr>
              <w:t>49</w:t>
            </w:r>
            <w:r w:rsidRPr="00FF018F">
              <w:rPr>
                <w:snapToGrid w:val="0"/>
                <w:kern w:val="22"/>
                <w:sz w:val="22"/>
                <w:szCs w:val="22"/>
                <w:lang w:val="en-GB"/>
              </w:rPr>
              <w:t xml:space="preserve">) </w:t>
            </w:r>
          </w:p>
        </w:tc>
        <w:tc>
          <w:tcPr>
            <w:tcW w:w="1597" w:type="dxa"/>
            <w:vAlign w:val="center"/>
          </w:tcPr>
          <w:p w14:paraId="43D72A86" w14:textId="77777777" w:rsidR="003B71B5" w:rsidRPr="00FF018F" w:rsidRDefault="003B71B5" w:rsidP="008159AD">
            <w:pPr>
              <w:pStyle w:val="Para10"/>
              <w:keepNext/>
              <w:suppressLineNumbers/>
              <w:tabs>
                <w:tab w:val="clear" w:pos="644"/>
              </w:tabs>
              <w:suppressAutoHyphens/>
              <w:ind w:left="529"/>
              <w:jc w:val="both"/>
              <w:rPr>
                <w:snapToGrid w:val="0"/>
                <w:kern w:val="22"/>
                <w:sz w:val="22"/>
                <w:szCs w:val="22"/>
                <w:lang w:val="en-GB"/>
              </w:rPr>
            </w:pPr>
            <w:r w:rsidRPr="00FF018F">
              <w:rPr>
                <w:snapToGrid w:val="0"/>
                <w:kern w:val="22"/>
                <w:sz w:val="22"/>
                <w:szCs w:val="22"/>
                <w:lang w:val="en-GB"/>
              </w:rPr>
              <w:t>100%</w:t>
            </w:r>
          </w:p>
        </w:tc>
      </w:tr>
      <w:tr w:rsidR="003B71B5" w:rsidRPr="00FF018F" w14:paraId="5154416A" w14:textId="77777777" w:rsidTr="008159AD">
        <w:trPr>
          <w:cantSplit/>
          <w:jc w:val="center"/>
        </w:trPr>
        <w:tc>
          <w:tcPr>
            <w:tcW w:w="4140" w:type="dxa"/>
            <w:vAlign w:val="center"/>
          </w:tcPr>
          <w:p w14:paraId="4CE1958C"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Asia and the Pacific</w:t>
            </w:r>
          </w:p>
        </w:tc>
        <w:tc>
          <w:tcPr>
            <w:tcW w:w="3960" w:type="dxa"/>
            <w:vAlign w:val="center"/>
          </w:tcPr>
          <w:p w14:paraId="05330D01" w14:textId="77777777" w:rsidR="003B71B5" w:rsidRPr="00FF018F" w:rsidRDefault="003B71B5" w:rsidP="008159AD">
            <w:pPr>
              <w:pStyle w:val="Para10"/>
              <w:keepNext/>
              <w:suppressLineNumbers/>
              <w:tabs>
                <w:tab w:val="clear" w:pos="644"/>
              </w:tabs>
              <w:suppressAutoHyphens/>
              <w:ind w:left="1678"/>
              <w:jc w:val="both"/>
              <w:rPr>
                <w:snapToGrid w:val="0"/>
                <w:kern w:val="22"/>
                <w:sz w:val="22"/>
                <w:szCs w:val="22"/>
                <w:lang w:val="en-GB"/>
              </w:rPr>
            </w:pPr>
            <w:r w:rsidRPr="00FF018F">
              <w:rPr>
                <w:snapToGrid w:val="0"/>
                <w:kern w:val="22"/>
                <w:sz w:val="22"/>
                <w:szCs w:val="22"/>
                <w:lang w:val="en-GB"/>
              </w:rPr>
              <w:t>35 (</w:t>
            </w:r>
            <w:r w:rsidRPr="00FF018F">
              <w:rPr>
                <w:i/>
                <w:snapToGrid w:val="0"/>
                <w:kern w:val="22"/>
                <w:sz w:val="22"/>
                <w:szCs w:val="22"/>
                <w:lang w:val="en-GB"/>
              </w:rPr>
              <w:t>41</w:t>
            </w:r>
            <w:r w:rsidRPr="00FF018F">
              <w:rPr>
                <w:snapToGrid w:val="0"/>
                <w:kern w:val="22"/>
                <w:sz w:val="22"/>
                <w:szCs w:val="22"/>
                <w:lang w:val="en-GB"/>
              </w:rPr>
              <w:t>)</w:t>
            </w:r>
          </w:p>
        </w:tc>
        <w:tc>
          <w:tcPr>
            <w:tcW w:w="1597" w:type="dxa"/>
            <w:vAlign w:val="center"/>
          </w:tcPr>
          <w:p w14:paraId="12869D7B" w14:textId="77777777" w:rsidR="003B71B5" w:rsidRPr="00FF018F" w:rsidRDefault="003B71B5" w:rsidP="008159AD">
            <w:pPr>
              <w:pStyle w:val="Para10"/>
              <w:keepNext/>
              <w:suppressLineNumbers/>
              <w:tabs>
                <w:tab w:val="clear" w:pos="644"/>
              </w:tabs>
              <w:suppressAutoHyphens/>
              <w:ind w:left="529"/>
              <w:jc w:val="both"/>
              <w:rPr>
                <w:snapToGrid w:val="0"/>
                <w:kern w:val="22"/>
                <w:sz w:val="22"/>
                <w:szCs w:val="22"/>
                <w:lang w:val="en-GB"/>
              </w:rPr>
            </w:pPr>
            <w:r w:rsidRPr="00FF018F">
              <w:rPr>
                <w:snapToGrid w:val="0"/>
                <w:kern w:val="22"/>
                <w:sz w:val="22"/>
                <w:szCs w:val="22"/>
                <w:lang w:val="en-GB"/>
              </w:rPr>
              <w:t>85%</w:t>
            </w:r>
          </w:p>
        </w:tc>
      </w:tr>
      <w:tr w:rsidR="003B71B5" w:rsidRPr="00FF018F" w14:paraId="65A2E6C3" w14:textId="77777777" w:rsidTr="008159AD">
        <w:trPr>
          <w:cantSplit/>
          <w:jc w:val="center"/>
        </w:trPr>
        <w:tc>
          <w:tcPr>
            <w:tcW w:w="4140" w:type="dxa"/>
            <w:vAlign w:val="center"/>
          </w:tcPr>
          <w:p w14:paraId="285E4F29" w14:textId="0D122AFC"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Central and Eastern Europe</w:t>
            </w:r>
          </w:p>
        </w:tc>
        <w:tc>
          <w:tcPr>
            <w:tcW w:w="3960" w:type="dxa"/>
            <w:vAlign w:val="center"/>
          </w:tcPr>
          <w:p w14:paraId="450F8E98" w14:textId="77777777" w:rsidR="003B71B5" w:rsidRPr="00FF018F" w:rsidRDefault="003B71B5" w:rsidP="008159AD">
            <w:pPr>
              <w:pStyle w:val="Para10"/>
              <w:keepNext/>
              <w:suppressLineNumbers/>
              <w:tabs>
                <w:tab w:val="clear" w:pos="644"/>
              </w:tabs>
              <w:suppressAutoHyphens/>
              <w:ind w:left="1678"/>
              <w:jc w:val="both"/>
              <w:rPr>
                <w:snapToGrid w:val="0"/>
                <w:kern w:val="22"/>
                <w:sz w:val="22"/>
                <w:szCs w:val="22"/>
                <w:lang w:val="en-GB"/>
              </w:rPr>
            </w:pPr>
            <w:r w:rsidRPr="00FF018F">
              <w:rPr>
                <w:snapToGrid w:val="0"/>
                <w:kern w:val="22"/>
                <w:sz w:val="22"/>
                <w:szCs w:val="22"/>
                <w:lang w:val="en-GB"/>
              </w:rPr>
              <w:t>19 (</w:t>
            </w:r>
            <w:r w:rsidRPr="00FF018F">
              <w:rPr>
                <w:i/>
                <w:snapToGrid w:val="0"/>
                <w:kern w:val="22"/>
                <w:sz w:val="22"/>
                <w:szCs w:val="22"/>
                <w:lang w:val="en-GB"/>
              </w:rPr>
              <w:t>22</w:t>
            </w:r>
            <w:r w:rsidRPr="00FF018F">
              <w:rPr>
                <w:snapToGrid w:val="0"/>
                <w:kern w:val="22"/>
                <w:sz w:val="22"/>
                <w:szCs w:val="22"/>
                <w:lang w:val="en-GB"/>
              </w:rPr>
              <w:t>)</w:t>
            </w:r>
          </w:p>
        </w:tc>
        <w:tc>
          <w:tcPr>
            <w:tcW w:w="1597" w:type="dxa"/>
            <w:vAlign w:val="center"/>
          </w:tcPr>
          <w:p w14:paraId="00DE27A0" w14:textId="77777777" w:rsidR="003B71B5" w:rsidRPr="00FF018F" w:rsidRDefault="003B71B5" w:rsidP="008159AD">
            <w:pPr>
              <w:pStyle w:val="Para10"/>
              <w:keepNext/>
              <w:suppressLineNumbers/>
              <w:tabs>
                <w:tab w:val="clear" w:pos="644"/>
              </w:tabs>
              <w:suppressAutoHyphens/>
              <w:ind w:left="529"/>
              <w:jc w:val="both"/>
              <w:rPr>
                <w:snapToGrid w:val="0"/>
                <w:kern w:val="22"/>
                <w:sz w:val="22"/>
                <w:szCs w:val="22"/>
                <w:lang w:val="en-GB"/>
              </w:rPr>
            </w:pPr>
            <w:r w:rsidRPr="00FF018F">
              <w:rPr>
                <w:snapToGrid w:val="0"/>
                <w:kern w:val="22"/>
                <w:sz w:val="22"/>
                <w:szCs w:val="22"/>
                <w:lang w:val="en-GB"/>
              </w:rPr>
              <w:t>86%</w:t>
            </w:r>
          </w:p>
        </w:tc>
      </w:tr>
      <w:tr w:rsidR="003B71B5" w:rsidRPr="00FF018F" w14:paraId="3C816470" w14:textId="77777777" w:rsidTr="008159AD">
        <w:trPr>
          <w:cantSplit/>
          <w:jc w:val="center"/>
        </w:trPr>
        <w:tc>
          <w:tcPr>
            <w:tcW w:w="4140" w:type="dxa"/>
            <w:vAlign w:val="center"/>
          </w:tcPr>
          <w:p w14:paraId="357BA52D" w14:textId="0D07B654"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Latin America and Caribbean</w:t>
            </w:r>
          </w:p>
        </w:tc>
        <w:tc>
          <w:tcPr>
            <w:tcW w:w="3960" w:type="dxa"/>
            <w:vAlign w:val="center"/>
          </w:tcPr>
          <w:p w14:paraId="637C8896" w14:textId="77777777" w:rsidR="003B71B5" w:rsidRPr="00FF018F" w:rsidRDefault="003B71B5" w:rsidP="008159AD">
            <w:pPr>
              <w:pStyle w:val="Para10"/>
              <w:keepNext/>
              <w:suppressLineNumbers/>
              <w:tabs>
                <w:tab w:val="clear" w:pos="644"/>
              </w:tabs>
              <w:suppressAutoHyphens/>
              <w:ind w:left="1678"/>
              <w:jc w:val="both"/>
              <w:rPr>
                <w:snapToGrid w:val="0"/>
                <w:kern w:val="22"/>
                <w:sz w:val="22"/>
                <w:szCs w:val="22"/>
                <w:lang w:val="en-GB"/>
              </w:rPr>
            </w:pPr>
            <w:r w:rsidRPr="00FF018F">
              <w:rPr>
                <w:snapToGrid w:val="0"/>
                <w:kern w:val="22"/>
                <w:sz w:val="22"/>
                <w:szCs w:val="22"/>
                <w:lang w:val="en-GB"/>
              </w:rPr>
              <w:t>21 (</w:t>
            </w:r>
            <w:r w:rsidRPr="00FF018F">
              <w:rPr>
                <w:i/>
                <w:snapToGrid w:val="0"/>
                <w:kern w:val="22"/>
                <w:sz w:val="22"/>
                <w:szCs w:val="22"/>
                <w:lang w:val="en-GB"/>
              </w:rPr>
              <w:t>28</w:t>
            </w:r>
            <w:r w:rsidRPr="00FF018F">
              <w:rPr>
                <w:snapToGrid w:val="0"/>
                <w:kern w:val="22"/>
                <w:sz w:val="22"/>
                <w:szCs w:val="22"/>
                <w:lang w:val="en-GB"/>
              </w:rPr>
              <w:t>)</w:t>
            </w:r>
          </w:p>
        </w:tc>
        <w:tc>
          <w:tcPr>
            <w:tcW w:w="1597" w:type="dxa"/>
            <w:vAlign w:val="center"/>
          </w:tcPr>
          <w:p w14:paraId="3B90C925" w14:textId="77777777" w:rsidR="003B71B5" w:rsidRPr="00FF018F" w:rsidRDefault="003B71B5" w:rsidP="008159AD">
            <w:pPr>
              <w:pStyle w:val="Para10"/>
              <w:keepNext/>
              <w:suppressLineNumbers/>
              <w:tabs>
                <w:tab w:val="clear" w:pos="644"/>
              </w:tabs>
              <w:suppressAutoHyphens/>
              <w:ind w:left="529"/>
              <w:jc w:val="both"/>
              <w:rPr>
                <w:snapToGrid w:val="0"/>
                <w:kern w:val="22"/>
                <w:sz w:val="22"/>
                <w:szCs w:val="22"/>
                <w:lang w:val="en-GB"/>
              </w:rPr>
            </w:pPr>
            <w:r w:rsidRPr="00FF018F">
              <w:rPr>
                <w:snapToGrid w:val="0"/>
                <w:kern w:val="22"/>
                <w:sz w:val="22"/>
                <w:szCs w:val="22"/>
                <w:lang w:val="en-GB"/>
              </w:rPr>
              <w:t>75%</w:t>
            </w:r>
          </w:p>
        </w:tc>
      </w:tr>
      <w:tr w:rsidR="003B71B5" w:rsidRPr="00FF018F" w14:paraId="3FBD6CD9" w14:textId="77777777" w:rsidTr="008159AD">
        <w:trPr>
          <w:cantSplit/>
          <w:jc w:val="center"/>
        </w:trPr>
        <w:tc>
          <w:tcPr>
            <w:tcW w:w="4140" w:type="dxa"/>
            <w:vAlign w:val="center"/>
          </w:tcPr>
          <w:p w14:paraId="4AF6E7EA" w14:textId="7BEA7181"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Western European and Others</w:t>
            </w:r>
          </w:p>
        </w:tc>
        <w:tc>
          <w:tcPr>
            <w:tcW w:w="3960" w:type="dxa"/>
            <w:vAlign w:val="center"/>
          </w:tcPr>
          <w:p w14:paraId="7D2BE3EE" w14:textId="77777777" w:rsidR="003B71B5" w:rsidRPr="00FF018F" w:rsidRDefault="003B71B5" w:rsidP="008159AD">
            <w:pPr>
              <w:pStyle w:val="Para10"/>
              <w:suppressLineNumbers/>
              <w:tabs>
                <w:tab w:val="clear" w:pos="644"/>
              </w:tabs>
              <w:suppressAutoHyphens/>
              <w:ind w:left="1678"/>
              <w:jc w:val="both"/>
              <w:rPr>
                <w:snapToGrid w:val="0"/>
                <w:kern w:val="22"/>
                <w:sz w:val="22"/>
                <w:szCs w:val="22"/>
                <w:lang w:val="en-GB"/>
              </w:rPr>
            </w:pPr>
            <w:r w:rsidRPr="00FF018F">
              <w:rPr>
                <w:snapToGrid w:val="0"/>
                <w:kern w:val="22"/>
                <w:sz w:val="22"/>
                <w:szCs w:val="22"/>
                <w:lang w:val="en-GB"/>
              </w:rPr>
              <w:t>19 (</w:t>
            </w:r>
            <w:r w:rsidRPr="00FF018F">
              <w:rPr>
                <w:i/>
                <w:snapToGrid w:val="0"/>
                <w:kern w:val="22"/>
                <w:sz w:val="22"/>
                <w:szCs w:val="22"/>
                <w:lang w:val="en-GB"/>
              </w:rPr>
              <w:t>21</w:t>
            </w:r>
            <w:r w:rsidRPr="00FF018F">
              <w:rPr>
                <w:snapToGrid w:val="0"/>
                <w:kern w:val="22"/>
                <w:sz w:val="22"/>
                <w:szCs w:val="22"/>
                <w:lang w:val="en-GB"/>
              </w:rPr>
              <w:t>)</w:t>
            </w:r>
          </w:p>
        </w:tc>
        <w:tc>
          <w:tcPr>
            <w:tcW w:w="1597" w:type="dxa"/>
            <w:vAlign w:val="center"/>
          </w:tcPr>
          <w:p w14:paraId="17D41F32" w14:textId="77777777" w:rsidR="003B71B5" w:rsidRPr="00FF018F" w:rsidRDefault="003B71B5" w:rsidP="008159AD">
            <w:pPr>
              <w:pStyle w:val="Para10"/>
              <w:suppressLineNumbers/>
              <w:tabs>
                <w:tab w:val="clear" w:pos="644"/>
              </w:tabs>
              <w:suppressAutoHyphens/>
              <w:ind w:left="529"/>
              <w:jc w:val="both"/>
              <w:rPr>
                <w:snapToGrid w:val="0"/>
                <w:kern w:val="22"/>
                <w:sz w:val="22"/>
                <w:szCs w:val="22"/>
                <w:lang w:val="en-GB"/>
              </w:rPr>
            </w:pPr>
            <w:r w:rsidRPr="00FF018F">
              <w:rPr>
                <w:snapToGrid w:val="0"/>
                <w:kern w:val="22"/>
                <w:sz w:val="22"/>
                <w:szCs w:val="22"/>
                <w:lang w:val="en-GB"/>
              </w:rPr>
              <w:t>90%</w:t>
            </w:r>
          </w:p>
        </w:tc>
      </w:tr>
    </w:tbl>
    <w:p w14:paraId="610596B3"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p w14:paraId="142C0DB8" w14:textId="215E88C4" w:rsidR="003B71B5" w:rsidRPr="00FF018F" w:rsidRDefault="008D12E1"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At</w:t>
      </w:r>
      <w:r w:rsidR="003B71B5" w:rsidRPr="00FF018F">
        <w:rPr>
          <w:snapToGrid w:val="0"/>
          <w:kern w:val="22"/>
          <w:sz w:val="22"/>
          <w:szCs w:val="22"/>
          <w:lang w:val="en-GB"/>
        </w:rPr>
        <w:t xml:space="preserve"> its ninth meeting, the Committee noted that a number of second national reports were incomplete for questions relating to the obligations under the Protocol.</w:t>
      </w:r>
      <w:r w:rsidR="006543D2" w:rsidRPr="00FF018F">
        <w:rPr>
          <w:rStyle w:val="FootnoteReference"/>
          <w:rFonts w:eastAsiaTheme="majorEastAsia"/>
          <w:snapToGrid w:val="0"/>
          <w:kern w:val="22"/>
          <w:sz w:val="22"/>
          <w:szCs w:val="22"/>
          <w:u w:val="none"/>
          <w:vertAlign w:val="superscript"/>
          <w:lang w:val="en-GB"/>
        </w:rPr>
        <w:footnoteReference w:id="17"/>
      </w:r>
      <w:r w:rsidR="003B71B5" w:rsidRPr="00FF018F">
        <w:rPr>
          <w:snapToGrid w:val="0"/>
          <w:kern w:val="22"/>
          <w:sz w:val="22"/>
          <w:szCs w:val="22"/>
          <w:lang w:val="en-GB"/>
        </w:rPr>
        <w:t xml:space="preserve"> </w:t>
      </w:r>
      <w:r w:rsidR="005E4419" w:rsidRPr="00FF018F">
        <w:rPr>
          <w:snapToGrid w:val="0"/>
          <w:kern w:val="22"/>
          <w:sz w:val="22"/>
          <w:szCs w:val="22"/>
          <w:lang w:val="en-GB"/>
        </w:rPr>
        <w:t>No account of the number of incomplete second national reports at the time is available</w:t>
      </w:r>
      <w:r w:rsidR="003B71B5" w:rsidRPr="00FF018F">
        <w:rPr>
          <w:snapToGrid w:val="0"/>
          <w:kern w:val="22"/>
          <w:sz w:val="22"/>
          <w:szCs w:val="22"/>
          <w:lang w:val="en-GB"/>
        </w:rPr>
        <w:t>.</w:t>
      </w:r>
    </w:p>
    <w:p w14:paraId="03563291" w14:textId="524886AC"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Through notification 2011-35, dated 15 February 2011, the Executive Secretary announced that GEF had set aside funding to support eligible Parties </w:t>
      </w:r>
      <w:r w:rsidR="007446CA" w:rsidRPr="00FF018F">
        <w:rPr>
          <w:snapToGrid w:val="0"/>
          <w:kern w:val="22"/>
          <w:sz w:val="22"/>
          <w:szCs w:val="22"/>
          <w:lang w:val="en-GB"/>
        </w:rPr>
        <w:t xml:space="preserve">in </w:t>
      </w:r>
      <w:r w:rsidRPr="00FF018F">
        <w:rPr>
          <w:snapToGrid w:val="0"/>
          <w:kern w:val="22"/>
          <w:sz w:val="22"/>
          <w:szCs w:val="22"/>
          <w:lang w:val="en-GB"/>
        </w:rPr>
        <w:t>prepar</w:t>
      </w:r>
      <w:r w:rsidR="007446CA" w:rsidRPr="00FF018F">
        <w:rPr>
          <w:snapToGrid w:val="0"/>
          <w:kern w:val="22"/>
          <w:sz w:val="22"/>
          <w:szCs w:val="22"/>
          <w:lang w:val="en-GB"/>
        </w:rPr>
        <w:t>ing</w:t>
      </w:r>
      <w:r w:rsidRPr="00FF018F">
        <w:rPr>
          <w:snapToGrid w:val="0"/>
          <w:kern w:val="22"/>
          <w:sz w:val="22"/>
          <w:szCs w:val="22"/>
          <w:lang w:val="en-GB"/>
        </w:rPr>
        <w:t xml:space="preserve"> their second national report and shared information on the modalities for accessing the funds. In the documentation provided to the Committee at its ninth meeting, it was reported that 86 Parties had accessed GEF funding for the preparation of their report.</w:t>
      </w:r>
      <w:r w:rsidR="009F068F" w:rsidRPr="00FF018F">
        <w:rPr>
          <w:rStyle w:val="FootnoteReference"/>
          <w:rFonts w:eastAsiaTheme="majorEastAsia"/>
          <w:snapToGrid w:val="0"/>
          <w:kern w:val="22"/>
          <w:sz w:val="22"/>
          <w:szCs w:val="22"/>
          <w:u w:val="none"/>
          <w:vertAlign w:val="superscript"/>
          <w:lang w:val="en-GB" w:eastAsia="en-US"/>
        </w:rPr>
        <w:footnoteReference w:id="18"/>
      </w:r>
    </w:p>
    <w:p w14:paraId="2320DA9A" w14:textId="34B003B8" w:rsidR="003B71B5" w:rsidRPr="00FF018F" w:rsidRDefault="009F068F"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At the same meeting, t</w:t>
      </w:r>
      <w:r w:rsidR="003B71B5" w:rsidRPr="00FF018F">
        <w:rPr>
          <w:snapToGrid w:val="0"/>
          <w:kern w:val="22"/>
          <w:sz w:val="22"/>
          <w:szCs w:val="22"/>
          <w:lang w:val="en-GB"/>
        </w:rPr>
        <w:t xml:space="preserve">he Committee noted that the provision of financial resources by GEF had contributed to </w:t>
      </w:r>
      <w:r w:rsidR="00D40097" w:rsidRPr="00FF018F">
        <w:rPr>
          <w:snapToGrid w:val="0"/>
          <w:kern w:val="22"/>
          <w:sz w:val="22"/>
          <w:szCs w:val="22"/>
          <w:lang w:val="en-GB"/>
        </w:rPr>
        <w:t xml:space="preserve">the </w:t>
      </w:r>
      <w:r w:rsidR="003B71B5" w:rsidRPr="00FF018F">
        <w:rPr>
          <w:snapToGrid w:val="0"/>
          <w:kern w:val="22"/>
          <w:sz w:val="22"/>
          <w:szCs w:val="22"/>
          <w:lang w:val="en-GB"/>
        </w:rPr>
        <w:t>achiev</w:t>
      </w:r>
      <w:r w:rsidR="00D40097" w:rsidRPr="00FF018F">
        <w:rPr>
          <w:snapToGrid w:val="0"/>
          <w:kern w:val="22"/>
          <w:sz w:val="22"/>
          <w:szCs w:val="22"/>
          <w:lang w:val="en-GB"/>
        </w:rPr>
        <w:t>ement of</w:t>
      </w:r>
      <w:r w:rsidR="003B71B5" w:rsidRPr="00FF018F">
        <w:rPr>
          <w:snapToGrid w:val="0"/>
          <w:kern w:val="22"/>
          <w:sz w:val="22"/>
          <w:szCs w:val="22"/>
          <w:lang w:val="en-GB"/>
        </w:rPr>
        <w:t xml:space="preserve"> the high rate of submission of second national reports. It also took note of regional workshops that had been organized by the Secretariat through which awareness had been raised among Parties about opportunities for assistance in preparing their second national reports.</w:t>
      </w:r>
      <w:r w:rsidR="003B71B5" w:rsidRPr="00FF018F">
        <w:rPr>
          <w:rStyle w:val="FootnoteReference"/>
          <w:rFonts w:eastAsiaTheme="majorEastAsia"/>
          <w:snapToGrid w:val="0"/>
          <w:kern w:val="22"/>
          <w:sz w:val="22"/>
          <w:szCs w:val="22"/>
          <w:u w:val="none"/>
          <w:vertAlign w:val="superscript"/>
          <w:lang w:val="en-GB" w:eastAsia="en-US"/>
        </w:rPr>
        <w:footnoteReference w:id="19"/>
      </w:r>
    </w:p>
    <w:p w14:paraId="423B37B8" w14:textId="217D3910" w:rsidR="003B71B5" w:rsidRPr="00FF018F" w:rsidRDefault="004B58DF" w:rsidP="008159AD">
      <w:pPr>
        <w:pStyle w:val="Heading2"/>
        <w:numPr>
          <w:ilvl w:val="0"/>
          <w:numId w:val="26"/>
        </w:numPr>
        <w:suppressLineNumbers/>
        <w:suppressAutoHyphens/>
        <w:ind w:left="714" w:hanging="357"/>
        <w:rPr>
          <w:snapToGrid w:val="0"/>
          <w:kern w:val="22"/>
          <w:szCs w:val="22"/>
        </w:rPr>
      </w:pPr>
      <w:r w:rsidRPr="00FF018F">
        <w:rPr>
          <w:snapToGrid w:val="0"/>
          <w:kern w:val="22"/>
          <w:szCs w:val="22"/>
        </w:rPr>
        <w:t>F</w:t>
      </w:r>
      <w:r w:rsidR="003B71B5" w:rsidRPr="00FF018F">
        <w:rPr>
          <w:snapToGrid w:val="0"/>
          <w:kern w:val="22"/>
          <w:szCs w:val="22"/>
        </w:rPr>
        <w:t>irst national reports</w:t>
      </w:r>
    </w:p>
    <w:p w14:paraId="4CF34092" w14:textId="05BC6DE4" w:rsidR="00057B8F"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First national reports were due on 11 September 2007. The documentation provided to the Committee</w:t>
      </w:r>
      <w:r w:rsidR="00E4202C" w:rsidRPr="00FF018F">
        <w:rPr>
          <w:snapToGrid w:val="0"/>
          <w:kern w:val="22"/>
          <w:sz w:val="22"/>
          <w:szCs w:val="22"/>
          <w:lang w:val="en-GB"/>
        </w:rPr>
        <w:t xml:space="preserve"> for its fourth meeting</w:t>
      </w:r>
      <w:r w:rsidRPr="00FF018F">
        <w:rPr>
          <w:snapToGrid w:val="0"/>
          <w:kern w:val="22"/>
          <w:sz w:val="22"/>
          <w:szCs w:val="22"/>
          <w:lang w:val="en-GB"/>
        </w:rPr>
        <w:t xml:space="preserve"> </w:t>
      </w:r>
      <w:r w:rsidR="009F068F" w:rsidRPr="00FF018F">
        <w:rPr>
          <w:snapToGrid w:val="0"/>
          <w:kern w:val="22"/>
          <w:sz w:val="22"/>
          <w:szCs w:val="22"/>
          <w:lang w:val="en-GB"/>
        </w:rPr>
        <w:t>indicated</w:t>
      </w:r>
      <w:r w:rsidRPr="00FF018F">
        <w:rPr>
          <w:snapToGrid w:val="0"/>
          <w:kern w:val="22"/>
          <w:sz w:val="22"/>
          <w:szCs w:val="22"/>
          <w:lang w:val="en-GB"/>
        </w:rPr>
        <w:t xml:space="preserve"> that</w:t>
      </w:r>
      <w:r w:rsidR="002E6E90" w:rsidRPr="00FF018F">
        <w:rPr>
          <w:snapToGrid w:val="0"/>
          <w:kern w:val="22"/>
          <w:sz w:val="22"/>
          <w:szCs w:val="22"/>
          <w:lang w:val="en-GB"/>
        </w:rPr>
        <w:t xml:space="preserve">, </w:t>
      </w:r>
      <w:r w:rsidRPr="00FF018F">
        <w:rPr>
          <w:snapToGrid w:val="0"/>
          <w:kern w:val="22"/>
          <w:sz w:val="22"/>
          <w:szCs w:val="22"/>
          <w:lang w:val="en-GB"/>
        </w:rPr>
        <w:t xml:space="preserve">by 16 October 2007, approximately one month after the submission deadline, 50 Parties had submitted their first national report, out of the 141 Parties </w:t>
      </w:r>
      <w:r w:rsidR="002E6E90" w:rsidRPr="00FF018F">
        <w:rPr>
          <w:snapToGrid w:val="0"/>
          <w:kern w:val="22"/>
          <w:sz w:val="22"/>
          <w:szCs w:val="22"/>
          <w:lang w:val="en-GB"/>
        </w:rPr>
        <w:t>that had the obligation to do so. This</w:t>
      </w:r>
      <w:r w:rsidRPr="00FF018F">
        <w:rPr>
          <w:snapToGrid w:val="0"/>
          <w:kern w:val="22"/>
          <w:sz w:val="22"/>
          <w:szCs w:val="22"/>
          <w:lang w:val="en-GB"/>
        </w:rPr>
        <w:t xml:space="preserve"> constituted a reporting rate of 35</w:t>
      </w:r>
      <w:r w:rsidR="00AB1DBC" w:rsidRPr="00FF018F">
        <w:rPr>
          <w:snapToGrid w:val="0"/>
          <w:kern w:val="22"/>
          <w:sz w:val="22"/>
          <w:szCs w:val="22"/>
          <w:lang w:val="en-GB"/>
        </w:rPr>
        <w:t xml:space="preserve"> per cent.</w:t>
      </w:r>
      <w:r w:rsidR="00AB1DBC" w:rsidRPr="00FF018F">
        <w:rPr>
          <w:rStyle w:val="FootnoteReference"/>
          <w:rFonts w:eastAsiaTheme="majorEastAsia"/>
          <w:snapToGrid w:val="0"/>
          <w:kern w:val="22"/>
          <w:sz w:val="22"/>
          <w:szCs w:val="22"/>
          <w:u w:val="none"/>
          <w:vertAlign w:val="superscript"/>
          <w:lang w:val="en-GB" w:eastAsia="en-US"/>
        </w:rPr>
        <w:footnoteReference w:id="20"/>
      </w:r>
    </w:p>
    <w:p w14:paraId="386C5D09" w14:textId="5EC0310D" w:rsidR="00C87166" w:rsidRPr="00FF018F" w:rsidRDefault="00C87166"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By</w:t>
      </w:r>
      <w:r w:rsidR="00057B8F" w:rsidRPr="00FF018F">
        <w:rPr>
          <w:snapToGrid w:val="0"/>
          <w:kern w:val="22"/>
          <w:sz w:val="22"/>
          <w:szCs w:val="22"/>
          <w:lang w:val="en-GB"/>
        </w:rPr>
        <w:t xml:space="preserve"> the</w:t>
      </w:r>
      <w:r w:rsidRPr="00FF018F">
        <w:rPr>
          <w:snapToGrid w:val="0"/>
          <w:kern w:val="22"/>
          <w:sz w:val="22"/>
          <w:szCs w:val="22"/>
          <w:lang w:val="en-GB"/>
        </w:rPr>
        <w:t xml:space="preserve"> time of the</w:t>
      </w:r>
      <w:r w:rsidR="00057B8F" w:rsidRPr="00FF018F">
        <w:rPr>
          <w:snapToGrid w:val="0"/>
          <w:kern w:val="22"/>
          <w:sz w:val="22"/>
          <w:szCs w:val="22"/>
          <w:lang w:val="en-GB"/>
        </w:rPr>
        <w:t xml:space="preserve"> Committee’s </w:t>
      </w:r>
      <w:r w:rsidRPr="00FF018F">
        <w:rPr>
          <w:snapToGrid w:val="0"/>
          <w:kern w:val="22"/>
          <w:sz w:val="22"/>
          <w:szCs w:val="22"/>
          <w:lang w:val="en-GB"/>
        </w:rPr>
        <w:t>fourth</w:t>
      </w:r>
      <w:r w:rsidR="00057B8F" w:rsidRPr="00FF018F">
        <w:rPr>
          <w:snapToGrid w:val="0"/>
          <w:kern w:val="22"/>
          <w:sz w:val="22"/>
          <w:szCs w:val="22"/>
          <w:lang w:val="en-GB"/>
        </w:rPr>
        <w:t xml:space="preserve"> meeting</w:t>
      </w:r>
      <w:r w:rsidRPr="00FF018F">
        <w:rPr>
          <w:snapToGrid w:val="0"/>
          <w:kern w:val="22"/>
          <w:sz w:val="22"/>
          <w:szCs w:val="22"/>
          <w:lang w:val="en-GB"/>
        </w:rPr>
        <w:t xml:space="preserve"> (</w:t>
      </w:r>
      <w:r w:rsidR="00E4202C" w:rsidRPr="00FF018F">
        <w:rPr>
          <w:snapToGrid w:val="0"/>
          <w:kern w:val="22"/>
          <w:sz w:val="22"/>
          <w:szCs w:val="22"/>
          <w:lang w:val="en-GB"/>
        </w:rPr>
        <w:t xml:space="preserve">held from 21 to 23 November 2007, </w:t>
      </w:r>
      <w:r w:rsidRPr="00FF018F">
        <w:rPr>
          <w:snapToGrid w:val="0"/>
          <w:kern w:val="22"/>
          <w:sz w:val="22"/>
          <w:szCs w:val="22"/>
          <w:lang w:val="en-GB"/>
        </w:rPr>
        <w:t>approximately two months after the submission deadline)</w:t>
      </w:r>
      <w:r w:rsidR="00057B8F" w:rsidRPr="00FF018F">
        <w:rPr>
          <w:snapToGrid w:val="0"/>
          <w:kern w:val="22"/>
          <w:sz w:val="22"/>
          <w:szCs w:val="22"/>
          <w:lang w:val="en-GB"/>
        </w:rPr>
        <w:t xml:space="preserve">, </w:t>
      </w:r>
      <w:r w:rsidRPr="00FF018F">
        <w:rPr>
          <w:snapToGrid w:val="0"/>
          <w:kern w:val="22"/>
          <w:sz w:val="22"/>
          <w:szCs w:val="22"/>
          <w:lang w:val="en-GB"/>
        </w:rPr>
        <w:t>6</w:t>
      </w:r>
      <w:r w:rsidR="00057B8F" w:rsidRPr="00FF018F">
        <w:rPr>
          <w:snapToGrid w:val="0"/>
          <w:kern w:val="22"/>
          <w:sz w:val="22"/>
          <w:szCs w:val="22"/>
          <w:lang w:val="en-GB"/>
        </w:rPr>
        <w:t xml:space="preserve">2 Parties had submitted their complete </w:t>
      </w:r>
      <w:r w:rsidRPr="00FF018F">
        <w:rPr>
          <w:snapToGrid w:val="0"/>
          <w:kern w:val="22"/>
          <w:sz w:val="22"/>
          <w:szCs w:val="22"/>
          <w:lang w:val="en-GB"/>
        </w:rPr>
        <w:t>first</w:t>
      </w:r>
      <w:r w:rsidR="00057B8F" w:rsidRPr="00FF018F">
        <w:rPr>
          <w:snapToGrid w:val="0"/>
          <w:kern w:val="22"/>
          <w:sz w:val="22"/>
          <w:szCs w:val="22"/>
          <w:lang w:val="en-GB"/>
        </w:rPr>
        <w:t xml:space="preserve"> national report, bringing the submission rate to </w:t>
      </w:r>
      <w:r w:rsidRPr="00FF018F">
        <w:rPr>
          <w:snapToGrid w:val="0"/>
          <w:kern w:val="22"/>
          <w:sz w:val="22"/>
          <w:szCs w:val="22"/>
          <w:lang w:val="en-GB"/>
        </w:rPr>
        <w:t>44</w:t>
      </w:r>
      <w:r w:rsidR="00AB1DBC" w:rsidRPr="00FF018F">
        <w:rPr>
          <w:snapToGrid w:val="0"/>
          <w:kern w:val="22"/>
          <w:sz w:val="22"/>
          <w:szCs w:val="22"/>
          <w:lang w:val="en-GB"/>
        </w:rPr>
        <w:t xml:space="preserve"> per cent</w:t>
      </w:r>
      <w:r w:rsidR="00057B8F" w:rsidRPr="00FF018F">
        <w:rPr>
          <w:snapToGrid w:val="0"/>
          <w:kern w:val="22"/>
          <w:sz w:val="22"/>
          <w:szCs w:val="22"/>
          <w:lang w:val="en-GB"/>
        </w:rPr>
        <w:t>.</w:t>
      </w:r>
      <w:r w:rsidR="00EC4AA7" w:rsidRPr="00FF018F">
        <w:rPr>
          <w:snapToGrid w:val="0"/>
          <w:kern w:val="22"/>
          <w:sz w:val="22"/>
          <w:szCs w:val="22"/>
          <w:lang w:val="en-GB"/>
        </w:rPr>
        <w:t xml:space="preserve"> No GEF funds </w:t>
      </w:r>
      <w:r w:rsidR="001B3675" w:rsidRPr="00FF018F">
        <w:rPr>
          <w:snapToGrid w:val="0"/>
          <w:kern w:val="22"/>
          <w:sz w:val="22"/>
          <w:szCs w:val="22"/>
          <w:lang w:val="en-GB"/>
        </w:rPr>
        <w:t xml:space="preserve">specifically dedicated to supporting Parties in the </w:t>
      </w:r>
      <w:r w:rsidR="00EC4AA7" w:rsidRPr="00FF018F">
        <w:rPr>
          <w:snapToGrid w:val="0"/>
          <w:kern w:val="22"/>
          <w:sz w:val="22"/>
          <w:szCs w:val="22"/>
          <w:lang w:val="en-GB"/>
        </w:rPr>
        <w:t>preparation of first national reports</w:t>
      </w:r>
      <w:r w:rsidR="001B3675" w:rsidRPr="00FF018F">
        <w:rPr>
          <w:snapToGrid w:val="0"/>
          <w:kern w:val="22"/>
          <w:sz w:val="22"/>
          <w:szCs w:val="22"/>
          <w:lang w:val="en-GB"/>
        </w:rPr>
        <w:t xml:space="preserve"> were available</w:t>
      </w:r>
      <w:r w:rsidR="00EC4AA7" w:rsidRPr="00FF018F">
        <w:rPr>
          <w:snapToGrid w:val="0"/>
          <w:kern w:val="22"/>
          <w:sz w:val="22"/>
          <w:szCs w:val="22"/>
          <w:lang w:val="en-GB"/>
        </w:rPr>
        <w:t>.</w:t>
      </w:r>
    </w:p>
    <w:p w14:paraId="370C17DF" w14:textId="2FE3B12F"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A regional breakdown of first national reports received by 16 October 2007 is provided in </w:t>
      </w:r>
      <w:r w:rsidR="00335091" w:rsidRPr="00FF018F">
        <w:rPr>
          <w:snapToGrid w:val="0"/>
          <w:kern w:val="22"/>
          <w:sz w:val="22"/>
          <w:szCs w:val="22"/>
          <w:lang w:val="en-GB"/>
        </w:rPr>
        <w:t>table</w:t>
      </w:r>
      <w:r w:rsidRPr="00FF018F">
        <w:rPr>
          <w:snapToGrid w:val="0"/>
          <w:kern w:val="22"/>
          <w:sz w:val="22"/>
          <w:szCs w:val="22"/>
          <w:lang w:val="en-GB"/>
        </w:rPr>
        <w:t xml:space="preserve"> 4.</w:t>
      </w:r>
    </w:p>
    <w:p w14:paraId="271A450B" w14:textId="094B7A09" w:rsidR="003B71B5" w:rsidRPr="00FF018F" w:rsidRDefault="00335091" w:rsidP="008159AD">
      <w:pPr>
        <w:pStyle w:val="Para10"/>
        <w:keepNext/>
        <w:suppressLineNumbers/>
        <w:tabs>
          <w:tab w:val="clear" w:pos="644"/>
        </w:tabs>
        <w:suppressAutoHyphens/>
        <w:spacing w:before="120" w:after="240"/>
        <w:ind w:left="0" w:firstLine="357"/>
        <w:rPr>
          <w:snapToGrid w:val="0"/>
          <w:kern w:val="22"/>
          <w:sz w:val="22"/>
          <w:szCs w:val="22"/>
          <w:lang w:val="en-GB"/>
        </w:rPr>
      </w:pPr>
      <w:r w:rsidRPr="00FF018F">
        <w:rPr>
          <w:b/>
          <w:bCs/>
          <w:snapToGrid w:val="0"/>
          <w:kern w:val="22"/>
          <w:sz w:val="22"/>
          <w:szCs w:val="22"/>
          <w:lang w:val="en-GB"/>
        </w:rPr>
        <w:lastRenderedPageBreak/>
        <w:t>Table</w:t>
      </w:r>
      <w:r w:rsidR="003B71B5" w:rsidRPr="00FF018F">
        <w:rPr>
          <w:b/>
          <w:bCs/>
          <w:snapToGrid w:val="0"/>
          <w:kern w:val="22"/>
          <w:sz w:val="22"/>
          <w:szCs w:val="22"/>
          <w:lang w:val="en-GB"/>
        </w:rPr>
        <w:t xml:space="preserve"> 4. Regional breakdown of first national reports received by 16 October 2007</w:t>
      </w:r>
    </w:p>
    <w:tbl>
      <w:tblPr>
        <w:tblStyle w:val="TableGrid"/>
        <w:tblW w:w="0" w:type="auto"/>
        <w:jc w:val="center"/>
        <w:tblLook w:val="04A0" w:firstRow="1" w:lastRow="0" w:firstColumn="1" w:lastColumn="0" w:noHBand="0" w:noVBand="1"/>
      </w:tblPr>
      <w:tblGrid>
        <w:gridCol w:w="3256"/>
        <w:gridCol w:w="3969"/>
        <w:gridCol w:w="2227"/>
      </w:tblGrid>
      <w:tr w:rsidR="00F32883" w:rsidRPr="00FF018F" w14:paraId="7DD19590" w14:textId="77777777" w:rsidTr="00170F9C">
        <w:trPr>
          <w:cantSplit/>
          <w:jc w:val="center"/>
        </w:trPr>
        <w:tc>
          <w:tcPr>
            <w:tcW w:w="3256" w:type="dxa"/>
            <w:shd w:val="pct15" w:color="EEECE1" w:themeColor="background2" w:fill="auto"/>
            <w:vAlign w:val="center"/>
          </w:tcPr>
          <w:p w14:paraId="35D7756A" w14:textId="3A5D55B9" w:rsidR="003B71B5" w:rsidRPr="00FF018F" w:rsidRDefault="003B71B5" w:rsidP="008159AD">
            <w:pPr>
              <w:pStyle w:val="Para10"/>
              <w:keepNext/>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 xml:space="preserve">Regional </w:t>
            </w:r>
            <w:r w:rsidR="00E84CBF" w:rsidRPr="00FF018F">
              <w:rPr>
                <w:i/>
                <w:iCs/>
                <w:snapToGrid w:val="0"/>
                <w:kern w:val="22"/>
                <w:sz w:val="22"/>
                <w:szCs w:val="22"/>
                <w:lang w:val="en-GB"/>
              </w:rPr>
              <w:t>g</w:t>
            </w:r>
            <w:r w:rsidRPr="00FF018F">
              <w:rPr>
                <w:i/>
                <w:iCs/>
                <w:snapToGrid w:val="0"/>
                <w:kern w:val="22"/>
                <w:sz w:val="22"/>
                <w:szCs w:val="22"/>
                <w:lang w:val="en-GB"/>
              </w:rPr>
              <w:t>roups</w:t>
            </w:r>
          </w:p>
        </w:tc>
        <w:tc>
          <w:tcPr>
            <w:tcW w:w="3969" w:type="dxa"/>
            <w:shd w:val="pct15" w:color="EEECE1" w:themeColor="background2" w:fill="auto"/>
            <w:vAlign w:val="center"/>
          </w:tcPr>
          <w:p w14:paraId="25C022C0" w14:textId="25841813" w:rsidR="003B71B5" w:rsidRPr="00FF018F" w:rsidRDefault="003B71B5" w:rsidP="008159AD">
            <w:pPr>
              <w:pStyle w:val="Para10"/>
              <w:keepNext/>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Number of Parties that submitted a complete first national report</w:t>
            </w:r>
            <w:r w:rsidR="00170F9C" w:rsidRPr="00FF018F">
              <w:rPr>
                <w:i/>
                <w:iCs/>
                <w:snapToGrid w:val="0"/>
                <w:kern w:val="22"/>
                <w:sz w:val="22"/>
                <w:szCs w:val="22"/>
                <w:lang w:val="en-GB"/>
              </w:rPr>
              <w:br/>
            </w:r>
            <w:r w:rsidRPr="00FF018F">
              <w:rPr>
                <w:i/>
                <w:iCs/>
                <w:snapToGrid w:val="0"/>
                <w:kern w:val="22"/>
                <w:sz w:val="22"/>
                <w:szCs w:val="22"/>
                <w:lang w:val="en-GB"/>
              </w:rPr>
              <w:t>(</w:t>
            </w:r>
            <w:r w:rsidR="00170F9C" w:rsidRPr="00FF018F">
              <w:rPr>
                <w:i/>
                <w:iCs/>
                <w:snapToGrid w:val="0"/>
                <w:kern w:val="22"/>
                <w:sz w:val="22"/>
                <w:szCs w:val="22"/>
                <w:lang w:val="en-GB"/>
              </w:rPr>
              <w:t>T</w:t>
            </w:r>
            <w:r w:rsidRPr="00FF018F">
              <w:rPr>
                <w:i/>
                <w:iCs/>
                <w:snapToGrid w:val="0"/>
                <w:kern w:val="22"/>
                <w:sz w:val="22"/>
                <w:szCs w:val="22"/>
                <w:lang w:val="en-GB"/>
              </w:rPr>
              <w:t>otal number of Parties for each region)</w:t>
            </w:r>
          </w:p>
        </w:tc>
        <w:tc>
          <w:tcPr>
            <w:tcW w:w="2227" w:type="dxa"/>
            <w:shd w:val="pct15" w:color="EEECE1" w:themeColor="background2" w:fill="auto"/>
            <w:vAlign w:val="center"/>
          </w:tcPr>
          <w:p w14:paraId="5701DEEA" w14:textId="0D4D01DD" w:rsidR="00170F9C" w:rsidRPr="00FF018F" w:rsidRDefault="003B71B5" w:rsidP="008159AD">
            <w:pPr>
              <w:pStyle w:val="Para10"/>
              <w:keepNext/>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Regional submission rate</w:t>
            </w:r>
            <w:r w:rsidR="00E84CBF" w:rsidRPr="00FF018F">
              <w:rPr>
                <w:i/>
                <w:iCs/>
                <w:snapToGrid w:val="0"/>
                <w:kern w:val="22"/>
                <w:sz w:val="22"/>
                <w:szCs w:val="22"/>
                <w:lang w:val="en-GB"/>
              </w:rPr>
              <w:br/>
            </w:r>
            <w:r w:rsidR="00170F9C" w:rsidRPr="00FF018F">
              <w:rPr>
                <w:i/>
                <w:iCs/>
                <w:snapToGrid w:val="0"/>
                <w:kern w:val="22"/>
                <w:sz w:val="22"/>
                <w:szCs w:val="22"/>
                <w:lang w:val="en-GB"/>
              </w:rPr>
              <w:t>(Percentage)</w:t>
            </w:r>
          </w:p>
        </w:tc>
      </w:tr>
      <w:tr w:rsidR="003B71B5" w:rsidRPr="00FF018F" w14:paraId="193128DE" w14:textId="77777777" w:rsidTr="008159AD">
        <w:trPr>
          <w:cantSplit/>
          <w:jc w:val="center"/>
        </w:trPr>
        <w:tc>
          <w:tcPr>
            <w:tcW w:w="3256" w:type="dxa"/>
          </w:tcPr>
          <w:p w14:paraId="6C63BE5B"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p>
        </w:tc>
        <w:tc>
          <w:tcPr>
            <w:tcW w:w="3969" w:type="dxa"/>
          </w:tcPr>
          <w:p w14:paraId="498A8B70"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p>
        </w:tc>
        <w:tc>
          <w:tcPr>
            <w:tcW w:w="2227" w:type="dxa"/>
          </w:tcPr>
          <w:p w14:paraId="6314348E"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p>
        </w:tc>
      </w:tr>
      <w:tr w:rsidR="001A1BD9" w:rsidRPr="00FF018F" w14:paraId="45D68539" w14:textId="77777777" w:rsidTr="00170F9C">
        <w:trPr>
          <w:cantSplit/>
          <w:jc w:val="center"/>
        </w:trPr>
        <w:tc>
          <w:tcPr>
            <w:tcW w:w="3256" w:type="dxa"/>
            <w:vAlign w:val="center"/>
          </w:tcPr>
          <w:p w14:paraId="0DF99B1A"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Africa</w:t>
            </w:r>
          </w:p>
        </w:tc>
        <w:tc>
          <w:tcPr>
            <w:tcW w:w="3969" w:type="dxa"/>
            <w:vAlign w:val="center"/>
          </w:tcPr>
          <w:p w14:paraId="3BBFEEBD" w14:textId="579C5FE0" w:rsidR="003B71B5" w:rsidRPr="00FF018F" w:rsidRDefault="003B71B5" w:rsidP="008159AD">
            <w:pPr>
              <w:pStyle w:val="Para10"/>
              <w:keepNext/>
              <w:suppressLineNumbers/>
              <w:tabs>
                <w:tab w:val="clear" w:pos="644"/>
              </w:tabs>
              <w:suppressAutoHyphens/>
              <w:ind w:left="1591"/>
              <w:rPr>
                <w:snapToGrid w:val="0"/>
                <w:kern w:val="22"/>
                <w:sz w:val="22"/>
                <w:szCs w:val="22"/>
                <w:lang w:val="en-GB"/>
              </w:rPr>
            </w:pPr>
            <w:r w:rsidRPr="00FF018F">
              <w:rPr>
                <w:snapToGrid w:val="0"/>
                <w:kern w:val="22"/>
                <w:sz w:val="22"/>
                <w:szCs w:val="22"/>
                <w:lang w:val="en-GB"/>
              </w:rPr>
              <w:t>15 (</w:t>
            </w:r>
            <w:r w:rsidRPr="00FF018F">
              <w:rPr>
                <w:i/>
                <w:snapToGrid w:val="0"/>
                <w:kern w:val="22"/>
                <w:sz w:val="22"/>
                <w:szCs w:val="22"/>
                <w:lang w:val="en-GB"/>
              </w:rPr>
              <w:t>40</w:t>
            </w:r>
            <w:r w:rsidRPr="00FF018F">
              <w:rPr>
                <w:snapToGrid w:val="0"/>
                <w:kern w:val="22"/>
                <w:sz w:val="22"/>
                <w:szCs w:val="22"/>
                <w:lang w:val="en-GB"/>
              </w:rPr>
              <w:t>)</w:t>
            </w:r>
          </w:p>
        </w:tc>
        <w:tc>
          <w:tcPr>
            <w:tcW w:w="2227" w:type="dxa"/>
            <w:vAlign w:val="center"/>
          </w:tcPr>
          <w:p w14:paraId="4D36AEA3" w14:textId="2516FF73" w:rsidR="003B71B5" w:rsidRPr="00FF018F" w:rsidRDefault="003B71B5" w:rsidP="008159AD">
            <w:pPr>
              <w:pStyle w:val="Para10"/>
              <w:keepNext/>
              <w:suppressLineNumbers/>
              <w:tabs>
                <w:tab w:val="clear" w:pos="644"/>
              </w:tabs>
              <w:suppressAutoHyphens/>
              <w:ind w:left="888"/>
              <w:jc w:val="both"/>
              <w:rPr>
                <w:snapToGrid w:val="0"/>
                <w:kern w:val="22"/>
                <w:sz w:val="22"/>
                <w:szCs w:val="22"/>
                <w:lang w:val="en-GB"/>
              </w:rPr>
            </w:pPr>
            <w:r w:rsidRPr="00FF018F">
              <w:rPr>
                <w:snapToGrid w:val="0"/>
                <w:kern w:val="22"/>
                <w:sz w:val="22"/>
                <w:szCs w:val="22"/>
                <w:lang w:val="en-GB"/>
              </w:rPr>
              <w:t>38</w:t>
            </w:r>
          </w:p>
        </w:tc>
      </w:tr>
      <w:tr w:rsidR="001A1BD9" w:rsidRPr="00FF018F" w14:paraId="3BFCBC59" w14:textId="77777777" w:rsidTr="00170F9C">
        <w:trPr>
          <w:cantSplit/>
          <w:jc w:val="center"/>
        </w:trPr>
        <w:tc>
          <w:tcPr>
            <w:tcW w:w="3256" w:type="dxa"/>
            <w:vAlign w:val="center"/>
          </w:tcPr>
          <w:p w14:paraId="51C1A5A9" w14:textId="77777777"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Asia and the Pacific</w:t>
            </w:r>
          </w:p>
        </w:tc>
        <w:tc>
          <w:tcPr>
            <w:tcW w:w="3969" w:type="dxa"/>
            <w:vAlign w:val="center"/>
          </w:tcPr>
          <w:p w14:paraId="0CFD28F4" w14:textId="77777777" w:rsidR="003B71B5" w:rsidRPr="00FF018F" w:rsidRDefault="003B71B5" w:rsidP="008159AD">
            <w:pPr>
              <w:pStyle w:val="Para10"/>
              <w:keepNext/>
              <w:suppressLineNumbers/>
              <w:tabs>
                <w:tab w:val="clear" w:pos="644"/>
              </w:tabs>
              <w:suppressAutoHyphens/>
              <w:ind w:left="1591"/>
              <w:rPr>
                <w:snapToGrid w:val="0"/>
                <w:kern w:val="22"/>
                <w:sz w:val="22"/>
                <w:szCs w:val="22"/>
                <w:lang w:val="en-GB"/>
              </w:rPr>
            </w:pPr>
            <w:r w:rsidRPr="00FF018F">
              <w:rPr>
                <w:snapToGrid w:val="0"/>
                <w:kern w:val="22"/>
                <w:sz w:val="22"/>
                <w:szCs w:val="22"/>
                <w:lang w:val="en-GB"/>
              </w:rPr>
              <w:t>5 (</w:t>
            </w:r>
            <w:r w:rsidRPr="00FF018F">
              <w:rPr>
                <w:i/>
                <w:snapToGrid w:val="0"/>
                <w:kern w:val="22"/>
                <w:sz w:val="22"/>
                <w:szCs w:val="22"/>
                <w:lang w:val="en-GB"/>
              </w:rPr>
              <w:t>35</w:t>
            </w:r>
            <w:r w:rsidRPr="00FF018F">
              <w:rPr>
                <w:snapToGrid w:val="0"/>
                <w:kern w:val="22"/>
                <w:sz w:val="22"/>
                <w:szCs w:val="22"/>
                <w:lang w:val="en-GB"/>
              </w:rPr>
              <w:t>)</w:t>
            </w:r>
          </w:p>
        </w:tc>
        <w:tc>
          <w:tcPr>
            <w:tcW w:w="2227" w:type="dxa"/>
            <w:vAlign w:val="center"/>
          </w:tcPr>
          <w:p w14:paraId="6718C2F9" w14:textId="7E52A7E7" w:rsidR="003B71B5" w:rsidRPr="00FF018F" w:rsidRDefault="003B71B5" w:rsidP="008159AD">
            <w:pPr>
              <w:pStyle w:val="Para10"/>
              <w:keepNext/>
              <w:suppressLineNumbers/>
              <w:tabs>
                <w:tab w:val="clear" w:pos="644"/>
              </w:tabs>
              <w:suppressAutoHyphens/>
              <w:ind w:left="888"/>
              <w:jc w:val="both"/>
              <w:rPr>
                <w:snapToGrid w:val="0"/>
                <w:kern w:val="22"/>
                <w:sz w:val="22"/>
                <w:szCs w:val="22"/>
                <w:lang w:val="en-GB"/>
              </w:rPr>
            </w:pPr>
            <w:r w:rsidRPr="00FF018F">
              <w:rPr>
                <w:snapToGrid w:val="0"/>
                <w:kern w:val="22"/>
                <w:sz w:val="22"/>
                <w:szCs w:val="22"/>
                <w:lang w:val="en-GB"/>
              </w:rPr>
              <w:t>14</w:t>
            </w:r>
          </w:p>
        </w:tc>
      </w:tr>
      <w:tr w:rsidR="001A1BD9" w:rsidRPr="00FF018F" w14:paraId="5EDF1231" w14:textId="77777777" w:rsidTr="00170F9C">
        <w:trPr>
          <w:cantSplit/>
          <w:jc w:val="center"/>
        </w:trPr>
        <w:tc>
          <w:tcPr>
            <w:tcW w:w="3256" w:type="dxa"/>
            <w:vAlign w:val="center"/>
          </w:tcPr>
          <w:p w14:paraId="69D27FC4" w14:textId="440053E9"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Central and Eastern Europe</w:t>
            </w:r>
          </w:p>
        </w:tc>
        <w:tc>
          <w:tcPr>
            <w:tcW w:w="3969" w:type="dxa"/>
            <w:vAlign w:val="center"/>
          </w:tcPr>
          <w:p w14:paraId="4B7C6F73" w14:textId="77777777" w:rsidR="003B71B5" w:rsidRPr="00FF018F" w:rsidRDefault="003B71B5" w:rsidP="008159AD">
            <w:pPr>
              <w:pStyle w:val="Para10"/>
              <w:keepNext/>
              <w:suppressLineNumbers/>
              <w:tabs>
                <w:tab w:val="clear" w:pos="644"/>
              </w:tabs>
              <w:suppressAutoHyphens/>
              <w:ind w:left="1591"/>
              <w:rPr>
                <w:snapToGrid w:val="0"/>
                <w:kern w:val="22"/>
                <w:sz w:val="22"/>
                <w:szCs w:val="22"/>
                <w:lang w:val="en-GB"/>
              </w:rPr>
            </w:pPr>
            <w:r w:rsidRPr="00FF018F">
              <w:rPr>
                <w:snapToGrid w:val="0"/>
                <w:kern w:val="22"/>
                <w:sz w:val="22"/>
                <w:szCs w:val="22"/>
                <w:lang w:val="en-GB"/>
              </w:rPr>
              <w:t>5 (</w:t>
            </w:r>
            <w:r w:rsidRPr="00FF018F">
              <w:rPr>
                <w:i/>
                <w:snapToGrid w:val="0"/>
                <w:kern w:val="22"/>
                <w:sz w:val="22"/>
                <w:szCs w:val="22"/>
                <w:lang w:val="en-GB"/>
              </w:rPr>
              <w:t>20</w:t>
            </w:r>
            <w:r w:rsidRPr="00FF018F">
              <w:rPr>
                <w:snapToGrid w:val="0"/>
                <w:kern w:val="22"/>
                <w:sz w:val="22"/>
                <w:szCs w:val="22"/>
                <w:lang w:val="en-GB"/>
              </w:rPr>
              <w:t>)</w:t>
            </w:r>
          </w:p>
        </w:tc>
        <w:tc>
          <w:tcPr>
            <w:tcW w:w="2227" w:type="dxa"/>
            <w:vAlign w:val="center"/>
          </w:tcPr>
          <w:p w14:paraId="7FCC622B" w14:textId="5B9FE962" w:rsidR="003B71B5" w:rsidRPr="00FF018F" w:rsidRDefault="003B71B5" w:rsidP="008159AD">
            <w:pPr>
              <w:pStyle w:val="Para10"/>
              <w:keepNext/>
              <w:suppressLineNumbers/>
              <w:tabs>
                <w:tab w:val="clear" w:pos="644"/>
              </w:tabs>
              <w:suppressAutoHyphens/>
              <w:ind w:left="888"/>
              <w:jc w:val="both"/>
              <w:rPr>
                <w:snapToGrid w:val="0"/>
                <w:kern w:val="22"/>
                <w:sz w:val="22"/>
                <w:szCs w:val="22"/>
                <w:lang w:val="en-GB"/>
              </w:rPr>
            </w:pPr>
            <w:r w:rsidRPr="00FF018F">
              <w:rPr>
                <w:snapToGrid w:val="0"/>
                <w:kern w:val="22"/>
                <w:sz w:val="22"/>
                <w:szCs w:val="22"/>
                <w:lang w:val="en-GB"/>
              </w:rPr>
              <w:t>25</w:t>
            </w:r>
          </w:p>
        </w:tc>
      </w:tr>
      <w:tr w:rsidR="001A1BD9" w:rsidRPr="00FF018F" w14:paraId="31765D53" w14:textId="77777777" w:rsidTr="00170F9C">
        <w:trPr>
          <w:cantSplit/>
          <w:jc w:val="center"/>
        </w:trPr>
        <w:tc>
          <w:tcPr>
            <w:tcW w:w="3256" w:type="dxa"/>
            <w:vAlign w:val="center"/>
          </w:tcPr>
          <w:p w14:paraId="2EC9C455" w14:textId="20C94958" w:rsidR="003B71B5" w:rsidRPr="00FF018F" w:rsidRDefault="003B71B5" w:rsidP="008159AD">
            <w:pPr>
              <w:pStyle w:val="Para10"/>
              <w:keepNext/>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Latin America and Caribbean</w:t>
            </w:r>
          </w:p>
        </w:tc>
        <w:tc>
          <w:tcPr>
            <w:tcW w:w="3969" w:type="dxa"/>
            <w:vAlign w:val="center"/>
          </w:tcPr>
          <w:p w14:paraId="0D7DC540" w14:textId="77777777" w:rsidR="003B71B5" w:rsidRPr="00FF018F" w:rsidRDefault="003B71B5" w:rsidP="008159AD">
            <w:pPr>
              <w:pStyle w:val="Para10"/>
              <w:keepNext/>
              <w:suppressLineNumbers/>
              <w:tabs>
                <w:tab w:val="clear" w:pos="644"/>
              </w:tabs>
              <w:suppressAutoHyphens/>
              <w:ind w:left="1591"/>
              <w:rPr>
                <w:snapToGrid w:val="0"/>
                <w:kern w:val="22"/>
                <w:sz w:val="22"/>
                <w:szCs w:val="22"/>
                <w:lang w:val="en-GB"/>
              </w:rPr>
            </w:pPr>
            <w:r w:rsidRPr="00FF018F">
              <w:rPr>
                <w:snapToGrid w:val="0"/>
                <w:kern w:val="22"/>
                <w:sz w:val="22"/>
                <w:szCs w:val="22"/>
                <w:lang w:val="en-GB"/>
              </w:rPr>
              <w:t>11 (</w:t>
            </w:r>
            <w:r w:rsidRPr="00FF018F">
              <w:rPr>
                <w:i/>
                <w:snapToGrid w:val="0"/>
                <w:kern w:val="22"/>
                <w:sz w:val="22"/>
                <w:szCs w:val="22"/>
                <w:lang w:val="en-GB"/>
              </w:rPr>
              <w:t>25</w:t>
            </w:r>
            <w:r w:rsidRPr="00FF018F">
              <w:rPr>
                <w:snapToGrid w:val="0"/>
                <w:kern w:val="22"/>
                <w:sz w:val="22"/>
                <w:szCs w:val="22"/>
                <w:lang w:val="en-GB"/>
              </w:rPr>
              <w:t>)</w:t>
            </w:r>
          </w:p>
        </w:tc>
        <w:tc>
          <w:tcPr>
            <w:tcW w:w="2227" w:type="dxa"/>
            <w:vAlign w:val="center"/>
          </w:tcPr>
          <w:p w14:paraId="2D04EFF5" w14:textId="650F684B" w:rsidR="003B71B5" w:rsidRPr="00FF018F" w:rsidRDefault="003B71B5" w:rsidP="008159AD">
            <w:pPr>
              <w:pStyle w:val="Para10"/>
              <w:keepNext/>
              <w:suppressLineNumbers/>
              <w:tabs>
                <w:tab w:val="clear" w:pos="644"/>
              </w:tabs>
              <w:suppressAutoHyphens/>
              <w:ind w:left="888"/>
              <w:jc w:val="both"/>
              <w:rPr>
                <w:snapToGrid w:val="0"/>
                <w:kern w:val="22"/>
                <w:sz w:val="22"/>
                <w:szCs w:val="22"/>
                <w:lang w:val="en-GB"/>
              </w:rPr>
            </w:pPr>
            <w:r w:rsidRPr="00FF018F">
              <w:rPr>
                <w:snapToGrid w:val="0"/>
                <w:kern w:val="22"/>
                <w:sz w:val="22"/>
                <w:szCs w:val="22"/>
                <w:lang w:val="en-GB"/>
              </w:rPr>
              <w:t>44</w:t>
            </w:r>
          </w:p>
        </w:tc>
      </w:tr>
      <w:tr w:rsidR="001A1BD9" w:rsidRPr="00FF018F" w14:paraId="0A7E88F1" w14:textId="77777777" w:rsidTr="00170F9C">
        <w:trPr>
          <w:cantSplit/>
          <w:jc w:val="center"/>
        </w:trPr>
        <w:tc>
          <w:tcPr>
            <w:tcW w:w="3256" w:type="dxa"/>
            <w:vAlign w:val="center"/>
          </w:tcPr>
          <w:p w14:paraId="24E71265" w14:textId="1B20EF59"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Western European and Others</w:t>
            </w:r>
          </w:p>
        </w:tc>
        <w:tc>
          <w:tcPr>
            <w:tcW w:w="3969" w:type="dxa"/>
            <w:vAlign w:val="center"/>
          </w:tcPr>
          <w:p w14:paraId="4FB96CFB" w14:textId="77777777" w:rsidR="003B71B5" w:rsidRPr="00FF018F" w:rsidRDefault="003B71B5" w:rsidP="008159AD">
            <w:pPr>
              <w:pStyle w:val="Para10"/>
              <w:suppressLineNumbers/>
              <w:tabs>
                <w:tab w:val="clear" w:pos="644"/>
              </w:tabs>
              <w:suppressAutoHyphens/>
              <w:ind w:left="1591"/>
              <w:rPr>
                <w:snapToGrid w:val="0"/>
                <w:kern w:val="22"/>
                <w:sz w:val="22"/>
                <w:szCs w:val="22"/>
                <w:lang w:val="en-GB"/>
              </w:rPr>
            </w:pPr>
            <w:r w:rsidRPr="00FF018F">
              <w:rPr>
                <w:snapToGrid w:val="0"/>
                <w:kern w:val="22"/>
                <w:sz w:val="22"/>
                <w:szCs w:val="22"/>
                <w:lang w:val="en-GB"/>
              </w:rPr>
              <w:t>14 (</w:t>
            </w:r>
            <w:r w:rsidRPr="00FF018F">
              <w:rPr>
                <w:i/>
                <w:snapToGrid w:val="0"/>
                <w:kern w:val="22"/>
                <w:sz w:val="22"/>
                <w:szCs w:val="22"/>
                <w:lang w:val="en-GB"/>
              </w:rPr>
              <w:t>21</w:t>
            </w:r>
            <w:r w:rsidRPr="00FF018F">
              <w:rPr>
                <w:snapToGrid w:val="0"/>
                <w:kern w:val="22"/>
                <w:sz w:val="22"/>
                <w:szCs w:val="22"/>
                <w:lang w:val="en-GB"/>
              </w:rPr>
              <w:t>)</w:t>
            </w:r>
          </w:p>
        </w:tc>
        <w:tc>
          <w:tcPr>
            <w:tcW w:w="2227" w:type="dxa"/>
            <w:vAlign w:val="center"/>
          </w:tcPr>
          <w:p w14:paraId="1796AD2E" w14:textId="598AE499" w:rsidR="003B71B5" w:rsidRPr="00FF018F" w:rsidRDefault="003B71B5" w:rsidP="008159AD">
            <w:pPr>
              <w:pStyle w:val="Para10"/>
              <w:suppressLineNumbers/>
              <w:tabs>
                <w:tab w:val="clear" w:pos="644"/>
              </w:tabs>
              <w:suppressAutoHyphens/>
              <w:ind w:left="888"/>
              <w:jc w:val="both"/>
              <w:rPr>
                <w:snapToGrid w:val="0"/>
                <w:kern w:val="22"/>
                <w:sz w:val="22"/>
                <w:szCs w:val="22"/>
                <w:lang w:val="en-GB"/>
              </w:rPr>
            </w:pPr>
            <w:r w:rsidRPr="00FF018F">
              <w:rPr>
                <w:snapToGrid w:val="0"/>
                <w:kern w:val="22"/>
                <w:sz w:val="22"/>
                <w:szCs w:val="22"/>
                <w:lang w:val="en-GB"/>
              </w:rPr>
              <w:t>67</w:t>
            </w:r>
          </w:p>
        </w:tc>
      </w:tr>
    </w:tbl>
    <w:p w14:paraId="3358471D" w14:textId="77777777" w:rsidR="003B71B5" w:rsidRPr="00FF018F" w:rsidRDefault="003B71B5" w:rsidP="008159AD">
      <w:pPr>
        <w:pStyle w:val="Para10"/>
        <w:suppressLineNumbers/>
        <w:tabs>
          <w:tab w:val="clear" w:pos="644"/>
        </w:tabs>
        <w:suppressAutoHyphens/>
        <w:ind w:left="0"/>
        <w:rPr>
          <w:snapToGrid w:val="0"/>
          <w:kern w:val="22"/>
          <w:sz w:val="22"/>
          <w:szCs w:val="22"/>
          <w:lang w:val="en-GB"/>
        </w:rPr>
      </w:pPr>
    </w:p>
    <w:p w14:paraId="732241D0" w14:textId="3EECC308" w:rsidR="003B71B5" w:rsidRPr="00FF018F" w:rsidRDefault="00704A99"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At</w:t>
      </w:r>
      <w:r w:rsidR="003B71B5" w:rsidRPr="00FF018F">
        <w:rPr>
          <w:snapToGrid w:val="0"/>
          <w:kern w:val="22"/>
          <w:sz w:val="22"/>
          <w:szCs w:val="22"/>
          <w:lang w:val="en-GB"/>
        </w:rPr>
        <w:t xml:space="preserve"> its fourth meeting, the Committee noted that financial support for the preparation of the second national report had not been easily available despite the guidance provided by the Conference of the Parties to the financial mechanisms </w:t>
      </w:r>
      <w:r w:rsidR="0036130D" w:rsidRPr="00FF018F">
        <w:rPr>
          <w:snapToGrid w:val="0"/>
          <w:kern w:val="22"/>
          <w:sz w:val="22"/>
          <w:szCs w:val="22"/>
          <w:lang w:val="en-GB"/>
        </w:rPr>
        <w:t xml:space="preserve">in this regard </w:t>
      </w:r>
      <w:r w:rsidR="003B71B5" w:rsidRPr="00FF018F">
        <w:rPr>
          <w:snapToGrid w:val="0"/>
          <w:kern w:val="22"/>
          <w:sz w:val="22"/>
          <w:szCs w:val="22"/>
          <w:lang w:val="en-GB"/>
        </w:rPr>
        <w:t>(decision VIII/18, para. 12(i)</w:t>
      </w:r>
      <w:r w:rsidR="006543D2" w:rsidRPr="00FF018F">
        <w:rPr>
          <w:snapToGrid w:val="0"/>
          <w:kern w:val="22"/>
          <w:sz w:val="22"/>
          <w:szCs w:val="22"/>
          <w:lang w:val="en-GB"/>
        </w:rPr>
        <w:t>)</w:t>
      </w:r>
      <w:r w:rsidR="003B71B5" w:rsidRPr="00FF018F">
        <w:rPr>
          <w:snapToGrid w:val="0"/>
          <w:kern w:val="22"/>
          <w:sz w:val="22"/>
          <w:szCs w:val="22"/>
          <w:lang w:val="en-GB"/>
        </w:rPr>
        <w:t>.</w:t>
      </w:r>
      <w:r w:rsidR="0036130D" w:rsidRPr="00FF018F">
        <w:rPr>
          <w:rStyle w:val="FootnoteReference"/>
          <w:rFonts w:eastAsiaTheme="majorEastAsia"/>
          <w:snapToGrid w:val="0"/>
          <w:kern w:val="22"/>
          <w:sz w:val="22"/>
          <w:szCs w:val="22"/>
          <w:u w:val="none"/>
          <w:vertAlign w:val="superscript"/>
          <w:lang w:val="en-GB" w:eastAsia="en-US"/>
        </w:rPr>
        <w:footnoteReference w:id="21"/>
      </w:r>
    </w:p>
    <w:p w14:paraId="34CAD7C9" w14:textId="4A4F92E9" w:rsidR="003B71B5" w:rsidRPr="00FF018F" w:rsidRDefault="004B58DF" w:rsidP="008159AD">
      <w:pPr>
        <w:pStyle w:val="Heading2"/>
        <w:numPr>
          <w:ilvl w:val="0"/>
          <w:numId w:val="26"/>
        </w:numPr>
        <w:suppressLineNumbers/>
        <w:suppressAutoHyphens/>
        <w:ind w:left="714" w:hanging="357"/>
        <w:rPr>
          <w:snapToGrid w:val="0"/>
          <w:kern w:val="22"/>
          <w:szCs w:val="22"/>
        </w:rPr>
      </w:pPr>
      <w:r w:rsidRPr="00FF018F">
        <w:rPr>
          <w:snapToGrid w:val="0"/>
          <w:kern w:val="22"/>
          <w:szCs w:val="22"/>
        </w:rPr>
        <w:t>I</w:t>
      </w:r>
      <w:r w:rsidR="003B71B5" w:rsidRPr="00FF018F">
        <w:rPr>
          <w:snapToGrid w:val="0"/>
          <w:kern w:val="22"/>
          <w:szCs w:val="22"/>
        </w:rPr>
        <w:t>nterim national reports</w:t>
      </w:r>
    </w:p>
    <w:p w14:paraId="37A13E75" w14:textId="1A771F32" w:rsidR="00EC4AA7"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Interim national reports were due on 11 September 2005. By 11 October 2005, one month after the submission deadline, 44 Parties had submitted an interim national report of the 120 Parties </w:t>
      </w:r>
      <w:r w:rsidR="00C40566" w:rsidRPr="00FF018F">
        <w:rPr>
          <w:snapToGrid w:val="0"/>
          <w:kern w:val="22"/>
          <w:sz w:val="22"/>
          <w:szCs w:val="22"/>
          <w:lang w:val="en-GB"/>
        </w:rPr>
        <w:t>that had the obligation to do so. This</w:t>
      </w:r>
      <w:r w:rsidRPr="00FF018F">
        <w:rPr>
          <w:snapToGrid w:val="0"/>
          <w:kern w:val="22"/>
          <w:sz w:val="22"/>
          <w:szCs w:val="22"/>
          <w:lang w:val="en-GB"/>
        </w:rPr>
        <w:t xml:space="preserve"> represented a reporting rate of 37</w:t>
      </w:r>
      <w:r w:rsidR="0083607F" w:rsidRPr="00FF018F">
        <w:rPr>
          <w:snapToGrid w:val="0"/>
          <w:kern w:val="22"/>
          <w:sz w:val="22"/>
          <w:szCs w:val="22"/>
          <w:lang w:val="en-GB"/>
        </w:rPr>
        <w:t xml:space="preserve"> per cent</w:t>
      </w:r>
      <w:r w:rsidRPr="00FF018F">
        <w:rPr>
          <w:snapToGrid w:val="0"/>
          <w:kern w:val="22"/>
          <w:sz w:val="22"/>
          <w:szCs w:val="22"/>
          <w:lang w:val="en-GB"/>
        </w:rPr>
        <w:t xml:space="preserve">. A regional breakdown of interim national reports received by 11 October 2005 is provided in </w:t>
      </w:r>
      <w:r w:rsidR="00335091" w:rsidRPr="00FF018F">
        <w:rPr>
          <w:snapToGrid w:val="0"/>
          <w:kern w:val="22"/>
          <w:sz w:val="22"/>
          <w:szCs w:val="22"/>
          <w:lang w:val="en-GB"/>
        </w:rPr>
        <w:t>table</w:t>
      </w:r>
      <w:r w:rsidR="00EE1C85" w:rsidRPr="00FF018F">
        <w:rPr>
          <w:snapToGrid w:val="0"/>
          <w:kern w:val="22"/>
          <w:sz w:val="22"/>
          <w:szCs w:val="22"/>
          <w:lang w:val="en-GB"/>
        </w:rPr>
        <w:t> </w:t>
      </w:r>
      <w:r w:rsidRPr="00FF018F">
        <w:rPr>
          <w:snapToGrid w:val="0"/>
          <w:kern w:val="22"/>
          <w:sz w:val="22"/>
          <w:szCs w:val="22"/>
          <w:lang w:val="en-GB"/>
        </w:rPr>
        <w:t>5.</w:t>
      </w:r>
    </w:p>
    <w:p w14:paraId="64C506E5" w14:textId="66F48160" w:rsidR="003B71B5" w:rsidRPr="00FF018F" w:rsidRDefault="00EC4AA7" w:rsidP="008159AD">
      <w:pPr>
        <w:pStyle w:val="Para10"/>
        <w:numPr>
          <w:ilvl w:val="0"/>
          <w:numId w:val="17"/>
        </w:numPr>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 xml:space="preserve">No GEF funds </w:t>
      </w:r>
      <w:r w:rsidR="001B3675" w:rsidRPr="00FF018F">
        <w:rPr>
          <w:snapToGrid w:val="0"/>
          <w:kern w:val="22"/>
          <w:sz w:val="22"/>
          <w:szCs w:val="22"/>
          <w:lang w:val="en-GB"/>
        </w:rPr>
        <w:t xml:space="preserve">specifically dedicated to </w:t>
      </w:r>
      <w:r w:rsidRPr="00FF018F">
        <w:rPr>
          <w:snapToGrid w:val="0"/>
          <w:kern w:val="22"/>
          <w:sz w:val="22"/>
          <w:szCs w:val="22"/>
          <w:lang w:val="en-GB"/>
        </w:rPr>
        <w:t xml:space="preserve">support </w:t>
      </w:r>
      <w:r w:rsidR="001B3675" w:rsidRPr="00FF018F">
        <w:rPr>
          <w:snapToGrid w:val="0"/>
          <w:kern w:val="22"/>
          <w:sz w:val="22"/>
          <w:szCs w:val="22"/>
          <w:lang w:val="en-GB"/>
        </w:rPr>
        <w:t>Parties in the</w:t>
      </w:r>
      <w:r w:rsidRPr="00FF018F">
        <w:rPr>
          <w:snapToGrid w:val="0"/>
          <w:kern w:val="22"/>
          <w:sz w:val="22"/>
          <w:szCs w:val="22"/>
          <w:lang w:val="en-GB"/>
        </w:rPr>
        <w:t xml:space="preserve"> </w:t>
      </w:r>
      <w:r w:rsidR="00A31750" w:rsidRPr="00FF018F">
        <w:rPr>
          <w:snapToGrid w:val="0"/>
          <w:kern w:val="22"/>
          <w:sz w:val="22"/>
          <w:szCs w:val="22"/>
          <w:lang w:val="en-GB"/>
        </w:rPr>
        <w:t xml:space="preserve">preparation of </w:t>
      </w:r>
      <w:r w:rsidRPr="00FF018F">
        <w:rPr>
          <w:snapToGrid w:val="0"/>
          <w:kern w:val="22"/>
          <w:sz w:val="22"/>
          <w:szCs w:val="22"/>
          <w:lang w:val="en-GB"/>
        </w:rPr>
        <w:t>interim national reports</w:t>
      </w:r>
      <w:r w:rsidR="00A31750" w:rsidRPr="00FF018F">
        <w:rPr>
          <w:snapToGrid w:val="0"/>
          <w:kern w:val="22"/>
          <w:sz w:val="22"/>
          <w:szCs w:val="22"/>
          <w:lang w:val="en-GB"/>
        </w:rPr>
        <w:t xml:space="preserve"> were available</w:t>
      </w:r>
      <w:r w:rsidRPr="00FF018F">
        <w:rPr>
          <w:snapToGrid w:val="0"/>
          <w:kern w:val="22"/>
          <w:sz w:val="22"/>
          <w:szCs w:val="22"/>
          <w:lang w:val="en-GB"/>
        </w:rPr>
        <w:t>.</w:t>
      </w:r>
      <w:r w:rsidR="003B71B5" w:rsidRPr="00FF018F">
        <w:rPr>
          <w:snapToGrid w:val="0"/>
          <w:kern w:val="22"/>
          <w:sz w:val="22"/>
          <w:szCs w:val="22"/>
          <w:lang w:val="en-GB"/>
        </w:rPr>
        <w:t xml:space="preserve"> </w:t>
      </w:r>
      <w:r w:rsidR="007164A5" w:rsidRPr="00FF018F">
        <w:rPr>
          <w:snapToGrid w:val="0"/>
          <w:kern w:val="22"/>
          <w:sz w:val="22"/>
          <w:szCs w:val="22"/>
          <w:lang w:val="en-GB"/>
        </w:rPr>
        <w:t>The Committee, at its third meeting, considered the submission rate of the interim national reports and noted the low reporting rate. It considered the reasons that could have affected the submission rate, including a possible misunderstanding among certain Parties whether they had an obligation to submit an interim national report.</w:t>
      </w:r>
      <w:r w:rsidR="005A236F" w:rsidRPr="00FF018F">
        <w:rPr>
          <w:rStyle w:val="FootnoteReference"/>
          <w:rFonts w:eastAsiaTheme="majorEastAsia"/>
          <w:snapToGrid w:val="0"/>
          <w:kern w:val="22"/>
          <w:sz w:val="22"/>
          <w:szCs w:val="22"/>
          <w:u w:val="none"/>
          <w:vertAlign w:val="superscript"/>
          <w:lang w:val="en-GB" w:eastAsia="en-US"/>
        </w:rPr>
        <w:footnoteReference w:id="22"/>
      </w:r>
    </w:p>
    <w:p w14:paraId="75A666F7"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p w14:paraId="0BC90187" w14:textId="681C5633" w:rsidR="003B71B5" w:rsidRPr="00FF018F" w:rsidRDefault="00335091" w:rsidP="008159AD">
      <w:pPr>
        <w:pStyle w:val="Para10"/>
        <w:keepNext/>
        <w:suppressLineNumbers/>
        <w:tabs>
          <w:tab w:val="clear" w:pos="644"/>
        </w:tabs>
        <w:suppressAutoHyphens/>
        <w:ind w:left="0"/>
        <w:rPr>
          <w:b/>
          <w:snapToGrid w:val="0"/>
          <w:kern w:val="22"/>
          <w:sz w:val="22"/>
          <w:szCs w:val="22"/>
          <w:lang w:val="en-GB"/>
        </w:rPr>
      </w:pPr>
      <w:r w:rsidRPr="00FF018F">
        <w:rPr>
          <w:b/>
          <w:snapToGrid w:val="0"/>
          <w:kern w:val="22"/>
          <w:sz w:val="22"/>
          <w:szCs w:val="22"/>
          <w:lang w:val="en-GB"/>
        </w:rPr>
        <w:t>Table</w:t>
      </w:r>
      <w:r w:rsidR="003B71B5" w:rsidRPr="00FF018F">
        <w:rPr>
          <w:b/>
          <w:snapToGrid w:val="0"/>
          <w:kern w:val="22"/>
          <w:sz w:val="22"/>
          <w:szCs w:val="22"/>
          <w:lang w:val="en-GB"/>
        </w:rPr>
        <w:t xml:space="preserve"> 5. Regional breakdown of interim national reports received by 11 October 2005</w:t>
      </w:r>
      <w:bookmarkStart w:id="1" w:name="_GoBack"/>
      <w:bookmarkEnd w:id="1"/>
    </w:p>
    <w:p w14:paraId="394C4BD2" w14:textId="77777777" w:rsidR="003B71B5" w:rsidRPr="00FF018F" w:rsidRDefault="003B71B5" w:rsidP="008159AD">
      <w:pPr>
        <w:pStyle w:val="Para10"/>
        <w:keepNext/>
        <w:suppressLineNumbers/>
        <w:tabs>
          <w:tab w:val="clear" w:pos="644"/>
        </w:tabs>
        <w:suppressAutoHyphens/>
        <w:ind w:left="0"/>
        <w:rPr>
          <w:snapToGrid w:val="0"/>
          <w:kern w:val="22"/>
          <w:sz w:val="22"/>
          <w:szCs w:val="22"/>
          <w:lang w:val="en-GB"/>
        </w:rPr>
      </w:pPr>
    </w:p>
    <w:tbl>
      <w:tblPr>
        <w:tblStyle w:val="TableGrid"/>
        <w:tblW w:w="0" w:type="auto"/>
        <w:jc w:val="center"/>
        <w:tblLook w:val="04A0" w:firstRow="1" w:lastRow="0" w:firstColumn="1" w:lastColumn="0" w:noHBand="0" w:noVBand="1"/>
      </w:tblPr>
      <w:tblGrid>
        <w:gridCol w:w="3397"/>
        <w:gridCol w:w="3969"/>
        <w:gridCol w:w="2086"/>
      </w:tblGrid>
      <w:tr w:rsidR="003B71B5" w:rsidRPr="00FF018F" w14:paraId="5FA3D6C1" w14:textId="77777777" w:rsidTr="008159AD">
        <w:trPr>
          <w:cantSplit/>
          <w:jc w:val="center"/>
        </w:trPr>
        <w:tc>
          <w:tcPr>
            <w:tcW w:w="3397" w:type="dxa"/>
            <w:shd w:val="pct15" w:color="EEECE1" w:themeColor="background2" w:fill="auto"/>
            <w:vAlign w:val="center"/>
          </w:tcPr>
          <w:p w14:paraId="3F057E79" w14:textId="1AFF870E" w:rsidR="003B71B5" w:rsidRPr="00FF018F" w:rsidRDefault="003B71B5" w:rsidP="008159AD">
            <w:pPr>
              <w:pStyle w:val="Para10"/>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 xml:space="preserve">Regional </w:t>
            </w:r>
            <w:r w:rsidR="007E1CFF" w:rsidRPr="00FF018F">
              <w:rPr>
                <w:i/>
                <w:iCs/>
                <w:snapToGrid w:val="0"/>
                <w:kern w:val="22"/>
                <w:sz w:val="22"/>
                <w:szCs w:val="22"/>
                <w:lang w:val="en-GB"/>
              </w:rPr>
              <w:t>g</w:t>
            </w:r>
            <w:r w:rsidRPr="00FF018F">
              <w:rPr>
                <w:i/>
                <w:iCs/>
                <w:snapToGrid w:val="0"/>
                <w:kern w:val="22"/>
                <w:sz w:val="22"/>
                <w:szCs w:val="22"/>
                <w:lang w:val="en-GB"/>
              </w:rPr>
              <w:t>roups</w:t>
            </w:r>
          </w:p>
        </w:tc>
        <w:tc>
          <w:tcPr>
            <w:tcW w:w="3969" w:type="dxa"/>
            <w:shd w:val="pct15" w:color="EEECE1" w:themeColor="background2" w:fill="auto"/>
            <w:vAlign w:val="center"/>
          </w:tcPr>
          <w:p w14:paraId="50D1B0DD" w14:textId="36248952" w:rsidR="003B71B5" w:rsidRPr="00FF018F" w:rsidRDefault="003B71B5" w:rsidP="008159AD">
            <w:pPr>
              <w:pStyle w:val="Para10"/>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Number of Parties that submitted a complete interim national report</w:t>
            </w:r>
            <w:r w:rsidR="007E1CFF" w:rsidRPr="00FF018F">
              <w:rPr>
                <w:i/>
                <w:iCs/>
                <w:snapToGrid w:val="0"/>
                <w:kern w:val="22"/>
                <w:sz w:val="22"/>
                <w:szCs w:val="22"/>
                <w:lang w:val="en-GB"/>
              </w:rPr>
              <w:br/>
            </w:r>
            <w:r w:rsidRPr="00FF018F">
              <w:rPr>
                <w:i/>
                <w:iCs/>
                <w:snapToGrid w:val="0"/>
                <w:kern w:val="22"/>
                <w:sz w:val="22"/>
                <w:szCs w:val="22"/>
                <w:lang w:val="en-GB"/>
              </w:rPr>
              <w:t>(</w:t>
            </w:r>
            <w:r w:rsidR="007E1CFF" w:rsidRPr="00FF018F">
              <w:rPr>
                <w:i/>
                <w:iCs/>
                <w:snapToGrid w:val="0"/>
                <w:kern w:val="22"/>
                <w:sz w:val="22"/>
                <w:szCs w:val="22"/>
                <w:lang w:val="en-GB"/>
              </w:rPr>
              <w:t>T</w:t>
            </w:r>
            <w:r w:rsidRPr="00FF018F">
              <w:rPr>
                <w:i/>
                <w:iCs/>
                <w:snapToGrid w:val="0"/>
                <w:kern w:val="22"/>
                <w:sz w:val="22"/>
                <w:szCs w:val="22"/>
                <w:lang w:val="en-GB"/>
              </w:rPr>
              <w:t>otal number of Parties for each region)</w:t>
            </w:r>
          </w:p>
        </w:tc>
        <w:tc>
          <w:tcPr>
            <w:tcW w:w="2086" w:type="dxa"/>
            <w:shd w:val="pct15" w:color="EEECE1" w:themeColor="background2" w:fill="auto"/>
            <w:vAlign w:val="center"/>
          </w:tcPr>
          <w:p w14:paraId="177ADE03" w14:textId="2B98A4F5" w:rsidR="003B71B5" w:rsidRPr="00FF018F" w:rsidRDefault="003B71B5" w:rsidP="008159AD">
            <w:pPr>
              <w:pStyle w:val="Para10"/>
              <w:suppressLineNumbers/>
              <w:tabs>
                <w:tab w:val="clear" w:pos="644"/>
              </w:tabs>
              <w:suppressAutoHyphens/>
              <w:ind w:left="0"/>
              <w:jc w:val="center"/>
              <w:rPr>
                <w:i/>
                <w:iCs/>
                <w:snapToGrid w:val="0"/>
                <w:kern w:val="22"/>
                <w:sz w:val="22"/>
                <w:szCs w:val="22"/>
                <w:lang w:val="en-GB"/>
              </w:rPr>
            </w:pPr>
            <w:r w:rsidRPr="00FF018F">
              <w:rPr>
                <w:i/>
                <w:iCs/>
                <w:snapToGrid w:val="0"/>
                <w:kern w:val="22"/>
                <w:sz w:val="22"/>
                <w:szCs w:val="22"/>
                <w:lang w:val="en-GB"/>
              </w:rPr>
              <w:t>Regional submission rate</w:t>
            </w:r>
            <w:r w:rsidR="00C64CB1" w:rsidRPr="00FF018F">
              <w:rPr>
                <w:i/>
                <w:iCs/>
                <w:snapToGrid w:val="0"/>
                <w:kern w:val="22"/>
                <w:sz w:val="22"/>
                <w:szCs w:val="22"/>
                <w:lang w:val="en-GB"/>
              </w:rPr>
              <w:br/>
              <w:t>(Percentage)</w:t>
            </w:r>
          </w:p>
        </w:tc>
      </w:tr>
      <w:tr w:rsidR="003B71B5" w:rsidRPr="00FF018F" w14:paraId="146F1243" w14:textId="77777777" w:rsidTr="008159AD">
        <w:trPr>
          <w:jc w:val="center"/>
        </w:trPr>
        <w:tc>
          <w:tcPr>
            <w:tcW w:w="3397" w:type="dxa"/>
          </w:tcPr>
          <w:p w14:paraId="2B7296C3"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tc>
        <w:tc>
          <w:tcPr>
            <w:tcW w:w="3969" w:type="dxa"/>
          </w:tcPr>
          <w:p w14:paraId="660E78DA"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tc>
        <w:tc>
          <w:tcPr>
            <w:tcW w:w="2086" w:type="dxa"/>
          </w:tcPr>
          <w:p w14:paraId="543F1E02"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tc>
      </w:tr>
      <w:tr w:rsidR="003B71B5" w:rsidRPr="00FF018F" w14:paraId="676BD81E" w14:textId="77777777" w:rsidTr="008159AD">
        <w:trPr>
          <w:jc w:val="center"/>
        </w:trPr>
        <w:tc>
          <w:tcPr>
            <w:tcW w:w="3397" w:type="dxa"/>
            <w:vAlign w:val="center"/>
          </w:tcPr>
          <w:p w14:paraId="041C5E86"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Africa</w:t>
            </w:r>
          </w:p>
        </w:tc>
        <w:tc>
          <w:tcPr>
            <w:tcW w:w="3969" w:type="dxa"/>
            <w:vAlign w:val="center"/>
          </w:tcPr>
          <w:p w14:paraId="4F62E769" w14:textId="32B4CEEE" w:rsidR="003B71B5" w:rsidRPr="00FF018F" w:rsidRDefault="003B71B5" w:rsidP="008159AD">
            <w:pPr>
              <w:pStyle w:val="Para10"/>
              <w:suppressLineNumbers/>
              <w:tabs>
                <w:tab w:val="clear" w:pos="644"/>
              </w:tabs>
              <w:suppressAutoHyphens/>
              <w:ind w:left="1739"/>
              <w:jc w:val="both"/>
              <w:rPr>
                <w:snapToGrid w:val="0"/>
                <w:kern w:val="22"/>
                <w:sz w:val="22"/>
                <w:szCs w:val="22"/>
                <w:lang w:val="en-GB"/>
              </w:rPr>
            </w:pPr>
            <w:r w:rsidRPr="00FF018F">
              <w:rPr>
                <w:snapToGrid w:val="0"/>
                <w:kern w:val="22"/>
                <w:sz w:val="22"/>
                <w:szCs w:val="22"/>
                <w:lang w:val="en-GB"/>
              </w:rPr>
              <w:t>7 (</w:t>
            </w:r>
            <w:r w:rsidRPr="00FF018F">
              <w:rPr>
                <w:i/>
                <w:snapToGrid w:val="0"/>
                <w:kern w:val="22"/>
                <w:sz w:val="22"/>
                <w:szCs w:val="22"/>
                <w:lang w:val="en-GB"/>
              </w:rPr>
              <w:t>32</w:t>
            </w:r>
            <w:r w:rsidRPr="00FF018F">
              <w:rPr>
                <w:snapToGrid w:val="0"/>
                <w:kern w:val="22"/>
                <w:sz w:val="22"/>
                <w:szCs w:val="22"/>
                <w:lang w:val="en-GB"/>
              </w:rPr>
              <w:t>)</w:t>
            </w:r>
          </w:p>
        </w:tc>
        <w:tc>
          <w:tcPr>
            <w:tcW w:w="2086" w:type="dxa"/>
            <w:vAlign w:val="center"/>
          </w:tcPr>
          <w:p w14:paraId="205491D8" w14:textId="5D734684" w:rsidR="003B71B5" w:rsidRPr="00FF018F" w:rsidRDefault="003B71B5" w:rsidP="008159AD">
            <w:pPr>
              <w:pStyle w:val="Para10"/>
              <w:suppressLineNumbers/>
              <w:tabs>
                <w:tab w:val="clear" w:pos="644"/>
              </w:tabs>
              <w:suppressAutoHyphens/>
              <w:ind w:left="887"/>
              <w:jc w:val="both"/>
              <w:rPr>
                <w:snapToGrid w:val="0"/>
                <w:kern w:val="22"/>
                <w:sz w:val="22"/>
                <w:szCs w:val="22"/>
                <w:lang w:val="en-GB"/>
              </w:rPr>
            </w:pPr>
            <w:r w:rsidRPr="00FF018F">
              <w:rPr>
                <w:snapToGrid w:val="0"/>
                <w:kern w:val="22"/>
                <w:sz w:val="22"/>
                <w:szCs w:val="22"/>
                <w:lang w:val="en-GB"/>
              </w:rPr>
              <w:t>22</w:t>
            </w:r>
          </w:p>
        </w:tc>
      </w:tr>
      <w:tr w:rsidR="003B71B5" w:rsidRPr="00FF018F" w14:paraId="23793C41" w14:textId="77777777" w:rsidTr="008159AD">
        <w:trPr>
          <w:jc w:val="center"/>
        </w:trPr>
        <w:tc>
          <w:tcPr>
            <w:tcW w:w="3397" w:type="dxa"/>
            <w:vAlign w:val="center"/>
          </w:tcPr>
          <w:p w14:paraId="2F4EF022"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Asia and the Pacific</w:t>
            </w:r>
          </w:p>
        </w:tc>
        <w:tc>
          <w:tcPr>
            <w:tcW w:w="3969" w:type="dxa"/>
            <w:vAlign w:val="center"/>
          </w:tcPr>
          <w:p w14:paraId="025F1E26" w14:textId="77777777" w:rsidR="003B71B5" w:rsidRPr="00FF018F" w:rsidRDefault="003B71B5" w:rsidP="008159AD">
            <w:pPr>
              <w:pStyle w:val="Para10"/>
              <w:suppressLineNumbers/>
              <w:tabs>
                <w:tab w:val="clear" w:pos="644"/>
              </w:tabs>
              <w:suppressAutoHyphens/>
              <w:ind w:left="1739"/>
              <w:jc w:val="both"/>
              <w:rPr>
                <w:snapToGrid w:val="0"/>
                <w:kern w:val="22"/>
                <w:sz w:val="22"/>
                <w:szCs w:val="22"/>
                <w:lang w:val="en-GB"/>
              </w:rPr>
            </w:pPr>
            <w:r w:rsidRPr="00FF018F">
              <w:rPr>
                <w:snapToGrid w:val="0"/>
                <w:kern w:val="22"/>
                <w:sz w:val="22"/>
                <w:szCs w:val="22"/>
                <w:lang w:val="en-GB"/>
              </w:rPr>
              <w:t>4 (</w:t>
            </w:r>
            <w:r w:rsidRPr="00FF018F">
              <w:rPr>
                <w:i/>
                <w:snapToGrid w:val="0"/>
                <w:kern w:val="22"/>
                <w:sz w:val="22"/>
                <w:szCs w:val="22"/>
                <w:lang w:val="en-GB"/>
              </w:rPr>
              <w:t>29</w:t>
            </w:r>
            <w:r w:rsidRPr="00FF018F">
              <w:rPr>
                <w:snapToGrid w:val="0"/>
                <w:kern w:val="22"/>
                <w:sz w:val="22"/>
                <w:szCs w:val="22"/>
                <w:lang w:val="en-GB"/>
              </w:rPr>
              <w:t>)</w:t>
            </w:r>
          </w:p>
        </w:tc>
        <w:tc>
          <w:tcPr>
            <w:tcW w:w="2086" w:type="dxa"/>
            <w:vAlign w:val="center"/>
          </w:tcPr>
          <w:p w14:paraId="16144A76" w14:textId="2A652FCA" w:rsidR="003B71B5" w:rsidRPr="00FF018F" w:rsidRDefault="003B71B5" w:rsidP="008159AD">
            <w:pPr>
              <w:pStyle w:val="Para10"/>
              <w:suppressLineNumbers/>
              <w:tabs>
                <w:tab w:val="clear" w:pos="644"/>
              </w:tabs>
              <w:suppressAutoHyphens/>
              <w:ind w:left="887"/>
              <w:jc w:val="both"/>
              <w:rPr>
                <w:snapToGrid w:val="0"/>
                <w:kern w:val="22"/>
                <w:sz w:val="22"/>
                <w:szCs w:val="22"/>
                <w:lang w:val="en-GB"/>
              </w:rPr>
            </w:pPr>
            <w:r w:rsidRPr="00FF018F">
              <w:rPr>
                <w:snapToGrid w:val="0"/>
                <w:kern w:val="22"/>
                <w:sz w:val="22"/>
                <w:szCs w:val="22"/>
                <w:lang w:val="en-GB"/>
              </w:rPr>
              <w:t>14</w:t>
            </w:r>
          </w:p>
        </w:tc>
      </w:tr>
      <w:tr w:rsidR="003B71B5" w:rsidRPr="00FF018F" w14:paraId="007DD505" w14:textId="77777777" w:rsidTr="008159AD">
        <w:trPr>
          <w:jc w:val="center"/>
        </w:trPr>
        <w:tc>
          <w:tcPr>
            <w:tcW w:w="3397" w:type="dxa"/>
            <w:vAlign w:val="center"/>
          </w:tcPr>
          <w:p w14:paraId="7D095A9B" w14:textId="06E71933"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Central and Eastern Europe</w:t>
            </w:r>
          </w:p>
        </w:tc>
        <w:tc>
          <w:tcPr>
            <w:tcW w:w="3969" w:type="dxa"/>
            <w:vAlign w:val="center"/>
          </w:tcPr>
          <w:p w14:paraId="6AE5FA12" w14:textId="77777777" w:rsidR="003B71B5" w:rsidRPr="00FF018F" w:rsidRDefault="003B71B5" w:rsidP="008159AD">
            <w:pPr>
              <w:pStyle w:val="Para10"/>
              <w:suppressLineNumbers/>
              <w:tabs>
                <w:tab w:val="clear" w:pos="644"/>
              </w:tabs>
              <w:suppressAutoHyphens/>
              <w:ind w:left="1739"/>
              <w:jc w:val="both"/>
              <w:rPr>
                <w:snapToGrid w:val="0"/>
                <w:kern w:val="22"/>
                <w:sz w:val="22"/>
                <w:szCs w:val="22"/>
                <w:lang w:val="en-GB"/>
              </w:rPr>
            </w:pPr>
            <w:r w:rsidRPr="00FF018F">
              <w:rPr>
                <w:snapToGrid w:val="0"/>
                <w:kern w:val="22"/>
                <w:sz w:val="22"/>
                <w:szCs w:val="22"/>
                <w:lang w:val="en-GB"/>
              </w:rPr>
              <w:t>5 (</w:t>
            </w:r>
            <w:r w:rsidRPr="00FF018F">
              <w:rPr>
                <w:i/>
                <w:snapToGrid w:val="0"/>
                <w:kern w:val="22"/>
                <w:sz w:val="22"/>
                <w:szCs w:val="22"/>
                <w:lang w:val="en-GB"/>
              </w:rPr>
              <w:t>17</w:t>
            </w:r>
            <w:r w:rsidRPr="00FF018F">
              <w:rPr>
                <w:snapToGrid w:val="0"/>
                <w:kern w:val="22"/>
                <w:sz w:val="22"/>
                <w:szCs w:val="22"/>
                <w:lang w:val="en-GB"/>
              </w:rPr>
              <w:t>)</w:t>
            </w:r>
          </w:p>
        </w:tc>
        <w:tc>
          <w:tcPr>
            <w:tcW w:w="2086" w:type="dxa"/>
            <w:vAlign w:val="center"/>
          </w:tcPr>
          <w:p w14:paraId="13B777DB" w14:textId="6ABE7192" w:rsidR="003B71B5" w:rsidRPr="00FF018F" w:rsidRDefault="003B71B5" w:rsidP="008159AD">
            <w:pPr>
              <w:pStyle w:val="Para10"/>
              <w:suppressLineNumbers/>
              <w:tabs>
                <w:tab w:val="clear" w:pos="644"/>
              </w:tabs>
              <w:suppressAutoHyphens/>
              <w:ind w:left="887"/>
              <w:jc w:val="both"/>
              <w:rPr>
                <w:snapToGrid w:val="0"/>
                <w:kern w:val="22"/>
                <w:sz w:val="22"/>
                <w:szCs w:val="22"/>
                <w:lang w:val="en-GB"/>
              </w:rPr>
            </w:pPr>
            <w:r w:rsidRPr="00FF018F">
              <w:rPr>
                <w:snapToGrid w:val="0"/>
                <w:kern w:val="22"/>
                <w:sz w:val="22"/>
                <w:szCs w:val="22"/>
                <w:lang w:val="en-GB"/>
              </w:rPr>
              <w:t>29</w:t>
            </w:r>
          </w:p>
        </w:tc>
      </w:tr>
      <w:tr w:rsidR="003B71B5" w:rsidRPr="00FF018F" w14:paraId="3E8AD052" w14:textId="77777777" w:rsidTr="008159AD">
        <w:trPr>
          <w:jc w:val="center"/>
        </w:trPr>
        <w:tc>
          <w:tcPr>
            <w:tcW w:w="3397" w:type="dxa"/>
            <w:vAlign w:val="center"/>
          </w:tcPr>
          <w:p w14:paraId="7661C6BA" w14:textId="2717E926"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Latin America and Caribbean</w:t>
            </w:r>
          </w:p>
        </w:tc>
        <w:tc>
          <w:tcPr>
            <w:tcW w:w="3969" w:type="dxa"/>
            <w:vAlign w:val="center"/>
          </w:tcPr>
          <w:p w14:paraId="2011CA54" w14:textId="77777777" w:rsidR="003B71B5" w:rsidRPr="00FF018F" w:rsidRDefault="003B71B5" w:rsidP="008159AD">
            <w:pPr>
              <w:pStyle w:val="Para10"/>
              <w:suppressLineNumbers/>
              <w:tabs>
                <w:tab w:val="clear" w:pos="644"/>
              </w:tabs>
              <w:suppressAutoHyphens/>
              <w:ind w:left="1739"/>
              <w:jc w:val="both"/>
              <w:rPr>
                <w:snapToGrid w:val="0"/>
                <w:kern w:val="22"/>
                <w:sz w:val="22"/>
                <w:szCs w:val="22"/>
                <w:lang w:val="en-GB"/>
              </w:rPr>
            </w:pPr>
            <w:r w:rsidRPr="00FF018F">
              <w:rPr>
                <w:snapToGrid w:val="0"/>
                <w:kern w:val="22"/>
                <w:sz w:val="22"/>
                <w:szCs w:val="22"/>
                <w:lang w:val="en-GB"/>
              </w:rPr>
              <w:t>12 (</w:t>
            </w:r>
            <w:r w:rsidRPr="00FF018F">
              <w:rPr>
                <w:i/>
                <w:snapToGrid w:val="0"/>
                <w:kern w:val="22"/>
                <w:sz w:val="22"/>
                <w:szCs w:val="22"/>
                <w:lang w:val="en-GB"/>
              </w:rPr>
              <w:t>22</w:t>
            </w:r>
            <w:r w:rsidRPr="00FF018F">
              <w:rPr>
                <w:snapToGrid w:val="0"/>
                <w:kern w:val="22"/>
                <w:sz w:val="22"/>
                <w:szCs w:val="22"/>
                <w:lang w:val="en-GB"/>
              </w:rPr>
              <w:t>)</w:t>
            </w:r>
          </w:p>
        </w:tc>
        <w:tc>
          <w:tcPr>
            <w:tcW w:w="2086" w:type="dxa"/>
            <w:vAlign w:val="center"/>
          </w:tcPr>
          <w:p w14:paraId="658BC82A" w14:textId="5B581AFD" w:rsidR="003B71B5" w:rsidRPr="00FF018F" w:rsidRDefault="003B71B5" w:rsidP="008159AD">
            <w:pPr>
              <w:pStyle w:val="Para10"/>
              <w:suppressLineNumbers/>
              <w:tabs>
                <w:tab w:val="clear" w:pos="644"/>
              </w:tabs>
              <w:suppressAutoHyphens/>
              <w:ind w:left="887"/>
              <w:jc w:val="both"/>
              <w:rPr>
                <w:snapToGrid w:val="0"/>
                <w:kern w:val="22"/>
                <w:sz w:val="22"/>
                <w:szCs w:val="22"/>
                <w:lang w:val="en-GB"/>
              </w:rPr>
            </w:pPr>
            <w:r w:rsidRPr="00FF018F">
              <w:rPr>
                <w:snapToGrid w:val="0"/>
                <w:kern w:val="22"/>
                <w:sz w:val="22"/>
                <w:szCs w:val="22"/>
                <w:lang w:val="en-GB"/>
              </w:rPr>
              <w:t>55</w:t>
            </w:r>
          </w:p>
        </w:tc>
      </w:tr>
      <w:tr w:rsidR="003B71B5" w:rsidRPr="00FF018F" w14:paraId="2CCEFC0D" w14:textId="77777777" w:rsidTr="008159AD">
        <w:trPr>
          <w:jc w:val="center"/>
        </w:trPr>
        <w:tc>
          <w:tcPr>
            <w:tcW w:w="3397" w:type="dxa"/>
            <w:vAlign w:val="center"/>
          </w:tcPr>
          <w:p w14:paraId="6E66A431" w14:textId="5E1040FD"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r w:rsidRPr="00FF018F">
              <w:rPr>
                <w:snapToGrid w:val="0"/>
                <w:kern w:val="22"/>
                <w:sz w:val="22"/>
                <w:szCs w:val="22"/>
                <w:lang w:val="en-GB"/>
              </w:rPr>
              <w:t>Western European and Others</w:t>
            </w:r>
          </w:p>
        </w:tc>
        <w:tc>
          <w:tcPr>
            <w:tcW w:w="3969" w:type="dxa"/>
            <w:vAlign w:val="center"/>
          </w:tcPr>
          <w:p w14:paraId="72B5D3CC" w14:textId="77777777" w:rsidR="003B71B5" w:rsidRPr="00FF018F" w:rsidRDefault="003B71B5" w:rsidP="008159AD">
            <w:pPr>
              <w:pStyle w:val="Para10"/>
              <w:suppressLineNumbers/>
              <w:tabs>
                <w:tab w:val="clear" w:pos="644"/>
              </w:tabs>
              <w:suppressAutoHyphens/>
              <w:ind w:left="1739"/>
              <w:jc w:val="both"/>
              <w:rPr>
                <w:snapToGrid w:val="0"/>
                <w:kern w:val="22"/>
                <w:sz w:val="22"/>
                <w:szCs w:val="22"/>
                <w:lang w:val="en-GB"/>
              </w:rPr>
            </w:pPr>
            <w:r w:rsidRPr="00FF018F">
              <w:rPr>
                <w:snapToGrid w:val="0"/>
                <w:kern w:val="22"/>
                <w:sz w:val="22"/>
                <w:szCs w:val="22"/>
                <w:lang w:val="en-GB"/>
              </w:rPr>
              <w:t>16 (</w:t>
            </w:r>
            <w:r w:rsidRPr="00FF018F">
              <w:rPr>
                <w:i/>
                <w:snapToGrid w:val="0"/>
                <w:kern w:val="22"/>
                <w:sz w:val="22"/>
                <w:szCs w:val="22"/>
                <w:lang w:val="en-GB"/>
              </w:rPr>
              <w:t>20</w:t>
            </w:r>
            <w:r w:rsidRPr="00FF018F">
              <w:rPr>
                <w:snapToGrid w:val="0"/>
                <w:kern w:val="22"/>
                <w:sz w:val="22"/>
                <w:szCs w:val="22"/>
                <w:lang w:val="en-GB"/>
              </w:rPr>
              <w:t>)</w:t>
            </w:r>
          </w:p>
        </w:tc>
        <w:tc>
          <w:tcPr>
            <w:tcW w:w="2086" w:type="dxa"/>
            <w:vAlign w:val="center"/>
          </w:tcPr>
          <w:p w14:paraId="448B3DCF" w14:textId="309A0506" w:rsidR="003B71B5" w:rsidRPr="00FF018F" w:rsidRDefault="003B71B5" w:rsidP="008159AD">
            <w:pPr>
              <w:pStyle w:val="Para10"/>
              <w:suppressLineNumbers/>
              <w:tabs>
                <w:tab w:val="clear" w:pos="644"/>
              </w:tabs>
              <w:suppressAutoHyphens/>
              <w:ind w:left="887"/>
              <w:jc w:val="both"/>
              <w:rPr>
                <w:snapToGrid w:val="0"/>
                <w:kern w:val="22"/>
                <w:sz w:val="22"/>
                <w:szCs w:val="22"/>
                <w:lang w:val="en-GB"/>
              </w:rPr>
            </w:pPr>
            <w:r w:rsidRPr="00FF018F">
              <w:rPr>
                <w:snapToGrid w:val="0"/>
                <w:kern w:val="22"/>
                <w:sz w:val="22"/>
                <w:szCs w:val="22"/>
                <w:lang w:val="en-GB"/>
              </w:rPr>
              <w:t>80</w:t>
            </w:r>
          </w:p>
        </w:tc>
      </w:tr>
    </w:tbl>
    <w:p w14:paraId="1BA84E00"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p w14:paraId="19EE2034" w14:textId="1FBF8C3A" w:rsidR="007D1055" w:rsidRPr="00FF018F" w:rsidRDefault="007D1055" w:rsidP="008159AD">
      <w:pPr>
        <w:pStyle w:val="Heading2"/>
        <w:numPr>
          <w:ilvl w:val="0"/>
          <w:numId w:val="26"/>
        </w:numPr>
        <w:suppressLineNumbers/>
        <w:suppressAutoHyphens/>
        <w:ind w:left="714" w:hanging="357"/>
        <w:rPr>
          <w:b w:val="0"/>
          <w:bCs w:val="0"/>
          <w:iCs w:val="0"/>
          <w:snapToGrid w:val="0"/>
          <w:kern w:val="22"/>
          <w:szCs w:val="22"/>
        </w:rPr>
      </w:pPr>
      <w:r w:rsidRPr="00FF018F">
        <w:rPr>
          <w:snapToGrid w:val="0"/>
          <w:kern w:val="22"/>
          <w:szCs w:val="22"/>
        </w:rPr>
        <w:t>Comparative overview of submission rate of national reports</w:t>
      </w:r>
    </w:p>
    <w:p w14:paraId="7D0C1359" w14:textId="2D0A289F"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Based on the </w:t>
      </w:r>
      <w:r w:rsidR="00335091" w:rsidRPr="00FF018F">
        <w:rPr>
          <w:snapToGrid w:val="0"/>
          <w:kern w:val="22"/>
          <w:sz w:val="22"/>
          <w:szCs w:val="22"/>
          <w:lang w:val="en-GB"/>
        </w:rPr>
        <w:t>table</w:t>
      </w:r>
      <w:r w:rsidRPr="00FF018F">
        <w:rPr>
          <w:snapToGrid w:val="0"/>
          <w:kern w:val="22"/>
          <w:sz w:val="22"/>
          <w:szCs w:val="22"/>
          <w:lang w:val="en-GB"/>
        </w:rPr>
        <w:t>s provided in sections II and III, a comparative overview of submission rates of national reports is provided in figure</w:t>
      </w:r>
      <w:r w:rsidR="00D72320" w:rsidRPr="00FF018F">
        <w:rPr>
          <w:snapToGrid w:val="0"/>
          <w:kern w:val="22"/>
          <w:sz w:val="22"/>
          <w:szCs w:val="22"/>
          <w:lang w:val="en-GB"/>
        </w:rPr>
        <w:t> </w:t>
      </w:r>
      <w:r w:rsidR="00AE57AD" w:rsidRPr="00FF018F">
        <w:rPr>
          <w:snapToGrid w:val="0"/>
          <w:kern w:val="22"/>
          <w:sz w:val="22"/>
          <w:szCs w:val="22"/>
          <w:lang w:val="en-GB"/>
        </w:rPr>
        <w:t>1</w:t>
      </w:r>
      <w:r w:rsidRPr="00FF018F">
        <w:rPr>
          <w:snapToGrid w:val="0"/>
          <w:kern w:val="22"/>
          <w:sz w:val="22"/>
          <w:szCs w:val="22"/>
          <w:lang w:val="en-GB"/>
        </w:rPr>
        <w:t>.</w:t>
      </w:r>
    </w:p>
    <w:p w14:paraId="7ACFB860" w14:textId="19FF44A6" w:rsidR="003B71B5" w:rsidRPr="00FF018F" w:rsidRDefault="003B71B5" w:rsidP="008159AD">
      <w:pPr>
        <w:pStyle w:val="Para10"/>
        <w:keepNext/>
        <w:suppressLineNumbers/>
        <w:tabs>
          <w:tab w:val="clear" w:pos="644"/>
        </w:tabs>
        <w:suppressAutoHyphens/>
        <w:spacing w:before="120" w:after="120"/>
        <w:ind w:left="964" w:hanging="964"/>
        <w:jc w:val="both"/>
        <w:rPr>
          <w:b/>
          <w:bCs/>
          <w:snapToGrid w:val="0"/>
          <w:kern w:val="22"/>
          <w:sz w:val="22"/>
          <w:szCs w:val="22"/>
          <w:lang w:val="en-GB"/>
        </w:rPr>
      </w:pPr>
      <w:r w:rsidRPr="00FF018F">
        <w:rPr>
          <w:b/>
          <w:bCs/>
          <w:snapToGrid w:val="0"/>
          <w:kern w:val="22"/>
          <w:sz w:val="22"/>
          <w:szCs w:val="22"/>
          <w:lang w:val="en-GB"/>
        </w:rPr>
        <w:lastRenderedPageBreak/>
        <w:t xml:space="preserve">Figure </w:t>
      </w:r>
      <w:r w:rsidR="00AE57AD" w:rsidRPr="00FF018F">
        <w:rPr>
          <w:b/>
          <w:bCs/>
          <w:snapToGrid w:val="0"/>
          <w:kern w:val="22"/>
          <w:sz w:val="22"/>
          <w:szCs w:val="22"/>
          <w:lang w:val="en-GB"/>
        </w:rPr>
        <w:t>1</w:t>
      </w:r>
      <w:r w:rsidRPr="00FF018F">
        <w:rPr>
          <w:b/>
          <w:bCs/>
          <w:snapToGrid w:val="0"/>
          <w:kern w:val="22"/>
          <w:sz w:val="22"/>
          <w:szCs w:val="22"/>
          <w:lang w:val="en-GB"/>
        </w:rPr>
        <w:t>.</w:t>
      </w:r>
      <w:r w:rsidR="00366BD9" w:rsidRPr="00FF018F">
        <w:rPr>
          <w:b/>
          <w:bCs/>
          <w:snapToGrid w:val="0"/>
          <w:kern w:val="22"/>
          <w:sz w:val="22"/>
          <w:szCs w:val="22"/>
          <w:lang w:val="en-GB"/>
        </w:rPr>
        <w:tab/>
      </w:r>
      <w:r w:rsidRPr="00FF018F">
        <w:rPr>
          <w:b/>
          <w:bCs/>
          <w:snapToGrid w:val="0"/>
          <w:kern w:val="22"/>
          <w:sz w:val="22"/>
          <w:szCs w:val="22"/>
          <w:lang w:val="en-GB"/>
        </w:rPr>
        <w:t>Submission rates of national reports measured at similar points in time following the submission deadline of the respective national report</w:t>
      </w:r>
    </w:p>
    <w:p w14:paraId="0DE1426C" w14:textId="7C8A66F2" w:rsidR="003B71B5" w:rsidRPr="00FF018F" w:rsidRDefault="000B4992" w:rsidP="008159AD">
      <w:pPr>
        <w:pStyle w:val="Para10"/>
        <w:suppressLineNumbers/>
        <w:tabs>
          <w:tab w:val="clear" w:pos="644"/>
        </w:tabs>
        <w:suppressAutoHyphens/>
        <w:ind w:left="0"/>
        <w:jc w:val="both"/>
        <w:rPr>
          <w:snapToGrid w:val="0"/>
          <w:kern w:val="22"/>
          <w:sz w:val="22"/>
          <w:szCs w:val="22"/>
          <w:lang w:val="en-GB"/>
        </w:rPr>
      </w:pPr>
      <w:r w:rsidRPr="00FF018F">
        <w:rPr>
          <w:kern w:val="22"/>
          <w:sz w:val="22"/>
          <w:szCs w:val="22"/>
          <w:lang w:val="en-GB"/>
        </w:rPr>
        <w:drawing>
          <wp:inline distT="0" distB="0" distL="0" distR="0" wp14:anchorId="649C55DC" wp14:editId="7703C0DB">
            <wp:extent cx="6008370" cy="3344545"/>
            <wp:effectExtent l="0" t="0" r="11430" b="8255"/>
            <wp:docPr id="2" name="Chart 2">
              <a:extLst xmlns:a="http://schemas.openxmlformats.org/drawingml/2006/main">
                <a:ext uri="{FF2B5EF4-FFF2-40B4-BE49-F238E27FC236}">
                  <a16:creationId xmlns:a16="http://schemas.microsoft.com/office/drawing/2014/main" id="{E7DF66B6-2EC0-4580-82D2-35BBBE1B76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BDF357" w14:textId="77777777" w:rsidR="003B71B5" w:rsidRPr="00FF018F" w:rsidRDefault="003B71B5" w:rsidP="008159AD">
      <w:pPr>
        <w:pStyle w:val="Para10"/>
        <w:suppressLineNumbers/>
        <w:tabs>
          <w:tab w:val="clear" w:pos="644"/>
        </w:tabs>
        <w:suppressAutoHyphens/>
        <w:ind w:left="0"/>
        <w:jc w:val="both"/>
        <w:rPr>
          <w:snapToGrid w:val="0"/>
          <w:kern w:val="22"/>
          <w:sz w:val="22"/>
          <w:szCs w:val="22"/>
          <w:lang w:val="en-GB"/>
        </w:rPr>
      </w:pPr>
    </w:p>
    <w:p w14:paraId="7200960F" w14:textId="6F6F39FB" w:rsidR="00EC4AA7"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The data show that the submission rate of the fourth national report is slightly lower than the submission rate of the third national reports, considerably lower than the submission rate of the second national report, but considerably higher than those of the first and interim national reports.</w:t>
      </w:r>
    </w:p>
    <w:p w14:paraId="5C4C8BC0" w14:textId="21C556AF" w:rsidR="00CD7C91" w:rsidRPr="00FF018F" w:rsidRDefault="00CA5E9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As outlined above, o</w:t>
      </w:r>
      <w:r w:rsidR="00EC4AA7" w:rsidRPr="00FF018F">
        <w:rPr>
          <w:snapToGrid w:val="0"/>
          <w:kern w:val="22"/>
          <w:sz w:val="22"/>
          <w:szCs w:val="22"/>
          <w:lang w:val="en-GB"/>
        </w:rPr>
        <w:t xml:space="preserve">ne of the </w:t>
      </w:r>
      <w:r w:rsidR="00364041" w:rsidRPr="00FF018F">
        <w:rPr>
          <w:snapToGrid w:val="0"/>
          <w:kern w:val="22"/>
          <w:sz w:val="22"/>
          <w:szCs w:val="22"/>
          <w:lang w:val="en-GB"/>
        </w:rPr>
        <w:t xml:space="preserve">key factors </w:t>
      </w:r>
      <w:r w:rsidRPr="00FF018F">
        <w:rPr>
          <w:snapToGrid w:val="0"/>
          <w:kern w:val="22"/>
          <w:sz w:val="22"/>
          <w:szCs w:val="22"/>
          <w:lang w:val="en-GB"/>
        </w:rPr>
        <w:t xml:space="preserve">identified by the Committee </w:t>
      </w:r>
      <w:r w:rsidR="00364041" w:rsidRPr="00FF018F">
        <w:rPr>
          <w:snapToGrid w:val="0"/>
          <w:kern w:val="22"/>
          <w:sz w:val="22"/>
          <w:szCs w:val="22"/>
          <w:lang w:val="en-GB"/>
        </w:rPr>
        <w:t>that affected</w:t>
      </w:r>
      <w:r w:rsidR="00AB07F3" w:rsidRPr="00FF018F">
        <w:rPr>
          <w:snapToGrid w:val="0"/>
          <w:kern w:val="22"/>
          <w:sz w:val="22"/>
          <w:szCs w:val="22"/>
          <w:lang w:val="en-GB"/>
        </w:rPr>
        <w:t xml:space="preserve"> the</w:t>
      </w:r>
      <w:r w:rsidR="00364041" w:rsidRPr="00FF018F">
        <w:rPr>
          <w:snapToGrid w:val="0"/>
          <w:kern w:val="22"/>
          <w:sz w:val="22"/>
          <w:szCs w:val="22"/>
          <w:lang w:val="en-GB"/>
        </w:rPr>
        <w:t xml:space="preserve"> submission rate </w:t>
      </w:r>
      <w:r w:rsidR="00AB07F3" w:rsidRPr="00FF018F">
        <w:rPr>
          <w:snapToGrid w:val="0"/>
          <w:kern w:val="22"/>
          <w:sz w:val="22"/>
          <w:szCs w:val="22"/>
          <w:lang w:val="en-GB"/>
        </w:rPr>
        <w:t>of</w:t>
      </w:r>
      <w:r w:rsidR="00364041" w:rsidRPr="00FF018F">
        <w:rPr>
          <w:snapToGrid w:val="0"/>
          <w:kern w:val="22"/>
          <w:sz w:val="22"/>
          <w:szCs w:val="22"/>
          <w:lang w:val="en-GB"/>
        </w:rPr>
        <w:t xml:space="preserve"> previous </w:t>
      </w:r>
      <w:r w:rsidR="00AB07F3" w:rsidRPr="00FF018F">
        <w:rPr>
          <w:snapToGrid w:val="0"/>
          <w:kern w:val="22"/>
          <w:sz w:val="22"/>
          <w:szCs w:val="22"/>
          <w:lang w:val="en-GB"/>
        </w:rPr>
        <w:t xml:space="preserve">national </w:t>
      </w:r>
      <w:r w:rsidR="00364041" w:rsidRPr="00FF018F">
        <w:rPr>
          <w:snapToGrid w:val="0"/>
          <w:kern w:val="22"/>
          <w:sz w:val="22"/>
          <w:szCs w:val="22"/>
          <w:lang w:val="en-GB"/>
        </w:rPr>
        <w:t>report</w:t>
      </w:r>
      <w:r w:rsidR="00AB07F3" w:rsidRPr="00FF018F">
        <w:rPr>
          <w:snapToGrid w:val="0"/>
          <w:kern w:val="22"/>
          <w:sz w:val="22"/>
          <w:szCs w:val="22"/>
          <w:lang w:val="en-GB"/>
        </w:rPr>
        <w:t>s</w:t>
      </w:r>
      <w:r w:rsidR="00364041" w:rsidRPr="00FF018F">
        <w:rPr>
          <w:snapToGrid w:val="0"/>
          <w:kern w:val="22"/>
          <w:sz w:val="22"/>
          <w:szCs w:val="22"/>
          <w:lang w:val="en-GB"/>
        </w:rPr>
        <w:t xml:space="preserve"> is the </w:t>
      </w:r>
      <w:r w:rsidR="005925A8" w:rsidRPr="00FF018F">
        <w:rPr>
          <w:snapToGrid w:val="0"/>
          <w:kern w:val="22"/>
          <w:sz w:val="22"/>
          <w:szCs w:val="22"/>
          <w:lang w:val="en-GB"/>
        </w:rPr>
        <w:t xml:space="preserve">timely </w:t>
      </w:r>
      <w:r w:rsidR="00653B1C" w:rsidRPr="00FF018F">
        <w:rPr>
          <w:snapToGrid w:val="0"/>
          <w:kern w:val="22"/>
          <w:sz w:val="22"/>
          <w:szCs w:val="22"/>
          <w:lang w:val="en-GB"/>
        </w:rPr>
        <w:t xml:space="preserve">access </w:t>
      </w:r>
      <w:r w:rsidR="00AB07F3" w:rsidRPr="00FF018F">
        <w:rPr>
          <w:snapToGrid w:val="0"/>
          <w:kern w:val="22"/>
          <w:sz w:val="22"/>
          <w:szCs w:val="22"/>
          <w:lang w:val="en-GB"/>
        </w:rPr>
        <w:t xml:space="preserve">to </w:t>
      </w:r>
      <w:r w:rsidR="00EC4AA7" w:rsidRPr="00FF018F">
        <w:rPr>
          <w:snapToGrid w:val="0"/>
          <w:kern w:val="22"/>
          <w:sz w:val="22"/>
          <w:szCs w:val="22"/>
          <w:lang w:val="en-GB"/>
        </w:rPr>
        <w:t xml:space="preserve">GEF funding to support </w:t>
      </w:r>
      <w:r w:rsidR="00AB07F3" w:rsidRPr="00FF018F">
        <w:rPr>
          <w:snapToGrid w:val="0"/>
          <w:kern w:val="22"/>
          <w:sz w:val="22"/>
          <w:szCs w:val="22"/>
          <w:lang w:val="en-GB"/>
        </w:rPr>
        <w:t xml:space="preserve">eligible Parties in </w:t>
      </w:r>
      <w:r w:rsidR="00EC4AA7" w:rsidRPr="00FF018F">
        <w:rPr>
          <w:snapToGrid w:val="0"/>
          <w:kern w:val="22"/>
          <w:sz w:val="22"/>
          <w:szCs w:val="22"/>
          <w:lang w:val="en-GB"/>
        </w:rPr>
        <w:t xml:space="preserve">the preparation of </w:t>
      </w:r>
      <w:r w:rsidR="00AB07F3" w:rsidRPr="00FF018F">
        <w:rPr>
          <w:snapToGrid w:val="0"/>
          <w:kern w:val="22"/>
          <w:sz w:val="22"/>
          <w:szCs w:val="22"/>
          <w:lang w:val="en-GB"/>
        </w:rPr>
        <w:t xml:space="preserve">their </w:t>
      </w:r>
      <w:r w:rsidR="00EC4AA7" w:rsidRPr="00FF018F">
        <w:rPr>
          <w:snapToGrid w:val="0"/>
          <w:kern w:val="22"/>
          <w:sz w:val="22"/>
          <w:szCs w:val="22"/>
          <w:lang w:val="en-GB"/>
        </w:rPr>
        <w:t>national report.</w:t>
      </w:r>
    </w:p>
    <w:p w14:paraId="188188BA" w14:textId="6B2C9721" w:rsidR="00F315EC" w:rsidRPr="00FF018F" w:rsidRDefault="00E620BB"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At the time of writing of the present note, </w:t>
      </w:r>
      <w:r w:rsidR="00CD7C91" w:rsidRPr="00FF018F">
        <w:rPr>
          <w:snapToGrid w:val="0"/>
          <w:kern w:val="22"/>
          <w:sz w:val="22"/>
          <w:szCs w:val="22"/>
          <w:lang w:val="en-GB"/>
        </w:rPr>
        <w:t xml:space="preserve">none of the </w:t>
      </w:r>
      <w:r w:rsidR="001D155E" w:rsidRPr="00FF018F">
        <w:rPr>
          <w:snapToGrid w:val="0"/>
          <w:kern w:val="22"/>
          <w:sz w:val="22"/>
          <w:szCs w:val="22"/>
          <w:lang w:val="en-GB"/>
        </w:rPr>
        <w:t xml:space="preserve">eligible </w:t>
      </w:r>
      <w:r w:rsidR="00CD7C91" w:rsidRPr="00FF018F">
        <w:rPr>
          <w:snapToGrid w:val="0"/>
          <w:kern w:val="22"/>
          <w:sz w:val="22"/>
          <w:szCs w:val="22"/>
          <w:lang w:val="en-GB"/>
        </w:rPr>
        <w:t xml:space="preserve">Parties had accessed </w:t>
      </w:r>
      <w:r w:rsidR="00865BDA" w:rsidRPr="00FF018F">
        <w:rPr>
          <w:snapToGrid w:val="0"/>
          <w:kern w:val="22"/>
          <w:sz w:val="22"/>
          <w:szCs w:val="22"/>
          <w:lang w:val="en-GB"/>
        </w:rPr>
        <w:t xml:space="preserve">GEF </w:t>
      </w:r>
      <w:r w:rsidR="00CD7C91" w:rsidRPr="00FF018F">
        <w:rPr>
          <w:snapToGrid w:val="0"/>
          <w:kern w:val="22"/>
          <w:sz w:val="22"/>
          <w:szCs w:val="22"/>
          <w:lang w:val="en-GB"/>
        </w:rPr>
        <w:t xml:space="preserve">funding for the preparation of their fourth national report. </w:t>
      </w:r>
      <w:r w:rsidR="005A0E24" w:rsidRPr="00FF018F">
        <w:rPr>
          <w:snapToGrid w:val="0"/>
          <w:kern w:val="22"/>
          <w:sz w:val="22"/>
          <w:szCs w:val="22"/>
          <w:lang w:val="en-GB"/>
        </w:rPr>
        <w:t xml:space="preserve">A comparison </w:t>
      </w:r>
      <w:r w:rsidR="00C867B9" w:rsidRPr="00FF018F">
        <w:rPr>
          <w:snapToGrid w:val="0"/>
          <w:kern w:val="22"/>
          <w:sz w:val="22"/>
          <w:szCs w:val="22"/>
          <w:lang w:val="en-GB"/>
        </w:rPr>
        <w:t>with the situation in respect of</w:t>
      </w:r>
      <w:r w:rsidR="005A0E24" w:rsidRPr="00FF018F">
        <w:rPr>
          <w:snapToGrid w:val="0"/>
          <w:kern w:val="22"/>
          <w:sz w:val="22"/>
          <w:szCs w:val="22"/>
          <w:lang w:val="en-GB"/>
        </w:rPr>
        <w:t xml:space="preserve"> previous </w:t>
      </w:r>
      <w:r w:rsidR="00C867B9" w:rsidRPr="00FF018F">
        <w:rPr>
          <w:snapToGrid w:val="0"/>
          <w:kern w:val="22"/>
          <w:sz w:val="22"/>
          <w:szCs w:val="22"/>
          <w:lang w:val="en-GB"/>
        </w:rPr>
        <w:t>reporting cycles</w:t>
      </w:r>
      <w:r w:rsidR="005A0E24" w:rsidRPr="00FF018F">
        <w:rPr>
          <w:snapToGrid w:val="0"/>
          <w:kern w:val="22"/>
          <w:sz w:val="22"/>
          <w:szCs w:val="22"/>
          <w:lang w:val="en-GB"/>
        </w:rPr>
        <w:t xml:space="preserve"> shows that</w:t>
      </w:r>
      <w:r w:rsidR="00C867B9" w:rsidRPr="00FF018F">
        <w:rPr>
          <w:snapToGrid w:val="0"/>
          <w:kern w:val="22"/>
          <w:sz w:val="22"/>
          <w:szCs w:val="22"/>
          <w:lang w:val="en-GB"/>
        </w:rPr>
        <w:t>,</w:t>
      </w:r>
      <w:r w:rsidR="005A0E24" w:rsidRPr="00FF018F">
        <w:rPr>
          <w:snapToGrid w:val="0"/>
          <w:kern w:val="22"/>
          <w:sz w:val="22"/>
          <w:szCs w:val="22"/>
          <w:lang w:val="en-GB"/>
        </w:rPr>
        <w:t xml:space="preserve"> </w:t>
      </w:r>
      <w:r w:rsidR="00F72BAB" w:rsidRPr="00FF018F">
        <w:rPr>
          <w:snapToGrid w:val="0"/>
          <w:kern w:val="22"/>
          <w:sz w:val="22"/>
          <w:szCs w:val="22"/>
          <w:lang w:val="en-GB"/>
        </w:rPr>
        <w:t xml:space="preserve">at </w:t>
      </w:r>
      <w:r w:rsidR="005A0E24" w:rsidRPr="00FF018F">
        <w:rPr>
          <w:snapToGrid w:val="0"/>
          <w:kern w:val="22"/>
          <w:sz w:val="22"/>
          <w:szCs w:val="22"/>
          <w:lang w:val="en-GB"/>
        </w:rPr>
        <w:t>a similar point in time after the submission deadline for the second national reports, 86 Parties had accessed GEF funding</w:t>
      </w:r>
      <w:r w:rsidR="00BA650F" w:rsidRPr="00FF018F">
        <w:rPr>
          <w:snapToGrid w:val="0"/>
          <w:kern w:val="22"/>
          <w:sz w:val="22"/>
          <w:szCs w:val="22"/>
          <w:lang w:val="en-GB"/>
        </w:rPr>
        <w:t>,</w:t>
      </w:r>
      <w:r w:rsidR="005A0E24" w:rsidRPr="00FF018F">
        <w:rPr>
          <w:snapToGrid w:val="0"/>
          <w:kern w:val="22"/>
          <w:sz w:val="22"/>
          <w:szCs w:val="22"/>
          <w:lang w:val="en-GB"/>
        </w:rPr>
        <w:t xml:space="preserve"> and the submission rate </w:t>
      </w:r>
      <w:r w:rsidR="00BB1353" w:rsidRPr="00FF018F">
        <w:rPr>
          <w:snapToGrid w:val="0"/>
          <w:kern w:val="22"/>
          <w:sz w:val="22"/>
          <w:szCs w:val="22"/>
          <w:lang w:val="en-GB"/>
        </w:rPr>
        <w:t xml:space="preserve">of the second national reports </w:t>
      </w:r>
      <w:r w:rsidR="005A0E24" w:rsidRPr="00FF018F">
        <w:rPr>
          <w:snapToGrid w:val="0"/>
          <w:kern w:val="22"/>
          <w:sz w:val="22"/>
          <w:szCs w:val="22"/>
          <w:lang w:val="en-GB"/>
        </w:rPr>
        <w:t>was 89</w:t>
      </w:r>
      <w:r w:rsidR="00E741AF" w:rsidRPr="00FF018F">
        <w:rPr>
          <w:snapToGrid w:val="0"/>
          <w:kern w:val="22"/>
          <w:sz w:val="22"/>
          <w:szCs w:val="22"/>
          <w:lang w:val="en-GB"/>
        </w:rPr>
        <w:t> </w:t>
      </w:r>
      <w:r w:rsidR="0083607F" w:rsidRPr="00FF018F">
        <w:rPr>
          <w:snapToGrid w:val="0"/>
          <w:kern w:val="22"/>
          <w:sz w:val="22"/>
          <w:szCs w:val="22"/>
          <w:lang w:val="en-GB"/>
        </w:rPr>
        <w:t>per cent</w:t>
      </w:r>
      <w:r w:rsidR="005A0E24" w:rsidRPr="00FF018F">
        <w:rPr>
          <w:snapToGrid w:val="0"/>
          <w:kern w:val="22"/>
          <w:sz w:val="22"/>
          <w:szCs w:val="22"/>
          <w:lang w:val="en-GB"/>
        </w:rPr>
        <w:t>.</w:t>
      </w:r>
    </w:p>
    <w:p w14:paraId="64B420C0" w14:textId="2D490432" w:rsidR="003B71B5" w:rsidRPr="00FF018F" w:rsidRDefault="005A0E24"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At a comparable point in time following the submission deadline for the third national reports, 82</w:t>
      </w:r>
      <w:r w:rsidR="00E741AF" w:rsidRPr="00FF018F">
        <w:rPr>
          <w:snapToGrid w:val="0"/>
          <w:kern w:val="22"/>
          <w:sz w:val="22"/>
          <w:szCs w:val="22"/>
          <w:lang w:val="en-GB"/>
        </w:rPr>
        <w:t> </w:t>
      </w:r>
      <w:r w:rsidRPr="00FF018F">
        <w:rPr>
          <w:snapToGrid w:val="0"/>
          <w:kern w:val="22"/>
          <w:sz w:val="22"/>
          <w:szCs w:val="22"/>
          <w:lang w:val="en-GB"/>
        </w:rPr>
        <w:t xml:space="preserve">Parties </w:t>
      </w:r>
      <w:r w:rsidR="0008662B" w:rsidRPr="00FF018F">
        <w:rPr>
          <w:snapToGrid w:val="0"/>
          <w:kern w:val="22"/>
          <w:sz w:val="22"/>
          <w:szCs w:val="22"/>
          <w:lang w:val="en-GB"/>
        </w:rPr>
        <w:t xml:space="preserve">that had accessed or were in the process of </w:t>
      </w:r>
      <w:r w:rsidRPr="00FF018F">
        <w:rPr>
          <w:snapToGrid w:val="0"/>
          <w:kern w:val="22"/>
          <w:sz w:val="22"/>
          <w:szCs w:val="22"/>
          <w:lang w:val="en-GB"/>
        </w:rPr>
        <w:t>access</w:t>
      </w:r>
      <w:r w:rsidR="0008662B" w:rsidRPr="00FF018F">
        <w:rPr>
          <w:snapToGrid w:val="0"/>
          <w:kern w:val="22"/>
          <w:sz w:val="22"/>
          <w:szCs w:val="22"/>
          <w:lang w:val="en-GB"/>
        </w:rPr>
        <w:t>ing GEF funding for the preparation of their third national report</w:t>
      </w:r>
      <w:r w:rsidR="00281EEA" w:rsidRPr="00FF018F">
        <w:rPr>
          <w:snapToGrid w:val="0"/>
          <w:kern w:val="22"/>
          <w:sz w:val="22"/>
          <w:szCs w:val="22"/>
          <w:lang w:val="en-GB"/>
        </w:rPr>
        <w:t>,</w:t>
      </w:r>
      <w:r w:rsidR="0020428D" w:rsidRPr="00FF018F">
        <w:rPr>
          <w:snapToGrid w:val="0"/>
          <w:kern w:val="22"/>
          <w:sz w:val="22"/>
          <w:szCs w:val="22"/>
          <w:lang w:val="en-GB"/>
        </w:rPr>
        <w:t xml:space="preserve"> and the submission rate was 62</w:t>
      </w:r>
      <w:r w:rsidR="005E0734" w:rsidRPr="00FF018F">
        <w:rPr>
          <w:snapToGrid w:val="0"/>
          <w:kern w:val="22"/>
          <w:sz w:val="22"/>
          <w:szCs w:val="22"/>
          <w:lang w:val="en-GB"/>
        </w:rPr>
        <w:t xml:space="preserve"> per cent. </w:t>
      </w:r>
      <w:r w:rsidR="0020428D" w:rsidRPr="00FF018F">
        <w:rPr>
          <w:snapToGrid w:val="0"/>
          <w:kern w:val="22"/>
          <w:sz w:val="22"/>
          <w:szCs w:val="22"/>
          <w:lang w:val="en-GB"/>
        </w:rPr>
        <w:t>The Committee noted that a number of the 82</w:t>
      </w:r>
      <w:r w:rsidR="0008662B" w:rsidRPr="00FF018F">
        <w:rPr>
          <w:snapToGrid w:val="0"/>
          <w:kern w:val="22"/>
          <w:sz w:val="22"/>
          <w:szCs w:val="22"/>
          <w:lang w:val="en-GB"/>
        </w:rPr>
        <w:t xml:space="preserve"> Parties were facing delays in accessing funding</w:t>
      </w:r>
      <w:r w:rsidR="00594DB8" w:rsidRPr="00FF018F">
        <w:rPr>
          <w:snapToGrid w:val="0"/>
          <w:kern w:val="22"/>
          <w:sz w:val="22"/>
          <w:szCs w:val="22"/>
          <w:lang w:val="en-GB"/>
        </w:rPr>
        <w:t>.</w:t>
      </w:r>
      <w:r w:rsidR="0008662B" w:rsidRPr="00FF018F">
        <w:rPr>
          <w:snapToGrid w:val="0"/>
          <w:kern w:val="22"/>
          <w:sz w:val="22"/>
          <w:szCs w:val="22"/>
          <w:lang w:val="en-GB"/>
        </w:rPr>
        <w:t xml:space="preserve"> </w:t>
      </w:r>
      <w:r w:rsidR="00594DB8" w:rsidRPr="00FF018F">
        <w:rPr>
          <w:snapToGrid w:val="0"/>
          <w:kern w:val="22"/>
          <w:sz w:val="22"/>
          <w:szCs w:val="22"/>
          <w:lang w:val="en-GB"/>
        </w:rPr>
        <w:t>T</w:t>
      </w:r>
      <w:r w:rsidR="0008662B" w:rsidRPr="00FF018F">
        <w:rPr>
          <w:snapToGrid w:val="0"/>
          <w:kern w:val="22"/>
          <w:sz w:val="22"/>
          <w:szCs w:val="22"/>
          <w:lang w:val="en-GB"/>
        </w:rPr>
        <w:t xml:space="preserve">he Committee </w:t>
      </w:r>
      <w:r w:rsidR="00594DB8" w:rsidRPr="00FF018F">
        <w:rPr>
          <w:snapToGrid w:val="0"/>
          <w:kern w:val="22"/>
          <w:sz w:val="22"/>
          <w:szCs w:val="22"/>
          <w:lang w:val="en-GB"/>
        </w:rPr>
        <w:t xml:space="preserve">also </w:t>
      </w:r>
      <w:r w:rsidR="0008662B" w:rsidRPr="00FF018F">
        <w:rPr>
          <w:snapToGrid w:val="0"/>
          <w:kern w:val="22"/>
          <w:sz w:val="22"/>
          <w:szCs w:val="22"/>
          <w:lang w:val="en-GB"/>
        </w:rPr>
        <w:t>noted that this had caused difficulties for a number of Parties in fulfilling their reporting obligation</w:t>
      </w:r>
      <w:r w:rsidR="007C6914" w:rsidRPr="00FF018F">
        <w:rPr>
          <w:snapToGrid w:val="0"/>
          <w:kern w:val="22"/>
          <w:sz w:val="22"/>
          <w:szCs w:val="22"/>
          <w:lang w:val="en-GB"/>
        </w:rPr>
        <w:t>.</w:t>
      </w:r>
      <w:r w:rsidR="007C6914" w:rsidRPr="00FF018F">
        <w:rPr>
          <w:rStyle w:val="FootnoteReference"/>
          <w:rFonts w:eastAsiaTheme="majorEastAsia"/>
          <w:snapToGrid w:val="0"/>
          <w:kern w:val="22"/>
          <w:sz w:val="22"/>
          <w:szCs w:val="22"/>
          <w:u w:val="none"/>
          <w:vertAlign w:val="superscript"/>
          <w:lang w:val="en-GB" w:eastAsia="en-US"/>
        </w:rPr>
        <w:footnoteReference w:id="23"/>
      </w:r>
    </w:p>
    <w:p w14:paraId="6D595863" w14:textId="0DBFFB67" w:rsidR="003B71B5" w:rsidRPr="00FF018F" w:rsidRDefault="003B71B5" w:rsidP="008159AD">
      <w:pPr>
        <w:pStyle w:val="Heading1"/>
        <w:suppressLineNumbers/>
        <w:tabs>
          <w:tab w:val="clear" w:pos="720"/>
          <w:tab w:val="left" w:pos="426"/>
        </w:tabs>
        <w:suppressAutoHyphens/>
        <w:spacing w:before="120"/>
        <w:ind w:left="1418" w:hanging="709"/>
        <w:jc w:val="left"/>
        <w:rPr>
          <w:snapToGrid w:val="0"/>
          <w:kern w:val="22"/>
          <w:szCs w:val="22"/>
        </w:rPr>
      </w:pPr>
      <w:r w:rsidRPr="00FF018F">
        <w:rPr>
          <w:snapToGrid w:val="0"/>
          <w:kern w:val="22"/>
          <w:szCs w:val="22"/>
        </w:rPr>
        <w:t>I</w:t>
      </w:r>
      <w:r w:rsidR="00DA125F" w:rsidRPr="00FF018F">
        <w:rPr>
          <w:snapToGrid w:val="0"/>
          <w:kern w:val="22"/>
          <w:szCs w:val="22"/>
        </w:rPr>
        <w:t>V</w:t>
      </w:r>
      <w:r w:rsidRPr="00FF018F">
        <w:rPr>
          <w:snapToGrid w:val="0"/>
          <w:kern w:val="22"/>
          <w:szCs w:val="22"/>
        </w:rPr>
        <w:t>.</w:t>
      </w:r>
      <w:r w:rsidRPr="00FF018F">
        <w:rPr>
          <w:snapToGrid w:val="0"/>
          <w:kern w:val="22"/>
          <w:szCs w:val="22"/>
        </w:rPr>
        <w:tab/>
        <w:t>Actions taken by the committee in respect of parties that did not comply with their reporting obligation</w:t>
      </w:r>
    </w:p>
    <w:p w14:paraId="17A0CAB9" w14:textId="55791D41" w:rsidR="003B71B5" w:rsidRPr="00FF018F" w:rsidRDefault="006A109A" w:rsidP="008159AD">
      <w:pPr>
        <w:pStyle w:val="Para1"/>
        <w:numPr>
          <w:ilvl w:val="0"/>
          <w:numId w:val="17"/>
        </w:numPr>
        <w:suppressLineNumbers/>
        <w:tabs>
          <w:tab w:val="clear" w:pos="644"/>
        </w:tabs>
        <w:suppressAutoHyphens/>
        <w:kinsoku w:val="0"/>
        <w:overflowPunct w:val="0"/>
        <w:autoSpaceDE w:val="0"/>
        <w:autoSpaceDN w:val="0"/>
        <w:ind w:left="0"/>
        <w:rPr>
          <w:kern w:val="22"/>
          <w:szCs w:val="22"/>
        </w:rPr>
      </w:pPr>
      <w:r w:rsidRPr="00FF018F">
        <w:rPr>
          <w:kern w:val="22"/>
          <w:szCs w:val="22"/>
        </w:rPr>
        <w:t>Since its second meeting, t</w:t>
      </w:r>
      <w:r w:rsidR="003B71B5" w:rsidRPr="00FF018F">
        <w:rPr>
          <w:kern w:val="22"/>
          <w:szCs w:val="22"/>
        </w:rPr>
        <w:t xml:space="preserve">he Committee has extensively reviewed compliance with the obligation </w:t>
      </w:r>
      <w:r w:rsidR="00A52B36" w:rsidRPr="00FF018F">
        <w:rPr>
          <w:kern w:val="22"/>
          <w:szCs w:val="22"/>
        </w:rPr>
        <w:t>of</w:t>
      </w:r>
      <w:r w:rsidR="005E3778" w:rsidRPr="00FF018F">
        <w:rPr>
          <w:kern w:val="22"/>
          <w:szCs w:val="22"/>
        </w:rPr>
        <w:t xml:space="preserve"> Parties </w:t>
      </w:r>
      <w:r w:rsidR="003B71B5" w:rsidRPr="00FF018F">
        <w:rPr>
          <w:kern w:val="22"/>
          <w:szCs w:val="22"/>
        </w:rPr>
        <w:t xml:space="preserve">to report. </w:t>
      </w:r>
      <w:r w:rsidR="002A111B" w:rsidRPr="00FF018F">
        <w:rPr>
          <w:kern w:val="22"/>
          <w:szCs w:val="22"/>
        </w:rPr>
        <w:t>D</w:t>
      </w:r>
      <w:r w:rsidR="003B71B5" w:rsidRPr="00FF018F">
        <w:rPr>
          <w:kern w:val="22"/>
          <w:szCs w:val="22"/>
        </w:rPr>
        <w:t xml:space="preserve">ecision </w:t>
      </w:r>
      <w:hyperlink r:id="rId20" w:history="1">
        <w:r w:rsidR="003B71B5" w:rsidRPr="00FF018F">
          <w:rPr>
            <w:rStyle w:val="Hyperlink"/>
            <w:sz w:val="22"/>
            <w:szCs w:val="22"/>
          </w:rPr>
          <w:t>BS-V/1</w:t>
        </w:r>
      </w:hyperlink>
      <w:r w:rsidR="003B71B5" w:rsidRPr="00FF018F">
        <w:rPr>
          <w:kern w:val="22"/>
          <w:szCs w:val="22"/>
        </w:rPr>
        <w:t xml:space="preserve"> enabled the Committee to take certain measures in accordance with section </w:t>
      </w:r>
      <w:r w:rsidR="00D755A4" w:rsidRPr="00FF018F">
        <w:rPr>
          <w:kern w:val="22"/>
          <w:szCs w:val="22"/>
        </w:rPr>
        <w:t>VI</w:t>
      </w:r>
      <w:r w:rsidR="003B71B5" w:rsidRPr="00FF018F">
        <w:rPr>
          <w:kern w:val="22"/>
          <w:szCs w:val="22"/>
        </w:rPr>
        <w:t xml:space="preserve"> of the procedures and mechanisms on compliance under the Cartagena Protocol</w:t>
      </w:r>
      <w:r w:rsidR="000176F2" w:rsidRPr="00FF018F">
        <w:rPr>
          <w:rStyle w:val="FootnoteReference"/>
          <w:rFonts w:eastAsiaTheme="majorEastAsia"/>
          <w:kern w:val="22"/>
          <w:sz w:val="22"/>
          <w:szCs w:val="22"/>
          <w:u w:val="none"/>
          <w:vertAlign w:val="superscript"/>
        </w:rPr>
        <w:footnoteReference w:id="24"/>
      </w:r>
      <w:r w:rsidR="003B71B5" w:rsidRPr="00FF018F">
        <w:rPr>
          <w:kern w:val="22"/>
          <w:szCs w:val="22"/>
        </w:rPr>
        <w:t xml:space="preserve"> if a Party does not submit a national report</w:t>
      </w:r>
      <w:r w:rsidR="002A111B" w:rsidRPr="00FF018F">
        <w:rPr>
          <w:kern w:val="22"/>
          <w:szCs w:val="22"/>
        </w:rPr>
        <w:t>. Further to this</w:t>
      </w:r>
      <w:r w:rsidR="003B71B5" w:rsidRPr="00FF018F">
        <w:rPr>
          <w:kern w:val="22"/>
          <w:szCs w:val="22"/>
        </w:rPr>
        <w:t xml:space="preserve">, the Committee has taken measures in respect of individual </w:t>
      </w:r>
      <w:r w:rsidR="003B71B5" w:rsidRPr="00FF018F">
        <w:rPr>
          <w:kern w:val="22"/>
          <w:szCs w:val="22"/>
        </w:rPr>
        <w:lastRenderedPageBreak/>
        <w:t xml:space="preserve">Parties and made recommendations to the </w:t>
      </w:r>
      <w:r w:rsidR="003D71E2" w:rsidRPr="00FF018F">
        <w:rPr>
          <w:kern w:val="22"/>
          <w:szCs w:val="22"/>
        </w:rPr>
        <w:t>Conference of the Parties serving as the meeting of the Parties to the Protocol</w:t>
      </w:r>
      <w:r w:rsidR="003B71B5" w:rsidRPr="00FF018F">
        <w:rPr>
          <w:kern w:val="22"/>
          <w:szCs w:val="22"/>
        </w:rPr>
        <w:t xml:space="preserve"> in this regard.</w:t>
      </w:r>
    </w:p>
    <w:p w14:paraId="0E8DDF52" w14:textId="759F3D19" w:rsidR="003B71B5" w:rsidRPr="00FF018F" w:rsidRDefault="003B71B5" w:rsidP="008159AD">
      <w:pPr>
        <w:pStyle w:val="Para1"/>
        <w:numPr>
          <w:ilvl w:val="0"/>
          <w:numId w:val="17"/>
        </w:numPr>
        <w:suppressLineNumbers/>
        <w:tabs>
          <w:tab w:val="clear" w:pos="644"/>
        </w:tabs>
        <w:suppressAutoHyphens/>
        <w:kinsoku w:val="0"/>
        <w:overflowPunct w:val="0"/>
        <w:autoSpaceDE w:val="0"/>
        <w:autoSpaceDN w:val="0"/>
        <w:ind w:left="0"/>
        <w:rPr>
          <w:kern w:val="22"/>
          <w:szCs w:val="22"/>
        </w:rPr>
      </w:pPr>
      <w:r w:rsidRPr="00FF018F">
        <w:rPr>
          <w:kern w:val="22"/>
          <w:szCs w:val="22"/>
        </w:rPr>
        <w:t xml:space="preserve">In line with the organization of work agreed at its eighth meeting, the Committee reviews compliance by Parties with their obligation to submit a national report at the first meeting following the deadline </w:t>
      </w:r>
      <w:r w:rsidR="006C3104" w:rsidRPr="00FF018F">
        <w:rPr>
          <w:kern w:val="22"/>
          <w:szCs w:val="22"/>
        </w:rPr>
        <w:t xml:space="preserve">for submission </w:t>
      </w:r>
      <w:r w:rsidRPr="00FF018F">
        <w:rPr>
          <w:kern w:val="22"/>
          <w:szCs w:val="22"/>
        </w:rPr>
        <w:t xml:space="preserve">of the respective national report and may decide on </w:t>
      </w:r>
      <w:r w:rsidR="00C34D53" w:rsidRPr="00FF018F">
        <w:rPr>
          <w:kern w:val="22"/>
          <w:szCs w:val="22"/>
        </w:rPr>
        <w:t xml:space="preserve">recommendations and </w:t>
      </w:r>
      <w:r w:rsidRPr="00FF018F">
        <w:rPr>
          <w:kern w:val="22"/>
          <w:szCs w:val="22"/>
        </w:rPr>
        <w:t xml:space="preserve">follow-up </w:t>
      </w:r>
      <w:r w:rsidR="00CC3BB3" w:rsidRPr="00FF018F">
        <w:rPr>
          <w:kern w:val="22"/>
          <w:szCs w:val="22"/>
        </w:rPr>
        <w:t>actions</w:t>
      </w:r>
      <w:r w:rsidRPr="00FF018F">
        <w:rPr>
          <w:kern w:val="22"/>
          <w:szCs w:val="22"/>
        </w:rPr>
        <w:t>. The Committee usually reverts to the issue at its subsequent meetings, reviewing an update of the number of Parties that have submitted their national report and considering follow-up actions regarding Parties that continue not comply</w:t>
      </w:r>
      <w:r w:rsidR="00020DA6" w:rsidRPr="00FF018F">
        <w:rPr>
          <w:kern w:val="22"/>
          <w:szCs w:val="22"/>
        </w:rPr>
        <w:t>ing</w:t>
      </w:r>
      <w:r w:rsidRPr="00FF018F">
        <w:rPr>
          <w:kern w:val="22"/>
          <w:szCs w:val="22"/>
        </w:rPr>
        <w:t xml:space="preserve"> with their obligation in this regard.</w:t>
      </w:r>
    </w:p>
    <w:p w14:paraId="73BD0488" w14:textId="4806E57C" w:rsidR="003B71B5" w:rsidRPr="00FF018F" w:rsidRDefault="003B71B5" w:rsidP="008159AD">
      <w:pPr>
        <w:pStyle w:val="Para1"/>
        <w:numPr>
          <w:ilvl w:val="0"/>
          <w:numId w:val="17"/>
        </w:numPr>
        <w:suppressLineNumbers/>
        <w:tabs>
          <w:tab w:val="clear" w:pos="644"/>
        </w:tabs>
        <w:suppressAutoHyphens/>
        <w:kinsoku w:val="0"/>
        <w:overflowPunct w:val="0"/>
        <w:autoSpaceDE w:val="0"/>
        <w:autoSpaceDN w:val="0"/>
        <w:ind w:left="0"/>
        <w:rPr>
          <w:kern w:val="22"/>
          <w:szCs w:val="22"/>
        </w:rPr>
      </w:pPr>
      <w:r w:rsidRPr="00FF018F">
        <w:rPr>
          <w:kern w:val="22"/>
          <w:szCs w:val="22"/>
        </w:rPr>
        <w:t xml:space="preserve">In this context, the Committee has made recommendations and taken a number of actions, </w:t>
      </w:r>
      <w:r w:rsidR="00552409" w:rsidRPr="00FF018F">
        <w:rPr>
          <w:kern w:val="22"/>
          <w:szCs w:val="22"/>
        </w:rPr>
        <w:t>a selection</w:t>
      </w:r>
      <w:r w:rsidRPr="00FF018F">
        <w:rPr>
          <w:kern w:val="22"/>
          <w:szCs w:val="22"/>
        </w:rPr>
        <w:t xml:space="preserve"> of which </w:t>
      </w:r>
      <w:r w:rsidR="00552409" w:rsidRPr="00FF018F">
        <w:rPr>
          <w:kern w:val="22"/>
          <w:szCs w:val="22"/>
        </w:rPr>
        <w:t>have been</w:t>
      </w:r>
      <w:r w:rsidRPr="00FF018F">
        <w:rPr>
          <w:kern w:val="22"/>
          <w:szCs w:val="22"/>
        </w:rPr>
        <w:t xml:space="preserve"> summarized below:</w:t>
      </w:r>
    </w:p>
    <w:p w14:paraId="3563DB01" w14:textId="6D17A2DA" w:rsidR="003B71B5" w:rsidRPr="00FF018F" w:rsidRDefault="008B0AAF" w:rsidP="008159AD">
      <w:pPr>
        <w:pStyle w:val="Para1"/>
        <w:numPr>
          <w:ilvl w:val="1"/>
          <w:numId w:val="17"/>
        </w:numPr>
        <w:suppressLineNumbers/>
        <w:tabs>
          <w:tab w:val="clear" w:pos="1570"/>
        </w:tabs>
        <w:suppressAutoHyphens/>
        <w:kinsoku w:val="0"/>
        <w:overflowPunct w:val="0"/>
        <w:autoSpaceDE w:val="0"/>
        <w:autoSpaceDN w:val="0"/>
        <w:ind w:left="0"/>
        <w:rPr>
          <w:kern w:val="22"/>
          <w:szCs w:val="22"/>
        </w:rPr>
      </w:pPr>
      <w:r w:rsidRPr="00FF018F">
        <w:rPr>
          <w:kern w:val="22"/>
          <w:szCs w:val="22"/>
        </w:rPr>
        <w:t>R</w:t>
      </w:r>
      <w:r w:rsidR="003B71B5" w:rsidRPr="00FF018F">
        <w:rPr>
          <w:kern w:val="22"/>
          <w:szCs w:val="22"/>
        </w:rPr>
        <w:t>ecommend</w:t>
      </w:r>
      <w:r w:rsidR="001B70BA" w:rsidRPr="00FF018F">
        <w:rPr>
          <w:kern w:val="22"/>
          <w:szCs w:val="22"/>
        </w:rPr>
        <w:t>s</w:t>
      </w:r>
      <w:r w:rsidR="003B71B5" w:rsidRPr="00FF018F">
        <w:rPr>
          <w:kern w:val="22"/>
          <w:szCs w:val="22"/>
        </w:rPr>
        <w:t xml:space="preserve"> to the </w:t>
      </w:r>
      <w:r w:rsidRPr="00FF018F">
        <w:rPr>
          <w:kern w:val="22"/>
          <w:szCs w:val="22"/>
        </w:rPr>
        <w:t xml:space="preserve">Conference of the Parties serving as the meeting of the Parties to the Protocol </w:t>
      </w:r>
      <w:r w:rsidR="003B71B5" w:rsidRPr="00FF018F">
        <w:rPr>
          <w:kern w:val="22"/>
          <w:szCs w:val="22"/>
        </w:rPr>
        <w:t>that it urge Parties that have not yet done so to submit their complete national report;</w:t>
      </w:r>
    </w:p>
    <w:p w14:paraId="52D58A1B" w14:textId="38F69C66" w:rsidR="003B71B5" w:rsidRPr="00FF018F" w:rsidRDefault="00B83FFA" w:rsidP="008159AD">
      <w:pPr>
        <w:pStyle w:val="Para1"/>
        <w:numPr>
          <w:ilvl w:val="1"/>
          <w:numId w:val="17"/>
        </w:numPr>
        <w:suppressLineNumbers/>
        <w:tabs>
          <w:tab w:val="clear" w:pos="1570"/>
        </w:tabs>
        <w:suppressAutoHyphens/>
        <w:kinsoku w:val="0"/>
        <w:overflowPunct w:val="0"/>
        <w:autoSpaceDE w:val="0"/>
        <w:autoSpaceDN w:val="0"/>
        <w:ind w:left="0"/>
        <w:rPr>
          <w:kern w:val="22"/>
          <w:szCs w:val="22"/>
        </w:rPr>
      </w:pPr>
      <w:r w:rsidRPr="00FF018F">
        <w:rPr>
          <w:kern w:val="22"/>
          <w:szCs w:val="22"/>
        </w:rPr>
        <w:t>R</w:t>
      </w:r>
      <w:r w:rsidR="003B71B5" w:rsidRPr="00FF018F">
        <w:rPr>
          <w:kern w:val="22"/>
          <w:szCs w:val="22"/>
        </w:rPr>
        <w:t>ecommend</w:t>
      </w:r>
      <w:r w:rsidRPr="00FF018F">
        <w:rPr>
          <w:kern w:val="22"/>
          <w:szCs w:val="22"/>
        </w:rPr>
        <w:t>s</w:t>
      </w:r>
      <w:r w:rsidR="00256C0A" w:rsidRPr="00FF018F">
        <w:rPr>
          <w:kern w:val="22"/>
          <w:szCs w:val="22"/>
        </w:rPr>
        <w:t>,</w:t>
      </w:r>
      <w:r w:rsidR="003B71B5" w:rsidRPr="00FF018F">
        <w:rPr>
          <w:kern w:val="22"/>
          <w:szCs w:val="22"/>
        </w:rPr>
        <w:t xml:space="preserve"> through the </w:t>
      </w:r>
      <w:r w:rsidRPr="00FF018F">
        <w:rPr>
          <w:kern w:val="22"/>
          <w:szCs w:val="22"/>
        </w:rPr>
        <w:t>Conference of the Parties serving as the meeting of the Parties to the Protocol</w:t>
      </w:r>
      <w:r w:rsidR="00256C0A" w:rsidRPr="00FF018F">
        <w:rPr>
          <w:kern w:val="22"/>
          <w:szCs w:val="22"/>
        </w:rPr>
        <w:t>,</w:t>
      </w:r>
      <w:r w:rsidR="003B71B5" w:rsidRPr="00FF018F">
        <w:rPr>
          <w:kern w:val="22"/>
          <w:szCs w:val="22"/>
        </w:rPr>
        <w:t xml:space="preserve"> that the </w:t>
      </w:r>
      <w:r w:rsidRPr="00FF018F">
        <w:rPr>
          <w:kern w:val="22"/>
          <w:szCs w:val="22"/>
        </w:rPr>
        <w:t>Conference of the Parties</w:t>
      </w:r>
      <w:r w:rsidR="003B71B5" w:rsidRPr="00FF018F">
        <w:rPr>
          <w:kern w:val="22"/>
          <w:szCs w:val="22"/>
        </w:rPr>
        <w:t xml:space="preserve">, in adopting its guidance to the financial mechanism, invite the </w:t>
      </w:r>
      <w:r w:rsidR="00457D48" w:rsidRPr="00FF018F">
        <w:rPr>
          <w:kern w:val="22"/>
          <w:szCs w:val="22"/>
        </w:rPr>
        <w:t>GEF</w:t>
      </w:r>
      <w:r w:rsidR="003B71B5" w:rsidRPr="00FF018F">
        <w:rPr>
          <w:kern w:val="22"/>
          <w:szCs w:val="22"/>
        </w:rPr>
        <w:t xml:space="preserve"> to make funds available to all eligible Parties for the preparation of the national report under the Cartagena Protocol;</w:t>
      </w:r>
    </w:p>
    <w:p w14:paraId="6520185B" w14:textId="50205A49" w:rsidR="003B71B5" w:rsidRPr="00FF018F" w:rsidRDefault="009A3003" w:rsidP="008159AD">
      <w:pPr>
        <w:pStyle w:val="Para1"/>
        <w:numPr>
          <w:ilvl w:val="1"/>
          <w:numId w:val="17"/>
        </w:numPr>
        <w:suppressLineNumbers/>
        <w:tabs>
          <w:tab w:val="clear" w:pos="1570"/>
        </w:tabs>
        <w:suppressAutoHyphens/>
        <w:kinsoku w:val="0"/>
        <w:overflowPunct w:val="0"/>
        <w:autoSpaceDE w:val="0"/>
        <w:autoSpaceDN w:val="0"/>
        <w:ind w:left="0"/>
        <w:rPr>
          <w:kern w:val="22"/>
          <w:szCs w:val="22"/>
        </w:rPr>
      </w:pPr>
      <w:r w:rsidRPr="00FF018F">
        <w:rPr>
          <w:kern w:val="22"/>
          <w:szCs w:val="22"/>
        </w:rPr>
        <w:t>R</w:t>
      </w:r>
      <w:r w:rsidR="003B71B5" w:rsidRPr="00FF018F">
        <w:rPr>
          <w:kern w:val="22"/>
          <w:szCs w:val="22"/>
        </w:rPr>
        <w:t>equest</w:t>
      </w:r>
      <w:r w:rsidRPr="00FF018F">
        <w:rPr>
          <w:kern w:val="22"/>
          <w:szCs w:val="22"/>
        </w:rPr>
        <w:t>s</w:t>
      </w:r>
      <w:r w:rsidR="003B71B5" w:rsidRPr="00FF018F">
        <w:rPr>
          <w:kern w:val="22"/>
          <w:szCs w:val="22"/>
        </w:rPr>
        <w:t xml:space="preserve"> the Secretariat to follow</w:t>
      </w:r>
      <w:r w:rsidR="004017EE" w:rsidRPr="00FF018F">
        <w:rPr>
          <w:kern w:val="22"/>
          <w:szCs w:val="22"/>
        </w:rPr>
        <w:t xml:space="preserve"> </w:t>
      </w:r>
      <w:r w:rsidR="003B71B5" w:rsidRPr="00FF018F">
        <w:rPr>
          <w:kern w:val="22"/>
          <w:szCs w:val="22"/>
        </w:rPr>
        <w:t xml:space="preserve">up with Parties that have not yet submitted their national report. Follow-up in this regard has been done informally by e-mail to the national focal point of </w:t>
      </w:r>
      <w:r w:rsidR="00D83E2D" w:rsidRPr="00FF018F">
        <w:rPr>
          <w:kern w:val="22"/>
          <w:szCs w:val="22"/>
        </w:rPr>
        <w:t xml:space="preserve">the </w:t>
      </w:r>
      <w:r w:rsidR="003B71B5" w:rsidRPr="00FF018F">
        <w:rPr>
          <w:kern w:val="22"/>
          <w:szCs w:val="22"/>
        </w:rPr>
        <w:t xml:space="preserve">Parties concerned, and </w:t>
      </w:r>
      <w:r w:rsidR="00254983" w:rsidRPr="00FF018F">
        <w:rPr>
          <w:kern w:val="22"/>
          <w:szCs w:val="22"/>
        </w:rPr>
        <w:t xml:space="preserve">occasionally </w:t>
      </w:r>
      <w:r w:rsidR="003B71B5" w:rsidRPr="00FF018F">
        <w:rPr>
          <w:kern w:val="22"/>
          <w:szCs w:val="22"/>
        </w:rPr>
        <w:t xml:space="preserve">formally through a letter from the Executive Secretary. These communications reminded Parties of their obligation to submit their national report and offered assistance in this regard. In some cases, the Committee has requested the Secretariat to enquire with </w:t>
      </w:r>
      <w:r w:rsidR="00C65D5D" w:rsidRPr="00FF018F">
        <w:rPr>
          <w:kern w:val="22"/>
          <w:szCs w:val="22"/>
        </w:rPr>
        <w:t xml:space="preserve">the </w:t>
      </w:r>
      <w:r w:rsidR="003B71B5" w:rsidRPr="00FF018F">
        <w:rPr>
          <w:kern w:val="22"/>
          <w:szCs w:val="22"/>
        </w:rPr>
        <w:t>Parties concerned about the difficulties they face in complying with their obligation to submit a national report;</w:t>
      </w:r>
    </w:p>
    <w:p w14:paraId="1B534024" w14:textId="5B1ECB09" w:rsidR="003B71B5" w:rsidRPr="00FF018F" w:rsidRDefault="00945099" w:rsidP="008159AD">
      <w:pPr>
        <w:pStyle w:val="Para1"/>
        <w:numPr>
          <w:ilvl w:val="1"/>
          <w:numId w:val="17"/>
        </w:numPr>
        <w:suppressLineNumbers/>
        <w:tabs>
          <w:tab w:val="clear" w:pos="1570"/>
        </w:tabs>
        <w:suppressAutoHyphens/>
        <w:kinsoku w:val="0"/>
        <w:overflowPunct w:val="0"/>
        <w:autoSpaceDE w:val="0"/>
        <w:autoSpaceDN w:val="0"/>
        <w:ind w:left="0"/>
        <w:rPr>
          <w:kern w:val="22"/>
          <w:szCs w:val="22"/>
        </w:rPr>
      </w:pPr>
      <w:r w:rsidRPr="00FF018F">
        <w:rPr>
          <w:kern w:val="22"/>
          <w:szCs w:val="22"/>
        </w:rPr>
        <w:t>D</w:t>
      </w:r>
      <w:r w:rsidR="003B71B5" w:rsidRPr="00FF018F">
        <w:rPr>
          <w:kern w:val="22"/>
          <w:szCs w:val="22"/>
        </w:rPr>
        <w:t>ecide</w:t>
      </w:r>
      <w:r w:rsidRPr="00FF018F">
        <w:rPr>
          <w:kern w:val="22"/>
          <w:szCs w:val="22"/>
        </w:rPr>
        <w:t>s</w:t>
      </w:r>
      <w:r w:rsidR="003B71B5" w:rsidRPr="00FF018F">
        <w:rPr>
          <w:kern w:val="22"/>
          <w:szCs w:val="22"/>
        </w:rPr>
        <w:t xml:space="preserve"> that the Chair of the Committee </w:t>
      </w:r>
      <w:r w:rsidR="00132FA8" w:rsidRPr="00FF018F">
        <w:rPr>
          <w:kern w:val="22"/>
          <w:szCs w:val="22"/>
        </w:rPr>
        <w:t xml:space="preserve">shall </w:t>
      </w:r>
      <w:r w:rsidR="003B71B5" w:rsidRPr="00FF018F">
        <w:rPr>
          <w:kern w:val="22"/>
          <w:szCs w:val="22"/>
        </w:rPr>
        <w:t xml:space="preserve">write to </w:t>
      </w:r>
      <w:r w:rsidR="00EE1696" w:rsidRPr="00FF018F">
        <w:rPr>
          <w:kern w:val="22"/>
          <w:szCs w:val="22"/>
        </w:rPr>
        <w:t xml:space="preserve">individual </w:t>
      </w:r>
      <w:r w:rsidR="003B71B5" w:rsidRPr="00FF018F">
        <w:rPr>
          <w:kern w:val="22"/>
          <w:szCs w:val="22"/>
        </w:rPr>
        <w:t>Part</w:t>
      </w:r>
      <w:r w:rsidR="00EE1696" w:rsidRPr="00FF018F">
        <w:rPr>
          <w:kern w:val="22"/>
          <w:szCs w:val="22"/>
        </w:rPr>
        <w:t>ies</w:t>
      </w:r>
      <w:r w:rsidR="003B71B5" w:rsidRPr="00FF018F">
        <w:rPr>
          <w:kern w:val="22"/>
          <w:szCs w:val="22"/>
        </w:rPr>
        <w:t xml:space="preserve"> </w:t>
      </w:r>
      <w:r w:rsidR="00EC4AA7" w:rsidRPr="00FF018F">
        <w:rPr>
          <w:kern w:val="22"/>
          <w:szCs w:val="22"/>
        </w:rPr>
        <w:t>reminding the</w:t>
      </w:r>
      <w:r w:rsidR="00EE1696" w:rsidRPr="00FF018F">
        <w:rPr>
          <w:kern w:val="22"/>
          <w:szCs w:val="22"/>
        </w:rPr>
        <w:t>se</w:t>
      </w:r>
      <w:r w:rsidR="00EC4AA7" w:rsidRPr="00FF018F">
        <w:rPr>
          <w:kern w:val="22"/>
          <w:szCs w:val="22"/>
        </w:rPr>
        <w:t xml:space="preserve"> Part</w:t>
      </w:r>
      <w:r w:rsidR="00EE1696" w:rsidRPr="00FF018F">
        <w:rPr>
          <w:kern w:val="22"/>
          <w:szCs w:val="22"/>
        </w:rPr>
        <w:t>ies</w:t>
      </w:r>
      <w:r w:rsidR="003B71B5" w:rsidRPr="00FF018F">
        <w:rPr>
          <w:kern w:val="22"/>
          <w:szCs w:val="22"/>
        </w:rPr>
        <w:t xml:space="preserve"> of </w:t>
      </w:r>
      <w:r w:rsidR="00EE1696" w:rsidRPr="00FF018F">
        <w:rPr>
          <w:kern w:val="22"/>
          <w:szCs w:val="22"/>
        </w:rPr>
        <w:t>the</w:t>
      </w:r>
      <w:r w:rsidR="003B71B5" w:rsidRPr="00FF018F">
        <w:rPr>
          <w:kern w:val="22"/>
          <w:szCs w:val="22"/>
        </w:rPr>
        <w:t xml:space="preserve"> obligation to submit </w:t>
      </w:r>
      <w:r w:rsidR="00EE1696" w:rsidRPr="00FF018F">
        <w:rPr>
          <w:kern w:val="22"/>
          <w:szCs w:val="22"/>
        </w:rPr>
        <w:t>a</w:t>
      </w:r>
      <w:r w:rsidR="003B71B5" w:rsidRPr="00FF018F">
        <w:rPr>
          <w:kern w:val="22"/>
          <w:szCs w:val="22"/>
        </w:rPr>
        <w:t xml:space="preserve"> national report and offering assistance in this regard</w:t>
      </w:r>
      <w:r w:rsidR="0088431A" w:rsidRPr="00FF018F">
        <w:rPr>
          <w:kern w:val="22"/>
          <w:szCs w:val="22"/>
        </w:rPr>
        <w:t xml:space="preserve">. These letters have been sent </w:t>
      </w:r>
      <w:r w:rsidR="00C96E10" w:rsidRPr="00FF018F">
        <w:rPr>
          <w:kern w:val="22"/>
          <w:szCs w:val="22"/>
        </w:rPr>
        <w:t xml:space="preserve">either </w:t>
      </w:r>
      <w:r w:rsidR="0088431A" w:rsidRPr="00FF018F">
        <w:rPr>
          <w:kern w:val="22"/>
          <w:szCs w:val="22"/>
        </w:rPr>
        <w:t xml:space="preserve">to the </w:t>
      </w:r>
      <w:r w:rsidR="00EC4AA7" w:rsidRPr="00FF018F">
        <w:rPr>
          <w:kern w:val="22"/>
          <w:szCs w:val="22"/>
        </w:rPr>
        <w:t>n</w:t>
      </w:r>
      <w:r w:rsidR="0088431A" w:rsidRPr="00FF018F">
        <w:rPr>
          <w:kern w:val="22"/>
          <w:szCs w:val="22"/>
        </w:rPr>
        <w:t xml:space="preserve">ational </w:t>
      </w:r>
      <w:r w:rsidR="00EC4AA7" w:rsidRPr="00FF018F">
        <w:rPr>
          <w:kern w:val="22"/>
          <w:szCs w:val="22"/>
        </w:rPr>
        <w:t>f</w:t>
      </w:r>
      <w:r w:rsidR="0088431A" w:rsidRPr="00FF018F">
        <w:rPr>
          <w:kern w:val="22"/>
          <w:szCs w:val="22"/>
        </w:rPr>
        <w:t xml:space="preserve">ocal </w:t>
      </w:r>
      <w:r w:rsidR="00EC4AA7" w:rsidRPr="00FF018F">
        <w:rPr>
          <w:kern w:val="22"/>
          <w:szCs w:val="22"/>
        </w:rPr>
        <w:t>p</w:t>
      </w:r>
      <w:r w:rsidR="0088431A" w:rsidRPr="00FF018F">
        <w:rPr>
          <w:kern w:val="22"/>
          <w:szCs w:val="22"/>
        </w:rPr>
        <w:t xml:space="preserve">oint </w:t>
      </w:r>
      <w:r w:rsidR="00C96E10" w:rsidRPr="00FF018F">
        <w:rPr>
          <w:kern w:val="22"/>
          <w:szCs w:val="22"/>
        </w:rPr>
        <w:t xml:space="preserve">for </w:t>
      </w:r>
      <w:r w:rsidR="0088431A" w:rsidRPr="00FF018F">
        <w:rPr>
          <w:kern w:val="22"/>
          <w:szCs w:val="22"/>
        </w:rPr>
        <w:t xml:space="preserve">the Cartagena Protocol or, at a subsequent stage, to the Ministry of Foreign Affairs, with copy to the </w:t>
      </w:r>
      <w:r w:rsidR="00EC4AA7" w:rsidRPr="00FF018F">
        <w:rPr>
          <w:kern w:val="22"/>
          <w:szCs w:val="22"/>
        </w:rPr>
        <w:t>n</w:t>
      </w:r>
      <w:r w:rsidR="0088431A" w:rsidRPr="00FF018F">
        <w:rPr>
          <w:kern w:val="22"/>
          <w:szCs w:val="22"/>
        </w:rPr>
        <w:t xml:space="preserve">ational </w:t>
      </w:r>
      <w:r w:rsidR="00EC4AA7" w:rsidRPr="00FF018F">
        <w:rPr>
          <w:kern w:val="22"/>
          <w:szCs w:val="22"/>
        </w:rPr>
        <w:t>f</w:t>
      </w:r>
      <w:r w:rsidR="0088431A" w:rsidRPr="00FF018F">
        <w:rPr>
          <w:kern w:val="22"/>
          <w:szCs w:val="22"/>
        </w:rPr>
        <w:t xml:space="preserve">ocal </w:t>
      </w:r>
      <w:r w:rsidR="00EC4AA7" w:rsidRPr="00FF018F">
        <w:rPr>
          <w:kern w:val="22"/>
          <w:szCs w:val="22"/>
        </w:rPr>
        <w:t>p</w:t>
      </w:r>
      <w:r w:rsidR="0088431A" w:rsidRPr="00FF018F">
        <w:rPr>
          <w:kern w:val="22"/>
          <w:szCs w:val="22"/>
        </w:rPr>
        <w:t xml:space="preserve">oint </w:t>
      </w:r>
      <w:r w:rsidR="0017351A" w:rsidRPr="00FF018F">
        <w:rPr>
          <w:kern w:val="22"/>
          <w:szCs w:val="22"/>
        </w:rPr>
        <w:t xml:space="preserve">for </w:t>
      </w:r>
      <w:r w:rsidR="0088431A" w:rsidRPr="00FF018F">
        <w:rPr>
          <w:kern w:val="22"/>
          <w:szCs w:val="22"/>
        </w:rPr>
        <w:t>the Cartagena Protocol</w:t>
      </w:r>
      <w:r w:rsidR="003B71B5" w:rsidRPr="00FF018F">
        <w:rPr>
          <w:kern w:val="22"/>
          <w:szCs w:val="22"/>
        </w:rPr>
        <w:t>;</w:t>
      </w:r>
    </w:p>
    <w:p w14:paraId="4B12EF0F" w14:textId="543ED977" w:rsidR="003B71B5" w:rsidRPr="00FF018F" w:rsidRDefault="009D7D09" w:rsidP="008159AD">
      <w:pPr>
        <w:pStyle w:val="Para1"/>
        <w:numPr>
          <w:ilvl w:val="1"/>
          <w:numId w:val="17"/>
        </w:numPr>
        <w:suppressLineNumbers/>
        <w:tabs>
          <w:tab w:val="clear" w:pos="1570"/>
        </w:tabs>
        <w:suppressAutoHyphens/>
        <w:kinsoku w:val="0"/>
        <w:overflowPunct w:val="0"/>
        <w:autoSpaceDE w:val="0"/>
        <w:autoSpaceDN w:val="0"/>
        <w:ind w:left="0"/>
        <w:rPr>
          <w:kern w:val="22"/>
          <w:szCs w:val="22"/>
        </w:rPr>
      </w:pPr>
      <w:r w:rsidRPr="00FF018F">
        <w:rPr>
          <w:kern w:val="22"/>
          <w:szCs w:val="22"/>
        </w:rPr>
        <w:t>R</w:t>
      </w:r>
      <w:r w:rsidR="003B71B5" w:rsidRPr="00FF018F">
        <w:rPr>
          <w:kern w:val="22"/>
          <w:szCs w:val="22"/>
        </w:rPr>
        <w:t xml:space="preserve">ecommend to the </w:t>
      </w:r>
      <w:r w:rsidR="00517D11" w:rsidRPr="00FF018F">
        <w:rPr>
          <w:kern w:val="22"/>
          <w:szCs w:val="22"/>
        </w:rPr>
        <w:t xml:space="preserve">Conference of the Parties serving as the meeting of the Parties to the Protocol </w:t>
      </w:r>
      <w:r w:rsidR="003B71B5" w:rsidRPr="00FF018F">
        <w:rPr>
          <w:kern w:val="22"/>
          <w:szCs w:val="22"/>
        </w:rPr>
        <w:t xml:space="preserve">that it caution </w:t>
      </w:r>
      <w:r w:rsidR="00335ADA" w:rsidRPr="00FF018F">
        <w:rPr>
          <w:kern w:val="22"/>
          <w:szCs w:val="22"/>
        </w:rPr>
        <w:t xml:space="preserve">specific </w:t>
      </w:r>
      <w:r w:rsidR="003B71B5" w:rsidRPr="00FF018F">
        <w:rPr>
          <w:kern w:val="22"/>
          <w:szCs w:val="22"/>
        </w:rPr>
        <w:t>Part</w:t>
      </w:r>
      <w:r w:rsidR="00335ADA" w:rsidRPr="00FF018F">
        <w:rPr>
          <w:kern w:val="22"/>
          <w:szCs w:val="22"/>
        </w:rPr>
        <w:t>ies</w:t>
      </w:r>
      <w:r w:rsidR="003B71B5" w:rsidRPr="00FF018F">
        <w:rPr>
          <w:kern w:val="22"/>
          <w:szCs w:val="22"/>
        </w:rPr>
        <w:t xml:space="preserve"> for </w:t>
      </w:r>
      <w:r w:rsidR="00335ADA" w:rsidRPr="00FF018F">
        <w:rPr>
          <w:kern w:val="22"/>
          <w:szCs w:val="22"/>
        </w:rPr>
        <w:t xml:space="preserve">their </w:t>
      </w:r>
      <w:r w:rsidR="003B71B5" w:rsidRPr="00FF018F">
        <w:rPr>
          <w:kern w:val="22"/>
          <w:szCs w:val="22"/>
        </w:rPr>
        <w:t>failure to comply with their obligation to submit national report</w:t>
      </w:r>
      <w:r w:rsidR="00335ADA" w:rsidRPr="00FF018F">
        <w:rPr>
          <w:kern w:val="22"/>
          <w:szCs w:val="22"/>
        </w:rPr>
        <w:t>s</w:t>
      </w:r>
      <w:r w:rsidR="007E79A0" w:rsidRPr="00FF018F">
        <w:rPr>
          <w:kern w:val="22"/>
          <w:szCs w:val="22"/>
        </w:rPr>
        <w:t xml:space="preserve">. The Committee has twice made a recommendation in this regard, in relation to a small </w:t>
      </w:r>
      <w:r w:rsidR="00335ADA" w:rsidRPr="00FF018F">
        <w:rPr>
          <w:kern w:val="22"/>
          <w:szCs w:val="22"/>
        </w:rPr>
        <w:t xml:space="preserve">number </w:t>
      </w:r>
      <w:r w:rsidR="007E79A0" w:rsidRPr="00FF018F">
        <w:rPr>
          <w:kern w:val="22"/>
          <w:szCs w:val="22"/>
        </w:rPr>
        <w:t xml:space="preserve">of Parties that had not submitted any national report, </w:t>
      </w:r>
      <w:r w:rsidR="003B71B5" w:rsidRPr="00FF018F">
        <w:rPr>
          <w:kern w:val="22"/>
          <w:szCs w:val="22"/>
        </w:rPr>
        <w:t>over multiple reporting cycles.</w:t>
      </w:r>
      <w:r w:rsidR="00EE1696" w:rsidRPr="00FF018F">
        <w:rPr>
          <w:kern w:val="22"/>
          <w:szCs w:val="22"/>
        </w:rPr>
        <w:t xml:space="preserve"> While the </w:t>
      </w:r>
      <w:r w:rsidR="0001785C" w:rsidRPr="00FF018F">
        <w:rPr>
          <w:kern w:val="22"/>
          <w:szCs w:val="22"/>
        </w:rPr>
        <w:t xml:space="preserve">Conference of the Parties serving as the meeting of the Parties to the Protocol </w:t>
      </w:r>
      <w:r w:rsidR="00EE1696" w:rsidRPr="00FF018F">
        <w:rPr>
          <w:kern w:val="22"/>
          <w:szCs w:val="22"/>
        </w:rPr>
        <w:t>has not taken up the recommendation to caution individual Parties, the Committee has recognized that these recommendations have been useful in encouraging the individual Parties to submit their national report.</w:t>
      </w:r>
    </w:p>
    <w:p w14:paraId="3069F282" w14:textId="0A298A11" w:rsidR="003B71B5" w:rsidRPr="00FF018F" w:rsidRDefault="003B71B5" w:rsidP="008159AD">
      <w:pPr>
        <w:pStyle w:val="Para1"/>
        <w:numPr>
          <w:ilvl w:val="0"/>
          <w:numId w:val="17"/>
        </w:numPr>
        <w:suppressLineNumbers/>
        <w:tabs>
          <w:tab w:val="clear" w:pos="644"/>
        </w:tabs>
        <w:suppressAutoHyphens/>
        <w:kinsoku w:val="0"/>
        <w:overflowPunct w:val="0"/>
        <w:autoSpaceDE w:val="0"/>
        <w:autoSpaceDN w:val="0"/>
        <w:ind w:left="0"/>
        <w:rPr>
          <w:kern w:val="22"/>
          <w:szCs w:val="22"/>
        </w:rPr>
      </w:pPr>
      <w:r w:rsidRPr="00FF018F">
        <w:rPr>
          <w:kern w:val="22"/>
          <w:szCs w:val="22"/>
        </w:rPr>
        <w:t>In addition to the above</w:t>
      </w:r>
      <w:r w:rsidR="001A285F" w:rsidRPr="00FF018F">
        <w:rPr>
          <w:kern w:val="22"/>
          <w:szCs w:val="22"/>
        </w:rPr>
        <w:t>-</w:t>
      </w:r>
      <w:r w:rsidRPr="00FF018F">
        <w:rPr>
          <w:kern w:val="22"/>
          <w:szCs w:val="22"/>
        </w:rPr>
        <w:t>listed recommendations and actions, members of the Committee have also informally followed up with Parties in their respective region</w:t>
      </w:r>
      <w:r w:rsidR="00F5012F" w:rsidRPr="00FF018F">
        <w:rPr>
          <w:kern w:val="22"/>
          <w:szCs w:val="22"/>
        </w:rPr>
        <w:t>s</w:t>
      </w:r>
      <w:r w:rsidRPr="00FF018F">
        <w:rPr>
          <w:kern w:val="22"/>
          <w:szCs w:val="22"/>
        </w:rPr>
        <w:t xml:space="preserve"> that had not submitted a national report. The Committee noted such informal follow-up at its twelfth and thirteenth meetings.</w:t>
      </w:r>
      <w:r w:rsidRPr="00FF018F">
        <w:rPr>
          <w:rStyle w:val="FootnoteReference"/>
          <w:rFonts w:eastAsiaTheme="majorEastAsia"/>
          <w:kern w:val="22"/>
          <w:sz w:val="22"/>
          <w:szCs w:val="22"/>
          <w:u w:val="none"/>
          <w:vertAlign w:val="superscript"/>
        </w:rPr>
        <w:footnoteReference w:id="25"/>
      </w:r>
    </w:p>
    <w:p w14:paraId="6B8939D1" w14:textId="505DA042" w:rsidR="003B71B5" w:rsidRPr="00FF018F" w:rsidRDefault="003B71B5" w:rsidP="008159AD">
      <w:pPr>
        <w:pStyle w:val="Para1"/>
        <w:numPr>
          <w:ilvl w:val="0"/>
          <w:numId w:val="17"/>
        </w:numPr>
        <w:suppressLineNumbers/>
        <w:tabs>
          <w:tab w:val="clear" w:pos="644"/>
        </w:tabs>
        <w:suppressAutoHyphens/>
        <w:kinsoku w:val="0"/>
        <w:overflowPunct w:val="0"/>
        <w:autoSpaceDE w:val="0"/>
        <w:autoSpaceDN w:val="0"/>
        <w:ind w:left="0"/>
        <w:rPr>
          <w:kern w:val="22"/>
          <w:szCs w:val="22"/>
        </w:rPr>
      </w:pPr>
      <w:r w:rsidRPr="00FF018F">
        <w:rPr>
          <w:kern w:val="22"/>
          <w:szCs w:val="22"/>
        </w:rPr>
        <w:t xml:space="preserve">When deciding on </w:t>
      </w:r>
      <w:r w:rsidR="009B67E5" w:rsidRPr="00FF018F">
        <w:rPr>
          <w:kern w:val="22"/>
          <w:szCs w:val="22"/>
        </w:rPr>
        <w:t>compliance</w:t>
      </w:r>
      <w:r w:rsidRPr="00FF018F">
        <w:rPr>
          <w:kern w:val="22"/>
          <w:szCs w:val="22"/>
        </w:rPr>
        <w:t xml:space="preserve"> measure</w:t>
      </w:r>
      <w:r w:rsidR="009B67E5" w:rsidRPr="00FF018F">
        <w:rPr>
          <w:kern w:val="22"/>
          <w:szCs w:val="22"/>
        </w:rPr>
        <w:t>s</w:t>
      </w:r>
      <w:r w:rsidRPr="00FF018F">
        <w:rPr>
          <w:kern w:val="22"/>
          <w:szCs w:val="22"/>
        </w:rPr>
        <w:t>, the Committee may take into consideration the capacity of the Party concerned and other factors</w:t>
      </w:r>
      <w:r w:rsidR="00DC7A04" w:rsidRPr="00FF018F">
        <w:rPr>
          <w:kern w:val="22"/>
          <w:szCs w:val="22"/>
        </w:rPr>
        <w:t>,</w:t>
      </w:r>
      <w:r w:rsidRPr="00FF018F">
        <w:rPr>
          <w:kern w:val="22"/>
          <w:szCs w:val="22"/>
        </w:rPr>
        <w:t xml:space="preserve"> such as the cause, type, degree and frequency of non-compliance, in accordance </w:t>
      </w:r>
      <w:r w:rsidR="00F30251" w:rsidRPr="00FF018F">
        <w:rPr>
          <w:kern w:val="22"/>
          <w:szCs w:val="22"/>
        </w:rPr>
        <w:t xml:space="preserve">with </w:t>
      </w:r>
      <w:r w:rsidRPr="00FF018F">
        <w:rPr>
          <w:kern w:val="22"/>
          <w:szCs w:val="22"/>
        </w:rPr>
        <w:t>section VI of the procedures and mechanisms on compliance.</w:t>
      </w:r>
    </w:p>
    <w:p w14:paraId="1370ABB4" w14:textId="77777777" w:rsidR="00335ADA" w:rsidRPr="00FF018F" w:rsidRDefault="003B71B5" w:rsidP="008159AD">
      <w:pPr>
        <w:pStyle w:val="Para1"/>
        <w:numPr>
          <w:ilvl w:val="0"/>
          <w:numId w:val="17"/>
        </w:numPr>
        <w:suppressLineNumbers/>
        <w:tabs>
          <w:tab w:val="clear" w:pos="644"/>
        </w:tabs>
        <w:suppressAutoHyphens/>
        <w:kinsoku w:val="0"/>
        <w:overflowPunct w:val="0"/>
        <w:autoSpaceDE w:val="0"/>
        <w:autoSpaceDN w:val="0"/>
        <w:ind w:left="0"/>
        <w:rPr>
          <w:kern w:val="22"/>
          <w:szCs w:val="22"/>
        </w:rPr>
      </w:pPr>
      <w:r w:rsidRPr="00FF018F">
        <w:rPr>
          <w:kern w:val="22"/>
          <w:szCs w:val="22"/>
        </w:rPr>
        <w:t xml:space="preserve">In deciding on measures in respect of Parties that </w:t>
      </w:r>
      <w:r w:rsidR="00816E10" w:rsidRPr="00FF018F">
        <w:rPr>
          <w:kern w:val="22"/>
          <w:szCs w:val="22"/>
        </w:rPr>
        <w:t xml:space="preserve">had </w:t>
      </w:r>
      <w:r w:rsidRPr="00FF018F">
        <w:rPr>
          <w:kern w:val="22"/>
          <w:szCs w:val="22"/>
        </w:rPr>
        <w:t>not compl</w:t>
      </w:r>
      <w:r w:rsidR="00FC54EC" w:rsidRPr="00FF018F">
        <w:rPr>
          <w:kern w:val="22"/>
          <w:szCs w:val="22"/>
        </w:rPr>
        <w:t>ied</w:t>
      </w:r>
      <w:r w:rsidRPr="00FF018F">
        <w:rPr>
          <w:kern w:val="22"/>
          <w:szCs w:val="22"/>
        </w:rPr>
        <w:t xml:space="preserve"> with their reporting obligation, the Committee has taken into consideration a number of factors, for example, compliance of the Party concerned with its reporting obligation under previous reporting cycles, and the type of follow-up actions already taken in respect of the Party concerned.</w:t>
      </w:r>
    </w:p>
    <w:p w14:paraId="5665BEBF" w14:textId="273FC414" w:rsidR="003B71B5" w:rsidRPr="00FF018F" w:rsidRDefault="00335ADA" w:rsidP="008159AD">
      <w:pPr>
        <w:pStyle w:val="Para1"/>
        <w:numPr>
          <w:ilvl w:val="0"/>
          <w:numId w:val="17"/>
        </w:numPr>
        <w:suppressLineNumbers/>
        <w:tabs>
          <w:tab w:val="clear" w:pos="644"/>
        </w:tabs>
        <w:suppressAutoHyphens/>
        <w:kinsoku w:val="0"/>
        <w:overflowPunct w:val="0"/>
        <w:autoSpaceDE w:val="0"/>
        <w:autoSpaceDN w:val="0"/>
        <w:ind w:left="0"/>
        <w:rPr>
          <w:kern w:val="22"/>
          <w:szCs w:val="22"/>
        </w:rPr>
      </w:pPr>
      <w:r w:rsidRPr="00FF018F">
        <w:rPr>
          <w:kern w:val="22"/>
          <w:szCs w:val="22"/>
        </w:rPr>
        <w:lastRenderedPageBreak/>
        <w:t xml:space="preserve">The Committee’s actions concerning the obligation to submit national reports have contributed to </w:t>
      </w:r>
      <w:r w:rsidR="006B55AB" w:rsidRPr="00FF018F">
        <w:rPr>
          <w:kern w:val="22"/>
          <w:szCs w:val="22"/>
        </w:rPr>
        <w:t xml:space="preserve">a rise in </w:t>
      </w:r>
      <w:r w:rsidRPr="00FF018F">
        <w:rPr>
          <w:kern w:val="22"/>
          <w:szCs w:val="22"/>
        </w:rPr>
        <w:t>the reporting rate for the second and third national reports.</w:t>
      </w:r>
      <w:r w:rsidRPr="00FF018F">
        <w:rPr>
          <w:rStyle w:val="FootnoteReference"/>
          <w:rFonts w:eastAsiaTheme="majorEastAsia"/>
          <w:kern w:val="22"/>
          <w:sz w:val="22"/>
          <w:szCs w:val="22"/>
          <w:u w:val="none"/>
          <w:vertAlign w:val="superscript"/>
        </w:rPr>
        <w:footnoteReference w:id="26"/>
      </w:r>
      <w:r w:rsidRPr="00FF018F">
        <w:rPr>
          <w:kern w:val="22"/>
          <w:szCs w:val="22"/>
        </w:rPr>
        <w:t xml:space="preserve"> At the same time, however, the timeliness of the submission of national reports remains an issue</w:t>
      </w:r>
      <w:r w:rsidR="0098127B" w:rsidRPr="00FF018F">
        <w:rPr>
          <w:kern w:val="22"/>
          <w:szCs w:val="22"/>
        </w:rPr>
        <w:t>,</w:t>
      </w:r>
      <w:r w:rsidRPr="00FF018F">
        <w:rPr>
          <w:kern w:val="22"/>
          <w:szCs w:val="22"/>
        </w:rPr>
        <w:t xml:space="preserve"> and this has repercussions </w:t>
      </w:r>
      <w:r w:rsidR="0098127B" w:rsidRPr="00FF018F">
        <w:rPr>
          <w:kern w:val="22"/>
          <w:szCs w:val="22"/>
        </w:rPr>
        <w:t>for</w:t>
      </w:r>
      <w:r w:rsidRPr="00FF018F">
        <w:rPr>
          <w:kern w:val="22"/>
          <w:szCs w:val="22"/>
        </w:rPr>
        <w:t xml:space="preserve"> processes</w:t>
      </w:r>
      <w:r w:rsidR="003B71B5" w:rsidRPr="00FF018F">
        <w:rPr>
          <w:kern w:val="22"/>
          <w:szCs w:val="22"/>
        </w:rPr>
        <w:t xml:space="preserve"> </w:t>
      </w:r>
      <w:r w:rsidRPr="00FF018F">
        <w:rPr>
          <w:kern w:val="22"/>
          <w:szCs w:val="22"/>
        </w:rPr>
        <w:t>that depend on the information provided through the national reports.</w:t>
      </w:r>
    </w:p>
    <w:p w14:paraId="1853884B" w14:textId="458C805E" w:rsidR="003B71B5" w:rsidRPr="00FF018F" w:rsidRDefault="00DA125F" w:rsidP="008159AD">
      <w:pPr>
        <w:pStyle w:val="Heading1"/>
        <w:suppressLineNumbers/>
        <w:tabs>
          <w:tab w:val="clear" w:pos="720"/>
          <w:tab w:val="left" w:pos="426"/>
        </w:tabs>
        <w:suppressAutoHyphens/>
        <w:spacing w:before="120"/>
        <w:rPr>
          <w:snapToGrid w:val="0"/>
          <w:kern w:val="22"/>
          <w:szCs w:val="22"/>
        </w:rPr>
      </w:pPr>
      <w:r w:rsidRPr="00FF018F">
        <w:rPr>
          <w:snapToGrid w:val="0"/>
          <w:kern w:val="22"/>
          <w:szCs w:val="22"/>
        </w:rPr>
        <w:t>V</w:t>
      </w:r>
      <w:r w:rsidR="003B71B5" w:rsidRPr="00FF018F">
        <w:rPr>
          <w:snapToGrid w:val="0"/>
          <w:kern w:val="22"/>
          <w:szCs w:val="22"/>
        </w:rPr>
        <w:t>.</w:t>
      </w:r>
      <w:r w:rsidR="003B71B5" w:rsidRPr="00FF018F">
        <w:rPr>
          <w:snapToGrid w:val="0"/>
          <w:kern w:val="22"/>
          <w:szCs w:val="22"/>
        </w:rPr>
        <w:tab/>
      </w:r>
      <w:r w:rsidR="0098127B" w:rsidRPr="00FF018F">
        <w:rPr>
          <w:snapToGrid w:val="0"/>
          <w:kern w:val="22"/>
          <w:szCs w:val="22"/>
        </w:rPr>
        <w:t>S</w:t>
      </w:r>
      <w:r w:rsidR="003B71B5" w:rsidRPr="00FF018F">
        <w:rPr>
          <w:snapToGrid w:val="0"/>
          <w:kern w:val="22"/>
          <w:szCs w:val="22"/>
        </w:rPr>
        <w:t xml:space="preserve">uggestions for the </w:t>
      </w:r>
      <w:r w:rsidR="0098127B" w:rsidRPr="00FF018F">
        <w:rPr>
          <w:snapToGrid w:val="0"/>
          <w:kern w:val="22"/>
          <w:szCs w:val="22"/>
        </w:rPr>
        <w:t>c</w:t>
      </w:r>
      <w:r w:rsidR="003B71B5" w:rsidRPr="00FF018F">
        <w:rPr>
          <w:snapToGrid w:val="0"/>
          <w:kern w:val="22"/>
          <w:szCs w:val="22"/>
        </w:rPr>
        <w:t xml:space="preserve">onsideration of the </w:t>
      </w:r>
      <w:r w:rsidR="0098127B" w:rsidRPr="00FF018F">
        <w:rPr>
          <w:snapToGrid w:val="0"/>
          <w:kern w:val="22"/>
          <w:szCs w:val="22"/>
        </w:rPr>
        <w:t>C</w:t>
      </w:r>
      <w:r w:rsidR="003B71B5" w:rsidRPr="00FF018F">
        <w:rPr>
          <w:snapToGrid w:val="0"/>
          <w:kern w:val="22"/>
          <w:szCs w:val="22"/>
        </w:rPr>
        <w:t>ommittee</w:t>
      </w:r>
    </w:p>
    <w:p w14:paraId="4CBAC569" w14:textId="3A2577DB" w:rsidR="00013B91"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Against this background, the Committee may wish to </w:t>
      </w:r>
      <w:r w:rsidR="00013B91" w:rsidRPr="00FF018F">
        <w:rPr>
          <w:snapToGrid w:val="0"/>
          <w:kern w:val="22"/>
          <w:sz w:val="22"/>
          <w:szCs w:val="22"/>
          <w:lang w:val="en-GB"/>
        </w:rPr>
        <w:t>discuss the current status of submission of fourth national reports.</w:t>
      </w:r>
    </w:p>
    <w:p w14:paraId="513CEA0D" w14:textId="3C39F8D5" w:rsidR="00316430" w:rsidRPr="00FF018F" w:rsidRDefault="00013B91"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The Committee may also wish to discuss the issue of access to funding to support the preparation and submission of national reports. </w:t>
      </w:r>
      <w:r w:rsidRPr="00FF018F">
        <w:rPr>
          <w:kern w:val="22"/>
          <w:sz w:val="22"/>
          <w:szCs w:val="22"/>
          <w:lang w:val="en-GB"/>
        </w:rPr>
        <w:t xml:space="preserve">In this context, the Committee may wish to recall that, at its sixteenth meeting, it recognized that Parties have an obligation to report, irrespective of the availability of funding. The Committee also acknowledged that financial support greatly contributed to the completion and submission of national reports. It considered that it could be useful to explore avenues for ensuring that the </w:t>
      </w:r>
      <w:r w:rsidR="00956A5F" w:rsidRPr="00FF018F">
        <w:rPr>
          <w:kern w:val="22"/>
          <w:sz w:val="22"/>
          <w:szCs w:val="22"/>
          <w:lang w:val="en-GB"/>
        </w:rPr>
        <w:t>GEF</w:t>
      </w:r>
      <w:r w:rsidRPr="00FF018F">
        <w:rPr>
          <w:kern w:val="22"/>
          <w:sz w:val="22"/>
          <w:szCs w:val="22"/>
          <w:lang w:val="en-GB"/>
        </w:rPr>
        <w:t xml:space="preserve"> funding to support Parties in completing their future national reports was made available further in advance of the submission deadline th</w:t>
      </w:r>
      <w:r w:rsidR="00D44CBB" w:rsidRPr="00FF018F">
        <w:rPr>
          <w:kern w:val="22"/>
          <w:sz w:val="22"/>
          <w:szCs w:val="22"/>
          <w:lang w:val="en-GB"/>
        </w:rPr>
        <w:t>a</w:t>
      </w:r>
      <w:r w:rsidRPr="00FF018F">
        <w:rPr>
          <w:kern w:val="22"/>
          <w:sz w:val="22"/>
          <w:szCs w:val="22"/>
          <w:lang w:val="en-GB"/>
        </w:rPr>
        <w:t>n was currently the case. In that regard, it stressed the importance of the timely availability of funding for the fifth national reports and decided to further consider the matter at its seventeenth meeting, in the context of the review of compliance by Parties with their obligation to submit the fourth national report.</w:t>
      </w:r>
    </w:p>
    <w:p w14:paraId="6D8E9222" w14:textId="0A6C582D" w:rsidR="00B37A36" w:rsidRPr="00FF018F" w:rsidRDefault="00EE1696"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I</w:t>
      </w:r>
      <w:r w:rsidR="001A76D6" w:rsidRPr="00FF018F">
        <w:rPr>
          <w:snapToGrid w:val="0"/>
          <w:kern w:val="22"/>
          <w:sz w:val="22"/>
          <w:szCs w:val="22"/>
          <w:lang w:val="en-GB"/>
        </w:rPr>
        <w:t>t</w:t>
      </w:r>
      <w:r w:rsidR="005322BF" w:rsidRPr="00FF018F">
        <w:rPr>
          <w:snapToGrid w:val="0"/>
          <w:kern w:val="22"/>
          <w:sz w:val="22"/>
          <w:szCs w:val="22"/>
          <w:lang w:val="en-GB"/>
        </w:rPr>
        <w:t xml:space="preserve"> may also be recalled that the </w:t>
      </w:r>
      <w:r w:rsidR="00D73AE5" w:rsidRPr="00FF018F">
        <w:rPr>
          <w:snapToGrid w:val="0"/>
          <w:kern w:val="22"/>
          <w:sz w:val="22"/>
          <w:szCs w:val="22"/>
          <w:lang w:val="en-GB"/>
        </w:rPr>
        <w:t xml:space="preserve">Conference of the Parties </w:t>
      </w:r>
      <w:r w:rsidR="005322BF" w:rsidRPr="00FF018F">
        <w:rPr>
          <w:snapToGrid w:val="0"/>
          <w:kern w:val="22"/>
          <w:sz w:val="22"/>
          <w:szCs w:val="22"/>
          <w:lang w:val="en-GB"/>
        </w:rPr>
        <w:t xml:space="preserve">and </w:t>
      </w:r>
      <w:r w:rsidR="00D73AE5" w:rsidRPr="00FF018F">
        <w:rPr>
          <w:snapToGrid w:val="0"/>
          <w:kern w:val="22"/>
          <w:sz w:val="22"/>
          <w:szCs w:val="22"/>
          <w:lang w:val="en-GB"/>
        </w:rPr>
        <w:t xml:space="preserve">the </w:t>
      </w:r>
      <w:r w:rsidR="00D73AE5" w:rsidRPr="00FF018F">
        <w:rPr>
          <w:kern w:val="22"/>
          <w:sz w:val="22"/>
          <w:szCs w:val="22"/>
          <w:lang w:val="en-GB"/>
        </w:rPr>
        <w:t>Conference of the Parties serving as the meeting of the Parties to the Protocol</w:t>
      </w:r>
      <w:r w:rsidR="00886C16" w:rsidRPr="00FF018F">
        <w:rPr>
          <w:kern w:val="22"/>
          <w:sz w:val="22"/>
          <w:szCs w:val="22"/>
          <w:lang w:val="en-GB"/>
        </w:rPr>
        <w:t xml:space="preserve"> </w:t>
      </w:r>
      <w:r w:rsidR="005322BF" w:rsidRPr="00FF018F">
        <w:rPr>
          <w:snapToGrid w:val="0"/>
          <w:kern w:val="22"/>
          <w:sz w:val="22"/>
          <w:szCs w:val="22"/>
          <w:lang w:val="en-GB"/>
        </w:rPr>
        <w:t>have decided to move to a synchronized reporting cycle for the next round of national reports</w:t>
      </w:r>
      <w:r w:rsidR="002539AC" w:rsidRPr="00FF018F">
        <w:rPr>
          <w:snapToGrid w:val="0"/>
          <w:kern w:val="22"/>
          <w:sz w:val="22"/>
          <w:szCs w:val="22"/>
          <w:lang w:val="en-GB"/>
        </w:rPr>
        <w:t>,</w:t>
      </w:r>
      <w:r w:rsidR="005322BF" w:rsidRPr="00FF018F">
        <w:rPr>
          <w:snapToGrid w:val="0"/>
          <w:kern w:val="22"/>
          <w:sz w:val="22"/>
          <w:szCs w:val="22"/>
          <w:lang w:val="en-GB"/>
        </w:rPr>
        <w:t xml:space="preserve"> beginning in 2023.</w:t>
      </w:r>
      <w:r w:rsidR="00A87A76" w:rsidRPr="00FF018F">
        <w:rPr>
          <w:rStyle w:val="FootnoteReference"/>
          <w:rFonts w:eastAsiaTheme="majorEastAsia"/>
          <w:snapToGrid w:val="0"/>
          <w:kern w:val="22"/>
          <w:sz w:val="22"/>
          <w:szCs w:val="22"/>
          <w:u w:val="none"/>
          <w:vertAlign w:val="superscript"/>
          <w:lang w:val="en-GB" w:eastAsia="en-US"/>
        </w:rPr>
        <w:footnoteReference w:id="27"/>
      </w:r>
      <w:r w:rsidR="005322BF" w:rsidRPr="00FF018F">
        <w:rPr>
          <w:snapToGrid w:val="0"/>
          <w:kern w:val="22"/>
          <w:sz w:val="22"/>
          <w:szCs w:val="22"/>
          <w:lang w:val="en-GB"/>
        </w:rPr>
        <w:t xml:space="preserve"> </w:t>
      </w:r>
      <w:r w:rsidR="008923D4" w:rsidRPr="00FF018F">
        <w:rPr>
          <w:snapToGrid w:val="0"/>
          <w:kern w:val="22"/>
          <w:sz w:val="22"/>
          <w:szCs w:val="22"/>
          <w:lang w:val="en-GB"/>
        </w:rPr>
        <w:t>As part of the synchronized reporting cycle</w:t>
      </w:r>
      <w:r w:rsidR="005322BF" w:rsidRPr="00FF018F">
        <w:rPr>
          <w:snapToGrid w:val="0"/>
          <w:kern w:val="22"/>
          <w:sz w:val="22"/>
          <w:szCs w:val="22"/>
          <w:lang w:val="en-GB"/>
        </w:rPr>
        <w:t>, it is expected that the deadline for submission of fifth national reports may be earlier in the year than it has been for previous reporting cycles, making the early availability of funding even more important to support the timely submission of national reports.</w:t>
      </w:r>
    </w:p>
    <w:p w14:paraId="618BEDD5" w14:textId="2622EB50" w:rsidR="00823BC4" w:rsidRPr="00FF018F" w:rsidRDefault="005322BF" w:rsidP="008159AD">
      <w:pPr>
        <w:pStyle w:val="Para1"/>
        <w:numPr>
          <w:ilvl w:val="0"/>
          <w:numId w:val="17"/>
        </w:numPr>
        <w:suppressLineNumbers/>
        <w:suppressAutoHyphens/>
        <w:kinsoku w:val="0"/>
        <w:overflowPunct w:val="0"/>
        <w:autoSpaceDE w:val="0"/>
        <w:autoSpaceDN w:val="0"/>
        <w:ind w:left="0"/>
        <w:rPr>
          <w:kern w:val="22"/>
          <w:szCs w:val="22"/>
        </w:rPr>
      </w:pPr>
      <w:r w:rsidRPr="00FF018F">
        <w:rPr>
          <w:kern w:val="22"/>
          <w:szCs w:val="22"/>
        </w:rPr>
        <w:t xml:space="preserve">The Committee may wish to </w:t>
      </w:r>
      <w:r w:rsidR="00823BC4" w:rsidRPr="00FF018F">
        <w:rPr>
          <w:kern w:val="22"/>
          <w:szCs w:val="22"/>
        </w:rPr>
        <w:t>consider follow-up actions in respect of Parties that have not yet submitted their fourth national report</w:t>
      </w:r>
      <w:r w:rsidRPr="00FF018F">
        <w:rPr>
          <w:kern w:val="22"/>
          <w:szCs w:val="22"/>
        </w:rPr>
        <w:t xml:space="preserve">. </w:t>
      </w:r>
      <w:r w:rsidR="00316430" w:rsidRPr="00FF018F">
        <w:rPr>
          <w:kern w:val="22"/>
          <w:szCs w:val="22"/>
        </w:rPr>
        <w:t>In this context</w:t>
      </w:r>
      <w:r w:rsidR="00BB26D8" w:rsidRPr="00FF018F">
        <w:rPr>
          <w:kern w:val="22"/>
          <w:szCs w:val="22"/>
        </w:rPr>
        <w:t>,</w:t>
      </w:r>
      <w:r w:rsidR="00823BC4" w:rsidRPr="00FF018F">
        <w:rPr>
          <w:kern w:val="22"/>
          <w:szCs w:val="22"/>
        </w:rPr>
        <w:t xml:space="preserve"> the Committee may wish to take into consideration compliance by these Parties with their reporting obligation in</w:t>
      </w:r>
      <w:r w:rsidR="00BB26D8" w:rsidRPr="00FF018F">
        <w:rPr>
          <w:kern w:val="22"/>
          <w:szCs w:val="22"/>
        </w:rPr>
        <w:t xml:space="preserve"> the</w:t>
      </w:r>
      <w:r w:rsidR="00823BC4" w:rsidRPr="00FF018F">
        <w:rPr>
          <w:kern w:val="22"/>
          <w:szCs w:val="22"/>
        </w:rPr>
        <w:t xml:space="preserve"> previous reporting cycle.</w:t>
      </w:r>
      <w:r w:rsidR="00BB26D8" w:rsidRPr="00FF018F">
        <w:rPr>
          <w:kern w:val="22"/>
          <w:szCs w:val="22"/>
        </w:rPr>
        <w:t xml:space="preserve"> </w:t>
      </w:r>
      <w:r w:rsidR="00823BC4" w:rsidRPr="00FF018F">
        <w:rPr>
          <w:kern w:val="22"/>
          <w:szCs w:val="22"/>
        </w:rPr>
        <w:t xml:space="preserve">Of the </w:t>
      </w:r>
      <w:r w:rsidR="0067761E" w:rsidRPr="00FF018F">
        <w:rPr>
          <w:kern w:val="22"/>
          <w:szCs w:val="22"/>
        </w:rPr>
        <w:t xml:space="preserve">13 </w:t>
      </w:r>
      <w:r w:rsidR="00823BC4" w:rsidRPr="00FF018F">
        <w:rPr>
          <w:kern w:val="22"/>
          <w:szCs w:val="22"/>
        </w:rPr>
        <w:t>Parties that have not yet submitted a third national report,</w:t>
      </w:r>
      <w:r w:rsidR="00823BC4" w:rsidRPr="00FF018F">
        <w:rPr>
          <w:rStyle w:val="FootnoteReference"/>
          <w:rFonts w:eastAsiaTheme="majorEastAsia"/>
          <w:kern w:val="22"/>
          <w:sz w:val="22"/>
          <w:szCs w:val="22"/>
          <w:u w:val="none"/>
          <w:vertAlign w:val="superscript"/>
        </w:rPr>
        <w:footnoteReference w:id="28"/>
      </w:r>
      <w:r w:rsidR="00823BC4" w:rsidRPr="00FF018F">
        <w:rPr>
          <w:kern w:val="22"/>
          <w:szCs w:val="22"/>
        </w:rPr>
        <w:t xml:space="preserve"> none have submitted their fourth national report.</w:t>
      </w:r>
    </w:p>
    <w:p w14:paraId="2AF54EB3" w14:textId="19FE943C"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The Committee may wish to consider requesting the Secretariat </w:t>
      </w:r>
      <w:r w:rsidR="00AC7FC2" w:rsidRPr="00FF018F">
        <w:rPr>
          <w:snapToGrid w:val="0"/>
          <w:kern w:val="22"/>
          <w:sz w:val="22"/>
          <w:szCs w:val="22"/>
          <w:lang w:val="en-GB"/>
        </w:rPr>
        <w:t>t</w:t>
      </w:r>
      <w:r w:rsidR="004749EF" w:rsidRPr="00FF018F">
        <w:rPr>
          <w:snapToGrid w:val="0"/>
          <w:kern w:val="22"/>
          <w:sz w:val="22"/>
          <w:szCs w:val="22"/>
          <w:lang w:val="en-GB"/>
        </w:rPr>
        <w:t>o</w:t>
      </w:r>
      <w:r w:rsidR="00AC7FC2" w:rsidRPr="00FF018F">
        <w:rPr>
          <w:snapToGrid w:val="0"/>
          <w:kern w:val="22"/>
          <w:sz w:val="22"/>
          <w:szCs w:val="22"/>
          <w:lang w:val="en-GB"/>
        </w:rPr>
        <w:t xml:space="preserve"> </w:t>
      </w:r>
      <w:r w:rsidRPr="00FF018F">
        <w:rPr>
          <w:snapToGrid w:val="0"/>
          <w:kern w:val="22"/>
          <w:sz w:val="22"/>
          <w:szCs w:val="22"/>
          <w:lang w:val="en-GB"/>
        </w:rPr>
        <w:t>follow</w:t>
      </w:r>
      <w:r w:rsidR="006233C9" w:rsidRPr="00FF018F">
        <w:rPr>
          <w:snapToGrid w:val="0"/>
          <w:kern w:val="22"/>
          <w:sz w:val="22"/>
          <w:szCs w:val="22"/>
          <w:lang w:val="en-GB"/>
        </w:rPr>
        <w:t xml:space="preserve"> </w:t>
      </w:r>
      <w:r w:rsidRPr="00FF018F">
        <w:rPr>
          <w:snapToGrid w:val="0"/>
          <w:kern w:val="22"/>
          <w:sz w:val="22"/>
          <w:szCs w:val="22"/>
          <w:lang w:val="en-GB"/>
        </w:rPr>
        <w:t>up with those Parties that have not yet submitted their fourth national report.</w:t>
      </w:r>
    </w:p>
    <w:p w14:paraId="614A6799" w14:textId="72173397"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The Committee may furthermore wish to </w:t>
      </w:r>
      <w:r w:rsidR="00BB26D8" w:rsidRPr="00FF018F">
        <w:rPr>
          <w:snapToGrid w:val="0"/>
          <w:kern w:val="22"/>
          <w:sz w:val="22"/>
          <w:szCs w:val="22"/>
          <w:lang w:val="en-GB"/>
        </w:rPr>
        <w:t xml:space="preserve">request the Executive Secretary to </w:t>
      </w:r>
      <w:r w:rsidR="00425F47" w:rsidRPr="00FF018F">
        <w:rPr>
          <w:snapToGrid w:val="0"/>
          <w:kern w:val="22"/>
          <w:sz w:val="22"/>
          <w:szCs w:val="22"/>
          <w:lang w:val="en-GB"/>
        </w:rPr>
        <w:t xml:space="preserve">send a letter to </w:t>
      </w:r>
      <w:r w:rsidRPr="00FF018F">
        <w:rPr>
          <w:snapToGrid w:val="0"/>
          <w:kern w:val="22"/>
          <w:sz w:val="22"/>
          <w:szCs w:val="22"/>
          <w:lang w:val="en-GB"/>
        </w:rPr>
        <w:t>those Parties that have not yet submitted their fourth national report and have also not submitted their third national report, reminding these Parties of their obligation to submit their national report as a matter of urgency.</w:t>
      </w:r>
    </w:p>
    <w:p w14:paraId="72F9556F" w14:textId="0220C0A6" w:rsidR="003B71B5" w:rsidRPr="00FF018F" w:rsidRDefault="003B71B5" w:rsidP="008159AD">
      <w:pPr>
        <w:pStyle w:val="Para10"/>
        <w:numPr>
          <w:ilvl w:val="0"/>
          <w:numId w:val="17"/>
        </w:numPr>
        <w:suppressLineNumbers/>
        <w:tabs>
          <w:tab w:val="clear" w:pos="644"/>
        </w:tabs>
        <w:suppressAutoHyphens/>
        <w:spacing w:before="120" w:after="120"/>
        <w:ind w:left="0"/>
        <w:jc w:val="both"/>
        <w:rPr>
          <w:snapToGrid w:val="0"/>
          <w:kern w:val="22"/>
          <w:sz w:val="22"/>
          <w:szCs w:val="22"/>
          <w:lang w:val="en-GB"/>
        </w:rPr>
      </w:pPr>
      <w:r w:rsidRPr="00FF018F">
        <w:rPr>
          <w:snapToGrid w:val="0"/>
          <w:kern w:val="22"/>
          <w:sz w:val="22"/>
          <w:szCs w:val="22"/>
          <w:lang w:val="en-GB"/>
        </w:rPr>
        <w:t xml:space="preserve">The Committee may wish to consider whether further actions, either informally or formally, could </w:t>
      </w:r>
      <w:r w:rsidR="00883A8A" w:rsidRPr="00FF018F">
        <w:rPr>
          <w:snapToGrid w:val="0"/>
          <w:kern w:val="22"/>
          <w:sz w:val="22"/>
          <w:szCs w:val="22"/>
          <w:lang w:val="en-GB"/>
        </w:rPr>
        <w:t>assist</w:t>
      </w:r>
      <w:r w:rsidRPr="00FF018F">
        <w:rPr>
          <w:snapToGrid w:val="0"/>
          <w:kern w:val="22"/>
          <w:sz w:val="22"/>
          <w:szCs w:val="22"/>
          <w:lang w:val="en-GB"/>
        </w:rPr>
        <w:t xml:space="preserve"> </w:t>
      </w:r>
      <w:r w:rsidR="00883A8A" w:rsidRPr="00FF018F">
        <w:rPr>
          <w:snapToGrid w:val="0"/>
          <w:kern w:val="22"/>
          <w:sz w:val="22"/>
          <w:szCs w:val="22"/>
          <w:lang w:val="en-GB"/>
        </w:rPr>
        <w:t xml:space="preserve">those Parties that have not submitted their fourth </w:t>
      </w:r>
      <w:r w:rsidR="005322BF" w:rsidRPr="00FF018F">
        <w:rPr>
          <w:snapToGrid w:val="0"/>
          <w:kern w:val="22"/>
          <w:sz w:val="22"/>
          <w:szCs w:val="22"/>
          <w:lang w:val="en-GB"/>
        </w:rPr>
        <w:t xml:space="preserve">or </w:t>
      </w:r>
      <w:r w:rsidR="00883A8A" w:rsidRPr="00FF018F">
        <w:rPr>
          <w:snapToGrid w:val="0"/>
          <w:kern w:val="22"/>
          <w:sz w:val="22"/>
          <w:szCs w:val="22"/>
          <w:lang w:val="en-GB"/>
        </w:rPr>
        <w:t>third national report</w:t>
      </w:r>
      <w:r w:rsidRPr="00FF018F">
        <w:rPr>
          <w:snapToGrid w:val="0"/>
          <w:kern w:val="22"/>
          <w:sz w:val="22"/>
          <w:szCs w:val="22"/>
          <w:lang w:val="en-GB"/>
        </w:rPr>
        <w:t>.</w:t>
      </w:r>
    </w:p>
    <w:p w14:paraId="751A73FE" w14:textId="3D8B3FB3" w:rsidR="003B71B5" w:rsidRPr="00FF018F" w:rsidRDefault="003B71B5" w:rsidP="008159AD">
      <w:pPr>
        <w:pStyle w:val="Para1"/>
        <w:numPr>
          <w:ilvl w:val="0"/>
          <w:numId w:val="17"/>
        </w:numPr>
        <w:suppressLineNumbers/>
        <w:tabs>
          <w:tab w:val="clear" w:pos="644"/>
        </w:tabs>
        <w:suppressAutoHyphens/>
        <w:kinsoku w:val="0"/>
        <w:overflowPunct w:val="0"/>
        <w:autoSpaceDE w:val="0"/>
        <w:autoSpaceDN w:val="0"/>
        <w:ind w:left="0"/>
        <w:rPr>
          <w:kern w:val="22"/>
          <w:szCs w:val="22"/>
        </w:rPr>
      </w:pPr>
      <w:r w:rsidRPr="00FF018F">
        <w:rPr>
          <w:kern w:val="22"/>
          <w:szCs w:val="22"/>
        </w:rPr>
        <w:t xml:space="preserve">The Committee may furthermore wish to consider </w:t>
      </w:r>
      <w:r w:rsidR="000F6EEF" w:rsidRPr="00FF018F">
        <w:rPr>
          <w:kern w:val="22"/>
          <w:szCs w:val="22"/>
        </w:rPr>
        <w:t>recommending that the Conference of the Parties serving as the meeting of the Parties</w:t>
      </w:r>
      <w:r w:rsidR="003F3767" w:rsidRPr="00FF018F">
        <w:rPr>
          <w:kern w:val="22"/>
          <w:szCs w:val="22"/>
        </w:rPr>
        <w:t>, at its tenth meeting</w:t>
      </w:r>
      <w:r w:rsidRPr="00FF018F">
        <w:rPr>
          <w:kern w:val="22"/>
          <w:szCs w:val="22"/>
        </w:rPr>
        <w:t>:</w:t>
      </w:r>
    </w:p>
    <w:p w14:paraId="53199EB6" w14:textId="7D953935" w:rsidR="003B71B5" w:rsidRPr="00FF018F" w:rsidRDefault="00E5171C" w:rsidP="008159AD">
      <w:pPr>
        <w:pStyle w:val="Para10"/>
        <w:numPr>
          <w:ilvl w:val="1"/>
          <w:numId w:val="17"/>
        </w:numPr>
        <w:suppressLineNumbers/>
        <w:tabs>
          <w:tab w:val="clear" w:pos="1570"/>
        </w:tabs>
        <w:suppressAutoHyphens/>
        <w:spacing w:before="120" w:after="120"/>
        <w:ind w:left="0"/>
        <w:jc w:val="both"/>
        <w:rPr>
          <w:snapToGrid w:val="0"/>
          <w:kern w:val="22"/>
          <w:sz w:val="22"/>
          <w:szCs w:val="22"/>
          <w:lang w:val="en-GB"/>
        </w:rPr>
      </w:pPr>
      <w:r w:rsidRPr="00FF018F">
        <w:rPr>
          <w:snapToGrid w:val="0"/>
          <w:kern w:val="22"/>
          <w:sz w:val="22"/>
          <w:szCs w:val="22"/>
          <w:lang w:val="en-GB"/>
        </w:rPr>
        <w:lastRenderedPageBreak/>
        <w:t>W</w:t>
      </w:r>
      <w:r w:rsidR="000F6EEF" w:rsidRPr="00FF018F">
        <w:rPr>
          <w:snapToGrid w:val="0"/>
          <w:kern w:val="22"/>
          <w:sz w:val="22"/>
          <w:szCs w:val="22"/>
          <w:lang w:val="en-GB"/>
        </w:rPr>
        <w:t>elcome</w:t>
      </w:r>
      <w:r w:rsidR="003B71B5" w:rsidRPr="00FF018F">
        <w:rPr>
          <w:snapToGrid w:val="0"/>
          <w:kern w:val="22"/>
          <w:sz w:val="22"/>
          <w:szCs w:val="22"/>
          <w:lang w:val="en-GB"/>
        </w:rPr>
        <w:t xml:space="preserve"> the 99 complete fourth national reports submitted;</w:t>
      </w:r>
      <w:r w:rsidR="002A111B" w:rsidRPr="00FF018F">
        <w:rPr>
          <w:rStyle w:val="FootnoteReference"/>
          <w:rFonts w:eastAsiaTheme="majorEastAsia"/>
          <w:snapToGrid w:val="0"/>
          <w:kern w:val="22"/>
          <w:sz w:val="22"/>
          <w:szCs w:val="22"/>
          <w:u w:val="none"/>
          <w:vertAlign w:val="superscript"/>
          <w:lang w:val="en-GB" w:eastAsia="en-US"/>
        </w:rPr>
        <w:footnoteReference w:id="29"/>
      </w:r>
    </w:p>
    <w:p w14:paraId="3412BB21" w14:textId="60C0A076" w:rsidR="009C1849" w:rsidRPr="00FF018F" w:rsidRDefault="00E5171C" w:rsidP="008159AD">
      <w:pPr>
        <w:pStyle w:val="Para10"/>
        <w:numPr>
          <w:ilvl w:val="1"/>
          <w:numId w:val="17"/>
        </w:numPr>
        <w:suppressLineNumbers/>
        <w:tabs>
          <w:tab w:val="clear" w:pos="1570"/>
        </w:tabs>
        <w:suppressAutoHyphens/>
        <w:spacing w:before="120" w:after="120"/>
        <w:ind w:left="0"/>
        <w:jc w:val="both"/>
        <w:rPr>
          <w:snapToGrid w:val="0"/>
          <w:kern w:val="22"/>
          <w:sz w:val="22"/>
          <w:szCs w:val="22"/>
          <w:lang w:val="en-GB"/>
        </w:rPr>
      </w:pPr>
      <w:r w:rsidRPr="00FF018F">
        <w:rPr>
          <w:snapToGrid w:val="0"/>
          <w:kern w:val="22"/>
          <w:sz w:val="22"/>
          <w:szCs w:val="22"/>
          <w:lang w:val="en-GB"/>
        </w:rPr>
        <w:t>Express concern about the low rate of submission of fourth national reports;</w:t>
      </w:r>
    </w:p>
    <w:p w14:paraId="28D3234F" w14:textId="58D8B298" w:rsidR="00E5171C" w:rsidRPr="00FF018F" w:rsidRDefault="009C1849" w:rsidP="008159AD">
      <w:pPr>
        <w:pStyle w:val="Para10"/>
        <w:numPr>
          <w:ilvl w:val="1"/>
          <w:numId w:val="17"/>
        </w:numPr>
        <w:suppressLineNumbers/>
        <w:tabs>
          <w:tab w:val="clear" w:pos="1570"/>
        </w:tabs>
        <w:suppressAutoHyphens/>
        <w:spacing w:before="120" w:after="120"/>
        <w:ind w:left="0"/>
        <w:jc w:val="both"/>
        <w:rPr>
          <w:snapToGrid w:val="0"/>
          <w:kern w:val="22"/>
          <w:sz w:val="22"/>
          <w:szCs w:val="22"/>
          <w:lang w:val="en-GB"/>
        </w:rPr>
      </w:pPr>
      <w:r w:rsidRPr="00FF018F">
        <w:rPr>
          <w:snapToGrid w:val="0"/>
          <w:kern w:val="22"/>
          <w:sz w:val="22"/>
          <w:szCs w:val="22"/>
          <w:lang w:val="en-GB"/>
        </w:rPr>
        <w:t>Also express concern about delays in the project to enable eligible Parties to access funding from the Global Environment Facility to support the preparation of fourth national reports</w:t>
      </w:r>
      <w:r w:rsidR="00FA292B" w:rsidRPr="00FF018F">
        <w:rPr>
          <w:snapToGrid w:val="0"/>
          <w:kern w:val="22"/>
          <w:sz w:val="22"/>
          <w:szCs w:val="22"/>
          <w:lang w:val="en-GB"/>
        </w:rPr>
        <w:t>,</w:t>
      </w:r>
      <w:r w:rsidRPr="00FF018F">
        <w:rPr>
          <w:snapToGrid w:val="0"/>
          <w:kern w:val="22"/>
          <w:sz w:val="22"/>
          <w:szCs w:val="22"/>
          <w:lang w:val="en-GB"/>
        </w:rPr>
        <w:t xml:space="preserve"> noting that such funding was not available prior to the deadline for the submission of fourth national reports, which may have caused difficulties for a number of Parties in fulfilling their reporting obligation under the Protocol;</w:t>
      </w:r>
    </w:p>
    <w:p w14:paraId="76C04994" w14:textId="0C48685C" w:rsidR="003B71B5" w:rsidRPr="00FF018F" w:rsidRDefault="00055F42" w:rsidP="008159AD">
      <w:pPr>
        <w:pStyle w:val="Para10"/>
        <w:numPr>
          <w:ilvl w:val="1"/>
          <w:numId w:val="17"/>
        </w:numPr>
        <w:suppressLineNumbers/>
        <w:tabs>
          <w:tab w:val="clear" w:pos="1570"/>
        </w:tabs>
        <w:suppressAutoHyphens/>
        <w:spacing w:before="120" w:after="120"/>
        <w:ind w:left="0"/>
        <w:jc w:val="both"/>
        <w:rPr>
          <w:snapToGrid w:val="0"/>
          <w:kern w:val="22"/>
          <w:sz w:val="22"/>
          <w:szCs w:val="22"/>
          <w:lang w:val="en-GB"/>
        </w:rPr>
      </w:pPr>
      <w:r w:rsidRPr="00FF018F">
        <w:rPr>
          <w:snapToGrid w:val="0"/>
          <w:kern w:val="22"/>
          <w:sz w:val="22"/>
          <w:szCs w:val="22"/>
          <w:lang w:val="en-GB"/>
        </w:rPr>
        <w:t>Urge Parties that have not yet submitted their fourth national report to do so as soon as possible;</w:t>
      </w:r>
      <w:r w:rsidRPr="00FF018F">
        <w:rPr>
          <w:rStyle w:val="FootnoteReference"/>
          <w:rFonts w:eastAsiaTheme="majorEastAsia"/>
          <w:snapToGrid w:val="0"/>
          <w:kern w:val="22"/>
          <w:sz w:val="22"/>
          <w:szCs w:val="22"/>
          <w:u w:val="none"/>
          <w:vertAlign w:val="superscript"/>
          <w:lang w:val="en-GB" w:eastAsia="en-US"/>
        </w:rPr>
        <w:footnoteReference w:id="30"/>
      </w:r>
    </w:p>
    <w:p w14:paraId="5AADB898" w14:textId="2E959039" w:rsidR="003B71B5" w:rsidRPr="00FF018F" w:rsidRDefault="00055F42" w:rsidP="008159AD">
      <w:pPr>
        <w:pStyle w:val="Para10"/>
        <w:numPr>
          <w:ilvl w:val="1"/>
          <w:numId w:val="17"/>
        </w:numPr>
        <w:suppressLineNumbers/>
        <w:tabs>
          <w:tab w:val="clear" w:pos="1570"/>
        </w:tabs>
        <w:suppressAutoHyphens/>
        <w:spacing w:before="120" w:after="120"/>
        <w:ind w:left="0"/>
        <w:jc w:val="both"/>
        <w:rPr>
          <w:snapToGrid w:val="0"/>
          <w:kern w:val="22"/>
          <w:sz w:val="22"/>
          <w:szCs w:val="22"/>
          <w:lang w:val="en-GB"/>
        </w:rPr>
      </w:pPr>
      <w:r w:rsidRPr="00FF018F">
        <w:rPr>
          <w:snapToGrid w:val="0"/>
          <w:kern w:val="22"/>
          <w:sz w:val="22"/>
          <w:szCs w:val="22"/>
          <w:lang w:val="en-GB"/>
        </w:rPr>
        <w:t>N</w:t>
      </w:r>
      <w:r w:rsidR="00232CB1" w:rsidRPr="00FF018F">
        <w:rPr>
          <w:snapToGrid w:val="0"/>
          <w:kern w:val="22"/>
          <w:sz w:val="22"/>
          <w:szCs w:val="22"/>
          <w:lang w:val="en-GB"/>
        </w:rPr>
        <w:t>ote with concern</w:t>
      </w:r>
      <w:r w:rsidR="003B71B5" w:rsidRPr="00FF018F">
        <w:rPr>
          <w:snapToGrid w:val="0"/>
          <w:kern w:val="22"/>
          <w:sz w:val="22"/>
          <w:szCs w:val="22"/>
          <w:lang w:val="en-GB"/>
        </w:rPr>
        <w:t xml:space="preserve"> that</w:t>
      </w:r>
      <w:r w:rsidR="00FA292B" w:rsidRPr="00FF018F">
        <w:rPr>
          <w:snapToGrid w:val="0"/>
          <w:kern w:val="22"/>
          <w:sz w:val="22"/>
          <w:szCs w:val="22"/>
          <w:lang w:val="en-GB"/>
        </w:rPr>
        <w:t>,</w:t>
      </w:r>
      <w:r w:rsidR="003B71B5" w:rsidRPr="00FF018F">
        <w:rPr>
          <w:snapToGrid w:val="0"/>
          <w:kern w:val="22"/>
          <w:sz w:val="22"/>
          <w:szCs w:val="22"/>
          <w:lang w:val="en-GB"/>
        </w:rPr>
        <w:t xml:space="preserve"> of the Parties that have not yet submitted their fourth national report, some Parties have also not submitted their third national report,</w:t>
      </w:r>
      <w:r w:rsidR="005A236F" w:rsidRPr="00FF018F">
        <w:rPr>
          <w:rStyle w:val="FootnoteReference"/>
          <w:rFonts w:eastAsiaTheme="majorEastAsia"/>
          <w:snapToGrid w:val="0"/>
          <w:kern w:val="22"/>
          <w:sz w:val="22"/>
          <w:szCs w:val="22"/>
          <w:u w:val="none"/>
          <w:vertAlign w:val="superscript"/>
          <w:lang w:val="en-GB" w:eastAsia="en-US"/>
        </w:rPr>
        <w:footnoteReference w:id="31"/>
      </w:r>
      <w:r w:rsidR="003B71B5" w:rsidRPr="00FF018F">
        <w:rPr>
          <w:snapToGrid w:val="0"/>
          <w:kern w:val="22"/>
          <w:sz w:val="22"/>
          <w:szCs w:val="22"/>
          <w:lang w:val="en-GB"/>
        </w:rPr>
        <w:t xml:space="preserve"> and that one</w:t>
      </w:r>
      <w:r w:rsidR="005A236F" w:rsidRPr="00FF018F">
        <w:rPr>
          <w:rStyle w:val="FootnoteReference"/>
          <w:rFonts w:eastAsiaTheme="majorEastAsia"/>
          <w:snapToGrid w:val="0"/>
          <w:kern w:val="22"/>
          <w:sz w:val="22"/>
          <w:szCs w:val="22"/>
          <w:u w:val="none"/>
          <w:vertAlign w:val="superscript"/>
          <w:lang w:val="en-GB" w:eastAsia="en-US"/>
        </w:rPr>
        <w:footnoteReference w:id="32"/>
      </w:r>
      <w:r w:rsidR="003B71B5" w:rsidRPr="00FF018F">
        <w:rPr>
          <w:snapToGrid w:val="0"/>
          <w:kern w:val="22"/>
          <w:sz w:val="22"/>
          <w:szCs w:val="22"/>
          <w:lang w:val="en-GB"/>
        </w:rPr>
        <w:t xml:space="preserve"> of these Parties has not submitted its third </w:t>
      </w:r>
      <w:r w:rsidR="00496EC8" w:rsidRPr="00FF018F">
        <w:rPr>
          <w:snapToGrid w:val="0"/>
          <w:kern w:val="22"/>
          <w:sz w:val="22"/>
          <w:szCs w:val="22"/>
          <w:lang w:val="en-GB"/>
        </w:rPr>
        <w:t xml:space="preserve">or </w:t>
      </w:r>
      <w:r w:rsidR="003B71B5" w:rsidRPr="00FF018F">
        <w:rPr>
          <w:snapToGrid w:val="0"/>
          <w:kern w:val="22"/>
          <w:sz w:val="22"/>
          <w:szCs w:val="22"/>
          <w:lang w:val="en-GB"/>
        </w:rPr>
        <w:t>second national report</w:t>
      </w:r>
      <w:r w:rsidR="009A33F9" w:rsidRPr="00FF018F">
        <w:rPr>
          <w:snapToGrid w:val="0"/>
          <w:kern w:val="22"/>
          <w:sz w:val="22"/>
          <w:szCs w:val="22"/>
          <w:lang w:val="en-GB"/>
        </w:rPr>
        <w:t>;</w:t>
      </w:r>
    </w:p>
    <w:p w14:paraId="41C8BE1B" w14:textId="3ACAA64F" w:rsidR="00E5171C" w:rsidRPr="00FF018F" w:rsidRDefault="00E5171C" w:rsidP="008159AD">
      <w:pPr>
        <w:pStyle w:val="Para10"/>
        <w:numPr>
          <w:ilvl w:val="1"/>
          <w:numId w:val="17"/>
        </w:numPr>
        <w:suppressLineNumbers/>
        <w:tabs>
          <w:tab w:val="clear" w:pos="1570"/>
        </w:tabs>
        <w:suppressAutoHyphens/>
        <w:spacing w:before="120" w:after="120"/>
        <w:ind w:left="0"/>
        <w:jc w:val="both"/>
        <w:rPr>
          <w:snapToGrid w:val="0"/>
          <w:kern w:val="22"/>
          <w:sz w:val="22"/>
          <w:szCs w:val="22"/>
          <w:lang w:val="en-GB"/>
        </w:rPr>
      </w:pPr>
      <w:r w:rsidRPr="00FF018F">
        <w:rPr>
          <w:snapToGrid w:val="0"/>
          <w:kern w:val="22"/>
          <w:sz w:val="22"/>
          <w:szCs w:val="22"/>
          <w:lang w:val="en-GB"/>
        </w:rPr>
        <w:t>Urge Parties that have submitted an incomplete fourth national report to provide the missing information as soon as possible;</w:t>
      </w:r>
    </w:p>
    <w:p w14:paraId="1A00774A" w14:textId="4FACD320" w:rsidR="003B71B5" w:rsidRPr="00FF018F" w:rsidRDefault="001476FC" w:rsidP="008159AD">
      <w:pPr>
        <w:pStyle w:val="Para10"/>
        <w:numPr>
          <w:ilvl w:val="1"/>
          <w:numId w:val="17"/>
        </w:numPr>
        <w:suppressLineNumbers/>
        <w:tabs>
          <w:tab w:val="clear" w:pos="1570"/>
        </w:tabs>
        <w:suppressAutoHyphens/>
        <w:spacing w:before="120" w:after="120"/>
        <w:ind w:left="0"/>
        <w:jc w:val="both"/>
        <w:rPr>
          <w:snapToGrid w:val="0"/>
          <w:kern w:val="22"/>
          <w:sz w:val="22"/>
          <w:szCs w:val="22"/>
          <w:lang w:val="en-GB"/>
        </w:rPr>
      </w:pPr>
      <w:bookmarkStart w:id="2" w:name="_Hlk34743170"/>
      <w:r w:rsidRPr="00FF018F">
        <w:rPr>
          <w:snapToGrid w:val="0"/>
          <w:kern w:val="22"/>
          <w:sz w:val="22"/>
          <w:szCs w:val="22"/>
          <w:lang w:val="en-GB"/>
        </w:rPr>
        <w:t>Recommend</w:t>
      </w:r>
      <w:r w:rsidR="003B71B5" w:rsidRPr="00FF018F">
        <w:rPr>
          <w:snapToGrid w:val="0"/>
          <w:kern w:val="22"/>
          <w:sz w:val="22"/>
          <w:szCs w:val="22"/>
          <w:lang w:val="en-GB"/>
        </w:rPr>
        <w:t xml:space="preserve"> that the </w:t>
      </w:r>
      <w:r w:rsidR="00D203A4" w:rsidRPr="00FF018F">
        <w:rPr>
          <w:snapToGrid w:val="0"/>
          <w:kern w:val="22"/>
          <w:sz w:val="22"/>
          <w:szCs w:val="22"/>
          <w:lang w:val="en-GB"/>
        </w:rPr>
        <w:t>Conference of the Parties</w:t>
      </w:r>
      <w:r w:rsidR="003B71B5" w:rsidRPr="00FF018F">
        <w:rPr>
          <w:snapToGrid w:val="0"/>
          <w:kern w:val="22"/>
          <w:sz w:val="22"/>
          <w:szCs w:val="22"/>
          <w:lang w:val="en-GB"/>
        </w:rPr>
        <w:t>, in adopting its guidance to the financial mechanism with respect to support for the implementation of the Protocol, invite the Global Environment Facility to continue making funds available to support eligible Parties in fulfilling their reporting obligations under the Protocol, including through the submission of fifth national reports, in a timely fashion</w:t>
      </w:r>
      <w:r w:rsidR="009A33F9" w:rsidRPr="00FF018F">
        <w:rPr>
          <w:snapToGrid w:val="0"/>
          <w:kern w:val="22"/>
          <w:sz w:val="22"/>
          <w:szCs w:val="22"/>
          <w:lang w:val="en-GB"/>
        </w:rPr>
        <w:t>.</w:t>
      </w:r>
      <w:bookmarkEnd w:id="2"/>
    </w:p>
    <w:p w14:paraId="20E76CFD" w14:textId="217B8E8B" w:rsidR="00B3369F" w:rsidRPr="00FF018F" w:rsidRDefault="000D09CE" w:rsidP="008159AD">
      <w:pPr>
        <w:pStyle w:val="Para1"/>
        <w:numPr>
          <w:ilvl w:val="0"/>
          <w:numId w:val="0"/>
        </w:numPr>
        <w:suppressLineNumbers/>
        <w:suppressAutoHyphens/>
        <w:kinsoku w:val="0"/>
        <w:overflowPunct w:val="0"/>
        <w:autoSpaceDE w:val="0"/>
        <w:autoSpaceDN w:val="0"/>
        <w:jc w:val="center"/>
        <w:rPr>
          <w:kern w:val="22"/>
          <w:szCs w:val="22"/>
        </w:rPr>
      </w:pPr>
      <w:r w:rsidRPr="00FF018F">
        <w:rPr>
          <w:kern w:val="22"/>
          <w:szCs w:val="22"/>
        </w:rPr>
        <w:t>__________</w:t>
      </w:r>
    </w:p>
    <w:sectPr w:rsidR="00B3369F" w:rsidRPr="00FF018F" w:rsidSect="00AF1044">
      <w:headerReference w:type="even" r:id="rId21"/>
      <w:headerReference w:type="default" r:id="rId22"/>
      <w:footerReference w:type="first" r:id="rId2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6C94" w14:textId="77777777" w:rsidR="006633B4" w:rsidRDefault="006633B4" w:rsidP="00CF1848">
      <w:r>
        <w:separator/>
      </w:r>
    </w:p>
  </w:endnote>
  <w:endnote w:type="continuationSeparator" w:id="0">
    <w:p w14:paraId="0AF3DC42" w14:textId="77777777" w:rsidR="006633B4" w:rsidRDefault="006633B4" w:rsidP="00CF1848">
      <w:r>
        <w:continuationSeparator/>
      </w:r>
    </w:p>
  </w:endnote>
  <w:endnote w:type="continuationNotice" w:id="1">
    <w:p w14:paraId="15F0F02D" w14:textId="77777777" w:rsidR="006633B4" w:rsidRDefault="00663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29F5" w14:textId="77777777" w:rsidR="0059436B" w:rsidRDefault="0059436B" w:rsidP="006B13F1">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83549" w14:textId="77777777" w:rsidR="006633B4" w:rsidRDefault="006633B4" w:rsidP="00CF1848">
      <w:r>
        <w:separator/>
      </w:r>
    </w:p>
  </w:footnote>
  <w:footnote w:type="continuationSeparator" w:id="0">
    <w:p w14:paraId="2756F226" w14:textId="77777777" w:rsidR="006633B4" w:rsidRDefault="006633B4" w:rsidP="00CF1848">
      <w:r>
        <w:continuationSeparator/>
      </w:r>
    </w:p>
  </w:footnote>
  <w:footnote w:type="continuationNotice" w:id="1">
    <w:p w14:paraId="53440EAE" w14:textId="77777777" w:rsidR="006633B4" w:rsidRDefault="006633B4"/>
  </w:footnote>
  <w:footnote w:id="2">
    <w:p w14:paraId="3685E6FA" w14:textId="68087FAC"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Notification 2019-55, dated 25 June 2019, reminded Parties to submit their fourth national report by 1 October 2019 and announced the availability of the online reporting format. </w:t>
      </w:r>
      <w:hyperlink r:id="rId1" w:history="1">
        <w:r w:rsidRPr="008159AD">
          <w:rPr>
            <w:rStyle w:val="Hyperlink"/>
            <w:kern w:val="18"/>
            <w:szCs w:val="18"/>
          </w:rPr>
          <w:t>Notification 2019-74</w:t>
        </w:r>
      </w:hyperlink>
      <w:r w:rsidRPr="008159AD">
        <w:rPr>
          <w:kern w:val="18"/>
          <w:szCs w:val="18"/>
        </w:rPr>
        <w:t xml:space="preserve">, dated 3 September 2019, and </w:t>
      </w:r>
      <w:r w:rsidR="00761194">
        <w:rPr>
          <w:kern w:val="18"/>
          <w:szCs w:val="18"/>
        </w:rPr>
        <w:t>n</w:t>
      </w:r>
      <w:r w:rsidRPr="008159AD">
        <w:rPr>
          <w:kern w:val="18"/>
          <w:szCs w:val="18"/>
        </w:rPr>
        <w:t>otification 2019-98, dated 4 November 2019, reminded Parties of the submission deadline.</w:t>
      </w:r>
    </w:p>
  </w:footnote>
  <w:footnote w:id="3">
    <w:p w14:paraId="49FACED9" w14:textId="3428612A"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15 January 2020 </w:t>
      </w:r>
      <w:r w:rsidR="00A528A7">
        <w:rPr>
          <w:kern w:val="18"/>
          <w:szCs w:val="18"/>
        </w:rPr>
        <w:t>was</w:t>
      </w:r>
      <w:r w:rsidR="00A528A7" w:rsidRPr="008159AD">
        <w:rPr>
          <w:kern w:val="18"/>
          <w:szCs w:val="18"/>
        </w:rPr>
        <w:t xml:space="preserve"> </w:t>
      </w:r>
      <w:r w:rsidRPr="008159AD">
        <w:rPr>
          <w:kern w:val="18"/>
          <w:szCs w:val="18"/>
        </w:rPr>
        <w:t>the cut</w:t>
      </w:r>
      <w:r w:rsidR="005166F7" w:rsidRPr="008159AD">
        <w:rPr>
          <w:kern w:val="18"/>
          <w:szCs w:val="18"/>
        </w:rPr>
        <w:t>-</w:t>
      </w:r>
      <w:r w:rsidRPr="008159AD">
        <w:rPr>
          <w:kern w:val="18"/>
          <w:szCs w:val="18"/>
        </w:rPr>
        <w:t xml:space="preserve">off date for the submission of fourth national reports that were considered in the analysis for assessment and review of the Protocol and the final evaluation of the Strategic Plan for the Cartagena Protocol </w:t>
      </w:r>
      <w:r w:rsidR="00E353BC">
        <w:rPr>
          <w:kern w:val="18"/>
          <w:szCs w:val="18"/>
        </w:rPr>
        <w:t>(</w:t>
      </w:r>
      <w:r w:rsidRPr="008159AD">
        <w:rPr>
          <w:kern w:val="18"/>
          <w:szCs w:val="18"/>
        </w:rPr>
        <w:t>see also CBD/CP/CC/17/3</w:t>
      </w:r>
      <w:r w:rsidR="00E353BC">
        <w:rPr>
          <w:kern w:val="18"/>
          <w:szCs w:val="18"/>
        </w:rPr>
        <w:t>)</w:t>
      </w:r>
      <w:r w:rsidRPr="008159AD">
        <w:rPr>
          <w:kern w:val="18"/>
          <w:szCs w:val="18"/>
        </w:rPr>
        <w:t>.</w:t>
      </w:r>
    </w:p>
  </w:footnote>
  <w:footnote w:id="4">
    <w:p w14:paraId="363D6D2D" w14:textId="77777777"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w:t>
      </w:r>
      <w:hyperlink r:id="rId2" w:history="1">
        <w:r w:rsidRPr="008159AD">
          <w:rPr>
            <w:rStyle w:val="Hyperlink"/>
            <w:kern w:val="18"/>
            <w:szCs w:val="18"/>
          </w:rPr>
          <w:t>http://bch.cbd.int/onlineconferences/portal_art20/nfps/newBCHforum.shtml</w:t>
        </w:r>
      </w:hyperlink>
    </w:p>
  </w:footnote>
  <w:footnote w:id="5">
    <w:p w14:paraId="371634BE" w14:textId="4D9E05F0"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rStyle w:val="FootnoteReference"/>
          <w:rFonts w:eastAsiaTheme="majorEastAsia"/>
          <w:snapToGrid w:val="0"/>
          <w:kern w:val="18"/>
          <w:szCs w:val="18"/>
          <w:u w:val="none"/>
        </w:rPr>
        <w:t xml:space="preserve"> </w:t>
      </w:r>
      <w:r w:rsidR="0079744A">
        <w:rPr>
          <w:kern w:val="18"/>
          <w:szCs w:val="18"/>
        </w:rPr>
        <w:t>B</w:t>
      </w:r>
      <w:r w:rsidR="0079744A" w:rsidRPr="008C6482">
        <w:rPr>
          <w:kern w:val="18"/>
          <w:szCs w:val="18"/>
        </w:rPr>
        <w:t>y the end of 2019</w:t>
      </w:r>
      <w:r w:rsidR="0079744A">
        <w:rPr>
          <w:kern w:val="18"/>
          <w:szCs w:val="18"/>
        </w:rPr>
        <w:t>, a</w:t>
      </w:r>
      <w:r w:rsidRPr="008159AD">
        <w:rPr>
          <w:kern w:val="18"/>
          <w:szCs w:val="18"/>
        </w:rPr>
        <w:t xml:space="preserve"> total of </w:t>
      </w:r>
      <w:r w:rsidR="00DB72F4">
        <w:rPr>
          <w:kern w:val="18"/>
          <w:szCs w:val="18"/>
        </w:rPr>
        <w:t>30</w:t>
      </w:r>
      <w:r w:rsidR="00DB72F4" w:rsidRPr="008159AD">
        <w:rPr>
          <w:kern w:val="18"/>
          <w:szCs w:val="18"/>
        </w:rPr>
        <w:t xml:space="preserve"> </w:t>
      </w:r>
      <w:r w:rsidRPr="008159AD">
        <w:rPr>
          <w:kern w:val="18"/>
          <w:szCs w:val="18"/>
        </w:rPr>
        <w:t xml:space="preserve">eligible Parties </w:t>
      </w:r>
      <w:r w:rsidR="00B515FF" w:rsidRPr="008159AD">
        <w:rPr>
          <w:kern w:val="18"/>
          <w:szCs w:val="18"/>
        </w:rPr>
        <w:t>had</w:t>
      </w:r>
      <w:r w:rsidRPr="008159AD">
        <w:rPr>
          <w:kern w:val="18"/>
          <w:szCs w:val="18"/>
        </w:rPr>
        <w:t xml:space="preserve"> not </w:t>
      </w:r>
      <w:r w:rsidR="00B515FF" w:rsidRPr="008159AD">
        <w:rPr>
          <w:kern w:val="18"/>
          <w:szCs w:val="18"/>
        </w:rPr>
        <w:t xml:space="preserve">yet </w:t>
      </w:r>
      <w:r w:rsidRPr="008159AD">
        <w:rPr>
          <w:kern w:val="18"/>
          <w:szCs w:val="18"/>
        </w:rPr>
        <w:t>submit</w:t>
      </w:r>
      <w:r w:rsidR="00B515FF" w:rsidRPr="008159AD">
        <w:rPr>
          <w:kern w:val="18"/>
          <w:szCs w:val="18"/>
        </w:rPr>
        <w:t>ted</w:t>
      </w:r>
      <w:r w:rsidRPr="008159AD">
        <w:rPr>
          <w:kern w:val="18"/>
          <w:szCs w:val="18"/>
        </w:rPr>
        <w:t xml:space="preserve"> a letter of commitment. In addition, a total of </w:t>
      </w:r>
      <w:r w:rsidR="00EE3809" w:rsidRPr="008159AD">
        <w:rPr>
          <w:kern w:val="18"/>
          <w:szCs w:val="18"/>
        </w:rPr>
        <w:t xml:space="preserve">five </w:t>
      </w:r>
      <w:r w:rsidRPr="008159AD">
        <w:rPr>
          <w:kern w:val="18"/>
          <w:szCs w:val="18"/>
        </w:rPr>
        <w:t>Parties indicated that they did not intend to submit a letter of commitment.</w:t>
      </w:r>
    </w:p>
  </w:footnote>
  <w:footnote w:id="6">
    <w:p w14:paraId="4F4D83F3" w14:textId="60A45022"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The Committee identified access to resources to support eligible Parties in preparing their national report as a factor that </w:t>
      </w:r>
      <w:r w:rsidR="00AE2B16">
        <w:rPr>
          <w:kern w:val="18"/>
          <w:szCs w:val="18"/>
        </w:rPr>
        <w:t xml:space="preserve">had </w:t>
      </w:r>
      <w:r w:rsidRPr="008159AD">
        <w:rPr>
          <w:kern w:val="18"/>
          <w:szCs w:val="18"/>
        </w:rPr>
        <w:t>affect</w:t>
      </w:r>
      <w:r w:rsidR="00AE2B16">
        <w:rPr>
          <w:kern w:val="18"/>
          <w:szCs w:val="18"/>
        </w:rPr>
        <w:t>ed</w:t>
      </w:r>
      <w:r w:rsidRPr="008159AD">
        <w:rPr>
          <w:kern w:val="18"/>
          <w:szCs w:val="18"/>
        </w:rPr>
        <w:t xml:space="preserve"> the submission rate of national reports in the past. At its ninth meeting, for example, it noted the contribution of the financial resources made available by the Global Environment Facility in achieving the high rate of reporting and the importance of maintain</w:t>
      </w:r>
      <w:r w:rsidR="00AE2B16">
        <w:rPr>
          <w:kern w:val="18"/>
          <w:szCs w:val="18"/>
        </w:rPr>
        <w:t>ing</w:t>
      </w:r>
      <w:r w:rsidRPr="008159AD">
        <w:rPr>
          <w:kern w:val="18"/>
          <w:szCs w:val="18"/>
        </w:rPr>
        <w:t xml:space="preserve"> such support in the future </w:t>
      </w:r>
      <w:r w:rsidR="00AE2B16">
        <w:rPr>
          <w:kern w:val="18"/>
          <w:szCs w:val="18"/>
        </w:rPr>
        <w:t>(s</w:t>
      </w:r>
      <w:r w:rsidRPr="008159AD">
        <w:rPr>
          <w:kern w:val="18"/>
          <w:szCs w:val="18"/>
        </w:rPr>
        <w:t>ee UNEP/CBD/BS/CC/9/4, para.</w:t>
      </w:r>
      <w:r w:rsidR="007035D8">
        <w:rPr>
          <w:kern w:val="18"/>
          <w:szCs w:val="18"/>
        </w:rPr>
        <w:t> </w:t>
      </w:r>
      <w:r w:rsidRPr="008159AD">
        <w:rPr>
          <w:kern w:val="18"/>
          <w:szCs w:val="18"/>
        </w:rPr>
        <w:t>10(a)</w:t>
      </w:r>
      <w:r w:rsidR="00AE2B16">
        <w:rPr>
          <w:kern w:val="18"/>
          <w:szCs w:val="18"/>
        </w:rPr>
        <w:t>)</w:t>
      </w:r>
      <w:r w:rsidRPr="008159AD">
        <w:rPr>
          <w:kern w:val="18"/>
          <w:szCs w:val="18"/>
        </w:rPr>
        <w:t xml:space="preserve">. </w:t>
      </w:r>
      <w:r w:rsidR="00D75094">
        <w:rPr>
          <w:kern w:val="18"/>
          <w:szCs w:val="18"/>
        </w:rPr>
        <w:t>A</w:t>
      </w:r>
      <w:r w:rsidR="00D75094" w:rsidRPr="00B6299B">
        <w:rPr>
          <w:kern w:val="18"/>
          <w:szCs w:val="18"/>
        </w:rPr>
        <w:t>t its fourteenth meeting</w:t>
      </w:r>
      <w:r w:rsidR="00D75094">
        <w:rPr>
          <w:kern w:val="18"/>
          <w:szCs w:val="18"/>
        </w:rPr>
        <w:t>,</w:t>
      </w:r>
      <w:r w:rsidR="00D75094" w:rsidRPr="00392649" w:rsidDel="00D75094">
        <w:rPr>
          <w:kern w:val="18"/>
          <w:szCs w:val="18"/>
        </w:rPr>
        <w:t xml:space="preserve"> </w:t>
      </w:r>
      <w:r w:rsidR="00D75094">
        <w:rPr>
          <w:kern w:val="18"/>
          <w:szCs w:val="18"/>
        </w:rPr>
        <w:t>t</w:t>
      </w:r>
      <w:r w:rsidRPr="008159AD">
        <w:rPr>
          <w:kern w:val="18"/>
          <w:szCs w:val="18"/>
        </w:rPr>
        <w:t xml:space="preserve">he Committee identified difficulties in accessing funding as one of the factors that could have affected the submission rate of third national reports </w:t>
      </w:r>
      <w:r w:rsidR="00341292">
        <w:rPr>
          <w:kern w:val="18"/>
          <w:szCs w:val="18"/>
        </w:rPr>
        <w:t>(s</w:t>
      </w:r>
      <w:r w:rsidRPr="008159AD">
        <w:rPr>
          <w:kern w:val="18"/>
          <w:szCs w:val="18"/>
        </w:rPr>
        <w:t>ee: CBD/CP/CC/14/5, para.</w:t>
      </w:r>
      <w:r w:rsidR="00341292">
        <w:rPr>
          <w:kern w:val="18"/>
          <w:szCs w:val="18"/>
        </w:rPr>
        <w:t> </w:t>
      </w:r>
      <w:r w:rsidRPr="008159AD">
        <w:rPr>
          <w:kern w:val="18"/>
          <w:szCs w:val="18"/>
        </w:rPr>
        <w:t>35</w:t>
      </w:r>
      <w:r w:rsidR="00341292">
        <w:rPr>
          <w:kern w:val="18"/>
          <w:szCs w:val="18"/>
        </w:rPr>
        <w:t>)</w:t>
      </w:r>
      <w:r w:rsidRPr="008159AD">
        <w:rPr>
          <w:kern w:val="18"/>
          <w:szCs w:val="18"/>
        </w:rPr>
        <w:t>.</w:t>
      </w:r>
    </w:p>
  </w:footnote>
  <w:footnote w:id="7">
    <w:p w14:paraId="2EB2028B" w14:textId="77777777"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w:t>
      </w:r>
      <w:hyperlink r:id="rId3" w:history="1">
        <w:r w:rsidRPr="008159AD">
          <w:rPr>
            <w:rStyle w:val="Hyperlink"/>
            <w:kern w:val="18"/>
            <w:szCs w:val="18"/>
          </w:rPr>
          <w:t>https://beta.bch.cbd.int/articles/5d2cdcd0620471000183573f</w:t>
        </w:r>
      </w:hyperlink>
    </w:p>
  </w:footnote>
  <w:footnote w:id="8">
    <w:p w14:paraId="7E184916" w14:textId="77777777"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w:t>
      </w:r>
      <w:hyperlink r:id="rId4" w:history="1">
        <w:r w:rsidRPr="008159AD">
          <w:rPr>
            <w:rStyle w:val="Hyperlink"/>
            <w:kern w:val="18"/>
            <w:szCs w:val="18"/>
          </w:rPr>
          <w:t>http://bch.cbd.int/onlineconferences/portal_art20/nfps/newBCHforum.shtml</w:t>
        </w:r>
      </w:hyperlink>
    </w:p>
  </w:footnote>
  <w:footnote w:id="9">
    <w:p w14:paraId="7F6C821D" w14:textId="1AA30A6F"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See also CBD/SBI/3/11/Add.1</w:t>
      </w:r>
      <w:r w:rsidR="00341292">
        <w:rPr>
          <w:kern w:val="18"/>
          <w:szCs w:val="18"/>
        </w:rPr>
        <w:t>,</w:t>
      </w:r>
      <w:r w:rsidRPr="008159AD">
        <w:rPr>
          <w:kern w:val="18"/>
          <w:szCs w:val="18"/>
        </w:rPr>
        <w:t xml:space="preserve"> which provides some information on the evaluation of the use by Parties of the online reporting tool for the fourth national reports.</w:t>
      </w:r>
    </w:p>
  </w:footnote>
  <w:footnote w:id="10">
    <w:p w14:paraId="37D3E79C" w14:textId="7BCB9F88"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The Committee most recently considered factors that may have affected the submission rate of national reports at its fourteenth meeting, in 2017, in relation to the submission of third national reports. The Committee also identified other reasons for lower reporting rates, including: difficulties in accessing funds from </w:t>
      </w:r>
      <w:r w:rsidR="00281AD8">
        <w:rPr>
          <w:kern w:val="18"/>
          <w:szCs w:val="18"/>
        </w:rPr>
        <w:t>the Global Environment Facility</w:t>
      </w:r>
      <w:r w:rsidRPr="008159AD">
        <w:rPr>
          <w:kern w:val="18"/>
          <w:szCs w:val="18"/>
        </w:rPr>
        <w:t xml:space="preserve">; </w:t>
      </w:r>
      <w:r w:rsidR="00701A48">
        <w:rPr>
          <w:kern w:val="18"/>
          <w:szCs w:val="18"/>
        </w:rPr>
        <w:t>c</w:t>
      </w:r>
      <w:r w:rsidRPr="008159AD">
        <w:rPr>
          <w:kern w:val="18"/>
          <w:szCs w:val="18"/>
        </w:rPr>
        <w:t xml:space="preserve">hallenges with the length of the reporting format; </w:t>
      </w:r>
      <w:r w:rsidR="00701A48">
        <w:rPr>
          <w:kern w:val="18"/>
          <w:szCs w:val="18"/>
        </w:rPr>
        <w:t>d</w:t>
      </w:r>
      <w:r w:rsidRPr="008159AD">
        <w:rPr>
          <w:kern w:val="18"/>
          <w:szCs w:val="18"/>
        </w:rPr>
        <w:t xml:space="preserve">ifficulties in complying with multiple reporting requests under different international agreements; lack of priority accorded to biosafety at the national level; </w:t>
      </w:r>
      <w:r w:rsidR="00701A48">
        <w:rPr>
          <w:kern w:val="18"/>
          <w:szCs w:val="18"/>
        </w:rPr>
        <w:t xml:space="preserve">and </w:t>
      </w:r>
      <w:r w:rsidRPr="008159AD">
        <w:rPr>
          <w:kern w:val="18"/>
          <w:szCs w:val="18"/>
        </w:rPr>
        <w:t xml:space="preserve">lack of awareness of the importance of national reporting </w:t>
      </w:r>
      <w:r w:rsidR="00701A48">
        <w:rPr>
          <w:kern w:val="18"/>
          <w:szCs w:val="18"/>
        </w:rPr>
        <w:t>(s</w:t>
      </w:r>
      <w:r w:rsidRPr="008159AD">
        <w:rPr>
          <w:kern w:val="18"/>
          <w:szCs w:val="18"/>
        </w:rPr>
        <w:t>ee CBD/CP/CC/14/5, para.</w:t>
      </w:r>
      <w:r w:rsidR="00701A48">
        <w:rPr>
          <w:kern w:val="18"/>
          <w:szCs w:val="18"/>
        </w:rPr>
        <w:t> </w:t>
      </w:r>
      <w:r w:rsidRPr="008159AD">
        <w:rPr>
          <w:kern w:val="18"/>
          <w:szCs w:val="18"/>
        </w:rPr>
        <w:t>35</w:t>
      </w:r>
      <w:r w:rsidR="00701A48">
        <w:rPr>
          <w:kern w:val="18"/>
          <w:szCs w:val="18"/>
        </w:rPr>
        <w:t>)</w:t>
      </w:r>
      <w:r w:rsidRPr="008159AD">
        <w:rPr>
          <w:kern w:val="18"/>
          <w:szCs w:val="18"/>
        </w:rPr>
        <w:t>.</w:t>
      </w:r>
    </w:p>
  </w:footnote>
  <w:footnote w:id="11">
    <w:p w14:paraId="29B50E34" w14:textId="311B27B9"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The submission rate of fourth national reports was calculated based on the number of fourth national reports received approximately </w:t>
      </w:r>
      <w:r w:rsidR="00370E42" w:rsidRPr="008159AD">
        <w:rPr>
          <w:kern w:val="18"/>
          <w:szCs w:val="18"/>
        </w:rPr>
        <w:t xml:space="preserve">three </w:t>
      </w:r>
      <w:r w:rsidRPr="008159AD">
        <w:rPr>
          <w:kern w:val="18"/>
          <w:szCs w:val="18"/>
        </w:rPr>
        <w:t>and</w:t>
      </w:r>
      <w:r w:rsidR="001A140F" w:rsidRPr="008159AD">
        <w:rPr>
          <w:kern w:val="18"/>
          <w:szCs w:val="18"/>
        </w:rPr>
        <w:t xml:space="preserve"> </w:t>
      </w:r>
      <w:r w:rsidRPr="008159AD">
        <w:rPr>
          <w:kern w:val="18"/>
          <w:szCs w:val="18"/>
        </w:rPr>
        <w:t>a</w:t>
      </w:r>
      <w:r w:rsidR="001A140F" w:rsidRPr="008159AD">
        <w:rPr>
          <w:kern w:val="18"/>
          <w:szCs w:val="18"/>
        </w:rPr>
        <w:t xml:space="preserve"> </w:t>
      </w:r>
      <w:r w:rsidRPr="008159AD">
        <w:rPr>
          <w:kern w:val="18"/>
          <w:szCs w:val="18"/>
        </w:rPr>
        <w:t xml:space="preserve">half months following the submission deadline (on 15 January 2020). Submission rates of previous national reports were measured between </w:t>
      </w:r>
      <w:r w:rsidR="008A4991" w:rsidRPr="008159AD">
        <w:rPr>
          <w:kern w:val="18"/>
          <w:szCs w:val="18"/>
        </w:rPr>
        <w:t xml:space="preserve">five </w:t>
      </w:r>
      <w:r w:rsidRPr="008159AD">
        <w:rPr>
          <w:kern w:val="18"/>
          <w:szCs w:val="18"/>
        </w:rPr>
        <w:t xml:space="preserve">weeks and </w:t>
      </w:r>
      <w:r w:rsidR="008A4991" w:rsidRPr="008159AD">
        <w:rPr>
          <w:kern w:val="18"/>
          <w:szCs w:val="18"/>
        </w:rPr>
        <w:t xml:space="preserve">three </w:t>
      </w:r>
      <w:r w:rsidRPr="008159AD">
        <w:rPr>
          <w:kern w:val="18"/>
          <w:szCs w:val="18"/>
        </w:rPr>
        <w:t>months after the submission deadline of the respective national report, depending on the availability of the data.</w:t>
      </w:r>
    </w:p>
  </w:footnote>
  <w:footnote w:id="12">
    <w:p w14:paraId="31E70B0B" w14:textId="77777777" w:rsidR="005B5031" w:rsidRPr="008159AD" w:rsidRDefault="005B5031"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At its thirteenth meeting, held from 24 to 26 February 2016, the Committee considered compliance by Parties with the obligation to submit a national report. Document UNEP/CBD/BS/CC/13/2 provided an overview of third national reports submitted by 31 December 2015.  Reports submitted by that date were considered for the analysis for the third assessment and review of the Protocol and mid-term evaluation of the Strategic Plan.</w:t>
      </w:r>
    </w:p>
  </w:footnote>
  <w:footnote w:id="13">
    <w:p w14:paraId="03E35B11" w14:textId="71C34B0C"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UNEP/CBD/BS/CC/13/6.</w:t>
      </w:r>
    </w:p>
  </w:footnote>
  <w:footnote w:id="14">
    <w:p w14:paraId="4429540C" w14:textId="77777777"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As last reported in CBD/CP/CC/14/4, para. 25.</w:t>
      </w:r>
    </w:p>
  </w:footnote>
  <w:footnote w:id="15">
    <w:p w14:paraId="4EBB611F" w14:textId="3B814030"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UNEP/CBD/BS/CC/13/6, para. 10(c). The changes related to the introduction of the new Enterprise Resource Planning system (Umoja) by UNEP.</w:t>
      </w:r>
    </w:p>
  </w:footnote>
  <w:footnote w:id="16">
    <w:p w14:paraId="124F5413" w14:textId="3019D6C9"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At its ninth meeting, held from 31 May to 1 June 2012, the Committee considered compliance by Parties with their obligation to submit a second national report. Document UNEP/CBD/BS/CC/9/2 provided an overview of second national submitted by 16</w:t>
      </w:r>
      <w:r w:rsidR="00755C6B">
        <w:rPr>
          <w:kern w:val="18"/>
          <w:szCs w:val="18"/>
        </w:rPr>
        <w:t> </w:t>
      </w:r>
      <w:r w:rsidRPr="008159AD">
        <w:rPr>
          <w:kern w:val="18"/>
          <w:szCs w:val="18"/>
        </w:rPr>
        <w:t>October 2011. Second national reports that had been submitted by that date were considered for the second assessment and review.</w:t>
      </w:r>
    </w:p>
  </w:footnote>
  <w:footnote w:id="17">
    <w:p w14:paraId="234E39E7" w14:textId="6668E307"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kern w:val="18"/>
          <w:szCs w:val="18"/>
          <w:u w:val="none"/>
          <w:vertAlign w:val="superscript"/>
        </w:rPr>
        <w:footnoteRef/>
      </w:r>
      <w:r w:rsidRPr="008159AD">
        <w:rPr>
          <w:kern w:val="18"/>
          <w:szCs w:val="18"/>
        </w:rPr>
        <w:t xml:space="preserve"> </w:t>
      </w:r>
      <w:r w:rsidR="008D12E1">
        <w:rPr>
          <w:kern w:val="18"/>
          <w:szCs w:val="18"/>
        </w:rPr>
        <w:t xml:space="preserve">See </w:t>
      </w:r>
      <w:r w:rsidRPr="008159AD">
        <w:rPr>
          <w:kern w:val="18"/>
          <w:szCs w:val="18"/>
        </w:rPr>
        <w:t>UNEP/CBD/BS/CC/9/4, para. 10(g).</w:t>
      </w:r>
    </w:p>
  </w:footnote>
  <w:footnote w:id="18">
    <w:p w14:paraId="62A0E5EC" w14:textId="258E0EFB"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UNEP/CBD/BS/CC/9/2.</w:t>
      </w:r>
    </w:p>
  </w:footnote>
  <w:footnote w:id="19">
    <w:p w14:paraId="5A71BAF2" w14:textId="60DA7150"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UNEP/CBD/BS/CC/9/4</w:t>
      </w:r>
      <w:r w:rsidR="008D12E1">
        <w:rPr>
          <w:kern w:val="18"/>
          <w:szCs w:val="18"/>
        </w:rPr>
        <w:t>.</w:t>
      </w:r>
    </w:p>
  </w:footnote>
  <w:footnote w:id="20">
    <w:p w14:paraId="459DC844" w14:textId="5962C44E" w:rsidR="00AB1DBC" w:rsidRPr="008159AD" w:rsidRDefault="00AB1DBC"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At the time of the Committee’s fourth meeting, 62 Parties had submitted their first national report UNEP/CBD/BS/4/3, para.</w:t>
      </w:r>
      <w:r w:rsidR="008D12E1">
        <w:rPr>
          <w:kern w:val="18"/>
          <w:szCs w:val="18"/>
        </w:rPr>
        <w:t> </w:t>
      </w:r>
      <w:r w:rsidRPr="008159AD">
        <w:rPr>
          <w:kern w:val="18"/>
          <w:szCs w:val="18"/>
        </w:rPr>
        <w:t>12.</w:t>
      </w:r>
    </w:p>
  </w:footnote>
  <w:footnote w:id="21">
    <w:p w14:paraId="634EF491" w14:textId="141AA0B5"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w:t>
      </w:r>
      <w:r w:rsidR="00704A99">
        <w:rPr>
          <w:kern w:val="18"/>
          <w:szCs w:val="18"/>
        </w:rPr>
        <w:t xml:space="preserve">See </w:t>
      </w:r>
      <w:r w:rsidRPr="008159AD">
        <w:rPr>
          <w:kern w:val="18"/>
          <w:szCs w:val="18"/>
        </w:rPr>
        <w:t>UNEP/CBD/BS/CC/4/3, para. 14.</w:t>
      </w:r>
    </w:p>
  </w:footnote>
  <w:footnote w:id="22">
    <w:p w14:paraId="33EA9EE6" w14:textId="682512E8" w:rsidR="005A236F" w:rsidRPr="008159AD" w:rsidRDefault="005A236F"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w:t>
      </w:r>
      <w:r w:rsidR="00AE57AD">
        <w:rPr>
          <w:kern w:val="18"/>
          <w:szCs w:val="18"/>
        </w:rPr>
        <w:t xml:space="preserve">See </w:t>
      </w:r>
      <w:r w:rsidRPr="008159AD">
        <w:rPr>
          <w:kern w:val="18"/>
          <w:szCs w:val="18"/>
        </w:rPr>
        <w:t>UNEP/CBD/BS/COP-MOP/3/2.</w:t>
      </w:r>
    </w:p>
  </w:footnote>
  <w:footnote w:id="23">
    <w:p w14:paraId="25755BC0" w14:textId="6BC820E1"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w:t>
      </w:r>
      <w:r w:rsidR="00FE2A82" w:rsidRPr="00105EA5">
        <w:rPr>
          <w:kern w:val="18"/>
          <w:szCs w:val="18"/>
        </w:rPr>
        <w:t>Ultimately</w:t>
      </w:r>
      <w:r w:rsidR="00FE2A82">
        <w:rPr>
          <w:kern w:val="18"/>
          <w:szCs w:val="18"/>
        </w:rPr>
        <w:t>,</w:t>
      </w:r>
      <w:r w:rsidR="00FE2A82" w:rsidRPr="00105EA5">
        <w:rPr>
          <w:kern w:val="18"/>
          <w:szCs w:val="18"/>
        </w:rPr>
        <w:t xml:space="preserve"> 68 Parties accessed funding</w:t>
      </w:r>
      <w:r w:rsidR="00FE2A82" w:rsidRPr="00392649">
        <w:rPr>
          <w:kern w:val="18"/>
          <w:szCs w:val="18"/>
        </w:rPr>
        <w:t xml:space="preserve"> </w:t>
      </w:r>
      <w:r w:rsidR="00FE2A82">
        <w:rPr>
          <w:kern w:val="18"/>
          <w:szCs w:val="18"/>
        </w:rPr>
        <w:t xml:space="preserve">(see </w:t>
      </w:r>
      <w:r w:rsidRPr="008159AD">
        <w:rPr>
          <w:kern w:val="18"/>
          <w:szCs w:val="18"/>
        </w:rPr>
        <w:t>UNEP/CBD/BS/CC/13/6, para. 10(c)</w:t>
      </w:r>
      <w:r w:rsidR="00FE2A82">
        <w:rPr>
          <w:kern w:val="18"/>
          <w:szCs w:val="18"/>
        </w:rPr>
        <w:t>)</w:t>
      </w:r>
      <w:r w:rsidRPr="008159AD">
        <w:rPr>
          <w:kern w:val="18"/>
          <w:szCs w:val="18"/>
        </w:rPr>
        <w:t>.</w:t>
      </w:r>
    </w:p>
  </w:footnote>
  <w:footnote w:id="24">
    <w:p w14:paraId="14B1DEAE" w14:textId="77A25863"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As provided in decision BS-1/7, </w:t>
      </w:r>
      <w:r w:rsidR="009D7D09" w:rsidRPr="008159AD">
        <w:rPr>
          <w:kern w:val="18"/>
          <w:szCs w:val="18"/>
        </w:rPr>
        <w:t>a</w:t>
      </w:r>
      <w:r w:rsidRPr="008159AD">
        <w:rPr>
          <w:kern w:val="18"/>
          <w:szCs w:val="18"/>
        </w:rPr>
        <w:t>nnex.</w:t>
      </w:r>
    </w:p>
  </w:footnote>
  <w:footnote w:id="25">
    <w:p w14:paraId="313CF268" w14:textId="06B0E164"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w:t>
      </w:r>
      <w:r w:rsidR="008566C2">
        <w:rPr>
          <w:kern w:val="18"/>
          <w:szCs w:val="18"/>
        </w:rPr>
        <w:t xml:space="preserve">See </w:t>
      </w:r>
      <w:r w:rsidRPr="008159AD">
        <w:rPr>
          <w:kern w:val="18"/>
          <w:szCs w:val="18"/>
        </w:rPr>
        <w:t>UNEP/CBD/BS/CC/12/5, para. 18</w:t>
      </w:r>
      <w:r w:rsidR="000F654D">
        <w:rPr>
          <w:kern w:val="18"/>
          <w:szCs w:val="18"/>
        </w:rPr>
        <w:t>, and</w:t>
      </w:r>
      <w:r w:rsidRPr="008159AD">
        <w:rPr>
          <w:kern w:val="18"/>
          <w:szCs w:val="18"/>
        </w:rPr>
        <w:t xml:space="preserve"> UNEP/CBD/BS/CC/13/6, para.10(e)</w:t>
      </w:r>
      <w:r w:rsidR="000F654D">
        <w:rPr>
          <w:kern w:val="18"/>
          <w:szCs w:val="18"/>
        </w:rPr>
        <w:t>.</w:t>
      </w:r>
    </w:p>
  </w:footnote>
  <w:footnote w:id="26">
    <w:p w14:paraId="4775D168" w14:textId="54CBE991"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See “Activities undertaken by the Compliance Committee with </w:t>
      </w:r>
      <w:r w:rsidR="00E159BD">
        <w:rPr>
          <w:kern w:val="18"/>
          <w:szCs w:val="18"/>
        </w:rPr>
        <w:t>r</w:t>
      </w:r>
      <w:r w:rsidRPr="008159AD">
        <w:rPr>
          <w:kern w:val="18"/>
          <w:szCs w:val="18"/>
        </w:rPr>
        <w:t xml:space="preserve">egard to the </w:t>
      </w:r>
      <w:r w:rsidR="00E159BD">
        <w:rPr>
          <w:kern w:val="18"/>
          <w:szCs w:val="18"/>
        </w:rPr>
        <w:t>o</w:t>
      </w:r>
      <w:r w:rsidRPr="008159AD">
        <w:rPr>
          <w:kern w:val="18"/>
          <w:szCs w:val="18"/>
        </w:rPr>
        <w:t xml:space="preserve">bligation to </w:t>
      </w:r>
      <w:r w:rsidR="00E159BD">
        <w:rPr>
          <w:kern w:val="18"/>
          <w:szCs w:val="18"/>
        </w:rPr>
        <w:t>s</w:t>
      </w:r>
      <w:r w:rsidRPr="008159AD">
        <w:rPr>
          <w:kern w:val="18"/>
          <w:szCs w:val="18"/>
        </w:rPr>
        <w:t xml:space="preserve">ubmit </w:t>
      </w:r>
      <w:r w:rsidR="00E159BD">
        <w:rPr>
          <w:kern w:val="18"/>
          <w:szCs w:val="18"/>
        </w:rPr>
        <w:t>n</w:t>
      </w:r>
      <w:r w:rsidRPr="008159AD">
        <w:rPr>
          <w:kern w:val="18"/>
          <w:szCs w:val="18"/>
        </w:rPr>
        <w:t xml:space="preserve">ational </w:t>
      </w:r>
      <w:r w:rsidR="00E159BD">
        <w:rPr>
          <w:kern w:val="18"/>
          <w:szCs w:val="18"/>
        </w:rPr>
        <w:t>r</w:t>
      </w:r>
      <w:r w:rsidRPr="008159AD">
        <w:rPr>
          <w:kern w:val="18"/>
          <w:szCs w:val="18"/>
        </w:rPr>
        <w:t xml:space="preserve">eports </w:t>
      </w:r>
      <w:r w:rsidR="00E159BD">
        <w:rPr>
          <w:kern w:val="18"/>
          <w:szCs w:val="18"/>
        </w:rPr>
        <w:t>l</w:t>
      </w:r>
      <w:r w:rsidRPr="008159AD">
        <w:rPr>
          <w:kern w:val="18"/>
          <w:szCs w:val="18"/>
        </w:rPr>
        <w:t xml:space="preserve">eading up to the </w:t>
      </w:r>
      <w:r w:rsidR="00E159BD">
        <w:rPr>
          <w:kern w:val="18"/>
          <w:szCs w:val="18"/>
        </w:rPr>
        <w:t>r</w:t>
      </w:r>
      <w:r w:rsidRPr="008159AD">
        <w:rPr>
          <w:kern w:val="18"/>
          <w:szCs w:val="18"/>
        </w:rPr>
        <w:t xml:space="preserve">ecommendation to </w:t>
      </w:r>
      <w:r w:rsidR="00E159BD">
        <w:rPr>
          <w:kern w:val="18"/>
          <w:szCs w:val="18"/>
        </w:rPr>
        <w:t>c</w:t>
      </w:r>
      <w:r w:rsidRPr="008159AD">
        <w:rPr>
          <w:kern w:val="18"/>
          <w:szCs w:val="18"/>
        </w:rPr>
        <w:t xml:space="preserve">aution </w:t>
      </w:r>
      <w:r w:rsidR="00E159BD">
        <w:rPr>
          <w:kern w:val="18"/>
          <w:szCs w:val="18"/>
        </w:rPr>
        <w:t>i</w:t>
      </w:r>
      <w:r w:rsidRPr="008159AD">
        <w:rPr>
          <w:kern w:val="18"/>
          <w:szCs w:val="18"/>
        </w:rPr>
        <w:t>ndividual Parties” (CBD/CP/MOP/9/INF/2) for an overview of the steps taken by the Committee concerning second and third national reports.</w:t>
      </w:r>
    </w:p>
  </w:footnote>
  <w:footnote w:id="27">
    <w:p w14:paraId="2465BF7B" w14:textId="10EF35CC"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Decision 14/27, as accepted by the </w:t>
      </w:r>
      <w:r w:rsidR="00846C85" w:rsidRPr="008159AD">
        <w:rPr>
          <w:kern w:val="18"/>
          <w:szCs w:val="18"/>
        </w:rPr>
        <w:t xml:space="preserve">Conference of the Parties serving as the meeting of the Parties to the Protocol </w:t>
      </w:r>
      <w:r w:rsidRPr="008159AD">
        <w:rPr>
          <w:kern w:val="18"/>
          <w:szCs w:val="18"/>
        </w:rPr>
        <w:t>in decision CP</w:t>
      </w:r>
      <w:r w:rsidR="00846C85" w:rsidRPr="008159AD">
        <w:rPr>
          <w:kern w:val="18"/>
          <w:szCs w:val="18"/>
        </w:rPr>
        <w:noBreakHyphen/>
      </w:r>
      <w:r w:rsidRPr="008159AD">
        <w:rPr>
          <w:kern w:val="18"/>
          <w:szCs w:val="18"/>
        </w:rPr>
        <w:t>9/5, para. 9.</w:t>
      </w:r>
    </w:p>
  </w:footnote>
  <w:footnote w:id="28">
    <w:p w14:paraId="5ABFB5BC" w14:textId="2614523F"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Angola, Azerbaijan, Belize, Cabo Verde, Libya, Montenegro, Nauru, Papua New Guinea, Qatar, Saudi Arabia, Seychelles, State of Palestine</w:t>
      </w:r>
      <w:r w:rsidR="00520C65">
        <w:rPr>
          <w:kern w:val="18"/>
          <w:szCs w:val="18"/>
        </w:rPr>
        <w:t xml:space="preserve"> and</w:t>
      </w:r>
      <w:r w:rsidRPr="008159AD">
        <w:rPr>
          <w:kern w:val="18"/>
          <w:szCs w:val="18"/>
        </w:rPr>
        <w:t xml:space="preserve"> Syrian Arab Republic. Montenegro, which has not submitted its fourth, third </w:t>
      </w:r>
      <w:r w:rsidR="00221CF1">
        <w:rPr>
          <w:kern w:val="18"/>
          <w:szCs w:val="18"/>
        </w:rPr>
        <w:t>or</w:t>
      </w:r>
      <w:r w:rsidRPr="008159AD">
        <w:rPr>
          <w:kern w:val="18"/>
          <w:szCs w:val="18"/>
        </w:rPr>
        <w:t xml:space="preserve"> second national reports, is being considered as an individual case of non-compliance </w:t>
      </w:r>
      <w:r w:rsidR="00221CF1">
        <w:rPr>
          <w:kern w:val="18"/>
          <w:szCs w:val="18"/>
        </w:rPr>
        <w:t>(</w:t>
      </w:r>
      <w:r w:rsidRPr="008159AD">
        <w:rPr>
          <w:kern w:val="18"/>
          <w:szCs w:val="18"/>
        </w:rPr>
        <w:t>see CBD/CP/CC/17/5</w:t>
      </w:r>
      <w:r w:rsidR="00221CF1">
        <w:rPr>
          <w:kern w:val="18"/>
          <w:szCs w:val="18"/>
        </w:rPr>
        <w:t>)</w:t>
      </w:r>
      <w:r w:rsidRPr="008159AD">
        <w:rPr>
          <w:kern w:val="18"/>
          <w:szCs w:val="18"/>
        </w:rPr>
        <w:t>.</w:t>
      </w:r>
    </w:p>
  </w:footnote>
  <w:footnote w:id="29">
    <w:p w14:paraId="24B00E92" w14:textId="74A403F0" w:rsidR="0059436B" w:rsidRPr="008159AD" w:rsidRDefault="0059436B"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Number to be updated to reflect number of reports received by </w:t>
      </w:r>
      <w:r w:rsidR="00F55AF4" w:rsidRPr="008159AD">
        <w:rPr>
          <w:kern w:val="18"/>
          <w:szCs w:val="18"/>
        </w:rPr>
        <w:t>the Conference of the Parties serving as the meeting of the Parties to the Cartagena Protocol at its tenth meeting</w:t>
      </w:r>
      <w:r w:rsidRPr="008159AD">
        <w:rPr>
          <w:kern w:val="18"/>
          <w:szCs w:val="18"/>
        </w:rPr>
        <w:t>.</w:t>
      </w:r>
    </w:p>
  </w:footnote>
  <w:footnote w:id="30">
    <w:p w14:paraId="59DDD2A9" w14:textId="1E85EC7A" w:rsidR="00055F42" w:rsidRPr="008159AD" w:rsidRDefault="00055F42"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w:t>
      </w:r>
      <w:r w:rsidR="00FF6E61" w:rsidRPr="008159AD">
        <w:rPr>
          <w:kern w:val="18"/>
          <w:szCs w:val="18"/>
        </w:rPr>
        <w:t>Afghanistan, Albania, Algeria, Angola, Armenia, Azerbaijan, Bahamas, Bahrain, Barbados, Belize, Bolivia, Cabo Verde, Colombia, Comoros, Cyprus, Democratic People's Republic of Korea, Djibouti, Dominica, Eritrea, Eswatini, Fiji, Gambia, Guatemala, Guinea, Guyana, Honduras, Jordan, Kiribati, Kuwait, Kyrgyzstan, Lebanon, Libya, Luxembourg, Maldives, Marshall Islands, Mauritania, Mauritius, Mongolia, Montenegro, Nauru, Niue, North Macedonia, Oman, Pakistan, Palau, Papua New Guinea, Qatar, Saint Vincent and the Grenadines, Saint Lucia, Samoa, Saudi Arabia, Serbia, Seychelles, Solomon Islands, Somalia, Sri Lanka, State of Palestine, Switzerland, Syrian Arab Republic, Tajikistan, Togo, Trinidad and Tobago, Tunisia, Turkmenistan, United Republic of Tanzania, Uruguay, Yemen, Zambia</w:t>
      </w:r>
      <w:r w:rsidR="004B3771" w:rsidRPr="008159AD">
        <w:rPr>
          <w:kern w:val="18"/>
          <w:szCs w:val="18"/>
        </w:rPr>
        <w:t xml:space="preserve"> and</w:t>
      </w:r>
      <w:r w:rsidR="00FF6E61" w:rsidRPr="008159AD">
        <w:rPr>
          <w:kern w:val="18"/>
          <w:szCs w:val="18"/>
        </w:rPr>
        <w:t xml:space="preserve"> Zimbabwe</w:t>
      </w:r>
      <w:r w:rsidR="004B3771" w:rsidRPr="008159AD">
        <w:rPr>
          <w:kern w:val="18"/>
          <w:szCs w:val="18"/>
        </w:rPr>
        <w:t>.</w:t>
      </w:r>
    </w:p>
  </w:footnote>
  <w:footnote w:id="31">
    <w:p w14:paraId="6724B4EA" w14:textId="34179A66" w:rsidR="005A236F" w:rsidRPr="008159AD" w:rsidRDefault="005A236F"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w:t>
      </w:r>
      <w:r w:rsidR="00FC3B13" w:rsidRPr="008159AD">
        <w:rPr>
          <w:kern w:val="18"/>
          <w:szCs w:val="18"/>
        </w:rPr>
        <w:t>Angola, Azerbaijan, Belize, Cabo Verde, Libya, Montenegro, Nauru, Papua New Guinea, Qatar, Saudi Arabia, Seychelles, State of Palestine</w:t>
      </w:r>
      <w:r w:rsidR="00A16C5D" w:rsidRPr="008159AD">
        <w:rPr>
          <w:kern w:val="18"/>
          <w:szCs w:val="18"/>
        </w:rPr>
        <w:t xml:space="preserve"> and</w:t>
      </w:r>
      <w:r w:rsidR="00FC3B13" w:rsidRPr="008159AD">
        <w:rPr>
          <w:kern w:val="18"/>
          <w:szCs w:val="18"/>
        </w:rPr>
        <w:t xml:space="preserve"> Syrian Arab Republic.</w:t>
      </w:r>
    </w:p>
  </w:footnote>
  <w:footnote w:id="32">
    <w:p w14:paraId="2D7466C5" w14:textId="6A966B72" w:rsidR="005A236F" w:rsidRPr="008159AD" w:rsidRDefault="005A236F" w:rsidP="008159AD">
      <w:pPr>
        <w:pStyle w:val="FootnoteText"/>
        <w:suppressLineNumbers/>
        <w:suppressAutoHyphens/>
        <w:ind w:firstLine="0"/>
        <w:jc w:val="left"/>
        <w:rPr>
          <w:kern w:val="18"/>
          <w:szCs w:val="18"/>
        </w:rPr>
      </w:pPr>
      <w:r w:rsidRPr="008159AD">
        <w:rPr>
          <w:rStyle w:val="FootnoteReference"/>
          <w:rFonts w:eastAsiaTheme="majorEastAsia"/>
          <w:snapToGrid w:val="0"/>
          <w:kern w:val="18"/>
          <w:szCs w:val="18"/>
          <w:u w:val="none"/>
          <w:vertAlign w:val="superscript"/>
        </w:rPr>
        <w:footnoteRef/>
      </w:r>
      <w:r w:rsidRPr="008159AD">
        <w:rPr>
          <w:kern w:val="18"/>
          <w:szCs w:val="18"/>
        </w:rPr>
        <w:t xml:space="preserve"> </w:t>
      </w:r>
      <w:r w:rsidR="00FC3B13" w:rsidRPr="008159AD">
        <w:rPr>
          <w:kern w:val="18"/>
          <w:szCs w:val="18"/>
        </w:rPr>
        <w:t>Montenegro.</w:t>
      </w:r>
      <w:r w:rsidR="00F97DA1" w:rsidRPr="008159AD">
        <w:rPr>
          <w:kern w:val="18"/>
          <w:szCs w:val="18"/>
        </w:rPr>
        <w:t xml:space="preserve"> Montenegro, which has not submitted its fourth, third and second national reports, is being considered as an individual case of non-compliance, see document CBD/CP/CC/17/5.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F42BEB" w14:textId="5D76F3BE" w:rsidR="0059436B" w:rsidRDefault="0059436B" w:rsidP="00534681">
        <w:pPr>
          <w:pStyle w:val="Header"/>
        </w:pPr>
        <w:r>
          <w:t>CBD/CP/CC/17/2</w:t>
        </w:r>
      </w:p>
    </w:sdtContent>
  </w:sdt>
  <w:p w14:paraId="5C45B1C8" w14:textId="77777777" w:rsidR="0059436B" w:rsidRDefault="0059436B" w:rsidP="00534681">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p w14:paraId="78C23692" w14:textId="77777777" w:rsidR="0059436B" w:rsidRDefault="00594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EF87111" w14:textId="1BAA0AA6" w:rsidR="0059436B" w:rsidRDefault="0059436B" w:rsidP="009505C9">
        <w:pPr>
          <w:pStyle w:val="Header"/>
          <w:jc w:val="right"/>
        </w:pPr>
        <w:r>
          <w:t>CBD/CP/CC/17/2</w:t>
        </w:r>
      </w:p>
    </w:sdtContent>
  </w:sdt>
  <w:p w14:paraId="3C164F46" w14:textId="77777777" w:rsidR="0059436B" w:rsidRDefault="0059436B" w:rsidP="009505C9">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3EEC0FD0" w14:textId="77777777" w:rsidR="0059436B" w:rsidRDefault="00594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pStyle w:val="Heading2GTI"/>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B265439"/>
    <w:multiLevelType w:val="hybridMultilevel"/>
    <w:tmpl w:val="7BA01628"/>
    <w:lvl w:ilvl="0" w:tplc="4718F17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C3C2E"/>
    <w:multiLevelType w:val="hybridMultilevel"/>
    <w:tmpl w:val="D012BFC2"/>
    <w:lvl w:ilvl="0" w:tplc="4718F17E">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E76FB"/>
    <w:multiLevelType w:val="hybridMultilevel"/>
    <w:tmpl w:val="74463E86"/>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D5C5777"/>
    <w:multiLevelType w:val="hybridMultilevel"/>
    <w:tmpl w:val="6D306720"/>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23244"/>
    <w:multiLevelType w:val="multilevel"/>
    <w:tmpl w:val="BE043302"/>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76211A79"/>
    <w:multiLevelType w:val="hybridMultilevel"/>
    <w:tmpl w:val="D69CC5AC"/>
    <w:lvl w:ilvl="0" w:tplc="32EAC93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77822"/>
    <w:multiLevelType w:val="hybridMultilevel"/>
    <w:tmpl w:val="DA1E2EAC"/>
    <w:lvl w:ilvl="0" w:tplc="C2E8BE68">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AA2FA2"/>
    <w:multiLevelType w:val="hybridMultilevel"/>
    <w:tmpl w:val="E1EA4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E1E2D"/>
    <w:multiLevelType w:val="hybridMultilevel"/>
    <w:tmpl w:val="DD5252A6"/>
    <w:lvl w:ilvl="0" w:tplc="C8D053CA">
      <w:start w:val="2"/>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num w:numId="1">
    <w:abstractNumId w:val="6"/>
  </w:num>
  <w:num w:numId="2">
    <w:abstractNumId w:val="12"/>
  </w:num>
  <w:num w:numId="3">
    <w:abstractNumId w:val="10"/>
  </w:num>
  <w:num w:numId="4">
    <w:abstractNumId w:val="12"/>
  </w:num>
  <w:num w:numId="5">
    <w:abstractNumId w:val="11"/>
  </w:num>
  <w:num w:numId="6">
    <w:abstractNumId w:val="1"/>
  </w:num>
  <w:num w:numId="7">
    <w:abstractNumId w:val="2"/>
  </w:num>
  <w:num w:numId="8">
    <w:abstractNumId w:val="10"/>
    <w:lvlOverride w:ilvl="0">
      <w:startOverride w:val="1"/>
    </w:lvlOverride>
  </w:num>
  <w:num w:numId="9">
    <w:abstractNumId w:val="14"/>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3"/>
  </w:num>
  <w:num w:numId="15">
    <w:abstractNumId w:val="5"/>
  </w:num>
  <w:num w:numId="16">
    <w:abstractNumId w:val="4"/>
  </w:num>
  <w:num w:numId="17">
    <w:abstractNumId w:val="15"/>
  </w:num>
  <w:num w:numId="18">
    <w:abstractNumId w:val="3"/>
  </w:num>
  <w:num w:numId="19">
    <w:abstractNumId w:val="0"/>
  </w:num>
  <w:num w:numId="20">
    <w:abstractNumId w:val="9"/>
  </w:num>
  <w:num w:numId="21">
    <w:abstractNumId w:val="18"/>
  </w:num>
  <w:num w:numId="22">
    <w:abstractNumId w:val="8"/>
  </w:num>
  <w:num w:numId="23">
    <w:abstractNumId w:val="19"/>
  </w:num>
  <w:num w:numId="24">
    <w:abstractNumId w:val="16"/>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12116"/>
    <w:rsid w:val="00013B91"/>
    <w:rsid w:val="000146A1"/>
    <w:rsid w:val="0001609F"/>
    <w:rsid w:val="00016ACF"/>
    <w:rsid w:val="000176F2"/>
    <w:rsid w:val="0001785C"/>
    <w:rsid w:val="00020DA6"/>
    <w:rsid w:val="00022E2F"/>
    <w:rsid w:val="00030666"/>
    <w:rsid w:val="00031C30"/>
    <w:rsid w:val="000372C3"/>
    <w:rsid w:val="00043616"/>
    <w:rsid w:val="00044633"/>
    <w:rsid w:val="00047072"/>
    <w:rsid w:val="000479D1"/>
    <w:rsid w:val="000555F3"/>
    <w:rsid w:val="00055F42"/>
    <w:rsid w:val="00057B8F"/>
    <w:rsid w:val="00062A01"/>
    <w:rsid w:val="0006303F"/>
    <w:rsid w:val="0006401B"/>
    <w:rsid w:val="000709D5"/>
    <w:rsid w:val="00071321"/>
    <w:rsid w:val="000762B1"/>
    <w:rsid w:val="00082F0C"/>
    <w:rsid w:val="00084E24"/>
    <w:rsid w:val="00085C4E"/>
    <w:rsid w:val="0008662B"/>
    <w:rsid w:val="00093657"/>
    <w:rsid w:val="00094101"/>
    <w:rsid w:val="00094823"/>
    <w:rsid w:val="00097F97"/>
    <w:rsid w:val="000A0AC1"/>
    <w:rsid w:val="000A2B89"/>
    <w:rsid w:val="000A5869"/>
    <w:rsid w:val="000B4992"/>
    <w:rsid w:val="000B57BD"/>
    <w:rsid w:val="000C2364"/>
    <w:rsid w:val="000C2B95"/>
    <w:rsid w:val="000C3CB0"/>
    <w:rsid w:val="000C469A"/>
    <w:rsid w:val="000C5FFC"/>
    <w:rsid w:val="000C79ED"/>
    <w:rsid w:val="000C7E45"/>
    <w:rsid w:val="000D00F1"/>
    <w:rsid w:val="000D09CE"/>
    <w:rsid w:val="000D0B1F"/>
    <w:rsid w:val="000D169E"/>
    <w:rsid w:val="000D3B5E"/>
    <w:rsid w:val="000D4176"/>
    <w:rsid w:val="000D48B3"/>
    <w:rsid w:val="000D586D"/>
    <w:rsid w:val="000E19EC"/>
    <w:rsid w:val="000E372F"/>
    <w:rsid w:val="000E673A"/>
    <w:rsid w:val="000E6B07"/>
    <w:rsid w:val="000E77EF"/>
    <w:rsid w:val="000F0A63"/>
    <w:rsid w:val="000F142E"/>
    <w:rsid w:val="000F5A8C"/>
    <w:rsid w:val="000F5FD8"/>
    <w:rsid w:val="000F654D"/>
    <w:rsid w:val="000F6E5D"/>
    <w:rsid w:val="000F6EEF"/>
    <w:rsid w:val="000F74F5"/>
    <w:rsid w:val="00103694"/>
    <w:rsid w:val="00104EA8"/>
    <w:rsid w:val="00105372"/>
    <w:rsid w:val="00110BFF"/>
    <w:rsid w:val="001113DA"/>
    <w:rsid w:val="001138A1"/>
    <w:rsid w:val="00116E0E"/>
    <w:rsid w:val="00117754"/>
    <w:rsid w:val="00117DA5"/>
    <w:rsid w:val="001200E7"/>
    <w:rsid w:val="00121DB4"/>
    <w:rsid w:val="00123413"/>
    <w:rsid w:val="001242D7"/>
    <w:rsid w:val="001276E1"/>
    <w:rsid w:val="00127804"/>
    <w:rsid w:val="00131E7A"/>
    <w:rsid w:val="00132FA8"/>
    <w:rsid w:val="00133ABE"/>
    <w:rsid w:val="00140DCA"/>
    <w:rsid w:val="00140E57"/>
    <w:rsid w:val="00141750"/>
    <w:rsid w:val="001460BF"/>
    <w:rsid w:val="00147254"/>
    <w:rsid w:val="001476FC"/>
    <w:rsid w:val="001538A5"/>
    <w:rsid w:val="0015613F"/>
    <w:rsid w:val="00161493"/>
    <w:rsid w:val="00164058"/>
    <w:rsid w:val="00166E00"/>
    <w:rsid w:val="001671A1"/>
    <w:rsid w:val="00170F9C"/>
    <w:rsid w:val="00172AF6"/>
    <w:rsid w:val="0017351A"/>
    <w:rsid w:val="00174FE1"/>
    <w:rsid w:val="00176CEE"/>
    <w:rsid w:val="0018033C"/>
    <w:rsid w:val="00181E0C"/>
    <w:rsid w:val="00184B37"/>
    <w:rsid w:val="00191AC9"/>
    <w:rsid w:val="00193A89"/>
    <w:rsid w:val="001A140F"/>
    <w:rsid w:val="001A1BD9"/>
    <w:rsid w:val="001A1F82"/>
    <w:rsid w:val="001A285F"/>
    <w:rsid w:val="001A76D6"/>
    <w:rsid w:val="001A781F"/>
    <w:rsid w:val="001A7A5C"/>
    <w:rsid w:val="001B0CD6"/>
    <w:rsid w:val="001B27B7"/>
    <w:rsid w:val="001B3675"/>
    <w:rsid w:val="001B48F8"/>
    <w:rsid w:val="001B62FE"/>
    <w:rsid w:val="001B644B"/>
    <w:rsid w:val="001B70BA"/>
    <w:rsid w:val="001C0009"/>
    <w:rsid w:val="001C083C"/>
    <w:rsid w:val="001C14D3"/>
    <w:rsid w:val="001C2181"/>
    <w:rsid w:val="001C3452"/>
    <w:rsid w:val="001C4B88"/>
    <w:rsid w:val="001D155E"/>
    <w:rsid w:val="001D5832"/>
    <w:rsid w:val="001D5D49"/>
    <w:rsid w:val="001D6C85"/>
    <w:rsid w:val="001D7F7A"/>
    <w:rsid w:val="001E2659"/>
    <w:rsid w:val="001E3410"/>
    <w:rsid w:val="001F642F"/>
    <w:rsid w:val="001F79B4"/>
    <w:rsid w:val="0020428D"/>
    <w:rsid w:val="00204D10"/>
    <w:rsid w:val="00206A04"/>
    <w:rsid w:val="002156AB"/>
    <w:rsid w:val="00220BB3"/>
    <w:rsid w:val="00221CF1"/>
    <w:rsid w:val="00221F53"/>
    <w:rsid w:val="002243CF"/>
    <w:rsid w:val="0022441F"/>
    <w:rsid w:val="00227285"/>
    <w:rsid w:val="00232472"/>
    <w:rsid w:val="00232CB1"/>
    <w:rsid w:val="00236283"/>
    <w:rsid w:val="00236783"/>
    <w:rsid w:val="0024214E"/>
    <w:rsid w:val="00244362"/>
    <w:rsid w:val="00246C13"/>
    <w:rsid w:val="0024769E"/>
    <w:rsid w:val="002539AC"/>
    <w:rsid w:val="00254983"/>
    <w:rsid w:val="00256C0A"/>
    <w:rsid w:val="00261213"/>
    <w:rsid w:val="002616C3"/>
    <w:rsid w:val="002638B8"/>
    <w:rsid w:val="00267476"/>
    <w:rsid w:val="00272BAD"/>
    <w:rsid w:val="00274BB5"/>
    <w:rsid w:val="002767C9"/>
    <w:rsid w:val="00276B2D"/>
    <w:rsid w:val="00276F0D"/>
    <w:rsid w:val="002775EE"/>
    <w:rsid w:val="00281AD8"/>
    <w:rsid w:val="00281EEA"/>
    <w:rsid w:val="00287EBE"/>
    <w:rsid w:val="002913F0"/>
    <w:rsid w:val="00293B33"/>
    <w:rsid w:val="00293F9F"/>
    <w:rsid w:val="002A0127"/>
    <w:rsid w:val="002A111B"/>
    <w:rsid w:val="002A2DA3"/>
    <w:rsid w:val="002A3B3F"/>
    <w:rsid w:val="002B2BF2"/>
    <w:rsid w:val="002B56D0"/>
    <w:rsid w:val="002B7F85"/>
    <w:rsid w:val="002C1E2C"/>
    <w:rsid w:val="002C2D64"/>
    <w:rsid w:val="002C3E41"/>
    <w:rsid w:val="002C3E4E"/>
    <w:rsid w:val="002C52D1"/>
    <w:rsid w:val="002C70DB"/>
    <w:rsid w:val="002C7A26"/>
    <w:rsid w:val="002D0A27"/>
    <w:rsid w:val="002D1B17"/>
    <w:rsid w:val="002D4B79"/>
    <w:rsid w:val="002D51DA"/>
    <w:rsid w:val="002D5777"/>
    <w:rsid w:val="002E1F42"/>
    <w:rsid w:val="002E3113"/>
    <w:rsid w:val="002E3A26"/>
    <w:rsid w:val="002E61A6"/>
    <w:rsid w:val="002E6E90"/>
    <w:rsid w:val="002F0C85"/>
    <w:rsid w:val="002F2019"/>
    <w:rsid w:val="002F6341"/>
    <w:rsid w:val="002F6C2A"/>
    <w:rsid w:val="003000E7"/>
    <w:rsid w:val="003037AA"/>
    <w:rsid w:val="0031212E"/>
    <w:rsid w:val="0031285D"/>
    <w:rsid w:val="00313FC5"/>
    <w:rsid w:val="00316430"/>
    <w:rsid w:val="003208C9"/>
    <w:rsid w:val="00324D73"/>
    <w:rsid w:val="00325254"/>
    <w:rsid w:val="0032535F"/>
    <w:rsid w:val="00326DAB"/>
    <w:rsid w:val="00331864"/>
    <w:rsid w:val="00335091"/>
    <w:rsid w:val="00335ADA"/>
    <w:rsid w:val="00335DEC"/>
    <w:rsid w:val="00341292"/>
    <w:rsid w:val="00343111"/>
    <w:rsid w:val="003502BB"/>
    <w:rsid w:val="00360CC1"/>
    <w:rsid w:val="0036130D"/>
    <w:rsid w:val="00364041"/>
    <w:rsid w:val="00366AC6"/>
    <w:rsid w:val="00366BD9"/>
    <w:rsid w:val="00367FEE"/>
    <w:rsid w:val="003700EB"/>
    <w:rsid w:val="00370E42"/>
    <w:rsid w:val="0037107D"/>
    <w:rsid w:val="003712EB"/>
    <w:rsid w:val="00372F74"/>
    <w:rsid w:val="003735C0"/>
    <w:rsid w:val="00380840"/>
    <w:rsid w:val="003815E9"/>
    <w:rsid w:val="0038221D"/>
    <w:rsid w:val="0038226A"/>
    <w:rsid w:val="003836D9"/>
    <w:rsid w:val="00383726"/>
    <w:rsid w:val="00384B8E"/>
    <w:rsid w:val="0038583D"/>
    <w:rsid w:val="00385A5F"/>
    <w:rsid w:val="003868CC"/>
    <w:rsid w:val="00387B31"/>
    <w:rsid w:val="00392649"/>
    <w:rsid w:val="00395A00"/>
    <w:rsid w:val="003A1EC2"/>
    <w:rsid w:val="003A20B6"/>
    <w:rsid w:val="003A269A"/>
    <w:rsid w:val="003A3E4D"/>
    <w:rsid w:val="003A52DA"/>
    <w:rsid w:val="003B0089"/>
    <w:rsid w:val="003B00C8"/>
    <w:rsid w:val="003B71B5"/>
    <w:rsid w:val="003D216D"/>
    <w:rsid w:val="003D5959"/>
    <w:rsid w:val="003D6478"/>
    <w:rsid w:val="003D64B3"/>
    <w:rsid w:val="003D71E2"/>
    <w:rsid w:val="003E0EB3"/>
    <w:rsid w:val="003E25C4"/>
    <w:rsid w:val="003E2934"/>
    <w:rsid w:val="003E6317"/>
    <w:rsid w:val="003F278D"/>
    <w:rsid w:val="003F344A"/>
    <w:rsid w:val="003F3767"/>
    <w:rsid w:val="003F542D"/>
    <w:rsid w:val="003F6D59"/>
    <w:rsid w:val="003F7CA6"/>
    <w:rsid w:val="00400D84"/>
    <w:rsid w:val="004017EE"/>
    <w:rsid w:val="00402340"/>
    <w:rsid w:val="00404039"/>
    <w:rsid w:val="00405000"/>
    <w:rsid w:val="004057E3"/>
    <w:rsid w:val="00405963"/>
    <w:rsid w:val="00406CCD"/>
    <w:rsid w:val="0040708D"/>
    <w:rsid w:val="00410341"/>
    <w:rsid w:val="004119DD"/>
    <w:rsid w:val="00412A8F"/>
    <w:rsid w:val="00412ADF"/>
    <w:rsid w:val="00414813"/>
    <w:rsid w:val="00415390"/>
    <w:rsid w:val="004154D1"/>
    <w:rsid w:val="00420564"/>
    <w:rsid w:val="00422B55"/>
    <w:rsid w:val="00425315"/>
    <w:rsid w:val="00425EC8"/>
    <w:rsid w:val="00425F47"/>
    <w:rsid w:val="00427C0F"/>
    <w:rsid w:val="0043065B"/>
    <w:rsid w:val="00431550"/>
    <w:rsid w:val="00431BEF"/>
    <w:rsid w:val="00432CD7"/>
    <w:rsid w:val="00436037"/>
    <w:rsid w:val="0044354A"/>
    <w:rsid w:val="00447CE1"/>
    <w:rsid w:val="00451884"/>
    <w:rsid w:val="00453037"/>
    <w:rsid w:val="004534D1"/>
    <w:rsid w:val="00454E47"/>
    <w:rsid w:val="00455193"/>
    <w:rsid w:val="00455B9E"/>
    <w:rsid w:val="004567CA"/>
    <w:rsid w:val="00457D48"/>
    <w:rsid w:val="00460F22"/>
    <w:rsid w:val="004620AB"/>
    <w:rsid w:val="004644C2"/>
    <w:rsid w:val="00465977"/>
    <w:rsid w:val="004671EA"/>
    <w:rsid w:val="0047055B"/>
    <w:rsid w:val="0047429D"/>
    <w:rsid w:val="004749EF"/>
    <w:rsid w:val="00477842"/>
    <w:rsid w:val="00482F2A"/>
    <w:rsid w:val="00483CAC"/>
    <w:rsid w:val="00484140"/>
    <w:rsid w:val="004933AC"/>
    <w:rsid w:val="00494490"/>
    <w:rsid w:val="00495DB0"/>
    <w:rsid w:val="00496CB9"/>
    <w:rsid w:val="00496EC8"/>
    <w:rsid w:val="00497F9D"/>
    <w:rsid w:val="004A38D9"/>
    <w:rsid w:val="004A575B"/>
    <w:rsid w:val="004B3771"/>
    <w:rsid w:val="004B5380"/>
    <w:rsid w:val="004B58DF"/>
    <w:rsid w:val="004B6529"/>
    <w:rsid w:val="004C3554"/>
    <w:rsid w:val="004C5886"/>
    <w:rsid w:val="004D69AE"/>
    <w:rsid w:val="004E371C"/>
    <w:rsid w:val="004E43E1"/>
    <w:rsid w:val="004E695C"/>
    <w:rsid w:val="004E6EE0"/>
    <w:rsid w:val="004E7729"/>
    <w:rsid w:val="004F13AE"/>
    <w:rsid w:val="004F202B"/>
    <w:rsid w:val="004F2243"/>
    <w:rsid w:val="004F37AC"/>
    <w:rsid w:val="00500A7B"/>
    <w:rsid w:val="00510EC8"/>
    <w:rsid w:val="00513DD4"/>
    <w:rsid w:val="00514410"/>
    <w:rsid w:val="00515154"/>
    <w:rsid w:val="00515AA2"/>
    <w:rsid w:val="005161B0"/>
    <w:rsid w:val="005166F7"/>
    <w:rsid w:val="00517961"/>
    <w:rsid w:val="00517D11"/>
    <w:rsid w:val="00520C65"/>
    <w:rsid w:val="00525824"/>
    <w:rsid w:val="00525DE1"/>
    <w:rsid w:val="005269C4"/>
    <w:rsid w:val="00526C35"/>
    <w:rsid w:val="005322BF"/>
    <w:rsid w:val="00534681"/>
    <w:rsid w:val="00541E3B"/>
    <w:rsid w:val="00543C55"/>
    <w:rsid w:val="005445EB"/>
    <w:rsid w:val="005447DC"/>
    <w:rsid w:val="00545715"/>
    <w:rsid w:val="00547921"/>
    <w:rsid w:val="005508C0"/>
    <w:rsid w:val="00552409"/>
    <w:rsid w:val="005539D9"/>
    <w:rsid w:val="00554AD7"/>
    <w:rsid w:val="00554F5D"/>
    <w:rsid w:val="00561458"/>
    <w:rsid w:val="00564C27"/>
    <w:rsid w:val="005656E8"/>
    <w:rsid w:val="00572155"/>
    <w:rsid w:val="005815C4"/>
    <w:rsid w:val="00581782"/>
    <w:rsid w:val="005824BD"/>
    <w:rsid w:val="00582DDC"/>
    <w:rsid w:val="00583C49"/>
    <w:rsid w:val="00590CDC"/>
    <w:rsid w:val="005925A8"/>
    <w:rsid w:val="0059436B"/>
    <w:rsid w:val="00594DB8"/>
    <w:rsid w:val="005A0549"/>
    <w:rsid w:val="005A0E24"/>
    <w:rsid w:val="005A236F"/>
    <w:rsid w:val="005B3525"/>
    <w:rsid w:val="005B3DCF"/>
    <w:rsid w:val="005B3E1E"/>
    <w:rsid w:val="005B5031"/>
    <w:rsid w:val="005B7A8C"/>
    <w:rsid w:val="005C4CB0"/>
    <w:rsid w:val="005C5611"/>
    <w:rsid w:val="005C5A68"/>
    <w:rsid w:val="005C5ABB"/>
    <w:rsid w:val="005C7895"/>
    <w:rsid w:val="005D19C5"/>
    <w:rsid w:val="005D1CCC"/>
    <w:rsid w:val="005D3FAD"/>
    <w:rsid w:val="005E0734"/>
    <w:rsid w:val="005E3778"/>
    <w:rsid w:val="005E4419"/>
    <w:rsid w:val="005E4910"/>
    <w:rsid w:val="005E4B5B"/>
    <w:rsid w:val="005E6723"/>
    <w:rsid w:val="005F51D5"/>
    <w:rsid w:val="005F752B"/>
    <w:rsid w:val="0060708D"/>
    <w:rsid w:val="00613934"/>
    <w:rsid w:val="0061466C"/>
    <w:rsid w:val="00620C4D"/>
    <w:rsid w:val="006233C9"/>
    <w:rsid w:val="00625485"/>
    <w:rsid w:val="00625E38"/>
    <w:rsid w:val="0063025E"/>
    <w:rsid w:val="00630840"/>
    <w:rsid w:val="00633D0E"/>
    <w:rsid w:val="0064081A"/>
    <w:rsid w:val="006431B3"/>
    <w:rsid w:val="00643C15"/>
    <w:rsid w:val="00645320"/>
    <w:rsid w:val="00650000"/>
    <w:rsid w:val="00653631"/>
    <w:rsid w:val="00653B1C"/>
    <w:rsid w:val="006542F1"/>
    <w:rsid w:val="006543D2"/>
    <w:rsid w:val="00660370"/>
    <w:rsid w:val="00660C07"/>
    <w:rsid w:val="00661C98"/>
    <w:rsid w:val="006633B4"/>
    <w:rsid w:val="00665A32"/>
    <w:rsid w:val="00666F4D"/>
    <w:rsid w:val="0066784D"/>
    <w:rsid w:val="00670B6B"/>
    <w:rsid w:val="0067284C"/>
    <w:rsid w:val="006732D4"/>
    <w:rsid w:val="00676CD9"/>
    <w:rsid w:val="0067761E"/>
    <w:rsid w:val="00680A46"/>
    <w:rsid w:val="00684445"/>
    <w:rsid w:val="0068445D"/>
    <w:rsid w:val="006923C7"/>
    <w:rsid w:val="0069342B"/>
    <w:rsid w:val="00694408"/>
    <w:rsid w:val="00694AD9"/>
    <w:rsid w:val="0069607B"/>
    <w:rsid w:val="006978D3"/>
    <w:rsid w:val="006A0B89"/>
    <w:rsid w:val="006A109A"/>
    <w:rsid w:val="006A49E7"/>
    <w:rsid w:val="006B13F1"/>
    <w:rsid w:val="006B221B"/>
    <w:rsid w:val="006B55AB"/>
    <w:rsid w:val="006C0712"/>
    <w:rsid w:val="006C1CEB"/>
    <w:rsid w:val="006C3104"/>
    <w:rsid w:val="006C43D4"/>
    <w:rsid w:val="006C5CFD"/>
    <w:rsid w:val="006D059A"/>
    <w:rsid w:val="006D4CDD"/>
    <w:rsid w:val="006D69C5"/>
    <w:rsid w:val="006E0286"/>
    <w:rsid w:val="006E23E3"/>
    <w:rsid w:val="006E3551"/>
    <w:rsid w:val="006E7185"/>
    <w:rsid w:val="006F3195"/>
    <w:rsid w:val="006F31D6"/>
    <w:rsid w:val="006F330B"/>
    <w:rsid w:val="006F4FAC"/>
    <w:rsid w:val="006F5546"/>
    <w:rsid w:val="006F5AD0"/>
    <w:rsid w:val="006F6BE2"/>
    <w:rsid w:val="00701A48"/>
    <w:rsid w:val="007035D8"/>
    <w:rsid w:val="007043F0"/>
    <w:rsid w:val="00704A99"/>
    <w:rsid w:val="00711F53"/>
    <w:rsid w:val="00712FDD"/>
    <w:rsid w:val="00715099"/>
    <w:rsid w:val="00715890"/>
    <w:rsid w:val="007164A5"/>
    <w:rsid w:val="00717D88"/>
    <w:rsid w:val="00720A87"/>
    <w:rsid w:val="00722F57"/>
    <w:rsid w:val="007237FF"/>
    <w:rsid w:val="00724D95"/>
    <w:rsid w:val="007261D5"/>
    <w:rsid w:val="00726C7D"/>
    <w:rsid w:val="00730212"/>
    <w:rsid w:val="00734DB9"/>
    <w:rsid w:val="00742218"/>
    <w:rsid w:val="007446CA"/>
    <w:rsid w:val="007452D0"/>
    <w:rsid w:val="00747176"/>
    <w:rsid w:val="007531B1"/>
    <w:rsid w:val="00753A5B"/>
    <w:rsid w:val="0075502D"/>
    <w:rsid w:val="00755960"/>
    <w:rsid w:val="00755C6B"/>
    <w:rsid w:val="00756643"/>
    <w:rsid w:val="00756EB9"/>
    <w:rsid w:val="00761194"/>
    <w:rsid w:val="00765AE1"/>
    <w:rsid w:val="0077089D"/>
    <w:rsid w:val="00771171"/>
    <w:rsid w:val="00771EE8"/>
    <w:rsid w:val="00772ABF"/>
    <w:rsid w:val="00783C22"/>
    <w:rsid w:val="00784FC6"/>
    <w:rsid w:val="007862B2"/>
    <w:rsid w:val="0079246C"/>
    <w:rsid w:val="007942D3"/>
    <w:rsid w:val="00796895"/>
    <w:rsid w:val="0079744A"/>
    <w:rsid w:val="007A21DE"/>
    <w:rsid w:val="007A78BA"/>
    <w:rsid w:val="007A7A6E"/>
    <w:rsid w:val="007A7ED4"/>
    <w:rsid w:val="007B114F"/>
    <w:rsid w:val="007B6C09"/>
    <w:rsid w:val="007B7F3C"/>
    <w:rsid w:val="007C0A41"/>
    <w:rsid w:val="007C4274"/>
    <w:rsid w:val="007C6914"/>
    <w:rsid w:val="007C7CE0"/>
    <w:rsid w:val="007D1055"/>
    <w:rsid w:val="007D1775"/>
    <w:rsid w:val="007D59A1"/>
    <w:rsid w:val="007D7443"/>
    <w:rsid w:val="007E09DA"/>
    <w:rsid w:val="007E0A0D"/>
    <w:rsid w:val="007E1CFF"/>
    <w:rsid w:val="007E248F"/>
    <w:rsid w:val="007E300A"/>
    <w:rsid w:val="007E36E4"/>
    <w:rsid w:val="007E382A"/>
    <w:rsid w:val="007E5BC3"/>
    <w:rsid w:val="007E79A0"/>
    <w:rsid w:val="007F45BC"/>
    <w:rsid w:val="007F5C43"/>
    <w:rsid w:val="0080712D"/>
    <w:rsid w:val="00813E3F"/>
    <w:rsid w:val="0081429B"/>
    <w:rsid w:val="008159AD"/>
    <w:rsid w:val="00816E10"/>
    <w:rsid w:val="008178B6"/>
    <w:rsid w:val="00820968"/>
    <w:rsid w:val="00822483"/>
    <w:rsid w:val="00822ACA"/>
    <w:rsid w:val="00823BC4"/>
    <w:rsid w:val="00826799"/>
    <w:rsid w:val="00833145"/>
    <w:rsid w:val="0083607F"/>
    <w:rsid w:val="0084049B"/>
    <w:rsid w:val="00842125"/>
    <w:rsid w:val="00842F17"/>
    <w:rsid w:val="00846C85"/>
    <w:rsid w:val="00852104"/>
    <w:rsid w:val="0085288A"/>
    <w:rsid w:val="00853468"/>
    <w:rsid w:val="008566C2"/>
    <w:rsid w:val="008571F8"/>
    <w:rsid w:val="008612BB"/>
    <w:rsid w:val="00861677"/>
    <w:rsid w:val="00865BC7"/>
    <w:rsid w:val="00865BDA"/>
    <w:rsid w:val="00865CE9"/>
    <w:rsid w:val="008724E1"/>
    <w:rsid w:val="00875DAB"/>
    <w:rsid w:val="00883A8A"/>
    <w:rsid w:val="00883EC0"/>
    <w:rsid w:val="0088431A"/>
    <w:rsid w:val="00886C16"/>
    <w:rsid w:val="0088755D"/>
    <w:rsid w:val="008923D4"/>
    <w:rsid w:val="00895694"/>
    <w:rsid w:val="0089645E"/>
    <w:rsid w:val="0089774C"/>
    <w:rsid w:val="008A22E0"/>
    <w:rsid w:val="008A3167"/>
    <w:rsid w:val="008A4991"/>
    <w:rsid w:val="008A656E"/>
    <w:rsid w:val="008A7225"/>
    <w:rsid w:val="008B0834"/>
    <w:rsid w:val="008B0AAF"/>
    <w:rsid w:val="008B6BA9"/>
    <w:rsid w:val="008B7643"/>
    <w:rsid w:val="008C26BA"/>
    <w:rsid w:val="008D0CBF"/>
    <w:rsid w:val="008D12E1"/>
    <w:rsid w:val="008D4EE3"/>
    <w:rsid w:val="008E037D"/>
    <w:rsid w:val="008F0771"/>
    <w:rsid w:val="008F0EE5"/>
    <w:rsid w:val="008F1113"/>
    <w:rsid w:val="008F19D4"/>
    <w:rsid w:val="008F3375"/>
    <w:rsid w:val="008F5FD3"/>
    <w:rsid w:val="008F7375"/>
    <w:rsid w:val="00901AA5"/>
    <w:rsid w:val="00904AD0"/>
    <w:rsid w:val="00904E56"/>
    <w:rsid w:val="0090591B"/>
    <w:rsid w:val="0091174A"/>
    <w:rsid w:val="0091384F"/>
    <w:rsid w:val="00914865"/>
    <w:rsid w:val="00915AA5"/>
    <w:rsid w:val="00915E2E"/>
    <w:rsid w:val="00917AFB"/>
    <w:rsid w:val="00917B26"/>
    <w:rsid w:val="009212BF"/>
    <w:rsid w:val="00926F55"/>
    <w:rsid w:val="00930FF3"/>
    <w:rsid w:val="00934304"/>
    <w:rsid w:val="00934E99"/>
    <w:rsid w:val="009371CD"/>
    <w:rsid w:val="00937598"/>
    <w:rsid w:val="00940206"/>
    <w:rsid w:val="009434D4"/>
    <w:rsid w:val="00945099"/>
    <w:rsid w:val="009505C9"/>
    <w:rsid w:val="009524C8"/>
    <w:rsid w:val="00956A5F"/>
    <w:rsid w:val="00961A36"/>
    <w:rsid w:val="00962139"/>
    <w:rsid w:val="00964EF7"/>
    <w:rsid w:val="00964F74"/>
    <w:rsid w:val="00965C98"/>
    <w:rsid w:val="009663E9"/>
    <w:rsid w:val="00970C54"/>
    <w:rsid w:val="00971212"/>
    <w:rsid w:val="0097413A"/>
    <w:rsid w:val="009743A7"/>
    <w:rsid w:val="009750BB"/>
    <w:rsid w:val="0098127B"/>
    <w:rsid w:val="00985A0B"/>
    <w:rsid w:val="00986AB3"/>
    <w:rsid w:val="00991B84"/>
    <w:rsid w:val="00992073"/>
    <w:rsid w:val="00993595"/>
    <w:rsid w:val="00994742"/>
    <w:rsid w:val="00995D54"/>
    <w:rsid w:val="00995F2E"/>
    <w:rsid w:val="009A25C6"/>
    <w:rsid w:val="009A3003"/>
    <w:rsid w:val="009A33F9"/>
    <w:rsid w:val="009A4159"/>
    <w:rsid w:val="009A5BC3"/>
    <w:rsid w:val="009A67CD"/>
    <w:rsid w:val="009B2B7C"/>
    <w:rsid w:val="009B3D2F"/>
    <w:rsid w:val="009B432E"/>
    <w:rsid w:val="009B53F2"/>
    <w:rsid w:val="009B67E5"/>
    <w:rsid w:val="009C1849"/>
    <w:rsid w:val="009C3878"/>
    <w:rsid w:val="009C494D"/>
    <w:rsid w:val="009C5843"/>
    <w:rsid w:val="009C6795"/>
    <w:rsid w:val="009D301E"/>
    <w:rsid w:val="009D5FE8"/>
    <w:rsid w:val="009D5FEF"/>
    <w:rsid w:val="009D66FC"/>
    <w:rsid w:val="009D6758"/>
    <w:rsid w:val="009D7D09"/>
    <w:rsid w:val="009E0B50"/>
    <w:rsid w:val="009E13EC"/>
    <w:rsid w:val="009E1513"/>
    <w:rsid w:val="009E4AD3"/>
    <w:rsid w:val="009E5AA5"/>
    <w:rsid w:val="009E6A7F"/>
    <w:rsid w:val="009E6AD7"/>
    <w:rsid w:val="009F04B3"/>
    <w:rsid w:val="009F068F"/>
    <w:rsid w:val="009F1ADA"/>
    <w:rsid w:val="009F1F4A"/>
    <w:rsid w:val="009F3778"/>
    <w:rsid w:val="009F724B"/>
    <w:rsid w:val="009F7AC8"/>
    <w:rsid w:val="00A00A74"/>
    <w:rsid w:val="00A025A3"/>
    <w:rsid w:val="00A04546"/>
    <w:rsid w:val="00A0753D"/>
    <w:rsid w:val="00A16C5D"/>
    <w:rsid w:val="00A17121"/>
    <w:rsid w:val="00A178C1"/>
    <w:rsid w:val="00A2029A"/>
    <w:rsid w:val="00A23C42"/>
    <w:rsid w:val="00A25B6E"/>
    <w:rsid w:val="00A26D02"/>
    <w:rsid w:val="00A31750"/>
    <w:rsid w:val="00A3262D"/>
    <w:rsid w:val="00A328AA"/>
    <w:rsid w:val="00A32AC3"/>
    <w:rsid w:val="00A36983"/>
    <w:rsid w:val="00A46817"/>
    <w:rsid w:val="00A50B37"/>
    <w:rsid w:val="00A528A7"/>
    <w:rsid w:val="00A52B36"/>
    <w:rsid w:val="00A5768A"/>
    <w:rsid w:val="00A62B09"/>
    <w:rsid w:val="00A6431A"/>
    <w:rsid w:val="00A71E02"/>
    <w:rsid w:val="00A81F89"/>
    <w:rsid w:val="00A87A76"/>
    <w:rsid w:val="00A87DBA"/>
    <w:rsid w:val="00A91FE7"/>
    <w:rsid w:val="00A93812"/>
    <w:rsid w:val="00A93FC6"/>
    <w:rsid w:val="00AA3CB8"/>
    <w:rsid w:val="00AB0708"/>
    <w:rsid w:val="00AB07F3"/>
    <w:rsid w:val="00AB1DBC"/>
    <w:rsid w:val="00AB2544"/>
    <w:rsid w:val="00AC1E56"/>
    <w:rsid w:val="00AC5B8D"/>
    <w:rsid w:val="00AC6282"/>
    <w:rsid w:val="00AC7FC2"/>
    <w:rsid w:val="00AD7E94"/>
    <w:rsid w:val="00AE0E82"/>
    <w:rsid w:val="00AE2A6F"/>
    <w:rsid w:val="00AE2B16"/>
    <w:rsid w:val="00AE57AD"/>
    <w:rsid w:val="00AF1044"/>
    <w:rsid w:val="00AF3029"/>
    <w:rsid w:val="00AF4B4E"/>
    <w:rsid w:val="00AF62CB"/>
    <w:rsid w:val="00B0416B"/>
    <w:rsid w:val="00B1008A"/>
    <w:rsid w:val="00B1196C"/>
    <w:rsid w:val="00B13ACB"/>
    <w:rsid w:val="00B14A90"/>
    <w:rsid w:val="00B165E6"/>
    <w:rsid w:val="00B17E08"/>
    <w:rsid w:val="00B224E9"/>
    <w:rsid w:val="00B23724"/>
    <w:rsid w:val="00B237B4"/>
    <w:rsid w:val="00B23A7B"/>
    <w:rsid w:val="00B2497D"/>
    <w:rsid w:val="00B25394"/>
    <w:rsid w:val="00B26E1A"/>
    <w:rsid w:val="00B3369F"/>
    <w:rsid w:val="00B35516"/>
    <w:rsid w:val="00B37A36"/>
    <w:rsid w:val="00B37F00"/>
    <w:rsid w:val="00B42148"/>
    <w:rsid w:val="00B43340"/>
    <w:rsid w:val="00B436D7"/>
    <w:rsid w:val="00B515FF"/>
    <w:rsid w:val="00B55AB3"/>
    <w:rsid w:val="00B61779"/>
    <w:rsid w:val="00B70EA9"/>
    <w:rsid w:val="00B74F34"/>
    <w:rsid w:val="00B81D79"/>
    <w:rsid w:val="00B83FFA"/>
    <w:rsid w:val="00B8542D"/>
    <w:rsid w:val="00B9252C"/>
    <w:rsid w:val="00B934A1"/>
    <w:rsid w:val="00BA0DFE"/>
    <w:rsid w:val="00BA195B"/>
    <w:rsid w:val="00BA617B"/>
    <w:rsid w:val="00BA650F"/>
    <w:rsid w:val="00BA7AE4"/>
    <w:rsid w:val="00BB0C4C"/>
    <w:rsid w:val="00BB1353"/>
    <w:rsid w:val="00BB1BC0"/>
    <w:rsid w:val="00BB26D8"/>
    <w:rsid w:val="00BB5AB5"/>
    <w:rsid w:val="00BB6243"/>
    <w:rsid w:val="00BB6E26"/>
    <w:rsid w:val="00BC102E"/>
    <w:rsid w:val="00BC2F50"/>
    <w:rsid w:val="00BC50BF"/>
    <w:rsid w:val="00BD0250"/>
    <w:rsid w:val="00BD0310"/>
    <w:rsid w:val="00BD3107"/>
    <w:rsid w:val="00BE0162"/>
    <w:rsid w:val="00BE1528"/>
    <w:rsid w:val="00BE3594"/>
    <w:rsid w:val="00BE4346"/>
    <w:rsid w:val="00BE5D99"/>
    <w:rsid w:val="00BE6852"/>
    <w:rsid w:val="00BE6D1B"/>
    <w:rsid w:val="00BE74CD"/>
    <w:rsid w:val="00BE7A65"/>
    <w:rsid w:val="00BF0FC1"/>
    <w:rsid w:val="00BF563E"/>
    <w:rsid w:val="00C07DE1"/>
    <w:rsid w:val="00C124E5"/>
    <w:rsid w:val="00C13157"/>
    <w:rsid w:val="00C13E21"/>
    <w:rsid w:val="00C16898"/>
    <w:rsid w:val="00C20521"/>
    <w:rsid w:val="00C21794"/>
    <w:rsid w:val="00C222AC"/>
    <w:rsid w:val="00C22C7B"/>
    <w:rsid w:val="00C23041"/>
    <w:rsid w:val="00C23A4B"/>
    <w:rsid w:val="00C23CA3"/>
    <w:rsid w:val="00C31824"/>
    <w:rsid w:val="00C33506"/>
    <w:rsid w:val="00C34848"/>
    <w:rsid w:val="00C34D53"/>
    <w:rsid w:val="00C36F75"/>
    <w:rsid w:val="00C404F9"/>
    <w:rsid w:val="00C40566"/>
    <w:rsid w:val="00C44648"/>
    <w:rsid w:val="00C46DCA"/>
    <w:rsid w:val="00C501AC"/>
    <w:rsid w:val="00C60318"/>
    <w:rsid w:val="00C6133D"/>
    <w:rsid w:val="00C62D0D"/>
    <w:rsid w:val="00C64CB1"/>
    <w:rsid w:val="00C65D5D"/>
    <w:rsid w:val="00C662BD"/>
    <w:rsid w:val="00C716E1"/>
    <w:rsid w:val="00C73D4D"/>
    <w:rsid w:val="00C75DB2"/>
    <w:rsid w:val="00C81E5C"/>
    <w:rsid w:val="00C83B37"/>
    <w:rsid w:val="00C86773"/>
    <w:rsid w:val="00C867B9"/>
    <w:rsid w:val="00C86EAE"/>
    <w:rsid w:val="00C87166"/>
    <w:rsid w:val="00C9161D"/>
    <w:rsid w:val="00C92220"/>
    <w:rsid w:val="00C92665"/>
    <w:rsid w:val="00C928FE"/>
    <w:rsid w:val="00C94E95"/>
    <w:rsid w:val="00C96403"/>
    <w:rsid w:val="00C967FC"/>
    <w:rsid w:val="00C96E10"/>
    <w:rsid w:val="00CA1F5A"/>
    <w:rsid w:val="00CA3C1F"/>
    <w:rsid w:val="00CA5E95"/>
    <w:rsid w:val="00CA69C8"/>
    <w:rsid w:val="00CB027F"/>
    <w:rsid w:val="00CB25AF"/>
    <w:rsid w:val="00CB3C0C"/>
    <w:rsid w:val="00CB68CE"/>
    <w:rsid w:val="00CB7E1F"/>
    <w:rsid w:val="00CC3BB3"/>
    <w:rsid w:val="00CD4858"/>
    <w:rsid w:val="00CD6C2F"/>
    <w:rsid w:val="00CD7C91"/>
    <w:rsid w:val="00CE6125"/>
    <w:rsid w:val="00CF05EF"/>
    <w:rsid w:val="00CF1848"/>
    <w:rsid w:val="00CF3F9B"/>
    <w:rsid w:val="00CF5DC4"/>
    <w:rsid w:val="00CF6A7C"/>
    <w:rsid w:val="00D028AB"/>
    <w:rsid w:val="00D029BF"/>
    <w:rsid w:val="00D041B1"/>
    <w:rsid w:val="00D05283"/>
    <w:rsid w:val="00D12177"/>
    <w:rsid w:val="00D126D4"/>
    <w:rsid w:val="00D137F8"/>
    <w:rsid w:val="00D14FD5"/>
    <w:rsid w:val="00D15B42"/>
    <w:rsid w:val="00D17131"/>
    <w:rsid w:val="00D203A4"/>
    <w:rsid w:val="00D232F5"/>
    <w:rsid w:val="00D35066"/>
    <w:rsid w:val="00D3570A"/>
    <w:rsid w:val="00D35C05"/>
    <w:rsid w:val="00D40097"/>
    <w:rsid w:val="00D40486"/>
    <w:rsid w:val="00D40E22"/>
    <w:rsid w:val="00D41331"/>
    <w:rsid w:val="00D4421A"/>
    <w:rsid w:val="00D44BFF"/>
    <w:rsid w:val="00D44CBB"/>
    <w:rsid w:val="00D50009"/>
    <w:rsid w:val="00D5249C"/>
    <w:rsid w:val="00D52921"/>
    <w:rsid w:val="00D53115"/>
    <w:rsid w:val="00D533F5"/>
    <w:rsid w:val="00D53FDC"/>
    <w:rsid w:val="00D56FF2"/>
    <w:rsid w:val="00D618B4"/>
    <w:rsid w:val="00D63349"/>
    <w:rsid w:val="00D70B81"/>
    <w:rsid w:val="00D72320"/>
    <w:rsid w:val="00D73AE5"/>
    <w:rsid w:val="00D73DE2"/>
    <w:rsid w:val="00D74DE9"/>
    <w:rsid w:val="00D75094"/>
    <w:rsid w:val="00D755A4"/>
    <w:rsid w:val="00D76A18"/>
    <w:rsid w:val="00D8070B"/>
    <w:rsid w:val="00D83235"/>
    <w:rsid w:val="00D83E2D"/>
    <w:rsid w:val="00D84CB9"/>
    <w:rsid w:val="00D84DB7"/>
    <w:rsid w:val="00D86097"/>
    <w:rsid w:val="00D9089A"/>
    <w:rsid w:val="00D912AF"/>
    <w:rsid w:val="00D93810"/>
    <w:rsid w:val="00D95562"/>
    <w:rsid w:val="00D95B34"/>
    <w:rsid w:val="00DA125F"/>
    <w:rsid w:val="00DA31A5"/>
    <w:rsid w:val="00DB3881"/>
    <w:rsid w:val="00DB3E92"/>
    <w:rsid w:val="00DB4568"/>
    <w:rsid w:val="00DB62AB"/>
    <w:rsid w:val="00DB72F4"/>
    <w:rsid w:val="00DB76EE"/>
    <w:rsid w:val="00DC00D5"/>
    <w:rsid w:val="00DC07F0"/>
    <w:rsid w:val="00DC7483"/>
    <w:rsid w:val="00DC7726"/>
    <w:rsid w:val="00DC7A04"/>
    <w:rsid w:val="00DD118C"/>
    <w:rsid w:val="00DD293D"/>
    <w:rsid w:val="00DD2D81"/>
    <w:rsid w:val="00DD38DE"/>
    <w:rsid w:val="00DD40BD"/>
    <w:rsid w:val="00DE39B8"/>
    <w:rsid w:val="00DF0357"/>
    <w:rsid w:val="00DF187C"/>
    <w:rsid w:val="00DF3E41"/>
    <w:rsid w:val="00E0159A"/>
    <w:rsid w:val="00E06B97"/>
    <w:rsid w:val="00E06EB5"/>
    <w:rsid w:val="00E10707"/>
    <w:rsid w:val="00E159BD"/>
    <w:rsid w:val="00E17B53"/>
    <w:rsid w:val="00E254F9"/>
    <w:rsid w:val="00E333DD"/>
    <w:rsid w:val="00E353BC"/>
    <w:rsid w:val="00E35430"/>
    <w:rsid w:val="00E35D83"/>
    <w:rsid w:val="00E35FA2"/>
    <w:rsid w:val="00E3664D"/>
    <w:rsid w:val="00E40150"/>
    <w:rsid w:val="00E4202C"/>
    <w:rsid w:val="00E44C54"/>
    <w:rsid w:val="00E45145"/>
    <w:rsid w:val="00E46F4B"/>
    <w:rsid w:val="00E4736A"/>
    <w:rsid w:val="00E5171C"/>
    <w:rsid w:val="00E53146"/>
    <w:rsid w:val="00E53D5D"/>
    <w:rsid w:val="00E545BB"/>
    <w:rsid w:val="00E54DB0"/>
    <w:rsid w:val="00E60EA7"/>
    <w:rsid w:val="00E620BB"/>
    <w:rsid w:val="00E63ECC"/>
    <w:rsid w:val="00E66235"/>
    <w:rsid w:val="00E66CF5"/>
    <w:rsid w:val="00E707AA"/>
    <w:rsid w:val="00E70AC2"/>
    <w:rsid w:val="00E71F8B"/>
    <w:rsid w:val="00E741AF"/>
    <w:rsid w:val="00E744CB"/>
    <w:rsid w:val="00E75368"/>
    <w:rsid w:val="00E7571D"/>
    <w:rsid w:val="00E7665A"/>
    <w:rsid w:val="00E83600"/>
    <w:rsid w:val="00E83744"/>
    <w:rsid w:val="00E83C24"/>
    <w:rsid w:val="00E84CBF"/>
    <w:rsid w:val="00E871F4"/>
    <w:rsid w:val="00E93014"/>
    <w:rsid w:val="00E93BBB"/>
    <w:rsid w:val="00E979A1"/>
    <w:rsid w:val="00EA654F"/>
    <w:rsid w:val="00EB0CCF"/>
    <w:rsid w:val="00EB1DF9"/>
    <w:rsid w:val="00EB3D8C"/>
    <w:rsid w:val="00EB6DB2"/>
    <w:rsid w:val="00EC2D3A"/>
    <w:rsid w:val="00EC3D33"/>
    <w:rsid w:val="00EC4AA7"/>
    <w:rsid w:val="00EC6AAE"/>
    <w:rsid w:val="00EC7D5E"/>
    <w:rsid w:val="00EC7FF4"/>
    <w:rsid w:val="00ED161E"/>
    <w:rsid w:val="00ED1D58"/>
    <w:rsid w:val="00ED3266"/>
    <w:rsid w:val="00ED543D"/>
    <w:rsid w:val="00EE1696"/>
    <w:rsid w:val="00EE1719"/>
    <w:rsid w:val="00EE1C85"/>
    <w:rsid w:val="00EE2D6F"/>
    <w:rsid w:val="00EE3809"/>
    <w:rsid w:val="00EE59D2"/>
    <w:rsid w:val="00EE7A61"/>
    <w:rsid w:val="00EF2575"/>
    <w:rsid w:val="00EF25C8"/>
    <w:rsid w:val="00F0196F"/>
    <w:rsid w:val="00F0344A"/>
    <w:rsid w:val="00F10D03"/>
    <w:rsid w:val="00F12A39"/>
    <w:rsid w:val="00F13B75"/>
    <w:rsid w:val="00F155BF"/>
    <w:rsid w:val="00F23A24"/>
    <w:rsid w:val="00F25039"/>
    <w:rsid w:val="00F27ED6"/>
    <w:rsid w:val="00F30251"/>
    <w:rsid w:val="00F315EC"/>
    <w:rsid w:val="00F31D7F"/>
    <w:rsid w:val="00F32883"/>
    <w:rsid w:val="00F328B7"/>
    <w:rsid w:val="00F34F78"/>
    <w:rsid w:val="00F363A8"/>
    <w:rsid w:val="00F3677A"/>
    <w:rsid w:val="00F375FA"/>
    <w:rsid w:val="00F434D7"/>
    <w:rsid w:val="00F43C88"/>
    <w:rsid w:val="00F45103"/>
    <w:rsid w:val="00F47550"/>
    <w:rsid w:val="00F5012F"/>
    <w:rsid w:val="00F53938"/>
    <w:rsid w:val="00F548BC"/>
    <w:rsid w:val="00F554B3"/>
    <w:rsid w:val="00F55AF4"/>
    <w:rsid w:val="00F62172"/>
    <w:rsid w:val="00F66F72"/>
    <w:rsid w:val="00F72BAB"/>
    <w:rsid w:val="00F7694C"/>
    <w:rsid w:val="00F82ABF"/>
    <w:rsid w:val="00F832C5"/>
    <w:rsid w:val="00F83C0B"/>
    <w:rsid w:val="00F841BA"/>
    <w:rsid w:val="00F87215"/>
    <w:rsid w:val="00F92CD3"/>
    <w:rsid w:val="00F941A4"/>
    <w:rsid w:val="00F94774"/>
    <w:rsid w:val="00F97DA1"/>
    <w:rsid w:val="00FA292B"/>
    <w:rsid w:val="00FA3304"/>
    <w:rsid w:val="00FA4369"/>
    <w:rsid w:val="00FA5A4C"/>
    <w:rsid w:val="00FA710F"/>
    <w:rsid w:val="00FB0EE3"/>
    <w:rsid w:val="00FB177E"/>
    <w:rsid w:val="00FB2190"/>
    <w:rsid w:val="00FB35C1"/>
    <w:rsid w:val="00FB587C"/>
    <w:rsid w:val="00FB5A6F"/>
    <w:rsid w:val="00FB7899"/>
    <w:rsid w:val="00FC07FE"/>
    <w:rsid w:val="00FC0FAA"/>
    <w:rsid w:val="00FC385E"/>
    <w:rsid w:val="00FC3B13"/>
    <w:rsid w:val="00FC3EC8"/>
    <w:rsid w:val="00FC53DB"/>
    <w:rsid w:val="00FC54EC"/>
    <w:rsid w:val="00FC6E42"/>
    <w:rsid w:val="00FC7837"/>
    <w:rsid w:val="00FD0687"/>
    <w:rsid w:val="00FD2D61"/>
    <w:rsid w:val="00FD48DC"/>
    <w:rsid w:val="00FD746A"/>
    <w:rsid w:val="00FD78EB"/>
    <w:rsid w:val="00FD7E9B"/>
    <w:rsid w:val="00FE2A82"/>
    <w:rsid w:val="00FE4EB3"/>
    <w:rsid w:val="00FE5542"/>
    <w:rsid w:val="00FE5B07"/>
    <w:rsid w:val="00FE7850"/>
    <w:rsid w:val="00FE7917"/>
    <w:rsid w:val="00FF018F"/>
    <w:rsid w:val="00FF4D48"/>
    <w:rsid w:val="00FF6E61"/>
    <w:rsid w:val="00FF7D6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5EDAF"/>
  <w15:docId w15:val="{C2213B1C-1751-4C55-8C0D-27B39C18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C7A2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har"/>
    <w:basedOn w:val="Normal"/>
    <w:link w:val="BodyTextChar"/>
    <w:rsid w:val="007E09DA"/>
    <w:pPr>
      <w:spacing w:before="120" w:after="120"/>
      <w:ind w:firstLine="720"/>
    </w:pPr>
    <w:rPr>
      <w:iCs/>
    </w:rPr>
  </w:style>
  <w:style w:type="character" w:customStyle="1" w:styleId="BodyTextChar">
    <w:name w:val="Body Text Char"/>
    <w:aliases w:val=" Ch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2C7A2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CommentSubject">
    <w:name w:val="annotation subject"/>
    <w:basedOn w:val="CommentText"/>
    <w:next w:val="CommentText"/>
    <w:link w:val="CommentSubjectChar"/>
    <w:uiPriority w:val="99"/>
    <w:unhideWhenUsed/>
    <w:rsid w:val="00B23A7B"/>
    <w:pPr>
      <w:spacing w:after="0" w:line="240" w:lineRule="auto"/>
    </w:pPr>
    <w:rPr>
      <w:b/>
      <w:bCs/>
      <w:sz w:val="20"/>
      <w:szCs w:val="20"/>
    </w:rPr>
  </w:style>
  <w:style w:type="character" w:customStyle="1" w:styleId="CommentSubjectChar">
    <w:name w:val="Comment Subject Char"/>
    <w:basedOn w:val="CommentTextChar"/>
    <w:link w:val="CommentSubject"/>
    <w:uiPriority w:val="99"/>
    <w:rsid w:val="00B23A7B"/>
    <w:rPr>
      <w:rFonts w:ascii="Times New Roman" w:eastAsia="Times New Roman" w:hAnsi="Times New Roman" w:cs="Times New Roman"/>
      <w:b/>
      <w:bCs/>
      <w:sz w:val="20"/>
      <w:szCs w:val="20"/>
      <w:lang w:val="en-GB"/>
    </w:rPr>
  </w:style>
  <w:style w:type="paragraph" w:customStyle="1" w:styleId="Document1">
    <w:name w:val="Document 1"/>
    <w:basedOn w:val="Normal"/>
    <w:next w:val="Normal"/>
    <w:rsid w:val="003B71B5"/>
    <w:pPr>
      <w:suppressAutoHyphens/>
      <w:spacing w:after="120" w:line="240" w:lineRule="exact"/>
      <w:jc w:val="left"/>
    </w:pPr>
    <w:rPr>
      <w:sz w:val="24"/>
      <w:lang w:val="en-CA" w:eastAsia="ja-JP"/>
    </w:rPr>
  </w:style>
  <w:style w:type="paragraph" w:styleId="BodyText2">
    <w:name w:val="Body Text 2"/>
    <w:basedOn w:val="Normal"/>
    <w:link w:val="BodyText2Char"/>
    <w:rsid w:val="003B71B5"/>
    <w:pPr>
      <w:tabs>
        <w:tab w:val="left" w:pos="-1440"/>
        <w:tab w:val="left" w:pos="-720"/>
        <w:tab w:val="left" w:pos="0"/>
        <w:tab w:val="left" w:pos="720"/>
        <w:tab w:val="right" w:pos="1080"/>
        <w:tab w:val="left" w:pos="1440"/>
      </w:tabs>
      <w:suppressAutoHyphens/>
      <w:spacing w:after="120" w:line="288" w:lineRule="auto"/>
      <w:ind w:left="2160" w:hanging="2160"/>
      <w:jc w:val="left"/>
    </w:pPr>
    <w:rPr>
      <w:sz w:val="24"/>
      <w:lang w:val="en-CA" w:eastAsia="ja-JP"/>
    </w:rPr>
  </w:style>
  <w:style w:type="character" w:customStyle="1" w:styleId="BodyText2Char">
    <w:name w:val="Body Text 2 Char"/>
    <w:basedOn w:val="DefaultParagraphFont"/>
    <w:link w:val="BodyText2"/>
    <w:rsid w:val="003B71B5"/>
    <w:rPr>
      <w:rFonts w:ascii="Times New Roman" w:eastAsia="Times New Roman" w:hAnsi="Times New Roman" w:cs="Times New Roman"/>
      <w:lang w:val="en-CA" w:eastAsia="ja-JP"/>
    </w:rPr>
  </w:style>
  <w:style w:type="paragraph" w:styleId="Caption">
    <w:name w:val="caption"/>
    <w:basedOn w:val="Normal"/>
    <w:next w:val="Normal"/>
    <w:qFormat/>
    <w:rsid w:val="003B71B5"/>
    <w:pPr>
      <w:jc w:val="left"/>
    </w:pPr>
    <w:rPr>
      <w:sz w:val="24"/>
      <w:u w:val="single"/>
      <w:lang w:val="en-CA" w:eastAsia="ja-JP"/>
    </w:rPr>
  </w:style>
  <w:style w:type="paragraph" w:customStyle="1" w:styleId="Heading2-center">
    <w:name w:val="Heading 2-center"/>
    <w:basedOn w:val="Heading2"/>
    <w:rsid w:val="003B71B5"/>
    <w:pPr>
      <w:outlineLvl w:val="9"/>
    </w:pPr>
    <w:rPr>
      <w:iCs w:val="0"/>
      <w:caps/>
      <w:lang w:val="en-CA" w:eastAsia="ja-JP"/>
    </w:rPr>
  </w:style>
  <w:style w:type="paragraph" w:styleId="BodyTextIndent3">
    <w:name w:val="Body Text Indent 3"/>
    <w:basedOn w:val="Normal"/>
    <w:link w:val="BodyTextIndent3Char"/>
    <w:rsid w:val="003B71B5"/>
    <w:pPr>
      <w:spacing w:before="120" w:after="120"/>
      <w:ind w:left="720" w:right="720"/>
      <w:jc w:val="left"/>
    </w:pPr>
    <w:rPr>
      <w:bCs/>
      <w:sz w:val="24"/>
      <w:lang w:val="en-CA" w:eastAsia="ja-JP"/>
    </w:rPr>
  </w:style>
  <w:style w:type="character" w:customStyle="1" w:styleId="BodyTextIndent3Char">
    <w:name w:val="Body Text Indent 3 Char"/>
    <w:basedOn w:val="DefaultParagraphFont"/>
    <w:link w:val="BodyTextIndent3"/>
    <w:rsid w:val="003B71B5"/>
    <w:rPr>
      <w:rFonts w:ascii="Times New Roman" w:eastAsia="Times New Roman" w:hAnsi="Times New Roman" w:cs="Times New Roman"/>
      <w:bCs/>
      <w:lang w:val="en-CA" w:eastAsia="ja-JP"/>
    </w:rPr>
  </w:style>
  <w:style w:type="paragraph" w:styleId="BodyText3">
    <w:name w:val="Body Text 3"/>
    <w:basedOn w:val="Normal"/>
    <w:link w:val="BodyText3Char"/>
    <w:rsid w:val="003B71B5"/>
    <w:pPr>
      <w:spacing w:before="120" w:after="120"/>
      <w:jc w:val="left"/>
    </w:pPr>
    <w:rPr>
      <w:sz w:val="24"/>
      <w:lang w:val="en-CA" w:eastAsia="ja-JP"/>
    </w:rPr>
  </w:style>
  <w:style w:type="character" w:customStyle="1" w:styleId="BodyText3Char">
    <w:name w:val="Body Text 3 Char"/>
    <w:basedOn w:val="DefaultParagraphFont"/>
    <w:link w:val="BodyText3"/>
    <w:rsid w:val="003B71B5"/>
    <w:rPr>
      <w:rFonts w:ascii="Times New Roman" w:eastAsia="Times New Roman" w:hAnsi="Times New Roman" w:cs="Times New Roman"/>
      <w:lang w:val="en-CA" w:eastAsia="ja-JP"/>
    </w:rPr>
  </w:style>
  <w:style w:type="character" w:customStyle="1" w:styleId="underline">
    <w:name w:val="underline"/>
    <w:rsid w:val="003B71B5"/>
    <w:rPr>
      <w:rFonts w:ascii="Courier" w:hAnsi="Courier"/>
      <w:sz w:val="20"/>
      <w:u w:val="single"/>
    </w:rPr>
  </w:style>
  <w:style w:type="paragraph" w:styleId="DocumentMap">
    <w:name w:val="Document Map"/>
    <w:basedOn w:val="Normal"/>
    <w:link w:val="DocumentMapChar"/>
    <w:semiHidden/>
    <w:rsid w:val="003B71B5"/>
    <w:pPr>
      <w:shd w:val="clear" w:color="auto" w:fill="000080"/>
      <w:jc w:val="left"/>
    </w:pPr>
    <w:rPr>
      <w:rFonts w:ascii="Tahoma" w:hAnsi="Tahoma" w:cs="Tahoma"/>
      <w:sz w:val="20"/>
      <w:szCs w:val="20"/>
      <w:lang w:val="en-CA" w:eastAsia="ja-JP"/>
    </w:rPr>
  </w:style>
  <w:style w:type="character" w:customStyle="1" w:styleId="DocumentMapChar">
    <w:name w:val="Document Map Char"/>
    <w:basedOn w:val="DefaultParagraphFont"/>
    <w:link w:val="DocumentMap"/>
    <w:semiHidden/>
    <w:rsid w:val="003B71B5"/>
    <w:rPr>
      <w:rFonts w:ascii="Tahoma" w:eastAsia="Times New Roman" w:hAnsi="Tahoma" w:cs="Tahoma"/>
      <w:sz w:val="20"/>
      <w:szCs w:val="20"/>
      <w:shd w:val="clear" w:color="auto" w:fill="000080"/>
      <w:lang w:val="en-CA" w:eastAsia="ja-JP"/>
    </w:rPr>
  </w:style>
  <w:style w:type="character" w:customStyle="1" w:styleId="Hyperlink1">
    <w:name w:val="Hyperlink1"/>
    <w:rsid w:val="003B71B5"/>
    <w:rPr>
      <w:color w:val="0000FF"/>
      <w:sz w:val="18"/>
      <w:u w:val="single"/>
    </w:rPr>
  </w:style>
  <w:style w:type="paragraph" w:styleId="NormalWeb">
    <w:name w:val="Normal (Web)"/>
    <w:basedOn w:val="Normal"/>
    <w:rsid w:val="003B71B5"/>
    <w:pPr>
      <w:spacing w:before="100" w:beforeAutospacing="1" w:after="100" w:afterAutospacing="1"/>
      <w:jc w:val="left"/>
    </w:pPr>
    <w:rPr>
      <w:rFonts w:ascii="Arial Unicode MS" w:eastAsia="Arial Unicode MS" w:hAnsi="Arial Unicode MS" w:cs="Arial Unicode MS"/>
      <w:color w:val="000000"/>
      <w:sz w:val="24"/>
      <w:lang w:val="en-CA" w:eastAsia="ja-JP"/>
    </w:rPr>
  </w:style>
  <w:style w:type="character" w:customStyle="1" w:styleId="BulletList">
    <w:name w:val="Bullet List"/>
    <w:rsid w:val="003B71B5"/>
  </w:style>
  <w:style w:type="paragraph" w:customStyle="1" w:styleId="FOOTNOTETEX">
    <w:name w:val="FOOTNOTE TEX"/>
    <w:rsid w:val="003B71B5"/>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endnoterefe">
    <w:name w:val="endnote refe"/>
    <w:rsid w:val="003B71B5"/>
    <w:rPr>
      <w:rFonts w:ascii="Courier New" w:hAnsi="Courier New"/>
      <w:noProof w:val="0"/>
      <w:sz w:val="20"/>
      <w:vertAlign w:val="superscript"/>
      <w:lang w:val="en-US"/>
    </w:rPr>
  </w:style>
  <w:style w:type="paragraph" w:customStyle="1" w:styleId="Style1">
    <w:name w:val="Style1"/>
    <w:basedOn w:val="BodyText2"/>
    <w:rsid w:val="003B71B5"/>
    <w:pPr>
      <w:numPr>
        <w:ilvl w:val="1"/>
        <w:numId w:val="19"/>
      </w:numPr>
      <w:tabs>
        <w:tab w:val="clear" w:pos="-1440"/>
        <w:tab w:val="clear" w:pos="-720"/>
        <w:tab w:val="clear" w:pos="0"/>
        <w:tab w:val="clear" w:pos="720"/>
      </w:tabs>
      <w:suppressAutoHyphens w:val="0"/>
      <w:spacing w:before="120" w:line="240" w:lineRule="auto"/>
    </w:pPr>
    <w:rPr>
      <w:szCs w:val="20"/>
    </w:rPr>
  </w:style>
  <w:style w:type="paragraph" w:customStyle="1" w:styleId="subhead">
    <w:name w:val="subhead"/>
    <w:basedOn w:val="Normal"/>
    <w:next w:val="Para1"/>
    <w:rsid w:val="003B71B5"/>
    <w:pPr>
      <w:spacing w:before="120" w:after="120"/>
      <w:jc w:val="center"/>
    </w:pPr>
    <w:rPr>
      <w:i/>
      <w:sz w:val="24"/>
      <w:szCs w:val="20"/>
      <w:lang w:val="en-CA" w:eastAsia="ja-JP"/>
    </w:rPr>
  </w:style>
  <w:style w:type="paragraph" w:customStyle="1" w:styleId="Heading-plain">
    <w:name w:val="Heading-plain"/>
    <w:basedOn w:val="Normal"/>
    <w:rsid w:val="003B71B5"/>
    <w:pPr>
      <w:spacing w:before="120" w:after="120"/>
      <w:jc w:val="center"/>
      <w:outlineLvl w:val="0"/>
    </w:pPr>
    <w:rPr>
      <w:i/>
      <w:iCs/>
      <w:sz w:val="24"/>
      <w:lang w:val="en-CA" w:eastAsia="ja-JP"/>
    </w:rPr>
  </w:style>
  <w:style w:type="paragraph" w:customStyle="1" w:styleId="Activity">
    <w:name w:val="Activity"/>
    <w:basedOn w:val="Para1"/>
    <w:rsid w:val="003B71B5"/>
    <w:pPr>
      <w:numPr>
        <w:numId w:val="0"/>
      </w:numPr>
      <w:autoSpaceDE w:val="0"/>
      <w:autoSpaceDN w:val="0"/>
      <w:ind w:firstLine="720"/>
      <w:jc w:val="left"/>
    </w:pPr>
    <w:rPr>
      <w:b/>
      <w:bCs/>
      <w:snapToGrid/>
      <w:sz w:val="24"/>
      <w:lang w:val="en-CA" w:eastAsia="ja-JP"/>
    </w:rPr>
  </w:style>
  <w:style w:type="paragraph" w:customStyle="1" w:styleId="bodytextnoindent">
    <w:name w:val="body text (no indent)"/>
    <w:basedOn w:val="Normal"/>
    <w:rsid w:val="003B71B5"/>
    <w:pPr>
      <w:spacing w:before="120" w:after="120"/>
      <w:jc w:val="left"/>
    </w:pPr>
    <w:rPr>
      <w:sz w:val="24"/>
      <w:lang w:val="en-CA" w:eastAsia="ja-JP"/>
    </w:rPr>
  </w:style>
  <w:style w:type="paragraph" w:styleId="BodyTextIndent2">
    <w:name w:val="Body Text Indent 2"/>
    <w:basedOn w:val="Normal"/>
    <w:link w:val="BodyTextIndent2Char"/>
    <w:rsid w:val="003B71B5"/>
    <w:pPr>
      <w:ind w:left="720"/>
      <w:jc w:val="left"/>
    </w:pPr>
    <w:rPr>
      <w:sz w:val="24"/>
      <w:lang w:val="en-CA" w:eastAsia="ja-JP"/>
    </w:rPr>
  </w:style>
  <w:style w:type="character" w:customStyle="1" w:styleId="BodyTextIndent2Char">
    <w:name w:val="Body Text Indent 2 Char"/>
    <w:basedOn w:val="DefaultParagraphFont"/>
    <w:link w:val="BodyTextIndent2"/>
    <w:rsid w:val="003B71B5"/>
    <w:rPr>
      <w:rFonts w:ascii="Times New Roman" w:eastAsia="Times New Roman" w:hAnsi="Times New Roman" w:cs="Times New Roman"/>
      <w:lang w:val="en-CA" w:eastAsia="ja-JP"/>
    </w:rPr>
  </w:style>
  <w:style w:type="paragraph" w:customStyle="1" w:styleId="Diagram">
    <w:name w:val="Diagram"/>
    <w:basedOn w:val="Normal"/>
    <w:rsid w:val="003B71B5"/>
    <w:pPr>
      <w:spacing w:before="120" w:after="120"/>
      <w:jc w:val="left"/>
    </w:pPr>
    <w:rPr>
      <w:b/>
      <w:i/>
      <w:sz w:val="24"/>
      <w:lang w:val="en-CA" w:eastAsia="ja-JP"/>
    </w:rPr>
  </w:style>
  <w:style w:type="paragraph" w:customStyle="1" w:styleId="Heading0">
    <w:name w:val="Heading"/>
    <w:basedOn w:val="Heading1"/>
    <w:next w:val="Normal"/>
    <w:rsid w:val="003B71B5"/>
    <w:pPr>
      <w:tabs>
        <w:tab w:val="clear" w:pos="720"/>
        <w:tab w:val="left" w:pos="357"/>
        <w:tab w:val="left" w:pos="2410"/>
      </w:tabs>
      <w:ind w:left="1758" w:right="357" w:hanging="318"/>
    </w:pPr>
    <w:rPr>
      <w:bCs/>
      <w:caps w:val="0"/>
      <w:sz w:val="24"/>
      <w:lang w:val="en-CA" w:eastAsia="ja-JP"/>
    </w:rPr>
  </w:style>
  <w:style w:type="paragraph" w:customStyle="1" w:styleId="Heading-plain0">
    <w:name w:val="Heading - plain"/>
    <w:basedOn w:val="Heading2"/>
    <w:next w:val="BodyText"/>
    <w:rsid w:val="003B71B5"/>
    <w:pPr>
      <w:tabs>
        <w:tab w:val="clear" w:pos="720"/>
      </w:tabs>
    </w:pPr>
    <w:rPr>
      <w:i/>
      <w:lang w:val="en-CA" w:eastAsia="ja-JP"/>
    </w:rPr>
  </w:style>
  <w:style w:type="paragraph" w:customStyle="1" w:styleId="Heading1centred">
    <w:name w:val="Heading 1 (centred)"/>
    <w:basedOn w:val="Heading1"/>
    <w:next w:val="Para1"/>
    <w:rsid w:val="003B71B5"/>
    <w:pPr>
      <w:numPr>
        <w:numId w:val="18"/>
      </w:numPr>
      <w:tabs>
        <w:tab w:val="clear" w:pos="720"/>
        <w:tab w:val="left" w:pos="357"/>
      </w:tabs>
      <w:ind w:left="0" w:right="403" w:firstLine="0"/>
    </w:pPr>
    <w:rPr>
      <w:sz w:val="24"/>
      <w:lang w:val="en-CA" w:eastAsia="ja-JP"/>
    </w:rPr>
  </w:style>
  <w:style w:type="paragraph" w:customStyle="1" w:styleId="Heading2GTI">
    <w:name w:val="Heading 2 (GTI)"/>
    <w:basedOn w:val="Heading5"/>
    <w:rsid w:val="003B71B5"/>
    <w:pPr>
      <w:numPr>
        <w:numId w:val="16"/>
      </w:numPr>
      <w:ind w:left="720" w:hanging="720"/>
    </w:pPr>
    <w:rPr>
      <w:bCs w:val="0"/>
      <w:i w:val="0"/>
      <w:sz w:val="24"/>
      <w:lang w:eastAsia="ja-JP"/>
    </w:rPr>
  </w:style>
  <w:style w:type="paragraph" w:customStyle="1" w:styleId="headingdecisionsectionmultiline">
    <w:name w:val="heading decision section multiline"/>
    <w:basedOn w:val="Heading-plain0"/>
    <w:rsid w:val="003B71B5"/>
    <w:pPr>
      <w:ind w:left="1724" w:right="720" w:hanging="284"/>
      <w:jc w:val="left"/>
    </w:pPr>
    <w:rPr>
      <w:b w:val="0"/>
      <w:bCs w:val="0"/>
      <w:i w:val="0"/>
      <w:iCs w:val="0"/>
    </w:rPr>
  </w:style>
  <w:style w:type="paragraph" w:customStyle="1" w:styleId="headingdecisionsectiononeline">
    <w:name w:val="heading decision section one line"/>
    <w:basedOn w:val="Heading-plain0"/>
    <w:rsid w:val="003B71B5"/>
    <w:rPr>
      <w:b w:val="0"/>
      <w:bCs w:val="0"/>
      <w:i w:val="0"/>
      <w:iCs w:val="0"/>
    </w:rPr>
  </w:style>
  <w:style w:type="paragraph" w:customStyle="1" w:styleId="Subhead1">
    <w:name w:val="Subhead1"/>
    <w:basedOn w:val="Normal"/>
    <w:rsid w:val="003B71B5"/>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lang w:val="en-CA" w:eastAsia="ja-JP"/>
    </w:rPr>
  </w:style>
  <w:style w:type="paragraph" w:customStyle="1" w:styleId="Title-secondary">
    <w:name w:val="Title - secondary"/>
    <w:basedOn w:val="Title"/>
    <w:next w:val="Heading2"/>
    <w:rsid w:val="003B71B5"/>
    <w:pPr>
      <w:keepNext/>
      <w:pBdr>
        <w:bottom w:val="none" w:sz="0" w:space="0" w:color="auto"/>
      </w:pBdr>
      <w:spacing w:before="120" w:after="120"/>
      <w:contextualSpacing w:val="0"/>
      <w:jc w:val="center"/>
      <w:outlineLvl w:val="0"/>
    </w:pPr>
    <w:rPr>
      <w:rFonts w:ascii="Times New Roman" w:eastAsia="Times New Roman" w:hAnsi="Times New Roman" w:cs="Arial"/>
      <w:b/>
      <w:bCs/>
      <w:color w:val="auto"/>
      <w:spacing w:val="0"/>
      <w:sz w:val="24"/>
      <w:szCs w:val="32"/>
      <w:lang w:val="en-CA" w:eastAsia="ja-JP"/>
    </w:rPr>
  </w:style>
  <w:style w:type="paragraph" w:customStyle="1" w:styleId="Default">
    <w:name w:val="Default"/>
    <w:rsid w:val="003B71B5"/>
    <w:pPr>
      <w:autoSpaceDE w:val="0"/>
      <w:autoSpaceDN w:val="0"/>
      <w:adjustRightInd w:val="0"/>
    </w:pPr>
    <w:rPr>
      <w:rFonts w:ascii="Times New Roman" w:eastAsia="Times New Roman" w:hAnsi="Times New Roman" w:cs="Times New Roman"/>
      <w:color w:val="000000"/>
      <w:lang w:val="en-CA" w:eastAsia="ko-KR"/>
    </w:rPr>
  </w:style>
  <w:style w:type="paragraph" w:customStyle="1" w:styleId="ColorfulList-Accent11">
    <w:name w:val="Colorful List - Accent 11"/>
    <w:basedOn w:val="Normal"/>
    <w:link w:val="ColorfulList-Accent1Char"/>
    <w:uiPriority w:val="34"/>
    <w:qFormat/>
    <w:rsid w:val="003B71B5"/>
    <w:pPr>
      <w:ind w:left="720"/>
      <w:contextualSpacing/>
      <w:jc w:val="left"/>
    </w:pPr>
    <w:rPr>
      <w:sz w:val="24"/>
      <w:lang w:val="en-US" w:eastAsia="ja-JP"/>
    </w:rPr>
  </w:style>
  <w:style w:type="paragraph" w:customStyle="1" w:styleId="Para10">
    <w:name w:val="Para 1"/>
    <w:basedOn w:val="Normal"/>
    <w:rsid w:val="003B71B5"/>
    <w:pPr>
      <w:tabs>
        <w:tab w:val="num" w:pos="644"/>
      </w:tabs>
      <w:ind w:left="284"/>
      <w:jc w:val="left"/>
    </w:pPr>
    <w:rPr>
      <w:sz w:val="24"/>
      <w:lang w:val="en-CA" w:eastAsia="ja-JP"/>
    </w:rPr>
  </w:style>
  <w:style w:type="paragraph" w:customStyle="1" w:styleId="Decision">
    <w:name w:val="Decision"/>
    <w:basedOn w:val="Heading2"/>
    <w:link w:val="DecisionChar"/>
    <w:rsid w:val="003B71B5"/>
    <w:rPr>
      <w:i/>
      <w:lang w:val="en-CA" w:eastAsia="ja-JP"/>
    </w:rPr>
  </w:style>
  <w:style w:type="character" w:customStyle="1" w:styleId="DecisionChar">
    <w:name w:val="Decision Char"/>
    <w:link w:val="Decision"/>
    <w:rsid w:val="003B71B5"/>
    <w:rPr>
      <w:rFonts w:ascii="Times New Roman" w:eastAsia="Times New Roman" w:hAnsi="Times New Roman" w:cs="Times New Roman"/>
      <w:b/>
      <w:bCs/>
      <w:iCs/>
      <w:sz w:val="22"/>
      <w:lang w:val="en-CA" w:eastAsia="ja-JP"/>
    </w:rPr>
  </w:style>
  <w:style w:type="paragraph" w:customStyle="1" w:styleId="Decisionmultiline">
    <w:name w:val="Decision (multiline)"/>
    <w:basedOn w:val="Decision"/>
    <w:rsid w:val="003B71B5"/>
    <w:pPr>
      <w:tabs>
        <w:tab w:val="clear" w:pos="720"/>
      </w:tabs>
      <w:ind w:left="1800" w:hanging="1260"/>
      <w:jc w:val="left"/>
    </w:pPr>
  </w:style>
  <w:style w:type="paragraph" w:customStyle="1" w:styleId="Para3nonumber">
    <w:name w:val="Para  3 (no number)"/>
    <w:basedOn w:val="Para3"/>
    <w:rsid w:val="003B71B5"/>
    <w:pPr>
      <w:numPr>
        <w:ilvl w:val="0"/>
        <w:numId w:val="0"/>
      </w:numPr>
      <w:tabs>
        <w:tab w:val="num" w:pos="360"/>
        <w:tab w:val="left" w:pos="2160"/>
      </w:tabs>
      <w:spacing w:before="120" w:after="120"/>
      <w:jc w:val="left"/>
    </w:pPr>
    <w:rPr>
      <w:sz w:val="24"/>
      <w:szCs w:val="22"/>
      <w:lang w:val="en-CA" w:eastAsia="ja-JP"/>
    </w:rPr>
  </w:style>
  <w:style w:type="character" w:customStyle="1" w:styleId="Para1Char1">
    <w:name w:val="Para1 Char1"/>
    <w:rsid w:val="003B71B5"/>
    <w:rPr>
      <w:snapToGrid w:val="0"/>
      <w:sz w:val="22"/>
      <w:szCs w:val="18"/>
      <w:lang w:val="en-GB"/>
    </w:rPr>
  </w:style>
  <w:style w:type="paragraph" w:customStyle="1" w:styleId="Para40">
    <w:name w:val="Para4"/>
    <w:basedOn w:val="Para3"/>
    <w:rsid w:val="003B71B5"/>
    <w:pPr>
      <w:numPr>
        <w:ilvl w:val="0"/>
        <w:numId w:val="0"/>
      </w:numPr>
      <w:tabs>
        <w:tab w:val="clear" w:pos="1980"/>
        <w:tab w:val="left" w:pos="2552"/>
        <w:tab w:val="num" w:pos="2880"/>
      </w:tabs>
      <w:ind w:left="2880" w:hanging="360"/>
      <w:jc w:val="left"/>
    </w:pPr>
    <w:rPr>
      <w:sz w:val="24"/>
      <w:lang w:val="en-CA" w:eastAsia="ja-JP"/>
    </w:rPr>
  </w:style>
  <w:style w:type="character" w:styleId="LineNumber">
    <w:name w:val="line number"/>
    <w:uiPriority w:val="99"/>
    <w:unhideWhenUsed/>
    <w:rsid w:val="003B71B5"/>
  </w:style>
  <w:style w:type="paragraph" w:customStyle="1" w:styleId="ColorfulShading-Accent11">
    <w:name w:val="Colorful Shading - Accent 11"/>
    <w:hidden/>
    <w:uiPriority w:val="99"/>
    <w:semiHidden/>
    <w:rsid w:val="003B71B5"/>
    <w:rPr>
      <w:rFonts w:ascii="Times New Roman" w:eastAsia="Times New Roman" w:hAnsi="Times New Roman" w:cs="Times New Roman"/>
      <w:sz w:val="22"/>
      <w:lang w:val="en-GB"/>
    </w:rPr>
  </w:style>
  <w:style w:type="character" w:styleId="UnresolvedMention">
    <w:name w:val="Unresolved Mention"/>
    <w:uiPriority w:val="99"/>
    <w:semiHidden/>
    <w:unhideWhenUsed/>
    <w:rsid w:val="003B71B5"/>
    <w:rPr>
      <w:color w:val="605E5C"/>
      <w:shd w:val="clear" w:color="auto" w:fill="E1DFDD"/>
    </w:rPr>
  </w:style>
  <w:style w:type="character" w:customStyle="1" w:styleId="ColorfulList-Accent1Char">
    <w:name w:val="Colorful List - Accent 1 Char"/>
    <w:link w:val="ColorfulList-Accent11"/>
    <w:uiPriority w:val="34"/>
    <w:locked/>
    <w:rsid w:val="003B71B5"/>
    <w:rPr>
      <w:rFonts w:ascii="Times New Roman" w:eastAsia="Times New Roman" w:hAnsi="Times New Roman" w:cs="Times New Roman"/>
      <w:lang w:val="en-US" w:eastAsia="ja-JP"/>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3B71B5"/>
    <w:pPr>
      <w:spacing w:after="160" w:line="240" w:lineRule="exact"/>
      <w:jc w:val="left"/>
    </w:pPr>
    <w:rPr>
      <w:rFonts w:asciiTheme="minorHAnsi" w:eastAsiaTheme="minorEastAsia" w:hAnsiTheme="minorHAnsi" w:cstheme="minorBidi"/>
      <w:sz w:val="18"/>
      <w:u w:val="single"/>
      <w:lang w:val="fr-CA"/>
    </w:rPr>
  </w:style>
  <w:style w:type="paragraph" w:styleId="ListParagraph">
    <w:name w:val="List Paragraph"/>
    <w:basedOn w:val="Normal"/>
    <w:uiPriority w:val="34"/>
    <w:qFormat/>
    <w:rsid w:val="003B71B5"/>
    <w:pPr>
      <w:ind w:left="720"/>
      <w:jc w:val="left"/>
    </w:pPr>
    <w:rPr>
      <w:sz w:val="24"/>
      <w:lang w:val="en-CA" w:eastAsia="ja-JP"/>
    </w:rPr>
  </w:style>
  <w:style w:type="paragraph" w:styleId="Revision">
    <w:name w:val="Revision"/>
    <w:hidden/>
    <w:uiPriority w:val="99"/>
    <w:semiHidden/>
    <w:rsid w:val="003B71B5"/>
    <w:rPr>
      <w:rFonts w:ascii="Times New Roman" w:eastAsia="Times New Roman" w:hAnsi="Times New Roman" w:cs="Times New Roman"/>
      <w:lang w:val="en-CA" w:eastAsia="ja-JP"/>
    </w:rPr>
  </w:style>
  <w:style w:type="paragraph" w:customStyle="1" w:styleId="heading40">
    <w:name w:val="heading 40"/>
    <w:basedOn w:val="Normal"/>
    <w:rsid w:val="00A0753D"/>
    <w:pPr>
      <w:keepNext/>
      <w:spacing w:before="120" w:after="120"/>
      <w:jc w:val="left"/>
    </w:pPr>
    <w:rPr>
      <w:i/>
      <w:iCs/>
      <w:sz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15076">
      <w:bodyDiv w:val="1"/>
      <w:marLeft w:val="0"/>
      <w:marRight w:val="0"/>
      <w:marTop w:val="0"/>
      <w:marBottom w:val="0"/>
      <w:divBdr>
        <w:top w:val="none" w:sz="0" w:space="0" w:color="auto"/>
        <w:left w:val="none" w:sz="0" w:space="0" w:color="auto"/>
        <w:bottom w:val="none" w:sz="0" w:space="0" w:color="auto"/>
        <w:right w:val="none" w:sz="0" w:space="0" w:color="auto"/>
      </w:divBdr>
    </w:div>
    <w:div w:id="2098940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notifications/2019/ntf-2019-019-bs-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notifications/2019/ntf-2019-042-bs-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4/cop-14-dec-23-en.pdf" TargetMode="External"/><Relationship Id="rId20" Type="http://schemas.openxmlformats.org/officeDocument/2006/relationships/hyperlink" Target="https://www.cbd.int/decision/mop/?id=1231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p-mop-09/cp-mop-09-dec-05-en.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beta.bch.cbd.int/articles/5d2cdcd0620471000183573f" TargetMode="External"/><Relationship Id="rId2" Type="http://schemas.openxmlformats.org/officeDocument/2006/relationships/hyperlink" Target="http://bch.cbd.int/onlineconferences/portal_art20/nfps/newBCHforum.shtml" TargetMode="External"/><Relationship Id="rId1" Type="http://schemas.openxmlformats.org/officeDocument/2006/relationships/hyperlink" Target="https://www.cbd.int/doc/notifications/2019/ntf-2019-074-bs-en.pdf" TargetMode="External"/><Relationship Id="rId4" Type="http://schemas.openxmlformats.org/officeDocument/2006/relationships/hyperlink" Target="http://bch.cbd.int/onlineconferences/portal_art20/nfps/newBCHforum.s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latin typeface="Times New Roman" panose="02020603050405020304" pitchFamily="18" charset="0"/>
                <a:cs typeface="Times New Roman" panose="02020603050405020304" pitchFamily="18" charset="0"/>
              </a:defRPr>
            </a:pPr>
            <a:r>
              <a:rPr lang="en-US" sz="1700">
                <a:latin typeface="Times New Roman" panose="02020603050405020304" pitchFamily="18" charset="0"/>
                <a:cs typeface="Times New Roman" panose="02020603050405020304" pitchFamily="18" charset="0"/>
              </a:rPr>
              <a:t>Submission rate of national reports  </a:t>
            </a:r>
          </a:p>
          <a:p>
            <a:pPr>
              <a:defRPr>
                <a:latin typeface="Times New Roman" panose="02020603050405020304" pitchFamily="18" charset="0"/>
                <a:cs typeface="Times New Roman" panose="02020603050405020304" pitchFamily="18" charset="0"/>
              </a:defRPr>
            </a:pPr>
            <a:r>
              <a:rPr lang="en-US" sz="1700">
                <a:latin typeface="Times New Roman" panose="02020603050405020304" pitchFamily="18" charset="0"/>
                <a:cs typeface="Times New Roman" panose="02020603050405020304" pitchFamily="18" charset="0"/>
              </a:rPr>
              <a:t>measured 1 - 3.5 months after submission deadline</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Sheet1!$C$7</c:f>
              <c:strCache>
                <c:ptCount val="1"/>
                <c:pt idx="0">
                  <c:v>Interim national report</c:v>
                </c:pt>
              </c:strCache>
            </c:strRef>
          </c:tx>
          <c:invertIfNegative val="0"/>
          <c:cat>
            <c:strRef>
              <c:f>Sheet1!$D$6:$I$6</c:f>
              <c:strCache>
                <c:ptCount val="6"/>
                <c:pt idx="0">
                  <c:v>Africa</c:v>
                </c:pt>
                <c:pt idx="1">
                  <c:v>Asia-Pacific</c:v>
                </c:pt>
                <c:pt idx="2">
                  <c:v>CEE</c:v>
                </c:pt>
                <c:pt idx="3">
                  <c:v>GRULAC</c:v>
                </c:pt>
                <c:pt idx="4">
                  <c:v>WEOG</c:v>
                </c:pt>
                <c:pt idx="5">
                  <c:v>Total</c:v>
                </c:pt>
              </c:strCache>
            </c:strRef>
          </c:cat>
          <c:val>
            <c:numRef>
              <c:f>Sheet1!$D$7:$I$7</c:f>
              <c:numCache>
                <c:formatCode>General</c:formatCode>
                <c:ptCount val="6"/>
                <c:pt idx="0">
                  <c:v>22</c:v>
                </c:pt>
                <c:pt idx="1">
                  <c:v>14</c:v>
                </c:pt>
                <c:pt idx="2">
                  <c:v>29</c:v>
                </c:pt>
                <c:pt idx="3">
                  <c:v>55</c:v>
                </c:pt>
                <c:pt idx="4">
                  <c:v>80</c:v>
                </c:pt>
                <c:pt idx="5">
                  <c:v>37</c:v>
                </c:pt>
              </c:numCache>
            </c:numRef>
          </c:val>
          <c:extLst>
            <c:ext xmlns:c16="http://schemas.microsoft.com/office/drawing/2014/chart" uri="{C3380CC4-5D6E-409C-BE32-E72D297353CC}">
              <c16:uniqueId val="{00000000-E7FC-43CB-A121-C366EDAE8AB2}"/>
            </c:ext>
          </c:extLst>
        </c:ser>
        <c:ser>
          <c:idx val="1"/>
          <c:order val="1"/>
          <c:tx>
            <c:strRef>
              <c:f>Sheet1!$C$8</c:f>
              <c:strCache>
                <c:ptCount val="1"/>
                <c:pt idx="0">
                  <c:v>First national report</c:v>
                </c:pt>
              </c:strCache>
            </c:strRef>
          </c:tx>
          <c:invertIfNegative val="0"/>
          <c:cat>
            <c:strRef>
              <c:f>Sheet1!$D$6:$I$6</c:f>
              <c:strCache>
                <c:ptCount val="6"/>
                <c:pt idx="0">
                  <c:v>Africa</c:v>
                </c:pt>
                <c:pt idx="1">
                  <c:v>Asia-Pacific</c:v>
                </c:pt>
                <c:pt idx="2">
                  <c:v>CEE</c:v>
                </c:pt>
                <c:pt idx="3">
                  <c:v>GRULAC</c:v>
                </c:pt>
                <c:pt idx="4">
                  <c:v>WEOG</c:v>
                </c:pt>
                <c:pt idx="5">
                  <c:v>Total</c:v>
                </c:pt>
              </c:strCache>
            </c:strRef>
          </c:cat>
          <c:val>
            <c:numRef>
              <c:f>Sheet1!$D$8:$I$8</c:f>
              <c:numCache>
                <c:formatCode>General</c:formatCode>
                <c:ptCount val="6"/>
                <c:pt idx="0">
                  <c:v>38</c:v>
                </c:pt>
                <c:pt idx="1">
                  <c:v>14</c:v>
                </c:pt>
                <c:pt idx="2">
                  <c:v>25</c:v>
                </c:pt>
                <c:pt idx="3">
                  <c:v>44</c:v>
                </c:pt>
                <c:pt idx="4">
                  <c:v>67</c:v>
                </c:pt>
                <c:pt idx="5">
                  <c:v>35</c:v>
                </c:pt>
              </c:numCache>
            </c:numRef>
          </c:val>
          <c:extLst>
            <c:ext xmlns:c16="http://schemas.microsoft.com/office/drawing/2014/chart" uri="{C3380CC4-5D6E-409C-BE32-E72D297353CC}">
              <c16:uniqueId val="{00000001-E7FC-43CB-A121-C366EDAE8AB2}"/>
            </c:ext>
          </c:extLst>
        </c:ser>
        <c:ser>
          <c:idx val="2"/>
          <c:order val="2"/>
          <c:tx>
            <c:strRef>
              <c:f>Sheet1!$C$9</c:f>
              <c:strCache>
                <c:ptCount val="1"/>
                <c:pt idx="0">
                  <c:v>Second national report</c:v>
                </c:pt>
              </c:strCache>
            </c:strRef>
          </c:tx>
          <c:invertIfNegative val="0"/>
          <c:cat>
            <c:strRef>
              <c:f>Sheet1!$D$6:$I$6</c:f>
              <c:strCache>
                <c:ptCount val="6"/>
                <c:pt idx="0">
                  <c:v>Africa</c:v>
                </c:pt>
                <c:pt idx="1">
                  <c:v>Asia-Pacific</c:v>
                </c:pt>
                <c:pt idx="2">
                  <c:v>CEE</c:v>
                </c:pt>
                <c:pt idx="3">
                  <c:v>GRULAC</c:v>
                </c:pt>
                <c:pt idx="4">
                  <c:v>WEOG</c:v>
                </c:pt>
                <c:pt idx="5">
                  <c:v>Total</c:v>
                </c:pt>
              </c:strCache>
            </c:strRef>
          </c:cat>
          <c:val>
            <c:numRef>
              <c:f>Sheet1!$D$9:$I$9</c:f>
              <c:numCache>
                <c:formatCode>General</c:formatCode>
                <c:ptCount val="6"/>
                <c:pt idx="0">
                  <c:v>100</c:v>
                </c:pt>
                <c:pt idx="1">
                  <c:v>85</c:v>
                </c:pt>
                <c:pt idx="2">
                  <c:v>86</c:v>
                </c:pt>
                <c:pt idx="3">
                  <c:v>75</c:v>
                </c:pt>
                <c:pt idx="4">
                  <c:v>90</c:v>
                </c:pt>
                <c:pt idx="5">
                  <c:v>89</c:v>
                </c:pt>
              </c:numCache>
            </c:numRef>
          </c:val>
          <c:extLst>
            <c:ext xmlns:c16="http://schemas.microsoft.com/office/drawing/2014/chart" uri="{C3380CC4-5D6E-409C-BE32-E72D297353CC}">
              <c16:uniqueId val="{00000002-E7FC-43CB-A121-C366EDAE8AB2}"/>
            </c:ext>
          </c:extLst>
        </c:ser>
        <c:ser>
          <c:idx val="3"/>
          <c:order val="3"/>
          <c:tx>
            <c:strRef>
              <c:f>Sheet1!$C$10</c:f>
              <c:strCache>
                <c:ptCount val="1"/>
                <c:pt idx="0">
                  <c:v>Third national report</c:v>
                </c:pt>
              </c:strCache>
            </c:strRef>
          </c:tx>
          <c:invertIfNegative val="0"/>
          <c:cat>
            <c:strRef>
              <c:f>Sheet1!$D$6:$I$6</c:f>
              <c:strCache>
                <c:ptCount val="6"/>
                <c:pt idx="0">
                  <c:v>Africa</c:v>
                </c:pt>
                <c:pt idx="1">
                  <c:v>Asia-Pacific</c:v>
                </c:pt>
                <c:pt idx="2">
                  <c:v>CEE</c:v>
                </c:pt>
                <c:pt idx="3">
                  <c:v>GRULAC</c:v>
                </c:pt>
                <c:pt idx="4">
                  <c:v>WEOG</c:v>
                </c:pt>
                <c:pt idx="5">
                  <c:v>Total</c:v>
                </c:pt>
              </c:strCache>
            </c:strRef>
          </c:cat>
          <c:val>
            <c:numRef>
              <c:f>Sheet1!$D$10:$I$10</c:f>
              <c:numCache>
                <c:formatCode>General</c:formatCode>
                <c:ptCount val="6"/>
                <c:pt idx="0">
                  <c:v>67</c:v>
                </c:pt>
                <c:pt idx="1">
                  <c:v>47</c:v>
                </c:pt>
                <c:pt idx="2">
                  <c:v>77</c:v>
                </c:pt>
                <c:pt idx="3">
                  <c:v>52</c:v>
                </c:pt>
                <c:pt idx="4">
                  <c:v>81</c:v>
                </c:pt>
                <c:pt idx="5">
                  <c:v>62</c:v>
                </c:pt>
              </c:numCache>
            </c:numRef>
          </c:val>
          <c:extLst>
            <c:ext xmlns:c16="http://schemas.microsoft.com/office/drawing/2014/chart" uri="{C3380CC4-5D6E-409C-BE32-E72D297353CC}">
              <c16:uniqueId val="{00000003-E7FC-43CB-A121-C366EDAE8AB2}"/>
            </c:ext>
          </c:extLst>
        </c:ser>
        <c:ser>
          <c:idx val="4"/>
          <c:order val="4"/>
          <c:tx>
            <c:strRef>
              <c:f>Sheet1!$C$11</c:f>
              <c:strCache>
                <c:ptCount val="1"/>
                <c:pt idx="0">
                  <c:v>Fourth national report</c:v>
                </c:pt>
              </c:strCache>
            </c:strRef>
          </c:tx>
          <c:invertIfNegative val="0"/>
          <c:cat>
            <c:strRef>
              <c:f>Sheet1!$D$6:$I$6</c:f>
              <c:strCache>
                <c:ptCount val="6"/>
                <c:pt idx="0">
                  <c:v>Africa</c:v>
                </c:pt>
                <c:pt idx="1">
                  <c:v>Asia-Pacific</c:v>
                </c:pt>
                <c:pt idx="2">
                  <c:v>CEE</c:v>
                </c:pt>
                <c:pt idx="3">
                  <c:v>GRULAC</c:v>
                </c:pt>
                <c:pt idx="4">
                  <c:v>WEOG</c:v>
                </c:pt>
                <c:pt idx="5">
                  <c:v>Total</c:v>
                </c:pt>
              </c:strCache>
            </c:strRef>
          </c:cat>
          <c:val>
            <c:numRef>
              <c:f>Sheet1!$D$11:$I$11</c:f>
              <c:numCache>
                <c:formatCode>General</c:formatCode>
                <c:ptCount val="6"/>
                <c:pt idx="0">
                  <c:v>63</c:v>
                </c:pt>
                <c:pt idx="1">
                  <c:v>38</c:v>
                </c:pt>
                <c:pt idx="2">
                  <c:v>73</c:v>
                </c:pt>
                <c:pt idx="3">
                  <c:v>48</c:v>
                </c:pt>
                <c:pt idx="4">
                  <c:v>90</c:v>
                </c:pt>
                <c:pt idx="5">
                  <c:v>58</c:v>
                </c:pt>
              </c:numCache>
            </c:numRef>
          </c:val>
          <c:extLst>
            <c:ext xmlns:c16="http://schemas.microsoft.com/office/drawing/2014/chart" uri="{C3380CC4-5D6E-409C-BE32-E72D297353CC}">
              <c16:uniqueId val="{00000004-E7FC-43CB-A121-C366EDAE8AB2}"/>
            </c:ext>
          </c:extLst>
        </c:ser>
        <c:dLbls>
          <c:showLegendKey val="0"/>
          <c:showVal val="0"/>
          <c:showCatName val="0"/>
          <c:showSerName val="0"/>
          <c:showPercent val="0"/>
          <c:showBubbleSize val="0"/>
        </c:dLbls>
        <c:gapWidth val="150"/>
        <c:shape val="box"/>
        <c:axId val="174667272"/>
        <c:axId val="1"/>
        <c:axId val="0"/>
      </c:bar3DChart>
      <c:catAx>
        <c:axId val="17466727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majorGridlines/>
        <c:numFmt formatCode="0%" sourceLinked="0"/>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en-US"/>
          </a:p>
        </c:txPr>
        <c:crossAx val="174667272"/>
        <c:crosses val="autoZero"/>
        <c:crossBetween val="between"/>
        <c:majorUnit val="20"/>
        <c:dispUnits>
          <c:builtInUnit val="hundreds"/>
        </c:dispUnits>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83724"/>
    <w:rsid w:val="00204ED8"/>
    <w:rsid w:val="00291C3B"/>
    <w:rsid w:val="00500A2B"/>
    <w:rsid w:val="0058288D"/>
    <w:rsid w:val="005E1DAB"/>
    <w:rsid w:val="0061507A"/>
    <w:rsid w:val="006801B3"/>
    <w:rsid w:val="00682EE9"/>
    <w:rsid w:val="006A7472"/>
    <w:rsid w:val="00810A55"/>
    <w:rsid w:val="008A0C56"/>
    <w:rsid w:val="008C6619"/>
    <w:rsid w:val="008D420E"/>
    <w:rsid w:val="008E73F4"/>
    <w:rsid w:val="0098642F"/>
    <w:rsid w:val="00DA23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EDE5D-620E-4D21-B27B-E5EDF4A88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DDFF86-AC31-47A0-86D0-E821FD77A669}">
  <ds:schemaRefs>
    <ds:schemaRef ds:uri="http://schemas.microsoft.com/sharepoint/v3/contenttype/forms"/>
  </ds:schemaRefs>
</ds:datastoreItem>
</file>

<file path=customXml/itemProps4.xml><?xml version="1.0" encoding="utf-8"?>
<ds:datastoreItem xmlns:ds="http://schemas.openxmlformats.org/officeDocument/2006/customXml" ds:itemID="{8997E0FC-3237-4317-9998-1C4D23348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F401AC-7438-4E79-8ADE-877BDEB0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2282</TotalTime>
  <Pages>11</Pages>
  <Words>4356</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Overview of compliance with the obligation to submit national reports</vt:lpstr>
    </vt:vector>
  </TitlesOfParts>
  <Company>SCBD</Company>
  <LinksUpToDate>false</LinksUpToDate>
  <CharactersWithSpaces>29128</CharactersWithSpaces>
  <SharedDoc>false</SharedDoc>
  <HLinks>
    <vt:vector size="54" baseType="variant">
      <vt:variant>
        <vt:i4>4063353</vt:i4>
      </vt:variant>
      <vt:variant>
        <vt:i4>12</vt:i4>
      </vt:variant>
      <vt:variant>
        <vt:i4>0</vt:i4>
      </vt:variant>
      <vt:variant>
        <vt:i4>5</vt:i4>
      </vt:variant>
      <vt:variant>
        <vt:lpwstr>https://www.cbd.int/decision/mop/?id=12314</vt:lpwstr>
      </vt:variant>
      <vt:variant>
        <vt:lpwstr/>
      </vt:variant>
      <vt:variant>
        <vt:i4>4980750</vt:i4>
      </vt:variant>
      <vt:variant>
        <vt:i4>9</vt:i4>
      </vt:variant>
      <vt:variant>
        <vt:i4>0</vt:i4>
      </vt:variant>
      <vt:variant>
        <vt:i4>5</vt:i4>
      </vt:variant>
      <vt:variant>
        <vt:lpwstr>https://www.cbd.int/doc/notifications/2019/ntf-2019-019-bs-en.pdf</vt:lpwstr>
      </vt:variant>
      <vt:variant>
        <vt:lpwstr/>
      </vt:variant>
      <vt:variant>
        <vt:i4>4784133</vt:i4>
      </vt:variant>
      <vt:variant>
        <vt:i4>6</vt:i4>
      </vt:variant>
      <vt:variant>
        <vt:i4>0</vt:i4>
      </vt:variant>
      <vt:variant>
        <vt:i4>5</vt:i4>
      </vt:variant>
      <vt:variant>
        <vt:lpwstr>https://www.cbd.int/doc/notifications/2019/ntf-2019-042-bs-en.pdf</vt:lpwstr>
      </vt:variant>
      <vt:variant>
        <vt:lpwstr/>
      </vt:variant>
      <vt:variant>
        <vt:i4>786504</vt:i4>
      </vt:variant>
      <vt:variant>
        <vt:i4>3</vt:i4>
      </vt:variant>
      <vt:variant>
        <vt:i4>0</vt:i4>
      </vt:variant>
      <vt:variant>
        <vt:i4>5</vt:i4>
      </vt:variant>
      <vt:variant>
        <vt:lpwstr>https://www.cbd.int/doc/decisions/cop-14/cop-14-dec-23-en.pdf</vt:lpwstr>
      </vt:variant>
      <vt:variant>
        <vt:lpwstr/>
      </vt:variant>
      <vt:variant>
        <vt:i4>7405617</vt:i4>
      </vt:variant>
      <vt:variant>
        <vt:i4>0</vt:i4>
      </vt:variant>
      <vt:variant>
        <vt:i4>0</vt:i4>
      </vt:variant>
      <vt:variant>
        <vt:i4>5</vt:i4>
      </vt:variant>
      <vt:variant>
        <vt:lpwstr>https://www.cbd.int/doc/decisions/cp-mop-09/cp-mop-09-dec-05-en.pdf</vt:lpwstr>
      </vt:variant>
      <vt:variant>
        <vt:lpwstr/>
      </vt:variant>
      <vt:variant>
        <vt:i4>6619209</vt:i4>
      </vt:variant>
      <vt:variant>
        <vt:i4>9</vt:i4>
      </vt:variant>
      <vt:variant>
        <vt:i4>0</vt:i4>
      </vt:variant>
      <vt:variant>
        <vt:i4>5</vt:i4>
      </vt:variant>
      <vt:variant>
        <vt:lpwstr>http://bch.cbd.int/onlineconferences/portal_art20/nfps/newBCHforum.shtml</vt:lpwstr>
      </vt:variant>
      <vt:variant>
        <vt:lpwstr/>
      </vt:variant>
      <vt:variant>
        <vt:i4>3735604</vt:i4>
      </vt:variant>
      <vt:variant>
        <vt:i4>6</vt:i4>
      </vt:variant>
      <vt:variant>
        <vt:i4>0</vt:i4>
      </vt:variant>
      <vt:variant>
        <vt:i4>5</vt:i4>
      </vt:variant>
      <vt:variant>
        <vt:lpwstr>https://beta.bch.cbd.int/articles/5d2cdcd0620471000183573f</vt:lpwstr>
      </vt:variant>
      <vt:variant>
        <vt:lpwstr/>
      </vt:variant>
      <vt:variant>
        <vt:i4>6619209</vt:i4>
      </vt:variant>
      <vt:variant>
        <vt:i4>3</vt:i4>
      </vt:variant>
      <vt:variant>
        <vt:i4>0</vt:i4>
      </vt:variant>
      <vt:variant>
        <vt:i4>5</vt:i4>
      </vt:variant>
      <vt:variant>
        <vt:lpwstr>http://bch.cbd.int/onlineconferences/portal_art20/nfps/newBCHforum.shtml</vt:lpwstr>
      </vt:variant>
      <vt:variant>
        <vt:lpwstr/>
      </vt:variant>
      <vt:variant>
        <vt:i4>4849667</vt:i4>
      </vt:variant>
      <vt:variant>
        <vt:i4>0</vt:i4>
      </vt:variant>
      <vt:variant>
        <vt:i4>0</vt:i4>
      </vt:variant>
      <vt:variant>
        <vt:i4>5</vt:i4>
      </vt:variant>
      <vt:variant>
        <vt:lpwstr>https://www.cbd.int/doc/notifications/2019/ntf-2019-074-bs-en.pdf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compliance with the obligation to submit national reports</dc:title>
  <dc:subject>CBD/CP/CC/17/2</dc:subject>
  <dc:creator>SCBD</dc:creator>
  <cp:keywords>Compliance Committee under the Cartagena Protocol on Biosafety, seventeenth meeting, Online, 15-17 April 2020, Convention on Biological Diversity</cp:keywords>
  <cp:lastModifiedBy>Orestes Plasencia</cp:lastModifiedBy>
  <cp:revision>337</cp:revision>
  <cp:lastPrinted>2019-02-19T23:35:00Z</cp:lastPrinted>
  <dcterms:created xsi:type="dcterms:W3CDTF">2020-03-17T17:12:00Z</dcterms:created>
  <dcterms:modified xsi:type="dcterms:W3CDTF">2020-03-20T17:59:00Z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-753912488</vt:i4>
  </property>
  <property fmtid="{D5CDD505-2E9C-101B-9397-08002B2CF9AE}" pid="3" name="ContentTypeId">
    <vt:lpwstr>0x01010069BFACF6D92CD24AA50050CE23F68F74</vt:lpwstr>
  </property>
</Properties>
</file>