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B8" w:rsidRDefault="003B03B8" w:rsidP="003B03B8">
      <w:pPr>
        <w:bidi/>
        <w:rPr>
          <w:snapToGrid w:val="0"/>
          <w:kern w:val="22"/>
          <w:szCs w:val="22"/>
          <w:lang w:eastAsia="nb-NO"/>
        </w:rPr>
      </w:pPr>
      <w:bookmarkStart w:id="0" w:name="_GoBack"/>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E0AAE" w:rsidTr="0091616C">
        <w:trPr>
          <w:cantSplit/>
          <w:trHeight w:val="837"/>
        </w:trPr>
        <w:tc>
          <w:tcPr>
            <w:tcW w:w="6588" w:type="dxa"/>
            <w:gridSpan w:val="2"/>
            <w:tcBorders>
              <w:top w:val="nil"/>
              <w:left w:val="nil"/>
              <w:bottom w:val="single" w:sz="12" w:space="0" w:color="auto"/>
              <w:right w:val="nil"/>
            </w:tcBorders>
            <w:vAlign w:val="center"/>
          </w:tcPr>
          <w:p w:rsidR="009E0AAE" w:rsidRPr="00EB0217" w:rsidRDefault="009E0AAE" w:rsidP="0091616C">
            <w:pPr>
              <w:rPr>
                <w:rFonts w:ascii="Univers" w:hAnsi="Univers"/>
                <w:b/>
                <w:sz w:val="32"/>
              </w:rPr>
            </w:pPr>
            <w:r w:rsidRPr="00EB0217">
              <w:rPr>
                <w:rFonts w:ascii="Univers" w:hAnsi="Univers"/>
                <w:b/>
                <w:sz w:val="32"/>
              </w:rPr>
              <w:t>CBD</w:t>
            </w:r>
          </w:p>
        </w:tc>
        <w:tc>
          <w:tcPr>
            <w:tcW w:w="1440" w:type="dxa"/>
            <w:tcBorders>
              <w:top w:val="nil"/>
              <w:left w:val="nil"/>
              <w:bottom w:val="single" w:sz="12" w:space="0" w:color="auto"/>
              <w:right w:val="nil"/>
            </w:tcBorders>
          </w:tcPr>
          <w:p w:rsidR="009E0AAE" w:rsidRDefault="009E0AAE" w:rsidP="0091616C">
            <w:pPr>
              <w:tabs>
                <w:tab w:val="left" w:pos="-720"/>
              </w:tabs>
              <w:suppressAutoHyphens/>
              <w:spacing w:before="120"/>
              <w:jc w:val="center"/>
              <w:rPr>
                <w:b/>
                <w:bCs/>
                <w:lang w:bidi="ar-EG"/>
              </w:rPr>
            </w:pPr>
            <w:r>
              <w:rPr>
                <w:b/>
                <w:noProof/>
                <w:lang w:val="en-CA" w:eastAsia="en-CA"/>
              </w:rPr>
              <w:drawing>
                <wp:inline distT="0" distB="0" distL="0" distR="0">
                  <wp:extent cx="685800" cy="561975"/>
                  <wp:effectExtent l="1905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l="4395" r="4395"/>
                          <a:stretch>
                            <a:fillRect/>
                          </a:stretch>
                        </pic:blipFill>
                        <pic:spPr bwMode="auto">
                          <a:xfrm>
                            <a:off x="0" y="0"/>
                            <a:ext cx="685800" cy="561975"/>
                          </a:xfrm>
                          <a:prstGeom prst="rect">
                            <a:avLst/>
                          </a:prstGeom>
                          <a:noFill/>
                          <a:ln w="9525">
                            <a:noFill/>
                            <a:miter lim="800000"/>
                            <a:headEnd/>
                            <a:tailEnd/>
                          </a:ln>
                        </pic:spPr>
                      </pic:pic>
                    </a:graphicData>
                  </a:graphic>
                </wp:inline>
              </w:drawing>
            </w:r>
          </w:p>
        </w:tc>
        <w:tc>
          <w:tcPr>
            <w:tcW w:w="1620" w:type="dxa"/>
            <w:tcBorders>
              <w:top w:val="nil"/>
              <w:left w:val="nil"/>
              <w:bottom w:val="single" w:sz="12" w:space="0" w:color="auto"/>
              <w:right w:val="nil"/>
            </w:tcBorders>
          </w:tcPr>
          <w:p w:rsidR="009E0AAE" w:rsidRDefault="009E0AAE" w:rsidP="0091616C">
            <w:pPr>
              <w:tabs>
                <w:tab w:val="left" w:pos="-720"/>
              </w:tabs>
              <w:suppressAutoHyphens/>
              <w:spacing w:before="120"/>
              <w:jc w:val="center"/>
            </w:pPr>
            <w:r>
              <w:rPr>
                <w:noProof/>
                <w:lang w:val="en-CA" w:eastAsia="en-CA"/>
              </w:rPr>
              <w:drawing>
                <wp:inline distT="0" distB="0" distL="0" distR="0">
                  <wp:extent cx="495300" cy="58102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95300" cy="581025"/>
                          </a:xfrm>
                          <a:prstGeom prst="rect">
                            <a:avLst/>
                          </a:prstGeom>
                          <a:noFill/>
                          <a:ln w="9525">
                            <a:noFill/>
                            <a:miter lim="800000"/>
                            <a:headEnd/>
                            <a:tailEnd/>
                          </a:ln>
                        </pic:spPr>
                      </pic:pic>
                    </a:graphicData>
                  </a:graphic>
                </wp:inline>
              </w:drawing>
            </w:r>
          </w:p>
        </w:tc>
      </w:tr>
      <w:tr w:rsidR="009E0AAE" w:rsidTr="0091616C">
        <w:trPr>
          <w:cantSplit/>
          <w:trHeight w:val="1770"/>
        </w:trPr>
        <w:tc>
          <w:tcPr>
            <w:tcW w:w="4428" w:type="dxa"/>
            <w:tcBorders>
              <w:top w:val="nil"/>
              <w:left w:val="nil"/>
              <w:bottom w:val="single" w:sz="24" w:space="0" w:color="auto"/>
              <w:right w:val="nil"/>
            </w:tcBorders>
          </w:tcPr>
          <w:p w:rsidR="009E0AAE" w:rsidRPr="002B1318" w:rsidRDefault="009E0AAE" w:rsidP="0091616C">
            <w:r w:rsidRPr="002B1318">
              <w:t>Distr.</w:t>
            </w:r>
          </w:p>
          <w:p w:rsidR="009E0AAE" w:rsidRPr="002B1318" w:rsidRDefault="009E0AAE" w:rsidP="0091616C">
            <w:r w:rsidRPr="002B1318">
              <w:t>GENERAL</w:t>
            </w:r>
          </w:p>
          <w:p w:rsidR="009E0AAE" w:rsidRPr="003E4D78" w:rsidRDefault="009E0AAE" w:rsidP="009E0AAE">
            <w:pPr>
              <w:ind w:left="63"/>
              <w:rPr>
                <w:snapToGrid w:val="0"/>
                <w:kern w:val="22"/>
                <w:szCs w:val="22"/>
              </w:rPr>
            </w:pPr>
          </w:p>
          <w:sdt>
            <w:sdtPr>
              <w:rPr>
                <w:snapToGrid w:val="0"/>
                <w:kern w:val="22"/>
                <w:szCs w:val="22"/>
                <w:lang w:val="en-US"/>
              </w:rPr>
              <w:alias w:val="Subject"/>
              <w:tag w:val=""/>
              <w:id w:val="2700722"/>
              <w:placeholder>
                <w:docPart w:val="922E75374EF148B7B44B64199FE30CD0"/>
              </w:placeholder>
              <w:dataBinding w:prefixMappings="xmlns:ns0='http://purl.org/dc/elements/1.1/' xmlns:ns1='http://schemas.openxmlformats.org/package/2006/metadata/core-properties' " w:xpath="/ns1:coreProperties[1]/ns0:subject[1]" w:storeItemID="{6C3C8BC8-F283-45AE-878A-BAB7291924A1}"/>
              <w:text/>
            </w:sdtPr>
            <w:sdtEndPr/>
            <w:sdtContent>
              <w:p w:rsidR="009E0AAE" w:rsidRPr="003E4D78" w:rsidRDefault="009E0AAE" w:rsidP="009E0AAE">
                <w:pPr>
                  <w:ind w:left="63"/>
                  <w:rPr>
                    <w:snapToGrid w:val="0"/>
                    <w:kern w:val="22"/>
                    <w:szCs w:val="22"/>
                  </w:rPr>
                </w:pPr>
                <w:r w:rsidRPr="003E4D78">
                  <w:rPr>
                    <w:snapToGrid w:val="0"/>
                    <w:kern w:val="22"/>
                    <w:szCs w:val="22"/>
                    <w:lang w:val="en-US"/>
                  </w:rPr>
                  <w:t>CBD/SBI/2/14</w:t>
                </w:r>
              </w:p>
            </w:sdtContent>
          </w:sdt>
          <w:p w:rsidR="009E0AAE" w:rsidRPr="003E4D78" w:rsidRDefault="009E0AAE" w:rsidP="009E0AAE">
            <w:pPr>
              <w:ind w:left="63"/>
              <w:rPr>
                <w:snapToGrid w:val="0"/>
                <w:kern w:val="22"/>
                <w:szCs w:val="22"/>
              </w:rPr>
            </w:pPr>
            <w:r w:rsidRPr="003E4D78">
              <w:rPr>
                <w:snapToGrid w:val="0"/>
                <w:kern w:val="22"/>
                <w:szCs w:val="22"/>
              </w:rPr>
              <w:t>20 April 2018</w:t>
            </w:r>
          </w:p>
          <w:p w:rsidR="009E0AAE" w:rsidRPr="003E4D78" w:rsidRDefault="009E0AAE" w:rsidP="009E0AAE">
            <w:pPr>
              <w:ind w:left="63"/>
              <w:rPr>
                <w:snapToGrid w:val="0"/>
                <w:kern w:val="22"/>
                <w:szCs w:val="22"/>
              </w:rPr>
            </w:pPr>
          </w:p>
          <w:p w:rsidR="009E0AAE" w:rsidRPr="002B1318" w:rsidRDefault="009E0AAE" w:rsidP="0091616C">
            <w:pPr>
              <w:pStyle w:val="Heading5"/>
              <w:numPr>
                <w:ilvl w:val="0"/>
                <w:numId w:val="0"/>
              </w:numPr>
              <w:tabs>
                <w:tab w:val="left" w:pos="-720"/>
              </w:tabs>
              <w:suppressAutoHyphens/>
              <w:spacing w:before="0" w:after="0"/>
              <w:rPr>
                <w:bCs w:val="0"/>
                <w:i w:val="0"/>
                <w:szCs w:val="24"/>
                <w:lang w:val="en-US"/>
              </w:rPr>
            </w:pPr>
            <w:r w:rsidRPr="002B1318">
              <w:rPr>
                <w:bCs w:val="0"/>
                <w:i w:val="0"/>
                <w:szCs w:val="24"/>
                <w:lang w:val="en-US"/>
              </w:rPr>
              <w:t>ARABIC</w:t>
            </w:r>
          </w:p>
          <w:p w:rsidR="009E0AAE" w:rsidRPr="002B1318" w:rsidRDefault="009E0AAE" w:rsidP="0091616C">
            <w:pPr>
              <w:tabs>
                <w:tab w:val="left" w:pos="-720"/>
              </w:tabs>
              <w:suppressAutoHyphens/>
              <w:spacing w:after="40"/>
            </w:pPr>
            <w:r w:rsidRPr="002B1318">
              <w:t xml:space="preserve">ORIGINAL: ENGLISH </w:t>
            </w:r>
          </w:p>
        </w:tc>
        <w:tc>
          <w:tcPr>
            <w:tcW w:w="5220" w:type="dxa"/>
            <w:gridSpan w:val="3"/>
            <w:tcBorders>
              <w:top w:val="nil"/>
              <w:left w:val="nil"/>
              <w:bottom w:val="single" w:sz="24" w:space="0" w:color="auto"/>
              <w:right w:val="nil"/>
            </w:tcBorders>
          </w:tcPr>
          <w:p w:rsidR="009E0AAE" w:rsidRDefault="009E0AAE" w:rsidP="0091616C">
            <w:pPr>
              <w:tabs>
                <w:tab w:val="left" w:pos="-720"/>
              </w:tabs>
              <w:suppressAutoHyphens/>
              <w:bidi/>
              <w:spacing w:before="120"/>
              <w:rPr>
                <w:rtl/>
                <w:lang w:bidi="ar-EG"/>
              </w:rPr>
            </w:pPr>
            <w:r>
              <w:rPr>
                <w:b/>
                <w:bCs/>
                <w:noProof/>
                <w:sz w:val="36"/>
                <w:szCs w:val="36"/>
                <w:rtl/>
                <w:lang w:val="en-CA" w:eastAsia="en-CA"/>
              </w:rPr>
              <w:drawing>
                <wp:inline distT="0" distB="0" distL="0" distR="0">
                  <wp:extent cx="2562225" cy="1028700"/>
                  <wp:effectExtent l="19050" t="0" r="9525" b="0"/>
                  <wp:docPr id="9" name="Picture 6"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D_logo_ar-CMYK-black  Converted "/>
                          <pic:cNvPicPr>
                            <a:picLocks noChangeAspect="1" noChangeArrowheads="1"/>
                          </pic:cNvPicPr>
                        </pic:nvPicPr>
                        <pic:blipFill>
                          <a:blip r:embed="rId11" cstate="print"/>
                          <a:srcRect/>
                          <a:stretch>
                            <a:fillRect/>
                          </a:stretch>
                        </pic:blipFill>
                        <pic:spPr bwMode="auto">
                          <a:xfrm>
                            <a:off x="0" y="0"/>
                            <a:ext cx="2562225" cy="1028700"/>
                          </a:xfrm>
                          <a:prstGeom prst="rect">
                            <a:avLst/>
                          </a:prstGeom>
                          <a:noFill/>
                          <a:ln w="9525">
                            <a:noFill/>
                            <a:miter lim="800000"/>
                            <a:headEnd/>
                            <a:tailEnd/>
                          </a:ln>
                        </pic:spPr>
                      </pic:pic>
                    </a:graphicData>
                  </a:graphic>
                </wp:inline>
              </w:drawing>
            </w:r>
          </w:p>
        </w:tc>
      </w:tr>
    </w:tbl>
    <w:p w:rsidR="009E0AAE" w:rsidRDefault="009E0AAE" w:rsidP="003142CD">
      <w:pPr>
        <w:pStyle w:val="Cornernotation"/>
        <w:bidi/>
        <w:rPr>
          <w:b/>
          <w:bCs/>
          <w:sz w:val="26"/>
          <w:szCs w:val="26"/>
          <w:rtl/>
        </w:rPr>
      </w:pPr>
      <w:r w:rsidRPr="00E440E5">
        <w:rPr>
          <w:rFonts w:hint="cs"/>
          <w:b/>
          <w:bCs/>
          <w:sz w:val="26"/>
          <w:szCs w:val="26"/>
          <w:rtl/>
        </w:rPr>
        <w:t>ال</w:t>
      </w:r>
      <w:r w:rsidR="00D56406">
        <w:rPr>
          <w:rFonts w:hint="cs"/>
          <w:b/>
          <w:bCs/>
          <w:sz w:val="26"/>
          <w:szCs w:val="26"/>
          <w:rtl/>
        </w:rPr>
        <w:t>هيئة الفرعية للتنفيذ</w:t>
      </w:r>
    </w:p>
    <w:p w:rsidR="009E0AAE" w:rsidRDefault="009E0AAE" w:rsidP="00EB3DA1">
      <w:pPr>
        <w:pStyle w:val="Cornernotation"/>
        <w:bidi/>
        <w:rPr>
          <w:sz w:val="26"/>
          <w:szCs w:val="26"/>
          <w:rtl/>
        </w:rPr>
      </w:pPr>
      <w:r w:rsidRPr="00E440E5">
        <w:rPr>
          <w:rFonts w:hint="cs"/>
          <w:sz w:val="26"/>
          <w:szCs w:val="26"/>
          <w:rtl/>
        </w:rPr>
        <w:t xml:space="preserve">الاجتماع </w:t>
      </w:r>
      <w:r w:rsidR="00EB3DA1">
        <w:rPr>
          <w:rFonts w:hint="cs"/>
          <w:sz w:val="26"/>
          <w:szCs w:val="26"/>
          <w:rtl/>
        </w:rPr>
        <w:t>الثاني</w:t>
      </w:r>
    </w:p>
    <w:p w:rsidR="009E0AAE" w:rsidRDefault="009E0AAE" w:rsidP="00934653">
      <w:pPr>
        <w:pStyle w:val="Cornernotation"/>
        <w:bidi/>
        <w:rPr>
          <w:sz w:val="26"/>
          <w:szCs w:val="26"/>
          <w:rtl/>
          <w:lang w:bidi="ar-EG"/>
        </w:rPr>
      </w:pPr>
      <w:r w:rsidRPr="002C5622">
        <w:rPr>
          <w:sz w:val="26"/>
          <w:szCs w:val="26"/>
          <w:rtl/>
          <w:lang w:bidi="ar-EG"/>
        </w:rPr>
        <w:t>مونتريال</w:t>
      </w:r>
      <w:r w:rsidRPr="002C5622">
        <w:rPr>
          <w:rFonts w:hint="cs"/>
          <w:sz w:val="26"/>
          <w:szCs w:val="26"/>
          <w:rtl/>
          <w:lang w:bidi="ar-EG"/>
        </w:rPr>
        <w:t>، كندا</w:t>
      </w:r>
      <w:r w:rsidRPr="00E440E5">
        <w:rPr>
          <w:rFonts w:hint="cs"/>
          <w:sz w:val="26"/>
          <w:szCs w:val="26"/>
          <w:rtl/>
          <w:lang w:bidi="ar-EG"/>
        </w:rPr>
        <w:t xml:space="preserve">، </w:t>
      </w:r>
      <w:r w:rsidR="00EB3DA1">
        <w:rPr>
          <w:rFonts w:hint="cs"/>
          <w:sz w:val="26"/>
          <w:szCs w:val="26"/>
          <w:rtl/>
          <w:lang w:bidi="ar-EG"/>
        </w:rPr>
        <w:t>9</w:t>
      </w:r>
      <w:r w:rsidRPr="00E440E5">
        <w:rPr>
          <w:rFonts w:hint="cs"/>
          <w:sz w:val="26"/>
          <w:szCs w:val="26"/>
          <w:rtl/>
          <w:lang w:bidi="ar-EG"/>
        </w:rPr>
        <w:t>-</w:t>
      </w:r>
      <w:r w:rsidR="00EB3DA1">
        <w:rPr>
          <w:rFonts w:hint="cs"/>
          <w:sz w:val="26"/>
          <w:szCs w:val="26"/>
          <w:rtl/>
          <w:lang w:bidi="ar-EG"/>
        </w:rPr>
        <w:t>13</w:t>
      </w:r>
      <w:r w:rsidRPr="00E440E5">
        <w:rPr>
          <w:rFonts w:hint="cs"/>
          <w:sz w:val="26"/>
          <w:szCs w:val="26"/>
          <w:rtl/>
          <w:lang w:bidi="ar-EG"/>
        </w:rPr>
        <w:t xml:space="preserve"> </w:t>
      </w:r>
      <w:r w:rsidR="00934653">
        <w:rPr>
          <w:rFonts w:hint="cs"/>
          <w:sz w:val="26"/>
          <w:szCs w:val="26"/>
          <w:rtl/>
          <w:lang w:bidi="ar-EG"/>
        </w:rPr>
        <w:t>يوليه</w:t>
      </w:r>
      <w:r>
        <w:rPr>
          <w:rFonts w:hint="cs"/>
          <w:sz w:val="26"/>
          <w:szCs w:val="26"/>
          <w:rtl/>
          <w:lang w:bidi="ar-EG"/>
        </w:rPr>
        <w:t>/</w:t>
      </w:r>
      <w:r w:rsidR="00934653">
        <w:rPr>
          <w:rFonts w:hint="cs"/>
          <w:sz w:val="26"/>
          <w:szCs w:val="26"/>
          <w:rtl/>
          <w:lang w:bidi="ar-EG"/>
        </w:rPr>
        <w:t>تموز</w:t>
      </w:r>
      <w:r>
        <w:rPr>
          <w:rFonts w:hint="cs"/>
          <w:sz w:val="26"/>
          <w:szCs w:val="26"/>
          <w:rtl/>
          <w:lang w:bidi="ar-EG"/>
        </w:rPr>
        <w:t xml:space="preserve"> 201</w:t>
      </w:r>
      <w:r w:rsidR="00EB3DA1">
        <w:rPr>
          <w:rFonts w:hint="cs"/>
          <w:sz w:val="26"/>
          <w:szCs w:val="26"/>
          <w:rtl/>
          <w:lang w:bidi="ar-EG"/>
        </w:rPr>
        <w:t>8</w:t>
      </w:r>
    </w:p>
    <w:p w:rsidR="009E0AAE" w:rsidRDefault="009E0AAE" w:rsidP="00EB3DA1">
      <w:pPr>
        <w:pStyle w:val="Cornernotation"/>
        <w:bidi/>
        <w:ind w:right="4540"/>
        <w:rPr>
          <w:caps/>
          <w:szCs w:val="22"/>
        </w:rPr>
      </w:pPr>
      <w:r w:rsidRPr="002C5622">
        <w:rPr>
          <w:rFonts w:hint="cs"/>
          <w:sz w:val="26"/>
          <w:szCs w:val="26"/>
          <w:rtl/>
          <w:lang w:bidi="ar-EG"/>
        </w:rPr>
        <w:t xml:space="preserve">البند </w:t>
      </w:r>
      <w:r w:rsidR="00EB3DA1">
        <w:rPr>
          <w:rFonts w:hint="cs"/>
          <w:sz w:val="26"/>
          <w:szCs w:val="26"/>
          <w:rtl/>
          <w:lang w:bidi="ar-EG"/>
        </w:rPr>
        <w:t>14</w:t>
      </w:r>
      <w:r w:rsidRPr="002C5622">
        <w:rPr>
          <w:rFonts w:hint="cs"/>
          <w:sz w:val="26"/>
          <w:szCs w:val="26"/>
          <w:rtl/>
          <w:lang w:bidi="ar-EG"/>
        </w:rPr>
        <w:t xml:space="preserve"> من جدول الأعمال المؤقت</w:t>
      </w:r>
      <w:r w:rsidRPr="003E4D78">
        <w:rPr>
          <w:rStyle w:val="FootnoteReference"/>
          <w:snapToGrid w:val="0"/>
          <w:kern w:val="22"/>
          <w:szCs w:val="22"/>
          <w:lang w:eastAsia="nb-NO"/>
        </w:rPr>
        <w:footnoteReference w:customMarkFollows="1" w:id="1"/>
        <w:t>*</w:t>
      </w:r>
    </w:p>
    <w:p w:rsidR="009E0AAE" w:rsidRDefault="009E0AAE" w:rsidP="009E0AAE">
      <w:pPr>
        <w:pStyle w:val="Cornernotation"/>
        <w:bidi/>
        <w:ind w:right="4540"/>
        <w:rPr>
          <w:caps/>
          <w:szCs w:val="22"/>
        </w:rPr>
      </w:pPr>
    </w:p>
    <w:p w:rsidR="00EB3DA1" w:rsidRPr="003E4D78" w:rsidRDefault="00EB3DA1" w:rsidP="00EB3DA1">
      <w:pPr>
        <w:bidi/>
        <w:rPr>
          <w:snapToGrid w:val="0"/>
          <w:kern w:val="22"/>
          <w:szCs w:val="22"/>
          <w:lang w:eastAsia="nb-NO"/>
        </w:rPr>
      </w:pPr>
    </w:p>
    <w:p w:rsidR="00406BC6" w:rsidRPr="003E4D78" w:rsidRDefault="009D2F92" w:rsidP="00EB3DA1">
      <w:pPr>
        <w:pStyle w:val="Heading1"/>
        <w:bidi/>
        <w:rPr>
          <w:snapToGrid w:val="0"/>
          <w:kern w:val="22"/>
          <w:lang w:val="en-US"/>
        </w:rPr>
      </w:pPr>
      <w:r w:rsidRPr="003E4D78">
        <w:rPr>
          <w:snapToGrid w:val="0"/>
          <w:kern w:val="22"/>
        </w:rPr>
        <w:tab/>
      </w:r>
      <w:sdt>
        <w:sdtPr>
          <w:rPr>
            <w:b w:val="0"/>
            <w:bCs/>
            <w:snapToGrid w:val="0"/>
            <w:kern w:val="22"/>
            <w:rtl/>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EB3DA1">
            <w:rPr>
              <w:rFonts w:hint="cs"/>
              <w:b w:val="0"/>
              <w:bCs/>
              <w:caps w:val="0"/>
              <w:snapToGrid w:val="0"/>
              <w:kern w:val="22"/>
              <w:rtl/>
              <w:lang w:val="en-US"/>
            </w:rPr>
            <w:t>تعزيز التكامل في إطار الاتفاقية وبروتوكولاتها فيما يتعلق بالأحكام المتعلقة بالحصول على المنافع وتقاسمها</w:t>
          </w:r>
        </w:sdtContent>
      </w:sdt>
    </w:p>
    <w:p w:rsidR="00EB3DA1" w:rsidRDefault="00EB3DA1" w:rsidP="003B03B8">
      <w:pPr>
        <w:pStyle w:val="Heading2"/>
        <w:bidi/>
        <w:rPr>
          <w:b w:val="0"/>
          <w:i/>
          <w:kern w:val="22"/>
          <w:rtl/>
          <w:lang w:val="en-US"/>
        </w:rPr>
      </w:pPr>
    </w:p>
    <w:p w:rsidR="00EF44CA" w:rsidRPr="00EB3DA1" w:rsidRDefault="00EB3DA1" w:rsidP="00EB3DA1">
      <w:pPr>
        <w:pStyle w:val="Heading2"/>
        <w:bidi/>
        <w:rPr>
          <w:bCs w:val="0"/>
          <w:i/>
          <w:kern w:val="22"/>
          <w:lang w:val="en-US"/>
        </w:rPr>
      </w:pPr>
      <w:r>
        <w:rPr>
          <w:rFonts w:hint="cs"/>
          <w:bCs w:val="0"/>
          <w:i/>
          <w:kern w:val="22"/>
          <w:rtl/>
          <w:lang w:val="en-US"/>
        </w:rPr>
        <w:t>مذكرة من الأمينة التنفيذية</w:t>
      </w:r>
    </w:p>
    <w:p w:rsidR="00EB3DA1" w:rsidRPr="00EB3DA1" w:rsidRDefault="00EB3DA1" w:rsidP="00FA4AD1">
      <w:pPr>
        <w:pStyle w:val="Para1"/>
        <w:bidi/>
        <w:rPr>
          <w:kern w:val="22"/>
          <w:szCs w:val="22"/>
        </w:rPr>
      </w:pPr>
      <w:r w:rsidRPr="00EB3DA1">
        <w:rPr>
          <w:rFonts w:hint="cs"/>
          <w:kern w:val="22"/>
          <w:szCs w:val="22"/>
          <w:rtl/>
        </w:rPr>
        <w:t>رحب</w:t>
      </w:r>
      <w:r>
        <w:rPr>
          <w:rFonts w:hint="cs"/>
          <w:kern w:val="22"/>
          <w:szCs w:val="22"/>
          <w:rtl/>
        </w:rPr>
        <w:t xml:space="preserve"> مؤتمر الأطراف في المقرر </w:t>
      </w:r>
      <w:hyperlink r:id="rId12" w:history="1">
        <w:r w:rsidRPr="00EB3DA1">
          <w:rPr>
            <w:rStyle w:val="Hyperlink"/>
            <w:rFonts w:hint="cs"/>
            <w:kern w:val="22"/>
            <w:szCs w:val="22"/>
            <w:rtl/>
          </w:rPr>
          <w:t>12/</w:t>
        </w:r>
        <w:r w:rsidRPr="00EB3DA1">
          <w:rPr>
            <w:rStyle w:val="Hyperlink"/>
            <w:kern w:val="22"/>
            <w:szCs w:val="22"/>
          </w:rPr>
          <w:t>13</w:t>
        </w:r>
      </w:hyperlink>
      <w:r>
        <w:rPr>
          <w:rFonts w:hint="cs"/>
          <w:kern w:val="22"/>
          <w:szCs w:val="22"/>
          <w:rtl/>
        </w:rPr>
        <w:t xml:space="preserve"> بدخول </w:t>
      </w:r>
      <w:hyperlink r:id="rId13" w:history="1">
        <w:r w:rsidRPr="00C81E75">
          <w:rPr>
            <w:rStyle w:val="Hyperlink"/>
            <w:rFonts w:hint="cs"/>
            <w:kern w:val="22"/>
            <w:szCs w:val="22"/>
            <w:rtl/>
          </w:rPr>
          <w:t>بروتوكول ناغويا</w:t>
        </w:r>
      </w:hyperlink>
      <w:r>
        <w:rPr>
          <w:rFonts w:hint="cs"/>
          <w:kern w:val="22"/>
          <w:szCs w:val="22"/>
          <w:rtl/>
        </w:rPr>
        <w:t xml:space="preserve"> حيز النفاذ، وحث جميع الأطراف في </w:t>
      </w:r>
      <w:hyperlink r:id="rId14" w:history="1">
        <w:r w:rsidRPr="00C81E75">
          <w:rPr>
            <w:rStyle w:val="Hyperlink"/>
            <w:rFonts w:hint="cs"/>
            <w:kern w:val="22"/>
            <w:szCs w:val="22"/>
            <w:rtl/>
          </w:rPr>
          <w:t>الاتفاقية المتعلقة بالتنوع البيولوجي</w:t>
        </w:r>
      </w:hyperlink>
      <w:r>
        <w:rPr>
          <w:rFonts w:hint="cs"/>
          <w:kern w:val="22"/>
          <w:szCs w:val="22"/>
          <w:rtl/>
        </w:rPr>
        <w:t xml:space="preserve"> بالتصديق على </w:t>
      </w:r>
      <w:r w:rsidRPr="00C81E75">
        <w:rPr>
          <w:rFonts w:hint="cs"/>
          <w:kern w:val="22"/>
          <w:szCs w:val="22"/>
          <w:rtl/>
        </w:rPr>
        <w:t>بروتوكول ناغويا</w:t>
      </w:r>
      <w:r>
        <w:rPr>
          <w:rFonts w:hint="cs"/>
          <w:kern w:val="22"/>
          <w:szCs w:val="22"/>
          <w:rtl/>
        </w:rPr>
        <w:t xml:space="preserve"> إن لم تكن قد فعلت ذلك</w:t>
      </w:r>
      <w:r w:rsidR="00FA4AD1">
        <w:rPr>
          <w:rFonts w:hint="cs"/>
          <w:kern w:val="22"/>
          <w:szCs w:val="22"/>
          <w:rtl/>
        </w:rPr>
        <w:t xml:space="preserve"> بعد</w:t>
      </w:r>
      <w:r>
        <w:rPr>
          <w:rFonts w:hint="cs"/>
          <w:kern w:val="22"/>
          <w:szCs w:val="22"/>
          <w:rtl/>
        </w:rPr>
        <w:t xml:space="preserve"> (الفقرتان 1 و2) وعلاوة على ذلك، أشار الى المادة 26 من الاتفاقية التي تتطلب من الأطراف الإبلاغ عن التدابير التي اتخذتها لتنفيذ أحكام الاتفاقية كما أشار الى ضرورة أن تتضمن هذه التقارير معلومات عن التدابير التي اتخذتها بشأن الأحكام الخاصة بالاتفاقية </w:t>
      </w:r>
      <w:r w:rsidR="00FA4AD1">
        <w:rPr>
          <w:rFonts w:hint="cs"/>
          <w:kern w:val="22"/>
          <w:szCs w:val="22"/>
          <w:rtl/>
        </w:rPr>
        <w:t xml:space="preserve">فيما يتعلق بالحصول على المنافع وتقاسمها </w:t>
      </w:r>
      <w:r>
        <w:rPr>
          <w:rFonts w:hint="cs"/>
          <w:kern w:val="22"/>
          <w:szCs w:val="22"/>
          <w:rtl/>
        </w:rPr>
        <w:t>ولاسيما المادة 15 (الفقرة 3).</w:t>
      </w:r>
    </w:p>
    <w:p w:rsidR="00C57CF6" w:rsidRDefault="00C57CF6" w:rsidP="00C9322E">
      <w:pPr>
        <w:pStyle w:val="Para1"/>
        <w:bidi/>
        <w:rPr>
          <w:kern w:val="22"/>
          <w:szCs w:val="22"/>
        </w:rPr>
      </w:pPr>
      <w:r w:rsidRPr="00C57CF6">
        <w:rPr>
          <w:rFonts w:hint="cs"/>
          <w:kern w:val="22"/>
          <w:szCs w:val="22"/>
          <w:rtl/>
        </w:rPr>
        <w:t>وعلا</w:t>
      </w:r>
      <w:r>
        <w:rPr>
          <w:rFonts w:hint="cs"/>
          <w:kern w:val="22"/>
          <w:szCs w:val="22"/>
          <w:rtl/>
        </w:rPr>
        <w:t xml:space="preserve">وة على ذلك، طلب مؤتمر الأطراف من الأمينة التنفيذية إعداد مذكرة عن السبل والوسائل الممكنة للترويج للنهج المتكاملة للقضايا ذات الصلة </w:t>
      </w:r>
      <w:r w:rsidR="00F44F68">
        <w:rPr>
          <w:rFonts w:hint="cs"/>
          <w:kern w:val="22"/>
          <w:szCs w:val="22"/>
          <w:rtl/>
        </w:rPr>
        <w:t xml:space="preserve">بآلية تبادل معلومات </w:t>
      </w:r>
      <w:r>
        <w:rPr>
          <w:rFonts w:hint="cs"/>
          <w:kern w:val="22"/>
          <w:szCs w:val="22"/>
          <w:rtl/>
        </w:rPr>
        <w:t xml:space="preserve">الحصول والمنافع </w:t>
      </w:r>
      <w:r w:rsidR="00C9322E">
        <w:rPr>
          <w:rFonts w:hint="cs"/>
          <w:kern w:val="22"/>
          <w:szCs w:val="22"/>
          <w:rtl/>
        </w:rPr>
        <w:t>في</w:t>
      </w:r>
      <w:r w:rsidR="00F44F68">
        <w:rPr>
          <w:rFonts w:hint="cs"/>
          <w:kern w:val="22"/>
          <w:szCs w:val="22"/>
          <w:rtl/>
        </w:rPr>
        <w:t xml:space="preserve"> أحكام ال</w:t>
      </w:r>
      <w:r w:rsidR="00C9322E">
        <w:rPr>
          <w:rFonts w:hint="cs"/>
          <w:kern w:val="22"/>
          <w:szCs w:val="22"/>
          <w:rtl/>
        </w:rPr>
        <w:t>ا</w:t>
      </w:r>
      <w:r w:rsidR="00F44F68">
        <w:rPr>
          <w:rFonts w:hint="cs"/>
          <w:kern w:val="22"/>
          <w:szCs w:val="22"/>
          <w:rtl/>
        </w:rPr>
        <w:t>تفاقية</w:t>
      </w:r>
      <w:r>
        <w:rPr>
          <w:rFonts w:hint="cs"/>
          <w:kern w:val="22"/>
          <w:szCs w:val="22"/>
          <w:rtl/>
        </w:rPr>
        <w:t xml:space="preserve"> </w:t>
      </w:r>
      <w:r w:rsidR="00F44F68">
        <w:rPr>
          <w:rFonts w:hint="cs"/>
          <w:kern w:val="22"/>
          <w:szCs w:val="22"/>
          <w:rtl/>
        </w:rPr>
        <w:t>و</w:t>
      </w:r>
      <w:r>
        <w:rPr>
          <w:rFonts w:hint="cs"/>
          <w:kern w:val="22"/>
          <w:szCs w:val="22"/>
          <w:rtl/>
        </w:rPr>
        <w:t xml:space="preserve"> </w:t>
      </w:r>
      <w:r w:rsidRPr="00C81E75">
        <w:rPr>
          <w:rFonts w:hint="cs"/>
          <w:kern w:val="22"/>
          <w:szCs w:val="22"/>
          <w:rtl/>
        </w:rPr>
        <w:t>بروتوكول ناغويا</w:t>
      </w:r>
      <w:r>
        <w:rPr>
          <w:rFonts w:hint="cs"/>
          <w:kern w:val="22"/>
          <w:szCs w:val="22"/>
          <w:rtl/>
        </w:rPr>
        <w:t xml:space="preserve"> مع مراعاة أحدث التقارير الوطنية بموجب الاتفاقية، والمعلومات المتوافرة في </w:t>
      </w:r>
      <w:hyperlink r:id="rId15" w:history="1">
        <w:r w:rsidR="007D6242">
          <w:rPr>
            <w:rStyle w:val="Hyperlink"/>
            <w:rFonts w:hint="cs"/>
            <w:kern w:val="22"/>
            <w:szCs w:val="22"/>
            <w:rtl/>
          </w:rPr>
          <w:t>غرفة تبادل المعلومات بشأن الحصول وتقاسم المنافع</w:t>
        </w:r>
      </w:hyperlink>
      <w:r>
        <w:rPr>
          <w:rFonts w:hint="cs"/>
          <w:kern w:val="22"/>
          <w:szCs w:val="22"/>
          <w:rtl/>
        </w:rPr>
        <w:t xml:space="preserve">، والتقارير الوطنية المرحلية بموجب بروتوكول ناغويا فضلا عن المعلومات الأخرى المقدمة للأمينة التنفيذية للنظر من جانب </w:t>
      </w:r>
      <w:r w:rsidRPr="00C81E75">
        <w:rPr>
          <w:rFonts w:hint="cs"/>
          <w:kern w:val="22"/>
          <w:szCs w:val="22"/>
          <w:rtl/>
        </w:rPr>
        <w:t>مؤتمر الأطراف</w:t>
      </w:r>
      <w:r>
        <w:rPr>
          <w:rFonts w:hint="cs"/>
          <w:kern w:val="22"/>
          <w:szCs w:val="22"/>
          <w:rtl/>
        </w:rPr>
        <w:t xml:space="preserve"> خلال اجتماعه الرابع عشر بالإضافة </w:t>
      </w:r>
      <w:r w:rsidR="00F44F68">
        <w:rPr>
          <w:rFonts w:hint="cs"/>
          <w:kern w:val="22"/>
          <w:szCs w:val="22"/>
          <w:rtl/>
        </w:rPr>
        <w:t>مؤتمر</w:t>
      </w:r>
      <w:r>
        <w:rPr>
          <w:rFonts w:hint="cs"/>
          <w:kern w:val="22"/>
          <w:szCs w:val="22"/>
          <w:rtl/>
        </w:rPr>
        <w:t xml:space="preserve"> الأطراف العامل كاجتماع للأطراف في بروتوكول ناغويا </w:t>
      </w:r>
      <w:r w:rsidR="00F44F68">
        <w:rPr>
          <w:rFonts w:hint="cs"/>
          <w:kern w:val="22"/>
          <w:szCs w:val="22"/>
          <w:rtl/>
        </w:rPr>
        <w:t xml:space="preserve"> خلال </w:t>
      </w:r>
      <w:r w:rsidR="007D6242">
        <w:rPr>
          <w:rFonts w:hint="cs"/>
          <w:kern w:val="22"/>
          <w:szCs w:val="22"/>
          <w:rtl/>
        </w:rPr>
        <w:t>ا</w:t>
      </w:r>
      <w:r w:rsidR="00F44F68">
        <w:rPr>
          <w:rFonts w:hint="cs"/>
          <w:kern w:val="22"/>
          <w:szCs w:val="22"/>
          <w:rtl/>
        </w:rPr>
        <w:t>جتماعه الثالث</w:t>
      </w:r>
      <w:r w:rsidR="007D6242">
        <w:rPr>
          <w:rFonts w:hint="cs"/>
          <w:kern w:val="22"/>
          <w:szCs w:val="22"/>
          <w:rtl/>
        </w:rPr>
        <w:t xml:space="preserve"> </w:t>
      </w:r>
      <w:r>
        <w:rPr>
          <w:rFonts w:hint="cs"/>
          <w:kern w:val="22"/>
          <w:szCs w:val="22"/>
          <w:rtl/>
        </w:rPr>
        <w:t>(الفقرة 4).</w:t>
      </w:r>
    </w:p>
    <w:p w:rsidR="00C57CF6" w:rsidRPr="00C57CF6" w:rsidRDefault="00C57CF6" w:rsidP="00C9322E">
      <w:pPr>
        <w:pStyle w:val="Para1"/>
        <w:bidi/>
        <w:rPr>
          <w:kern w:val="22"/>
          <w:szCs w:val="22"/>
        </w:rPr>
      </w:pPr>
      <w:r>
        <w:rPr>
          <w:rFonts w:hint="cs"/>
          <w:kern w:val="22"/>
          <w:szCs w:val="22"/>
          <w:rtl/>
        </w:rPr>
        <w:t xml:space="preserve">ويمكن النظر الى التكامل بين الأحكام المتعلقة بالحصول على المنافع </w:t>
      </w:r>
      <w:r w:rsidR="00094A26">
        <w:rPr>
          <w:rFonts w:hint="cs"/>
          <w:kern w:val="22"/>
          <w:szCs w:val="22"/>
          <w:rtl/>
        </w:rPr>
        <w:t>و</w:t>
      </w:r>
      <w:r w:rsidR="00C9322E">
        <w:rPr>
          <w:rFonts w:hint="cs"/>
          <w:kern w:val="22"/>
          <w:szCs w:val="22"/>
          <w:rtl/>
        </w:rPr>
        <w:t>ا</w:t>
      </w:r>
      <w:r w:rsidR="00094A26">
        <w:rPr>
          <w:rFonts w:hint="cs"/>
          <w:kern w:val="22"/>
          <w:szCs w:val="22"/>
          <w:rtl/>
        </w:rPr>
        <w:t>قتسامها</w:t>
      </w:r>
      <w:r>
        <w:rPr>
          <w:rFonts w:hint="cs"/>
          <w:kern w:val="22"/>
          <w:szCs w:val="22"/>
          <w:rtl/>
        </w:rPr>
        <w:t xml:space="preserve"> وبروتوكول ناغويا على مستويات مختلفة:</w:t>
      </w:r>
    </w:p>
    <w:p w:rsidR="00C57CF6" w:rsidRDefault="00C57CF6" w:rsidP="003B03B8">
      <w:pPr>
        <w:pStyle w:val="Para1"/>
        <w:numPr>
          <w:ilvl w:val="1"/>
          <w:numId w:val="2"/>
        </w:numPr>
        <w:bidi/>
        <w:rPr>
          <w:kern w:val="22"/>
          <w:szCs w:val="22"/>
        </w:rPr>
      </w:pPr>
      <w:r w:rsidRPr="00C57CF6">
        <w:rPr>
          <w:rFonts w:hint="cs"/>
          <w:kern w:val="22"/>
          <w:szCs w:val="22"/>
          <w:rtl/>
        </w:rPr>
        <w:t>العلاقة</w:t>
      </w:r>
      <w:r>
        <w:rPr>
          <w:rFonts w:hint="cs"/>
          <w:kern w:val="22"/>
          <w:szCs w:val="22"/>
          <w:rtl/>
        </w:rPr>
        <w:t xml:space="preserve"> بين الأحكام ذات الصلة بالحصول والتقاسم في الاتفاقية وبروتوكول ناغويا؛</w:t>
      </w:r>
    </w:p>
    <w:p w:rsidR="00C57CF6" w:rsidRDefault="00FA4AD1" w:rsidP="00C57CF6">
      <w:pPr>
        <w:pStyle w:val="Para1"/>
        <w:numPr>
          <w:ilvl w:val="1"/>
          <w:numId w:val="2"/>
        </w:numPr>
        <w:bidi/>
        <w:rPr>
          <w:kern w:val="22"/>
          <w:szCs w:val="22"/>
        </w:rPr>
      </w:pPr>
      <w:r>
        <w:rPr>
          <w:rFonts w:hint="cs"/>
          <w:kern w:val="22"/>
          <w:szCs w:val="22"/>
          <w:rtl/>
        </w:rPr>
        <w:t>إدراج</w:t>
      </w:r>
      <w:r w:rsidR="00C57CF6">
        <w:rPr>
          <w:rFonts w:hint="cs"/>
          <w:kern w:val="22"/>
          <w:szCs w:val="22"/>
          <w:rtl/>
        </w:rPr>
        <w:t xml:space="preserve"> الحصول وتقاسم المنافع في مختلف أنحاء الاتفاقية؛</w:t>
      </w:r>
    </w:p>
    <w:p w:rsidR="00DD24B2" w:rsidRDefault="00C57CF6" w:rsidP="00F44F68">
      <w:pPr>
        <w:pStyle w:val="Para1"/>
        <w:numPr>
          <w:ilvl w:val="1"/>
          <w:numId w:val="2"/>
        </w:numPr>
        <w:bidi/>
        <w:rPr>
          <w:kern w:val="22"/>
          <w:szCs w:val="22"/>
        </w:rPr>
      </w:pPr>
      <w:r>
        <w:rPr>
          <w:rFonts w:hint="cs"/>
          <w:kern w:val="22"/>
          <w:szCs w:val="22"/>
          <w:rtl/>
        </w:rPr>
        <w:t xml:space="preserve">القضايا الشاملة ذات الصلة بالاتفاقية وبروتوكول ناغويا مثل بناء القدرات، وآليات </w:t>
      </w:r>
      <w:r w:rsidR="00DD24B2">
        <w:rPr>
          <w:rFonts w:hint="cs"/>
          <w:kern w:val="22"/>
          <w:szCs w:val="22"/>
          <w:rtl/>
        </w:rPr>
        <w:t>تبادل المعلومات والآلية المالية وتعبئة الموارد والإبلاغ الوطني؛</w:t>
      </w:r>
    </w:p>
    <w:p w:rsidR="009E0AAE" w:rsidRPr="00C57CF6" w:rsidRDefault="00DD24B2" w:rsidP="00DD24B2">
      <w:pPr>
        <w:pStyle w:val="Para1"/>
        <w:numPr>
          <w:ilvl w:val="1"/>
          <w:numId w:val="2"/>
        </w:numPr>
        <w:bidi/>
        <w:rPr>
          <w:kern w:val="22"/>
          <w:szCs w:val="22"/>
        </w:rPr>
      </w:pPr>
      <w:r>
        <w:rPr>
          <w:rFonts w:hint="cs"/>
          <w:kern w:val="22"/>
          <w:szCs w:val="22"/>
          <w:rtl/>
        </w:rPr>
        <w:t>الهياكل والعمليات في إطار الاتفاقية وبروتوكولاتها.</w:t>
      </w:r>
    </w:p>
    <w:p w:rsidR="00DD24B2" w:rsidRDefault="00DD24B2" w:rsidP="00C61F28">
      <w:pPr>
        <w:pStyle w:val="Para1"/>
        <w:bidi/>
        <w:rPr>
          <w:kern w:val="22"/>
          <w:szCs w:val="22"/>
        </w:rPr>
      </w:pPr>
      <w:r>
        <w:rPr>
          <w:rFonts w:hint="cs"/>
          <w:kern w:val="22"/>
          <w:szCs w:val="22"/>
          <w:rtl/>
        </w:rPr>
        <w:t xml:space="preserve">ويناقش القسم الأول بهذه الوثيقة العلاقة بين الأحكام المتعلقة بالحصول والتقاسم في الاتفاقية وبروتوكول ناغويا. ويتناول القسم الثاني </w:t>
      </w:r>
      <w:r w:rsidR="0003603E">
        <w:rPr>
          <w:rFonts w:hint="cs"/>
          <w:kern w:val="22"/>
          <w:szCs w:val="22"/>
          <w:rtl/>
        </w:rPr>
        <w:t>إدراج</w:t>
      </w:r>
      <w:r>
        <w:rPr>
          <w:rFonts w:hint="cs"/>
          <w:kern w:val="22"/>
          <w:szCs w:val="22"/>
          <w:rtl/>
        </w:rPr>
        <w:t xml:space="preserve"> الحصول على المنافع وتقاسمها في مختلف أنحاء الاتفاقية. وترد الحسابات والتوصيات في </w:t>
      </w:r>
      <w:r w:rsidR="0003603E">
        <w:rPr>
          <w:rFonts w:hint="cs"/>
          <w:kern w:val="22"/>
          <w:szCs w:val="22"/>
          <w:rtl/>
        </w:rPr>
        <w:t>القسمين</w:t>
      </w:r>
      <w:r>
        <w:rPr>
          <w:rFonts w:hint="cs"/>
          <w:kern w:val="22"/>
          <w:szCs w:val="22"/>
          <w:rtl/>
        </w:rPr>
        <w:t xml:space="preserve"> الثالث والرابع على التوالي بهذه الوثيقة ووفقا للفقرة 2 من المقرر </w:t>
      </w:r>
      <w:hyperlink r:id="rId16" w:history="1">
        <w:r w:rsidRPr="00DD24B2">
          <w:rPr>
            <w:rStyle w:val="Hyperlink"/>
            <w:rFonts w:hint="cs"/>
            <w:kern w:val="22"/>
            <w:szCs w:val="22"/>
            <w:rtl/>
          </w:rPr>
          <w:t>13/</w:t>
        </w:r>
        <w:r w:rsidRPr="00DD24B2">
          <w:rPr>
            <w:rStyle w:val="Hyperlink"/>
            <w:kern w:val="22"/>
            <w:szCs w:val="22"/>
          </w:rPr>
          <w:t>26</w:t>
        </w:r>
      </w:hyperlink>
      <w:r>
        <w:rPr>
          <w:rFonts w:hint="cs"/>
          <w:kern w:val="22"/>
          <w:szCs w:val="22"/>
          <w:rtl/>
        </w:rPr>
        <w:t xml:space="preserve">، ستجري معالجة القضايا الشاملة في إطار الاتفاقية وبروتوكولاتها مثل بناء القدرات، والآلية المالية، وتعبئة الموارد والإبلاغ الوطني </w:t>
      </w:r>
      <w:r w:rsidRPr="00C81E75">
        <w:rPr>
          <w:rFonts w:hint="cs"/>
          <w:kern w:val="22"/>
          <w:szCs w:val="22"/>
          <w:rtl/>
        </w:rPr>
        <w:t>لل</w:t>
      </w:r>
      <w:r w:rsidR="00D56406">
        <w:rPr>
          <w:rFonts w:hint="cs"/>
          <w:kern w:val="22"/>
          <w:szCs w:val="22"/>
          <w:rtl/>
        </w:rPr>
        <w:t>هيئة الفرعية للتنفيذ</w:t>
      </w:r>
      <w:r w:rsidR="00C81E75">
        <w:rPr>
          <w:rFonts w:hint="cs"/>
          <w:kern w:val="22"/>
          <w:szCs w:val="22"/>
          <w:rtl/>
          <w:lang w:bidi="ar-EG"/>
        </w:rPr>
        <w:t xml:space="preserve"> </w:t>
      </w:r>
      <w:r w:rsidR="00F44F68">
        <w:rPr>
          <w:rFonts w:hint="cs"/>
          <w:kern w:val="22"/>
          <w:szCs w:val="22"/>
          <w:rtl/>
        </w:rPr>
        <w:t xml:space="preserve">خلال </w:t>
      </w:r>
      <w:r w:rsidR="00C81E75">
        <w:rPr>
          <w:rFonts w:hint="cs"/>
          <w:kern w:val="22"/>
          <w:szCs w:val="22"/>
          <w:rtl/>
        </w:rPr>
        <w:t>اجتماعها</w:t>
      </w:r>
      <w:r w:rsidR="00F44F68">
        <w:rPr>
          <w:rFonts w:hint="cs"/>
          <w:kern w:val="22"/>
          <w:szCs w:val="22"/>
          <w:rtl/>
        </w:rPr>
        <w:t xml:space="preserve"> </w:t>
      </w:r>
      <w:r w:rsidR="00C81E75">
        <w:rPr>
          <w:rFonts w:hint="cs"/>
          <w:kern w:val="22"/>
          <w:szCs w:val="22"/>
          <w:rtl/>
        </w:rPr>
        <w:t>الثاني</w:t>
      </w:r>
      <w:r>
        <w:rPr>
          <w:rFonts w:hint="cs"/>
          <w:kern w:val="22"/>
          <w:szCs w:val="22"/>
          <w:rtl/>
        </w:rPr>
        <w:t xml:space="preserve"> في إطار البنود 10 و9 و8 و13 على التوالي من جدول الأعمال. ووفقا للمقرر </w:t>
      </w:r>
      <w:hyperlink r:id="rId17" w:history="1">
        <w:r>
          <w:rPr>
            <w:rStyle w:val="Hyperlink"/>
            <w:rFonts w:hint="cs"/>
            <w:kern w:val="22"/>
            <w:szCs w:val="22"/>
            <w:rtl/>
          </w:rPr>
          <w:t>12</w:t>
        </w:r>
        <w:r w:rsidRPr="00DD24B2">
          <w:rPr>
            <w:rStyle w:val="Hyperlink"/>
            <w:rFonts w:hint="cs"/>
            <w:kern w:val="22"/>
            <w:szCs w:val="22"/>
            <w:rtl/>
          </w:rPr>
          <w:t>/</w:t>
        </w:r>
        <w:r w:rsidRPr="00DD24B2">
          <w:rPr>
            <w:rStyle w:val="Hyperlink"/>
            <w:kern w:val="22"/>
            <w:szCs w:val="22"/>
          </w:rPr>
          <w:t>31</w:t>
        </w:r>
      </w:hyperlink>
      <w:r>
        <w:rPr>
          <w:rFonts w:hint="cs"/>
          <w:kern w:val="22"/>
          <w:szCs w:val="22"/>
          <w:rtl/>
        </w:rPr>
        <w:t xml:space="preserve">، ستجري معالجة فاعلية العمليات بموجب الاتفاقية وبروتوكولاتها </w:t>
      </w:r>
      <w:r w:rsidR="00C61F28">
        <w:rPr>
          <w:rFonts w:hint="cs"/>
          <w:kern w:val="22"/>
          <w:szCs w:val="22"/>
          <w:rtl/>
        </w:rPr>
        <w:t>بواسطة</w:t>
      </w:r>
      <w:r>
        <w:rPr>
          <w:rFonts w:hint="cs"/>
          <w:kern w:val="22"/>
          <w:szCs w:val="22"/>
          <w:rtl/>
        </w:rPr>
        <w:t xml:space="preserve"> </w:t>
      </w:r>
      <w:r w:rsidR="00C61F28">
        <w:rPr>
          <w:rFonts w:hint="cs"/>
          <w:kern w:val="22"/>
          <w:szCs w:val="22"/>
          <w:rtl/>
        </w:rPr>
        <w:t>الهيئة</w:t>
      </w:r>
      <w:r>
        <w:rPr>
          <w:rFonts w:hint="cs"/>
          <w:kern w:val="22"/>
          <w:szCs w:val="22"/>
          <w:rtl/>
        </w:rPr>
        <w:t xml:space="preserve"> الفرعية </w:t>
      </w:r>
      <w:r w:rsidR="00C61F28">
        <w:rPr>
          <w:rFonts w:hint="cs"/>
          <w:kern w:val="22"/>
          <w:szCs w:val="22"/>
          <w:rtl/>
        </w:rPr>
        <w:t>تحت</w:t>
      </w:r>
      <w:r>
        <w:rPr>
          <w:rFonts w:hint="cs"/>
          <w:kern w:val="22"/>
          <w:szCs w:val="22"/>
          <w:rtl/>
        </w:rPr>
        <w:t xml:space="preserve"> المادة 15 من جدول الأعمال.</w:t>
      </w:r>
    </w:p>
    <w:p w:rsidR="00DD24B2" w:rsidRPr="00DD24B2" w:rsidRDefault="00DD24B2" w:rsidP="003B03B8">
      <w:pPr>
        <w:pStyle w:val="Heading1"/>
        <w:bidi/>
        <w:ind w:left="1418" w:hanging="851"/>
        <w:jc w:val="left"/>
        <w:rPr>
          <w:b w:val="0"/>
          <w:bCs/>
          <w:kern w:val="22"/>
          <w:rtl/>
        </w:rPr>
      </w:pPr>
      <w:r>
        <w:rPr>
          <w:rFonts w:hint="cs"/>
          <w:b w:val="0"/>
          <w:bCs/>
          <w:kern w:val="22"/>
          <w:rtl/>
        </w:rPr>
        <w:lastRenderedPageBreak/>
        <w:t>أولا-</w:t>
      </w:r>
      <w:r>
        <w:rPr>
          <w:rFonts w:hint="cs"/>
          <w:b w:val="0"/>
          <w:bCs/>
          <w:kern w:val="22"/>
          <w:rtl/>
        </w:rPr>
        <w:tab/>
        <w:t>العلاقة بين أحكام الاتفاقية المتعلقة بالحصول على المنافع وتقاسمها، وبروتوكول ناغويا</w:t>
      </w:r>
    </w:p>
    <w:p w:rsidR="00DD24B2" w:rsidRPr="00DD24B2" w:rsidRDefault="00DD24B2" w:rsidP="003B03B8">
      <w:pPr>
        <w:pStyle w:val="Para1"/>
        <w:bidi/>
        <w:rPr>
          <w:kern w:val="22"/>
          <w:szCs w:val="22"/>
        </w:rPr>
      </w:pPr>
      <w:r>
        <w:rPr>
          <w:rFonts w:hint="cs"/>
          <w:kern w:val="22"/>
          <w:szCs w:val="22"/>
          <w:rtl/>
        </w:rPr>
        <w:t>كان مؤتمر الأطراف قد اعتمد بروتوكول ناغويا عام 2010.</w:t>
      </w:r>
      <w:r w:rsidR="00C81E75">
        <w:rPr>
          <w:rStyle w:val="FootnoteReference"/>
          <w:kern w:val="22"/>
          <w:szCs w:val="22"/>
          <w:rtl/>
        </w:rPr>
        <w:footnoteReference w:id="2"/>
      </w:r>
      <w:r>
        <w:rPr>
          <w:rFonts w:hint="cs"/>
          <w:kern w:val="22"/>
          <w:szCs w:val="22"/>
          <w:rtl/>
        </w:rPr>
        <w:t xml:space="preserve"> ويدعم البروتوكول تنفيذ الهدف الثالث من الاتفاقية المتعلقة بالتنوع البيولوجي وهو التقاسم العادل والمتساوي للمنافع الناشئة عن استخدام الموارد الجينية: حفظ التنوع البيولوجي والاستخدام المستدام لمكوناته</w:t>
      </w:r>
    </w:p>
    <w:p w:rsidR="00606A80" w:rsidRDefault="00DD24B2" w:rsidP="003B03B8">
      <w:pPr>
        <w:pStyle w:val="Para1"/>
        <w:bidi/>
        <w:rPr>
          <w:kern w:val="22"/>
          <w:szCs w:val="22"/>
        </w:rPr>
      </w:pPr>
      <w:r>
        <w:rPr>
          <w:rFonts w:hint="cs"/>
          <w:kern w:val="22"/>
          <w:szCs w:val="22"/>
          <w:rtl/>
        </w:rPr>
        <w:t xml:space="preserve">ويعتمد البروتوكول على أحكام الحصول والتقاسم في الاتفاقية ولاسيما المواد 15 و16 و19(1) و(2) و8(ي) سعيا الى توفير قدر أكبر من </w:t>
      </w:r>
      <w:r w:rsidR="00606A80">
        <w:rPr>
          <w:rFonts w:hint="cs"/>
          <w:kern w:val="22"/>
          <w:szCs w:val="22"/>
          <w:rtl/>
        </w:rPr>
        <w:t>الثقة القانونية لموردي ومستخدمي الموارد الجينية وما</w:t>
      </w:r>
      <w:r w:rsidR="00C9322E">
        <w:rPr>
          <w:rFonts w:hint="cs"/>
          <w:kern w:val="22"/>
          <w:szCs w:val="22"/>
          <w:rtl/>
        </w:rPr>
        <w:t xml:space="preserve"> </w:t>
      </w:r>
      <w:r w:rsidR="00606A80">
        <w:rPr>
          <w:rFonts w:hint="cs"/>
          <w:kern w:val="22"/>
          <w:szCs w:val="22"/>
          <w:rtl/>
        </w:rPr>
        <w:t>يرتبط بها من معارف تقليدية. وتتوافق أحكام بروتوكول ناغويا بصورة كاملة مع ما يرد من أحكام المتعلقة بالحصول والتقاسم في الاتفاقية، ويتقدم خطوة الى الأمام بإنشاء إطار دولي للحصول والتقاسم من خلال أحكام مبتكرة تتضمن المتعلقة بالحصول، وتقاسم المنافع، والامتثال والشعوب الأصلية والمجتمعات المحلية وإنشاء دار لتبادل المعلومات المعنية بالحصول وتقاسم المنافع.</w:t>
      </w:r>
    </w:p>
    <w:p w:rsidR="00DD24B2" w:rsidRPr="00DD24B2" w:rsidRDefault="00606A80" w:rsidP="00923400">
      <w:pPr>
        <w:pStyle w:val="Para1"/>
        <w:bidi/>
        <w:rPr>
          <w:kern w:val="22"/>
          <w:szCs w:val="22"/>
        </w:rPr>
      </w:pPr>
      <w:r>
        <w:rPr>
          <w:rFonts w:hint="cs"/>
          <w:kern w:val="22"/>
          <w:szCs w:val="22"/>
          <w:rtl/>
        </w:rPr>
        <w:t xml:space="preserve">وفي عام 2010، اعتمد مؤتمر الأطراف أيضا </w:t>
      </w:r>
      <w:hyperlink r:id="rId18" w:history="1">
        <w:r w:rsidRPr="00C81E75">
          <w:rPr>
            <w:rStyle w:val="Hyperlink"/>
            <w:rFonts w:hint="cs"/>
            <w:kern w:val="22"/>
            <w:szCs w:val="22"/>
            <w:rtl/>
          </w:rPr>
          <w:t>الخطة الاستراتيجية للتنوع البيولوجي</w:t>
        </w:r>
      </w:hyperlink>
      <w:r>
        <w:rPr>
          <w:rFonts w:hint="cs"/>
          <w:kern w:val="22"/>
          <w:szCs w:val="22"/>
          <w:rtl/>
        </w:rPr>
        <w:t xml:space="preserve"> للفترة 2011-2020 بما في ذلك أهداف </w:t>
      </w:r>
      <w:r w:rsidR="00C81E75">
        <w:rPr>
          <w:rFonts w:hint="cs"/>
          <w:kern w:val="22"/>
          <w:szCs w:val="22"/>
          <w:rtl/>
        </w:rPr>
        <w:t>أيشي</w:t>
      </w:r>
      <w:r>
        <w:rPr>
          <w:rFonts w:hint="cs"/>
          <w:kern w:val="22"/>
          <w:szCs w:val="22"/>
          <w:rtl/>
        </w:rPr>
        <w:t xml:space="preserve"> للتنوع البيولوجي للفترة 2011-2020. وينص الهدف 16 من الخطة الاستراتيجية "على أن يكون بحلول 2015، بروتوكول ناغويا الحصول على الموارد الجينية، </w:t>
      </w:r>
      <w:r w:rsidR="00923400">
        <w:rPr>
          <w:rFonts w:hint="cs"/>
          <w:kern w:val="22"/>
          <w:szCs w:val="22"/>
          <w:rtl/>
        </w:rPr>
        <w:t>و</w:t>
      </w:r>
      <w:r>
        <w:rPr>
          <w:rFonts w:hint="cs"/>
          <w:kern w:val="22"/>
          <w:szCs w:val="22"/>
          <w:rtl/>
        </w:rPr>
        <w:t>تقاسمها العادل والمتساوي للمن</w:t>
      </w:r>
      <w:r w:rsidR="00C9322E">
        <w:rPr>
          <w:rFonts w:hint="cs"/>
          <w:kern w:val="22"/>
          <w:szCs w:val="22"/>
          <w:rtl/>
        </w:rPr>
        <w:t>افع الناشئة عن استخدامها قيد الإ</w:t>
      </w:r>
      <w:r>
        <w:rPr>
          <w:rFonts w:hint="cs"/>
          <w:kern w:val="22"/>
          <w:szCs w:val="22"/>
          <w:rtl/>
        </w:rPr>
        <w:t xml:space="preserve">نفاذ والعمل بما يتسق والتشريعات الوطنية". وأظهر اعتماد هذا الهدف التزام الأطراف في الاتفاقية بالعمل صوب التصديق على برتوكول ناغويا وتنفيذه. وقد تحقق الجزء الأول من هذا الهدف مع دخول البروتوكول حيز </w:t>
      </w:r>
      <w:r w:rsidR="00923400">
        <w:rPr>
          <w:rFonts w:hint="cs"/>
          <w:kern w:val="22"/>
          <w:szCs w:val="22"/>
          <w:rtl/>
        </w:rPr>
        <w:t>النفاذ</w:t>
      </w:r>
      <w:r>
        <w:rPr>
          <w:rFonts w:hint="cs"/>
          <w:kern w:val="22"/>
          <w:szCs w:val="22"/>
          <w:rtl/>
        </w:rPr>
        <w:t xml:space="preserve"> في أكتوبر/ تشرين الأول 2014. و فيما يتعلق بالجزء الثاني من الهدف مازال يتعين، رغم دخول البروتوكول حيز </w:t>
      </w:r>
      <w:r w:rsidR="00923400">
        <w:rPr>
          <w:rFonts w:hint="cs"/>
          <w:kern w:val="22"/>
          <w:szCs w:val="22"/>
          <w:rtl/>
        </w:rPr>
        <w:t>النفاذ</w:t>
      </w:r>
      <w:r>
        <w:rPr>
          <w:rFonts w:hint="cs"/>
          <w:kern w:val="22"/>
          <w:szCs w:val="22"/>
          <w:rtl/>
        </w:rPr>
        <w:t>، بذل جهود لمواصلة تحقيق التقدم في تنفيذه.</w:t>
      </w:r>
    </w:p>
    <w:p w:rsidR="00606A80" w:rsidRPr="00606A80" w:rsidRDefault="00606A80" w:rsidP="003B03B8">
      <w:pPr>
        <w:pStyle w:val="Heading2"/>
        <w:bidi/>
        <w:ind w:left="1418" w:hanging="851"/>
        <w:jc w:val="left"/>
        <w:rPr>
          <w:i/>
          <w:iCs w:val="0"/>
          <w:kern w:val="22"/>
          <w:rtl/>
        </w:rPr>
      </w:pPr>
      <w:r>
        <w:rPr>
          <w:rFonts w:hint="cs"/>
          <w:i/>
          <w:iCs w:val="0"/>
          <w:kern w:val="22"/>
          <w:rtl/>
        </w:rPr>
        <w:t>ألف-</w:t>
      </w:r>
      <w:r>
        <w:rPr>
          <w:rFonts w:hint="cs"/>
          <w:i/>
          <w:iCs w:val="0"/>
          <w:kern w:val="22"/>
          <w:rtl/>
        </w:rPr>
        <w:tab/>
        <w:t>حالة الإبلاغ عن الحصول على المنافع وتقاسمها بموجب الاتفاقية وبروتوكول ناغويا</w:t>
      </w:r>
    </w:p>
    <w:p w:rsidR="003142CD" w:rsidRDefault="00606A80" w:rsidP="00C81E75">
      <w:pPr>
        <w:pStyle w:val="Para1"/>
        <w:bidi/>
        <w:rPr>
          <w:kern w:val="22"/>
          <w:szCs w:val="22"/>
        </w:rPr>
      </w:pPr>
      <w:r>
        <w:rPr>
          <w:rFonts w:hint="cs"/>
          <w:kern w:val="22"/>
          <w:szCs w:val="22"/>
          <w:rtl/>
        </w:rPr>
        <w:t xml:space="preserve">وعلاوة على اعتماد الخطة الاستراتيجية للتنوع البيولوجي للفترة 2011-2020 </w:t>
      </w:r>
      <w:r w:rsidRPr="00C81E75">
        <w:rPr>
          <w:rFonts w:hint="cs"/>
          <w:kern w:val="22"/>
          <w:szCs w:val="22"/>
          <w:rtl/>
        </w:rPr>
        <w:t xml:space="preserve">وأهداف </w:t>
      </w:r>
      <w:r w:rsidR="00C81E75">
        <w:rPr>
          <w:rFonts w:hint="cs"/>
          <w:kern w:val="22"/>
          <w:szCs w:val="22"/>
          <w:rtl/>
        </w:rPr>
        <w:t>أيشي</w:t>
      </w:r>
      <w:r w:rsidRPr="00C81E75">
        <w:rPr>
          <w:rFonts w:hint="cs"/>
          <w:kern w:val="22"/>
          <w:szCs w:val="22"/>
          <w:rtl/>
        </w:rPr>
        <w:t xml:space="preserve"> للتنوع البيولوجي</w:t>
      </w:r>
      <w:r>
        <w:rPr>
          <w:rFonts w:hint="cs"/>
          <w:kern w:val="22"/>
          <w:szCs w:val="22"/>
          <w:rtl/>
        </w:rPr>
        <w:t xml:space="preserve"> المتصلة بها، وافقت الأطراف على تحويل هذا الإطار الدولي الجامع الى استراتيجيات وخطط عمل وطنية منقحة ومستكملة.</w:t>
      </w:r>
      <w:r w:rsidRPr="00606A80">
        <w:rPr>
          <w:rStyle w:val="FootnoteReference"/>
          <w:kern w:val="22"/>
        </w:rPr>
        <w:t xml:space="preserve"> </w:t>
      </w:r>
      <w:r w:rsidRPr="003E4D78">
        <w:rPr>
          <w:rStyle w:val="FootnoteReference"/>
          <w:kern w:val="22"/>
        </w:rPr>
        <w:footnoteReference w:id="3"/>
      </w:r>
      <w:r>
        <w:rPr>
          <w:rFonts w:hint="cs"/>
          <w:kern w:val="22"/>
          <w:szCs w:val="22"/>
          <w:rtl/>
        </w:rPr>
        <w:t xml:space="preserve"> وعلاوة على ذلك، قرر مؤتمر الأطراف</w:t>
      </w:r>
      <w:r w:rsidRPr="003E4D78">
        <w:rPr>
          <w:rStyle w:val="FootnoteReference"/>
          <w:kern w:val="22"/>
        </w:rPr>
        <w:footnoteReference w:id="4"/>
      </w:r>
      <w:r>
        <w:rPr>
          <w:rFonts w:hint="cs"/>
          <w:kern w:val="22"/>
          <w:szCs w:val="22"/>
          <w:rtl/>
        </w:rPr>
        <w:t xml:space="preserve"> أن تركز التقارير الوطنية الخامسة التي كان من المقرر تقديمها في 31 مارس/ آذار 2014 على تنفيذ الخطة الاستراتيجية للفترة 2011-2020 والتقدم المحرز صوب تحقيق أهداف </w:t>
      </w:r>
      <w:r w:rsidR="00C81E75">
        <w:rPr>
          <w:rFonts w:hint="cs"/>
          <w:kern w:val="22"/>
          <w:szCs w:val="22"/>
          <w:rtl/>
        </w:rPr>
        <w:t>أيشي</w:t>
      </w:r>
      <w:r>
        <w:rPr>
          <w:rFonts w:hint="cs"/>
          <w:kern w:val="22"/>
          <w:szCs w:val="22"/>
          <w:rtl/>
        </w:rPr>
        <w:t xml:space="preserve"> للتنوع البيولوجي.</w:t>
      </w:r>
    </w:p>
    <w:p w:rsidR="003142CD" w:rsidRDefault="003142CD" w:rsidP="00DE2D1B">
      <w:pPr>
        <w:pStyle w:val="Para1"/>
        <w:bidi/>
        <w:rPr>
          <w:kern w:val="22"/>
          <w:szCs w:val="22"/>
        </w:rPr>
      </w:pPr>
      <w:r>
        <w:rPr>
          <w:rFonts w:hint="cs"/>
          <w:kern w:val="22"/>
          <w:szCs w:val="22"/>
          <w:rtl/>
        </w:rPr>
        <w:t xml:space="preserve">ووفقا للمادة 29 من بروتوكول ناغويا، يتعين على كل طرف رصد تنفيذ التزاماته وإبلاغ اجتماع الأطراف العاملة كاجتماع للأطراف في البروتوكول بالتدابير التي اتخذت لتنفيذ البروتوكول. وطلب الاجتماع الأول </w:t>
      </w:r>
      <w:r w:rsidR="00094A26" w:rsidRPr="00C81E75">
        <w:rPr>
          <w:rFonts w:hint="cs"/>
          <w:kern w:val="22"/>
          <w:szCs w:val="22"/>
          <w:rtl/>
        </w:rPr>
        <w:t>لمؤتمر الأطراف</w:t>
      </w:r>
      <w:r w:rsidRPr="00C81E75">
        <w:rPr>
          <w:rFonts w:hint="cs"/>
          <w:kern w:val="22"/>
          <w:szCs w:val="22"/>
          <w:rtl/>
        </w:rPr>
        <w:t xml:space="preserve"> العامل كاجتماع للأطراف في بروتوكول</w:t>
      </w:r>
      <w:r>
        <w:rPr>
          <w:rFonts w:hint="cs"/>
          <w:kern w:val="22"/>
          <w:szCs w:val="22"/>
          <w:rtl/>
        </w:rPr>
        <w:t xml:space="preserve"> </w:t>
      </w:r>
      <w:r w:rsidRPr="00C81E75">
        <w:rPr>
          <w:rFonts w:hint="cs"/>
          <w:kern w:val="22"/>
          <w:szCs w:val="22"/>
          <w:rtl/>
        </w:rPr>
        <w:t>ناغويا</w:t>
      </w:r>
      <w:r>
        <w:rPr>
          <w:rFonts w:hint="cs"/>
          <w:kern w:val="22"/>
          <w:szCs w:val="22"/>
          <w:rtl/>
        </w:rPr>
        <w:t xml:space="preserve"> بأن تقدم تقريرا وطنيا عن تنفيذ بروتوكول ناغويا قبل </w:t>
      </w:r>
      <w:r w:rsidR="00DE2D1B">
        <w:rPr>
          <w:rFonts w:hint="cs"/>
          <w:kern w:val="22"/>
          <w:szCs w:val="22"/>
          <w:rtl/>
        </w:rPr>
        <w:t>12 شهرا</w:t>
      </w:r>
      <w:r>
        <w:rPr>
          <w:rFonts w:hint="cs"/>
          <w:kern w:val="22"/>
          <w:szCs w:val="22"/>
          <w:rtl/>
        </w:rPr>
        <w:t xml:space="preserve"> من الاجتماع</w:t>
      </w:r>
      <w:r w:rsidR="00C9322E">
        <w:rPr>
          <w:rFonts w:hint="cs"/>
          <w:kern w:val="22"/>
          <w:szCs w:val="22"/>
          <w:rtl/>
        </w:rPr>
        <w:t xml:space="preserve"> الثالث للأطراف. ووفقا لذلك، دع</w:t>
      </w:r>
      <w:r w:rsidR="00DE2D1B">
        <w:rPr>
          <w:rFonts w:hint="cs"/>
          <w:kern w:val="22"/>
          <w:szCs w:val="22"/>
          <w:rtl/>
        </w:rPr>
        <w:t>يت</w:t>
      </w:r>
      <w:r>
        <w:rPr>
          <w:rFonts w:hint="cs"/>
          <w:kern w:val="22"/>
          <w:szCs w:val="22"/>
          <w:rtl/>
        </w:rPr>
        <w:t xml:space="preserve"> الأطراف وغير الأطراف الى تقديم تقرير وطني قبل 1 نوفمبر/ تشرين الثاني 2017. كما يتعين على الأطراف في بروتوكول ناغويا إتاحة المعلومات الوطنية </w:t>
      </w:r>
      <w:r w:rsidRPr="00C81E75">
        <w:rPr>
          <w:rFonts w:hint="cs"/>
          <w:kern w:val="22"/>
          <w:szCs w:val="22"/>
          <w:rtl/>
        </w:rPr>
        <w:t>لآلية تبادل المعلومات عن الحصول وتقاسم المنافع</w:t>
      </w:r>
      <w:r>
        <w:rPr>
          <w:rFonts w:hint="cs"/>
          <w:kern w:val="22"/>
          <w:szCs w:val="22"/>
          <w:rtl/>
        </w:rPr>
        <w:t xml:space="preserve"> بحسب ما نصت عليه المادة 14 من البروتوكول. وجرى تشجيع غير الأطراف على إجراء ذلك.</w:t>
      </w:r>
    </w:p>
    <w:p w:rsidR="003142CD" w:rsidRPr="00606A80" w:rsidRDefault="003142CD" w:rsidP="006E6A0D">
      <w:pPr>
        <w:pStyle w:val="Para1"/>
        <w:bidi/>
        <w:rPr>
          <w:kern w:val="22"/>
          <w:szCs w:val="22"/>
        </w:rPr>
      </w:pPr>
      <w:r w:rsidRPr="006E6A0D">
        <w:rPr>
          <w:rFonts w:hint="cs"/>
          <w:kern w:val="22"/>
          <w:szCs w:val="22"/>
          <w:rtl/>
        </w:rPr>
        <w:t>وفي ضوء هذه الخلفية، يقدم الجدول الوارد أدناه عرضا عاما للإبلاغ المتعلق بالحصول والتقاسم من خلال مختلف آليات الإبلاغ المحددة بموجب الاتفاقية وبروتوكول ناغويا.</w:t>
      </w:r>
      <w:r w:rsidR="006E6A0D" w:rsidRPr="006E6A0D">
        <w:rPr>
          <w:rFonts w:hint="cs"/>
          <w:kern w:val="22"/>
          <w:szCs w:val="22"/>
        </w:rPr>
        <w:t xml:space="preserve"> </w:t>
      </w:r>
    </w:p>
    <w:p w:rsidR="006B3613" w:rsidRPr="003E4D78" w:rsidRDefault="006B3613" w:rsidP="003B03B8">
      <w:pPr>
        <w:pStyle w:val="Para1"/>
        <w:bidi/>
        <w:rPr>
          <w:b/>
          <w:kern w:val="22"/>
        </w:rPr>
      </w:pPr>
      <w:r w:rsidRPr="003E4D78">
        <w:rPr>
          <w:b/>
          <w:kern w:val="22"/>
        </w:rPr>
        <w:br w:type="page"/>
      </w:r>
    </w:p>
    <w:p w:rsidR="003142CD" w:rsidRPr="003142CD" w:rsidRDefault="003142CD" w:rsidP="00FE0187">
      <w:pPr>
        <w:bidi/>
        <w:rPr>
          <w:bCs/>
          <w:kern w:val="22"/>
          <w:rtl/>
        </w:rPr>
      </w:pPr>
      <w:r>
        <w:rPr>
          <w:rFonts w:hint="cs"/>
          <w:bCs/>
          <w:kern w:val="22"/>
          <w:rtl/>
        </w:rPr>
        <w:lastRenderedPageBreak/>
        <w:t>الجدول: عرض عام للإبلاغ عن الحصول والتقاسم بموجب الاتفاقية وبروتوكول</w:t>
      </w:r>
      <w:r w:rsidR="00FE0187">
        <w:rPr>
          <w:rFonts w:hint="cs"/>
          <w:bCs/>
          <w:kern w:val="22"/>
          <w:rtl/>
        </w:rPr>
        <w:t xml:space="preserve"> ناغويا</w:t>
      </w:r>
      <w:r>
        <w:rPr>
          <w:rFonts w:hint="cs"/>
          <w:bCs/>
          <w:kern w:val="22"/>
          <w:rtl/>
        </w:rPr>
        <w:t xml:space="preserve"> حتى 22 فبراير/ شباط 2018</w:t>
      </w:r>
    </w:p>
    <w:p w:rsidR="006B3613" w:rsidRPr="003E4D78" w:rsidRDefault="006B3613" w:rsidP="003B03B8">
      <w:pPr>
        <w:bidi/>
        <w:rPr>
          <w:b/>
          <w:kern w:val="22"/>
        </w:rPr>
      </w:pPr>
    </w:p>
    <w:tbl>
      <w:tblPr>
        <w:tblStyle w:val="TableGrid"/>
        <w:bidiVisual/>
        <w:tblW w:w="0" w:type="auto"/>
        <w:jc w:val="center"/>
        <w:tblLook w:val="04A0" w:firstRow="1" w:lastRow="0" w:firstColumn="1" w:lastColumn="0" w:noHBand="0" w:noVBand="1"/>
      </w:tblPr>
      <w:tblGrid>
        <w:gridCol w:w="2320"/>
        <w:gridCol w:w="2070"/>
        <w:gridCol w:w="1710"/>
        <w:gridCol w:w="1779"/>
      </w:tblGrid>
      <w:tr w:rsidR="00E829C8" w:rsidRPr="003E4D78" w:rsidTr="00731A71">
        <w:trPr>
          <w:jc w:val="center"/>
        </w:trPr>
        <w:tc>
          <w:tcPr>
            <w:tcW w:w="2320" w:type="dxa"/>
          </w:tcPr>
          <w:p w:rsidR="00E829C8" w:rsidRPr="003E4D78" w:rsidRDefault="00E829C8" w:rsidP="003B03B8">
            <w:pPr>
              <w:bidi/>
              <w:rPr>
                <w:rFonts w:ascii="Times New Roman" w:hAnsi="Times New Roman"/>
                <w:kern w:val="22"/>
                <w:sz w:val="20"/>
                <w:szCs w:val="20"/>
              </w:rPr>
            </w:pPr>
          </w:p>
        </w:tc>
        <w:tc>
          <w:tcPr>
            <w:tcW w:w="2070" w:type="dxa"/>
          </w:tcPr>
          <w:p w:rsidR="00E829C8" w:rsidRPr="00C81E75" w:rsidRDefault="00731A71" w:rsidP="00731A71">
            <w:pPr>
              <w:bidi/>
              <w:rPr>
                <w:rFonts w:ascii="Times New Roman" w:hAnsi="Times New Roman"/>
                <w:i/>
                <w:iCs/>
                <w:kern w:val="22"/>
                <w:sz w:val="20"/>
                <w:szCs w:val="20"/>
              </w:rPr>
            </w:pPr>
            <w:r w:rsidRPr="00C81E75">
              <w:rPr>
                <w:rFonts w:ascii="Times New Roman" w:hAnsi="Times New Roman" w:hint="cs"/>
                <w:i/>
                <w:iCs/>
                <w:kern w:val="22"/>
                <w:sz w:val="20"/>
                <w:szCs w:val="20"/>
                <w:rtl/>
              </w:rPr>
              <w:t>الأطراف في الاتفاقية المتعلقة بالتنوع البيولوجي (196)</w:t>
            </w:r>
          </w:p>
        </w:tc>
        <w:tc>
          <w:tcPr>
            <w:tcW w:w="1710" w:type="dxa"/>
          </w:tcPr>
          <w:p w:rsidR="00E829C8" w:rsidRPr="00C81E75" w:rsidRDefault="00731A71" w:rsidP="00731A71">
            <w:pPr>
              <w:bidi/>
              <w:rPr>
                <w:rFonts w:ascii="Times New Roman" w:hAnsi="Times New Roman"/>
                <w:i/>
                <w:iCs/>
                <w:kern w:val="22"/>
                <w:sz w:val="20"/>
                <w:szCs w:val="20"/>
              </w:rPr>
            </w:pPr>
            <w:r w:rsidRPr="00C81E75">
              <w:rPr>
                <w:rFonts w:ascii="Times New Roman" w:hAnsi="Times New Roman" w:hint="cs"/>
                <w:i/>
                <w:iCs/>
                <w:kern w:val="22"/>
                <w:sz w:val="20"/>
                <w:szCs w:val="20"/>
                <w:rtl/>
              </w:rPr>
              <w:t>الأطراف في بروتوكول ناغويا (105)</w:t>
            </w:r>
          </w:p>
        </w:tc>
        <w:tc>
          <w:tcPr>
            <w:tcW w:w="1779" w:type="dxa"/>
          </w:tcPr>
          <w:p w:rsidR="00E829C8" w:rsidRPr="00C81E75" w:rsidRDefault="009B07CD" w:rsidP="003B03B8">
            <w:pPr>
              <w:bidi/>
              <w:rPr>
                <w:rFonts w:ascii="Times New Roman" w:hAnsi="Times New Roman"/>
                <w:i/>
                <w:iCs/>
                <w:kern w:val="22"/>
                <w:sz w:val="20"/>
                <w:szCs w:val="20"/>
              </w:rPr>
            </w:pPr>
            <w:r w:rsidRPr="00C81E75">
              <w:rPr>
                <w:rFonts w:ascii="Times New Roman" w:hAnsi="Times New Roman" w:hint="cs"/>
                <w:i/>
                <w:iCs/>
                <w:kern w:val="22"/>
                <w:sz w:val="20"/>
                <w:szCs w:val="20"/>
                <w:rtl/>
              </w:rPr>
              <w:t xml:space="preserve">غير </w:t>
            </w:r>
            <w:r w:rsidR="00731A71" w:rsidRPr="00C81E75">
              <w:rPr>
                <w:rFonts w:ascii="Times New Roman" w:hAnsi="Times New Roman" w:hint="cs"/>
                <w:i/>
                <w:iCs/>
                <w:kern w:val="22"/>
                <w:sz w:val="20"/>
                <w:szCs w:val="20"/>
                <w:rtl/>
              </w:rPr>
              <w:t>الأطراف في بروتوكول ناغويا (91)</w:t>
            </w:r>
          </w:p>
        </w:tc>
      </w:tr>
      <w:tr w:rsidR="00E829C8" w:rsidRPr="003E4D78" w:rsidTr="00731A71">
        <w:trPr>
          <w:jc w:val="center"/>
        </w:trPr>
        <w:tc>
          <w:tcPr>
            <w:tcW w:w="2320" w:type="dxa"/>
          </w:tcPr>
          <w:p w:rsidR="00E829C8" w:rsidRPr="003E4D78" w:rsidRDefault="00731A71" w:rsidP="003B03B8">
            <w:pPr>
              <w:bidi/>
              <w:jc w:val="left"/>
              <w:rPr>
                <w:rFonts w:ascii="Times New Roman" w:hAnsi="Times New Roman"/>
                <w:kern w:val="22"/>
                <w:sz w:val="20"/>
                <w:szCs w:val="20"/>
              </w:rPr>
            </w:pPr>
            <w:r>
              <w:rPr>
                <w:rFonts w:ascii="Times New Roman" w:hAnsi="Times New Roman" w:hint="cs"/>
                <w:kern w:val="22"/>
                <w:sz w:val="20"/>
                <w:szCs w:val="20"/>
                <w:rtl/>
              </w:rPr>
              <w:t>التقارير الوطنية الخامسة المقدمة</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189</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102</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87</w:t>
            </w:r>
          </w:p>
        </w:tc>
      </w:tr>
      <w:tr w:rsidR="00E829C8" w:rsidRPr="003E4D78" w:rsidTr="00731A71">
        <w:trPr>
          <w:jc w:val="center"/>
        </w:trPr>
        <w:tc>
          <w:tcPr>
            <w:tcW w:w="2320" w:type="dxa"/>
          </w:tcPr>
          <w:p w:rsidR="00E829C8" w:rsidRPr="003E4D78" w:rsidRDefault="00731A71" w:rsidP="003B03B8">
            <w:pPr>
              <w:bidi/>
              <w:jc w:val="left"/>
              <w:rPr>
                <w:rFonts w:ascii="Times New Roman" w:hAnsi="Times New Roman"/>
                <w:kern w:val="22"/>
                <w:sz w:val="20"/>
                <w:szCs w:val="20"/>
              </w:rPr>
            </w:pPr>
            <w:r>
              <w:rPr>
                <w:rFonts w:ascii="Times New Roman" w:hAnsi="Times New Roman" w:hint="cs"/>
                <w:kern w:val="22"/>
                <w:sz w:val="20"/>
                <w:szCs w:val="20"/>
                <w:rtl/>
              </w:rPr>
              <w:t>المعلومات المبلغة عن الحصول والتقاسم في التقرير الوطني الخامس</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165</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94</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71</w:t>
            </w:r>
          </w:p>
        </w:tc>
      </w:tr>
      <w:tr w:rsidR="00E829C8" w:rsidRPr="003E4D78" w:rsidTr="00731A71">
        <w:trPr>
          <w:jc w:val="center"/>
        </w:trPr>
        <w:tc>
          <w:tcPr>
            <w:tcW w:w="2320" w:type="dxa"/>
          </w:tcPr>
          <w:p w:rsidR="00E829C8" w:rsidRPr="003E4D78" w:rsidRDefault="00731A71" w:rsidP="003B03B8">
            <w:pPr>
              <w:bidi/>
              <w:jc w:val="left"/>
              <w:rPr>
                <w:rFonts w:ascii="Times New Roman" w:hAnsi="Times New Roman"/>
                <w:kern w:val="22"/>
                <w:sz w:val="20"/>
                <w:szCs w:val="20"/>
              </w:rPr>
            </w:pPr>
            <w:r>
              <w:rPr>
                <w:rFonts w:ascii="Times New Roman" w:hAnsi="Times New Roman" w:hint="cs"/>
                <w:kern w:val="22"/>
                <w:sz w:val="20"/>
                <w:szCs w:val="20"/>
                <w:rtl/>
              </w:rPr>
              <w:t>المعلومات المقدمة عن تدابير تنفيذ الحصول والتقاسم في التقرير الوطني الخامس</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102</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67</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35</w:t>
            </w:r>
          </w:p>
        </w:tc>
      </w:tr>
      <w:tr w:rsidR="00E829C8" w:rsidRPr="003E4D78" w:rsidTr="00731A71">
        <w:trPr>
          <w:jc w:val="center"/>
        </w:trPr>
        <w:tc>
          <w:tcPr>
            <w:tcW w:w="2320" w:type="dxa"/>
          </w:tcPr>
          <w:p w:rsidR="00E829C8" w:rsidRPr="003E4D78" w:rsidRDefault="00731A71" w:rsidP="00731A71">
            <w:pPr>
              <w:bidi/>
              <w:jc w:val="left"/>
              <w:rPr>
                <w:rFonts w:ascii="Times New Roman" w:hAnsi="Times New Roman"/>
                <w:kern w:val="22"/>
                <w:sz w:val="20"/>
                <w:szCs w:val="20"/>
              </w:rPr>
            </w:pPr>
            <w:r>
              <w:rPr>
                <w:rFonts w:ascii="Times New Roman" w:hAnsi="Times New Roman" w:hint="cs"/>
                <w:kern w:val="22"/>
                <w:sz w:val="20"/>
                <w:szCs w:val="20"/>
                <w:rtl/>
              </w:rPr>
              <w:t>التقارير الوطنية عن الاستراتيجيات وخطط العمل الوطنية المقدمة</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186</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104</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82</w:t>
            </w:r>
          </w:p>
        </w:tc>
      </w:tr>
      <w:tr w:rsidR="00E829C8" w:rsidRPr="003E4D78" w:rsidTr="00731A71">
        <w:trPr>
          <w:jc w:val="center"/>
        </w:trPr>
        <w:tc>
          <w:tcPr>
            <w:tcW w:w="2320" w:type="dxa"/>
          </w:tcPr>
          <w:p w:rsidR="00E829C8" w:rsidRPr="003E4D78" w:rsidRDefault="00731A71" w:rsidP="003B03B8">
            <w:pPr>
              <w:bidi/>
              <w:jc w:val="left"/>
              <w:rPr>
                <w:rFonts w:ascii="Times New Roman" w:hAnsi="Times New Roman"/>
                <w:kern w:val="22"/>
                <w:sz w:val="20"/>
                <w:szCs w:val="20"/>
              </w:rPr>
            </w:pPr>
            <w:r>
              <w:rPr>
                <w:rFonts w:ascii="Times New Roman" w:hAnsi="Times New Roman" w:hint="cs"/>
                <w:kern w:val="22"/>
                <w:sz w:val="20"/>
                <w:szCs w:val="20"/>
                <w:rtl/>
              </w:rPr>
              <w:t>المعلومات المبلغة عن الحصول والتقاسم في الاستراتيجيات وخطط العمل الوطنية للتنوع البيولوجي</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151</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90</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61</w:t>
            </w:r>
          </w:p>
        </w:tc>
      </w:tr>
      <w:tr w:rsidR="00E829C8" w:rsidRPr="003E4D78" w:rsidTr="00731A71">
        <w:trPr>
          <w:jc w:val="center"/>
        </w:trPr>
        <w:tc>
          <w:tcPr>
            <w:tcW w:w="2320" w:type="dxa"/>
          </w:tcPr>
          <w:p w:rsidR="00E829C8" w:rsidRPr="003E4D78" w:rsidRDefault="00731A71" w:rsidP="003B03B8">
            <w:pPr>
              <w:bidi/>
              <w:jc w:val="left"/>
              <w:rPr>
                <w:rFonts w:ascii="Times New Roman" w:hAnsi="Times New Roman"/>
                <w:kern w:val="22"/>
                <w:sz w:val="20"/>
                <w:szCs w:val="20"/>
              </w:rPr>
            </w:pPr>
            <w:r>
              <w:rPr>
                <w:rFonts w:ascii="Times New Roman" w:hAnsi="Times New Roman" w:hint="cs"/>
                <w:kern w:val="22"/>
                <w:sz w:val="20"/>
                <w:szCs w:val="20"/>
                <w:rtl/>
              </w:rPr>
              <w:t>التقارير الوطنية المرحلية المقدمة</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75</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69</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6</w:t>
            </w:r>
          </w:p>
        </w:tc>
      </w:tr>
      <w:tr w:rsidR="00E829C8" w:rsidRPr="003E4D78" w:rsidTr="00731A71">
        <w:trPr>
          <w:jc w:val="center"/>
        </w:trPr>
        <w:tc>
          <w:tcPr>
            <w:tcW w:w="2320" w:type="dxa"/>
          </w:tcPr>
          <w:p w:rsidR="00E829C8" w:rsidRPr="003E4D78" w:rsidRDefault="00731A71" w:rsidP="00731A71">
            <w:pPr>
              <w:bidi/>
              <w:jc w:val="left"/>
              <w:rPr>
                <w:rFonts w:ascii="Times New Roman" w:hAnsi="Times New Roman"/>
                <w:kern w:val="22"/>
                <w:sz w:val="20"/>
                <w:szCs w:val="20"/>
              </w:rPr>
            </w:pPr>
            <w:r>
              <w:rPr>
                <w:rFonts w:ascii="Times New Roman" w:hAnsi="Times New Roman" w:hint="cs"/>
                <w:kern w:val="22"/>
                <w:sz w:val="20"/>
                <w:szCs w:val="20"/>
                <w:rtl/>
              </w:rPr>
              <w:t xml:space="preserve">السجلات الوطنية </w:t>
            </w:r>
            <w:r w:rsidRPr="003E4D78">
              <w:rPr>
                <w:rStyle w:val="FootnoteReference"/>
                <w:rFonts w:ascii="Times New Roman" w:hAnsi="Times New Roman"/>
                <w:kern w:val="22"/>
                <w:szCs w:val="20"/>
              </w:rPr>
              <w:footnoteReference w:id="5"/>
            </w:r>
            <w:r>
              <w:rPr>
                <w:rFonts w:ascii="Times New Roman" w:hAnsi="Times New Roman" w:hint="cs"/>
                <w:kern w:val="22"/>
                <w:sz w:val="20"/>
                <w:szCs w:val="20"/>
                <w:rtl/>
              </w:rPr>
              <w:t>عن آلية تبادل المعلومات الخاصة بالحصول والتقاسم</w:t>
            </w:r>
          </w:p>
        </w:tc>
        <w:tc>
          <w:tcPr>
            <w:tcW w:w="207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63</w:t>
            </w:r>
          </w:p>
        </w:tc>
        <w:tc>
          <w:tcPr>
            <w:tcW w:w="1710"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55</w:t>
            </w:r>
          </w:p>
        </w:tc>
        <w:tc>
          <w:tcPr>
            <w:tcW w:w="1779" w:type="dxa"/>
            <w:vAlign w:val="center"/>
          </w:tcPr>
          <w:p w:rsidR="00E829C8" w:rsidRPr="003E4D78" w:rsidRDefault="00E829C8" w:rsidP="003B03B8">
            <w:pPr>
              <w:bidi/>
              <w:jc w:val="center"/>
              <w:rPr>
                <w:rFonts w:ascii="Times New Roman" w:hAnsi="Times New Roman"/>
                <w:kern w:val="22"/>
                <w:sz w:val="20"/>
                <w:szCs w:val="20"/>
              </w:rPr>
            </w:pPr>
            <w:r w:rsidRPr="003E4D78">
              <w:rPr>
                <w:rFonts w:ascii="Times New Roman" w:hAnsi="Times New Roman"/>
                <w:kern w:val="22"/>
                <w:sz w:val="20"/>
                <w:szCs w:val="20"/>
              </w:rPr>
              <w:t>8</w:t>
            </w:r>
          </w:p>
        </w:tc>
      </w:tr>
    </w:tbl>
    <w:p w:rsidR="00E829C8" w:rsidRDefault="00E829C8" w:rsidP="003B03B8">
      <w:pPr>
        <w:pStyle w:val="Para1"/>
        <w:numPr>
          <w:ilvl w:val="0"/>
          <w:numId w:val="0"/>
        </w:numPr>
        <w:bidi/>
        <w:rPr>
          <w:kern w:val="22"/>
          <w:rtl/>
        </w:rPr>
      </w:pPr>
    </w:p>
    <w:p w:rsidR="00731A71" w:rsidRPr="006E6A0D" w:rsidRDefault="00731A71" w:rsidP="00DE2D1B">
      <w:pPr>
        <w:pStyle w:val="Para1"/>
        <w:numPr>
          <w:ilvl w:val="0"/>
          <w:numId w:val="26"/>
        </w:numPr>
        <w:bidi/>
        <w:rPr>
          <w:kern w:val="22"/>
          <w:szCs w:val="22"/>
        </w:rPr>
      </w:pPr>
      <w:r w:rsidRPr="006E6A0D">
        <w:rPr>
          <w:rFonts w:hint="cs"/>
          <w:kern w:val="22"/>
          <w:szCs w:val="22"/>
          <w:rtl/>
        </w:rPr>
        <w:t>كما أشير في الجدول فإنه من بين عدد 189 طرف</w:t>
      </w:r>
      <w:r w:rsidR="00DE2D1B">
        <w:rPr>
          <w:rFonts w:hint="cs"/>
          <w:kern w:val="22"/>
          <w:szCs w:val="22"/>
          <w:rtl/>
        </w:rPr>
        <w:t>ا</w:t>
      </w:r>
      <w:r w:rsidRPr="006E6A0D">
        <w:rPr>
          <w:rFonts w:hint="cs"/>
          <w:kern w:val="22"/>
          <w:szCs w:val="22"/>
          <w:rtl/>
        </w:rPr>
        <w:t xml:space="preserve"> من الأطراف في الاتفاقية التي قدمت التقرير الوطني الخامس، أبلغ 165 طرفا (87 في المائة) عن الحصول وتقاسم المنافع ردا على السؤال المتعلق بالتقدم المحرز صوب تنفيذ الخطة الاستراتيجية للتنوع البيولوجي للفترة 2011-2020 وأهداف </w:t>
      </w:r>
      <w:r w:rsidR="00C81E75">
        <w:rPr>
          <w:rFonts w:hint="cs"/>
          <w:kern w:val="22"/>
          <w:szCs w:val="22"/>
          <w:rtl/>
        </w:rPr>
        <w:t>أيشي</w:t>
      </w:r>
      <w:r w:rsidRPr="006E6A0D">
        <w:rPr>
          <w:rFonts w:hint="cs"/>
          <w:kern w:val="22"/>
          <w:szCs w:val="22"/>
          <w:rtl/>
        </w:rPr>
        <w:t xml:space="preserve"> للتنوع البيولوجي. وهناك 94 طرفا من هذه الأطراف البالغة 165 </w:t>
      </w:r>
      <w:r w:rsidR="00DE2D1B">
        <w:rPr>
          <w:rFonts w:hint="cs"/>
          <w:kern w:val="22"/>
          <w:szCs w:val="22"/>
          <w:rtl/>
        </w:rPr>
        <w:t>طرفا</w:t>
      </w:r>
      <w:r w:rsidRPr="006E6A0D">
        <w:rPr>
          <w:rFonts w:hint="cs"/>
          <w:kern w:val="22"/>
          <w:szCs w:val="22"/>
          <w:rtl/>
        </w:rPr>
        <w:t xml:space="preserve"> في بروتوكول ناغويا. وفيما يتعلق </w:t>
      </w:r>
      <w:r w:rsidR="00DE2D1B">
        <w:rPr>
          <w:rFonts w:hint="cs"/>
          <w:kern w:val="22"/>
          <w:szCs w:val="22"/>
          <w:rtl/>
        </w:rPr>
        <w:t>بال</w:t>
      </w:r>
      <w:r w:rsidRPr="00C9322E">
        <w:rPr>
          <w:rFonts w:hint="cs"/>
          <w:kern w:val="22"/>
          <w:szCs w:val="22"/>
          <w:rtl/>
        </w:rPr>
        <w:t xml:space="preserve">استراتيجيات وخطط </w:t>
      </w:r>
      <w:r w:rsidR="00DE2D1B">
        <w:rPr>
          <w:rFonts w:hint="cs"/>
          <w:kern w:val="22"/>
          <w:szCs w:val="22"/>
          <w:rtl/>
        </w:rPr>
        <w:t>ال</w:t>
      </w:r>
      <w:r w:rsidRPr="00C9322E">
        <w:rPr>
          <w:rFonts w:hint="cs"/>
          <w:kern w:val="22"/>
          <w:szCs w:val="22"/>
          <w:rtl/>
        </w:rPr>
        <w:t xml:space="preserve">عمل </w:t>
      </w:r>
      <w:r w:rsidR="00DE2D1B">
        <w:rPr>
          <w:rFonts w:hint="cs"/>
          <w:kern w:val="22"/>
          <w:szCs w:val="22"/>
          <w:rtl/>
        </w:rPr>
        <w:t>الوطنية ل</w:t>
      </w:r>
      <w:r w:rsidRPr="00C9322E">
        <w:rPr>
          <w:rFonts w:hint="cs"/>
          <w:kern w:val="22"/>
          <w:szCs w:val="22"/>
          <w:rtl/>
        </w:rPr>
        <w:t>لتنوع البيولوجي</w:t>
      </w:r>
      <w:r w:rsidRPr="006E6A0D">
        <w:rPr>
          <w:rFonts w:hint="cs"/>
          <w:kern w:val="22"/>
          <w:szCs w:val="22"/>
          <w:rtl/>
        </w:rPr>
        <w:t>، فإنه من بين 186 من هذه التقارير، قدم 151 تقرير (81 في المائة) معلومات عن الحصول والتقاسم فيما يتعلق بالأهداف الوطنية</w:t>
      </w:r>
      <w:r w:rsidR="00B10176">
        <w:rPr>
          <w:rFonts w:hint="cs"/>
          <w:kern w:val="22"/>
          <w:szCs w:val="22"/>
          <w:rtl/>
        </w:rPr>
        <w:t>،</w:t>
      </w:r>
      <w:r w:rsidRPr="006E6A0D">
        <w:rPr>
          <w:rFonts w:hint="cs"/>
          <w:kern w:val="22"/>
          <w:szCs w:val="22"/>
          <w:rtl/>
        </w:rPr>
        <w:t xml:space="preserve"> </w:t>
      </w:r>
      <w:r w:rsidR="00B10176" w:rsidRPr="006E6A0D">
        <w:rPr>
          <w:rFonts w:hint="cs"/>
          <w:kern w:val="22"/>
          <w:szCs w:val="22"/>
          <w:rtl/>
        </w:rPr>
        <w:t>واستراتيجيته</w:t>
      </w:r>
      <w:r w:rsidRPr="006E6A0D">
        <w:rPr>
          <w:rFonts w:hint="cs"/>
          <w:kern w:val="22"/>
          <w:szCs w:val="22"/>
          <w:rtl/>
        </w:rPr>
        <w:t xml:space="preserve"> أو أنشطة مقررة. وعلاوة على ذلك قدمت بعض الأطراف في الاتفاقية الذين ليسوا أعضاء بعد في بروتوكول ناغويا</w:t>
      </w:r>
      <w:r w:rsidR="006E6A0D" w:rsidRPr="006E6A0D">
        <w:rPr>
          <w:rFonts w:hint="cs"/>
          <w:kern w:val="22"/>
          <w:szCs w:val="22"/>
          <w:rtl/>
        </w:rPr>
        <w:t xml:space="preserve"> تقريرا وطنيا مرحليا عن تنفيذ أحكام بروتوكول ناغويا و/أو قدموا معلومات عن آلية تبادل معلومات الحصول والتقاسم.</w:t>
      </w:r>
    </w:p>
    <w:p w:rsidR="006E6A0D" w:rsidRPr="006E6A0D" w:rsidRDefault="006E6A0D" w:rsidP="003B03B8">
      <w:pPr>
        <w:pStyle w:val="Heading2"/>
        <w:bidi/>
        <w:rPr>
          <w:i/>
          <w:iCs w:val="0"/>
          <w:kern w:val="22"/>
          <w:rtl/>
        </w:rPr>
      </w:pPr>
      <w:r>
        <w:rPr>
          <w:rFonts w:hint="cs"/>
          <w:i/>
          <w:iCs w:val="0"/>
          <w:kern w:val="22"/>
          <w:rtl/>
        </w:rPr>
        <w:t>باء- حالة التصديق على بروتوكول ناغويا وتنفيذه</w:t>
      </w:r>
    </w:p>
    <w:p w:rsidR="006E6A0D" w:rsidRDefault="006E6A0D" w:rsidP="003B03B8">
      <w:pPr>
        <w:pStyle w:val="Para1"/>
        <w:bidi/>
        <w:rPr>
          <w:kern w:val="22"/>
          <w:szCs w:val="22"/>
        </w:rPr>
      </w:pPr>
      <w:r w:rsidRPr="006E6A0D">
        <w:rPr>
          <w:rFonts w:hint="cs"/>
          <w:kern w:val="22"/>
          <w:szCs w:val="22"/>
          <w:rtl/>
        </w:rPr>
        <w:t>حتى</w:t>
      </w:r>
      <w:r>
        <w:rPr>
          <w:rFonts w:hint="cs"/>
          <w:kern w:val="22"/>
          <w:szCs w:val="22"/>
          <w:rtl/>
        </w:rPr>
        <w:t xml:space="preserve"> 8 مايو/ أيار 2018/ صدق 105 أطراف من الاتفاقية على البروتوكول. وسينظر الأطراف خلال الاجتماع الثالث في التقدم المحرز في تنفيذ البروتوكول استنادا الى التقييم والاستعراض الأوليين للبرتوكول.</w:t>
      </w:r>
    </w:p>
    <w:p w:rsidR="006E6A0D" w:rsidRPr="00FE0187" w:rsidRDefault="006E6A0D" w:rsidP="00B10176">
      <w:pPr>
        <w:pStyle w:val="Para1"/>
        <w:bidi/>
        <w:rPr>
          <w:i/>
          <w:iCs/>
          <w:kern w:val="22"/>
          <w:szCs w:val="22"/>
        </w:rPr>
      </w:pPr>
      <w:r w:rsidRPr="00FE0187">
        <w:rPr>
          <w:rFonts w:hint="cs"/>
          <w:i/>
          <w:iCs/>
          <w:kern w:val="22"/>
          <w:szCs w:val="22"/>
          <w:rtl/>
        </w:rPr>
        <w:t>ووفقا للمادة 31 من بروتوكول ناغويا، سوف تجري الأطراف في البروتوكول خلال اجتماعها الثالث أول تقييم واستعراض لفاعلية بروتوكول ناغويا أخذا في الاعتبار المعلومات التي أتيحت من خلال التقارير الوطنية المرحلية وآلية تبادل معلومات الحصول والتقاسم فضلا عن مصادر المعلومات الأخرى. وسيجري النظر في تقييم للتقدم المحرز في تنفيذ البروتوكول تحت البند 4 من الاجتماع الثاني لل</w:t>
      </w:r>
      <w:r w:rsidR="00D56406">
        <w:rPr>
          <w:rFonts w:hint="cs"/>
          <w:i/>
          <w:iCs/>
          <w:kern w:val="22"/>
          <w:szCs w:val="22"/>
          <w:rtl/>
        </w:rPr>
        <w:t>هيئة الفرعية للتنفيذ</w:t>
      </w:r>
      <w:r w:rsidRPr="00FE0187">
        <w:rPr>
          <w:rFonts w:hint="cs"/>
          <w:i/>
          <w:iCs/>
          <w:kern w:val="22"/>
          <w:szCs w:val="22"/>
          <w:rtl/>
        </w:rPr>
        <w:t xml:space="preserve"> </w:t>
      </w:r>
      <w:r w:rsidRPr="007D6242">
        <w:rPr>
          <w:rFonts w:hint="cs"/>
          <w:i/>
          <w:iCs/>
          <w:kern w:val="22"/>
          <w:szCs w:val="22"/>
          <w:rtl/>
        </w:rPr>
        <w:t xml:space="preserve">استنادا الى </w:t>
      </w:r>
      <w:r w:rsidR="009B07CD" w:rsidRPr="007D6242">
        <w:rPr>
          <w:rFonts w:hint="cs"/>
          <w:i/>
          <w:iCs/>
          <w:kern w:val="22"/>
          <w:szCs w:val="22"/>
          <w:rtl/>
        </w:rPr>
        <w:t>مذكرة الأمينة التنفيذية</w:t>
      </w:r>
      <w:r w:rsidR="007D6242">
        <w:rPr>
          <w:rFonts w:hint="cs"/>
          <w:i/>
          <w:iCs/>
          <w:kern w:val="22"/>
          <w:szCs w:val="22"/>
          <w:rtl/>
        </w:rPr>
        <w:t xml:space="preserve"> </w:t>
      </w:r>
      <w:r w:rsidR="009B07CD" w:rsidRPr="007D6242">
        <w:rPr>
          <w:rFonts w:hint="cs"/>
          <w:i/>
          <w:iCs/>
          <w:kern w:val="22"/>
          <w:szCs w:val="22"/>
          <w:rtl/>
        </w:rPr>
        <w:t>(</w:t>
      </w:r>
      <w:r w:rsidRPr="007D6242">
        <w:rPr>
          <w:i/>
          <w:iCs/>
          <w:kern w:val="22"/>
        </w:rPr>
        <w:t>UNEP/CBD/SBI/2</w:t>
      </w:r>
      <w:r w:rsidRPr="00FE0187">
        <w:rPr>
          <w:i/>
          <w:iCs/>
          <w:kern w:val="22"/>
        </w:rPr>
        <w:t>/3</w:t>
      </w:r>
      <w:r w:rsidR="009B07CD" w:rsidRPr="00FE0187">
        <w:rPr>
          <w:rFonts w:hint="cs"/>
          <w:i/>
          <w:iCs/>
          <w:kern w:val="22"/>
          <w:rtl/>
        </w:rPr>
        <w:t>)</w:t>
      </w:r>
      <w:r w:rsidRPr="00FE0187">
        <w:rPr>
          <w:rFonts w:hint="cs"/>
          <w:i/>
          <w:iCs/>
          <w:kern w:val="22"/>
          <w:szCs w:val="22"/>
          <w:rtl/>
        </w:rPr>
        <w:t xml:space="preserve">. ويأخذ التقييم في الاعتبار المعلومات المقدمة من الأطراف من خلال التقرير الوطني المؤقت وآلية تبادل معلومات الحصول والتقاسم. وبالنسبة لتلك الأطراف التي لم تقدم تقارير وطنية مرحلية، نظر في المعلومات المقدمة في التقرير الوطني الخامس والتقرير الوطني عن الاستراتيجية وخطط العمل المتعلقة بالتنوع البيولوجي وسوف تقدم نتائجه وتوصياته للنظر من جانب </w:t>
      </w:r>
      <w:r w:rsidR="009B07CD" w:rsidRPr="00FE0187">
        <w:rPr>
          <w:rFonts w:hint="cs"/>
          <w:i/>
          <w:iCs/>
          <w:kern w:val="22"/>
          <w:szCs w:val="22"/>
          <w:rtl/>
        </w:rPr>
        <w:t>من</w:t>
      </w:r>
      <w:r w:rsidR="00FE0187" w:rsidRPr="00FE0187">
        <w:rPr>
          <w:rFonts w:hint="cs"/>
          <w:i/>
          <w:iCs/>
          <w:kern w:val="22"/>
          <w:szCs w:val="22"/>
          <w:rtl/>
        </w:rPr>
        <w:t xml:space="preserve"> مؤتمر</w:t>
      </w:r>
      <w:r w:rsidR="009B07CD" w:rsidRPr="00FE0187">
        <w:rPr>
          <w:rFonts w:hint="cs"/>
          <w:i/>
          <w:iCs/>
          <w:kern w:val="22"/>
          <w:szCs w:val="22"/>
          <w:rtl/>
        </w:rPr>
        <w:t xml:space="preserve"> الأطراف العامل ك</w:t>
      </w:r>
      <w:r w:rsidR="00B10176">
        <w:rPr>
          <w:rFonts w:hint="cs"/>
          <w:i/>
          <w:iCs/>
          <w:kern w:val="22"/>
          <w:szCs w:val="22"/>
          <w:rtl/>
        </w:rPr>
        <w:t>ا</w:t>
      </w:r>
      <w:r w:rsidR="009B07CD" w:rsidRPr="00FE0187">
        <w:rPr>
          <w:rFonts w:hint="cs"/>
          <w:i/>
          <w:iCs/>
          <w:kern w:val="22"/>
          <w:szCs w:val="22"/>
          <w:rtl/>
        </w:rPr>
        <w:t xml:space="preserve">جتماع للأطراف </w:t>
      </w:r>
      <w:r w:rsidR="00B10176">
        <w:rPr>
          <w:rFonts w:hint="cs"/>
          <w:i/>
          <w:iCs/>
          <w:kern w:val="22"/>
          <w:szCs w:val="22"/>
          <w:rtl/>
        </w:rPr>
        <w:t>في</w:t>
      </w:r>
      <w:r w:rsidR="009B07CD" w:rsidRPr="00FE0187">
        <w:rPr>
          <w:rFonts w:hint="cs"/>
          <w:i/>
          <w:iCs/>
          <w:kern w:val="22"/>
          <w:szCs w:val="22"/>
          <w:rtl/>
        </w:rPr>
        <w:t xml:space="preserve"> بروتوكول ناغويا </w:t>
      </w:r>
      <w:r w:rsidR="00FE0187" w:rsidRPr="00FE0187">
        <w:rPr>
          <w:rFonts w:hint="cs"/>
          <w:i/>
          <w:iCs/>
          <w:kern w:val="22"/>
          <w:szCs w:val="22"/>
          <w:rtl/>
        </w:rPr>
        <w:t xml:space="preserve">خلال </w:t>
      </w:r>
      <w:r w:rsidR="00B10176">
        <w:rPr>
          <w:rFonts w:hint="cs"/>
          <w:i/>
          <w:iCs/>
          <w:kern w:val="22"/>
          <w:szCs w:val="22"/>
          <w:rtl/>
        </w:rPr>
        <w:t>ا</w:t>
      </w:r>
      <w:r w:rsidR="00FE0187" w:rsidRPr="00FE0187">
        <w:rPr>
          <w:rFonts w:hint="cs"/>
          <w:i/>
          <w:iCs/>
          <w:kern w:val="22"/>
          <w:szCs w:val="22"/>
          <w:rtl/>
        </w:rPr>
        <w:t xml:space="preserve">جتماعه </w:t>
      </w:r>
      <w:r w:rsidRPr="00FE0187">
        <w:rPr>
          <w:rFonts w:hint="cs"/>
          <w:i/>
          <w:iCs/>
          <w:kern w:val="22"/>
          <w:szCs w:val="22"/>
          <w:rtl/>
        </w:rPr>
        <w:t>الثالث.</w:t>
      </w:r>
    </w:p>
    <w:p w:rsidR="006E6A0D" w:rsidRPr="006E6A0D" w:rsidRDefault="006E6A0D" w:rsidP="006E6A0D">
      <w:pPr>
        <w:pStyle w:val="Para1"/>
        <w:bidi/>
        <w:rPr>
          <w:kern w:val="22"/>
          <w:szCs w:val="22"/>
        </w:rPr>
      </w:pPr>
      <w:r>
        <w:rPr>
          <w:rFonts w:hint="cs"/>
          <w:kern w:val="22"/>
          <w:szCs w:val="22"/>
          <w:rtl/>
        </w:rPr>
        <w:t>ونظرا لأن بروتوكول ناغويا يدعم تنفيذ أحكام الحصول والتقاسم في الاتفاقية، يمكن أن يساعد تقييم التقدم في تنفيذ بروتوكول ناغويا أيضا في تقييم التقدم صوب تنفيذ أحكام الحصول والتقاسم في الاتفاقية.</w:t>
      </w:r>
    </w:p>
    <w:p w:rsidR="006E6A0D" w:rsidRPr="006E6A0D" w:rsidRDefault="006E6A0D" w:rsidP="003B03B8">
      <w:pPr>
        <w:pStyle w:val="Heading2"/>
        <w:bidi/>
        <w:ind w:left="1701" w:hanging="708"/>
        <w:jc w:val="left"/>
        <w:rPr>
          <w:i/>
          <w:iCs w:val="0"/>
          <w:kern w:val="22"/>
          <w:rtl/>
        </w:rPr>
      </w:pPr>
      <w:r>
        <w:rPr>
          <w:rFonts w:hint="cs"/>
          <w:i/>
          <w:iCs w:val="0"/>
          <w:kern w:val="22"/>
          <w:rtl/>
        </w:rPr>
        <w:t>جيم-</w:t>
      </w:r>
      <w:r>
        <w:rPr>
          <w:rFonts w:hint="cs"/>
          <w:i/>
          <w:iCs w:val="0"/>
          <w:kern w:val="22"/>
          <w:rtl/>
        </w:rPr>
        <w:tab/>
        <w:t>التقدم المحرز صوب التصديق والتنفيذ بواسطة الأطراف في الاتفاقية وغير الأطراف في بروتوكول ناغويا</w:t>
      </w:r>
    </w:p>
    <w:p w:rsidR="0055000B" w:rsidRDefault="0055000B" w:rsidP="003B03B8">
      <w:pPr>
        <w:pStyle w:val="Para1"/>
        <w:bidi/>
        <w:rPr>
          <w:kern w:val="22"/>
          <w:szCs w:val="22"/>
        </w:rPr>
      </w:pPr>
      <w:r>
        <w:rPr>
          <w:rFonts w:hint="cs"/>
          <w:kern w:val="22"/>
          <w:szCs w:val="22"/>
          <w:rtl/>
        </w:rPr>
        <w:t>علاوة على الأطراف في الاتفاقية التي صادقت على البروتوكول، يعمل عدد من الأطراف في الاتفاقية صوب التصديق أو التخطيط للتصديق.</w:t>
      </w:r>
    </w:p>
    <w:p w:rsidR="0055000B" w:rsidRDefault="0055000B" w:rsidP="0055000B">
      <w:pPr>
        <w:pStyle w:val="Para1"/>
        <w:bidi/>
        <w:rPr>
          <w:kern w:val="22"/>
          <w:szCs w:val="22"/>
        </w:rPr>
      </w:pPr>
      <w:r>
        <w:rPr>
          <w:rFonts w:hint="cs"/>
          <w:kern w:val="22"/>
          <w:szCs w:val="22"/>
          <w:rtl/>
        </w:rPr>
        <w:lastRenderedPageBreak/>
        <w:t>وكما يتبين من الرسم البياني ألف أدناه واستنادا الى المعلومات المتاحة من خلال التقارير الوطنية بموجب الاتفاقية، والتقارير الوطنية المؤقتة للاستراتيجيات وخطط العمل للتنوع البيولوجي بشأن تنفيذ بروتوكول ناغويا، وآلية تبادل معلومات الحصول والتقاسم ومشروعات بناء القدرات ذات الصلة بالحصول والتقاسم، يجري تنفيذ عملية لتحقيق التصديق في 34 طرفا في الاتفاقية كما أن هناك مؤشرات على أن 34 طرفا آخر في الاتفاقية يخطط للتصديق على البروتوكول. وهناك 23 طرفا فقط لم تقدم أي مؤشرات على عزمها للتصديق على البروتوكول.</w:t>
      </w:r>
    </w:p>
    <w:p w:rsidR="006E6A0D" w:rsidRPr="006E6A0D" w:rsidRDefault="00945226" w:rsidP="0055000B">
      <w:pPr>
        <w:pStyle w:val="Para1"/>
        <w:bidi/>
        <w:rPr>
          <w:kern w:val="22"/>
          <w:szCs w:val="22"/>
        </w:rPr>
      </w:pPr>
      <w:r>
        <w:rPr>
          <w:rFonts w:hint="cs"/>
          <w:kern w:val="22"/>
          <w:szCs w:val="22"/>
          <w:rtl/>
        </w:rPr>
        <w:t>وفي الختام فإن المعلومات المتوافرة تشير الى أن غالبية الأطراف في الاتفاقية لم تصدق بعد أو أنها تعمل صوب التصديق أو تخطط للتصديق</w:t>
      </w:r>
      <w:r w:rsidR="0055000B">
        <w:rPr>
          <w:rFonts w:hint="cs"/>
          <w:kern w:val="22"/>
          <w:szCs w:val="22"/>
          <w:rtl/>
        </w:rPr>
        <w:t>.</w:t>
      </w:r>
    </w:p>
    <w:p w:rsidR="00012364" w:rsidRPr="00945226" w:rsidRDefault="00945226" w:rsidP="003B03B8">
      <w:pPr>
        <w:pStyle w:val="Para1"/>
        <w:numPr>
          <w:ilvl w:val="0"/>
          <w:numId w:val="0"/>
        </w:numPr>
        <w:bidi/>
        <w:jc w:val="center"/>
        <w:rPr>
          <w:bCs/>
          <w:kern w:val="22"/>
          <w:szCs w:val="22"/>
        </w:rPr>
      </w:pPr>
      <w:r w:rsidRPr="00945226">
        <w:rPr>
          <w:rFonts w:hint="cs"/>
          <w:bCs/>
          <w:kern w:val="22"/>
          <w:szCs w:val="22"/>
          <w:rtl/>
        </w:rPr>
        <w:t>الشكل ألف: حالة التصديق</w:t>
      </w:r>
    </w:p>
    <w:p w:rsidR="00020B29" w:rsidRPr="003E4D78" w:rsidRDefault="006C3635" w:rsidP="007F226A">
      <w:pPr>
        <w:pStyle w:val="Para1"/>
        <w:numPr>
          <w:ilvl w:val="0"/>
          <w:numId w:val="0"/>
        </w:numPr>
        <w:jc w:val="center"/>
        <w:rPr>
          <w:kern w:val="22"/>
        </w:rPr>
      </w:pPr>
      <w:r w:rsidRPr="003E4D78">
        <w:rPr>
          <w:noProof/>
          <w:kern w:val="22"/>
          <w:lang w:val="en-CA" w:eastAsia="en-CA"/>
        </w:rPr>
        <w:drawing>
          <wp:inline distT="0" distB="0" distL="0" distR="0" wp14:anchorId="6D0137FC" wp14:editId="62CDB66E">
            <wp:extent cx="4114800" cy="24955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095D" w:rsidRDefault="008D095D" w:rsidP="008D095D">
      <w:pPr>
        <w:pStyle w:val="Para1"/>
        <w:numPr>
          <w:ilvl w:val="0"/>
          <w:numId w:val="0"/>
        </w:numPr>
        <w:bidi/>
        <w:jc w:val="center"/>
        <w:rPr>
          <w:b/>
          <w:kern w:val="22"/>
          <w:rtl/>
        </w:rPr>
      </w:pPr>
      <w:r w:rsidRPr="00945226">
        <w:rPr>
          <w:rFonts w:hint="cs"/>
          <w:bCs/>
          <w:kern w:val="22"/>
          <w:szCs w:val="22"/>
          <w:rtl/>
        </w:rPr>
        <w:t xml:space="preserve">الشكل </w:t>
      </w:r>
      <w:r>
        <w:rPr>
          <w:rFonts w:hint="cs"/>
          <w:bCs/>
          <w:kern w:val="22"/>
          <w:szCs w:val="22"/>
          <w:rtl/>
        </w:rPr>
        <w:t>باء</w:t>
      </w:r>
      <w:r w:rsidRPr="00945226">
        <w:rPr>
          <w:rFonts w:hint="cs"/>
          <w:bCs/>
          <w:kern w:val="22"/>
          <w:szCs w:val="22"/>
          <w:rtl/>
        </w:rPr>
        <w:t>: حالة التصديق</w:t>
      </w:r>
      <w:r>
        <w:rPr>
          <w:rFonts w:hint="cs"/>
          <w:bCs/>
          <w:kern w:val="22"/>
          <w:szCs w:val="22"/>
          <w:rtl/>
        </w:rPr>
        <w:t xml:space="preserve"> بحسب الأقاليم</w:t>
      </w:r>
    </w:p>
    <w:p w:rsidR="00020B29" w:rsidRPr="003E4D78" w:rsidRDefault="0000533E" w:rsidP="007F226A">
      <w:pPr>
        <w:pStyle w:val="Para1"/>
        <w:numPr>
          <w:ilvl w:val="0"/>
          <w:numId w:val="0"/>
        </w:numPr>
        <w:jc w:val="center"/>
        <w:rPr>
          <w:kern w:val="22"/>
        </w:rPr>
      </w:pPr>
      <w:r w:rsidRPr="003E4D78">
        <w:rPr>
          <w:noProof/>
          <w:kern w:val="22"/>
          <w:lang w:val="en-CA" w:eastAsia="en-CA"/>
        </w:rPr>
        <w:drawing>
          <wp:inline distT="0" distB="0" distL="0" distR="0" wp14:anchorId="08DC8BC8" wp14:editId="0FEB27C3">
            <wp:extent cx="4029075" cy="26574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94539" w:rsidRPr="003E4D78">
        <w:rPr>
          <w:kern w:val="22"/>
        </w:rPr>
        <w:t xml:space="preserve"> </w:t>
      </w:r>
    </w:p>
    <w:p w:rsidR="008D095D" w:rsidRDefault="008D095D" w:rsidP="003B03B8">
      <w:pPr>
        <w:pStyle w:val="Para1"/>
        <w:bidi/>
        <w:rPr>
          <w:kern w:val="22"/>
          <w:szCs w:val="22"/>
        </w:rPr>
      </w:pPr>
      <w:r>
        <w:rPr>
          <w:rFonts w:hint="cs"/>
          <w:kern w:val="22"/>
          <w:szCs w:val="22"/>
          <w:rtl/>
        </w:rPr>
        <w:t xml:space="preserve">وعلاوة على ذلك فإنه وفقا لما تبين في الرسم البيان باء بشأن عمليات التصديق بحسب الأقاليم، هناك تأييد عام لبروتوكول ناغويا في جميع الأقاليم. غير أن التقدم صوب التصديق يسير بصورة أبطأ من أقاليم أخرى. ويمكن تفسير التقدم المحدود في بعض الأقاليم بعدة عوامل. فعلى وجه الخصوص، فإن عملية التشاور التي طلبها الكثير من البلدان قبل التصديق قد تكون حساسة من الناحية السياسية ومضيعة للوقت، بالنظر الى </w:t>
      </w:r>
      <w:r w:rsidRPr="007D6242">
        <w:rPr>
          <w:rFonts w:hint="cs"/>
          <w:kern w:val="22"/>
          <w:szCs w:val="22"/>
          <w:rtl/>
        </w:rPr>
        <w:t xml:space="preserve">الطابع الشامل لقضايا الحصول والتقاسم وهو الأمر الوثيق الصلة بمختلف الوزارات (مثل البيئة، والزراعة، والبحث والتجارة) </w:t>
      </w:r>
      <w:r w:rsidR="00094A26" w:rsidRPr="007D6242">
        <w:rPr>
          <w:rFonts w:hint="cs"/>
          <w:kern w:val="22"/>
          <w:szCs w:val="22"/>
          <w:rtl/>
        </w:rPr>
        <w:t>و</w:t>
      </w:r>
      <w:r w:rsidRPr="007D6242">
        <w:rPr>
          <w:rFonts w:hint="cs"/>
          <w:kern w:val="22"/>
          <w:szCs w:val="22"/>
          <w:rtl/>
        </w:rPr>
        <w:t>بالشعوب الأصلية والمجتمعات المحلية وبمختلف أصحاب المصلحة (مثل رجال الأعمال والمجتمع العلمي) وعلاوة على ذلك، يتعين على عدد من البلدان وضع تدا</w:t>
      </w:r>
      <w:r w:rsidR="001224B9" w:rsidRPr="007D6242">
        <w:rPr>
          <w:rFonts w:hint="cs"/>
          <w:kern w:val="22"/>
          <w:szCs w:val="22"/>
          <w:rtl/>
        </w:rPr>
        <w:t>ب</w:t>
      </w:r>
      <w:r w:rsidRPr="007D6242">
        <w:rPr>
          <w:rFonts w:hint="cs"/>
          <w:kern w:val="22"/>
          <w:szCs w:val="22"/>
          <w:rtl/>
        </w:rPr>
        <w:t>ير وطنية للتنفيذ قبل التصديق</w:t>
      </w:r>
      <w:r>
        <w:rPr>
          <w:rFonts w:hint="cs"/>
          <w:kern w:val="22"/>
          <w:szCs w:val="22"/>
          <w:rtl/>
        </w:rPr>
        <w:t>.</w:t>
      </w:r>
    </w:p>
    <w:p w:rsidR="006C247A" w:rsidRDefault="008D095D" w:rsidP="008D095D">
      <w:pPr>
        <w:pStyle w:val="Para1"/>
        <w:bidi/>
        <w:rPr>
          <w:kern w:val="22"/>
          <w:szCs w:val="22"/>
        </w:rPr>
      </w:pPr>
      <w:r>
        <w:rPr>
          <w:rFonts w:hint="cs"/>
          <w:kern w:val="22"/>
          <w:szCs w:val="22"/>
          <w:rtl/>
        </w:rPr>
        <w:t xml:space="preserve">ونظرا لأنه يتعين الكثير من البلدان تطبيق تدابير لتنفيذ البروتوكول قبل أن تتمكن من التصديق، يتخذ عدد من الأطراف في الاتفاقية يعمل على التصديق أيضا على خطوات لتنفيذ البروتوكول وقدمت معلومات عن التطورات الوطنية ذات الصلة بتنفيذ الحصول والتقاسم </w:t>
      </w:r>
      <w:r>
        <w:rPr>
          <w:rFonts w:hint="cs"/>
          <w:kern w:val="22"/>
          <w:szCs w:val="22"/>
          <w:rtl/>
        </w:rPr>
        <w:lastRenderedPageBreak/>
        <w:t xml:space="preserve">مثل إنشاء هياكل مؤسسية أو وضع أو تعديل تدابير الحصول والتقاسم من خلال التقارير الوطنية بموجب </w:t>
      </w:r>
      <w:r w:rsidR="006C247A">
        <w:rPr>
          <w:rFonts w:hint="cs"/>
          <w:kern w:val="22"/>
          <w:szCs w:val="22"/>
          <w:rtl/>
        </w:rPr>
        <w:t>الاتفاقية، والتقارير الوطنية للاستراتيجيات وخطط العمل الوطنية المرحلية بشأن تنفيذ بروتوكول ناغويا و/أو آلية تبادل معلومات الحصول والتقاسم.</w:t>
      </w:r>
    </w:p>
    <w:p w:rsidR="006C247A" w:rsidRDefault="006C247A" w:rsidP="006C247A">
      <w:pPr>
        <w:pStyle w:val="Para1"/>
        <w:bidi/>
        <w:rPr>
          <w:kern w:val="22"/>
          <w:szCs w:val="22"/>
        </w:rPr>
      </w:pPr>
      <w:r>
        <w:rPr>
          <w:rFonts w:hint="cs"/>
          <w:kern w:val="22"/>
          <w:szCs w:val="22"/>
          <w:rtl/>
        </w:rPr>
        <w:t>وبالإضافة الى ذلك، فإن لدى عدد من الأطراف في الاتفاقية تدابير خاصة بالحصول والتقاسم قبل بروتوكول ناغويا وفقا للحصول وتقاسم المنافع في الاتفاقية. ويجري الكثير من هذه الأطراف في الوقت الحاضر عملية تنقيح لتدابيرها الوطنية بشأن الحصول والتقاسم لتحقيق الامتثال للالتزامات الإضافية التي حددها بروتوكول ناغويا مثل تلك المتعلقة بالامتثال ولرصد استخدام الموارد الجينية.</w:t>
      </w:r>
    </w:p>
    <w:p w:rsidR="008D095D" w:rsidRPr="008D095D" w:rsidRDefault="006C247A" w:rsidP="006C247A">
      <w:pPr>
        <w:pStyle w:val="Para1"/>
        <w:bidi/>
        <w:rPr>
          <w:kern w:val="22"/>
          <w:szCs w:val="22"/>
        </w:rPr>
      </w:pPr>
      <w:r>
        <w:rPr>
          <w:rFonts w:hint="cs"/>
          <w:kern w:val="22"/>
          <w:szCs w:val="22"/>
          <w:rtl/>
        </w:rPr>
        <w:t>ويقدم الشكل التالي عرضا عاما للتقدم الذي أحرزته الأطراف في الاتفاقية التي ليست بعد عضوا في بروتوكول ناغويا في وضع التدابير التشريعية والإدارية والسياساتية بشأن الحصول والتقاسم</w:t>
      </w:r>
      <w:r w:rsidR="008D095D">
        <w:rPr>
          <w:rFonts w:hint="cs"/>
          <w:kern w:val="22"/>
          <w:szCs w:val="22"/>
          <w:rtl/>
        </w:rPr>
        <w:t>.</w:t>
      </w:r>
    </w:p>
    <w:p w:rsidR="0031427C" w:rsidRPr="003E4D78" w:rsidRDefault="006C247A" w:rsidP="006C247A">
      <w:pPr>
        <w:pStyle w:val="Para1"/>
        <w:numPr>
          <w:ilvl w:val="0"/>
          <w:numId w:val="0"/>
        </w:numPr>
        <w:bidi/>
        <w:rPr>
          <w:b/>
          <w:kern w:val="22"/>
        </w:rPr>
      </w:pPr>
      <w:r w:rsidRPr="006C247A">
        <w:rPr>
          <w:rFonts w:hint="cs"/>
          <w:bCs/>
          <w:kern w:val="22"/>
          <w:szCs w:val="22"/>
          <w:rtl/>
        </w:rPr>
        <w:t>الشكل</w:t>
      </w:r>
      <w:r>
        <w:rPr>
          <w:rFonts w:hint="cs"/>
          <w:bCs/>
          <w:kern w:val="22"/>
          <w:szCs w:val="22"/>
          <w:rtl/>
        </w:rPr>
        <w:t xml:space="preserve"> جيم: التقدم في وضع التدابير التشريعية والإدارية والسياساتية بشأن الحصول والتقاسم من جانب الأطراف في الاتفاقية المتعلقة بالتنوع البيولوجي غير الأعضاء بعد في بروتوكول ناغويا حتى 22 فبراير/ شباط 2018</w:t>
      </w:r>
    </w:p>
    <w:p w:rsidR="0031427C" w:rsidRPr="003E4D78" w:rsidRDefault="0031427C" w:rsidP="006B3613">
      <w:pPr>
        <w:pStyle w:val="Para1"/>
        <w:numPr>
          <w:ilvl w:val="0"/>
          <w:numId w:val="0"/>
        </w:numPr>
        <w:jc w:val="center"/>
        <w:rPr>
          <w:kern w:val="22"/>
          <w:lang w:val="en-US"/>
        </w:rPr>
      </w:pPr>
      <w:r w:rsidRPr="003E4D78">
        <w:rPr>
          <w:noProof/>
          <w:kern w:val="22"/>
          <w:lang w:val="en-CA" w:eastAsia="en-CA"/>
        </w:rPr>
        <w:drawing>
          <wp:inline distT="0" distB="0" distL="0" distR="0" wp14:anchorId="4B612ED8" wp14:editId="6A4EE77D">
            <wp:extent cx="4162425" cy="2609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247A" w:rsidRDefault="006C247A" w:rsidP="003B03B8">
      <w:pPr>
        <w:pStyle w:val="Para1"/>
        <w:bidi/>
        <w:rPr>
          <w:kern w:val="22"/>
          <w:szCs w:val="22"/>
        </w:rPr>
      </w:pPr>
      <w:r>
        <w:rPr>
          <w:rFonts w:hint="cs"/>
          <w:kern w:val="22"/>
          <w:szCs w:val="22"/>
          <w:rtl/>
        </w:rPr>
        <w:t>ووفقا للمعلومات المتوافرة، أبلغ 30 طرفا في الاتفاقية (33 في المائة من الأطراف التي لم تصدق على البروتوكول) بأن لديه تدابير خاصة بالحصول والتقاسم. ومن بين هذه الأطراف البالغ عددها 30، أشار 7 أطراف الى أنها تنقح حاليا أو تضع تدابير جديدة للحصول والتقاسم لتنفيذ بروتوكول ناغويا، ويخطط 14 طرفا لوضع تدابير إضافية للحصول والتقاسم.</w:t>
      </w:r>
    </w:p>
    <w:p w:rsidR="006C247A" w:rsidRDefault="006C247A" w:rsidP="006C247A">
      <w:pPr>
        <w:pStyle w:val="Para1"/>
        <w:bidi/>
        <w:rPr>
          <w:kern w:val="22"/>
          <w:szCs w:val="22"/>
        </w:rPr>
      </w:pPr>
      <w:r>
        <w:rPr>
          <w:rFonts w:hint="cs"/>
          <w:kern w:val="22"/>
          <w:szCs w:val="22"/>
          <w:rtl/>
        </w:rPr>
        <w:t>وبالإضافة الى ذلك فإنه من بين الأطراف البالغ عددها 61 التي ليس لها تدابير بعد للحصول والتقاسم، أشار 13 طرفا منها الى أنها تضع حاليا تدابير، وأبلغ 25 طرفا عن أنها تخطط لوضع تدابير، ولم يقدم 23 طرفا أي معلومات عن وضع تدابير.</w:t>
      </w:r>
    </w:p>
    <w:p w:rsidR="000E6972" w:rsidRDefault="006C247A" w:rsidP="000E6972">
      <w:pPr>
        <w:pStyle w:val="Para1"/>
        <w:bidi/>
        <w:rPr>
          <w:kern w:val="22"/>
          <w:szCs w:val="22"/>
        </w:rPr>
      </w:pPr>
      <w:r>
        <w:rPr>
          <w:rFonts w:hint="cs"/>
          <w:kern w:val="22"/>
          <w:szCs w:val="22"/>
          <w:rtl/>
        </w:rPr>
        <w:t xml:space="preserve">وكما أشير في المقررين </w:t>
      </w:r>
      <w:hyperlink r:id="rId22" w:history="1">
        <w:r w:rsidR="000E6972">
          <w:rPr>
            <w:rStyle w:val="Hyperlink"/>
            <w:rFonts w:hint="cs"/>
            <w:kern w:val="22"/>
            <w:szCs w:val="22"/>
            <w:rtl/>
          </w:rPr>
          <w:t>13</w:t>
        </w:r>
        <w:r>
          <w:rPr>
            <w:rStyle w:val="Hyperlink"/>
            <w:rFonts w:hint="cs"/>
            <w:kern w:val="22"/>
            <w:szCs w:val="22"/>
            <w:rtl/>
          </w:rPr>
          <w:t>/</w:t>
        </w:r>
        <w:r w:rsidRPr="006C247A">
          <w:rPr>
            <w:rStyle w:val="Hyperlink"/>
            <w:kern w:val="22"/>
            <w:szCs w:val="22"/>
          </w:rPr>
          <w:t>1</w:t>
        </w:r>
      </w:hyperlink>
      <w:r>
        <w:rPr>
          <w:rFonts w:hint="cs"/>
          <w:kern w:val="22"/>
          <w:szCs w:val="22"/>
          <w:rtl/>
        </w:rPr>
        <w:t xml:space="preserve"> و</w:t>
      </w:r>
      <w:hyperlink r:id="rId23" w:history="1">
        <w:r w:rsidR="000E6972" w:rsidRPr="003E4D78">
          <w:rPr>
            <w:rStyle w:val="Hyperlink"/>
            <w:kern w:val="22"/>
          </w:rPr>
          <w:t>NP-2/1</w:t>
        </w:r>
      </w:hyperlink>
      <w:r>
        <w:rPr>
          <w:rFonts w:hint="cs"/>
          <w:kern w:val="22"/>
          <w:szCs w:val="22"/>
          <w:rtl/>
        </w:rPr>
        <w:t xml:space="preserve"> ومؤخرا</w:t>
      </w:r>
      <w:r w:rsidR="000E6972">
        <w:rPr>
          <w:rFonts w:hint="cs"/>
          <w:kern w:val="22"/>
          <w:szCs w:val="22"/>
          <w:rtl/>
        </w:rPr>
        <w:t xml:space="preserve"> بواسطة أطراف في تقاريرها الوطنية الى أنها تحتاج الى مزيد من المساعدات التقنية وبناء القدرات والموارد المالية لدعم عملية التصديق والتنفيذ.</w:t>
      </w:r>
    </w:p>
    <w:p w:rsidR="006C247A" w:rsidRPr="006C247A" w:rsidRDefault="000E6972" w:rsidP="000E6972">
      <w:pPr>
        <w:pStyle w:val="Para1"/>
        <w:bidi/>
        <w:rPr>
          <w:kern w:val="22"/>
          <w:szCs w:val="22"/>
        </w:rPr>
      </w:pPr>
      <w:r>
        <w:rPr>
          <w:rFonts w:hint="cs"/>
          <w:kern w:val="22"/>
          <w:szCs w:val="22"/>
          <w:rtl/>
        </w:rPr>
        <w:t>وعلاوة على ذلك تواصل الأطراف في الاتفاقية التي لم تصادق بعد على بروتوكول ناغويا تواصل تطبيق التزاماتها الخاصة بالحصول والتقاسم على النحو المحدد في الأحكام ذات الصلة في الاتفاقية بما في ذلك الالتزامات الواردة في المواد 15 و16 و19(1) و(2) والمادة 8(ي)</w:t>
      </w:r>
      <w:r w:rsidR="006C247A" w:rsidRPr="006C247A">
        <w:rPr>
          <w:rFonts w:hint="cs"/>
          <w:kern w:val="22"/>
          <w:szCs w:val="22"/>
          <w:rtl/>
        </w:rPr>
        <w:t>.</w:t>
      </w:r>
    </w:p>
    <w:p w:rsidR="000E6972" w:rsidRPr="000E6972" w:rsidRDefault="000E6972" w:rsidP="000E6972">
      <w:pPr>
        <w:pStyle w:val="Heading1"/>
        <w:bidi/>
        <w:ind w:left="1418" w:hanging="851"/>
        <w:jc w:val="left"/>
        <w:rPr>
          <w:b w:val="0"/>
          <w:bCs/>
          <w:kern w:val="22"/>
        </w:rPr>
      </w:pPr>
      <w:r>
        <w:rPr>
          <w:rFonts w:hint="cs"/>
          <w:b w:val="0"/>
          <w:bCs/>
          <w:kern w:val="22"/>
          <w:rtl/>
        </w:rPr>
        <w:t>ثانيا-</w:t>
      </w:r>
      <w:r>
        <w:rPr>
          <w:rFonts w:hint="cs"/>
          <w:b w:val="0"/>
          <w:bCs/>
          <w:kern w:val="22"/>
          <w:rtl/>
        </w:rPr>
        <w:tab/>
        <w:t>تكامل تدابير الحصول والتقاسم في مختلف أنحاء الاتفاقية</w:t>
      </w:r>
    </w:p>
    <w:p w:rsidR="000E6972" w:rsidRDefault="000E6972" w:rsidP="003B03B8">
      <w:pPr>
        <w:pStyle w:val="Para1"/>
        <w:bidi/>
        <w:rPr>
          <w:kern w:val="22"/>
          <w:szCs w:val="22"/>
        </w:rPr>
      </w:pPr>
      <w:r>
        <w:rPr>
          <w:rFonts w:hint="cs"/>
          <w:kern w:val="22"/>
          <w:szCs w:val="22"/>
          <w:rtl/>
        </w:rPr>
        <w:t>مازالت تدابير الحصول والتقاسم تعتبر، الى حد كبير، مسألة مستقلة بموجب الاتفاقية وبروتوكول ناغويا. غير أن بروتوكول ناغويا يؤكد أن تقاسم المنافع يسهم في حفظ التنوع البيولوجي والاستخدام المستدام لمكوناته.</w:t>
      </w:r>
      <w:r w:rsidRPr="000E6972">
        <w:rPr>
          <w:rStyle w:val="FootnoteReference"/>
          <w:kern w:val="22"/>
        </w:rPr>
        <w:t xml:space="preserve"> </w:t>
      </w:r>
      <w:r w:rsidRPr="003E4D78">
        <w:rPr>
          <w:rStyle w:val="FootnoteReference"/>
          <w:kern w:val="22"/>
        </w:rPr>
        <w:footnoteReference w:id="6"/>
      </w:r>
    </w:p>
    <w:p w:rsidR="000E6972" w:rsidRDefault="000E6972" w:rsidP="000E6972">
      <w:pPr>
        <w:pStyle w:val="Para1"/>
        <w:bidi/>
        <w:rPr>
          <w:kern w:val="22"/>
          <w:szCs w:val="22"/>
        </w:rPr>
      </w:pPr>
      <w:r>
        <w:rPr>
          <w:rFonts w:hint="cs"/>
          <w:kern w:val="22"/>
          <w:szCs w:val="22"/>
          <w:rtl/>
        </w:rPr>
        <w:t>ونظرا لطابعه الشامل، فإنه ينبغي أن تراعي القضايا المتعلقة بالحصول والتقاسم بغية دعم تنفيذها الكامل على المستوى الوطني والحصول على الموارد الجينية وما يرتبط بها من معارف تقليدية وتقاسم المنافع بصورة عادلة ومتساوية للمنافع الناشئة عن استخدامها، أن تتخذ ممثلي الحكومات وأصحاب المصلحة المعنيين بإدارة و/أو استخدام الموارد الطبيعية في مختلف المجالات، (مثل الغابات والمناطق البحرية، والمناطق المحمية) كجزء من نهج الإدارة المتكاملة مما يمكن أن يسهم في الحفظ والاستخدام المستدام.</w:t>
      </w:r>
    </w:p>
    <w:p w:rsidR="000E6972" w:rsidRDefault="000E6972" w:rsidP="000E6972">
      <w:pPr>
        <w:pStyle w:val="Para1"/>
        <w:bidi/>
        <w:rPr>
          <w:kern w:val="22"/>
          <w:szCs w:val="22"/>
        </w:rPr>
      </w:pPr>
      <w:r>
        <w:rPr>
          <w:rFonts w:hint="cs"/>
          <w:kern w:val="22"/>
          <w:szCs w:val="22"/>
          <w:rtl/>
        </w:rPr>
        <w:lastRenderedPageBreak/>
        <w:t>ويمكن في ضوء هذه الخلفية أن يؤدي تكامل القضايا ذات الصلة بالحصول والتقاسم في جميع أنحاء الاتفاقية الى مزيد من الدعم لتنفيذ بروتوكول ناغويا. وقد بذلت بعض الجهود في هذا الاتجاه على المستوى الدولي، ويمكن أن تساهم في دعم واستنارة الأنشطة على المستوى الوطني.</w:t>
      </w:r>
    </w:p>
    <w:p w:rsidR="00625BA5" w:rsidRDefault="000E6972" w:rsidP="00FE0187">
      <w:pPr>
        <w:pStyle w:val="Para1"/>
        <w:bidi/>
        <w:rPr>
          <w:kern w:val="22"/>
          <w:szCs w:val="22"/>
        </w:rPr>
      </w:pPr>
      <w:r>
        <w:rPr>
          <w:rFonts w:hint="cs"/>
          <w:kern w:val="22"/>
          <w:szCs w:val="22"/>
          <w:rtl/>
        </w:rPr>
        <w:t xml:space="preserve">ونظرا للصلات المباشرة </w:t>
      </w:r>
      <w:hyperlink r:id="rId24" w:history="1">
        <w:r w:rsidRPr="004C2A38">
          <w:rPr>
            <w:rStyle w:val="Hyperlink"/>
            <w:rFonts w:hint="cs"/>
            <w:kern w:val="22"/>
            <w:szCs w:val="22"/>
            <w:rtl/>
          </w:rPr>
          <w:t xml:space="preserve">لبرنامج العمل الخاص بالمادة 8(ي) </w:t>
        </w:r>
        <w:r w:rsidR="00FE0187" w:rsidRPr="004C2A38">
          <w:rPr>
            <w:rStyle w:val="Hyperlink"/>
            <w:rFonts w:hint="cs"/>
            <w:kern w:val="22"/>
            <w:szCs w:val="22"/>
            <w:rtl/>
          </w:rPr>
          <w:t>و</w:t>
        </w:r>
        <w:r w:rsidRPr="004C2A38">
          <w:rPr>
            <w:rStyle w:val="Hyperlink"/>
            <w:rFonts w:hint="cs"/>
            <w:kern w:val="22"/>
            <w:szCs w:val="22"/>
            <w:rtl/>
          </w:rPr>
          <w:t>الأحكام ذات الصلة</w:t>
        </w:r>
      </w:hyperlink>
      <w:r>
        <w:rPr>
          <w:rFonts w:hint="cs"/>
          <w:kern w:val="22"/>
          <w:szCs w:val="22"/>
          <w:rtl/>
        </w:rPr>
        <w:t xml:space="preserve"> تولى دعم الأحكام ذات الصلة بتنفيذ الحصول والتقاسم ومؤخرا دعم بروتوكول ناغويا</w:t>
      </w:r>
      <w:r w:rsidR="00625BA5">
        <w:rPr>
          <w:rFonts w:hint="cs"/>
          <w:kern w:val="22"/>
          <w:szCs w:val="22"/>
          <w:rtl/>
        </w:rPr>
        <w:t xml:space="preserve"> وتضمن العمل المتعلق بذلك وضع المبادئ التوجيهية الطوعية لمو أوتز كوكسال</w:t>
      </w:r>
      <w:r w:rsidR="00625BA5" w:rsidRPr="003E4D78">
        <w:rPr>
          <w:rStyle w:val="FootnoteReference"/>
          <w:kern w:val="22"/>
        </w:rPr>
        <w:footnoteReference w:id="7"/>
      </w:r>
      <w:r w:rsidR="00625BA5">
        <w:rPr>
          <w:rFonts w:hint="cs"/>
          <w:kern w:val="22"/>
          <w:szCs w:val="22"/>
          <w:rtl/>
        </w:rPr>
        <w:t xml:space="preserve"> فضلا عن عدد من أنشطة بناء القدرات تستهدف بالدرجة الأولى الشعوب الأصلية والمجتمعات المحلية لدعم تنفيذ الاتفاقية وبروتوكول ناغويا بما في ذلك من خلال وضع بروتوكولات مجتمعية.</w:t>
      </w:r>
    </w:p>
    <w:p w:rsidR="000E6972" w:rsidRPr="000E6972" w:rsidRDefault="00625BA5" w:rsidP="00625BA5">
      <w:pPr>
        <w:pStyle w:val="Para1"/>
        <w:bidi/>
        <w:rPr>
          <w:kern w:val="22"/>
          <w:szCs w:val="22"/>
        </w:rPr>
      </w:pPr>
      <w:r>
        <w:rPr>
          <w:rFonts w:hint="cs"/>
          <w:kern w:val="22"/>
          <w:szCs w:val="22"/>
          <w:rtl/>
        </w:rPr>
        <w:t>ووضعت المواد التالية بدعم من الأمانة لبناء قدرات المجتمع العلمي بوصفه من مستخدمي الموارد الجينية فيما يتعلق بقضايا الحصول والتقاسم:</w:t>
      </w:r>
    </w:p>
    <w:p w:rsidR="00625BA5" w:rsidRDefault="00625BA5" w:rsidP="003B03B8">
      <w:pPr>
        <w:pStyle w:val="Para1"/>
        <w:numPr>
          <w:ilvl w:val="1"/>
          <w:numId w:val="2"/>
        </w:numPr>
        <w:bidi/>
        <w:rPr>
          <w:kern w:val="22"/>
          <w:szCs w:val="22"/>
        </w:rPr>
      </w:pPr>
      <w:r>
        <w:rPr>
          <w:rFonts w:hint="cs"/>
          <w:kern w:val="22"/>
          <w:szCs w:val="22"/>
          <w:rtl/>
        </w:rPr>
        <w:t>صدر مؤخرا مطبوع لعام 2017 من جانب مبادرة التصنيف العالمية بعنوان "</w:t>
      </w:r>
      <w:r w:rsidRPr="00625BA5">
        <w:rPr>
          <w:rFonts w:hint="cs"/>
          <w:i/>
          <w:iCs/>
          <w:kern w:val="22"/>
          <w:szCs w:val="22"/>
          <w:rtl/>
        </w:rPr>
        <w:t>مقدمة للحصول وتقاسم المنافع وبروتوكول ناغويا: ما الذي ينبغي أن يعلمه الباحثون في ترميز الدنا</w:t>
      </w:r>
      <w:r>
        <w:rPr>
          <w:rFonts w:hint="cs"/>
          <w:kern w:val="22"/>
          <w:szCs w:val="22"/>
          <w:rtl/>
        </w:rPr>
        <w:t xml:space="preserve">" ويتوافر هذا المطبوع في: </w:t>
      </w:r>
      <w:hyperlink r:id="rId25" w:history="1">
        <w:r w:rsidRPr="00CB3814">
          <w:rPr>
            <w:rStyle w:val="Hyperlink"/>
            <w:kern w:val="22"/>
            <w:szCs w:val="22"/>
            <w:shd w:val="clear" w:color="auto" w:fill="FFFFFF"/>
          </w:rPr>
          <w:t>https://www.cbd.int/gti/</w:t>
        </w:r>
        <w:r w:rsidRPr="00CB3814">
          <w:rPr>
            <w:rStyle w:val="Hyperlink"/>
            <w:rFonts w:hint="cs"/>
            <w:kern w:val="22"/>
            <w:szCs w:val="22"/>
            <w:rtl/>
          </w:rPr>
          <w:t>؛</w:t>
        </w:r>
      </w:hyperlink>
    </w:p>
    <w:p w:rsidR="00625BA5" w:rsidRDefault="00625BA5" w:rsidP="00625BA5">
      <w:pPr>
        <w:pStyle w:val="Para1"/>
        <w:numPr>
          <w:ilvl w:val="1"/>
          <w:numId w:val="2"/>
        </w:numPr>
        <w:bidi/>
        <w:rPr>
          <w:kern w:val="22"/>
          <w:szCs w:val="22"/>
        </w:rPr>
      </w:pPr>
      <w:r>
        <w:rPr>
          <w:rFonts w:hint="cs"/>
          <w:kern w:val="22"/>
          <w:szCs w:val="22"/>
          <w:rtl/>
        </w:rPr>
        <w:t xml:space="preserve">وضعت منظمة حفظ الحدائق النباتية نماذج التعلم الإلكتروني للحصول والتقاسم لأولئك العاملين في مجال الحدائق النباتية وذلك بفضل الدعم المقدم من الاتفاقية المتعلقة بالتنوع البيولوجي وصندوق اليابان للتنوع البيولوجي وتتوافر هذه المجموعة في: </w:t>
      </w:r>
      <w:hyperlink r:id="rId26" w:history="1">
        <w:r w:rsidRPr="003E4D78">
          <w:rPr>
            <w:rStyle w:val="Hyperlink"/>
            <w:kern w:val="22"/>
            <w:lang w:val="en-CA"/>
          </w:rPr>
          <w:t>https://www.bgci.org/policy/abs_learning/</w:t>
        </w:r>
      </w:hyperlink>
      <w:r>
        <w:rPr>
          <w:rFonts w:hint="cs"/>
          <w:kern w:val="22"/>
          <w:szCs w:val="22"/>
          <w:rtl/>
        </w:rPr>
        <w:t>؛</w:t>
      </w:r>
    </w:p>
    <w:p w:rsidR="00625BA5" w:rsidRDefault="00625BA5" w:rsidP="003B03B8">
      <w:pPr>
        <w:pStyle w:val="Para1"/>
        <w:bidi/>
        <w:rPr>
          <w:kern w:val="22"/>
          <w:szCs w:val="22"/>
        </w:rPr>
      </w:pPr>
      <w:r>
        <w:rPr>
          <w:rFonts w:hint="cs"/>
          <w:kern w:val="22"/>
          <w:szCs w:val="22"/>
          <w:rtl/>
        </w:rPr>
        <w:t>وعلاوة على ذلك، اضطلعت الأمانة ببعض الأنشطة لمعالجة الصلات بين "</w:t>
      </w:r>
      <w:r w:rsidRPr="004C2A38">
        <w:rPr>
          <w:rFonts w:hint="cs"/>
          <w:kern w:val="22"/>
          <w:szCs w:val="22"/>
          <w:rtl/>
        </w:rPr>
        <w:t>قطاع الأعمال والتنوع البيولوجي</w:t>
      </w:r>
      <w:r>
        <w:rPr>
          <w:rFonts w:hint="cs"/>
          <w:kern w:val="22"/>
          <w:szCs w:val="22"/>
          <w:rtl/>
        </w:rPr>
        <w:t xml:space="preserve">" </w:t>
      </w:r>
      <w:r w:rsidR="00395153" w:rsidRPr="004C2A38">
        <w:rPr>
          <w:rFonts w:hint="cs"/>
          <w:kern w:val="22"/>
          <w:szCs w:val="22"/>
          <w:rtl/>
        </w:rPr>
        <w:t>و</w:t>
      </w:r>
      <w:r w:rsidRPr="004C2A38">
        <w:rPr>
          <w:rFonts w:hint="cs"/>
          <w:kern w:val="22"/>
          <w:szCs w:val="22"/>
          <w:rtl/>
        </w:rPr>
        <w:t>نظرت</w:t>
      </w:r>
      <w:r>
        <w:rPr>
          <w:rFonts w:hint="cs"/>
          <w:kern w:val="22"/>
          <w:szCs w:val="22"/>
          <w:rtl/>
        </w:rPr>
        <w:t xml:space="preserve"> أيضا في تدابير الحصول والتقاسم وانعكاسات ذلك على بروتوكول ناغويا. وتشمل هذه ما</w:t>
      </w:r>
      <w:r w:rsidR="00DE2D1B">
        <w:rPr>
          <w:rFonts w:hint="cs"/>
          <w:kern w:val="22"/>
          <w:szCs w:val="22"/>
          <w:rtl/>
        </w:rPr>
        <w:t xml:space="preserve"> </w:t>
      </w:r>
      <w:r>
        <w:rPr>
          <w:rFonts w:hint="cs"/>
          <w:kern w:val="22"/>
          <w:szCs w:val="22"/>
          <w:rtl/>
        </w:rPr>
        <w:t>يلي: وضع نشرات إعلامية عن مجتمع قطاع الأعمال</w:t>
      </w:r>
      <w:r w:rsidRPr="003E4D78">
        <w:rPr>
          <w:rStyle w:val="FootnoteReference"/>
          <w:kern w:val="22"/>
        </w:rPr>
        <w:footnoteReference w:id="8"/>
      </w:r>
      <w:r>
        <w:rPr>
          <w:rFonts w:hint="cs"/>
          <w:kern w:val="22"/>
          <w:szCs w:val="22"/>
          <w:rtl/>
        </w:rPr>
        <w:t xml:space="preserve"> وإدراج جلسة عن الحصول والتقاسم في </w:t>
      </w:r>
      <w:hyperlink r:id="rId27" w:history="1">
        <w:r w:rsidRPr="007D6242">
          <w:rPr>
            <w:rStyle w:val="Hyperlink"/>
            <w:rFonts w:hint="cs"/>
            <w:kern w:val="22"/>
            <w:szCs w:val="22"/>
            <w:rtl/>
          </w:rPr>
          <w:t>منبر قطاع الأعمال والتنوع البيولوجي</w:t>
        </w:r>
      </w:hyperlink>
      <w:r>
        <w:rPr>
          <w:rFonts w:hint="cs"/>
          <w:kern w:val="22"/>
          <w:szCs w:val="22"/>
          <w:rtl/>
        </w:rPr>
        <w:t xml:space="preserve"> خلال الاجتماع الثالث عشر لمؤتمر الأطراف. وقد أبرزت هذه الأنشطة الصلة الوثيقة للحصول والتقاسم بمختلف القطاعات التي تستخدم الموارد الجينية بما في ذلك أدوات التجميل والمواد الصيدلانية والزراعة والمواد النباتية والبستنة.</w:t>
      </w:r>
    </w:p>
    <w:p w:rsidR="002A78B7" w:rsidRDefault="002A78B7" w:rsidP="00625BA5">
      <w:pPr>
        <w:pStyle w:val="Para1"/>
        <w:bidi/>
        <w:rPr>
          <w:kern w:val="22"/>
          <w:szCs w:val="22"/>
        </w:rPr>
      </w:pPr>
      <w:r>
        <w:rPr>
          <w:rFonts w:hint="cs"/>
          <w:kern w:val="22"/>
          <w:szCs w:val="22"/>
          <w:rtl/>
        </w:rPr>
        <w:t>وتضمنت مبادرات أخرى لإدراج تدابير الحصول والتقاسم بما في ذلك مبادرات الشركاء لإدراج عنصر الحصول والتقاسم كجزء من مشروعات بناء القدرات لمعالجة القضايا ذات اللصة بالبيئة أو التنوع البيولوجي بصورة أشمل.</w:t>
      </w:r>
    </w:p>
    <w:p w:rsidR="00625BA5" w:rsidRPr="00625BA5" w:rsidRDefault="002A78B7" w:rsidP="002A78B7">
      <w:pPr>
        <w:pStyle w:val="Para1"/>
        <w:bidi/>
        <w:rPr>
          <w:kern w:val="22"/>
          <w:szCs w:val="22"/>
        </w:rPr>
      </w:pPr>
      <w:r>
        <w:rPr>
          <w:rFonts w:hint="cs"/>
          <w:kern w:val="22"/>
          <w:szCs w:val="22"/>
          <w:rtl/>
        </w:rPr>
        <w:t>وفيما يتعلق بتحقيق المزيد من التقدم في تنفيذ بروتوكول ناغويا، يمكن اتخاذ خطوات أخرى لإدراج تدابير الحصول والتقاسم في مختلف نواحي العمل في الاتفاقية فعلى سبيل المثال، يمكن مواصلة نظر القضايا ذات الصلة بالحصول والتقاسم لدى معالجة المناطق المحمية أو إدارة المناطق الحرجية والبحرية. ويمكن أيضا نظر إدراج عنصر الحصول والتقاسم كجزء من مشروعات بناء القدرات بطريقة أكثر منهجية</w:t>
      </w:r>
      <w:r w:rsidR="00625BA5">
        <w:rPr>
          <w:rFonts w:hint="cs"/>
          <w:kern w:val="22"/>
          <w:szCs w:val="22"/>
          <w:rtl/>
        </w:rPr>
        <w:t>.</w:t>
      </w:r>
    </w:p>
    <w:p w:rsidR="002A78B7" w:rsidRPr="002A78B7" w:rsidRDefault="002A78B7" w:rsidP="003B03B8">
      <w:pPr>
        <w:pStyle w:val="Heading1"/>
        <w:bidi/>
        <w:rPr>
          <w:b w:val="0"/>
          <w:bCs/>
          <w:kern w:val="22"/>
          <w:rtl/>
        </w:rPr>
      </w:pPr>
      <w:r>
        <w:rPr>
          <w:rFonts w:hint="cs"/>
          <w:b w:val="0"/>
          <w:bCs/>
          <w:kern w:val="22"/>
          <w:rtl/>
        </w:rPr>
        <w:t>ثالثا-</w:t>
      </w:r>
      <w:r>
        <w:rPr>
          <w:rFonts w:hint="cs"/>
          <w:b w:val="0"/>
          <w:bCs/>
          <w:kern w:val="22"/>
          <w:rtl/>
        </w:rPr>
        <w:tab/>
        <w:t>الخلاصة</w:t>
      </w:r>
    </w:p>
    <w:p w:rsidR="00B96D0E" w:rsidRDefault="002A78B7" w:rsidP="003B03B8">
      <w:pPr>
        <w:pStyle w:val="Para1"/>
        <w:bidi/>
        <w:rPr>
          <w:kern w:val="22"/>
          <w:szCs w:val="22"/>
        </w:rPr>
      </w:pPr>
      <w:r>
        <w:rPr>
          <w:rFonts w:hint="cs"/>
          <w:kern w:val="22"/>
          <w:szCs w:val="22"/>
          <w:rtl/>
        </w:rPr>
        <w:t xml:space="preserve">أظهرت أطراف الاتفاقية باعتمادها الهدف 16 من أهداف </w:t>
      </w:r>
      <w:r w:rsidR="00C81E75">
        <w:rPr>
          <w:rFonts w:hint="cs"/>
          <w:kern w:val="22"/>
          <w:szCs w:val="22"/>
          <w:rtl/>
        </w:rPr>
        <w:t>أيشي</w:t>
      </w:r>
      <w:r>
        <w:rPr>
          <w:rFonts w:hint="cs"/>
          <w:kern w:val="22"/>
          <w:szCs w:val="22"/>
          <w:rtl/>
        </w:rPr>
        <w:t xml:space="preserve"> للتنوع البيولوجي التزامها بالعمل صوب التصديق على بروتوكول ناغويا وتنفيذه، وقدم معظم الأطراف في الاتفاقية معلومات عن الحصول والتقاسم في تقاريرها الوطنية الخامسة (87 في المائة</w:t>
      </w:r>
      <w:r w:rsidR="00B96D0E">
        <w:rPr>
          <w:rFonts w:hint="cs"/>
          <w:kern w:val="22"/>
          <w:szCs w:val="22"/>
          <w:rtl/>
        </w:rPr>
        <w:t>) و/أو التقارير الوطنية عن الاستراتيجيات وخطط العمل بشأن التنوع البيولوجي (81 في المائة).</w:t>
      </w:r>
    </w:p>
    <w:p w:rsidR="00B96D0E" w:rsidRDefault="00B96D0E" w:rsidP="00DE2D1B">
      <w:pPr>
        <w:pStyle w:val="Para1"/>
        <w:bidi/>
        <w:rPr>
          <w:kern w:val="22"/>
          <w:szCs w:val="22"/>
        </w:rPr>
      </w:pPr>
      <w:r>
        <w:rPr>
          <w:rFonts w:hint="cs"/>
          <w:kern w:val="22"/>
          <w:szCs w:val="22"/>
          <w:rtl/>
        </w:rPr>
        <w:t xml:space="preserve">واستنادا الى المعلومات المتوافرة، فإن أغلبية كبيرة من الأطراف في الاتفاقية (88 في المائة) إما صادقت على البروتوكول أو تعمل صوب التصديق عليه أو التخطيط للتصديق عليه. ويبين ذلك </w:t>
      </w:r>
      <w:r w:rsidR="00DE2D1B">
        <w:rPr>
          <w:rFonts w:hint="cs"/>
          <w:kern w:val="22"/>
          <w:szCs w:val="22"/>
          <w:rtl/>
        </w:rPr>
        <w:t>الدعم الكبير</w:t>
      </w:r>
      <w:r>
        <w:rPr>
          <w:rFonts w:hint="cs"/>
          <w:kern w:val="22"/>
          <w:szCs w:val="22"/>
          <w:rtl/>
        </w:rPr>
        <w:t xml:space="preserve"> لبروتوكول ناغويا. وعلاوة على ذلك، فإن 75 في المائة من الأطراف في الاتفاقية التي لم تصادق بعد على بروتوكول ناغويا إما لديها تدابير للحصول والتقاسم أو تعمل في وضع تدابير أو تخطط لذلك.</w:t>
      </w:r>
    </w:p>
    <w:p w:rsidR="00B96D0E" w:rsidRDefault="00B96D0E" w:rsidP="00B96D0E">
      <w:pPr>
        <w:pStyle w:val="Para1"/>
        <w:bidi/>
        <w:rPr>
          <w:kern w:val="22"/>
          <w:szCs w:val="22"/>
        </w:rPr>
      </w:pPr>
      <w:r>
        <w:rPr>
          <w:rFonts w:hint="cs"/>
          <w:kern w:val="22"/>
          <w:szCs w:val="22"/>
          <w:rtl/>
        </w:rPr>
        <w:t>غير أنه كما أشير في المقررين 13/1 و1/2 والتقارير الوطنية المرحلية، مازال يتعين بذل جهود أخرى  لدعم التصديق والتنفيذ بما في ذلك من خلال بناء القدرات والدعم المالي.</w:t>
      </w:r>
    </w:p>
    <w:p w:rsidR="00B96D0E" w:rsidRDefault="00B96D0E" w:rsidP="00B96D0E">
      <w:pPr>
        <w:pStyle w:val="Para1"/>
        <w:bidi/>
        <w:rPr>
          <w:kern w:val="22"/>
          <w:szCs w:val="22"/>
        </w:rPr>
      </w:pPr>
      <w:r>
        <w:rPr>
          <w:rFonts w:hint="cs"/>
          <w:kern w:val="22"/>
          <w:szCs w:val="22"/>
          <w:rtl/>
        </w:rPr>
        <w:t>ونظرا لأن الغرض من بروتوكول ناغويا هو تيسير تنفيذ الأحكام ذات الصلة بالحصول والتقاسم في الاتفاقية ونظرا لأن الأطراف في الاتفاقية لديها التزام بتنفيذ الأحكام ذات الصلة بالحصول والتقاسم للإسهام فإن من مصلحة جميع الأطراف بالاتفاقية التصديق على البروتوكول لدعم النظم الدولية المتناسقة بشأن الحصول والتقاسم.</w:t>
      </w:r>
    </w:p>
    <w:p w:rsidR="002A78B7" w:rsidRPr="002A78B7" w:rsidRDefault="00B96D0E" w:rsidP="00B96D0E">
      <w:pPr>
        <w:pStyle w:val="Para1"/>
        <w:bidi/>
        <w:rPr>
          <w:kern w:val="22"/>
          <w:szCs w:val="22"/>
        </w:rPr>
      </w:pPr>
      <w:r>
        <w:rPr>
          <w:rFonts w:hint="cs"/>
          <w:kern w:val="22"/>
          <w:szCs w:val="22"/>
          <w:rtl/>
        </w:rPr>
        <w:t xml:space="preserve">وأخيرا فإن نظرا للطابع الشامل للقضايا ذات الصلة بالحصول والتقاسم، وقدرة التقاسم في الإسهام في الحفظ والاستخدام المستدام، فإن الأمر ذد يحتاج الى مزيد من الجهود لإدراج الحصول والتقاسم في مختلف برامج العمل في الاتفاقية لدعم تنفيذ برتوكول ناغويا ويمكن النظر في مواصلة إدراج الحصول والتقاسم في المجالات الأخرى من مجالات العمل في إطار الاتفاقية كجزء من المناقشات بشأن </w:t>
      </w:r>
      <w:hyperlink r:id="rId28" w:history="1">
        <w:r w:rsidRPr="00D56406">
          <w:rPr>
            <w:rStyle w:val="Hyperlink"/>
            <w:rFonts w:hint="cs"/>
            <w:kern w:val="22"/>
            <w:szCs w:val="22"/>
            <w:rtl/>
          </w:rPr>
          <w:t>الإطار العالمي للتنوع البيولوجي بعد عام 2020</w:t>
        </w:r>
      </w:hyperlink>
      <w:r>
        <w:rPr>
          <w:rFonts w:hint="cs"/>
          <w:kern w:val="22"/>
          <w:szCs w:val="22"/>
          <w:rtl/>
        </w:rPr>
        <w:t>.</w:t>
      </w:r>
    </w:p>
    <w:p w:rsidR="00B96D0E" w:rsidRPr="00B96D0E" w:rsidRDefault="00B96D0E" w:rsidP="003B03B8">
      <w:pPr>
        <w:pStyle w:val="Heading1"/>
        <w:bidi/>
        <w:rPr>
          <w:b w:val="0"/>
          <w:bCs/>
          <w:kern w:val="22"/>
          <w:rtl/>
        </w:rPr>
      </w:pPr>
      <w:r>
        <w:rPr>
          <w:rFonts w:hint="cs"/>
          <w:b w:val="0"/>
          <w:bCs/>
          <w:kern w:val="22"/>
          <w:rtl/>
        </w:rPr>
        <w:t>رابعا-</w:t>
      </w:r>
      <w:r>
        <w:rPr>
          <w:rFonts w:hint="cs"/>
          <w:b w:val="0"/>
          <w:bCs/>
          <w:kern w:val="22"/>
          <w:rtl/>
        </w:rPr>
        <w:tab/>
        <w:t>مشروع التوصيات المقترحة</w:t>
      </w:r>
    </w:p>
    <w:p w:rsidR="00B96D0E" w:rsidRPr="00B96D0E" w:rsidRDefault="00B96D0E" w:rsidP="003B03B8">
      <w:pPr>
        <w:pStyle w:val="Para1"/>
        <w:bidi/>
        <w:rPr>
          <w:kern w:val="22"/>
          <w:szCs w:val="22"/>
        </w:rPr>
      </w:pPr>
      <w:r>
        <w:rPr>
          <w:rFonts w:hint="cs"/>
          <w:kern w:val="22"/>
          <w:szCs w:val="22"/>
          <w:rtl/>
        </w:rPr>
        <w:t xml:space="preserve">قد ترغب </w:t>
      </w:r>
      <w:r w:rsidRPr="00D56406">
        <w:rPr>
          <w:rFonts w:hint="cs"/>
          <w:kern w:val="22"/>
          <w:szCs w:val="22"/>
          <w:rtl/>
        </w:rPr>
        <w:t>ال</w:t>
      </w:r>
      <w:r w:rsidR="00D56406">
        <w:rPr>
          <w:rFonts w:hint="cs"/>
          <w:kern w:val="22"/>
          <w:szCs w:val="22"/>
          <w:rtl/>
        </w:rPr>
        <w:t>هيئة الفرعية للتنفيذ</w:t>
      </w:r>
      <w:r>
        <w:rPr>
          <w:rFonts w:hint="cs"/>
          <w:kern w:val="22"/>
          <w:szCs w:val="22"/>
          <w:rtl/>
        </w:rPr>
        <w:t xml:space="preserve"> بأن توصي مؤتمر الأطراف باعتماد مقرر على نسق الخطوط التالية:</w:t>
      </w:r>
    </w:p>
    <w:p w:rsidR="00440A3A" w:rsidRPr="00B96D0E" w:rsidRDefault="00B96D0E" w:rsidP="003B03B8">
      <w:pPr>
        <w:pStyle w:val="Para1"/>
        <w:numPr>
          <w:ilvl w:val="0"/>
          <w:numId w:val="0"/>
        </w:numPr>
        <w:bidi/>
        <w:ind w:firstLine="709"/>
        <w:rPr>
          <w:rFonts w:eastAsia="Calibri"/>
          <w:iCs/>
          <w:kern w:val="22"/>
          <w:szCs w:val="22"/>
        </w:rPr>
      </w:pPr>
      <w:r w:rsidRPr="00B96D0E">
        <w:rPr>
          <w:rFonts w:eastAsia="Calibri" w:hint="cs"/>
          <w:iCs/>
          <w:kern w:val="22"/>
          <w:szCs w:val="22"/>
          <w:rtl/>
        </w:rPr>
        <w:t>إن مؤتمر الأطراف</w:t>
      </w:r>
    </w:p>
    <w:p w:rsidR="00B96D0E" w:rsidRDefault="00B96D0E" w:rsidP="003B03B8">
      <w:pPr>
        <w:pStyle w:val="Para1"/>
        <w:numPr>
          <w:ilvl w:val="0"/>
          <w:numId w:val="7"/>
        </w:numPr>
        <w:bidi/>
        <w:ind w:left="0" w:firstLine="981"/>
        <w:rPr>
          <w:rFonts w:eastAsia="Calibri"/>
          <w:kern w:val="22"/>
          <w:szCs w:val="22"/>
        </w:rPr>
      </w:pPr>
      <w:r w:rsidRPr="00B96D0E">
        <w:rPr>
          <w:rFonts w:eastAsia="Calibri" w:hint="cs"/>
          <w:i/>
          <w:iCs/>
          <w:kern w:val="22"/>
          <w:szCs w:val="22"/>
          <w:rtl/>
        </w:rPr>
        <w:t>يحاط علما</w:t>
      </w:r>
      <w:r>
        <w:rPr>
          <w:rFonts w:eastAsia="Calibri" w:hint="cs"/>
          <w:kern w:val="22"/>
          <w:szCs w:val="22"/>
          <w:rtl/>
        </w:rPr>
        <w:t xml:space="preserve"> مع التقدير بالجهود التي تبذلها الأطراف وغير الأطراف في بروتوكول ناغويا للتصديق على بروتوكول ناغويا وتنفيذه؛</w:t>
      </w:r>
    </w:p>
    <w:p w:rsidR="003079C2" w:rsidRDefault="00B96D0E" w:rsidP="00B96D0E">
      <w:pPr>
        <w:pStyle w:val="Para1"/>
        <w:numPr>
          <w:ilvl w:val="0"/>
          <w:numId w:val="7"/>
        </w:numPr>
        <w:bidi/>
        <w:ind w:left="0" w:firstLine="981"/>
        <w:rPr>
          <w:rFonts w:eastAsia="Calibri"/>
          <w:kern w:val="22"/>
          <w:szCs w:val="22"/>
        </w:rPr>
      </w:pPr>
      <w:r w:rsidRPr="003079C2">
        <w:rPr>
          <w:rFonts w:eastAsia="Calibri" w:hint="cs"/>
          <w:i/>
          <w:iCs/>
          <w:kern w:val="22"/>
          <w:szCs w:val="22"/>
          <w:rtl/>
        </w:rPr>
        <w:t>يحث</w:t>
      </w:r>
      <w:r>
        <w:rPr>
          <w:rFonts w:eastAsia="Calibri" w:hint="cs"/>
          <w:kern w:val="22"/>
          <w:szCs w:val="22"/>
          <w:rtl/>
        </w:rPr>
        <w:t xml:space="preserve"> الأطراف في الاتفاقية المتعلقة بالتنوع البيولوجي بأن تودع صك تصديقها أو قبولها أو موافقتها أو صكها بشأن الوصول الى بروتوكول ناغويا في أسرع وقت ممكن إن لم تكن قد </w:t>
      </w:r>
      <w:r w:rsidR="003079C2">
        <w:rPr>
          <w:rFonts w:eastAsia="Calibri" w:hint="cs"/>
          <w:kern w:val="22"/>
          <w:szCs w:val="22"/>
          <w:rtl/>
        </w:rPr>
        <w:t>فعلت ذلك بعد، وأن تتخذ خطوات صوب تنفيذه بما في ذلك من خلال إنشاء هياكل مؤسسية وتدابير تشريعية وإدارية وسياساتية بشأن الحصول والتقاسم وإتاحة المعلومات ذات الصلة لآلية تبادل معلومات الحصول والتقاسم؛</w:t>
      </w:r>
    </w:p>
    <w:p w:rsidR="003079C2" w:rsidRDefault="003079C2" w:rsidP="003079C2">
      <w:pPr>
        <w:pStyle w:val="Para1"/>
        <w:numPr>
          <w:ilvl w:val="0"/>
          <w:numId w:val="7"/>
        </w:numPr>
        <w:bidi/>
        <w:ind w:left="0" w:firstLine="981"/>
        <w:rPr>
          <w:rFonts w:eastAsia="Calibri"/>
          <w:kern w:val="22"/>
          <w:szCs w:val="22"/>
        </w:rPr>
      </w:pPr>
      <w:r w:rsidRPr="003079C2">
        <w:rPr>
          <w:rFonts w:eastAsia="Calibri" w:hint="cs"/>
          <w:i/>
          <w:iCs/>
          <w:kern w:val="22"/>
          <w:szCs w:val="22"/>
          <w:rtl/>
        </w:rPr>
        <w:t>يحث</w:t>
      </w:r>
      <w:r>
        <w:rPr>
          <w:rFonts w:eastAsia="Calibri" w:hint="cs"/>
          <w:kern w:val="22"/>
          <w:szCs w:val="22"/>
          <w:rtl/>
        </w:rPr>
        <w:t xml:space="preserve"> الأطراف في الاتفاقية غير الأعضاء في بروتوكول ناغويا على دعم تنفيذ تدابير الحصول والتقاسم في تقاريرها الوطنية السادسة؛</w:t>
      </w:r>
    </w:p>
    <w:p w:rsidR="003079C2" w:rsidRDefault="003079C2" w:rsidP="003079C2">
      <w:pPr>
        <w:pStyle w:val="Para1"/>
        <w:numPr>
          <w:ilvl w:val="0"/>
          <w:numId w:val="7"/>
        </w:numPr>
        <w:bidi/>
        <w:ind w:left="0" w:firstLine="981"/>
        <w:rPr>
          <w:rFonts w:eastAsia="Calibri"/>
          <w:kern w:val="22"/>
          <w:szCs w:val="22"/>
        </w:rPr>
      </w:pPr>
      <w:r w:rsidRPr="003079C2">
        <w:rPr>
          <w:rFonts w:eastAsia="Calibri" w:hint="cs"/>
          <w:i/>
          <w:iCs/>
          <w:kern w:val="22"/>
          <w:szCs w:val="22"/>
          <w:rtl/>
        </w:rPr>
        <w:t>يعيد تأكيد</w:t>
      </w:r>
      <w:r>
        <w:rPr>
          <w:rFonts w:eastAsia="Calibri" w:hint="cs"/>
          <w:kern w:val="22"/>
          <w:szCs w:val="22"/>
          <w:rtl/>
        </w:rPr>
        <w:t xml:space="preserve"> الحاجة الى أنشطة لبناء القدرات فضلا عن موارد مالية لدعم التصديق على بروتوكول ناغويا وتنفيذه، </w:t>
      </w:r>
      <w:r w:rsidRPr="007D6242">
        <w:rPr>
          <w:rFonts w:eastAsia="Calibri" w:hint="cs"/>
          <w:i/>
          <w:iCs/>
          <w:kern w:val="22"/>
          <w:szCs w:val="22"/>
          <w:rtl/>
        </w:rPr>
        <w:t>ويدعو</w:t>
      </w:r>
      <w:r>
        <w:rPr>
          <w:rFonts w:eastAsia="Calibri" w:hint="cs"/>
          <w:kern w:val="22"/>
          <w:szCs w:val="22"/>
          <w:rtl/>
        </w:rPr>
        <w:t xml:space="preserve"> الحكومات والمنظمات المعنية الى توفير الدعم التقني والمالي؛</w:t>
      </w:r>
    </w:p>
    <w:p w:rsidR="003079C2" w:rsidRDefault="003079C2" w:rsidP="003079C2">
      <w:pPr>
        <w:pStyle w:val="Para1"/>
        <w:numPr>
          <w:ilvl w:val="0"/>
          <w:numId w:val="7"/>
        </w:numPr>
        <w:bidi/>
        <w:ind w:left="0" w:firstLine="981"/>
        <w:rPr>
          <w:rFonts w:eastAsia="Calibri"/>
          <w:kern w:val="22"/>
          <w:szCs w:val="22"/>
        </w:rPr>
      </w:pPr>
      <w:r w:rsidRPr="003079C2">
        <w:rPr>
          <w:rFonts w:eastAsia="Calibri" w:hint="cs"/>
          <w:i/>
          <w:iCs/>
          <w:kern w:val="22"/>
          <w:szCs w:val="22"/>
          <w:rtl/>
        </w:rPr>
        <w:t>يشجع الأطراف</w:t>
      </w:r>
      <w:r>
        <w:rPr>
          <w:rFonts w:eastAsia="Calibri" w:hint="cs"/>
          <w:kern w:val="22"/>
          <w:szCs w:val="22"/>
          <w:rtl/>
        </w:rPr>
        <w:t xml:space="preserve"> على النظر في مواصلة إدراج الحصول والتقاسم في مجالات العمل الأخرى في إطار الاتفاقية كجزء من المناقشات بشأن الإطار العالمي للتنوع البيولوجي لما بعد 2020؛</w:t>
      </w:r>
    </w:p>
    <w:p w:rsidR="00B96D0E" w:rsidRPr="003079C2" w:rsidRDefault="003079C2" w:rsidP="003079C2">
      <w:pPr>
        <w:pStyle w:val="Para1"/>
        <w:numPr>
          <w:ilvl w:val="0"/>
          <w:numId w:val="7"/>
        </w:numPr>
        <w:bidi/>
        <w:ind w:left="0" w:firstLine="981"/>
        <w:rPr>
          <w:rFonts w:eastAsia="Calibri"/>
          <w:kern w:val="22"/>
          <w:szCs w:val="22"/>
        </w:rPr>
      </w:pPr>
      <w:r w:rsidRPr="003079C2">
        <w:rPr>
          <w:rFonts w:eastAsia="Calibri" w:hint="cs"/>
          <w:i/>
          <w:iCs/>
          <w:kern w:val="22"/>
          <w:szCs w:val="22"/>
          <w:rtl/>
        </w:rPr>
        <w:t>ي</w:t>
      </w:r>
      <w:r w:rsidRPr="003079C2">
        <w:rPr>
          <w:rFonts w:eastAsia="Calibri" w:hint="cs"/>
          <w:i/>
          <w:iCs/>
          <w:kern w:val="22"/>
          <w:szCs w:val="22"/>
          <w:rtl/>
          <w:lang w:bidi="ar-EG"/>
        </w:rPr>
        <w:t>طلب من</w:t>
      </w:r>
      <w:r>
        <w:rPr>
          <w:rFonts w:eastAsia="Calibri" w:hint="cs"/>
          <w:kern w:val="22"/>
          <w:szCs w:val="22"/>
          <w:rtl/>
          <w:lang w:bidi="ar-EG"/>
        </w:rPr>
        <w:t xml:space="preserve"> الأمينة التنفيذية مواصلة الجهود لإدراج الحصول والتقاسم في عمل الأمانة</w:t>
      </w:r>
      <w:r>
        <w:rPr>
          <w:rFonts w:eastAsia="Calibri" w:hint="cs"/>
          <w:kern w:val="22"/>
          <w:szCs w:val="22"/>
          <w:rtl/>
        </w:rPr>
        <w:t>.</w:t>
      </w:r>
    </w:p>
    <w:p w:rsidR="00440A3A" w:rsidRPr="003E4D78" w:rsidRDefault="004B1B86" w:rsidP="003B03B8">
      <w:pPr>
        <w:pStyle w:val="Para1"/>
        <w:numPr>
          <w:ilvl w:val="0"/>
          <w:numId w:val="0"/>
        </w:numPr>
        <w:bidi/>
        <w:jc w:val="center"/>
        <w:rPr>
          <w:kern w:val="22"/>
        </w:rPr>
      </w:pPr>
      <w:r w:rsidRPr="003E4D78">
        <w:rPr>
          <w:kern w:val="22"/>
        </w:rPr>
        <w:t>__________</w:t>
      </w:r>
      <w:bookmarkEnd w:id="0"/>
    </w:p>
    <w:sectPr w:rsidR="00440A3A" w:rsidRPr="003E4D78" w:rsidSect="00CA1572">
      <w:headerReference w:type="even" r:id="rId29"/>
      <w:head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AC" w:rsidRDefault="00E351AC">
      <w:r>
        <w:separator/>
      </w:r>
    </w:p>
  </w:endnote>
  <w:endnote w:type="continuationSeparator" w:id="0">
    <w:p w:rsidR="00E351AC" w:rsidRDefault="00E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AC" w:rsidRDefault="00E351AC" w:rsidP="009E0AAE">
      <w:pPr>
        <w:bidi/>
      </w:pPr>
      <w:r>
        <w:separator/>
      </w:r>
    </w:p>
  </w:footnote>
  <w:footnote w:type="continuationSeparator" w:id="0">
    <w:p w:rsidR="00E351AC" w:rsidRDefault="00E351AC">
      <w:r>
        <w:continuationSeparator/>
      </w:r>
    </w:p>
  </w:footnote>
  <w:footnote w:id="1">
    <w:p w:rsidR="009E0AAE" w:rsidRPr="00C81E75" w:rsidRDefault="009E0AAE" w:rsidP="00C81E75">
      <w:pPr>
        <w:pStyle w:val="FootnoteText"/>
        <w:bidi/>
        <w:ind w:firstLine="0"/>
        <w:rPr>
          <w:szCs w:val="18"/>
          <w:lang w:val="en-US"/>
        </w:rPr>
      </w:pPr>
      <w:r w:rsidRPr="00C81E75">
        <w:rPr>
          <w:rStyle w:val="FootnoteReference"/>
          <w:sz w:val="18"/>
          <w:szCs w:val="18"/>
        </w:rPr>
        <w:t>*</w:t>
      </w:r>
      <w:r w:rsidRPr="00C81E75">
        <w:rPr>
          <w:szCs w:val="18"/>
        </w:rPr>
        <w:t xml:space="preserve"> </w:t>
      </w:r>
      <w:r w:rsidR="00C57CF6" w:rsidRPr="00C81E75">
        <w:rPr>
          <w:rFonts w:hint="cs"/>
          <w:szCs w:val="18"/>
          <w:rtl/>
        </w:rPr>
        <w:t xml:space="preserve"> </w:t>
      </w:r>
      <w:hyperlink r:id="rId1" w:history="1">
        <w:r w:rsidR="00C57CF6" w:rsidRPr="00C81E75">
          <w:rPr>
            <w:rStyle w:val="Hyperlink"/>
            <w:szCs w:val="18"/>
          </w:rPr>
          <w:t>CBD/</w:t>
        </w:r>
        <w:r w:rsidR="00C57CF6" w:rsidRPr="00C81E75">
          <w:rPr>
            <w:rStyle w:val="Hyperlink"/>
            <w:szCs w:val="18"/>
            <w:lang w:val="en-US"/>
          </w:rPr>
          <w:t>SBI/2/1</w:t>
        </w:r>
      </w:hyperlink>
      <w:r w:rsidR="00C57CF6" w:rsidRPr="00C81E75">
        <w:rPr>
          <w:rFonts w:hint="cs"/>
          <w:szCs w:val="18"/>
          <w:rtl/>
        </w:rPr>
        <w:t>.</w:t>
      </w:r>
    </w:p>
  </w:footnote>
  <w:footnote w:id="2">
    <w:p w:rsidR="00C81E75" w:rsidRPr="00C81E75" w:rsidRDefault="00C81E75" w:rsidP="00C81E75">
      <w:pPr>
        <w:pStyle w:val="FootnoteText"/>
        <w:bidi/>
        <w:ind w:firstLine="0"/>
        <w:rPr>
          <w:rFonts w:hint="cs"/>
          <w:szCs w:val="18"/>
          <w:rtl/>
          <w:lang w:bidi="ar-EG"/>
        </w:rPr>
      </w:pPr>
      <w:r w:rsidRPr="00C81E75">
        <w:rPr>
          <w:rStyle w:val="FootnoteReference"/>
          <w:sz w:val="18"/>
          <w:szCs w:val="18"/>
        </w:rPr>
        <w:footnoteRef/>
      </w:r>
      <w:r w:rsidRPr="00C81E75">
        <w:rPr>
          <w:rFonts w:hint="cs"/>
          <w:szCs w:val="18"/>
          <w:rtl/>
        </w:rPr>
        <w:t xml:space="preserve"> انظر المقرر</w:t>
      </w:r>
      <w:r>
        <w:rPr>
          <w:rFonts w:hint="cs"/>
          <w:szCs w:val="18"/>
          <w:rtl/>
        </w:rPr>
        <w:t xml:space="preserve"> </w:t>
      </w:r>
      <w:hyperlink r:id="rId2" w:history="1">
        <w:r w:rsidRPr="00C81E75">
          <w:rPr>
            <w:rStyle w:val="Hyperlink"/>
            <w:rFonts w:hint="cs"/>
            <w:szCs w:val="18"/>
            <w:rtl/>
          </w:rPr>
          <w:t>10/1</w:t>
        </w:r>
      </w:hyperlink>
      <w:r>
        <w:rPr>
          <w:rFonts w:hint="cs"/>
          <w:szCs w:val="18"/>
          <w:rtl/>
        </w:rPr>
        <w:t>.</w:t>
      </w:r>
    </w:p>
  </w:footnote>
  <w:footnote w:id="3">
    <w:p w:rsidR="00606A80" w:rsidRPr="00C81E75" w:rsidRDefault="00606A80" w:rsidP="007D6242">
      <w:pPr>
        <w:pStyle w:val="FootnoteText"/>
        <w:bidi/>
        <w:ind w:firstLine="0"/>
        <w:rPr>
          <w:szCs w:val="18"/>
        </w:rPr>
      </w:pPr>
      <w:r w:rsidRPr="00C81E75">
        <w:rPr>
          <w:rStyle w:val="FootnoteReference"/>
          <w:sz w:val="18"/>
          <w:szCs w:val="18"/>
        </w:rPr>
        <w:footnoteRef/>
      </w:r>
      <w:r w:rsidRPr="00C81E75">
        <w:rPr>
          <w:szCs w:val="18"/>
        </w:rPr>
        <w:t xml:space="preserve"> </w:t>
      </w:r>
      <w:r w:rsidR="003142CD" w:rsidRPr="00C81E75">
        <w:rPr>
          <w:rFonts w:hint="cs"/>
          <w:szCs w:val="18"/>
          <w:rtl/>
        </w:rPr>
        <w:t xml:space="preserve"> </w:t>
      </w:r>
      <w:r w:rsidR="007D6242" w:rsidRPr="00C81E75">
        <w:rPr>
          <w:rFonts w:hint="cs"/>
          <w:szCs w:val="18"/>
          <w:rtl/>
        </w:rPr>
        <w:t xml:space="preserve">انظر </w:t>
      </w:r>
      <w:r w:rsidR="003142CD" w:rsidRPr="00C81E75">
        <w:rPr>
          <w:rFonts w:hint="cs"/>
          <w:szCs w:val="18"/>
          <w:rtl/>
        </w:rPr>
        <w:t xml:space="preserve">المقرر </w:t>
      </w:r>
      <w:hyperlink r:id="rId3" w:history="1">
        <w:r w:rsidR="003142CD" w:rsidRPr="00C81E75">
          <w:rPr>
            <w:rStyle w:val="Hyperlink"/>
            <w:rFonts w:hint="cs"/>
            <w:szCs w:val="18"/>
            <w:rtl/>
          </w:rPr>
          <w:t>10/2</w:t>
        </w:r>
      </w:hyperlink>
      <w:r w:rsidR="003142CD" w:rsidRPr="00C81E75">
        <w:rPr>
          <w:rFonts w:hint="cs"/>
          <w:szCs w:val="18"/>
          <w:rtl/>
        </w:rPr>
        <w:t>.</w:t>
      </w:r>
    </w:p>
  </w:footnote>
  <w:footnote w:id="4">
    <w:p w:rsidR="00606A80" w:rsidRPr="00C81E75" w:rsidRDefault="00606A80" w:rsidP="007D6242">
      <w:pPr>
        <w:pStyle w:val="FootnoteText"/>
        <w:bidi/>
        <w:ind w:firstLine="0"/>
        <w:rPr>
          <w:szCs w:val="18"/>
        </w:rPr>
      </w:pPr>
      <w:r w:rsidRPr="00C81E75">
        <w:rPr>
          <w:rStyle w:val="FootnoteReference"/>
          <w:sz w:val="18"/>
          <w:szCs w:val="18"/>
        </w:rPr>
        <w:footnoteRef/>
      </w:r>
      <w:r w:rsidRPr="00C81E75">
        <w:rPr>
          <w:szCs w:val="18"/>
        </w:rPr>
        <w:t xml:space="preserve"> </w:t>
      </w:r>
      <w:r w:rsidR="003142CD" w:rsidRPr="00C81E75">
        <w:rPr>
          <w:rFonts w:hint="cs"/>
          <w:szCs w:val="18"/>
          <w:rtl/>
        </w:rPr>
        <w:t xml:space="preserve"> </w:t>
      </w:r>
      <w:r w:rsidR="007D6242" w:rsidRPr="00C81E75">
        <w:rPr>
          <w:rFonts w:hint="cs"/>
          <w:szCs w:val="18"/>
          <w:rtl/>
        </w:rPr>
        <w:t xml:space="preserve">انظر </w:t>
      </w:r>
      <w:r w:rsidR="003142CD" w:rsidRPr="00C81E75">
        <w:rPr>
          <w:rFonts w:hint="cs"/>
          <w:szCs w:val="18"/>
          <w:rtl/>
        </w:rPr>
        <w:t xml:space="preserve">المقرر </w:t>
      </w:r>
      <w:hyperlink r:id="rId4" w:history="1">
        <w:r w:rsidR="003142CD" w:rsidRPr="00C81E75">
          <w:rPr>
            <w:rStyle w:val="Hyperlink"/>
            <w:rFonts w:hint="cs"/>
            <w:szCs w:val="18"/>
            <w:rtl/>
          </w:rPr>
          <w:t>10/10</w:t>
        </w:r>
      </w:hyperlink>
      <w:r w:rsidR="003142CD" w:rsidRPr="00C81E75">
        <w:rPr>
          <w:rFonts w:hint="cs"/>
          <w:szCs w:val="18"/>
          <w:rtl/>
        </w:rPr>
        <w:t>.</w:t>
      </w:r>
      <w:r w:rsidR="003142CD" w:rsidRPr="00C81E75">
        <w:rPr>
          <w:szCs w:val="18"/>
        </w:rPr>
        <w:t xml:space="preserve"> </w:t>
      </w:r>
    </w:p>
  </w:footnote>
  <w:footnote w:id="5">
    <w:p w:rsidR="00731A71" w:rsidRPr="00C81E75" w:rsidRDefault="00731A71" w:rsidP="00731A71">
      <w:pPr>
        <w:pStyle w:val="FootnoteText"/>
        <w:bidi/>
        <w:ind w:firstLine="0"/>
        <w:rPr>
          <w:szCs w:val="18"/>
          <w:lang w:val="en-US"/>
        </w:rPr>
      </w:pPr>
      <w:r w:rsidRPr="00C81E75">
        <w:rPr>
          <w:rStyle w:val="FootnoteReference"/>
          <w:sz w:val="18"/>
          <w:szCs w:val="18"/>
        </w:rPr>
        <w:footnoteRef/>
      </w:r>
      <w:r w:rsidRPr="00C81E75">
        <w:rPr>
          <w:szCs w:val="18"/>
        </w:rPr>
        <w:t xml:space="preserve"> </w:t>
      </w:r>
      <w:r w:rsidRPr="00C81E75">
        <w:rPr>
          <w:rFonts w:hint="cs"/>
          <w:szCs w:val="18"/>
          <w:rtl/>
        </w:rPr>
        <w:t xml:space="preserve"> يأخذ ذلك في الاعتبار تدابير الحصول والتقاسم السلطات الوطنية المختصة، ونقاط التفتيش أو الشهادات المعترف بها دوليا بشأن الامتثال.</w:t>
      </w:r>
    </w:p>
  </w:footnote>
  <w:footnote w:id="6">
    <w:p w:rsidR="000E6972" w:rsidRPr="00C81E75" w:rsidRDefault="000E6972" w:rsidP="007D6242">
      <w:pPr>
        <w:pStyle w:val="FootnoteText"/>
        <w:bidi/>
        <w:ind w:firstLine="0"/>
        <w:rPr>
          <w:szCs w:val="18"/>
          <w:lang w:val="en-US"/>
        </w:rPr>
      </w:pPr>
      <w:r w:rsidRPr="00C81E75">
        <w:rPr>
          <w:rStyle w:val="FootnoteReference"/>
          <w:sz w:val="18"/>
          <w:szCs w:val="18"/>
        </w:rPr>
        <w:footnoteRef/>
      </w:r>
      <w:r w:rsidRPr="00C81E75">
        <w:rPr>
          <w:szCs w:val="18"/>
        </w:rPr>
        <w:t xml:space="preserve"> </w:t>
      </w:r>
      <w:r w:rsidR="00625BA5" w:rsidRPr="00C81E75">
        <w:rPr>
          <w:rFonts w:hint="cs"/>
          <w:szCs w:val="18"/>
          <w:rtl/>
          <w:lang w:val="en-US"/>
        </w:rPr>
        <w:t xml:space="preserve"> </w:t>
      </w:r>
      <w:r w:rsidR="007D6242" w:rsidRPr="00C81E75">
        <w:rPr>
          <w:rFonts w:hint="cs"/>
          <w:szCs w:val="18"/>
          <w:rtl/>
        </w:rPr>
        <w:t xml:space="preserve">انظر </w:t>
      </w:r>
      <w:r w:rsidR="00625BA5" w:rsidRPr="00C81E75">
        <w:rPr>
          <w:rFonts w:hint="cs"/>
          <w:szCs w:val="18"/>
          <w:rtl/>
          <w:lang w:val="en-US"/>
        </w:rPr>
        <w:t>المادتين 1 و9 من بروتوكول ناغويا.</w:t>
      </w:r>
    </w:p>
  </w:footnote>
  <w:footnote w:id="7">
    <w:p w:rsidR="00625BA5" w:rsidRPr="00C81E75" w:rsidRDefault="00625BA5" w:rsidP="004C2A38">
      <w:pPr>
        <w:pStyle w:val="FootnoteText"/>
        <w:bidi/>
        <w:ind w:firstLine="0"/>
        <w:rPr>
          <w:szCs w:val="18"/>
          <w:lang w:val="en-CA"/>
        </w:rPr>
      </w:pPr>
      <w:r w:rsidRPr="00C81E75">
        <w:rPr>
          <w:rStyle w:val="FootnoteReference"/>
          <w:sz w:val="18"/>
          <w:szCs w:val="18"/>
        </w:rPr>
        <w:footnoteRef/>
      </w:r>
      <w:r w:rsidRPr="00C81E75">
        <w:rPr>
          <w:szCs w:val="18"/>
        </w:rPr>
        <w:t xml:space="preserve"> </w:t>
      </w:r>
      <w:r w:rsidRPr="00C81E75">
        <w:rPr>
          <w:rFonts w:hint="cs"/>
          <w:szCs w:val="18"/>
          <w:rtl/>
        </w:rPr>
        <w:t xml:space="preserve"> مبادئ مو ارتز كوكستال الطوعية لوضع آليات وتشريعات أو مبادرات ملائمة لضمان "الموافقة عن علم مسبق" والموافقة الحرة والسابقة والمستنيرة "أو الموافقة والمشاركة" بحسب الظروف الوطنية للشعوب الأصلية والمجتمعات المحلية</w:t>
      </w:r>
      <w:r w:rsidR="008A001A" w:rsidRPr="00C81E75">
        <w:rPr>
          <w:rFonts w:hint="cs"/>
          <w:szCs w:val="18"/>
          <w:rtl/>
        </w:rPr>
        <w:t xml:space="preserve"> للحصول على معارفها ومبتكراتها وممارستها للحصول وتقاسم المنافع الناشئة عن استخدام المعارف والابتكارات والممارسات ذات الصلة بحفظ التنوع البيولوجي واستخدامه المستدام للإبلاغ عن المصادرة غير القانونية للمعارف التقليدية وتلافيها.</w:t>
      </w:r>
      <w:r w:rsidR="004C2A38">
        <w:rPr>
          <w:rFonts w:hint="cs"/>
          <w:szCs w:val="18"/>
          <w:rtl/>
        </w:rPr>
        <w:t xml:space="preserve"> واعتمد مؤتمر الأطراف المبادئ التوجيهية في المقرر </w:t>
      </w:r>
      <w:hyperlink r:id="rId5" w:history="1">
        <w:r w:rsidR="004C2A38" w:rsidRPr="004C2A38">
          <w:rPr>
            <w:rStyle w:val="Hyperlink"/>
            <w:rFonts w:hint="cs"/>
            <w:szCs w:val="18"/>
            <w:rtl/>
          </w:rPr>
          <w:t>13/18</w:t>
        </w:r>
      </w:hyperlink>
      <w:r w:rsidR="004C2A38">
        <w:rPr>
          <w:rFonts w:hint="cs"/>
          <w:szCs w:val="18"/>
          <w:rtl/>
        </w:rPr>
        <w:t>.</w:t>
      </w:r>
    </w:p>
  </w:footnote>
  <w:footnote w:id="8">
    <w:p w:rsidR="00625BA5" w:rsidRPr="00C81E75" w:rsidRDefault="00625BA5" w:rsidP="00B96D0E">
      <w:pPr>
        <w:pStyle w:val="FootnoteText"/>
        <w:bidi/>
        <w:ind w:firstLine="0"/>
        <w:rPr>
          <w:szCs w:val="18"/>
          <w:lang w:val="en-US"/>
        </w:rPr>
      </w:pPr>
      <w:r w:rsidRPr="00C81E75">
        <w:rPr>
          <w:rStyle w:val="FootnoteReference"/>
          <w:sz w:val="18"/>
          <w:szCs w:val="18"/>
        </w:rPr>
        <w:footnoteRef/>
      </w:r>
      <w:r w:rsidRPr="00C81E75">
        <w:rPr>
          <w:szCs w:val="18"/>
        </w:rPr>
        <w:t xml:space="preserve"> </w:t>
      </w:r>
      <w:r w:rsidR="00B96D0E" w:rsidRPr="00C81E75">
        <w:rPr>
          <w:rFonts w:hint="cs"/>
          <w:szCs w:val="18"/>
          <w:rtl/>
          <w:lang w:val="en-US"/>
        </w:rPr>
        <w:t xml:space="preserve"> يتوافر في: </w:t>
      </w:r>
      <w:r w:rsidRPr="00C81E75">
        <w:rPr>
          <w:szCs w:val="18"/>
        </w:rPr>
        <w:t xml:space="preserve"> </w:t>
      </w:r>
      <w:hyperlink r:id="rId6" w:history="1">
        <w:r w:rsidR="004C2A38" w:rsidRPr="004C2A38">
          <w:rPr>
            <w:rStyle w:val="Hyperlink"/>
            <w:szCs w:val="18"/>
          </w:rPr>
          <w:t>https://www.cbd.int/business/ressources/newsletters.shtmlhttps://www.cbd.int/business/ressources/newsletters.shtml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DC3575" w:rsidP="005440A6">
        <w:pPr>
          <w:pStyle w:val="Header"/>
          <w:tabs>
            <w:tab w:val="clear" w:pos="4320"/>
            <w:tab w:val="clear" w:pos="8640"/>
          </w:tabs>
          <w:jc w:val="left"/>
          <w:rPr>
            <w:noProof/>
            <w:kern w:val="22"/>
          </w:rPr>
        </w:pPr>
        <w:r>
          <w:rPr>
            <w:noProof/>
            <w:kern w:val="22"/>
            <w:lang w:val="en-US"/>
          </w:rPr>
          <w:t>CBD/SBI/2/14</w:t>
        </w:r>
      </w:p>
    </w:sdtContent>
  </w:sdt>
  <w:p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009667E4" w:rsidRPr="005440A6">
      <w:rPr>
        <w:noProof/>
        <w:kern w:val="22"/>
      </w:rPr>
      <w:fldChar w:fldCharType="begin"/>
    </w:r>
    <w:r w:rsidRPr="005440A6">
      <w:rPr>
        <w:noProof/>
        <w:kern w:val="22"/>
      </w:rPr>
      <w:instrText xml:space="preserve"> PAGE   \* MERGEFORMAT </w:instrText>
    </w:r>
    <w:r w:rsidR="009667E4" w:rsidRPr="005440A6">
      <w:rPr>
        <w:noProof/>
        <w:kern w:val="22"/>
      </w:rPr>
      <w:fldChar w:fldCharType="separate"/>
    </w:r>
    <w:r w:rsidR="0006272C">
      <w:rPr>
        <w:noProof/>
        <w:kern w:val="22"/>
      </w:rPr>
      <w:t>4</w:t>
    </w:r>
    <w:r w:rsidR="009667E4" w:rsidRPr="005440A6">
      <w:rPr>
        <w:noProof/>
        <w:kern w:val="22"/>
      </w:rPr>
      <w:fldChar w:fldCharType="end"/>
    </w:r>
  </w:p>
  <w:p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DC3575" w:rsidP="00BE45DE">
        <w:pPr>
          <w:pStyle w:val="Header"/>
          <w:tabs>
            <w:tab w:val="clear" w:pos="4320"/>
            <w:tab w:val="clear" w:pos="8640"/>
          </w:tabs>
          <w:jc w:val="right"/>
          <w:rPr>
            <w:noProof/>
            <w:kern w:val="22"/>
          </w:rPr>
        </w:pPr>
        <w:r>
          <w:rPr>
            <w:noProof/>
            <w:kern w:val="22"/>
            <w:lang w:val="en-US"/>
          </w:rPr>
          <w:t>CBD/SBI/2/14</w:t>
        </w:r>
      </w:p>
    </w:sdtContent>
  </w:sdt>
  <w:p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009667E4" w:rsidRPr="005440A6">
      <w:rPr>
        <w:noProof/>
        <w:kern w:val="22"/>
      </w:rPr>
      <w:fldChar w:fldCharType="begin"/>
    </w:r>
    <w:r w:rsidRPr="005440A6">
      <w:rPr>
        <w:noProof/>
        <w:kern w:val="22"/>
      </w:rPr>
      <w:instrText xml:space="preserve"> PAGE   \* MERGEFORMAT </w:instrText>
    </w:r>
    <w:r w:rsidR="009667E4" w:rsidRPr="005440A6">
      <w:rPr>
        <w:noProof/>
        <w:kern w:val="22"/>
      </w:rPr>
      <w:fldChar w:fldCharType="separate"/>
    </w:r>
    <w:r w:rsidR="0006272C">
      <w:rPr>
        <w:noProof/>
        <w:kern w:val="22"/>
      </w:rPr>
      <w:t>3</w:t>
    </w:r>
    <w:r w:rsidR="009667E4" w:rsidRPr="005440A6">
      <w:rPr>
        <w:noProof/>
        <w:kern w:val="22"/>
      </w:rPr>
      <w:fldChar w:fldCharType="end"/>
    </w:r>
  </w:p>
  <w:p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1"/>
    <w:multiLevelType w:val="hybridMultilevel"/>
    <w:tmpl w:val="04F44444"/>
    <w:lvl w:ilvl="0" w:tplc="EEACD8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0380E0D"/>
    <w:multiLevelType w:val="hybridMultilevel"/>
    <w:tmpl w:val="FA2AB2E4"/>
    <w:lvl w:ilvl="0" w:tplc="843A0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234BC9"/>
    <w:multiLevelType w:val="hybridMultilevel"/>
    <w:tmpl w:val="A26EC64A"/>
    <w:lvl w:ilvl="0" w:tplc="68A2B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8A848D86"/>
    <w:lvl w:ilvl="0">
      <w:start w:val="1"/>
      <w:numFmt w:val="decimal"/>
      <w:pStyle w:val="Para1"/>
      <w:lvlText w:val="%1."/>
      <w:lvlJc w:val="left"/>
      <w:pPr>
        <w:tabs>
          <w:tab w:val="num" w:pos="360"/>
        </w:tabs>
        <w:ind w:left="0" w:firstLine="0"/>
      </w:pPr>
      <w:rPr>
        <w:rFonts w:ascii="Times New Roman" w:hAnsi="Times New Roman" w:hint="default"/>
        <w:b w:val="0"/>
        <w:i w:val="0"/>
        <w:sz w:val="22"/>
        <w:szCs w:val="22"/>
      </w:rPr>
    </w:lvl>
    <w:lvl w:ilvl="1">
      <w:start w:val="1"/>
      <w:numFmt w:val="arabicAbjad"/>
      <w:lvlText w:val="(%2)"/>
      <w:lvlJc w:val="left"/>
      <w:pPr>
        <w:tabs>
          <w:tab w:val="num" w:pos="1440"/>
        </w:tabs>
        <w:ind w:left="0" w:firstLine="720"/>
      </w:pPr>
      <w:rPr>
        <w:rFonts w:hint="default"/>
        <w:b w:val="0"/>
        <w:i w:val="0"/>
        <w:sz w:val="22"/>
        <w:szCs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F5E76"/>
    <w:multiLevelType w:val="hybridMultilevel"/>
    <w:tmpl w:val="1B665ADE"/>
    <w:lvl w:ilvl="0" w:tplc="CAD296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1701F"/>
    <w:multiLevelType w:val="hybridMultilevel"/>
    <w:tmpl w:val="4DAE67A4"/>
    <w:lvl w:ilvl="0" w:tplc="FEF0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7"/>
  </w:num>
  <w:num w:numId="5">
    <w:abstractNumId w:val="6"/>
  </w:num>
  <w:num w:numId="6">
    <w:abstractNumId w:val="8"/>
  </w:num>
  <w:num w:numId="7">
    <w:abstractNumId w:val="1"/>
  </w:num>
  <w:num w:numId="8">
    <w:abstractNumId w:val="7"/>
  </w:num>
  <w:num w:numId="9">
    <w:abstractNumId w:val="5"/>
  </w:num>
  <w:num w:numId="10">
    <w:abstractNumId w:val="3"/>
  </w:num>
  <w:num w:numId="11">
    <w:abstractNumId w:val="10"/>
  </w:num>
  <w:num w:numId="12">
    <w:abstractNumId w:val="9"/>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0"/>
  </w:num>
  <w:num w:numId="21">
    <w:abstractNumId w:val="7"/>
  </w:num>
  <w:num w:numId="22">
    <w:abstractNumId w:val="7"/>
  </w:num>
  <w:num w:numId="23">
    <w:abstractNumId w:val="7"/>
  </w:num>
  <w:num w:numId="24">
    <w:abstractNumId w:val="7"/>
  </w:num>
  <w:num w:numId="2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55B3B"/>
    <w:rsid w:val="000014E2"/>
    <w:rsid w:val="0000278D"/>
    <w:rsid w:val="0000533E"/>
    <w:rsid w:val="00006FA3"/>
    <w:rsid w:val="00007D43"/>
    <w:rsid w:val="00012364"/>
    <w:rsid w:val="00020B29"/>
    <w:rsid w:val="000219AC"/>
    <w:rsid w:val="0002202C"/>
    <w:rsid w:val="000258A6"/>
    <w:rsid w:val="000268FA"/>
    <w:rsid w:val="00030992"/>
    <w:rsid w:val="00031D24"/>
    <w:rsid w:val="0003603E"/>
    <w:rsid w:val="00037873"/>
    <w:rsid w:val="00037B3D"/>
    <w:rsid w:val="0004001B"/>
    <w:rsid w:val="00042999"/>
    <w:rsid w:val="00052450"/>
    <w:rsid w:val="00054381"/>
    <w:rsid w:val="000550B5"/>
    <w:rsid w:val="000576B1"/>
    <w:rsid w:val="000608F3"/>
    <w:rsid w:val="0006272C"/>
    <w:rsid w:val="000711E1"/>
    <w:rsid w:val="00073708"/>
    <w:rsid w:val="000808F1"/>
    <w:rsid w:val="0009324F"/>
    <w:rsid w:val="00094A26"/>
    <w:rsid w:val="000A62EE"/>
    <w:rsid w:val="000B42B4"/>
    <w:rsid w:val="000C0AE0"/>
    <w:rsid w:val="000D2010"/>
    <w:rsid w:val="000E637D"/>
    <w:rsid w:val="000E6972"/>
    <w:rsid w:val="000E7E6A"/>
    <w:rsid w:val="000F63AB"/>
    <w:rsid w:val="000F7A43"/>
    <w:rsid w:val="0010056E"/>
    <w:rsid w:val="0010187D"/>
    <w:rsid w:val="0012214B"/>
    <w:rsid w:val="001224B9"/>
    <w:rsid w:val="001337B6"/>
    <w:rsid w:val="001412F0"/>
    <w:rsid w:val="00141982"/>
    <w:rsid w:val="001423A4"/>
    <w:rsid w:val="0015012D"/>
    <w:rsid w:val="00152888"/>
    <w:rsid w:val="00166367"/>
    <w:rsid w:val="0017247F"/>
    <w:rsid w:val="00181B21"/>
    <w:rsid w:val="00184206"/>
    <w:rsid w:val="00190409"/>
    <w:rsid w:val="00192E06"/>
    <w:rsid w:val="00197E46"/>
    <w:rsid w:val="001A1B76"/>
    <w:rsid w:val="001A5072"/>
    <w:rsid w:val="001C321F"/>
    <w:rsid w:val="001E7625"/>
    <w:rsid w:val="001F1A27"/>
    <w:rsid w:val="001F2D27"/>
    <w:rsid w:val="001F6379"/>
    <w:rsid w:val="001F68FD"/>
    <w:rsid w:val="002037DF"/>
    <w:rsid w:val="00204415"/>
    <w:rsid w:val="002071FA"/>
    <w:rsid w:val="00207A6E"/>
    <w:rsid w:val="00207CB2"/>
    <w:rsid w:val="00222E55"/>
    <w:rsid w:val="00224B92"/>
    <w:rsid w:val="00226406"/>
    <w:rsid w:val="002357E1"/>
    <w:rsid w:val="00252897"/>
    <w:rsid w:val="00262F0B"/>
    <w:rsid w:val="0027701F"/>
    <w:rsid w:val="002848EB"/>
    <w:rsid w:val="00284FCE"/>
    <w:rsid w:val="00287606"/>
    <w:rsid w:val="002922A2"/>
    <w:rsid w:val="002A0EED"/>
    <w:rsid w:val="002A78B7"/>
    <w:rsid w:val="002B0942"/>
    <w:rsid w:val="002C4BDB"/>
    <w:rsid w:val="002C7752"/>
    <w:rsid w:val="002D4673"/>
    <w:rsid w:val="002E0627"/>
    <w:rsid w:val="002E2FF9"/>
    <w:rsid w:val="002E4F76"/>
    <w:rsid w:val="00300AF8"/>
    <w:rsid w:val="00301E8A"/>
    <w:rsid w:val="00304DA9"/>
    <w:rsid w:val="00306099"/>
    <w:rsid w:val="003079C2"/>
    <w:rsid w:val="003115C2"/>
    <w:rsid w:val="00312CF4"/>
    <w:rsid w:val="0031427C"/>
    <w:rsid w:val="003142CD"/>
    <w:rsid w:val="003157F2"/>
    <w:rsid w:val="003210FF"/>
    <w:rsid w:val="00325DE3"/>
    <w:rsid w:val="00332783"/>
    <w:rsid w:val="00336766"/>
    <w:rsid w:val="0034478E"/>
    <w:rsid w:val="00345278"/>
    <w:rsid w:val="00352B6F"/>
    <w:rsid w:val="00353291"/>
    <w:rsid w:val="003567A9"/>
    <w:rsid w:val="0036143A"/>
    <w:rsid w:val="0036390F"/>
    <w:rsid w:val="00365E9D"/>
    <w:rsid w:val="00376A2E"/>
    <w:rsid w:val="0037792F"/>
    <w:rsid w:val="00381BFF"/>
    <w:rsid w:val="00383510"/>
    <w:rsid w:val="00387D13"/>
    <w:rsid w:val="0039164A"/>
    <w:rsid w:val="003926ED"/>
    <w:rsid w:val="00395153"/>
    <w:rsid w:val="003B03B8"/>
    <w:rsid w:val="003B10B9"/>
    <w:rsid w:val="003B322A"/>
    <w:rsid w:val="003C113F"/>
    <w:rsid w:val="003E2DAE"/>
    <w:rsid w:val="003E4D78"/>
    <w:rsid w:val="003F159B"/>
    <w:rsid w:val="003F6E44"/>
    <w:rsid w:val="00406BC6"/>
    <w:rsid w:val="0041618C"/>
    <w:rsid w:val="0042079D"/>
    <w:rsid w:val="00440A3A"/>
    <w:rsid w:val="0044424E"/>
    <w:rsid w:val="00487C34"/>
    <w:rsid w:val="00495886"/>
    <w:rsid w:val="00495DED"/>
    <w:rsid w:val="004B1B86"/>
    <w:rsid w:val="004B597A"/>
    <w:rsid w:val="004C2A38"/>
    <w:rsid w:val="004D1C32"/>
    <w:rsid w:val="00500530"/>
    <w:rsid w:val="005032C9"/>
    <w:rsid w:val="00511340"/>
    <w:rsid w:val="00516C26"/>
    <w:rsid w:val="00525039"/>
    <w:rsid w:val="00532455"/>
    <w:rsid w:val="00532E21"/>
    <w:rsid w:val="005440A6"/>
    <w:rsid w:val="0055000B"/>
    <w:rsid w:val="00553DA8"/>
    <w:rsid w:val="0055436E"/>
    <w:rsid w:val="00560784"/>
    <w:rsid w:val="00565FB8"/>
    <w:rsid w:val="005666BD"/>
    <w:rsid w:val="005711BC"/>
    <w:rsid w:val="00572A4B"/>
    <w:rsid w:val="005755D8"/>
    <w:rsid w:val="00591B7F"/>
    <w:rsid w:val="0059525C"/>
    <w:rsid w:val="005955D2"/>
    <w:rsid w:val="005A4284"/>
    <w:rsid w:val="005B6A14"/>
    <w:rsid w:val="005C1ECF"/>
    <w:rsid w:val="005D139C"/>
    <w:rsid w:val="005F4C74"/>
    <w:rsid w:val="00606A80"/>
    <w:rsid w:val="0061763C"/>
    <w:rsid w:val="006239AC"/>
    <w:rsid w:val="00625BA5"/>
    <w:rsid w:val="006260D5"/>
    <w:rsid w:val="00647F7A"/>
    <w:rsid w:val="006507F2"/>
    <w:rsid w:val="0065254C"/>
    <w:rsid w:val="006531B0"/>
    <w:rsid w:val="0065770C"/>
    <w:rsid w:val="00665634"/>
    <w:rsid w:val="0067304D"/>
    <w:rsid w:val="0068607C"/>
    <w:rsid w:val="006861A0"/>
    <w:rsid w:val="00690847"/>
    <w:rsid w:val="006A066D"/>
    <w:rsid w:val="006A0929"/>
    <w:rsid w:val="006B074E"/>
    <w:rsid w:val="006B2BD5"/>
    <w:rsid w:val="006B3613"/>
    <w:rsid w:val="006C1650"/>
    <w:rsid w:val="006C247A"/>
    <w:rsid w:val="006C3635"/>
    <w:rsid w:val="006D0E3D"/>
    <w:rsid w:val="006E6A0D"/>
    <w:rsid w:val="006F284C"/>
    <w:rsid w:val="006F6F44"/>
    <w:rsid w:val="006F7227"/>
    <w:rsid w:val="00702366"/>
    <w:rsid w:val="00712E26"/>
    <w:rsid w:val="00713343"/>
    <w:rsid w:val="007146A1"/>
    <w:rsid w:val="007163BC"/>
    <w:rsid w:val="00730AE3"/>
    <w:rsid w:val="00731A71"/>
    <w:rsid w:val="007323D8"/>
    <w:rsid w:val="00736BC2"/>
    <w:rsid w:val="00757E33"/>
    <w:rsid w:val="00760850"/>
    <w:rsid w:val="00772B17"/>
    <w:rsid w:val="0077314D"/>
    <w:rsid w:val="00785C3D"/>
    <w:rsid w:val="0079325E"/>
    <w:rsid w:val="00797309"/>
    <w:rsid w:val="007B1587"/>
    <w:rsid w:val="007B31DC"/>
    <w:rsid w:val="007C50CD"/>
    <w:rsid w:val="007C5285"/>
    <w:rsid w:val="007C633B"/>
    <w:rsid w:val="007D3182"/>
    <w:rsid w:val="007D4C76"/>
    <w:rsid w:val="007D6242"/>
    <w:rsid w:val="007E1D22"/>
    <w:rsid w:val="007F226A"/>
    <w:rsid w:val="00825524"/>
    <w:rsid w:val="0083211E"/>
    <w:rsid w:val="00843728"/>
    <w:rsid w:val="00843FF1"/>
    <w:rsid w:val="00846BA5"/>
    <w:rsid w:val="008700C1"/>
    <w:rsid w:val="00870D40"/>
    <w:rsid w:val="00884C4C"/>
    <w:rsid w:val="008A001A"/>
    <w:rsid w:val="008A0CE1"/>
    <w:rsid w:val="008A7963"/>
    <w:rsid w:val="008B558C"/>
    <w:rsid w:val="008B641B"/>
    <w:rsid w:val="008C013C"/>
    <w:rsid w:val="008C1E35"/>
    <w:rsid w:val="008D095D"/>
    <w:rsid w:val="008D30B6"/>
    <w:rsid w:val="008D3D96"/>
    <w:rsid w:val="008D5AA2"/>
    <w:rsid w:val="008E1ADE"/>
    <w:rsid w:val="008E5F84"/>
    <w:rsid w:val="008E7500"/>
    <w:rsid w:val="008F2AE4"/>
    <w:rsid w:val="008F4687"/>
    <w:rsid w:val="008F78C2"/>
    <w:rsid w:val="009029A0"/>
    <w:rsid w:val="00904DE8"/>
    <w:rsid w:val="009067F8"/>
    <w:rsid w:val="0091673D"/>
    <w:rsid w:val="00922EAD"/>
    <w:rsid w:val="00923400"/>
    <w:rsid w:val="00927396"/>
    <w:rsid w:val="0092794B"/>
    <w:rsid w:val="00931657"/>
    <w:rsid w:val="00934653"/>
    <w:rsid w:val="00945226"/>
    <w:rsid w:val="009466CA"/>
    <w:rsid w:val="00951BF6"/>
    <w:rsid w:val="00953856"/>
    <w:rsid w:val="0095393E"/>
    <w:rsid w:val="00953AB3"/>
    <w:rsid w:val="009554D5"/>
    <w:rsid w:val="009667E4"/>
    <w:rsid w:val="009721C5"/>
    <w:rsid w:val="00976DA6"/>
    <w:rsid w:val="009955DF"/>
    <w:rsid w:val="009A1E1D"/>
    <w:rsid w:val="009B07CD"/>
    <w:rsid w:val="009B269A"/>
    <w:rsid w:val="009B523C"/>
    <w:rsid w:val="009B5E1D"/>
    <w:rsid w:val="009D2F92"/>
    <w:rsid w:val="009D2FA2"/>
    <w:rsid w:val="009D57DD"/>
    <w:rsid w:val="009E0AAE"/>
    <w:rsid w:val="009E0D5C"/>
    <w:rsid w:val="009E2B79"/>
    <w:rsid w:val="009E62EF"/>
    <w:rsid w:val="00A0383E"/>
    <w:rsid w:val="00A10051"/>
    <w:rsid w:val="00A12D9A"/>
    <w:rsid w:val="00A20F36"/>
    <w:rsid w:val="00A2169A"/>
    <w:rsid w:val="00A24442"/>
    <w:rsid w:val="00A30DAD"/>
    <w:rsid w:val="00A36091"/>
    <w:rsid w:val="00A42777"/>
    <w:rsid w:val="00A63F60"/>
    <w:rsid w:val="00A7359E"/>
    <w:rsid w:val="00A75BD0"/>
    <w:rsid w:val="00A77DD9"/>
    <w:rsid w:val="00A77F9D"/>
    <w:rsid w:val="00A876B6"/>
    <w:rsid w:val="00A935F9"/>
    <w:rsid w:val="00A954A4"/>
    <w:rsid w:val="00A955E6"/>
    <w:rsid w:val="00AA014E"/>
    <w:rsid w:val="00AA4365"/>
    <w:rsid w:val="00AA57BC"/>
    <w:rsid w:val="00AC1E69"/>
    <w:rsid w:val="00AC378D"/>
    <w:rsid w:val="00AD2B2A"/>
    <w:rsid w:val="00AD6F26"/>
    <w:rsid w:val="00AE5298"/>
    <w:rsid w:val="00AE75E3"/>
    <w:rsid w:val="00AF56FA"/>
    <w:rsid w:val="00B03EA4"/>
    <w:rsid w:val="00B10176"/>
    <w:rsid w:val="00B106D9"/>
    <w:rsid w:val="00B2340C"/>
    <w:rsid w:val="00B23576"/>
    <w:rsid w:val="00B267ED"/>
    <w:rsid w:val="00B271A0"/>
    <w:rsid w:val="00B3299A"/>
    <w:rsid w:val="00B4436B"/>
    <w:rsid w:val="00B561EC"/>
    <w:rsid w:val="00B56B11"/>
    <w:rsid w:val="00B65D7E"/>
    <w:rsid w:val="00B8515D"/>
    <w:rsid w:val="00B85F9B"/>
    <w:rsid w:val="00B90D53"/>
    <w:rsid w:val="00B923EF"/>
    <w:rsid w:val="00B95D69"/>
    <w:rsid w:val="00B96D0E"/>
    <w:rsid w:val="00BA0AA1"/>
    <w:rsid w:val="00BA1498"/>
    <w:rsid w:val="00BA3233"/>
    <w:rsid w:val="00BB4BD0"/>
    <w:rsid w:val="00BD2718"/>
    <w:rsid w:val="00BE37A4"/>
    <w:rsid w:val="00BE3CE9"/>
    <w:rsid w:val="00BE45DE"/>
    <w:rsid w:val="00C05456"/>
    <w:rsid w:val="00C076A9"/>
    <w:rsid w:val="00C15BBB"/>
    <w:rsid w:val="00C2117E"/>
    <w:rsid w:val="00C31FC0"/>
    <w:rsid w:val="00C36325"/>
    <w:rsid w:val="00C37FF1"/>
    <w:rsid w:val="00C433B7"/>
    <w:rsid w:val="00C43DED"/>
    <w:rsid w:val="00C507CD"/>
    <w:rsid w:val="00C57CF6"/>
    <w:rsid w:val="00C61F28"/>
    <w:rsid w:val="00C71E38"/>
    <w:rsid w:val="00C81E75"/>
    <w:rsid w:val="00C85EA4"/>
    <w:rsid w:val="00C912FE"/>
    <w:rsid w:val="00C9322E"/>
    <w:rsid w:val="00CA1572"/>
    <w:rsid w:val="00CA1B6A"/>
    <w:rsid w:val="00CA2D7B"/>
    <w:rsid w:val="00CA6B87"/>
    <w:rsid w:val="00CB14C9"/>
    <w:rsid w:val="00CC2031"/>
    <w:rsid w:val="00CC4C87"/>
    <w:rsid w:val="00CC51ED"/>
    <w:rsid w:val="00CE3C3C"/>
    <w:rsid w:val="00CE51C3"/>
    <w:rsid w:val="00CF2484"/>
    <w:rsid w:val="00CF2A4E"/>
    <w:rsid w:val="00CF4F69"/>
    <w:rsid w:val="00D04312"/>
    <w:rsid w:val="00D15589"/>
    <w:rsid w:val="00D1789D"/>
    <w:rsid w:val="00D22AE8"/>
    <w:rsid w:val="00D23A92"/>
    <w:rsid w:val="00D25589"/>
    <w:rsid w:val="00D3505C"/>
    <w:rsid w:val="00D41040"/>
    <w:rsid w:val="00D413B0"/>
    <w:rsid w:val="00D432AD"/>
    <w:rsid w:val="00D44D91"/>
    <w:rsid w:val="00D51069"/>
    <w:rsid w:val="00D56406"/>
    <w:rsid w:val="00D8117C"/>
    <w:rsid w:val="00D8317D"/>
    <w:rsid w:val="00D94539"/>
    <w:rsid w:val="00D9485E"/>
    <w:rsid w:val="00D9537D"/>
    <w:rsid w:val="00DB2F58"/>
    <w:rsid w:val="00DC3575"/>
    <w:rsid w:val="00DD24B2"/>
    <w:rsid w:val="00DD52CC"/>
    <w:rsid w:val="00DE2D1B"/>
    <w:rsid w:val="00DE308B"/>
    <w:rsid w:val="00E02467"/>
    <w:rsid w:val="00E05380"/>
    <w:rsid w:val="00E1048F"/>
    <w:rsid w:val="00E22B4E"/>
    <w:rsid w:val="00E315D5"/>
    <w:rsid w:val="00E351AC"/>
    <w:rsid w:val="00E37A7A"/>
    <w:rsid w:val="00E47630"/>
    <w:rsid w:val="00E55657"/>
    <w:rsid w:val="00E55B3B"/>
    <w:rsid w:val="00E55E91"/>
    <w:rsid w:val="00E758CF"/>
    <w:rsid w:val="00E8078E"/>
    <w:rsid w:val="00E829C8"/>
    <w:rsid w:val="00E83011"/>
    <w:rsid w:val="00E92A9D"/>
    <w:rsid w:val="00E93875"/>
    <w:rsid w:val="00E95090"/>
    <w:rsid w:val="00EA7525"/>
    <w:rsid w:val="00EB3DA1"/>
    <w:rsid w:val="00EB6C99"/>
    <w:rsid w:val="00EC0891"/>
    <w:rsid w:val="00EC56E4"/>
    <w:rsid w:val="00EC7E9D"/>
    <w:rsid w:val="00EE51DB"/>
    <w:rsid w:val="00EE5C06"/>
    <w:rsid w:val="00EE6309"/>
    <w:rsid w:val="00EF1374"/>
    <w:rsid w:val="00EF44CA"/>
    <w:rsid w:val="00EF7A75"/>
    <w:rsid w:val="00F13DC0"/>
    <w:rsid w:val="00F14485"/>
    <w:rsid w:val="00F16F02"/>
    <w:rsid w:val="00F17093"/>
    <w:rsid w:val="00F211E6"/>
    <w:rsid w:val="00F251F6"/>
    <w:rsid w:val="00F26A60"/>
    <w:rsid w:val="00F26B0A"/>
    <w:rsid w:val="00F41BCB"/>
    <w:rsid w:val="00F44F68"/>
    <w:rsid w:val="00F465B6"/>
    <w:rsid w:val="00F51757"/>
    <w:rsid w:val="00F64CB9"/>
    <w:rsid w:val="00F67181"/>
    <w:rsid w:val="00F77628"/>
    <w:rsid w:val="00F81D9E"/>
    <w:rsid w:val="00F838DD"/>
    <w:rsid w:val="00F90072"/>
    <w:rsid w:val="00F94184"/>
    <w:rsid w:val="00FA4AD1"/>
    <w:rsid w:val="00FA5BF9"/>
    <w:rsid w:val="00FA6AA4"/>
    <w:rsid w:val="00FB3B70"/>
    <w:rsid w:val="00FB6B0F"/>
    <w:rsid w:val="00FC6159"/>
    <w:rsid w:val="00FC6D52"/>
    <w:rsid w:val="00FD061C"/>
    <w:rsid w:val="00FD4540"/>
    <w:rsid w:val="00FE0187"/>
    <w:rsid w:val="00FE09E3"/>
    <w:rsid w:val="00FE24FC"/>
    <w:rsid w:val="00FE4807"/>
    <w:rsid w:val="00FE5032"/>
    <w:rsid w:val="00FF5B6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D44D91"/>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D44D91"/>
    <w:pPr>
      <w:keepNext/>
      <w:tabs>
        <w:tab w:val="left" w:pos="567"/>
      </w:tabs>
      <w:spacing w:before="120" w:after="120"/>
      <w:jc w:val="center"/>
      <w:outlineLvl w:val="2"/>
    </w:pPr>
    <w:rPr>
      <w:i/>
      <w:iCs/>
    </w:rPr>
  </w:style>
  <w:style w:type="paragraph" w:styleId="Heading4">
    <w:name w:val="heading 4"/>
    <w:basedOn w:val="Normal"/>
    <w:qFormat/>
    <w:rsid w:val="00D44D9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D44D91"/>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D44D91"/>
    <w:pPr>
      <w:keepNext/>
      <w:spacing w:after="240" w:line="240" w:lineRule="exact"/>
      <w:ind w:left="720"/>
      <w:outlineLvl w:val="5"/>
    </w:pPr>
    <w:rPr>
      <w:u w:val="single"/>
    </w:rPr>
  </w:style>
  <w:style w:type="paragraph" w:styleId="Heading7">
    <w:name w:val="heading 7"/>
    <w:basedOn w:val="Normal"/>
    <w:next w:val="Normal"/>
    <w:qFormat/>
    <w:rsid w:val="00D44D91"/>
    <w:pPr>
      <w:keepNext/>
      <w:jc w:val="right"/>
      <w:outlineLvl w:val="6"/>
    </w:pPr>
    <w:rPr>
      <w:rFonts w:ascii="Univers" w:hAnsi="Univers"/>
      <w:b/>
      <w:sz w:val="28"/>
    </w:rPr>
  </w:style>
  <w:style w:type="paragraph" w:styleId="Heading8">
    <w:name w:val="heading 8"/>
    <w:basedOn w:val="Normal"/>
    <w:next w:val="Normal"/>
    <w:qFormat/>
    <w:rsid w:val="00D44D91"/>
    <w:pPr>
      <w:keepNext/>
      <w:jc w:val="right"/>
      <w:outlineLvl w:val="7"/>
    </w:pPr>
    <w:rPr>
      <w:rFonts w:ascii="Univers" w:hAnsi="Univers"/>
      <w:b/>
      <w:sz w:val="32"/>
    </w:rPr>
  </w:style>
  <w:style w:type="paragraph" w:styleId="Heading9">
    <w:name w:val="heading 9"/>
    <w:basedOn w:val="Normal"/>
    <w:next w:val="Normal"/>
    <w:qFormat/>
    <w:rsid w:val="00D44D9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D91"/>
    <w:pPr>
      <w:tabs>
        <w:tab w:val="center" w:pos="4320"/>
        <w:tab w:val="right" w:pos="8640"/>
      </w:tabs>
    </w:pPr>
  </w:style>
  <w:style w:type="paragraph" w:styleId="Footer">
    <w:name w:val="footer"/>
    <w:basedOn w:val="Normal"/>
    <w:rsid w:val="00D44D91"/>
    <w:pPr>
      <w:tabs>
        <w:tab w:val="center" w:pos="4320"/>
        <w:tab w:val="right" w:pos="8640"/>
      </w:tabs>
      <w:ind w:firstLine="720"/>
      <w:jc w:val="right"/>
    </w:pPr>
  </w:style>
  <w:style w:type="paragraph" w:customStyle="1" w:styleId="Para1">
    <w:name w:val="Para1"/>
    <w:basedOn w:val="Normal"/>
    <w:rsid w:val="00301E8A"/>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qFormat/>
    <w:rsid w:val="00D44D91"/>
    <w:pPr>
      <w:keepLines/>
      <w:spacing w:after="60"/>
      <w:ind w:firstLine="720"/>
    </w:pPr>
    <w:rPr>
      <w:sz w:val="18"/>
    </w:rPr>
  </w:style>
  <w:style w:type="paragraph" w:styleId="BodyText">
    <w:name w:val="Body Text"/>
    <w:basedOn w:val="Normal"/>
    <w:rsid w:val="00D44D91"/>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D44D91"/>
    <w:rPr>
      <w:sz w:val="16"/>
    </w:rPr>
  </w:style>
  <w:style w:type="paragraph" w:styleId="CommentText">
    <w:name w:val="annotation text"/>
    <w:basedOn w:val="Normal"/>
    <w:link w:val="CommentTextChar"/>
    <w:semiHidden/>
    <w:rsid w:val="00D44D91"/>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qFormat/>
    <w:rsid w:val="00301E8A"/>
    <w:rPr>
      <w:sz w:val="22"/>
      <w:u w:val="none"/>
      <w:vertAlign w:val="superscript"/>
    </w:rPr>
  </w:style>
  <w:style w:type="paragraph" w:styleId="BodyTextIndent">
    <w:name w:val="Body Text Indent"/>
    <w:basedOn w:val="Normal"/>
    <w:rsid w:val="00D44D91"/>
    <w:pPr>
      <w:spacing w:before="120" w:after="120"/>
      <w:ind w:left="1440" w:hanging="720"/>
      <w:jc w:val="left"/>
    </w:pPr>
  </w:style>
  <w:style w:type="character" w:styleId="PageNumber">
    <w:name w:val="page number"/>
    <w:rsid w:val="00D44D91"/>
    <w:rPr>
      <w:rFonts w:ascii="Times New Roman" w:hAnsi="Times New Roman"/>
      <w:sz w:val="22"/>
    </w:rPr>
  </w:style>
  <w:style w:type="paragraph" w:customStyle="1" w:styleId="HEADING">
    <w:name w:val="HEADING"/>
    <w:basedOn w:val="Normal"/>
    <w:rsid w:val="00D44D91"/>
    <w:pPr>
      <w:keepNext/>
      <w:spacing w:before="240" w:after="120"/>
      <w:jc w:val="center"/>
    </w:pPr>
    <w:rPr>
      <w:b/>
      <w:bCs/>
      <w:caps/>
    </w:rPr>
  </w:style>
  <w:style w:type="paragraph" w:customStyle="1" w:styleId="para4">
    <w:name w:val="para4"/>
    <w:basedOn w:val="Normal"/>
    <w:rsid w:val="00D44D91"/>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D44D91"/>
    <w:pPr>
      <w:ind w:left="170" w:right="3119" w:hanging="170"/>
      <w:jc w:val="left"/>
    </w:pPr>
  </w:style>
  <w:style w:type="paragraph" w:customStyle="1" w:styleId="Para3">
    <w:name w:val="Para3"/>
    <w:basedOn w:val="Normal"/>
    <w:rsid w:val="00D44D91"/>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D44D91"/>
    <w:pPr>
      <w:spacing w:before="120"/>
    </w:pPr>
    <w:rPr>
      <w:rFonts w:cs="Arial"/>
      <w:b/>
      <w:bCs/>
      <w:sz w:val="24"/>
    </w:rPr>
  </w:style>
  <w:style w:type="paragraph" w:styleId="TOC9">
    <w:name w:val="toc 9"/>
    <w:basedOn w:val="Normal"/>
    <w:next w:val="Normal"/>
    <w:autoRedefine/>
    <w:semiHidden/>
    <w:rsid w:val="00D44D91"/>
    <w:pPr>
      <w:spacing w:before="120" w:after="120"/>
      <w:ind w:left="1760"/>
      <w:jc w:val="left"/>
    </w:pPr>
  </w:style>
  <w:style w:type="paragraph" w:styleId="TOC1">
    <w:name w:val="toc 1"/>
    <w:basedOn w:val="Normal"/>
    <w:next w:val="Normal"/>
    <w:autoRedefine/>
    <w:semiHidden/>
    <w:rsid w:val="00D44D91"/>
    <w:pPr>
      <w:ind w:left="720" w:hanging="720"/>
    </w:pPr>
    <w:rPr>
      <w:caps/>
    </w:rPr>
  </w:style>
  <w:style w:type="paragraph" w:styleId="TOC2">
    <w:name w:val="toc 2"/>
    <w:basedOn w:val="Normal"/>
    <w:next w:val="Normal"/>
    <w:autoRedefine/>
    <w:semiHidden/>
    <w:rsid w:val="00D44D91"/>
    <w:pPr>
      <w:tabs>
        <w:tab w:val="right" w:leader="dot" w:pos="9356"/>
      </w:tabs>
      <w:ind w:left="1440" w:hanging="720"/>
    </w:pPr>
    <w:rPr>
      <w:noProof/>
      <w:szCs w:val="22"/>
    </w:rPr>
  </w:style>
  <w:style w:type="paragraph" w:styleId="TOC3">
    <w:name w:val="toc 3"/>
    <w:basedOn w:val="Normal"/>
    <w:next w:val="Normal"/>
    <w:autoRedefine/>
    <w:semiHidden/>
    <w:rsid w:val="00D44D91"/>
    <w:pPr>
      <w:ind w:left="2160" w:hanging="720"/>
    </w:pPr>
  </w:style>
  <w:style w:type="paragraph" w:styleId="TOC4">
    <w:name w:val="toc 4"/>
    <w:basedOn w:val="Normal"/>
    <w:next w:val="Normal"/>
    <w:autoRedefine/>
    <w:semiHidden/>
    <w:rsid w:val="00D44D91"/>
    <w:pPr>
      <w:spacing w:before="120" w:after="120"/>
      <w:ind w:left="660"/>
      <w:jc w:val="left"/>
    </w:pPr>
  </w:style>
  <w:style w:type="paragraph" w:styleId="TOC5">
    <w:name w:val="toc 5"/>
    <w:basedOn w:val="Normal"/>
    <w:next w:val="Normal"/>
    <w:autoRedefine/>
    <w:semiHidden/>
    <w:rsid w:val="00D44D91"/>
    <w:pPr>
      <w:spacing w:before="120" w:after="120"/>
      <w:ind w:left="880"/>
      <w:jc w:val="left"/>
    </w:pPr>
  </w:style>
  <w:style w:type="paragraph" w:styleId="TOC6">
    <w:name w:val="toc 6"/>
    <w:basedOn w:val="Normal"/>
    <w:next w:val="Normal"/>
    <w:autoRedefine/>
    <w:semiHidden/>
    <w:rsid w:val="00D44D91"/>
    <w:pPr>
      <w:spacing w:before="120" w:after="120"/>
      <w:ind w:left="1100"/>
      <w:jc w:val="left"/>
    </w:pPr>
  </w:style>
  <w:style w:type="paragraph" w:styleId="TOC7">
    <w:name w:val="toc 7"/>
    <w:basedOn w:val="Normal"/>
    <w:next w:val="Normal"/>
    <w:autoRedefine/>
    <w:semiHidden/>
    <w:rsid w:val="00D44D91"/>
    <w:pPr>
      <w:spacing w:before="120" w:after="120"/>
      <w:ind w:left="1320"/>
      <w:jc w:val="left"/>
    </w:pPr>
  </w:style>
  <w:style w:type="paragraph" w:styleId="TOC8">
    <w:name w:val="toc 8"/>
    <w:basedOn w:val="Normal"/>
    <w:next w:val="Normal"/>
    <w:autoRedefine/>
    <w:semiHidden/>
    <w:rsid w:val="00D44D91"/>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D44D91"/>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D44D9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D44D91"/>
    <w:rPr>
      <w:vertAlign w:val="superscript"/>
    </w:rPr>
  </w:style>
  <w:style w:type="paragraph" w:styleId="EndnoteText">
    <w:name w:val="endnote text"/>
    <w:basedOn w:val="Normal"/>
    <w:semiHidden/>
    <w:rsid w:val="00D44D91"/>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44D91"/>
    <w:pPr>
      <w:ind w:left="1843" w:hanging="1134"/>
      <w:jc w:val="left"/>
    </w:pPr>
  </w:style>
  <w:style w:type="paragraph" w:customStyle="1" w:styleId="Heading1multiline">
    <w:name w:val="Heading 1 (multiline)"/>
    <w:basedOn w:val="Heading1"/>
    <w:rsid w:val="00D44D91"/>
    <w:pPr>
      <w:ind w:left="1843" w:right="996" w:hanging="567"/>
      <w:jc w:val="left"/>
    </w:pPr>
  </w:style>
  <w:style w:type="paragraph" w:customStyle="1" w:styleId="Heading2multiline">
    <w:name w:val="Heading 2 (multiline)"/>
    <w:basedOn w:val="Heading1"/>
    <w:next w:val="Para1"/>
    <w:rsid w:val="00D44D9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D44D9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3A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abs/text/default.shtml" TargetMode="External"/><Relationship Id="rId18" Type="http://schemas.openxmlformats.org/officeDocument/2006/relationships/hyperlink" Target="https://www.cbd.int/sp/" TargetMode="External"/><Relationship Id="rId26" Type="http://schemas.openxmlformats.org/officeDocument/2006/relationships/hyperlink" Target="https://www.bgci.org/policy/abs_learning/"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s://www.cbd.int/doc/decisions/cop-12/cop-12-dec-13-ar.pdf" TargetMode="External"/><Relationship Id="rId17" Type="http://schemas.openxmlformats.org/officeDocument/2006/relationships/hyperlink" Target="https://www.cbd.int/doc/decisions/cop-12/cop-12-dec-31-ar.pdf" TargetMode="External"/><Relationship Id="rId25" Type="http://schemas.openxmlformats.org/officeDocument/2006/relationships/hyperlink" Target="https://www.cbd.int/gti/&#156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26-ar.pdf" TargetMode="External"/><Relationship Id="rId20" Type="http://schemas.openxmlformats.org/officeDocument/2006/relationships/chart" Target="charts/char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traditional/default.shtml"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absch.cbd.int/" TargetMode="External"/><Relationship Id="rId23" Type="http://schemas.openxmlformats.org/officeDocument/2006/relationships/hyperlink" Target="https://www.cbd.int/doc/decisions/np-mop-02/np-mop-02-dec-01-ar.pdf" TargetMode="External"/><Relationship Id="rId28" Type="http://schemas.openxmlformats.org/officeDocument/2006/relationships/hyperlink" Target="https://www.cbd.int/post2020/" TargetMode="Externa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convention/text/" TargetMode="External"/><Relationship Id="rId22" Type="http://schemas.openxmlformats.org/officeDocument/2006/relationships/hyperlink" Target="https://www.cbd.int/doc/decisions/cop-13/cop-13-dec-01-ar.pdf" TargetMode="External"/><Relationship Id="rId27" Type="http://schemas.openxmlformats.org/officeDocument/2006/relationships/hyperlink" Target="https://www.cbd.int/business/meetings-events/2016.shtml"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ar.pdf" TargetMode="External"/><Relationship Id="rId2" Type="http://schemas.openxmlformats.org/officeDocument/2006/relationships/hyperlink" Target="https://www.cbd.int/doc/decisions/cop-10/cop-10-dec-01-ar.pdf"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s://www.cbd.int/business/ressources/newsletters.shtmlhttps:/www.cbd.int/business/ressources/newsletters.shtml" TargetMode="External"/><Relationship Id="rId5" Type="http://schemas.openxmlformats.org/officeDocument/2006/relationships/hyperlink" Target="https://www.cbd.int/doc/decisions/cop-13/cop-13-dec-18-ar.pdf" TargetMode="External"/><Relationship Id="rId4" Type="http://schemas.openxmlformats.org/officeDocument/2006/relationships/hyperlink" Target="https://www.cbd.int/doc/decisions/cop-10/cop-10-dec-10-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34132237735358"/>
          <c:y val="0.2639116726037018"/>
          <c:w val="0.36156576894072989"/>
          <c:h val="0.57341401537218362"/>
        </c:manualLayout>
      </c:layout>
      <c:pieChart>
        <c:varyColors val="1"/>
        <c:ser>
          <c:idx val="0"/>
          <c:order val="0"/>
          <c:dPt>
            <c:idx val="2"/>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3-611D-4FFF-819C-510CD57E26B4}"/>
              </c:ext>
            </c:extLst>
          </c:dPt>
          <c:dPt>
            <c:idx val="3"/>
            <c:bubble3D val="0"/>
            <c:spPr>
              <a:solidFill>
                <a:schemeClr val="tx1"/>
              </a:solidFill>
            </c:spPr>
            <c:extLst xmlns:c16r2="http://schemas.microsoft.com/office/drawing/2015/06/chart">
              <c:ext xmlns:c16="http://schemas.microsoft.com/office/drawing/2014/chart" uri="{C3380CC4-5D6E-409C-BE32-E72D297353CC}">
                <c16:uniqueId val="{00000005-611D-4FFF-819C-510CD57E26B4}"/>
              </c:ext>
            </c:extLst>
          </c:dPt>
          <c:dLbls>
            <c:dLbl>
              <c:idx val="0"/>
              <c:layout>
                <c:manualLayout>
                  <c:x val="6.1478104710595387E-2"/>
                  <c:y val="-6.7260342457192854E-2"/>
                </c:manualLayout>
              </c:layout>
              <c:tx>
                <c:rich>
                  <a:bodyPr/>
                  <a:lstStyle/>
                  <a:p>
                    <a:r>
                      <a:rPr lang="ar-EG" sz="900">
                        <a:latin typeface="Times Bold Italic" pitchFamily="18" charset="0"/>
                      </a:rPr>
                      <a:t>105 بلدان في البروتوكول (54 في المائة)</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D-4FFF-819C-510CD57E26B4}"/>
                </c:ext>
              </c:extLst>
            </c:dLbl>
            <c:dLbl>
              <c:idx val="1"/>
              <c:layout>
                <c:manualLayout>
                  <c:x val="-3.9047042196648585E-3"/>
                  <c:y val="2.6233926641522839E-2"/>
                </c:manualLayout>
              </c:layout>
              <c:tx>
                <c:rich>
                  <a:bodyPr/>
                  <a:lstStyle/>
                  <a:p>
                    <a:r>
                      <a:rPr lang="ar-EG" sz="900">
                        <a:latin typeface="Times Bold Italic" pitchFamily="18" charset="0"/>
                      </a:rPr>
                      <a:t>عمليات التصديق تجري في 34 بلدا (17 في المائة)</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D-4FFF-819C-510CD57E26B4}"/>
                </c:ext>
              </c:extLst>
            </c:dLbl>
            <c:dLbl>
              <c:idx val="2"/>
              <c:layout>
                <c:manualLayout>
                  <c:x val="-8.7836159903089267E-2"/>
                  <c:y val="0.14189704228147992"/>
                </c:manualLayout>
              </c:layout>
              <c:tx>
                <c:rich>
                  <a:bodyPr/>
                  <a:lstStyle/>
                  <a:p>
                    <a:r>
                      <a:rPr lang="ar-EG" sz="900">
                        <a:latin typeface="Times Bold Italic" pitchFamily="18" charset="0"/>
                      </a:rPr>
                      <a:t>يخطط 34 بلدا (17 في المائة)</a:t>
                    </a:r>
                    <a:r>
                      <a:rPr lang="ar-EG" sz="900" baseline="0">
                        <a:latin typeface="Times Bold Italic" pitchFamily="18" charset="0"/>
                      </a:rPr>
                      <a:t> للتصديق نوايا)</a:t>
                    </a:r>
                    <a:r>
                      <a:rPr lang="en-US" sz="900">
                        <a:latin typeface="Times Bold Italic" pitchFamily="18" charset="0"/>
                      </a:rPr>
                      <a:t>)</a:t>
                    </a:r>
                    <a:endParaRPr lang="en-US" sz="1400">
                      <a:latin typeface="Times Bold Italic" pitchFamily="18" charset="0"/>
                    </a:endParaRP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D-4FFF-819C-510CD57E26B4}"/>
                </c:ext>
              </c:extLst>
            </c:dLbl>
            <c:dLbl>
              <c:idx val="3"/>
              <c:layout>
                <c:manualLayout>
                  <c:x val="-0.10091401769223288"/>
                  <c:y val="3.8315000701248235E-2"/>
                </c:manualLayout>
              </c:layout>
              <c:tx>
                <c:rich>
                  <a:bodyPr/>
                  <a:lstStyle/>
                  <a:p>
                    <a:r>
                      <a:rPr lang="ar-EG" sz="900">
                        <a:latin typeface="Times Bold Italic" pitchFamily="18" charset="0"/>
                      </a:rPr>
                      <a:t>لا تتوافر أي معلومات عن التصديق</a:t>
                    </a:r>
                    <a:r>
                      <a:rPr lang="ar-EG" sz="900" baseline="0">
                        <a:latin typeface="Times Bold Italic" pitchFamily="18" charset="0"/>
                      </a:rPr>
                      <a:t> من 23 بلدا (12 في المائة)</a:t>
                    </a:r>
                    <a:endParaRPr lang="en-US"/>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1D-4FFF-819C-510CD57E26B4}"/>
                </c:ext>
              </c:extLst>
            </c:dLbl>
            <c:spPr>
              <a:noFill/>
              <a:ln>
                <a:noFill/>
              </a:ln>
              <a:effectLst/>
            </c:spPr>
            <c:txPr>
              <a:bodyPr/>
              <a:lstStyle/>
              <a:p>
                <a:pPr>
                  <a:defRPr sz="900">
                    <a:latin typeface="Times Bold Italic" pitchFamily="18" charset="0"/>
                  </a:defRPr>
                </a:pPr>
                <a:endParaRPr lang="en-US"/>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'ANALYSIS NON Parties'!$C$45:$F$45</c:f>
              <c:strCache>
                <c:ptCount val="4"/>
                <c:pt idx="0">
                  <c:v>Parties to the Protocol</c:v>
                </c:pt>
                <c:pt idx="1">
                  <c:v>Ratification process underway</c:v>
                </c:pt>
                <c:pt idx="2">
                  <c:v>Planning to ratify</c:v>
                </c:pt>
                <c:pt idx="3">
                  <c:v>No information available on ratification</c:v>
                </c:pt>
              </c:strCache>
            </c:strRef>
          </c:cat>
          <c:val>
            <c:numRef>
              <c:f>'ANALYSIS NON Parties'!$C$51:$F$51</c:f>
              <c:numCache>
                <c:formatCode>General</c:formatCode>
                <c:ptCount val="4"/>
                <c:pt idx="0">
                  <c:v>105</c:v>
                </c:pt>
                <c:pt idx="1">
                  <c:v>34</c:v>
                </c:pt>
                <c:pt idx="2">
                  <c:v>34</c:v>
                </c:pt>
                <c:pt idx="3">
                  <c:v>23</c:v>
                </c:pt>
              </c:numCache>
            </c:numRef>
          </c:val>
          <c:extLst xmlns:c16r2="http://schemas.microsoft.com/office/drawing/2015/06/chart">
            <c:ext xmlns:c16="http://schemas.microsoft.com/office/drawing/2014/chart" uri="{C3380CC4-5D6E-409C-BE32-E72D297353CC}">
              <c16:uniqueId val="{00000006-611D-4FFF-819C-510CD57E26B4}"/>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3"/>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2-18E8-43BE-BFD3-55CD62753623}"/>
              </c:ext>
            </c:extLst>
          </c:dPt>
          <c:dPt>
            <c:idx val="4"/>
            <c:bubble3D val="0"/>
            <c:spPr>
              <a:solidFill>
                <a:schemeClr val="tx1"/>
              </a:solidFill>
            </c:spPr>
            <c:extLst xmlns:c16r2="http://schemas.microsoft.com/office/drawing/2015/06/chart">
              <c:ext xmlns:c16="http://schemas.microsoft.com/office/drawing/2014/chart" uri="{C3380CC4-5D6E-409C-BE32-E72D297353CC}">
                <c16:uniqueId val="{00000004-18E8-43BE-BFD3-55CD62753623}"/>
              </c:ext>
            </c:extLst>
          </c:dPt>
          <c:dLbls>
            <c:dLbl>
              <c:idx val="0"/>
              <c:layout/>
              <c:tx>
                <c:rich>
                  <a:bodyPr/>
                  <a:lstStyle/>
                  <a:p>
                    <a:r>
                      <a:rPr lang="ar-EG" sz="900">
                        <a:latin typeface="Times New Roman" panose="02020603050405020304" pitchFamily="18" charset="0"/>
                        <a:cs typeface="Times New Roman" panose="02020603050405020304" pitchFamily="18" charset="0"/>
                      </a:rPr>
                      <a:t>أفريقيا 42 طرفا</a:t>
                    </a:r>
                    <a:endParaRPr lang="en-US"/>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E8-43BE-BFD3-55CD62753623}"/>
                </c:ext>
              </c:extLst>
            </c:dLbl>
            <c:dLbl>
              <c:idx val="1"/>
              <c:layout/>
              <c:tx>
                <c:rich>
                  <a:bodyPr/>
                  <a:lstStyle/>
                  <a:p>
                    <a:r>
                      <a:rPr lang="ar-EG" sz="900" dirty="0">
                        <a:latin typeface="Times New Roman" panose="02020603050405020304" pitchFamily="18" charset="0"/>
                        <a:cs typeface="Times New Roman" panose="02020603050405020304" pitchFamily="18" charset="0"/>
                      </a:rPr>
                      <a:t>آسيا والمحيط الهادىء</a:t>
                    </a:r>
                    <a:r>
                      <a:rPr lang="ar-EG" sz="900" baseline="0" dirty="0">
                        <a:latin typeface="Times New Roman" panose="02020603050405020304" pitchFamily="18" charset="0"/>
                        <a:cs typeface="Times New Roman" panose="02020603050405020304" pitchFamily="18" charset="0"/>
                      </a:rPr>
                      <a:t> 27 طرفا</a:t>
                    </a:r>
                    <a:endParaRPr lang="en-US" dirty="0"/>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E8-43BE-BFD3-55CD62753623}"/>
                </c:ext>
              </c:extLst>
            </c:dLbl>
            <c:dLbl>
              <c:idx val="2"/>
              <c:layout/>
              <c:tx>
                <c:rich>
                  <a:bodyPr/>
                  <a:lstStyle/>
                  <a:p>
                    <a:r>
                      <a:rPr lang="ar-EG" sz="900" dirty="0">
                        <a:latin typeface="Times New Roman" panose="02020603050405020304" pitchFamily="18" charset="0"/>
                        <a:cs typeface="Times New Roman" panose="02020603050405020304" pitchFamily="18" charset="0"/>
                      </a:rPr>
                      <a:t>إقليم أوروبا وآسيا الوسطى</a:t>
                    </a:r>
                    <a:r>
                      <a:rPr lang="ar-EG" sz="900" baseline="0" dirty="0">
                        <a:latin typeface="Times New Roman" panose="02020603050405020304" pitchFamily="18" charset="0"/>
                        <a:cs typeface="Times New Roman" panose="02020603050405020304" pitchFamily="18" charset="0"/>
                      </a:rPr>
                      <a:t> 8 أطراف</a:t>
                    </a:r>
                    <a:endParaRPr lang="en-US" dirty="0"/>
                  </a:p>
                </c:rich>
              </c:tx>
              <c:dLblPos val="outEnd"/>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E8-43BE-BFD3-55CD62753623}"/>
                </c:ext>
              </c:extLst>
            </c:dLbl>
            <c:dLbl>
              <c:idx val="3"/>
              <c:layout>
                <c:manualLayout>
                  <c:x val="2.136752136752137E-3"/>
                  <c:y val="6.8728522336769784E-3"/>
                </c:manualLayout>
              </c:layout>
              <c:tx>
                <c:rich>
                  <a:bodyPr/>
                  <a:lstStyle/>
                  <a:p>
                    <a:r>
                      <a:rPr lang="ar-EG" sz="900" dirty="0">
                        <a:latin typeface="Times New Roman" panose="02020603050405020304" pitchFamily="18" charset="0"/>
                        <a:cs typeface="Times New Roman" panose="02020603050405020304" pitchFamily="18" charset="0"/>
                      </a:rPr>
                      <a:t>إقليم</a:t>
                    </a:r>
                    <a:r>
                      <a:rPr lang="ar-EG" sz="900" baseline="0" dirty="0">
                        <a:latin typeface="Times New Roman" panose="02020603050405020304" pitchFamily="18" charset="0"/>
                        <a:cs typeface="Times New Roman" panose="02020603050405020304" pitchFamily="18" charset="0"/>
                      </a:rPr>
                      <a:t> أمريكا اللاتينية والبحر الكاريبي 13 طرفا</a:t>
                    </a:r>
                    <a:endParaRPr lang="en-US" dirty="0"/>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E8-43BE-BFD3-55CD62753623}"/>
                </c:ext>
              </c:extLst>
            </c:dLbl>
            <c:dLbl>
              <c:idx val="4"/>
              <c:layout>
                <c:manualLayout>
                  <c:x val="-3.2679738562091339E-3"/>
                  <c:y val="5.2910052910052924E-3"/>
                </c:manualLayout>
              </c:layout>
              <c:tx>
                <c:rich>
                  <a:bodyPr/>
                  <a:lstStyle/>
                  <a:p>
                    <a:r>
                      <a:rPr lang="ar-EG" sz="900" dirty="0">
                        <a:latin typeface="Times New Roman" panose="02020603050405020304" pitchFamily="18" charset="0"/>
                        <a:cs typeface="Times New Roman" panose="02020603050405020304" pitchFamily="18" charset="0"/>
                      </a:rPr>
                      <a:t>مجموعة أوروبا</a:t>
                    </a:r>
                    <a:r>
                      <a:rPr lang="ar-EG" sz="900" baseline="0" dirty="0">
                        <a:latin typeface="Times New Roman" panose="02020603050405020304" pitchFamily="18" charset="0"/>
                        <a:cs typeface="Times New Roman" panose="02020603050405020304" pitchFamily="18" charset="0"/>
                      </a:rPr>
                      <a:t> الغربية وغيرها</a:t>
                    </a:r>
                    <a:endParaRPr lang="en-US" sz="900" dirty="0">
                      <a:latin typeface="Times New Roman" panose="02020603050405020304" pitchFamily="18" charset="0"/>
                      <a:cs typeface="Times New Roman" panose="02020603050405020304" pitchFamily="18" charset="0"/>
                    </a:endParaRPr>
                  </a:p>
                  <a:p>
                    <a:r>
                      <a:rPr lang="ar-EG" sz="900" dirty="0">
                        <a:latin typeface="Times New Roman" panose="02020603050405020304" pitchFamily="18" charset="0"/>
                        <a:cs typeface="Times New Roman" panose="02020603050405020304" pitchFamily="18" charset="0"/>
                      </a:rPr>
                      <a:t>15 طرفا</a:t>
                    </a:r>
                    <a:endParaRPr lang="en-US" sz="1200" dirty="0"/>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E8-43BE-BFD3-55CD62753623}"/>
                </c:ext>
              </c:extLst>
            </c:dLbl>
            <c:spPr>
              <a:noFill/>
              <a:ln>
                <a:noFill/>
              </a:ln>
              <a:effectLst/>
            </c:spPr>
            <c:dLblPos val="outEnd"/>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'ANALYSIS Parties'!$A$4:$A$8</c:f>
              <c:strCache>
                <c:ptCount val="5"/>
                <c:pt idx="0">
                  <c:v>Africa</c:v>
                </c:pt>
                <c:pt idx="1">
                  <c:v>Asia-Pacific</c:v>
                </c:pt>
                <c:pt idx="2">
                  <c:v>CEE</c:v>
                </c:pt>
                <c:pt idx="3">
                  <c:v>GRULAC</c:v>
                </c:pt>
                <c:pt idx="4">
                  <c:v>WEOG</c:v>
                </c:pt>
              </c:strCache>
            </c:strRef>
          </c:cat>
          <c:val>
            <c:numRef>
              <c:f>'ANALYSIS Parties'!$C$4:$C$8</c:f>
              <c:numCache>
                <c:formatCode>General</c:formatCode>
                <c:ptCount val="5"/>
                <c:pt idx="0">
                  <c:v>42</c:v>
                </c:pt>
                <c:pt idx="1">
                  <c:v>27</c:v>
                </c:pt>
                <c:pt idx="2">
                  <c:v>8</c:v>
                </c:pt>
                <c:pt idx="3">
                  <c:v>13</c:v>
                </c:pt>
                <c:pt idx="4">
                  <c:v>15</c:v>
                </c:pt>
              </c:numCache>
            </c:numRef>
          </c:val>
          <c:extLst xmlns:c16r2="http://schemas.microsoft.com/office/drawing/2015/06/chart">
            <c:ext xmlns:c16="http://schemas.microsoft.com/office/drawing/2014/chart" uri="{C3380CC4-5D6E-409C-BE32-E72D297353CC}">
              <c16:uniqueId val="{00000007-18E8-43BE-BFD3-55CD62753623}"/>
            </c:ext>
          </c:extLst>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4.4423013014846198E-2"/>
                  <c:y val="0.11986995452728921"/>
                </c:manualLayout>
              </c:layout>
              <c:tx>
                <c:rich>
                  <a:bodyPr/>
                  <a:lstStyle/>
                  <a:p>
                    <a:r>
                      <a:rPr lang="ar-EG"/>
                      <a:t>لدى 30 طرفا في الاتفاقية تدابير بشأن الحصول والتقاسم</a:t>
                    </a:r>
                    <a:endParaRPr lang="en-US"/>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39-461A-9871-15E7E5F2B454}"/>
                </c:ext>
              </c:extLst>
            </c:dLbl>
            <c:dLbl>
              <c:idx val="1"/>
              <c:layout/>
              <c:tx>
                <c:rich>
                  <a:bodyPr/>
                  <a:lstStyle/>
                  <a:p>
                    <a:r>
                      <a:rPr lang="ar-EG"/>
                      <a:t>لا توجد</a:t>
                    </a:r>
                    <a:r>
                      <a:rPr lang="ar-EG" baseline="0"/>
                      <a:t> تدابير إلا أنه يجري حاليا وضع أو التخطيط لهذه التدابير في 38 طرفا في الاتفاقية</a:t>
                    </a:r>
                    <a:endParaRPr lang="en-US"/>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39-461A-9871-15E7E5F2B454}"/>
                </c:ext>
              </c:extLst>
            </c:dLbl>
            <c:dLbl>
              <c:idx val="2"/>
              <c:layout>
                <c:manualLayout>
                  <c:x val="-7.4413450256702637E-2"/>
                  <c:y val="0.15912208504801098"/>
                </c:manualLayout>
              </c:layout>
              <c:tx>
                <c:rich>
                  <a:bodyPr/>
                  <a:lstStyle/>
                  <a:p>
                    <a:r>
                      <a:rPr lang="ar-EG"/>
                      <a:t>لا تتوافر</a:t>
                    </a:r>
                    <a:r>
                      <a:rPr lang="ar-EG" baseline="0"/>
                      <a:t> معلومات عن 23 بلدا أعضاء في الاتفاقية</a:t>
                    </a:r>
                    <a:endParaRPr lang="en-US"/>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39-461A-9871-15E7E5F2B454}"/>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Sheet1!$A$21:$A$23</c:f>
              <c:strCache>
                <c:ptCount val="3"/>
                <c:pt idx="0">
                  <c:v> ABS measures in place</c:v>
                </c:pt>
                <c:pt idx="1">
                  <c:v>No measures in place but currently  developing or planning to develop</c:v>
                </c:pt>
                <c:pt idx="2">
                  <c:v>No measures in place or no information available</c:v>
                </c:pt>
              </c:strCache>
            </c:strRef>
          </c:cat>
          <c:val>
            <c:numRef>
              <c:f>Sheet1!$B$21:$B$23</c:f>
              <c:numCache>
                <c:formatCode>General</c:formatCode>
                <c:ptCount val="3"/>
                <c:pt idx="0">
                  <c:v>30</c:v>
                </c:pt>
                <c:pt idx="1">
                  <c:v>38</c:v>
                </c:pt>
                <c:pt idx="2">
                  <c:v>23</c:v>
                </c:pt>
              </c:numCache>
            </c:numRef>
          </c:val>
          <c:extLst xmlns:c16r2="http://schemas.microsoft.com/office/drawing/2015/06/chart">
            <c:ext xmlns:c16="http://schemas.microsoft.com/office/drawing/2014/chart" uri="{C3380CC4-5D6E-409C-BE32-E72D297353CC}">
              <c16:uniqueId val="{00000003-5839-461A-9871-15E7E5F2B454}"/>
            </c:ext>
          </c:extLst>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922E75374EF148B7B44B64199FE30CD0"/>
        <w:category>
          <w:name w:val="General"/>
          <w:gallery w:val="placeholder"/>
        </w:category>
        <w:types>
          <w:type w:val="bbPlcHdr"/>
        </w:types>
        <w:behaviors>
          <w:behavior w:val="content"/>
        </w:behaviors>
        <w:guid w:val="{4F33215D-DBE8-4E02-8287-31B1EB6DF3AE}"/>
      </w:docPartPr>
      <w:docPartBody>
        <w:p w:rsidR="002D0F1D" w:rsidRDefault="006443CE" w:rsidP="006443CE">
          <w:pPr>
            <w:pStyle w:val="922E75374EF148B7B44B64199FE30CD0"/>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2"/>
  </w:compat>
  <w:rsids>
    <w:rsidRoot w:val="001B29AF"/>
    <w:rsid w:val="00015BC6"/>
    <w:rsid w:val="000710E3"/>
    <w:rsid w:val="000C0B8C"/>
    <w:rsid w:val="000D63ED"/>
    <w:rsid w:val="000E1480"/>
    <w:rsid w:val="00117A5C"/>
    <w:rsid w:val="001B29AF"/>
    <w:rsid w:val="002714A5"/>
    <w:rsid w:val="002B2DCF"/>
    <w:rsid w:val="002D0F1D"/>
    <w:rsid w:val="002D2DAB"/>
    <w:rsid w:val="0037757D"/>
    <w:rsid w:val="00415A47"/>
    <w:rsid w:val="00437D4E"/>
    <w:rsid w:val="00480C2B"/>
    <w:rsid w:val="00483ACD"/>
    <w:rsid w:val="004A69EC"/>
    <w:rsid w:val="00520B7E"/>
    <w:rsid w:val="00566305"/>
    <w:rsid w:val="005D40F6"/>
    <w:rsid w:val="006443CE"/>
    <w:rsid w:val="00665584"/>
    <w:rsid w:val="006E2CAB"/>
    <w:rsid w:val="007C2937"/>
    <w:rsid w:val="007C7510"/>
    <w:rsid w:val="007E501A"/>
    <w:rsid w:val="007F4559"/>
    <w:rsid w:val="0083264A"/>
    <w:rsid w:val="00863F7C"/>
    <w:rsid w:val="00922062"/>
    <w:rsid w:val="009B6214"/>
    <w:rsid w:val="009C00DE"/>
    <w:rsid w:val="00A27574"/>
    <w:rsid w:val="00B36C7B"/>
    <w:rsid w:val="00B52C23"/>
    <w:rsid w:val="00B66C2B"/>
    <w:rsid w:val="00B775A7"/>
    <w:rsid w:val="00BA6C9E"/>
    <w:rsid w:val="00BB2CFE"/>
    <w:rsid w:val="00CB09A3"/>
    <w:rsid w:val="00D43A0F"/>
    <w:rsid w:val="00D5481D"/>
    <w:rsid w:val="00DF3025"/>
    <w:rsid w:val="00E86EF9"/>
    <w:rsid w:val="00EC17B5"/>
    <w:rsid w:val="00EC6515"/>
    <w:rsid w:val="00EF609D"/>
    <w:rsid w:val="00FC166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443C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4F36923A80194F9D87CD905F769870BB">
    <w:name w:val="4F36923A80194F9D87CD905F769870BB"/>
    <w:rsid w:val="006443CE"/>
  </w:style>
  <w:style w:type="paragraph" w:customStyle="1" w:styleId="922E75374EF148B7B44B64199FE30CD0">
    <w:name w:val="922E75374EF148B7B44B64199FE30CD0"/>
    <w:rsid w:val="00644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5B3C-640E-43E5-A30C-3DF32A5C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38</TotalTime>
  <Pages>7</Pages>
  <Words>3057</Words>
  <Characters>15534</Characters>
  <Application>Microsoft Office Word</Application>
  <DocSecurity>0</DocSecurity>
  <Lines>535</Lines>
  <Paragraphs>338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تعزيز التكامل في إطار الاتفاقية وبروتوكولاتها فيما يتعلق بالأحكام المتعلقة بالحصول على المنافع وتقاسمها</vt:lpstr>
      <vt:lpstr>تعزيز التكامل في إطار الاتفاقية وبروتوكولاتها فيما يتعلق بالأحكام المتعلقة بالحصول على المنافع وتقاسمها</vt:lpstr>
    </vt:vector>
  </TitlesOfParts>
  <Company>Biodiversity</Company>
  <LinksUpToDate>false</LinksUpToDate>
  <CharactersWithSpaces>18253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تعزيز التكامل في إطار الاتفاقية وبروتوكولاتها فيما يتعلق بالأحكام المتعلقة بالحصول على المنافع وتقاسمها</dc:title>
  <dc:subject>CBD/SBI/2/14</dc:subject>
  <dc:creator>SCBD</dc:creator>
  <cp:lastModifiedBy>Mohamed El Sehemawi</cp:lastModifiedBy>
  <cp:revision>7</cp:revision>
  <cp:lastPrinted>2018-06-04T20:52:00Z</cp:lastPrinted>
  <dcterms:created xsi:type="dcterms:W3CDTF">2018-06-01T21:03:00Z</dcterms:created>
  <dcterms:modified xsi:type="dcterms:W3CDTF">2018-06-04T20:54:00Z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