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284" w:type="dxa"/>
        <w:tblBorders>
          <w:bottom w:val="single" w:sz="30" w:space="0" w:color="000000"/>
        </w:tblBorders>
        <w:tblLayout w:type="fixed"/>
        <w:tblLook w:val="0000" w:firstRow="0" w:lastRow="0" w:firstColumn="0" w:lastColumn="0" w:noHBand="0" w:noVBand="0"/>
      </w:tblPr>
      <w:tblGrid>
        <w:gridCol w:w="1225"/>
        <w:gridCol w:w="1385"/>
        <w:gridCol w:w="2628"/>
        <w:gridCol w:w="1107"/>
        <w:gridCol w:w="3385"/>
        <w:gridCol w:w="17"/>
      </w:tblGrid>
      <w:tr w:rsidR="00C1575D" w:rsidRPr="00C1575D" w14:paraId="710D4A98" w14:textId="77777777" w:rsidTr="000F714B">
        <w:trPr>
          <w:gridAfter w:val="1"/>
          <w:wAfter w:w="17" w:type="dxa"/>
          <w:trHeight w:val="851"/>
        </w:trPr>
        <w:tc>
          <w:tcPr>
            <w:tcW w:w="1225" w:type="dxa"/>
            <w:tcBorders>
              <w:bottom w:val="single" w:sz="12" w:space="0" w:color="000000"/>
            </w:tcBorders>
          </w:tcPr>
          <w:p w14:paraId="117B45AC" w14:textId="77777777" w:rsidR="00C1575D" w:rsidRPr="00C1575D" w:rsidRDefault="00C1575D" w:rsidP="00C1575D">
            <w:pPr>
              <w:tabs>
                <w:tab w:val="center" w:pos="4320"/>
                <w:tab w:val="right" w:pos="8640"/>
              </w:tabs>
              <w:spacing w:after="0" w:line="240" w:lineRule="auto"/>
              <w:jc w:val="both"/>
              <w:rPr>
                <w:rFonts w:ascii="Times New Roman" w:hAnsi="Times New Roman" w:cs="Angsana New"/>
                <w:noProof/>
                <w:szCs w:val="24"/>
                <w:lang w:bidi="ar-SA"/>
              </w:rPr>
            </w:pPr>
            <w:r w:rsidRPr="00C1575D">
              <w:rPr>
                <w:rFonts w:ascii="Times New Roman" w:hAnsi="Times New Roman" w:cs="Angsana New"/>
                <w:noProof/>
                <w:szCs w:val="24"/>
                <w:lang w:val="en-CA" w:eastAsia="en-CA" w:bidi="ar-SA"/>
              </w:rPr>
              <w:drawing>
                <wp:inline distT="0" distB="0" distL="0" distR="0" wp14:anchorId="6C5602DE" wp14:editId="3AB8E47A">
                  <wp:extent cx="476250" cy="400050"/>
                  <wp:effectExtent l="0" t="0" r="0" b="0"/>
                  <wp:docPr id="8" name="Picture 8"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385" w:type="dxa"/>
            <w:tcBorders>
              <w:bottom w:val="single" w:sz="12" w:space="0" w:color="000000"/>
            </w:tcBorders>
          </w:tcPr>
          <w:p w14:paraId="412CA33D" w14:textId="77777777" w:rsidR="00C1575D" w:rsidRPr="00C1575D" w:rsidRDefault="00C1575D" w:rsidP="00C1575D">
            <w:pPr>
              <w:spacing w:after="0" w:line="240" w:lineRule="auto"/>
              <w:jc w:val="both"/>
              <w:rPr>
                <w:rFonts w:ascii="Times New Roman" w:hAnsi="Times New Roman" w:cs="Angsana New"/>
                <w:noProof/>
                <w:szCs w:val="24"/>
                <w:lang w:bidi="ar-SA"/>
              </w:rPr>
            </w:pPr>
            <w:r w:rsidRPr="00C1575D">
              <w:rPr>
                <w:rFonts w:ascii="Times New Roman" w:hAnsi="Times New Roman" w:cs="Angsana New"/>
                <w:noProof/>
                <w:szCs w:val="24"/>
                <w:lang w:val="en-CA" w:eastAsia="en-CA" w:bidi="ar-SA"/>
              </w:rPr>
              <w:drawing>
                <wp:inline distT="0" distB="0" distL="0" distR="0" wp14:anchorId="6221F077" wp14:editId="4B12DE65">
                  <wp:extent cx="342900" cy="400050"/>
                  <wp:effectExtent l="0" t="0" r="0" b="0"/>
                  <wp:docPr id="9" name="Picture 9"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120" w:type="dxa"/>
            <w:gridSpan w:val="3"/>
            <w:tcBorders>
              <w:bottom w:val="single" w:sz="12" w:space="0" w:color="000000"/>
            </w:tcBorders>
          </w:tcPr>
          <w:p w14:paraId="687F2723" w14:textId="77777777" w:rsidR="00C1575D" w:rsidRPr="00C1575D" w:rsidRDefault="00C1575D" w:rsidP="00C1575D">
            <w:pPr>
              <w:spacing w:after="0" w:line="240" w:lineRule="auto"/>
              <w:jc w:val="right"/>
              <w:rPr>
                <w:rFonts w:ascii="Arial" w:hAnsi="Arial" w:cs="Arial"/>
                <w:b/>
                <w:sz w:val="32"/>
                <w:szCs w:val="32"/>
                <w:lang w:bidi="ar-SA"/>
              </w:rPr>
            </w:pPr>
            <w:r w:rsidRPr="00C1575D">
              <w:rPr>
                <w:rFonts w:ascii="Arial" w:hAnsi="Arial" w:cs="Arial"/>
                <w:b/>
                <w:sz w:val="32"/>
                <w:szCs w:val="32"/>
                <w:lang w:bidi="ar-SA"/>
              </w:rPr>
              <w:t>CBD</w:t>
            </w:r>
          </w:p>
        </w:tc>
      </w:tr>
      <w:tr w:rsidR="00C1575D" w:rsidRPr="00C1575D" w14:paraId="0C0B2575" w14:textId="77777777" w:rsidTr="000F714B">
        <w:trPr>
          <w:trHeight w:val="1925"/>
        </w:trPr>
        <w:tc>
          <w:tcPr>
            <w:tcW w:w="5238" w:type="dxa"/>
            <w:gridSpan w:val="3"/>
          </w:tcPr>
          <w:p w14:paraId="25F3A41A" w14:textId="77777777" w:rsidR="00C1575D" w:rsidRPr="00C1575D" w:rsidRDefault="00C1575D" w:rsidP="00C1575D">
            <w:pPr>
              <w:spacing w:after="0" w:line="240" w:lineRule="auto"/>
              <w:rPr>
                <w:rFonts w:ascii="Times New Roman" w:hAnsi="Times New Roman"/>
                <w:szCs w:val="24"/>
                <w:lang w:bidi="ar-SA"/>
              </w:rPr>
            </w:pPr>
            <w:r w:rsidRPr="00C1575D">
              <w:rPr>
                <w:rFonts w:ascii="Times New Roman" w:hAnsi="Times New Roman"/>
                <w:noProof/>
                <w:lang w:val="en-CA" w:eastAsia="en-CA" w:bidi="ar-SA"/>
              </w:rPr>
              <w:drawing>
                <wp:inline distT="0" distB="0" distL="0" distR="0" wp14:anchorId="2DEAA860" wp14:editId="1E4A42FE">
                  <wp:extent cx="2838450" cy="1076325"/>
                  <wp:effectExtent l="0" t="0" r="0" b="0"/>
                  <wp:docPr id="10"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107" w:type="dxa"/>
          </w:tcPr>
          <w:p w14:paraId="0EEB4F17" w14:textId="77777777" w:rsidR="00C1575D" w:rsidRPr="00C1575D" w:rsidRDefault="00C1575D" w:rsidP="00C1575D">
            <w:pPr>
              <w:spacing w:after="0" w:line="240" w:lineRule="auto"/>
              <w:jc w:val="both"/>
              <w:rPr>
                <w:rFonts w:ascii="Times New Roman" w:hAnsi="Times New Roman"/>
                <w:szCs w:val="24"/>
                <w:lang w:bidi="ar-SA"/>
              </w:rPr>
            </w:pPr>
          </w:p>
        </w:tc>
        <w:tc>
          <w:tcPr>
            <w:tcW w:w="3402" w:type="dxa"/>
            <w:gridSpan w:val="2"/>
          </w:tcPr>
          <w:p w14:paraId="7445F06E" w14:textId="77777777" w:rsidR="00C1575D" w:rsidRPr="00C1575D" w:rsidRDefault="00C1575D" w:rsidP="000F714B">
            <w:pPr>
              <w:spacing w:after="0" w:line="240" w:lineRule="auto"/>
              <w:ind w:left="780"/>
              <w:jc w:val="both"/>
              <w:rPr>
                <w:rFonts w:ascii="Times New Roman" w:hAnsi="Times New Roman"/>
                <w:szCs w:val="24"/>
                <w:lang w:bidi="ar-SA"/>
              </w:rPr>
            </w:pPr>
            <w:r w:rsidRPr="00C1575D">
              <w:rPr>
                <w:rFonts w:ascii="Times New Roman" w:hAnsi="Times New Roman"/>
                <w:lang w:bidi="ar-SA"/>
              </w:rPr>
              <w:t>Distr.</w:t>
            </w:r>
          </w:p>
          <w:p w14:paraId="3A25AC50" w14:textId="77777777" w:rsidR="00C1575D" w:rsidRPr="00C1575D" w:rsidRDefault="00C1575D" w:rsidP="000F714B">
            <w:pPr>
              <w:spacing w:after="0" w:line="240" w:lineRule="auto"/>
              <w:ind w:left="780"/>
              <w:jc w:val="both"/>
              <w:rPr>
                <w:rFonts w:ascii="Times New Roman" w:hAnsi="Times New Roman"/>
                <w:szCs w:val="24"/>
                <w:lang w:bidi="ar-SA"/>
              </w:rPr>
            </w:pPr>
            <w:r w:rsidRPr="00C1575D">
              <w:rPr>
                <w:rFonts w:ascii="Times New Roman" w:hAnsi="Times New Roman"/>
                <w:lang w:bidi="ar-SA"/>
              </w:rPr>
              <w:t>GENERAL</w:t>
            </w:r>
          </w:p>
          <w:p w14:paraId="525058BF" w14:textId="77777777" w:rsidR="00C1575D" w:rsidRPr="00C1575D" w:rsidRDefault="00C1575D" w:rsidP="000F714B">
            <w:pPr>
              <w:spacing w:after="0" w:line="240" w:lineRule="auto"/>
              <w:ind w:left="780"/>
              <w:jc w:val="both"/>
              <w:rPr>
                <w:rFonts w:ascii="Times New Roman" w:hAnsi="Times New Roman"/>
                <w:szCs w:val="24"/>
                <w:lang w:bidi="ar-SA"/>
              </w:rPr>
            </w:pPr>
          </w:p>
          <w:p w14:paraId="6F696F80" w14:textId="454E6603" w:rsidR="00C1575D" w:rsidRPr="00C1575D" w:rsidRDefault="00132089" w:rsidP="000F714B">
            <w:pPr>
              <w:spacing w:after="0" w:line="240" w:lineRule="auto"/>
              <w:ind w:left="780"/>
              <w:jc w:val="both"/>
              <w:rPr>
                <w:rFonts w:ascii="Times New Roman" w:hAnsi="Times New Roman" w:cs="Angsana New"/>
                <w:lang w:bidi="ar-SA"/>
              </w:rPr>
            </w:pPr>
            <w:sdt>
              <w:sdtPr>
                <w:rPr>
                  <w:rFonts w:ascii="Times New Roman" w:hAnsi="Times New Roman" w:cs="Angsana New"/>
                  <w:szCs w:val="24"/>
                  <w:lang w:val="en-US" w:bidi="ar-SA"/>
                </w:rPr>
                <w:alias w:val="Subject"/>
                <w:tag w:val=""/>
                <w:id w:val="705070987"/>
                <w:placeholder>
                  <w:docPart w:val="CDEAF9D19CFD4DBAB94F209CD23F3716"/>
                </w:placeholder>
                <w:dataBinding w:prefixMappings="xmlns:ns0='http://purl.org/dc/elements/1.1/' xmlns:ns1='http://schemas.openxmlformats.org/package/2006/metadata/core-properties' " w:xpath="/ns1:coreProperties[1]/ns0:subject[1]" w:storeItemID="{6C3C8BC8-F283-45AE-878A-BAB7291924A1}"/>
                <w:text/>
              </w:sdtPr>
              <w:sdtEndPr/>
              <w:sdtContent>
                <w:r w:rsidR="00C1575D" w:rsidRPr="00824F12">
                  <w:rPr>
                    <w:rFonts w:ascii="Times New Roman" w:hAnsi="Times New Roman" w:cs="Angsana New"/>
                    <w:szCs w:val="24"/>
                    <w:lang w:val="en-US" w:bidi="ar-SA"/>
                  </w:rPr>
                  <w:t>CBD/COP/14/INF/22</w:t>
                </w:r>
              </w:sdtContent>
            </w:sdt>
          </w:p>
          <w:p w14:paraId="3AE772B8" w14:textId="395147BD" w:rsidR="00C1575D" w:rsidRPr="00C1575D" w:rsidRDefault="00C1575D" w:rsidP="000F714B">
            <w:pPr>
              <w:spacing w:after="0" w:line="240" w:lineRule="auto"/>
              <w:ind w:left="780"/>
              <w:jc w:val="both"/>
              <w:rPr>
                <w:rFonts w:ascii="Times New Roman" w:hAnsi="Times New Roman"/>
                <w:color w:val="000000"/>
                <w:szCs w:val="24"/>
                <w:lang w:bidi="ar-SA"/>
              </w:rPr>
            </w:pPr>
            <w:r w:rsidRPr="00C1575D">
              <w:rPr>
                <w:rFonts w:ascii="Times New Roman" w:hAnsi="Times New Roman"/>
                <w:color w:val="000000"/>
                <w:lang w:bidi="ar-SA"/>
              </w:rPr>
              <w:t>7 November 2018</w:t>
            </w:r>
          </w:p>
          <w:p w14:paraId="5C28C200" w14:textId="77777777" w:rsidR="00C1575D" w:rsidRPr="00C1575D" w:rsidRDefault="00C1575D" w:rsidP="000F714B">
            <w:pPr>
              <w:spacing w:after="0" w:line="240" w:lineRule="auto"/>
              <w:ind w:left="780"/>
              <w:jc w:val="both"/>
              <w:rPr>
                <w:rFonts w:ascii="Times New Roman" w:hAnsi="Times New Roman"/>
                <w:szCs w:val="24"/>
                <w:lang w:bidi="ar-SA"/>
              </w:rPr>
            </w:pPr>
          </w:p>
          <w:p w14:paraId="22A76CF1" w14:textId="77777777" w:rsidR="00C1575D" w:rsidRPr="00C1575D" w:rsidRDefault="00C1575D" w:rsidP="000F714B">
            <w:pPr>
              <w:spacing w:after="0" w:line="240" w:lineRule="auto"/>
              <w:ind w:left="780"/>
              <w:jc w:val="both"/>
              <w:rPr>
                <w:rFonts w:ascii="Times New Roman" w:hAnsi="Times New Roman"/>
                <w:szCs w:val="24"/>
                <w:lang w:bidi="ar-SA"/>
              </w:rPr>
            </w:pPr>
            <w:r w:rsidRPr="00C1575D">
              <w:rPr>
                <w:rFonts w:ascii="Times New Roman" w:hAnsi="Times New Roman"/>
                <w:lang w:bidi="ar-SA"/>
              </w:rPr>
              <w:t xml:space="preserve">ENGLISH ONLY </w:t>
            </w:r>
          </w:p>
        </w:tc>
      </w:tr>
    </w:tbl>
    <w:p w14:paraId="22A8AD0F" w14:textId="77777777" w:rsidR="00C1575D" w:rsidRPr="00C1575D" w:rsidRDefault="00C1575D" w:rsidP="00C1575D">
      <w:pPr>
        <w:spacing w:after="0" w:line="240" w:lineRule="auto"/>
        <w:ind w:left="284" w:right="4115" w:hanging="284"/>
        <w:rPr>
          <w:rFonts w:ascii="Times New Roman" w:hAnsi="Times New Roman"/>
          <w:lang w:bidi="ar-SA"/>
        </w:rPr>
      </w:pPr>
      <w:r w:rsidRPr="00C1575D">
        <w:rPr>
          <w:rFonts w:ascii="Times New Roman" w:hAnsi="Times New Roman"/>
          <w:lang w:bidi="ar-SA"/>
        </w:rPr>
        <w:t>CONFERENCE OF THE PARTIES TO THE CONVENTION ON BIOLOGICAL DIVERSITY</w:t>
      </w:r>
    </w:p>
    <w:p w14:paraId="3C03CABA" w14:textId="77777777" w:rsidR="00C1575D" w:rsidRPr="00C1575D" w:rsidRDefault="00C1575D" w:rsidP="00C1575D">
      <w:pPr>
        <w:spacing w:after="0" w:line="240" w:lineRule="auto"/>
        <w:ind w:left="284" w:right="4115" w:hanging="284"/>
        <w:rPr>
          <w:rFonts w:ascii="Times New Roman" w:hAnsi="Times New Roman"/>
          <w:color w:val="000000"/>
          <w:lang w:bidi="ar-SA"/>
        </w:rPr>
      </w:pPr>
      <w:r w:rsidRPr="00C1575D">
        <w:rPr>
          <w:rFonts w:ascii="Times New Roman" w:hAnsi="Times New Roman"/>
          <w:color w:val="000000"/>
          <w:lang w:bidi="ar-SA"/>
        </w:rPr>
        <w:t>Fourteenth meeting</w:t>
      </w:r>
    </w:p>
    <w:p w14:paraId="788516D6" w14:textId="77777777" w:rsidR="00C1575D" w:rsidRPr="00C1575D" w:rsidRDefault="00C1575D" w:rsidP="00C1575D">
      <w:pPr>
        <w:tabs>
          <w:tab w:val="left" w:pos="0"/>
        </w:tabs>
        <w:spacing w:after="0" w:line="240" w:lineRule="auto"/>
        <w:rPr>
          <w:rFonts w:ascii="Times New Roman" w:hAnsi="Times New Roman"/>
          <w:lang w:bidi="ar-SA"/>
        </w:rPr>
      </w:pPr>
      <w:r w:rsidRPr="00C1575D">
        <w:rPr>
          <w:rFonts w:ascii="Times New Roman" w:hAnsi="Times New Roman"/>
          <w:lang w:bidi="ar-SA"/>
        </w:rPr>
        <w:t>Item 9 of the provisional agenda</w:t>
      </w:r>
      <w:r w:rsidRPr="00C1575D">
        <w:rPr>
          <w:rFonts w:ascii="Times New Roman" w:hAnsi="Times New Roman"/>
          <w:vertAlign w:val="superscript"/>
          <w:lang w:bidi="ar-SA"/>
        </w:rPr>
        <w:footnoteReference w:customMarkFollows="1" w:id="2"/>
        <w:t>*</w:t>
      </w:r>
    </w:p>
    <w:p w14:paraId="24CA04B5" w14:textId="77777777" w:rsidR="00C1575D" w:rsidRPr="00C1575D" w:rsidRDefault="00C1575D" w:rsidP="00C1575D">
      <w:pPr>
        <w:spacing w:after="0" w:line="240" w:lineRule="auto"/>
        <w:ind w:right="4398"/>
        <w:jc w:val="both"/>
        <w:rPr>
          <w:rFonts w:ascii="Times New Roman" w:hAnsi="Times New Roman"/>
          <w:color w:val="000000"/>
          <w:lang w:bidi="ar-SA"/>
        </w:rPr>
      </w:pPr>
      <w:r w:rsidRPr="00C1575D">
        <w:rPr>
          <w:rFonts w:ascii="Times New Roman" w:hAnsi="Times New Roman"/>
          <w:color w:val="000000"/>
          <w:lang w:bidi="ar-SA"/>
        </w:rPr>
        <w:t>Sharm El-Sheikh, Egypt, 17-29 November 2018</w:t>
      </w:r>
    </w:p>
    <w:sdt>
      <w:sdtPr>
        <w:rPr>
          <w:rFonts w:ascii="Times New Roman" w:hAnsi="Times New Roman"/>
          <w:b/>
          <w:lang w:bidi="ar-SA"/>
        </w:rPr>
        <w:alias w:val="Title"/>
        <w:tag w:val=""/>
        <w:id w:val="806898703"/>
        <w:placeholder>
          <w:docPart w:val="184CC299099E4EEDA687325C76247E1C"/>
        </w:placeholder>
        <w:dataBinding w:prefixMappings="xmlns:ns0='http://purl.org/dc/elements/1.1/' xmlns:ns1='http://schemas.openxmlformats.org/package/2006/metadata/core-properties' " w:xpath="/ns1:coreProperties[1]/ns0:title[1]" w:storeItemID="{6C3C8BC8-F283-45AE-878A-BAB7291924A1}"/>
        <w:text/>
      </w:sdtPr>
      <w:sdtEndPr/>
      <w:sdtContent>
        <w:p w14:paraId="75235C0F" w14:textId="7014B19C" w:rsidR="00C1575D" w:rsidRPr="00C1575D" w:rsidRDefault="00C1575D" w:rsidP="00C1575D">
          <w:pPr>
            <w:keepNext/>
            <w:keepLines/>
            <w:spacing w:before="240" w:after="120" w:line="240" w:lineRule="auto"/>
            <w:jc w:val="center"/>
            <w:rPr>
              <w:rFonts w:ascii="Times New Roman" w:hAnsi="Times New Roman"/>
              <w:b/>
              <w:lang w:bidi="ar-SA"/>
            </w:rPr>
          </w:pPr>
          <w:r w:rsidRPr="00EC28AD">
            <w:rPr>
              <w:rFonts w:ascii="Times New Roman" w:hAnsi="Times New Roman"/>
              <w:b/>
              <w:lang w:bidi="ar-SA"/>
            </w:rPr>
            <w:t>CBD VOLUNTARY GUIDELINES FOR SAFEGUARDS: IMPLEMENTATION PATHWAYS</w:t>
          </w:r>
        </w:p>
      </w:sdtContent>
    </w:sdt>
    <w:p w14:paraId="688F9027" w14:textId="77777777" w:rsidR="00C1575D" w:rsidRPr="00C1575D" w:rsidRDefault="00C1575D" w:rsidP="00C1575D">
      <w:pPr>
        <w:spacing w:before="120" w:after="120" w:line="240" w:lineRule="auto"/>
        <w:ind w:left="720" w:hanging="720"/>
        <w:jc w:val="center"/>
        <w:rPr>
          <w:rFonts w:ascii="Times New Roman" w:hAnsi="Times New Roman"/>
          <w:i/>
          <w:lang w:bidi="ar-SA"/>
        </w:rPr>
      </w:pPr>
      <w:r w:rsidRPr="00C1575D">
        <w:rPr>
          <w:rFonts w:ascii="Times New Roman" w:hAnsi="Times New Roman"/>
          <w:i/>
          <w:lang w:bidi="ar-SA"/>
        </w:rPr>
        <w:t>Note by the Executive Secretary</w:t>
      </w:r>
    </w:p>
    <w:p w14:paraId="669A06CD" w14:textId="77777777" w:rsidR="00C1575D" w:rsidRPr="00C1575D" w:rsidRDefault="00C1575D" w:rsidP="00CA0F09">
      <w:pPr>
        <w:keepNext/>
        <w:numPr>
          <w:ilvl w:val="0"/>
          <w:numId w:val="45"/>
        </w:numPr>
        <w:tabs>
          <w:tab w:val="left" w:pos="720"/>
        </w:tabs>
        <w:spacing w:before="240" w:after="120" w:line="240" w:lineRule="auto"/>
        <w:jc w:val="center"/>
        <w:outlineLvl w:val="0"/>
        <w:rPr>
          <w:rFonts w:ascii="Times New Roman" w:hAnsi="Times New Roman"/>
          <w:b/>
          <w:caps/>
          <w:lang w:bidi="ar-SA"/>
        </w:rPr>
      </w:pPr>
      <w:r w:rsidRPr="00C1575D">
        <w:rPr>
          <w:rFonts w:ascii="Times New Roman" w:hAnsi="Times New Roman"/>
          <w:b/>
          <w:caps/>
          <w:lang w:bidi="ar-SA"/>
        </w:rPr>
        <w:t>Background</w:t>
      </w:r>
    </w:p>
    <w:p w14:paraId="07E2D89A" w14:textId="4A37E9EA" w:rsidR="00C1575D" w:rsidRDefault="00C1575D" w:rsidP="000F714B">
      <w:pPr>
        <w:tabs>
          <w:tab w:val="left" w:pos="851"/>
        </w:tabs>
        <w:spacing w:before="120" w:after="120" w:line="240" w:lineRule="auto"/>
        <w:jc w:val="both"/>
        <w:rPr>
          <w:rFonts w:ascii="Times New Roman" w:hAnsi="Times New Roman"/>
          <w:bCs/>
          <w:iCs/>
          <w:lang w:val="en-US" w:bidi="ar-SA"/>
        </w:rPr>
      </w:pPr>
      <w:r>
        <w:rPr>
          <w:rFonts w:ascii="Times New Roman" w:hAnsi="Times New Roman" w:cs="Angsana New"/>
          <w:szCs w:val="24"/>
          <w:lang w:bidi="ar-SA"/>
        </w:rPr>
        <w:t>1.</w:t>
      </w:r>
      <w:r>
        <w:rPr>
          <w:rFonts w:ascii="Times New Roman" w:hAnsi="Times New Roman" w:cs="Angsana New"/>
          <w:szCs w:val="24"/>
          <w:lang w:bidi="ar-SA"/>
        </w:rPr>
        <w:tab/>
      </w:r>
      <w:r w:rsidRPr="00C1575D">
        <w:rPr>
          <w:rFonts w:ascii="Times New Roman" w:hAnsi="Times New Roman" w:cs="Angsana New"/>
          <w:szCs w:val="24"/>
          <w:lang w:bidi="ar-SA"/>
        </w:rPr>
        <w:t>The Conference of the Parties, at</w:t>
      </w:r>
      <w:r w:rsidR="000F714B">
        <w:rPr>
          <w:rFonts w:ascii="Times New Roman" w:hAnsi="Times New Roman" w:cs="Angsana New"/>
          <w:szCs w:val="24"/>
          <w:lang w:bidi="ar-SA"/>
        </w:rPr>
        <w:t xml:space="preserve"> its eleventh meeting, adopted d</w:t>
      </w:r>
      <w:r w:rsidRPr="00C1575D">
        <w:rPr>
          <w:rFonts w:ascii="Times New Roman" w:hAnsi="Times New Roman" w:cs="Angsana New"/>
          <w:szCs w:val="24"/>
          <w:lang w:bidi="ar-SA"/>
        </w:rPr>
        <w:t xml:space="preserve">ecision XI/4, which requested the Secretariat </w:t>
      </w:r>
      <w:r w:rsidR="000F714B">
        <w:rPr>
          <w:rFonts w:ascii="Times New Roman" w:hAnsi="Times New Roman" w:cs="Angsana New"/>
          <w:szCs w:val="24"/>
          <w:lang w:bidi="ar-SA"/>
        </w:rPr>
        <w:t xml:space="preserve">of the Convention on Biological Diversity </w:t>
      </w:r>
      <w:r w:rsidRPr="00C1575D">
        <w:rPr>
          <w:rFonts w:ascii="Times New Roman" w:hAnsi="Times New Roman" w:cs="Angsana New"/>
          <w:szCs w:val="24"/>
          <w:lang w:bidi="ar-SA"/>
        </w:rPr>
        <w:t xml:space="preserve">to further develop the discussion paper ‘Safeguards in scaling-up biodiversity financing and possible guiding </w:t>
      </w:r>
      <w:r w:rsidRPr="00C1575D">
        <w:rPr>
          <w:rFonts w:ascii="Times New Roman" w:hAnsi="Times New Roman" w:cs="Angsana New"/>
          <w:szCs w:val="24"/>
          <w:lang w:eastAsia="hu-HU" w:bidi="ar-SA"/>
        </w:rPr>
        <w:t>principles’</w:t>
      </w:r>
      <w:r w:rsidRPr="00C1575D">
        <w:rPr>
          <w:rFonts w:ascii="Times New Roman" w:hAnsi="Times New Roman" w:cs="Angsana New"/>
          <w:szCs w:val="24"/>
          <w:lang w:bidi="ar-SA"/>
        </w:rPr>
        <w:t xml:space="preserve"> (UNEP/CBD/COP/11/INF/7), with comments and inputs from Parties and relevant stakeholders; and requested </w:t>
      </w:r>
      <w:r w:rsidR="000F714B">
        <w:rPr>
          <w:rFonts w:ascii="Times New Roman" w:hAnsi="Times New Roman" w:cs="Angsana New"/>
          <w:szCs w:val="24"/>
          <w:lang w:bidi="ar-SA"/>
        </w:rPr>
        <w:t>the Working Group on Review of Implementation of the Convention, at its fifth meeting,</w:t>
      </w:r>
      <w:r w:rsidRPr="00C1575D">
        <w:rPr>
          <w:rFonts w:ascii="Times New Roman" w:hAnsi="Times New Roman" w:cs="Angsana New"/>
          <w:szCs w:val="24"/>
          <w:lang w:bidi="ar-SA"/>
        </w:rPr>
        <w:t xml:space="preserve"> to prepare a recommendation for consideration by </w:t>
      </w:r>
      <w:r w:rsidR="000F714B">
        <w:rPr>
          <w:rFonts w:ascii="Times New Roman" w:hAnsi="Times New Roman" w:cs="Angsana New"/>
          <w:szCs w:val="24"/>
          <w:lang w:bidi="ar-SA"/>
        </w:rPr>
        <w:t>the Conference of the Parties at</w:t>
      </w:r>
      <w:r w:rsidRPr="00C1575D">
        <w:rPr>
          <w:rFonts w:ascii="Times New Roman" w:hAnsi="Times New Roman" w:cs="Angsana New"/>
          <w:szCs w:val="24"/>
          <w:lang w:bidi="ar-SA"/>
        </w:rPr>
        <w:t xml:space="preserve"> its twelfth meeting. At </w:t>
      </w:r>
      <w:r w:rsidR="000F714B">
        <w:rPr>
          <w:rFonts w:ascii="Times New Roman" w:hAnsi="Times New Roman" w:cs="Angsana New"/>
          <w:szCs w:val="24"/>
          <w:lang w:bidi="ar-SA"/>
        </w:rPr>
        <w:t>its</w:t>
      </w:r>
      <w:r w:rsidRPr="00C1575D">
        <w:rPr>
          <w:rFonts w:ascii="Times New Roman" w:hAnsi="Times New Roman" w:cs="Angsana New"/>
          <w:szCs w:val="24"/>
          <w:lang w:bidi="ar-SA"/>
        </w:rPr>
        <w:t xml:space="preserve"> twelfth meeting</w:t>
      </w:r>
      <w:r w:rsidR="000F714B">
        <w:rPr>
          <w:rFonts w:ascii="Times New Roman" w:hAnsi="Times New Roman" w:cs="Angsana New"/>
          <w:szCs w:val="24"/>
          <w:lang w:bidi="ar-SA"/>
        </w:rPr>
        <w:t>,</w:t>
      </w:r>
      <w:r w:rsidRPr="00C1575D">
        <w:rPr>
          <w:rFonts w:ascii="Times New Roman" w:hAnsi="Times New Roman" w:cs="Angsana New"/>
          <w:szCs w:val="24"/>
          <w:lang w:bidi="ar-SA"/>
        </w:rPr>
        <w:t xml:space="preserve"> the Conference of the Parties adopted voluntar</w:t>
      </w:r>
      <w:r w:rsidR="000F714B">
        <w:rPr>
          <w:rFonts w:ascii="Times New Roman" w:hAnsi="Times New Roman" w:cs="Angsana New"/>
          <w:szCs w:val="24"/>
          <w:lang w:bidi="ar-SA"/>
        </w:rPr>
        <w:t>y guidelines for safeguards in b</w:t>
      </w:r>
      <w:r w:rsidRPr="00C1575D">
        <w:rPr>
          <w:rFonts w:ascii="Times New Roman" w:hAnsi="Times New Roman" w:cs="Angsana New"/>
          <w:szCs w:val="24"/>
          <w:lang w:bidi="ar-SA"/>
        </w:rPr>
        <w:t>iodivers</w:t>
      </w:r>
      <w:r w:rsidR="000F714B">
        <w:rPr>
          <w:rFonts w:ascii="Times New Roman" w:hAnsi="Times New Roman" w:cs="Angsana New"/>
          <w:szCs w:val="24"/>
          <w:lang w:bidi="ar-SA"/>
        </w:rPr>
        <w:t>ity financing mechanisms (decision XII/3 on r</w:t>
      </w:r>
      <w:r w:rsidRPr="00C1575D">
        <w:rPr>
          <w:rFonts w:ascii="Times New Roman" w:hAnsi="Times New Roman" w:cs="Angsana New"/>
          <w:szCs w:val="24"/>
          <w:lang w:bidi="ar-SA"/>
        </w:rPr>
        <w:t>esour</w:t>
      </w:r>
      <w:r w:rsidR="000F714B">
        <w:rPr>
          <w:rFonts w:ascii="Times New Roman" w:hAnsi="Times New Roman" w:cs="Angsana New"/>
          <w:szCs w:val="24"/>
          <w:lang w:bidi="ar-SA"/>
        </w:rPr>
        <w:t>ce mobilization)</w:t>
      </w:r>
      <w:r w:rsidRPr="00C1575D">
        <w:rPr>
          <w:rFonts w:ascii="Times New Roman" w:hAnsi="Times New Roman" w:cs="Angsana New"/>
          <w:szCs w:val="24"/>
          <w:lang w:bidi="ar-SA"/>
        </w:rPr>
        <w:t xml:space="preserve">. </w:t>
      </w:r>
      <w:r w:rsidRPr="00C1575D">
        <w:rPr>
          <w:rFonts w:ascii="Times New Roman" w:hAnsi="Times New Roman" w:cs="Angsana New"/>
          <w:lang w:bidi="ar-SA"/>
        </w:rPr>
        <w:t>The Conference of the Parties, at its thirteenth meeting, requested that the Executive Secretary compile and analyse information, including good practices or lessons learned on how Parties, other Governments, international organizations, business organizations and other stakeholders take voluntary guidelines on safeguards in biodiversity financing mechanisms i</w:t>
      </w:r>
      <w:bookmarkStart w:id="0" w:name="_GoBack"/>
      <w:bookmarkEnd w:id="0"/>
      <w:r w:rsidRPr="00C1575D">
        <w:rPr>
          <w:rFonts w:ascii="Times New Roman" w:hAnsi="Times New Roman" w:cs="Angsana New"/>
          <w:lang w:bidi="ar-SA"/>
        </w:rPr>
        <w:t>nto account when selecting, designing and implementing biodiversity financing mechanisms, and when developing instrument-specific safeguards for them.</w:t>
      </w:r>
    </w:p>
    <w:p w14:paraId="2C37E605" w14:textId="539BED23" w:rsidR="00C1575D" w:rsidRDefault="00C1575D" w:rsidP="000F714B">
      <w:pPr>
        <w:tabs>
          <w:tab w:val="left" w:pos="851"/>
        </w:tabs>
        <w:spacing w:before="120" w:after="120" w:line="240" w:lineRule="auto"/>
        <w:jc w:val="both"/>
        <w:rPr>
          <w:rFonts w:ascii="Times New Roman" w:hAnsi="Times New Roman"/>
          <w:bCs/>
          <w:iCs/>
          <w:lang w:val="en-US" w:bidi="ar-SA"/>
        </w:rPr>
      </w:pPr>
      <w:r>
        <w:rPr>
          <w:rFonts w:ascii="Times New Roman" w:hAnsi="Times New Roman"/>
          <w:bCs/>
          <w:iCs/>
          <w:lang w:val="en-US" w:bidi="ar-SA"/>
        </w:rPr>
        <w:t>2.</w:t>
      </w:r>
      <w:r>
        <w:rPr>
          <w:rFonts w:ascii="Times New Roman" w:hAnsi="Times New Roman"/>
          <w:bCs/>
          <w:iCs/>
          <w:lang w:val="en-US" w:bidi="ar-SA"/>
        </w:rPr>
        <w:tab/>
      </w:r>
      <w:r w:rsidRPr="00C1575D">
        <w:rPr>
          <w:rFonts w:ascii="Times New Roman" w:hAnsi="Times New Roman" w:cs="Angsana New"/>
          <w:szCs w:val="24"/>
          <w:lang w:bidi="ar-SA"/>
        </w:rPr>
        <w:t>Th</w:t>
      </w:r>
      <w:r w:rsidR="000F714B">
        <w:rPr>
          <w:rFonts w:ascii="Times New Roman" w:hAnsi="Times New Roman" w:cs="Angsana New"/>
          <w:szCs w:val="24"/>
          <w:lang w:bidi="ar-SA"/>
        </w:rPr>
        <w:t>e policy paper contained in the present</w:t>
      </w:r>
      <w:r w:rsidRPr="00C1575D">
        <w:rPr>
          <w:rFonts w:ascii="Times New Roman" w:hAnsi="Times New Roman" w:cs="Angsana New"/>
          <w:szCs w:val="24"/>
          <w:lang w:bidi="ar-SA"/>
        </w:rPr>
        <w:t xml:space="preserve"> information document fulfils this request from the Parties. The policy paper aims to contribute to fostering an informed and interactive dialogue with Parties and other groups on the co-development of a post-202</w:t>
      </w:r>
      <w:r w:rsidR="000F714B">
        <w:rPr>
          <w:rFonts w:ascii="Times New Roman" w:hAnsi="Times New Roman" w:cs="Angsana New"/>
          <w:szCs w:val="24"/>
          <w:lang w:bidi="ar-SA"/>
        </w:rPr>
        <w:t>0 strategy for the operationaliz</w:t>
      </w:r>
      <w:r w:rsidRPr="00C1575D">
        <w:rPr>
          <w:rFonts w:ascii="Times New Roman" w:hAnsi="Times New Roman" w:cs="Angsana New"/>
          <w:szCs w:val="24"/>
          <w:lang w:bidi="ar-SA"/>
        </w:rPr>
        <w:t xml:space="preserve">ation of biodiversity and social safeguards in resource mobilization. It also aims to contribute to current discussions on the development of a post-2020 specific safeguards framework on indigenous peoples and local communities, as part of the integrated programme of work on Article 8(j). </w:t>
      </w:r>
    </w:p>
    <w:p w14:paraId="3B7AE29E" w14:textId="660629CF" w:rsidR="00C1575D" w:rsidRPr="00C1575D" w:rsidRDefault="00C1575D" w:rsidP="000F714B">
      <w:pPr>
        <w:tabs>
          <w:tab w:val="left" w:pos="851"/>
        </w:tabs>
        <w:spacing w:before="120" w:after="120" w:line="240" w:lineRule="auto"/>
        <w:jc w:val="both"/>
        <w:rPr>
          <w:rFonts w:ascii="Times New Roman" w:hAnsi="Times New Roman"/>
          <w:bCs/>
          <w:iCs/>
          <w:lang w:val="en-US" w:bidi="ar-SA"/>
        </w:rPr>
      </w:pPr>
      <w:r>
        <w:rPr>
          <w:rFonts w:ascii="Times New Roman" w:hAnsi="Times New Roman"/>
          <w:bCs/>
          <w:iCs/>
          <w:lang w:val="en-US" w:bidi="ar-SA"/>
        </w:rPr>
        <w:t>3.</w:t>
      </w:r>
      <w:r>
        <w:rPr>
          <w:rFonts w:ascii="Times New Roman" w:hAnsi="Times New Roman"/>
          <w:bCs/>
          <w:iCs/>
          <w:lang w:val="en-US" w:bidi="ar-SA"/>
        </w:rPr>
        <w:tab/>
      </w:r>
      <w:r w:rsidRPr="00C1575D">
        <w:rPr>
          <w:rFonts w:ascii="Times New Roman" w:hAnsi="Times New Roman"/>
          <w:bCs/>
          <w:iCs/>
          <w:lang w:val="en-US" w:bidi="ar-SA"/>
        </w:rPr>
        <w:t xml:space="preserve">The policy paper is reproduced in the language and style of submission. It includes a call for further review and comments </w:t>
      </w:r>
      <w:proofErr w:type="gramStart"/>
      <w:r w:rsidRPr="00C1575D">
        <w:rPr>
          <w:rFonts w:ascii="Times New Roman" w:hAnsi="Times New Roman"/>
          <w:bCs/>
          <w:iCs/>
          <w:lang w:val="en-US" w:bidi="ar-SA"/>
        </w:rPr>
        <w:t>in order to</w:t>
      </w:r>
      <w:proofErr w:type="gramEnd"/>
      <w:r w:rsidRPr="00C1575D">
        <w:rPr>
          <w:rFonts w:ascii="Times New Roman" w:hAnsi="Times New Roman"/>
          <w:bCs/>
          <w:iCs/>
          <w:lang w:val="en-US" w:bidi="ar-SA"/>
        </w:rPr>
        <w:t xml:space="preserve"> be peer reviewed in 2019.</w:t>
      </w:r>
    </w:p>
    <w:p w14:paraId="7E0DC5FA" w14:textId="730770DD" w:rsidR="00C1575D" w:rsidRPr="00C1575D" w:rsidRDefault="00C1575D" w:rsidP="00C1575D">
      <w:pPr>
        <w:spacing w:after="0" w:line="240" w:lineRule="auto"/>
        <w:rPr>
          <w:rFonts w:ascii="Times New Roman" w:hAnsi="Times New Roman"/>
          <w:color w:val="2E2E2E"/>
          <w:lang w:bidi="ar-SA"/>
        </w:rPr>
      </w:pPr>
      <w:r w:rsidRPr="00C1575D">
        <w:rPr>
          <w:rFonts w:ascii="Times New Roman" w:hAnsi="Times New Roman"/>
          <w:color w:val="2E2E2E"/>
          <w:lang w:bidi="ar-SA"/>
        </w:rPr>
        <w:br w:type="page"/>
      </w:r>
    </w:p>
    <w:p w14:paraId="3D19F59C" w14:textId="2840450D" w:rsidR="00C1575D" w:rsidRDefault="00C1575D">
      <w:pPr>
        <w:spacing w:after="0" w:line="240" w:lineRule="auto"/>
        <w:rPr>
          <w:rFonts w:ascii="Times New Roman" w:hAnsi="Times New Roman"/>
          <w:b/>
          <w:sz w:val="24"/>
          <w:szCs w:val="24"/>
          <w:lang w:eastAsia="sv-SE" w:bidi="ar-SA"/>
        </w:rPr>
      </w:pPr>
    </w:p>
    <w:p w14:paraId="14324287" w14:textId="65886866" w:rsidR="00810C20" w:rsidRPr="00633A71" w:rsidRDefault="00810C20" w:rsidP="00810C20">
      <w:pPr>
        <w:pStyle w:val="CommentText"/>
        <w:rPr>
          <w:rFonts w:ascii="Times New Roman" w:hAnsi="Times New Roman"/>
          <w:sz w:val="24"/>
          <w:szCs w:val="24"/>
          <w:lang w:val="en-GB"/>
        </w:rPr>
      </w:pPr>
      <w:bookmarkStart w:id="1" w:name="_Hlk529358612"/>
      <w:r w:rsidRPr="00633A71">
        <w:rPr>
          <w:rFonts w:ascii="Times New Roman" w:hAnsi="Times New Roman"/>
          <w:b/>
          <w:sz w:val="24"/>
          <w:szCs w:val="24"/>
          <w:lang w:val="en-GB"/>
        </w:rPr>
        <w:t>Title:</w:t>
      </w:r>
      <w:r w:rsidRPr="00633A71">
        <w:rPr>
          <w:rFonts w:ascii="Times New Roman" w:hAnsi="Times New Roman"/>
          <w:sz w:val="24"/>
          <w:szCs w:val="24"/>
          <w:lang w:val="en-GB"/>
        </w:rPr>
        <w:t xml:space="preserve"> </w:t>
      </w:r>
      <w:r w:rsidR="00A262C9" w:rsidRPr="00633A71">
        <w:rPr>
          <w:rFonts w:ascii="Times New Roman" w:hAnsi="Times New Roman"/>
          <w:sz w:val="24"/>
          <w:szCs w:val="24"/>
          <w:lang w:val="en-GB"/>
        </w:rPr>
        <w:t xml:space="preserve">CBD voluntary guidelines for </w:t>
      </w:r>
      <w:r w:rsidRPr="00633A71">
        <w:rPr>
          <w:rFonts w:ascii="Times New Roman" w:hAnsi="Times New Roman"/>
          <w:sz w:val="24"/>
          <w:szCs w:val="24"/>
          <w:lang w:val="en-GB"/>
        </w:rPr>
        <w:t xml:space="preserve">safeguards: </w:t>
      </w:r>
      <w:r w:rsidR="00A262C9" w:rsidRPr="00633A71">
        <w:rPr>
          <w:rFonts w:ascii="Times New Roman" w:hAnsi="Times New Roman"/>
          <w:sz w:val="24"/>
          <w:szCs w:val="24"/>
          <w:lang w:val="en-GB"/>
        </w:rPr>
        <w:t>implementation pathways</w:t>
      </w:r>
    </w:p>
    <w:p w14:paraId="46066328" w14:textId="77777777" w:rsidR="00810C20" w:rsidRPr="00632DBC" w:rsidRDefault="00810C20" w:rsidP="00810C20">
      <w:pPr>
        <w:spacing w:after="0" w:line="240" w:lineRule="auto"/>
        <w:jc w:val="both"/>
        <w:rPr>
          <w:rFonts w:ascii="Times New Roman" w:hAnsi="Times New Roman"/>
          <w:sz w:val="24"/>
          <w:szCs w:val="24"/>
          <w:lang w:eastAsia="sv-SE"/>
        </w:rPr>
      </w:pPr>
    </w:p>
    <w:p w14:paraId="7E16D6C9" w14:textId="77777777" w:rsidR="00810C20" w:rsidRPr="00633A71" w:rsidRDefault="00810C20" w:rsidP="00810C20">
      <w:pPr>
        <w:autoSpaceDE w:val="0"/>
        <w:autoSpaceDN w:val="0"/>
        <w:adjustRightInd w:val="0"/>
        <w:spacing w:after="0" w:line="240" w:lineRule="auto"/>
        <w:rPr>
          <w:rFonts w:ascii="Times New Roman" w:hAnsi="Times New Roman"/>
          <w:b/>
          <w:sz w:val="24"/>
          <w:szCs w:val="24"/>
          <w:lang w:eastAsia="sv-SE" w:bidi="ar-SA"/>
        </w:rPr>
      </w:pPr>
      <w:r w:rsidRPr="00633A71">
        <w:rPr>
          <w:rFonts w:ascii="Times New Roman" w:hAnsi="Times New Roman"/>
          <w:b/>
          <w:sz w:val="24"/>
          <w:szCs w:val="24"/>
          <w:lang w:eastAsia="sv-SE" w:bidi="ar-SA"/>
        </w:rPr>
        <w:t>Citation:</w:t>
      </w:r>
    </w:p>
    <w:p w14:paraId="4D3AD461" w14:textId="77777777" w:rsidR="00810C20" w:rsidRPr="00633A71" w:rsidRDefault="00810C20" w:rsidP="00810C20">
      <w:pPr>
        <w:autoSpaceDE w:val="0"/>
        <w:autoSpaceDN w:val="0"/>
        <w:adjustRightInd w:val="0"/>
        <w:spacing w:after="0" w:line="240" w:lineRule="auto"/>
        <w:rPr>
          <w:rFonts w:ascii="Times New Roman" w:hAnsi="Times New Roman"/>
          <w:b/>
          <w:sz w:val="24"/>
          <w:szCs w:val="24"/>
          <w:lang w:eastAsia="sv-SE" w:bidi="ar-SA"/>
        </w:rPr>
      </w:pPr>
    </w:p>
    <w:p w14:paraId="4B81311D" w14:textId="4A56600F" w:rsidR="00517AF1" w:rsidRPr="00F029DA" w:rsidRDefault="00810C20" w:rsidP="00517AF1">
      <w:pPr>
        <w:pStyle w:val="CommentText"/>
        <w:rPr>
          <w:rFonts w:ascii="Times New Roman" w:hAnsi="Times New Roman"/>
          <w:sz w:val="24"/>
          <w:lang w:val="en-GB"/>
        </w:rPr>
      </w:pPr>
      <w:r w:rsidRPr="00632DBC">
        <w:rPr>
          <w:rFonts w:ascii="Times New Roman" w:hAnsi="Times New Roman"/>
          <w:sz w:val="24"/>
          <w:lang w:val="en-GB"/>
        </w:rPr>
        <w:t xml:space="preserve">Ituarte-Lima, C., Schultz, M., Hahn, </w:t>
      </w:r>
      <w:r w:rsidR="006B3323" w:rsidRPr="00632DBC">
        <w:rPr>
          <w:rFonts w:ascii="Times New Roman" w:hAnsi="Times New Roman"/>
          <w:sz w:val="24"/>
          <w:lang w:val="en-GB"/>
        </w:rPr>
        <w:t xml:space="preserve">T., </w:t>
      </w:r>
      <w:r w:rsidRPr="00632DBC">
        <w:rPr>
          <w:rFonts w:ascii="Times New Roman" w:hAnsi="Times New Roman"/>
          <w:sz w:val="24"/>
          <w:lang w:val="en-GB"/>
        </w:rPr>
        <w:t xml:space="preserve">McDermott, C., </w:t>
      </w:r>
      <w:r w:rsidR="0074077F" w:rsidRPr="00632DBC">
        <w:rPr>
          <w:rFonts w:ascii="Times New Roman" w:hAnsi="Times New Roman"/>
          <w:sz w:val="24"/>
          <w:lang w:val="en-GB"/>
        </w:rPr>
        <w:t>Martinez</w:t>
      </w:r>
      <w:r w:rsidR="006B3323" w:rsidRPr="00632DBC">
        <w:rPr>
          <w:rFonts w:ascii="Times New Roman" w:hAnsi="Times New Roman"/>
          <w:sz w:val="24"/>
          <w:lang w:val="en-GB"/>
        </w:rPr>
        <w:t>-Peña</w:t>
      </w:r>
      <w:r w:rsidR="0074077F" w:rsidRPr="00632DBC">
        <w:rPr>
          <w:rFonts w:ascii="Times New Roman" w:hAnsi="Times New Roman"/>
          <w:sz w:val="24"/>
          <w:lang w:val="en-GB"/>
        </w:rPr>
        <w:t xml:space="preserve">, R., </w:t>
      </w:r>
      <w:r w:rsidRPr="00632DBC">
        <w:rPr>
          <w:rFonts w:ascii="Times New Roman" w:hAnsi="Times New Roman"/>
          <w:sz w:val="24"/>
          <w:lang w:val="en-GB"/>
        </w:rPr>
        <w:t xml:space="preserve">and Cornell, S., </w:t>
      </w:r>
      <w:r w:rsidR="008061B0" w:rsidRPr="00632DBC">
        <w:rPr>
          <w:rFonts w:ascii="Times New Roman" w:hAnsi="Times New Roman"/>
          <w:sz w:val="24"/>
          <w:lang w:val="en-GB"/>
        </w:rPr>
        <w:t>2018</w:t>
      </w:r>
      <w:r w:rsidRPr="00632DBC">
        <w:rPr>
          <w:rFonts w:ascii="Times New Roman" w:hAnsi="Times New Roman"/>
          <w:sz w:val="24"/>
          <w:lang w:val="en-GB"/>
        </w:rPr>
        <w:t xml:space="preserve">, </w:t>
      </w:r>
      <w:r w:rsidR="00517AF1" w:rsidRPr="00633A71">
        <w:rPr>
          <w:rFonts w:ascii="Times New Roman" w:hAnsi="Times New Roman"/>
          <w:sz w:val="24"/>
          <w:szCs w:val="24"/>
          <w:lang w:val="en-GB"/>
        </w:rPr>
        <w:t>CBD voluntary guidelines for safeguards: implementation pathways</w:t>
      </w:r>
      <w:r w:rsidR="00002536">
        <w:rPr>
          <w:rFonts w:ascii="Times New Roman" w:hAnsi="Times New Roman"/>
          <w:sz w:val="24"/>
          <w:szCs w:val="24"/>
          <w:lang w:val="en-GB"/>
        </w:rPr>
        <w:t xml:space="preserve">, </w:t>
      </w:r>
      <w:r w:rsidR="00002536" w:rsidRPr="00F029DA">
        <w:rPr>
          <w:rFonts w:ascii="Times New Roman" w:hAnsi="Times New Roman"/>
          <w:sz w:val="24"/>
          <w:lang w:val="en-GB"/>
        </w:rPr>
        <w:t>Information Document for the 14th Conference of the Parties for the Convention on Biological Diversity, Sharm El-Sheikh, Egypt</w:t>
      </w:r>
    </w:p>
    <w:p w14:paraId="403C87AE" w14:textId="77777777" w:rsidR="00810C20" w:rsidRPr="00504B5E" w:rsidRDefault="00810C20" w:rsidP="00810C20">
      <w:pPr>
        <w:autoSpaceDE w:val="0"/>
        <w:autoSpaceDN w:val="0"/>
        <w:adjustRightInd w:val="0"/>
        <w:spacing w:after="0" w:line="240" w:lineRule="auto"/>
        <w:rPr>
          <w:rFonts w:ascii="Times New Roman" w:hAnsi="Times New Roman"/>
          <w:sz w:val="24"/>
          <w:szCs w:val="24"/>
          <w:lang w:eastAsia="sv-SE" w:bidi="ar-SA"/>
        </w:rPr>
      </w:pPr>
    </w:p>
    <w:p w14:paraId="6D2DE3E4" w14:textId="77777777" w:rsidR="00810C20" w:rsidRPr="00A3063C" w:rsidRDefault="00810C20" w:rsidP="00810C20">
      <w:pPr>
        <w:autoSpaceDE w:val="0"/>
        <w:autoSpaceDN w:val="0"/>
        <w:adjustRightInd w:val="0"/>
        <w:spacing w:after="0" w:line="240" w:lineRule="auto"/>
        <w:rPr>
          <w:rFonts w:ascii="Times New Roman" w:hAnsi="Times New Roman"/>
          <w:sz w:val="24"/>
          <w:szCs w:val="24"/>
          <w:lang w:eastAsia="sv-SE" w:bidi="ar-SA"/>
        </w:rPr>
      </w:pPr>
      <w:r w:rsidRPr="00504B5E">
        <w:rPr>
          <w:rFonts w:ascii="Times New Roman" w:hAnsi="Times New Roman"/>
          <w:b/>
          <w:sz w:val="24"/>
          <w:szCs w:val="24"/>
          <w:lang w:eastAsia="sv-SE" w:bidi="ar-SA"/>
        </w:rPr>
        <w:t>Corresponding author:</w:t>
      </w:r>
      <w:r w:rsidRPr="00A3063C">
        <w:rPr>
          <w:rFonts w:ascii="Times New Roman" w:hAnsi="Times New Roman"/>
          <w:sz w:val="24"/>
          <w:szCs w:val="24"/>
          <w:lang w:eastAsia="sv-SE" w:bidi="ar-SA"/>
        </w:rPr>
        <w:t xml:space="preserve"> claudia.ituarte@su.se</w:t>
      </w:r>
    </w:p>
    <w:p w14:paraId="148C9F30" w14:textId="77777777" w:rsidR="00810C20" w:rsidRPr="0038043D" w:rsidRDefault="00810C20" w:rsidP="00810C20">
      <w:pPr>
        <w:autoSpaceDE w:val="0"/>
        <w:autoSpaceDN w:val="0"/>
        <w:adjustRightInd w:val="0"/>
        <w:spacing w:after="0" w:line="240" w:lineRule="auto"/>
        <w:rPr>
          <w:rFonts w:ascii="Times New Roman" w:hAnsi="Times New Roman"/>
          <w:sz w:val="24"/>
          <w:szCs w:val="24"/>
          <w:lang w:eastAsia="sv-SE" w:bidi="ar-SA"/>
        </w:rPr>
      </w:pPr>
    </w:p>
    <w:p w14:paraId="71C3A391" w14:textId="77777777" w:rsidR="00810C20" w:rsidRPr="00632DBC" w:rsidRDefault="00810C20" w:rsidP="00810C20">
      <w:pPr>
        <w:autoSpaceDE w:val="0"/>
        <w:autoSpaceDN w:val="0"/>
        <w:adjustRightInd w:val="0"/>
        <w:spacing w:after="0" w:line="240" w:lineRule="auto"/>
        <w:rPr>
          <w:rFonts w:ascii="Times New Roman" w:hAnsi="Times New Roman"/>
          <w:b/>
          <w:sz w:val="24"/>
          <w:szCs w:val="24"/>
          <w:lang w:eastAsia="sv-SE" w:bidi="ar-SA"/>
        </w:rPr>
      </w:pPr>
    </w:p>
    <w:p w14:paraId="7966D52D" w14:textId="77777777" w:rsidR="00810C20" w:rsidRPr="00632DBC" w:rsidRDefault="00810C20" w:rsidP="00810C20">
      <w:pPr>
        <w:autoSpaceDE w:val="0"/>
        <w:autoSpaceDN w:val="0"/>
        <w:adjustRightInd w:val="0"/>
        <w:spacing w:after="0" w:line="240" w:lineRule="auto"/>
        <w:rPr>
          <w:rFonts w:ascii="Times New Roman" w:hAnsi="Times New Roman"/>
          <w:sz w:val="24"/>
          <w:szCs w:val="24"/>
          <w:lang w:eastAsia="sv-SE" w:bidi="ar-SA"/>
        </w:rPr>
      </w:pPr>
      <w:r w:rsidRPr="00632DBC">
        <w:rPr>
          <w:rFonts w:ascii="Times New Roman" w:hAnsi="Times New Roman"/>
          <w:b/>
          <w:sz w:val="24"/>
          <w:szCs w:val="24"/>
          <w:lang w:eastAsia="sv-SE" w:bidi="ar-SA"/>
        </w:rPr>
        <w:t>Note about the authors</w:t>
      </w:r>
      <w:r w:rsidRPr="00632DBC">
        <w:rPr>
          <w:rFonts w:ascii="Times New Roman" w:hAnsi="Times New Roman"/>
          <w:sz w:val="24"/>
          <w:szCs w:val="24"/>
          <w:lang w:eastAsia="sv-SE" w:bidi="ar-SA"/>
        </w:rPr>
        <w:t xml:space="preserve">: </w:t>
      </w:r>
    </w:p>
    <w:p w14:paraId="08C2277D" w14:textId="26DB3E59" w:rsidR="00810C20" w:rsidRPr="00632DBC" w:rsidRDefault="00AD5B1A" w:rsidP="00810C20">
      <w:pPr>
        <w:spacing w:line="240" w:lineRule="auto"/>
        <w:jc w:val="both"/>
        <w:rPr>
          <w:rFonts w:ascii="Times New Roman" w:hAnsi="Times New Roman"/>
          <w:b/>
          <w:sz w:val="24"/>
          <w:szCs w:val="24"/>
        </w:rPr>
      </w:pPr>
      <w:r w:rsidRPr="00002536">
        <w:rPr>
          <w:rFonts w:ascii="Times New Roman" w:eastAsiaTheme="minorEastAsia" w:hAnsi="Times New Roman"/>
          <w:color w:val="000000"/>
          <w:sz w:val="24"/>
          <w:szCs w:val="24"/>
          <w:lang w:eastAsia="sv-SE" w:bidi="ar-SA"/>
        </w:rPr>
        <w:t xml:space="preserve">Claudia Ituarte-Lima, Thomas Hahn, Sarah Cornell and Rodrigo Martinez-Peña all work at Stockholm Resilience Centre. Maria Schultz works at </w:t>
      </w:r>
      <w:proofErr w:type="spellStart"/>
      <w:r w:rsidRPr="00002536">
        <w:rPr>
          <w:rFonts w:ascii="Times New Roman" w:eastAsiaTheme="minorEastAsia" w:hAnsi="Times New Roman"/>
          <w:color w:val="000000"/>
          <w:sz w:val="24"/>
          <w:szCs w:val="24"/>
          <w:lang w:eastAsia="sv-SE" w:bidi="ar-SA"/>
        </w:rPr>
        <w:t>WeEffect</w:t>
      </w:r>
      <w:proofErr w:type="spellEnd"/>
      <w:r w:rsidRPr="00002536">
        <w:rPr>
          <w:rFonts w:ascii="Times New Roman" w:eastAsiaTheme="minorEastAsia" w:hAnsi="Times New Roman"/>
          <w:color w:val="000000"/>
          <w:sz w:val="24"/>
          <w:szCs w:val="24"/>
          <w:lang w:eastAsia="sv-SE" w:bidi="ar-SA"/>
        </w:rPr>
        <w:t xml:space="preserve"> and Constance McDermott at University of Oxford.</w:t>
      </w:r>
    </w:p>
    <w:p w14:paraId="1B719F49" w14:textId="12386638" w:rsidR="00810C20" w:rsidRPr="0096192A" w:rsidRDefault="00810C20" w:rsidP="00810C20">
      <w:pPr>
        <w:autoSpaceDE w:val="0"/>
        <w:autoSpaceDN w:val="0"/>
        <w:adjustRightInd w:val="0"/>
        <w:spacing w:after="0" w:line="240" w:lineRule="auto"/>
        <w:rPr>
          <w:rFonts w:ascii="Times New Roman" w:eastAsiaTheme="minorEastAsia" w:hAnsi="Times New Roman"/>
          <w:color w:val="000000"/>
          <w:sz w:val="24"/>
          <w:szCs w:val="24"/>
          <w:lang w:eastAsia="sv-SE" w:bidi="ar-SA"/>
        </w:rPr>
      </w:pPr>
      <w:r w:rsidRPr="00632DBC">
        <w:rPr>
          <w:rFonts w:ascii="Times New Roman" w:hAnsi="Times New Roman"/>
          <w:b/>
          <w:sz w:val="24"/>
          <w:szCs w:val="24"/>
          <w:lang w:eastAsia="sv-SE" w:bidi="ar-SA"/>
        </w:rPr>
        <w:t>Note to the reader:</w:t>
      </w:r>
      <w:r w:rsidRPr="00632DBC">
        <w:rPr>
          <w:rFonts w:ascii="Times New Roman" w:hAnsi="Times New Roman"/>
          <w:sz w:val="24"/>
          <w:szCs w:val="24"/>
          <w:lang w:eastAsia="sv-SE" w:bidi="ar-SA"/>
        </w:rPr>
        <w:t xml:space="preserve"> </w:t>
      </w:r>
      <w:r w:rsidR="00002536" w:rsidRPr="0096192A">
        <w:rPr>
          <w:rFonts w:ascii="Times New Roman" w:eastAsiaTheme="minorEastAsia" w:hAnsi="Times New Roman"/>
          <w:color w:val="000000"/>
          <w:sz w:val="24"/>
          <w:szCs w:val="24"/>
          <w:lang w:eastAsia="sv-SE" w:bidi="ar-SA"/>
        </w:rPr>
        <w:t xml:space="preserve">This discussion paper is a revised and expanded version of discussion papers on biodiversity financing and safeguards UNEP/CBD/COP/11/INF/7 and UNEP/CBD/WGRI/5/INF/7. A final technical publication will be finalized in 2019 following CBD-COP 14th, </w:t>
      </w:r>
      <w:proofErr w:type="gramStart"/>
      <w:r w:rsidR="00002536" w:rsidRPr="0096192A">
        <w:rPr>
          <w:rFonts w:ascii="Times New Roman" w:eastAsiaTheme="minorEastAsia" w:hAnsi="Times New Roman"/>
          <w:color w:val="000000"/>
          <w:sz w:val="24"/>
          <w:szCs w:val="24"/>
          <w:lang w:eastAsia="sv-SE" w:bidi="ar-SA"/>
        </w:rPr>
        <w:t>taking into account</w:t>
      </w:r>
      <w:proofErr w:type="gramEnd"/>
      <w:r w:rsidR="00002536" w:rsidRPr="0096192A">
        <w:rPr>
          <w:rFonts w:ascii="Times New Roman" w:eastAsiaTheme="minorEastAsia" w:hAnsi="Times New Roman"/>
          <w:color w:val="000000"/>
          <w:sz w:val="24"/>
          <w:szCs w:val="24"/>
          <w:lang w:eastAsia="sv-SE" w:bidi="ar-SA"/>
        </w:rPr>
        <w:t>, comments by Parties and others, as well as review by experts.</w:t>
      </w:r>
    </w:p>
    <w:p w14:paraId="70F861D3" w14:textId="77777777" w:rsidR="00810C20" w:rsidRDefault="00810C20" w:rsidP="00810C20">
      <w:pPr>
        <w:autoSpaceDE w:val="0"/>
        <w:autoSpaceDN w:val="0"/>
        <w:adjustRightInd w:val="0"/>
        <w:spacing w:after="0" w:line="240" w:lineRule="auto"/>
        <w:rPr>
          <w:rFonts w:ascii="Times New Roman" w:hAnsi="Times New Roman"/>
          <w:sz w:val="24"/>
          <w:szCs w:val="24"/>
          <w:lang w:eastAsia="sv-SE" w:bidi="ar-SA"/>
        </w:rPr>
      </w:pPr>
    </w:p>
    <w:p w14:paraId="22C4D423" w14:textId="77777777" w:rsidR="00F00F0E" w:rsidRPr="00633A71" w:rsidRDefault="00F00F0E" w:rsidP="00810C20">
      <w:pPr>
        <w:autoSpaceDE w:val="0"/>
        <w:autoSpaceDN w:val="0"/>
        <w:adjustRightInd w:val="0"/>
        <w:spacing w:after="0" w:line="240" w:lineRule="auto"/>
        <w:rPr>
          <w:rFonts w:ascii="Times New Roman" w:hAnsi="Times New Roman"/>
          <w:sz w:val="24"/>
          <w:szCs w:val="24"/>
          <w:lang w:eastAsia="sv-SE" w:bidi="ar-SA"/>
        </w:rPr>
      </w:pPr>
    </w:p>
    <w:p w14:paraId="03CDBF3C" w14:textId="2CFEC17E" w:rsidR="00810C20" w:rsidRPr="00A3063C" w:rsidRDefault="00810C20" w:rsidP="00810C20">
      <w:pPr>
        <w:spacing w:line="240" w:lineRule="auto"/>
        <w:jc w:val="both"/>
        <w:rPr>
          <w:rFonts w:ascii="Times New Roman" w:hAnsi="Times New Roman"/>
          <w:sz w:val="24"/>
          <w:szCs w:val="24"/>
        </w:rPr>
      </w:pPr>
      <w:r w:rsidRPr="00504B5E">
        <w:rPr>
          <w:rFonts w:ascii="Times New Roman" w:hAnsi="Times New Roman"/>
          <w:b/>
          <w:sz w:val="24"/>
          <w:szCs w:val="24"/>
        </w:rPr>
        <w:t>Funding:</w:t>
      </w:r>
      <w:r w:rsidR="004B4F59" w:rsidRPr="00504B5E">
        <w:rPr>
          <w:rFonts w:ascii="Times New Roman" w:hAnsi="Times New Roman"/>
          <w:sz w:val="24"/>
          <w:szCs w:val="24"/>
        </w:rPr>
        <w:t xml:space="preserve"> </w:t>
      </w:r>
    </w:p>
    <w:p w14:paraId="072E23B6" w14:textId="3A1578FA" w:rsidR="00810C20" w:rsidRPr="00632DBC" w:rsidRDefault="00810C20" w:rsidP="00810C20">
      <w:pPr>
        <w:autoSpaceDE w:val="0"/>
        <w:autoSpaceDN w:val="0"/>
        <w:adjustRightInd w:val="0"/>
        <w:spacing w:after="0" w:line="240" w:lineRule="auto"/>
        <w:rPr>
          <w:rFonts w:ascii="Times New Roman" w:hAnsi="Times New Roman"/>
          <w:sz w:val="24"/>
          <w:szCs w:val="24"/>
        </w:rPr>
      </w:pPr>
      <w:r w:rsidRPr="0038043D">
        <w:rPr>
          <w:rFonts w:ascii="Times New Roman" w:hAnsi="Times New Roman"/>
          <w:sz w:val="24"/>
          <w:szCs w:val="24"/>
        </w:rPr>
        <w:t>Th</w:t>
      </w:r>
      <w:r w:rsidRPr="00632DBC">
        <w:rPr>
          <w:rFonts w:ascii="Times New Roman" w:hAnsi="Times New Roman"/>
          <w:sz w:val="24"/>
          <w:szCs w:val="24"/>
        </w:rPr>
        <w:t>e main economic support to develop this policy paper was provided by the Swedish International Development Cooperation Agency (</w:t>
      </w:r>
      <w:proofErr w:type="spellStart"/>
      <w:r w:rsidRPr="00632DBC">
        <w:rPr>
          <w:rFonts w:ascii="Times New Roman" w:hAnsi="Times New Roman"/>
          <w:sz w:val="24"/>
          <w:szCs w:val="24"/>
        </w:rPr>
        <w:t>Sida</w:t>
      </w:r>
      <w:proofErr w:type="spellEnd"/>
      <w:r w:rsidRPr="00632DBC">
        <w:rPr>
          <w:rFonts w:ascii="Times New Roman" w:hAnsi="Times New Roman"/>
          <w:sz w:val="24"/>
          <w:szCs w:val="24"/>
        </w:rPr>
        <w:t>) through the Resilience and Development Programme (SwedBio) at Stockholm Resilience Centre, Stockholm University. Research conducted for the project</w:t>
      </w:r>
      <w:r w:rsidR="00FE234F" w:rsidRPr="00632DBC">
        <w:rPr>
          <w:rFonts w:ascii="Times New Roman" w:hAnsi="Times New Roman"/>
          <w:sz w:val="24"/>
          <w:szCs w:val="24"/>
        </w:rPr>
        <w:t>,</w:t>
      </w:r>
      <w:r w:rsidRPr="00632DBC">
        <w:rPr>
          <w:rFonts w:ascii="Times New Roman" w:hAnsi="Times New Roman"/>
          <w:sz w:val="24"/>
          <w:szCs w:val="24"/>
        </w:rPr>
        <w:t xml:space="preserve"> “Effective and Equitable Institutional Arrangements for Financing and Safeguarding Biodiversity</w:t>
      </w:r>
      <w:r w:rsidR="00C41265" w:rsidRPr="00632DBC">
        <w:rPr>
          <w:rFonts w:ascii="Times New Roman" w:hAnsi="Times New Roman"/>
          <w:sz w:val="24"/>
          <w:szCs w:val="24"/>
        </w:rPr>
        <w:t xml:space="preserve"> (254-2013-130)</w:t>
      </w:r>
      <w:r w:rsidRPr="00632DBC">
        <w:rPr>
          <w:rFonts w:ascii="Times New Roman" w:hAnsi="Times New Roman"/>
          <w:sz w:val="24"/>
          <w:szCs w:val="24"/>
        </w:rPr>
        <w:t>” funded by The Swedish Research Council for Environment, Agricultural Sciences and Spatial Planning</w:t>
      </w:r>
      <w:r w:rsidRPr="00632DBC" w:rsidDel="001F021C">
        <w:rPr>
          <w:rFonts w:ascii="Times New Roman" w:hAnsi="Times New Roman"/>
          <w:sz w:val="24"/>
          <w:szCs w:val="24"/>
        </w:rPr>
        <w:t xml:space="preserve"> </w:t>
      </w:r>
      <w:r w:rsidRPr="00632DBC">
        <w:rPr>
          <w:rFonts w:ascii="Times New Roman" w:hAnsi="Times New Roman"/>
          <w:sz w:val="24"/>
          <w:szCs w:val="24"/>
        </w:rPr>
        <w:t>(</w:t>
      </w:r>
      <w:proofErr w:type="spellStart"/>
      <w:r w:rsidRPr="00632DBC">
        <w:rPr>
          <w:rFonts w:ascii="Times New Roman" w:hAnsi="Times New Roman"/>
          <w:sz w:val="24"/>
          <w:szCs w:val="24"/>
        </w:rPr>
        <w:t>Formas</w:t>
      </w:r>
      <w:proofErr w:type="spellEnd"/>
      <w:r w:rsidRPr="00632DBC">
        <w:rPr>
          <w:rFonts w:ascii="Times New Roman" w:hAnsi="Times New Roman"/>
          <w:sz w:val="24"/>
          <w:szCs w:val="24"/>
        </w:rPr>
        <w:t>) also contributed to the development of this p</w:t>
      </w:r>
      <w:r w:rsidR="00BF2C80" w:rsidRPr="00632DBC">
        <w:rPr>
          <w:rFonts w:ascii="Times New Roman" w:hAnsi="Times New Roman"/>
          <w:sz w:val="24"/>
          <w:szCs w:val="24"/>
        </w:rPr>
        <w:t>ublication</w:t>
      </w:r>
      <w:r w:rsidRPr="00632DBC">
        <w:rPr>
          <w:rFonts w:ascii="Times New Roman" w:hAnsi="Times New Roman"/>
          <w:sz w:val="24"/>
          <w:szCs w:val="24"/>
        </w:rPr>
        <w:t>.</w:t>
      </w:r>
    </w:p>
    <w:p w14:paraId="101CB877" w14:textId="77777777" w:rsidR="00810C20" w:rsidRPr="00632DBC" w:rsidRDefault="00810C20" w:rsidP="00810C20">
      <w:pPr>
        <w:autoSpaceDE w:val="0"/>
        <w:autoSpaceDN w:val="0"/>
        <w:adjustRightInd w:val="0"/>
        <w:spacing w:after="0" w:line="240" w:lineRule="auto"/>
        <w:rPr>
          <w:rFonts w:ascii="Times New Roman" w:hAnsi="Times New Roman"/>
          <w:b/>
          <w:sz w:val="24"/>
          <w:szCs w:val="24"/>
          <w:lang w:eastAsia="sv-SE" w:bidi="ar-SA"/>
        </w:rPr>
      </w:pPr>
    </w:p>
    <w:p w14:paraId="38DD5B50" w14:textId="77777777" w:rsidR="00810C20" w:rsidRPr="00632DBC" w:rsidRDefault="00810C20" w:rsidP="00810C20">
      <w:pPr>
        <w:autoSpaceDE w:val="0"/>
        <w:autoSpaceDN w:val="0"/>
        <w:adjustRightInd w:val="0"/>
        <w:spacing w:after="0" w:line="240" w:lineRule="auto"/>
        <w:rPr>
          <w:rFonts w:ascii="Times New Roman" w:hAnsi="Times New Roman"/>
          <w:sz w:val="24"/>
          <w:szCs w:val="24"/>
          <w:lang w:eastAsia="sv-SE" w:bidi="ar-SA"/>
        </w:rPr>
      </w:pPr>
    </w:p>
    <w:p w14:paraId="51DE9C59" w14:textId="59FF08ED" w:rsidR="00F00F0E" w:rsidRPr="00C83743" w:rsidRDefault="00810C20" w:rsidP="00F00F0E">
      <w:pPr>
        <w:autoSpaceDE w:val="0"/>
        <w:autoSpaceDN w:val="0"/>
        <w:adjustRightInd w:val="0"/>
        <w:spacing w:after="0" w:line="240" w:lineRule="auto"/>
        <w:rPr>
          <w:rFonts w:ascii="Times New Roman" w:hAnsi="Times New Roman"/>
          <w:sz w:val="24"/>
          <w:szCs w:val="24"/>
        </w:rPr>
      </w:pPr>
      <w:r w:rsidRPr="00C83743">
        <w:rPr>
          <w:rFonts w:ascii="Times New Roman" w:hAnsi="Times New Roman"/>
          <w:b/>
          <w:sz w:val="24"/>
          <w:szCs w:val="24"/>
        </w:rPr>
        <w:t>For electronic version</w:t>
      </w:r>
      <w:r w:rsidRPr="00C83743">
        <w:rPr>
          <w:rFonts w:ascii="Times New Roman" w:hAnsi="Times New Roman"/>
          <w:sz w:val="24"/>
          <w:szCs w:val="24"/>
        </w:rPr>
        <w:t>, see:</w:t>
      </w:r>
      <w:r w:rsidRPr="00632DBC">
        <w:rPr>
          <w:rFonts w:ascii="Times New Roman" w:hAnsi="Times New Roman"/>
          <w:sz w:val="24"/>
          <w:szCs w:val="24"/>
        </w:rPr>
        <w:t xml:space="preserve"> </w:t>
      </w:r>
      <w:r w:rsidR="00F00F0E" w:rsidRPr="00C83743">
        <w:rPr>
          <w:rFonts w:ascii="Times New Roman" w:hAnsi="Times New Roman"/>
          <w:sz w:val="24"/>
          <w:szCs w:val="24"/>
        </w:rPr>
        <w:t xml:space="preserve">https://swed.bio/reports/guidelines-safeguards-implementation-pathways/ </w:t>
      </w:r>
    </w:p>
    <w:p w14:paraId="1F04DABD" w14:textId="75AC5E28" w:rsidR="00810C20" w:rsidRPr="00633A71" w:rsidRDefault="00810C20" w:rsidP="00810C20">
      <w:pPr>
        <w:autoSpaceDE w:val="0"/>
        <w:autoSpaceDN w:val="0"/>
        <w:adjustRightInd w:val="0"/>
        <w:spacing w:after="0" w:line="240" w:lineRule="auto"/>
        <w:rPr>
          <w:rFonts w:ascii="Times New Roman" w:hAnsi="Times New Roman"/>
          <w:sz w:val="24"/>
          <w:szCs w:val="24"/>
          <w:lang w:eastAsia="sv-SE" w:bidi="ar-SA"/>
        </w:rPr>
      </w:pPr>
    </w:p>
    <w:p w14:paraId="29C5F88A" w14:textId="77777777" w:rsidR="00810C20" w:rsidRPr="00504B5E" w:rsidRDefault="00810C20" w:rsidP="00810C20">
      <w:pPr>
        <w:autoSpaceDE w:val="0"/>
        <w:autoSpaceDN w:val="0"/>
        <w:adjustRightInd w:val="0"/>
        <w:spacing w:after="0" w:line="240" w:lineRule="auto"/>
        <w:rPr>
          <w:rFonts w:ascii="Times New Roman" w:hAnsi="Times New Roman"/>
          <w:sz w:val="24"/>
          <w:szCs w:val="24"/>
          <w:lang w:eastAsia="sv-SE" w:bidi="ar-SA"/>
        </w:rPr>
      </w:pPr>
    </w:p>
    <w:p w14:paraId="59379668" w14:textId="70A51871" w:rsidR="00E7753B" w:rsidRPr="00632DBC" w:rsidRDefault="00810C20" w:rsidP="00002536">
      <w:pPr>
        <w:autoSpaceDE w:val="0"/>
        <w:autoSpaceDN w:val="0"/>
        <w:adjustRightInd w:val="0"/>
        <w:spacing w:after="0" w:line="240" w:lineRule="auto"/>
        <w:rPr>
          <w:rFonts w:ascii="Times New Roman" w:hAnsi="Times New Roman"/>
          <w:sz w:val="24"/>
          <w:szCs w:val="24"/>
        </w:rPr>
      </w:pPr>
      <w:r w:rsidRPr="00504B5E">
        <w:rPr>
          <w:rFonts w:ascii="Times New Roman" w:hAnsi="Times New Roman"/>
          <w:sz w:val="24"/>
          <w:szCs w:val="24"/>
        </w:rPr>
        <w:t>The views reported in this publication do not necessarily represent those of the Convention on Biological Diversity nor of the donors.</w:t>
      </w:r>
      <w:r w:rsidRPr="0038043D">
        <w:rPr>
          <w:rFonts w:ascii="Times New Roman" w:hAnsi="Times New Roman"/>
          <w:sz w:val="24"/>
          <w:szCs w:val="24"/>
        </w:rPr>
        <w:br w:type="page"/>
      </w:r>
    </w:p>
    <w:sdt>
      <w:sdtPr>
        <w:id w:val="760722203"/>
        <w:docPartObj>
          <w:docPartGallery w:val="Table of Contents"/>
          <w:docPartUnique/>
        </w:docPartObj>
      </w:sdtPr>
      <w:sdtEndPr>
        <w:rPr>
          <w:b/>
          <w:bCs/>
          <w:noProof/>
        </w:rPr>
      </w:sdtEndPr>
      <w:sdtContent>
        <w:p w14:paraId="18A627F7" w14:textId="5A430C31" w:rsidR="005B5E96" w:rsidRPr="00C83743" w:rsidRDefault="005B5E96" w:rsidP="00E7753B">
          <w:pPr>
            <w:spacing w:after="0" w:line="240" w:lineRule="auto"/>
            <w:rPr>
              <w:rFonts w:ascii="Times New Roman" w:hAnsi="Times New Roman"/>
              <w:b/>
              <w:sz w:val="24"/>
              <w:szCs w:val="24"/>
            </w:rPr>
          </w:pPr>
          <w:r w:rsidRPr="00C83743">
            <w:rPr>
              <w:rFonts w:ascii="Times New Roman" w:hAnsi="Times New Roman"/>
              <w:b/>
              <w:sz w:val="24"/>
              <w:szCs w:val="24"/>
            </w:rPr>
            <w:t>Table of Contents</w:t>
          </w:r>
        </w:p>
        <w:p w14:paraId="514F89AF" w14:textId="77777777" w:rsidR="006F6CD6" w:rsidRDefault="005B5E96">
          <w:pPr>
            <w:pStyle w:val="TOC1"/>
            <w:rPr>
              <w:rFonts w:asciiTheme="minorHAnsi" w:eastAsiaTheme="minorEastAsia" w:hAnsiTheme="minorHAnsi" w:cstheme="minorBidi"/>
              <w:b w:val="0"/>
              <w:noProof/>
              <w:sz w:val="22"/>
              <w:szCs w:val="22"/>
              <w:lang w:val="sv-SE" w:eastAsia="sv-SE" w:bidi="ar-SA"/>
            </w:rPr>
          </w:pPr>
          <w:r w:rsidRPr="00002536">
            <w:rPr>
              <w:rFonts w:ascii="Times New Roman" w:hAnsi="Times New Roman"/>
              <w:bCs/>
              <w:noProof/>
            </w:rPr>
            <w:fldChar w:fldCharType="begin"/>
          </w:r>
          <w:r w:rsidRPr="001D4AF7">
            <w:rPr>
              <w:rFonts w:ascii="Times New Roman" w:hAnsi="Times New Roman"/>
              <w:bCs/>
              <w:noProof/>
            </w:rPr>
            <w:instrText xml:space="preserve"> TOC \o "1-4" \h \z \u </w:instrText>
          </w:r>
          <w:r w:rsidRPr="00002536">
            <w:rPr>
              <w:rFonts w:ascii="Times New Roman" w:hAnsi="Times New Roman"/>
              <w:bCs/>
              <w:noProof/>
            </w:rPr>
            <w:fldChar w:fldCharType="separate"/>
          </w:r>
          <w:hyperlink w:anchor="_Toc529199421" w:history="1">
            <w:r w:rsidR="006F6CD6" w:rsidRPr="001048CA">
              <w:rPr>
                <w:rStyle w:val="Hyperlink"/>
                <w:rFonts w:ascii="Times New Roman" w:hAnsi="Times New Roman"/>
                <w:noProof/>
              </w:rPr>
              <w:t>Index of case studies</w:t>
            </w:r>
            <w:r w:rsidR="006F6CD6">
              <w:rPr>
                <w:noProof/>
                <w:webHidden/>
              </w:rPr>
              <w:tab/>
            </w:r>
            <w:r w:rsidR="006F6CD6">
              <w:rPr>
                <w:noProof/>
                <w:webHidden/>
              </w:rPr>
              <w:fldChar w:fldCharType="begin"/>
            </w:r>
            <w:r w:rsidR="006F6CD6">
              <w:rPr>
                <w:noProof/>
                <w:webHidden/>
              </w:rPr>
              <w:instrText xml:space="preserve"> PAGEREF _Toc529199421 \h </w:instrText>
            </w:r>
            <w:r w:rsidR="006F6CD6">
              <w:rPr>
                <w:noProof/>
                <w:webHidden/>
              </w:rPr>
            </w:r>
            <w:r w:rsidR="006F6CD6">
              <w:rPr>
                <w:noProof/>
                <w:webHidden/>
              </w:rPr>
              <w:fldChar w:fldCharType="separate"/>
            </w:r>
            <w:r w:rsidR="006F6CD6">
              <w:rPr>
                <w:noProof/>
                <w:webHidden/>
              </w:rPr>
              <w:t>3</w:t>
            </w:r>
            <w:r w:rsidR="006F6CD6">
              <w:rPr>
                <w:noProof/>
                <w:webHidden/>
              </w:rPr>
              <w:fldChar w:fldCharType="end"/>
            </w:r>
          </w:hyperlink>
        </w:p>
        <w:p w14:paraId="7361CE72" w14:textId="77777777" w:rsidR="006F6CD6" w:rsidRDefault="00132089">
          <w:pPr>
            <w:pStyle w:val="TOC1"/>
            <w:rPr>
              <w:rFonts w:asciiTheme="minorHAnsi" w:eastAsiaTheme="minorEastAsia" w:hAnsiTheme="minorHAnsi" w:cstheme="minorBidi"/>
              <w:b w:val="0"/>
              <w:noProof/>
              <w:sz w:val="22"/>
              <w:szCs w:val="22"/>
              <w:lang w:val="sv-SE" w:eastAsia="sv-SE" w:bidi="ar-SA"/>
            </w:rPr>
          </w:pPr>
          <w:hyperlink w:anchor="_Toc529199422" w:history="1">
            <w:r w:rsidR="006F6CD6" w:rsidRPr="001048CA">
              <w:rPr>
                <w:rStyle w:val="Hyperlink"/>
                <w:rFonts w:ascii="Times New Roman" w:hAnsi="Times New Roman"/>
                <w:noProof/>
              </w:rPr>
              <w:t>Index of tables</w:t>
            </w:r>
            <w:r w:rsidR="006F6CD6">
              <w:rPr>
                <w:noProof/>
                <w:webHidden/>
              </w:rPr>
              <w:tab/>
            </w:r>
            <w:r w:rsidR="006F6CD6">
              <w:rPr>
                <w:noProof/>
                <w:webHidden/>
              </w:rPr>
              <w:fldChar w:fldCharType="begin"/>
            </w:r>
            <w:r w:rsidR="006F6CD6">
              <w:rPr>
                <w:noProof/>
                <w:webHidden/>
              </w:rPr>
              <w:instrText xml:space="preserve"> PAGEREF _Toc529199422 \h </w:instrText>
            </w:r>
            <w:r w:rsidR="006F6CD6">
              <w:rPr>
                <w:noProof/>
                <w:webHidden/>
              </w:rPr>
            </w:r>
            <w:r w:rsidR="006F6CD6">
              <w:rPr>
                <w:noProof/>
                <w:webHidden/>
              </w:rPr>
              <w:fldChar w:fldCharType="separate"/>
            </w:r>
            <w:r w:rsidR="006F6CD6">
              <w:rPr>
                <w:noProof/>
                <w:webHidden/>
              </w:rPr>
              <w:t>4</w:t>
            </w:r>
            <w:r w:rsidR="006F6CD6">
              <w:rPr>
                <w:noProof/>
                <w:webHidden/>
              </w:rPr>
              <w:fldChar w:fldCharType="end"/>
            </w:r>
          </w:hyperlink>
        </w:p>
        <w:p w14:paraId="0A39DD62" w14:textId="77777777" w:rsidR="006F6CD6" w:rsidRDefault="00132089">
          <w:pPr>
            <w:pStyle w:val="TOC1"/>
            <w:rPr>
              <w:rFonts w:asciiTheme="minorHAnsi" w:eastAsiaTheme="minorEastAsia" w:hAnsiTheme="minorHAnsi" w:cstheme="minorBidi"/>
              <w:b w:val="0"/>
              <w:noProof/>
              <w:sz w:val="22"/>
              <w:szCs w:val="22"/>
              <w:lang w:val="sv-SE" w:eastAsia="sv-SE" w:bidi="ar-SA"/>
            </w:rPr>
          </w:pPr>
          <w:hyperlink w:anchor="_Toc529199423" w:history="1">
            <w:r w:rsidR="006F6CD6" w:rsidRPr="001048CA">
              <w:rPr>
                <w:rStyle w:val="Hyperlink"/>
                <w:rFonts w:ascii="Times New Roman" w:hAnsi="Times New Roman"/>
                <w:noProof/>
              </w:rPr>
              <w:t>Executive summary</w:t>
            </w:r>
            <w:r w:rsidR="006F6CD6">
              <w:rPr>
                <w:noProof/>
                <w:webHidden/>
              </w:rPr>
              <w:tab/>
            </w:r>
            <w:r w:rsidR="006F6CD6">
              <w:rPr>
                <w:noProof/>
                <w:webHidden/>
              </w:rPr>
              <w:fldChar w:fldCharType="begin"/>
            </w:r>
            <w:r w:rsidR="006F6CD6">
              <w:rPr>
                <w:noProof/>
                <w:webHidden/>
              </w:rPr>
              <w:instrText xml:space="preserve"> PAGEREF _Toc529199423 \h </w:instrText>
            </w:r>
            <w:r w:rsidR="006F6CD6">
              <w:rPr>
                <w:noProof/>
                <w:webHidden/>
              </w:rPr>
            </w:r>
            <w:r w:rsidR="006F6CD6">
              <w:rPr>
                <w:noProof/>
                <w:webHidden/>
              </w:rPr>
              <w:fldChar w:fldCharType="separate"/>
            </w:r>
            <w:r w:rsidR="006F6CD6">
              <w:rPr>
                <w:noProof/>
                <w:webHidden/>
              </w:rPr>
              <w:t>5</w:t>
            </w:r>
            <w:r w:rsidR="006F6CD6">
              <w:rPr>
                <w:noProof/>
                <w:webHidden/>
              </w:rPr>
              <w:fldChar w:fldCharType="end"/>
            </w:r>
          </w:hyperlink>
        </w:p>
        <w:p w14:paraId="68EEB6B7" w14:textId="77777777" w:rsidR="006F6CD6" w:rsidRDefault="00132089">
          <w:pPr>
            <w:pStyle w:val="TOC1"/>
            <w:rPr>
              <w:rFonts w:asciiTheme="minorHAnsi" w:eastAsiaTheme="minorEastAsia" w:hAnsiTheme="minorHAnsi" w:cstheme="minorBidi"/>
              <w:b w:val="0"/>
              <w:noProof/>
              <w:sz w:val="22"/>
              <w:szCs w:val="22"/>
              <w:lang w:val="sv-SE" w:eastAsia="sv-SE" w:bidi="ar-SA"/>
            </w:rPr>
          </w:pPr>
          <w:hyperlink w:anchor="_Toc529199424" w:history="1">
            <w:r w:rsidR="006F6CD6" w:rsidRPr="001048CA">
              <w:rPr>
                <w:rStyle w:val="Hyperlink"/>
                <w:rFonts w:ascii="Times New Roman" w:hAnsi="Times New Roman"/>
                <w:noProof/>
              </w:rPr>
              <w:t>Acknowledgements</w:t>
            </w:r>
            <w:r w:rsidR="006F6CD6">
              <w:rPr>
                <w:noProof/>
                <w:webHidden/>
              </w:rPr>
              <w:tab/>
            </w:r>
            <w:r w:rsidR="006F6CD6">
              <w:rPr>
                <w:noProof/>
                <w:webHidden/>
              </w:rPr>
              <w:fldChar w:fldCharType="begin"/>
            </w:r>
            <w:r w:rsidR="006F6CD6">
              <w:rPr>
                <w:noProof/>
                <w:webHidden/>
              </w:rPr>
              <w:instrText xml:space="preserve"> PAGEREF _Toc529199424 \h </w:instrText>
            </w:r>
            <w:r w:rsidR="006F6CD6">
              <w:rPr>
                <w:noProof/>
                <w:webHidden/>
              </w:rPr>
            </w:r>
            <w:r w:rsidR="006F6CD6">
              <w:rPr>
                <w:noProof/>
                <w:webHidden/>
              </w:rPr>
              <w:fldChar w:fldCharType="separate"/>
            </w:r>
            <w:r w:rsidR="006F6CD6">
              <w:rPr>
                <w:noProof/>
                <w:webHidden/>
              </w:rPr>
              <w:t>11</w:t>
            </w:r>
            <w:r w:rsidR="006F6CD6">
              <w:rPr>
                <w:noProof/>
                <w:webHidden/>
              </w:rPr>
              <w:fldChar w:fldCharType="end"/>
            </w:r>
          </w:hyperlink>
        </w:p>
        <w:p w14:paraId="28E47A93" w14:textId="77777777" w:rsidR="006F6CD6" w:rsidRDefault="00132089">
          <w:pPr>
            <w:pStyle w:val="TOC1"/>
            <w:rPr>
              <w:rFonts w:asciiTheme="minorHAnsi" w:eastAsiaTheme="minorEastAsia" w:hAnsiTheme="minorHAnsi" w:cstheme="minorBidi"/>
              <w:b w:val="0"/>
              <w:noProof/>
              <w:sz w:val="22"/>
              <w:szCs w:val="22"/>
              <w:lang w:val="sv-SE" w:eastAsia="sv-SE" w:bidi="ar-SA"/>
            </w:rPr>
          </w:pPr>
          <w:hyperlink w:anchor="_Toc529199425" w:history="1">
            <w:r w:rsidR="006F6CD6" w:rsidRPr="001048CA">
              <w:rPr>
                <w:rStyle w:val="Hyperlink"/>
                <w:rFonts w:ascii="Times New Roman" w:hAnsi="Times New Roman"/>
                <w:noProof/>
              </w:rPr>
              <w:t>Acronyms</w:t>
            </w:r>
            <w:r w:rsidR="006F6CD6">
              <w:rPr>
                <w:noProof/>
                <w:webHidden/>
              </w:rPr>
              <w:tab/>
            </w:r>
            <w:r w:rsidR="006F6CD6">
              <w:rPr>
                <w:noProof/>
                <w:webHidden/>
              </w:rPr>
              <w:fldChar w:fldCharType="begin"/>
            </w:r>
            <w:r w:rsidR="006F6CD6">
              <w:rPr>
                <w:noProof/>
                <w:webHidden/>
              </w:rPr>
              <w:instrText xml:space="preserve"> PAGEREF _Toc529199425 \h </w:instrText>
            </w:r>
            <w:r w:rsidR="006F6CD6">
              <w:rPr>
                <w:noProof/>
                <w:webHidden/>
              </w:rPr>
            </w:r>
            <w:r w:rsidR="006F6CD6">
              <w:rPr>
                <w:noProof/>
                <w:webHidden/>
              </w:rPr>
              <w:fldChar w:fldCharType="separate"/>
            </w:r>
            <w:r w:rsidR="006F6CD6">
              <w:rPr>
                <w:noProof/>
                <w:webHidden/>
              </w:rPr>
              <w:t>13</w:t>
            </w:r>
            <w:r w:rsidR="006F6CD6">
              <w:rPr>
                <w:noProof/>
                <w:webHidden/>
              </w:rPr>
              <w:fldChar w:fldCharType="end"/>
            </w:r>
          </w:hyperlink>
        </w:p>
        <w:p w14:paraId="603F290D"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26" w:history="1">
            <w:r w:rsidR="006F6CD6" w:rsidRPr="001048CA">
              <w:rPr>
                <w:rStyle w:val="Hyperlink"/>
                <w:noProof/>
              </w:rPr>
              <w:t>1.</w:t>
            </w:r>
            <w:r w:rsidR="006F6CD6">
              <w:rPr>
                <w:rFonts w:asciiTheme="minorHAnsi" w:eastAsiaTheme="minorEastAsia" w:hAnsiTheme="minorHAnsi" w:cstheme="minorBidi"/>
                <w:b w:val="0"/>
                <w:noProof/>
                <w:lang w:val="sv-SE" w:eastAsia="sv-SE" w:bidi="ar-SA"/>
              </w:rPr>
              <w:tab/>
            </w:r>
            <w:r w:rsidR="006F6CD6" w:rsidRPr="001048CA">
              <w:rPr>
                <w:rStyle w:val="Hyperlink"/>
                <w:noProof/>
              </w:rPr>
              <w:t>Introduction</w:t>
            </w:r>
            <w:r w:rsidR="006F6CD6">
              <w:rPr>
                <w:noProof/>
                <w:webHidden/>
              </w:rPr>
              <w:tab/>
            </w:r>
            <w:r w:rsidR="006F6CD6">
              <w:rPr>
                <w:noProof/>
                <w:webHidden/>
              </w:rPr>
              <w:fldChar w:fldCharType="begin"/>
            </w:r>
            <w:r w:rsidR="006F6CD6">
              <w:rPr>
                <w:noProof/>
                <w:webHidden/>
              </w:rPr>
              <w:instrText xml:space="preserve"> PAGEREF _Toc529199426 \h </w:instrText>
            </w:r>
            <w:r w:rsidR="006F6CD6">
              <w:rPr>
                <w:noProof/>
                <w:webHidden/>
              </w:rPr>
            </w:r>
            <w:r w:rsidR="006F6CD6">
              <w:rPr>
                <w:noProof/>
                <w:webHidden/>
              </w:rPr>
              <w:fldChar w:fldCharType="separate"/>
            </w:r>
            <w:r w:rsidR="006F6CD6">
              <w:rPr>
                <w:noProof/>
                <w:webHidden/>
              </w:rPr>
              <w:t>17</w:t>
            </w:r>
            <w:r w:rsidR="006F6CD6">
              <w:rPr>
                <w:noProof/>
                <w:webHidden/>
              </w:rPr>
              <w:fldChar w:fldCharType="end"/>
            </w:r>
          </w:hyperlink>
        </w:p>
        <w:p w14:paraId="7216B4C8"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27" w:history="1">
            <w:r w:rsidR="006F6CD6" w:rsidRPr="001048CA">
              <w:rPr>
                <w:rStyle w:val="Hyperlink"/>
                <w:noProof/>
              </w:rPr>
              <w:t>2.</w:t>
            </w:r>
            <w:r w:rsidR="006F6CD6">
              <w:rPr>
                <w:rFonts w:asciiTheme="minorHAnsi" w:eastAsiaTheme="minorEastAsia" w:hAnsiTheme="minorHAnsi" w:cstheme="minorBidi"/>
                <w:b w:val="0"/>
                <w:noProof/>
                <w:lang w:val="sv-SE" w:eastAsia="sv-SE" w:bidi="ar-SA"/>
              </w:rPr>
              <w:tab/>
            </w:r>
            <w:r w:rsidR="006F6CD6" w:rsidRPr="001048CA">
              <w:rPr>
                <w:rStyle w:val="Hyperlink"/>
                <w:noProof/>
              </w:rPr>
              <w:t>Valuation of biodiversity</w:t>
            </w:r>
            <w:r w:rsidR="006F6CD6">
              <w:rPr>
                <w:noProof/>
                <w:webHidden/>
              </w:rPr>
              <w:tab/>
            </w:r>
            <w:r w:rsidR="006F6CD6">
              <w:rPr>
                <w:noProof/>
                <w:webHidden/>
              </w:rPr>
              <w:fldChar w:fldCharType="begin"/>
            </w:r>
            <w:r w:rsidR="006F6CD6">
              <w:rPr>
                <w:noProof/>
                <w:webHidden/>
              </w:rPr>
              <w:instrText xml:space="preserve"> PAGEREF _Toc529199427 \h </w:instrText>
            </w:r>
            <w:r w:rsidR="006F6CD6">
              <w:rPr>
                <w:noProof/>
                <w:webHidden/>
              </w:rPr>
            </w:r>
            <w:r w:rsidR="006F6CD6">
              <w:rPr>
                <w:noProof/>
                <w:webHidden/>
              </w:rPr>
              <w:fldChar w:fldCharType="separate"/>
            </w:r>
            <w:r w:rsidR="006F6CD6">
              <w:rPr>
                <w:noProof/>
                <w:webHidden/>
              </w:rPr>
              <w:t>22</w:t>
            </w:r>
            <w:r w:rsidR="006F6CD6">
              <w:rPr>
                <w:noProof/>
                <w:webHidden/>
              </w:rPr>
              <w:fldChar w:fldCharType="end"/>
            </w:r>
          </w:hyperlink>
        </w:p>
        <w:p w14:paraId="6C224D6C"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28" w:history="1">
            <w:r w:rsidR="006F6CD6" w:rsidRPr="001048CA">
              <w:rPr>
                <w:rStyle w:val="Hyperlink"/>
                <w:noProof/>
              </w:rPr>
              <w:t>3.</w:t>
            </w:r>
            <w:r w:rsidR="006F6CD6">
              <w:rPr>
                <w:rFonts w:asciiTheme="minorHAnsi" w:eastAsiaTheme="minorEastAsia" w:hAnsiTheme="minorHAnsi" w:cstheme="minorBidi"/>
                <w:b w:val="0"/>
                <w:noProof/>
                <w:lang w:val="sv-SE" w:eastAsia="sv-SE" w:bidi="ar-SA"/>
              </w:rPr>
              <w:tab/>
            </w:r>
            <w:r w:rsidR="006F6CD6" w:rsidRPr="001048CA">
              <w:rPr>
                <w:rStyle w:val="Hyperlink"/>
                <w:noProof/>
              </w:rPr>
              <w:t>The evolving notion of safeguards</w:t>
            </w:r>
            <w:r w:rsidR="006F6CD6">
              <w:rPr>
                <w:noProof/>
                <w:webHidden/>
              </w:rPr>
              <w:tab/>
            </w:r>
            <w:r w:rsidR="006F6CD6">
              <w:rPr>
                <w:noProof/>
                <w:webHidden/>
              </w:rPr>
              <w:fldChar w:fldCharType="begin"/>
            </w:r>
            <w:r w:rsidR="006F6CD6">
              <w:rPr>
                <w:noProof/>
                <w:webHidden/>
              </w:rPr>
              <w:instrText xml:space="preserve"> PAGEREF _Toc529199428 \h </w:instrText>
            </w:r>
            <w:r w:rsidR="006F6CD6">
              <w:rPr>
                <w:noProof/>
                <w:webHidden/>
              </w:rPr>
            </w:r>
            <w:r w:rsidR="006F6CD6">
              <w:rPr>
                <w:noProof/>
                <w:webHidden/>
              </w:rPr>
              <w:fldChar w:fldCharType="separate"/>
            </w:r>
            <w:r w:rsidR="006F6CD6">
              <w:rPr>
                <w:noProof/>
                <w:webHidden/>
              </w:rPr>
              <w:t>23</w:t>
            </w:r>
            <w:r w:rsidR="006F6CD6">
              <w:rPr>
                <w:noProof/>
                <w:webHidden/>
              </w:rPr>
              <w:fldChar w:fldCharType="end"/>
            </w:r>
          </w:hyperlink>
        </w:p>
        <w:p w14:paraId="7B01104E"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29" w:history="1">
            <w:r w:rsidR="006F6CD6" w:rsidRPr="001048CA">
              <w:rPr>
                <w:rStyle w:val="Hyperlink"/>
                <w:noProof/>
              </w:rPr>
              <w:t>4.</w:t>
            </w:r>
            <w:r w:rsidR="006F6CD6">
              <w:rPr>
                <w:rFonts w:asciiTheme="minorHAnsi" w:eastAsiaTheme="minorEastAsia" w:hAnsiTheme="minorHAnsi" w:cstheme="minorBidi"/>
                <w:b w:val="0"/>
                <w:noProof/>
                <w:lang w:val="sv-SE" w:eastAsia="sv-SE" w:bidi="ar-SA"/>
              </w:rPr>
              <w:tab/>
            </w:r>
            <w:r w:rsidR="006F6CD6" w:rsidRPr="001048CA">
              <w:rPr>
                <w:rStyle w:val="Hyperlink"/>
                <w:noProof/>
              </w:rPr>
              <w:t>Safeguards in legal and policy instruments and standards</w:t>
            </w:r>
            <w:r w:rsidR="006F6CD6">
              <w:rPr>
                <w:noProof/>
                <w:webHidden/>
              </w:rPr>
              <w:tab/>
            </w:r>
            <w:r w:rsidR="006F6CD6">
              <w:rPr>
                <w:noProof/>
                <w:webHidden/>
              </w:rPr>
              <w:fldChar w:fldCharType="begin"/>
            </w:r>
            <w:r w:rsidR="006F6CD6">
              <w:rPr>
                <w:noProof/>
                <w:webHidden/>
              </w:rPr>
              <w:instrText xml:space="preserve"> PAGEREF _Toc529199429 \h </w:instrText>
            </w:r>
            <w:r w:rsidR="006F6CD6">
              <w:rPr>
                <w:noProof/>
                <w:webHidden/>
              </w:rPr>
            </w:r>
            <w:r w:rsidR="006F6CD6">
              <w:rPr>
                <w:noProof/>
                <w:webHidden/>
              </w:rPr>
              <w:fldChar w:fldCharType="separate"/>
            </w:r>
            <w:r w:rsidR="006F6CD6">
              <w:rPr>
                <w:noProof/>
                <w:webHidden/>
              </w:rPr>
              <w:t>25</w:t>
            </w:r>
            <w:r w:rsidR="006F6CD6">
              <w:rPr>
                <w:noProof/>
                <w:webHidden/>
              </w:rPr>
              <w:fldChar w:fldCharType="end"/>
            </w:r>
          </w:hyperlink>
        </w:p>
        <w:p w14:paraId="72DB8C13"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30" w:history="1">
            <w:r w:rsidR="006F6CD6" w:rsidRPr="001048CA">
              <w:rPr>
                <w:rStyle w:val="Hyperlink"/>
                <w:noProof/>
              </w:rPr>
              <w:t>5.</w:t>
            </w:r>
            <w:r w:rsidR="006F6CD6">
              <w:rPr>
                <w:rFonts w:asciiTheme="minorHAnsi" w:eastAsiaTheme="minorEastAsia" w:hAnsiTheme="minorHAnsi" w:cstheme="minorBidi"/>
                <w:b w:val="0"/>
                <w:noProof/>
                <w:lang w:val="sv-SE" w:eastAsia="sv-SE" w:bidi="ar-SA"/>
              </w:rPr>
              <w:tab/>
            </w:r>
            <w:r w:rsidR="006F6CD6" w:rsidRPr="001048CA">
              <w:rPr>
                <w:rStyle w:val="Hyperlink"/>
                <w:noProof/>
              </w:rPr>
              <w:t>Adopted voluntary guidelines for safeguards in BFMs</w:t>
            </w:r>
            <w:r w:rsidR="006F6CD6">
              <w:rPr>
                <w:noProof/>
                <w:webHidden/>
              </w:rPr>
              <w:tab/>
            </w:r>
            <w:r w:rsidR="006F6CD6">
              <w:rPr>
                <w:noProof/>
                <w:webHidden/>
              </w:rPr>
              <w:fldChar w:fldCharType="begin"/>
            </w:r>
            <w:r w:rsidR="006F6CD6">
              <w:rPr>
                <w:noProof/>
                <w:webHidden/>
              </w:rPr>
              <w:instrText xml:space="preserve"> PAGEREF _Toc529199430 \h </w:instrText>
            </w:r>
            <w:r w:rsidR="006F6CD6">
              <w:rPr>
                <w:noProof/>
                <w:webHidden/>
              </w:rPr>
            </w:r>
            <w:r w:rsidR="006F6CD6">
              <w:rPr>
                <w:noProof/>
                <w:webHidden/>
              </w:rPr>
              <w:fldChar w:fldCharType="separate"/>
            </w:r>
            <w:r w:rsidR="006F6CD6">
              <w:rPr>
                <w:noProof/>
                <w:webHidden/>
              </w:rPr>
              <w:t>28</w:t>
            </w:r>
            <w:r w:rsidR="006F6CD6">
              <w:rPr>
                <w:noProof/>
                <w:webHidden/>
              </w:rPr>
              <w:fldChar w:fldCharType="end"/>
            </w:r>
          </w:hyperlink>
        </w:p>
        <w:p w14:paraId="6B99ABF6" w14:textId="77777777" w:rsidR="006F6CD6" w:rsidRDefault="00132089">
          <w:pPr>
            <w:pStyle w:val="TOC3"/>
            <w:rPr>
              <w:rFonts w:asciiTheme="minorHAnsi" w:eastAsiaTheme="minorEastAsia" w:hAnsiTheme="minorHAnsi" w:cstheme="minorBidi"/>
              <w:noProof/>
              <w:lang w:val="sv-SE" w:eastAsia="sv-SE" w:bidi="ar-SA"/>
            </w:rPr>
          </w:pPr>
          <w:hyperlink w:anchor="_Toc529199431" w:history="1">
            <w:r w:rsidR="006F6CD6" w:rsidRPr="001048CA">
              <w:rPr>
                <w:rStyle w:val="Hyperlink"/>
                <w:noProof/>
              </w:rPr>
              <w:t>5.1 Biodiversity underpins local livelihoods and resilience</w:t>
            </w:r>
            <w:r w:rsidR="006F6CD6">
              <w:rPr>
                <w:noProof/>
                <w:webHidden/>
              </w:rPr>
              <w:tab/>
            </w:r>
            <w:r w:rsidR="006F6CD6">
              <w:rPr>
                <w:noProof/>
                <w:webHidden/>
              </w:rPr>
              <w:fldChar w:fldCharType="begin"/>
            </w:r>
            <w:r w:rsidR="006F6CD6">
              <w:rPr>
                <w:noProof/>
                <w:webHidden/>
              </w:rPr>
              <w:instrText xml:space="preserve"> PAGEREF _Toc529199431 \h </w:instrText>
            </w:r>
            <w:r w:rsidR="006F6CD6">
              <w:rPr>
                <w:noProof/>
                <w:webHidden/>
              </w:rPr>
            </w:r>
            <w:r w:rsidR="006F6CD6">
              <w:rPr>
                <w:noProof/>
                <w:webHidden/>
              </w:rPr>
              <w:fldChar w:fldCharType="separate"/>
            </w:r>
            <w:r w:rsidR="006F6CD6">
              <w:rPr>
                <w:noProof/>
                <w:webHidden/>
              </w:rPr>
              <w:t>34</w:t>
            </w:r>
            <w:r w:rsidR="006F6CD6">
              <w:rPr>
                <w:noProof/>
                <w:webHidden/>
              </w:rPr>
              <w:fldChar w:fldCharType="end"/>
            </w:r>
          </w:hyperlink>
        </w:p>
        <w:p w14:paraId="0166EE56" w14:textId="77777777" w:rsidR="006F6CD6" w:rsidRDefault="00132089">
          <w:pPr>
            <w:pStyle w:val="TOC3"/>
            <w:rPr>
              <w:rFonts w:asciiTheme="minorHAnsi" w:eastAsiaTheme="minorEastAsia" w:hAnsiTheme="minorHAnsi" w:cstheme="minorBidi"/>
              <w:noProof/>
              <w:lang w:val="sv-SE" w:eastAsia="sv-SE" w:bidi="ar-SA"/>
            </w:rPr>
          </w:pPr>
          <w:hyperlink w:anchor="_Toc529199432" w:history="1">
            <w:r w:rsidR="006F6CD6" w:rsidRPr="001048CA">
              <w:rPr>
                <w:rStyle w:val="Hyperlink"/>
                <w:noProof/>
              </w:rPr>
              <w:t>5.2 People’s rights, responsibilities and effective participation</w:t>
            </w:r>
            <w:r w:rsidR="006F6CD6">
              <w:rPr>
                <w:noProof/>
                <w:webHidden/>
              </w:rPr>
              <w:tab/>
            </w:r>
            <w:r w:rsidR="006F6CD6">
              <w:rPr>
                <w:noProof/>
                <w:webHidden/>
              </w:rPr>
              <w:fldChar w:fldCharType="begin"/>
            </w:r>
            <w:r w:rsidR="006F6CD6">
              <w:rPr>
                <w:noProof/>
                <w:webHidden/>
              </w:rPr>
              <w:instrText xml:space="preserve"> PAGEREF _Toc529199432 \h </w:instrText>
            </w:r>
            <w:r w:rsidR="006F6CD6">
              <w:rPr>
                <w:noProof/>
                <w:webHidden/>
              </w:rPr>
            </w:r>
            <w:r w:rsidR="006F6CD6">
              <w:rPr>
                <w:noProof/>
                <w:webHidden/>
              </w:rPr>
              <w:fldChar w:fldCharType="separate"/>
            </w:r>
            <w:r w:rsidR="006F6CD6">
              <w:rPr>
                <w:noProof/>
                <w:webHidden/>
              </w:rPr>
              <w:t>36</w:t>
            </w:r>
            <w:r w:rsidR="006F6CD6">
              <w:rPr>
                <w:noProof/>
                <w:webHidden/>
              </w:rPr>
              <w:fldChar w:fldCharType="end"/>
            </w:r>
          </w:hyperlink>
        </w:p>
        <w:p w14:paraId="64D2175B" w14:textId="77777777" w:rsidR="006F6CD6" w:rsidRDefault="00132089">
          <w:pPr>
            <w:pStyle w:val="TOC3"/>
            <w:rPr>
              <w:rFonts w:asciiTheme="minorHAnsi" w:eastAsiaTheme="minorEastAsia" w:hAnsiTheme="minorHAnsi" w:cstheme="minorBidi"/>
              <w:noProof/>
              <w:lang w:val="sv-SE" w:eastAsia="sv-SE" w:bidi="ar-SA"/>
            </w:rPr>
          </w:pPr>
          <w:hyperlink w:anchor="_Toc529199433" w:history="1">
            <w:r w:rsidR="006F6CD6" w:rsidRPr="001048CA">
              <w:rPr>
                <w:rStyle w:val="Hyperlink"/>
                <w:noProof/>
              </w:rPr>
              <w:t>5.3 Local and country-driven/specific processes linked to the international level</w:t>
            </w:r>
            <w:r w:rsidR="006F6CD6">
              <w:rPr>
                <w:noProof/>
                <w:webHidden/>
              </w:rPr>
              <w:tab/>
            </w:r>
            <w:r w:rsidR="006F6CD6">
              <w:rPr>
                <w:noProof/>
                <w:webHidden/>
              </w:rPr>
              <w:fldChar w:fldCharType="begin"/>
            </w:r>
            <w:r w:rsidR="006F6CD6">
              <w:rPr>
                <w:noProof/>
                <w:webHidden/>
              </w:rPr>
              <w:instrText xml:space="preserve"> PAGEREF _Toc529199433 \h </w:instrText>
            </w:r>
            <w:r w:rsidR="006F6CD6">
              <w:rPr>
                <w:noProof/>
                <w:webHidden/>
              </w:rPr>
            </w:r>
            <w:r w:rsidR="006F6CD6">
              <w:rPr>
                <w:noProof/>
                <w:webHidden/>
              </w:rPr>
              <w:fldChar w:fldCharType="separate"/>
            </w:r>
            <w:r w:rsidR="006F6CD6">
              <w:rPr>
                <w:noProof/>
                <w:webHidden/>
              </w:rPr>
              <w:t>39</w:t>
            </w:r>
            <w:r w:rsidR="006F6CD6">
              <w:rPr>
                <w:noProof/>
                <w:webHidden/>
              </w:rPr>
              <w:fldChar w:fldCharType="end"/>
            </w:r>
          </w:hyperlink>
        </w:p>
        <w:p w14:paraId="6AD6EE26" w14:textId="77777777" w:rsidR="006F6CD6" w:rsidRDefault="00132089">
          <w:pPr>
            <w:pStyle w:val="TOC3"/>
            <w:rPr>
              <w:rFonts w:asciiTheme="minorHAnsi" w:eastAsiaTheme="minorEastAsia" w:hAnsiTheme="minorHAnsi" w:cstheme="minorBidi"/>
              <w:noProof/>
              <w:lang w:val="sv-SE" w:eastAsia="sv-SE" w:bidi="ar-SA"/>
            </w:rPr>
          </w:pPr>
          <w:hyperlink w:anchor="_Toc529199434" w:history="1">
            <w:r w:rsidR="006F6CD6" w:rsidRPr="001048CA">
              <w:rPr>
                <w:rStyle w:val="Hyperlink"/>
                <w:noProof/>
              </w:rPr>
              <w:t>5.4 Governance, institutional frameworks, transparency, accountability and compliance</w:t>
            </w:r>
            <w:r w:rsidR="006F6CD6">
              <w:rPr>
                <w:noProof/>
                <w:webHidden/>
              </w:rPr>
              <w:tab/>
            </w:r>
            <w:r w:rsidR="006F6CD6">
              <w:rPr>
                <w:noProof/>
                <w:webHidden/>
              </w:rPr>
              <w:fldChar w:fldCharType="begin"/>
            </w:r>
            <w:r w:rsidR="006F6CD6">
              <w:rPr>
                <w:noProof/>
                <w:webHidden/>
              </w:rPr>
              <w:instrText xml:space="preserve"> PAGEREF _Toc529199434 \h </w:instrText>
            </w:r>
            <w:r w:rsidR="006F6CD6">
              <w:rPr>
                <w:noProof/>
                <w:webHidden/>
              </w:rPr>
            </w:r>
            <w:r w:rsidR="006F6CD6">
              <w:rPr>
                <w:noProof/>
                <w:webHidden/>
              </w:rPr>
              <w:fldChar w:fldCharType="separate"/>
            </w:r>
            <w:r w:rsidR="006F6CD6">
              <w:rPr>
                <w:noProof/>
                <w:webHidden/>
              </w:rPr>
              <w:t>41</w:t>
            </w:r>
            <w:r w:rsidR="006F6CD6">
              <w:rPr>
                <w:noProof/>
                <w:webHidden/>
              </w:rPr>
              <w:fldChar w:fldCharType="end"/>
            </w:r>
          </w:hyperlink>
        </w:p>
        <w:p w14:paraId="527B2948"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35" w:history="1">
            <w:r w:rsidR="006F6CD6" w:rsidRPr="001048CA">
              <w:rPr>
                <w:rStyle w:val="Hyperlink"/>
                <w:noProof/>
              </w:rPr>
              <w:t>6.</w:t>
            </w:r>
            <w:r w:rsidR="006F6CD6">
              <w:rPr>
                <w:rFonts w:asciiTheme="minorHAnsi" w:eastAsiaTheme="minorEastAsia" w:hAnsiTheme="minorHAnsi" w:cstheme="minorBidi"/>
                <w:b w:val="0"/>
                <w:noProof/>
                <w:lang w:val="sv-SE" w:eastAsia="sv-SE" w:bidi="ar-SA"/>
              </w:rPr>
              <w:tab/>
            </w:r>
            <w:r w:rsidR="006F6CD6" w:rsidRPr="006F6CD6">
              <w:rPr>
                <w:rStyle w:val="Hyperlink"/>
                <w:noProof/>
              </w:rPr>
              <w:t>Safeguards, different types of BFMs and cases</w:t>
            </w:r>
            <w:r w:rsidR="006F6CD6">
              <w:rPr>
                <w:noProof/>
                <w:webHidden/>
              </w:rPr>
              <w:tab/>
            </w:r>
            <w:r w:rsidR="006F6CD6">
              <w:rPr>
                <w:noProof/>
                <w:webHidden/>
              </w:rPr>
              <w:fldChar w:fldCharType="begin"/>
            </w:r>
            <w:r w:rsidR="006F6CD6">
              <w:rPr>
                <w:noProof/>
                <w:webHidden/>
              </w:rPr>
              <w:instrText xml:space="preserve"> PAGEREF _Toc529199435 \h </w:instrText>
            </w:r>
            <w:r w:rsidR="006F6CD6">
              <w:rPr>
                <w:noProof/>
                <w:webHidden/>
              </w:rPr>
            </w:r>
            <w:r w:rsidR="006F6CD6">
              <w:rPr>
                <w:noProof/>
                <w:webHidden/>
              </w:rPr>
              <w:fldChar w:fldCharType="separate"/>
            </w:r>
            <w:r w:rsidR="006F6CD6">
              <w:rPr>
                <w:noProof/>
                <w:webHidden/>
              </w:rPr>
              <w:t>43</w:t>
            </w:r>
            <w:r w:rsidR="006F6CD6">
              <w:rPr>
                <w:noProof/>
                <w:webHidden/>
              </w:rPr>
              <w:fldChar w:fldCharType="end"/>
            </w:r>
          </w:hyperlink>
        </w:p>
        <w:p w14:paraId="59EB8433" w14:textId="77777777" w:rsidR="006F6CD6" w:rsidRDefault="00132089">
          <w:pPr>
            <w:pStyle w:val="TOC3"/>
            <w:rPr>
              <w:rFonts w:asciiTheme="minorHAnsi" w:eastAsiaTheme="minorEastAsia" w:hAnsiTheme="minorHAnsi" w:cstheme="minorBidi"/>
              <w:noProof/>
              <w:lang w:val="sv-SE" w:eastAsia="sv-SE" w:bidi="ar-SA"/>
            </w:rPr>
          </w:pPr>
          <w:hyperlink w:anchor="_Toc529199436" w:history="1">
            <w:r w:rsidR="006F6CD6" w:rsidRPr="001048CA">
              <w:rPr>
                <w:rStyle w:val="Hyperlink"/>
                <w:noProof/>
              </w:rPr>
              <w:t>6.1 Payments for ecosystems services</w:t>
            </w:r>
            <w:r w:rsidR="006F6CD6">
              <w:rPr>
                <w:noProof/>
                <w:webHidden/>
              </w:rPr>
              <w:tab/>
            </w:r>
            <w:r w:rsidR="006F6CD6">
              <w:rPr>
                <w:noProof/>
                <w:webHidden/>
              </w:rPr>
              <w:fldChar w:fldCharType="begin"/>
            </w:r>
            <w:r w:rsidR="006F6CD6">
              <w:rPr>
                <w:noProof/>
                <w:webHidden/>
              </w:rPr>
              <w:instrText xml:space="preserve"> PAGEREF _Toc529199436 \h </w:instrText>
            </w:r>
            <w:r w:rsidR="006F6CD6">
              <w:rPr>
                <w:noProof/>
                <w:webHidden/>
              </w:rPr>
            </w:r>
            <w:r w:rsidR="006F6CD6">
              <w:rPr>
                <w:noProof/>
                <w:webHidden/>
              </w:rPr>
              <w:fldChar w:fldCharType="separate"/>
            </w:r>
            <w:r w:rsidR="006F6CD6">
              <w:rPr>
                <w:noProof/>
                <w:webHidden/>
              </w:rPr>
              <w:t>44</w:t>
            </w:r>
            <w:r w:rsidR="006F6CD6">
              <w:rPr>
                <w:noProof/>
                <w:webHidden/>
              </w:rPr>
              <w:fldChar w:fldCharType="end"/>
            </w:r>
          </w:hyperlink>
        </w:p>
        <w:p w14:paraId="3B3B7896" w14:textId="77777777" w:rsidR="006F6CD6" w:rsidRDefault="00132089">
          <w:pPr>
            <w:pStyle w:val="TOC3"/>
            <w:rPr>
              <w:rFonts w:asciiTheme="minorHAnsi" w:eastAsiaTheme="minorEastAsia" w:hAnsiTheme="minorHAnsi" w:cstheme="minorBidi"/>
              <w:noProof/>
              <w:lang w:val="sv-SE" w:eastAsia="sv-SE" w:bidi="ar-SA"/>
            </w:rPr>
          </w:pPr>
          <w:hyperlink w:anchor="_Toc529199437" w:history="1">
            <w:r w:rsidR="006F6CD6" w:rsidRPr="001048CA">
              <w:rPr>
                <w:rStyle w:val="Hyperlink"/>
                <w:noProof/>
              </w:rPr>
              <w:t>6.2 Biodiversity offsets</w:t>
            </w:r>
            <w:r w:rsidR="006F6CD6">
              <w:rPr>
                <w:noProof/>
                <w:webHidden/>
              </w:rPr>
              <w:tab/>
            </w:r>
            <w:r w:rsidR="006F6CD6">
              <w:rPr>
                <w:noProof/>
                <w:webHidden/>
              </w:rPr>
              <w:fldChar w:fldCharType="begin"/>
            </w:r>
            <w:r w:rsidR="006F6CD6">
              <w:rPr>
                <w:noProof/>
                <w:webHidden/>
              </w:rPr>
              <w:instrText xml:space="preserve"> PAGEREF _Toc529199437 \h </w:instrText>
            </w:r>
            <w:r w:rsidR="006F6CD6">
              <w:rPr>
                <w:noProof/>
                <w:webHidden/>
              </w:rPr>
            </w:r>
            <w:r w:rsidR="006F6CD6">
              <w:rPr>
                <w:noProof/>
                <w:webHidden/>
              </w:rPr>
              <w:fldChar w:fldCharType="separate"/>
            </w:r>
            <w:r w:rsidR="006F6CD6">
              <w:rPr>
                <w:noProof/>
                <w:webHidden/>
              </w:rPr>
              <w:t>51</w:t>
            </w:r>
            <w:r w:rsidR="006F6CD6">
              <w:rPr>
                <w:noProof/>
                <w:webHidden/>
              </w:rPr>
              <w:fldChar w:fldCharType="end"/>
            </w:r>
          </w:hyperlink>
        </w:p>
        <w:p w14:paraId="738DE715" w14:textId="77777777" w:rsidR="006F6CD6" w:rsidRDefault="00132089">
          <w:pPr>
            <w:pStyle w:val="TOC3"/>
            <w:rPr>
              <w:rFonts w:asciiTheme="minorHAnsi" w:eastAsiaTheme="minorEastAsia" w:hAnsiTheme="minorHAnsi" w:cstheme="minorBidi"/>
              <w:noProof/>
              <w:lang w:val="sv-SE" w:eastAsia="sv-SE" w:bidi="ar-SA"/>
            </w:rPr>
          </w:pPr>
          <w:hyperlink w:anchor="_Toc529199438" w:history="1">
            <w:r w:rsidR="006F6CD6" w:rsidRPr="001048CA">
              <w:rPr>
                <w:rStyle w:val="Hyperlink"/>
                <w:noProof/>
              </w:rPr>
              <w:t>6.3 Environmental fiscal reform</w:t>
            </w:r>
            <w:r w:rsidR="006F6CD6">
              <w:rPr>
                <w:noProof/>
                <w:webHidden/>
              </w:rPr>
              <w:tab/>
            </w:r>
            <w:r w:rsidR="006F6CD6">
              <w:rPr>
                <w:noProof/>
                <w:webHidden/>
              </w:rPr>
              <w:fldChar w:fldCharType="begin"/>
            </w:r>
            <w:r w:rsidR="006F6CD6">
              <w:rPr>
                <w:noProof/>
                <w:webHidden/>
              </w:rPr>
              <w:instrText xml:space="preserve"> PAGEREF _Toc529199438 \h </w:instrText>
            </w:r>
            <w:r w:rsidR="006F6CD6">
              <w:rPr>
                <w:noProof/>
                <w:webHidden/>
              </w:rPr>
            </w:r>
            <w:r w:rsidR="006F6CD6">
              <w:rPr>
                <w:noProof/>
                <w:webHidden/>
              </w:rPr>
              <w:fldChar w:fldCharType="separate"/>
            </w:r>
            <w:r w:rsidR="006F6CD6">
              <w:rPr>
                <w:noProof/>
                <w:webHidden/>
              </w:rPr>
              <w:t>56</w:t>
            </w:r>
            <w:r w:rsidR="006F6CD6">
              <w:rPr>
                <w:noProof/>
                <w:webHidden/>
              </w:rPr>
              <w:fldChar w:fldCharType="end"/>
            </w:r>
          </w:hyperlink>
        </w:p>
        <w:p w14:paraId="25E7139B" w14:textId="77777777" w:rsidR="006F6CD6" w:rsidRDefault="00132089">
          <w:pPr>
            <w:pStyle w:val="TOC3"/>
            <w:rPr>
              <w:rFonts w:asciiTheme="minorHAnsi" w:eastAsiaTheme="minorEastAsia" w:hAnsiTheme="minorHAnsi" w:cstheme="minorBidi"/>
              <w:noProof/>
              <w:lang w:val="sv-SE" w:eastAsia="sv-SE" w:bidi="ar-SA"/>
            </w:rPr>
          </w:pPr>
          <w:hyperlink w:anchor="_Toc529199439" w:history="1">
            <w:r w:rsidR="006F6CD6" w:rsidRPr="001048CA">
              <w:rPr>
                <w:rStyle w:val="Hyperlink"/>
                <w:noProof/>
              </w:rPr>
              <w:t>6.4 International development finance and official development assistance</w:t>
            </w:r>
            <w:r w:rsidR="006F6CD6">
              <w:rPr>
                <w:noProof/>
                <w:webHidden/>
              </w:rPr>
              <w:tab/>
            </w:r>
            <w:r w:rsidR="006F6CD6">
              <w:rPr>
                <w:noProof/>
                <w:webHidden/>
              </w:rPr>
              <w:fldChar w:fldCharType="begin"/>
            </w:r>
            <w:r w:rsidR="006F6CD6">
              <w:rPr>
                <w:noProof/>
                <w:webHidden/>
              </w:rPr>
              <w:instrText xml:space="preserve"> PAGEREF _Toc529199439 \h </w:instrText>
            </w:r>
            <w:r w:rsidR="006F6CD6">
              <w:rPr>
                <w:noProof/>
                <w:webHidden/>
              </w:rPr>
            </w:r>
            <w:r w:rsidR="006F6CD6">
              <w:rPr>
                <w:noProof/>
                <w:webHidden/>
              </w:rPr>
              <w:fldChar w:fldCharType="separate"/>
            </w:r>
            <w:r w:rsidR="006F6CD6">
              <w:rPr>
                <w:noProof/>
                <w:webHidden/>
              </w:rPr>
              <w:t>57</w:t>
            </w:r>
            <w:r w:rsidR="006F6CD6">
              <w:rPr>
                <w:noProof/>
                <w:webHidden/>
              </w:rPr>
              <w:fldChar w:fldCharType="end"/>
            </w:r>
          </w:hyperlink>
        </w:p>
        <w:p w14:paraId="2CE7E844" w14:textId="77777777" w:rsidR="006F6CD6" w:rsidRDefault="00132089">
          <w:pPr>
            <w:pStyle w:val="TOC3"/>
            <w:rPr>
              <w:rFonts w:asciiTheme="minorHAnsi" w:eastAsiaTheme="minorEastAsia" w:hAnsiTheme="minorHAnsi" w:cstheme="minorBidi"/>
              <w:noProof/>
              <w:lang w:val="sv-SE" w:eastAsia="sv-SE" w:bidi="ar-SA"/>
            </w:rPr>
          </w:pPr>
          <w:hyperlink w:anchor="_Toc529199440" w:history="1">
            <w:r w:rsidR="006F6CD6" w:rsidRPr="001048CA">
              <w:rPr>
                <w:rStyle w:val="Hyperlink"/>
                <w:noProof/>
              </w:rPr>
              <w:t>6.5 Markets for green products</w:t>
            </w:r>
            <w:r w:rsidR="006F6CD6">
              <w:rPr>
                <w:noProof/>
                <w:webHidden/>
              </w:rPr>
              <w:tab/>
            </w:r>
            <w:r w:rsidR="006F6CD6">
              <w:rPr>
                <w:noProof/>
                <w:webHidden/>
              </w:rPr>
              <w:fldChar w:fldCharType="begin"/>
            </w:r>
            <w:r w:rsidR="006F6CD6">
              <w:rPr>
                <w:noProof/>
                <w:webHidden/>
              </w:rPr>
              <w:instrText xml:space="preserve"> PAGEREF _Toc529199440 \h </w:instrText>
            </w:r>
            <w:r w:rsidR="006F6CD6">
              <w:rPr>
                <w:noProof/>
                <w:webHidden/>
              </w:rPr>
            </w:r>
            <w:r w:rsidR="006F6CD6">
              <w:rPr>
                <w:noProof/>
                <w:webHidden/>
              </w:rPr>
              <w:fldChar w:fldCharType="separate"/>
            </w:r>
            <w:r w:rsidR="006F6CD6">
              <w:rPr>
                <w:noProof/>
                <w:webHidden/>
              </w:rPr>
              <w:t>58</w:t>
            </w:r>
            <w:r w:rsidR="006F6CD6">
              <w:rPr>
                <w:noProof/>
                <w:webHidden/>
              </w:rPr>
              <w:fldChar w:fldCharType="end"/>
            </w:r>
          </w:hyperlink>
        </w:p>
        <w:p w14:paraId="57C65311" w14:textId="77777777" w:rsidR="006F6CD6" w:rsidRDefault="00132089">
          <w:pPr>
            <w:pStyle w:val="TOC3"/>
            <w:rPr>
              <w:rFonts w:asciiTheme="minorHAnsi" w:eastAsiaTheme="minorEastAsia" w:hAnsiTheme="minorHAnsi" w:cstheme="minorBidi"/>
              <w:noProof/>
              <w:lang w:val="sv-SE" w:eastAsia="sv-SE" w:bidi="ar-SA"/>
            </w:rPr>
          </w:pPr>
          <w:hyperlink w:anchor="_Toc529199441" w:history="1">
            <w:r w:rsidR="006F6CD6" w:rsidRPr="001048CA">
              <w:rPr>
                <w:rStyle w:val="Hyperlink"/>
                <w:noProof/>
              </w:rPr>
              <w:t>6.6 Climate financing with co-benefits to biodiversity</w:t>
            </w:r>
            <w:r w:rsidR="006F6CD6">
              <w:rPr>
                <w:noProof/>
                <w:webHidden/>
              </w:rPr>
              <w:tab/>
            </w:r>
            <w:r w:rsidR="006F6CD6">
              <w:rPr>
                <w:noProof/>
                <w:webHidden/>
              </w:rPr>
              <w:fldChar w:fldCharType="begin"/>
            </w:r>
            <w:r w:rsidR="006F6CD6">
              <w:rPr>
                <w:noProof/>
                <w:webHidden/>
              </w:rPr>
              <w:instrText xml:space="preserve"> PAGEREF _Toc529199441 \h </w:instrText>
            </w:r>
            <w:r w:rsidR="006F6CD6">
              <w:rPr>
                <w:noProof/>
                <w:webHidden/>
              </w:rPr>
            </w:r>
            <w:r w:rsidR="006F6CD6">
              <w:rPr>
                <w:noProof/>
                <w:webHidden/>
              </w:rPr>
              <w:fldChar w:fldCharType="separate"/>
            </w:r>
            <w:r w:rsidR="006F6CD6">
              <w:rPr>
                <w:noProof/>
                <w:webHidden/>
              </w:rPr>
              <w:t>62</w:t>
            </w:r>
            <w:r w:rsidR="006F6CD6">
              <w:rPr>
                <w:noProof/>
                <w:webHidden/>
              </w:rPr>
              <w:fldChar w:fldCharType="end"/>
            </w:r>
          </w:hyperlink>
        </w:p>
        <w:p w14:paraId="6E6D8F43"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42" w:history="1">
            <w:r w:rsidR="006F6CD6" w:rsidRPr="001048CA">
              <w:rPr>
                <w:rStyle w:val="Hyperlink"/>
                <w:noProof/>
              </w:rPr>
              <w:t>7.</w:t>
            </w:r>
            <w:r w:rsidR="006F6CD6">
              <w:rPr>
                <w:rFonts w:asciiTheme="minorHAnsi" w:eastAsiaTheme="minorEastAsia" w:hAnsiTheme="minorHAnsi" w:cstheme="minorBidi"/>
                <w:b w:val="0"/>
                <w:noProof/>
                <w:lang w:val="sv-SE" w:eastAsia="sv-SE" w:bidi="ar-SA"/>
              </w:rPr>
              <w:tab/>
            </w:r>
            <w:r w:rsidR="006F6CD6" w:rsidRPr="001048CA">
              <w:rPr>
                <w:rStyle w:val="Hyperlink"/>
                <w:noProof/>
              </w:rPr>
              <w:t>Safeguards and Environmental Impact Assessment</w:t>
            </w:r>
            <w:r w:rsidR="006F6CD6">
              <w:rPr>
                <w:noProof/>
                <w:webHidden/>
              </w:rPr>
              <w:tab/>
            </w:r>
            <w:r w:rsidR="006F6CD6">
              <w:rPr>
                <w:noProof/>
                <w:webHidden/>
              </w:rPr>
              <w:fldChar w:fldCharType="begin"/>
            </w:r>
            <w:r w:rsidR="006F6CD6">
              <w:rPr>
                <w:noProof/>
                <w:webHidden/>
              </w:rPr>
              <w:instrText xml:space="preserve"> PAGEREF _Toc529199442 \h </w:instrText>
            </w:r>
            <w:r w:rsidR="006F6CD6">
              <w:rPr>
                <w:noProof/>
                <w:webHidden/>
              </w:rPr>
            </w:r>
            <w:r w:rsidR="006F6CD6">
              <w:rPr>
                <w:noProof/>
                <w:webHidden/>
              </w:rPr>
              <w:fldChar w:fldCharType="separate"/>
            </w:r>
            <w:r w:rsidR="006F6CD6">
              <w:rPr>
                <w:noProof/>
                <w:webHidden/>
              </w:rPr>
              <w:t>70</w:t>
            </w:r>
            <w:r w:rsidR="006F6CD6">
              <w:rPr>
                <w:noProof/>
                <w:webHidden/>
              </w:rPr>
              <w:fldChar w:fldCharType="end"/>
            </w:r>
          </w:hyperlink>
        </w:p>
        <w:p w14:paraId="7C1DE03E"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43" w:history="1">
            <w:r w:rsidR="006F6CD6" w:rsidRPr="001048CA">
              <w:rPr>
                <w:rStyle w:val="Hyperlink"/>
                <w:noProof/>
              </w:rPr>
              <w:t>8.</w:t>
            </w:r>
            <w:r w:rsidR="006F6CD6">
              <w:rPr>
                <w:rFonts w:asciiTheme="minorHAnsi" w:eastAsiaTheme="minorEastAsia" w:hAnsiTheme="minorHAnsi" w:cstheme="minorBidi"/>
                <w:b w:val="0"/>
                <w:noProof/>
                <w:lang w:val="sv-SE" w:eastAsia="sv-SE" w:bidi="ar-SA"/>
              </w:rPr>
              <w:tab/>
            </w:r>
            <w:r w:rsidR="006F6CD6" w:rsidRPr="001048CA">
              <w:rPr>
                <w:rStyle w:val="Hyperlink"/>
                <w:noProof/>
              </w:rPr>
              <w:t>Proposed elements for an operational roadmap: resource mobilization and safeguards in the post-2020 global biodiversity framework</w:t>
            </w:r>
            <w:r w:rsidR="006F6CD6">
              <w:rPr>
                <w:noProof/>
                <w:webHidden/>
              </w:rPr>
              <w:tab/>
            </w:r>
            <w:r w:rsidR="006F6CD6">
              <w:rPr>
                <w:noProof/>
                <w:webHidden/>
              </w:rPr>
              <w:fldChar w:fldCharType="begin"/>
            </w:r>
            <w:r w:rsidR="006F6CD6">
              <w:rPr>
                <w:noProof/>
                <w:webHidden/>
              </w:rPr>
              <w:instrText xml:space="preserve"> PAGEREF _Toc529199443 \h </w:instrText>
            </w:r>
            <w:r w:rsidR="006F6CD6">
              <w:rPr>
                <w:noProof/>
                <w:webHidden/>
              </w:rPr>
            </w:r>
            <w:r w:rsidR="006F6CD6">
              <w:rPr>
                <w:noProof/>
                <w:webHidden/>
              </w:rPr>
              <w:fldChar w:fldCharType="separate"/>
            </w:r>
            <w:r w:rsidR="006F6CD6">
              <w:rPr>
                <w:noProof/>
                <w:webHidden/>
              </w:rPr>
              <w:t>77</w:t>
            </w:r>
            <w:r w:rsidR="006F6CD6">
              <w:rPr>
                <w:noProof/>
                <w:webHidden/>
              </w:rPr>
              <w:fldChar w:fldCharType="end"/>
            </w:r>
          </w:hyperlink>
        </w:p>
        <w:p w14:paraId="2130A1BD" w14:textId="77777777" w:rsidR="006F6CD6" w:rsidRDefault="00132089">
          <w:pPr>
            <w:pStyle w:val="TOC2"/>
            <w:tabs>
              <w:tab w:val="left" w:pos="660"/>
              <w:tab w:val="right" w:leader="dot" w:pos="9016"/>
            </w:tabs>
            <w:rPr>
              <w:rFonts w:asciiTheme="minorHAnsi" w:eastAsiaTheme="minorEastAsia" w:hAnsiTheme="minorHAnsi" w:cstheme="minorBidi"/>
              <w:b w:val="0"/>
              <w:noProof/>
              <w:lang w:val="sv-SE" w:eastAsia="sv-SE" w:bidi="ar-SA"/>
            </w:rPr>
          </w:pPr>
          <w:hyperlink w:anchor="_Toc529199444" w:history="1">
            <w:r w:rsidR="006F6CD6" w:rsidRPr="001048CA">
              <w:rPr>
                <w:rStyle w:val="Hyperlink"/>
                <w:noProof/>
              </w:rPr>
              <w:t>9.</w:t>
            </w:r>
            <w:r w:rsidR="006F6CD6">
              <w:rPr>
                <w:rFonts w:asciiTheme="minorHAnsi" w:eastAsiaTheme="minorEastAsia" w:hAnsiTheme="minorHAnsi" w:cstheme="minorBidi"/>
                <w:b w:val="0"/>
                <w:noProof/>
                <w:lang w:val="sv-SE" w:eastAsia="sv-SE" w:bidi="ar-SA"/>
              </w:rPr>
              <w:tab/>
            </w:r>
            <w:r w:rsidR="006F6CD6" w:rsidRPr="001048CA">
              <w:rPr>
                <w:rStyle w:val="Hyperlink"/>
                <w:noProof/>
              </w:rPr>
              <w:t>Concluding remarks</w:t>
            </w:r>
            <w:r w:rsidR="006F6CD6">
              <w:rPr>
                <w:noProof/>
                <w:webHidden/>
              </w:rPr>
              <w:tab/>
            </w:r>
            <w:r w:rsidR="006F6CD6">
              <w:rPr>
                <w:noProof/>
                <w:webHidden/>
              </w:rPr>
              <w:fldChar w:fldCharType="begin"/>
            </w:r>
            <w:r w:rsidR="006F6CD6">
              <w:rPr>
                <w:noProof/>
                <w:webHidden/>
              </w:rPr>
              <w:instrText xml:space="preserve"> PAGEREF _Toc529199444 \h </w:instrText>
            </w:r>
            <w:r w:rsidR="006F6CD6">
              <w:rPr>
                <w:noProof/>
                <w:webHidden/>
              </w:rPr>
            </w:r>
            <w:r w:rsidR="006F6CD6">
              <w:rPr>
                <w:noProof/>
                <w:webHidden/>
              </w:rPr>
              <w:fldChar w:fldCharType="separate"/>
            </w:r>
            <w:r w:rsidR="006F6CD6">
              <w:rPr>
                <w:noProof/>
                <w:webHidden/>
              </w:rPr>
              <w:t>82</w:t>
            </w:r>
            <w:r w:rsidR="006F6CD6">
              <w:rPr>
                <w:noProof/>
                <w:webHidden/>
              </w:rPr>
              <w:fldChar w:fldCharType="end"/>
            </w:r>
          </w:hyperlink>
        </w:p>
        <w:p w14:paraId="61B982D6" w14:textId="77777777" w:rsidR="006F6CD6" w:rsidRDefault="00132089">
          <w:pPr>
            <w:pStyle w:val="TOC1"/>
            <w:rPr>
              <w:rFonts w:asciiTheme="minorHAnsi" w:eastAsiaTheme="minorEastAsia" w:hAnsiTheme="minorHAnsi" w:cstheme="minorBidi"/>
              <w:b w:val="0"/>
              <w:noProof/>
              <w:sz w:val="22"/>
              <w:szCs w:val="22"/>
              <w:lang w:val="sv-SE" w:eastAsia="sv-SE" w:bidi="ar-SA"/>
            </w:rPr>
          </w:pPr>
          <w:hyperlink w:anchor="_Toc529199445" w:history="1">
            <w:r w:rsidR="006F6CD6" w:rsidRPr="001048CA">
              <w:rPr>
                <w:rStyle w:val="Hyperlink"/>
                <w:noProof/>
              </w:rPr>
              <w:t>Reference List</w:t>
            </w:r>
            <w:r w:rsidR="006F6CD6">
              <w:rPr>
                <w:noProof/>
                <w:webHidden/>
              </w:rPr>
              <w:tab/>
            </w:r>
            <w:r w:rsidR="006F6CD6">
              <w:rPr>
                <w:noProof/>
                <w:webHidden/>
              </w:rPr>
              <w:fldChar w:fldCharType="begin"/>
            </w:r>
            <w:r w:rsidR="006F6CD6">
              <w:rPr>
                <w:noProof/>
                <w:webHidden/>
              </w:rPr>
              <w:instrText xml:space="preserve"> PAGEREF _Toc529199445 \h </w:instrText>
            </w:r>
            <w:r w:rsidR="006F6CD6">
              <w:rPr>
                <w:noProof/>
                <w:webHidden/>
              </w:rPr>
            </w:r>
            <w:r w:rsidR="006F6CD6">
              <w:rPr>
                <w:noProof/>
                <w:webHidden/>
              </w:rPr>
              <w:fldChar w:fldCharType="separate"/>
            </w:r>
            <w:r w:rsidR="006F6CD6">
              <w:rPr>
                <w:noProof/>
                <w:webHidden/>
              </w:rPr>
              <w:t>86</w:t>
            </w:r>
            <w:r w:rsidR="006F6CD6">
              <w:rPr>
                <w:noProof/>
                <w:webHidden/>
              </w:rPr>
              <w:fldChar w:fldCharType="end"/>
            </w:r>
          </w:hyperlink>
        </w:p>
        <w:p w14:paraId="24DD27E8" w14:textId="77777777" w:rsidR="006F6CD6" w:rsidRDefault="00132089">
          <w:pPr>
            <w:pStyle w:val="TOC1"/>
            <w:rPr>
              <w:rFonts w:asciiTheme="minorHAnsi" w:eastAsiaTheme="minorEastAsia" w:hAnsiTheme="minorHAnsi" w:cstheme="minorBidi"/>
              <w:b w:val="0"/>
              <w:noProof/>
              <w:sz w:val="22"/>
              <w:szCs w:val="22"/>
              <w:lang w:val="sv-SE" w:eastAsia="sv-SE" w:bidi="ar-SA"/>
            </w:rPr>
          </w:pPr>
          <w:hyperlink w:anchor="_Toc529199446" w:history="1">
            <w:r w:rsidR="006F6CD6" w:rsidRPr="001048CA">
              <w:rPr>
                <w:rStyle w:val="Hyperlink"/>
                <w:noProof/>
              </w:rPr>
              <w:t>Appendices</w:t>
            </w:r>
            <w:r w:rsidR="006F6CD6">
              <w:rPr>
                <w:noProof/>
                <w:webHidden/>
              </w:rPr>
              <w:tab/>
            </w:r>
            <w:r w:rsidR="006F6CD6">
              <w:rPr>
                <w:noProof/>
                <w:webHidden/>
              </w:rPr>
              <w:fldChar w:fldCharType="begin"/>
            </w:r>
            <w:r w:rsidR="006F6CD6">
              <w:rPr>
                <w:noProof/>
                <w:webHidden/>
              </w:rPr>
              <w:instrText xml:space="preserve"> PAGEREF _Toc529199446 \h </w:instrText>
            </w:r>
            <w:r w:rsidR="006F6CD6">
              <w:rPr>
                <w:noProof/>
                <w:webHidden/>
              </w:rPr>
            </w:r>
            <w:r w:rsidR="006F6CD6">
              <w:rPr>
                <w:noProof/>
                <w:webHidden/>
              </w:rPr>
              <w:fldChar w:fldCharType="separate"/>
            </w:r>
            <w:r w:rsidR="006F6CD6">
              <w:rPr>
                <w:noProof/>
                <w:webHidden/>
              </w:rPr>
              <w:t>99</w:t>
            </w:r>
            <w:r w:rsidR="006F6CD6">
              <w:rPr>
                <w:noProof/>
                <w:webHidden/>
              </w:rPr>
              <w:fldChar w:fldCharType="end"/>
            </w:r>
          </w:hyperlink>
        </w:p>
        <w:p w14:paraId="5350B2CA" w14:textId="77777777" w:rsidR="006F6CD6" w:rsidRDefault="00132089">
          <w:pPr>
            <w:pStyle w:val="TOC3"/>
            <w:rPr>
              <w:rFonts w:asciiTheme="minorHAnsi" w:eastAsiaTheme="minorEastAsia" w:hAnsiTheme="minorHAnsi" w:cstheme="minorBidi"/>
              <w:noProof/>
              <w:lang w:val="sv-SE" w:eastAsia="sv-SE" w:bidi="ar-SA"/>
            </w:rPr>
          </w:pPr>
          <w:hyperlink w:anchor="_Toc529199447" w:history="1">
            <w:r w:rsidR="006F6CD6" w:rsidRPr="001048CA">
              <w:rPr>
                <w:rStyle w:val="Hyperlink"/>
                <w:noProof/>
              </w:rPr>
              <w:t>Appendix 1. Compilation of views and comments, and description of adjustments and further development</w:t>
            </w:r>
            <w:r w:rsidR="006F6CD6">
              <w:rPr>
                <w:noProof/>
                <w:webHidden/>
              </w:rPr>
              <w:tab/>
            </w:r>
            <w:r w:rsidR="006F6CD6">
              <w:rPr>
                <w:noProof/>
                <w:webHidden/>
              </w:rPr>
              <w:fldChar w:fldCharType="begin"/>
            </w:r>
            <w:r w:rsidR="006F6CD6">
              <w:rPr>
                <w:noProof/>
                <w:webHidden/>
              </w:rPr>
              <w:instrText xml:space="preserve"> PAGEREF _Toc529199447 \h </w:instrText>
            </w:r>
            <w:r w:rsidR="006F6CD6">
              <w:rPr>
                <w:noProof/>
                <w:webHidden/>
              </w:rPr>
            </w:r>
            <w:r w:rsidR="006F6CD6">
              <w:rPr>
                <w:noProof/>
                <w:webHidden/>
              </w:rPr>
              <w:fldChar w:fldCharType="separate"/>
            </w:r>
            <w:r w:rsidR="006F6CD6">
              <w:rPr>
                <w:noProof/>
                <w:webHidden/>
              </w:rPr>
              <w:t>99</w:t>
            </w:r>
            <w:r w:rsidR="006F6CD6">
              <w:rPr>
                <w:noProof/>
                <w:webHidden/>
              </w:rPr>
              <w:fldChar w:fldCharType="end"/>
            </w:r>
          </w:hyperlink>
        </w:p>
        <w:p w14:paraId="59E7E279" w14:textId="77777777" w:rsidR="006F6CD6" w:rsidRDefault="00132089">
          <w:pPr>
            <w:pStyle w:val="TOC3"/>
            <w:rPr>
              <w:rFonts w:asciiTheme="minorHAnsi" w:eastAsiaTheme="minorEastAsia" w:hAnsiTheme="minorHAnsi" w:cstheme="minorBidi"/>
              <w:noProof/>
              <w:lang w:val="sv-SE" w:eastAsia="sv-SE" w:bidi="ar-SA"/>
            </w:rPr>
          </w:pPr>
          <w:hyperlink w:anchor="_Toc529199448" w:history="1">
            <w:r w:rsidR="006F6CD6" w:rsidRPr="001048CA">
              <w:rPr>
                <w:rStyle w:val="Hyperlink"/>
                <w:noProof/>
              </w:rPr>
              <w:t>Appendix 2. Definitions</w:t>
            </w:r>
            <w:r w:rsidR="006F6CD6">
              <w:rPr>
                <w:noProof/>
                <w:webHidden/>
              </w:rPr>
              <w:tab/>
            </w:r>
            <w:r w:rsidR="006F6CD6">
              <w:rPr>
                <w:noProof/>
                <w:webHidden/>
              </w:rPr>
              <w:fldChar w:fldCharType="begin"/>
            </w:r>
            <w:r w:rsidR="006F6CD6">
              <w:rPr>
                <w:noProof/>
                <w:webHidden/>
              </w:rPr>
              <w:instrText xml:space="preserve"> PAGEREF _Toc529199448 \h </w:instrText>
            </w:r>
            <w:r w:rsidR="006F6CD6">
              <w:rPr>
                <w:noProof/>
                <w:webHidden/>
              </w:rPr>
            </w:r>
            <w:r w:rsidR="006F6CD6">
              <w:rPr>
                <w:noProof/>
                <w:webHidden/>
              </w:rPr>
              <w:fldChar w:fldCharType="separate"/>
            </w:r>
            <w:r w:rsidR="006F6CD6">
              <w:rPr>
                <w:noProof/>
                <w:webHidden/>
              </w:rPr>
              <w:t>111</w:t>
            </w:r>
            <w:r w:rsidR="006F6CD6">
              <w:rPr>
                <w:noProof/>
                <w:webHidden/>
              </w:rPr>
              <w:fldChar w:fldCharType="end"/>
            </w:r>
          </w:hyperlink>
        </w:p>
        <w:p w14:paraId="1C2B2BD0" w14:textId="77777777" w:rsidR="001D4AF7" w:rsidRPr="00002536" w:rsidRDefault="005B5E96" w:rsidP="001D4AF7">
          <w:pPr>
            <w:pStyle w:val="TOC1"/>
            <w:rPr>
              <w:rFonts w:ascii="Times New Roman" w:eastAsiaTheme="minorEastAsia" w:hAnsi="Times New Roman"/>
              <w:b w:val="0"/>
              <w:sz w:val="22"/>
            </w:rPr>
          </w:pPr>
          <w:r w:rsidRPr="00002536">
            <w:rPr>
              <w:rFonts w:ascii="Times New Roman" w:hAnsi="Times New Roman"/>
              <w:b w:val="0"/>
              <w:bCs/>
              <w:noProof/>
            </w:rPr>
            <w:fldChar w:fldCharType="end"/>
          </w:r>
          <w:hyperlink w:anchor="_Toc525719907" w:history="1">
            <w:r w:rsidR="001D4AF7" w:rsidRPr="001D4AF7">
              <w:rPr>
                <w:rStyle w:val="Hyperlink"/>
                <w:rFonts w:ascii="Times New Roman" w:hAnsi="Times New Roman"/>
                <w:noProof/>
                <w:color w:val="auto"/>
              </w:rPr>
              <w:t>Index of case studies</w:t>
            </w:r>
            <w:r w:rsidR="001D4AF7" w:rsidRPr="00002536">
              <w:rPr>
                <w:rFonts w:ascii="Times New Roman" w:hAnsi="Times New Roman"/>
                <w:noProof/>
                <w:webHidden/>
              </w:rPr>
              <w:tab/>
            </w:r>
            <w:r w:rsidR="001D4AF7" w:rsidRPr="00002536">
              <w:rPr>
                <w:rFonts w:ascii="Times New Roman" w:hAnsi="Times New Roman"/>
                <w:noProof/>
                <w:webHidden/>
              </w:rPr>
              <w:fldChar w:fldCharType="begin"/>
            </w:r>
            <w:r w:rsidR="001D4AF7" w:rsidRPr="00002536">
              <w:rPr>
                <w:rFonts w:ascii="Times New Roman" w:hAnsi="Times New Roman"/>
                <w:noProof/>
                <w:webHidden/>
              </w:rPr>
              <w:instrText xml:space="preserve"> PAGEREF _Toc525719907 \h </w:instrText>
            </w:r>
            <w:r w:rsidR="001D4AF7" w:rsidRPr="00002536">
              <w:rPr>
                <w:rFonts w:ascii="Times New Roman" w:hAnsi="Times New Roman"/>
                <w:noProof/>
                <w:webHidden/>
              </w:rPr>
            </w:r>
            <w:r w:rsidR="001D4AF7" w:rsidRPr="00002536">
              <w:rPr>
                <w:rFonts w:ascii="Times New Roman" w:hAnsi="Times New Roman"/>
                <w:noProof/>
                <w:webHidden/>
              </w:rPr>
              <w:fldChar w:fldCharType="separate"/>
            </w:r>
            <w:r w:rsidR="001D4AF7" w:rsidRPr="00002536">
              <w:rPr>
                <w:rFonts w:ascii="Times New Roman" w:hAnsi="Times New Roman"/>
                <w:noProof/>
                <w:webHidden/>
              </w:rPr>
              <w:t>3</w:t>
            </w:r>
            <w:r w:rsidR="001D4AF7" w:rsidRPr="00002536">
              <w:rPr>
                <w:rFonts w:ascii="Times New Roman" w:hAnsi="Times New Roman"/>
                <w:noProof/>
                <w:webHidden/>
              </w:rPr>
              <w:fldChar w:fldCharType="end"/>
            </w:r>
          </w:hyperlink>
        </w:p>
        <w:p w14:paraId="3F3C7D4A" w14:textId="77777777" w:rsidR="001D4AF7" w:rsidRPr="00002536" w:rsidRDefault="00132089" w:rsidP="001D4AF7">
          <w:pPr>
            <w:pStyle w:val="TOC1"/>
            <w:rPr>
              <w:rFonts w:ascii="Times New Roman" w:eastAsiaTheme="minorEastAsia" w:hAnsi="Times New Roman"/>
              <w:b w:val="0"/>
              <w:sz w:val="22"/>
            </w:rPr>
          </w:pPr>
          <w:hyperlink w:anchor="_Toc525719908" w:history="1">
            <w:r w:rsidR="001D4AF7" w:rsidRPr="001D4AF7">
              <w:rPr>
                <w:rStyle w:val="Hyperlink"/>
                <w:rFonts w:ascii="Times New Roman" w:hAnsi="Times New Roman"/>
                <w:noProof/>
                <w:color w:val="auto"/>
              </w:rPr>
              <w:t>Index of tables</w:t>
            </w:r>
            <w:r w:rsidR="001D4AF7" w:rsidRPr="00002536">
              <w:rPr>
                <w:rFonts w:ascii="Times New Roman" w:hAnsi="Times New Roman"/>
                <w:noProof/>
                <w:webHidden/>
              </w:rPr>
              <w:tab/>
            </w:r>
            <w:r w:rsidR="001D4AF7" w:rsidRPr="00002536">
              <w:rPr>
                <w:rFonts w:ascii="Times New Roman" w:hAnsi="Times New Roman"/>
                <w:noProof/>
                <w:webHidden/>
              </w:rPr>
              <w:fldChar w:fldCharType="begin"/>
            </w:r>
            <w:r w:rsidR="001D4AF7" w:rsidRPr="00002536">
              <w:rPr>
                <w:rFonts w:ascii="Times New Roman" w:hAnsi="Times New Roman"/>
                <w:noProof/>
                <w:webHidden/>
              </w:rPr>
              <w:instrText xml:space="preserve"> PAGEREF _Toc525719908 \h </w:instrText>
            </w:r>
            <w:r w:rsidR="001D4AF7" w:rsidRPr="00002536">
              <w:rPr>
                <w:rFonts w:ascii="Times New Roman" w:hAnsi="Times New Roman"/>
                <w:noProof/>
                <w:webHidden/>
              </w:rPr>
            </w:r>
            <w:r w:rsidR="001D4AF7" w:rsidRPr="00002536">
              <w:rPr>
                <w:rFonts w:ascii="Times New Roman" w:hAnsi="Times New Roman"/>
                <w:noProof/>
                <w:webHidden/>
              </w:rPr>
              <w:fldChar w:fldCharType="separate"/>
            </w:r>
            <w:r w:rsidR="001D4AF7" w:rsidRPr="00002536">
              <w:rPr>
                <w:rFonts w:ascii="Times New Roman" w:hAnsi="Times New Roman"/>
                <w:noProof/>
                <w:webHidden/>
              </w:rPr>
              <w:t>4</w:t>
            </w:r>
            <w:r w:rsidR="001D4AF7" w:rsidRPr="00002536">
              <w:rPr>
                <w:rFonts w:ascii="Times New Roman" w:hAnsi="Times New Roman"/>
                <w:noProof/>
                <w:webHidden/>
              </w:rPr>
              <w:fldChar w:fldCharType="end"/>
            </w:r>
          </w:hyperlink>
        </w:p>
        <w:p w14:paraId="431AFF6A" w14:textId="4F2C0DEB" w:rsidR="00611B27" w:rsidRPr="00633A71" w:rsidRDefault="00132089" w:rsidP="00611B27">
          <w:pPr>
            <w:rPr>
              <w:b/>
              <w:bCs/>
              <w:noProof/>
            </w:rPr>
          </w:pPr>
        </w:p>
      </w:sdtContent>
    </w:sdt>
    <w:p w14:paraId="403E1CB1" w14:textId="5A45CECA" w:rsidR="00361868" w:rsidRPr="00504B5E" w:rsidRDefault="005B5E96" w:rsidP="00611B27">
      <w:r w:rsidRPr="00633A71">
        <w:br w:type="page"/>
      </w:r>
    </w:p>
    <w:p w14:paraId="6AEC57F3" w14:textId="77777777" w:rsidR="00B44532" w:rsidRPr="00632DBC" w:rsidRDefault="00B44532" w:rsidP="00B44532">
      <w:pPr>
        <w:pStyle w:val="Heading1"/>
        <w:spacing w:before="0" w:after="120" w:line="360" w:lineRule="auto"/>
        <w:jc w:val="both"/>
        <w:rPr>
          <w:rFonts w:ascii="Times New Roman" w:hAnsi="Times New Roman"/>
          <w:b/>
          <w:sz w:val="24"/>
          <w:szCs w:val="24"/>
          <w:lang w:val="en-GB"/>
        </w:rPr>
      </w:pPr>
      <w:bookmarkStart w:id="2" w:name="_Toc525719907"/>
      <w:bookmarkStart w:id="3" w:name="_Toc529199421"/>
      <w:r w:rsidRPr="00632DBC">
        <w:rPr>
          <w:rFonts w:ascii="Times New Roman" w:hAnsi="Times New Roman"/>
          <w:b/>
          <w:sz w:val="24"/>
          <w:szCs w:val="24"/>
          <w:lang w:val="en-GB"/>
        </w:rPr>
        <w:lastRenderedPageBreak/>
        <w:t>Index of case studies</w:t>
      </w:r>
      <w:bookmarkEnd w:id="2"/>
      <w:bookmarkEnd w:id="3"/>
    </w:p>
    <w:p w14:paraId="3CEA3794" w14:textId="77777777" w:rsidR="00B44532" w:rsidRPr="00632DBC" w:rsidRDefault="00B44532" w:rsidP="005C1A1B">
      <w:pPr>
        <w:pStyle w:val="TableofFigures"/>
        <w:tabs>
          <w:tab w:val="right" w:pos="9016"/>
        </w:tabs>
        <w:spacing w:after="120" w:line="360" w:lineRule="auto"/>
        <w:rPr>
          <w:rFonts w:ascii="Times New Roman" w:hAnsi="Times New Roman"/>
          <w:sz w:val="24"/>
          <w:szCs w:val="24"/>
        </w:rPr>
      </w:pPr>
    </w:p>
    <w:p w14:paraId="143994D1" w14:textId="77777777" w:rsidR="002C0F93" w:rsidRPr="002C0F93" w:rsidRDefault="005C1A1B">
      <w:pPr>
        <w:pStyle w:val="TableofFigures"/>
        <w:tabs>
          <w:tab w:val="right" w:pos="9016"/>
        </w:tabs>
        <w:rPr>
          <w:rFonts w:eastAsiaTheme="minorEastAsia" w:cstheme="minorBidi"/>
          <w:i w:val="0"/>
          <w:noProof/>
          <w:sz w:val="22"/>
          <w:szCs w:val="22"/>
          <w:lang w:eastAsia="en-GB" w:bidi="ar-SA"/>
        </w:rPr>
      </w:pPr>
      <w:r w:rsidRPr="00002536">
        <w:rPr>
          <w:sz w:val="24"/>
          <w:szCs w:val="24"/>
        </w:rPr>
        <w:fldChar w:fldCharType="begin"/>
      </w:r>
      <w:r w:rsidRPr="00002536">
        <w:rPr>
          <w:sz w:val="24"/>
          <w:szCs w:val="24"/>
        </w:rPr>
        <w:instrText xml:space="preserve"> TOC \c "Case study" </w:instrText>
      </w:r>
      <w:r w:rsidRPr="00002536">
        <w:rPr>
          <w:sz w:val="24"/>
          <w:szCs w:val="24"/>
        </w:rPr>
        <w:fldChar w:fldCharType="separate"/>
      </w:r>
      <w:r w:rsidR="002C0F93" w:rsidRPr="002C0F93">
        <w:rPr>
          <w:noProof/>
        </w:rPr>
        <w:t xml:space="preserve">Case study I. </w:t>
      </w:r>
      <w:r w:rsidR="002C0F93" w:rsidRPr="00002536">
        <w:rPr>
          <w:rFonts w:eastAsiaTheme="minorEastAsia"/>
          <w:bCs/>
          <w:noProof/>
          <w:color w:val="000000"/>
          <w:lang w:eastAsia="sv-SE"/>
        </w:rPr>
        <w:t>Lessons learned from safeguard-related legal provisions in Ecuador</w:t>
      </w:r>
      <w:r w:rsidR="002C0F93" w:rsidRPr="002C0F93">
        <w:rPr>
          <w:noProof/>
        </w:rPr>
        <w:tab/>
      </w:r>
      <w:r w:rsidR="002C0F93" w:rsidRPr="00002536">
        <w:rPr>
          <w:noProof/>
        </w:rPr>
        <w:fldChar w:fldCharType="begin"/>
      </w:r>
      <w:r w:rsidR="002C0F93" w:rsidRPr="002C0F93">
        <w:rPr>
          <w:noProof/>
        </w:rPr>
        <w:instrText xml:space="preserve"> PAGEREF _Toc529190577 \h </w:instrText>
      </w:r>
      <w:r w:rsidR="002C0F93" w:rsidRPr="00002536">
        <w:rPr>
          <w:noProof/>
        </w:rPr>
      </w:r>
      <w:r w:rsidR="002C0F93" w:rsidRPr="00002536">
        <w:rPr>
          <w:noProof/>
        </w:rPr>
        <w:fldChar w:fldCharType="separate"/>
      </w:r>
      <w:r w:rsidR="002C0F93" w:rsidRPr="002C0F93">
        <w:rPr>
          <w:noProof/>
        </w:rPr>
        <w:t>45</w:t>
      </w:r>
      <w:r w:rsidR="002C0F93" w:rsidRPr="00002536">
        <w:rPr>
          <w:noProof/>
        </w:rPr>
        <w:fldChar w:fldCharType="end"/>
      </w:r>
    </w:p>
    <w:p w14:paraId="000ED399" w14:textId="77777777" w:rsidR="002C0F93" w:rsidRPr="002C0F93" w:rsidRDefault="002C0F93">
      <w:pPr>
        <w:pStyle w:val="TableofFigures"/>
        <w:tabs>
          <w:tab w:val="right" w:pos="9016"/>
        </w:tabs>
        <w:rPr>
          <w:rFonts w:eastAsiaTheme="minorEastAsia" w:cstheme="minorBidi"/>
          <w:i w:val="0"/>
          <w:noProof/>
          <w:sz w:val="22"/>
          <w:szCs w:val="22"/>
          <w:lang w:eastAsia="en-GB" w:bidi="ar-SA"/>
        </w:rPr>
      </w:pPr>
      <w:r w:rsidRPr="002C0F93">
        <w:rPr>
          <w:noProof/>
        </w:rPr>
        <w:t>Case study II. PES in the Maasai Mara region, Kenya</w:t>
      </w:r>
      <w:r w:rsidRPr="002C0F93">
        <w:rPr>
          <w:noProof/>
        </w:rPr>
        <w:tab/>
      </w:r>
      <w:r w:rsidRPr="00002536">
        <w:rPr>
          <w:noProof/>
        </w:rPr>
        <w:fldChar w:fldCharType="begin"/>
      </w:r>
      <w:r w:rsidRPr="002C0F93">
        <w:rPr>
          <w:noProof/>
        </w:rPr>
        <w:instrText xml:space="preserve"> PAGEREF _Toc529190578 \h </w:instrText>
      </w:r>
      <w:r w:rsidRPr="00002536">
        <w:rPr>
          <w:noProof/>
        </w:rPr>
      </w:r>
      <w:r w:rsidRPr="00002536">
        <w:rPr>
          <w:noProof/>
        </w:rPr>
        <w:fldChar w:fldCharType="separate"/>
      </w:r>
      <w:r w:rsidRPr="002C0F93">
        <w:rPr>
          <w:noProof/>
        </w:rPr>
        <w:t>47</w:t>
      </w:r>
      <w:r w:rsidRPr="00002536">
        <w:rPr>
          <w:noProof/>
        </w:rPr>
        <w:fldChar w:fldCharType="end"/>
      </w:r>
    </w:p>
    <w:p w14:paraId="53D83480" w14:textId="77777777" w:rsidR="002C0F93" w:rsidRPr="002C0F93" w:rsidRDefault="002C0F93">
      <w:pPr>
        <w:pStyle w:val="TableofFigures"/>
        <w:tabs>
          <w:tab w:val="right" w:pos="9016"/>
        </w:tabs>
        <w:rPr>
          <w:rFonts w:eastAsiaTheme="minorEastAsia" w:cstheme="minorBidi"/>
          <w:i w:val="0"/>
          <w:noProof/>
          <w:sz w:val="22"/>
          <w:szCs w:val="22"/>
          <w:lang w:eastAsia="en-GB" w:bidi="ar-SA"/>
        </w:rPr>
      </w:pPr>
      <w:r w:rsidRPr="002C0F93">
        <w:rPr>
          <w:noProof/>
        </w:rPr>
        <w:t>Case study II. Ecological compensation in Sweden, synchronizing biodiversity and social safeguards</w:t>
      </w:r>
      <w:r w:rsidRPr="002C0F93">
        <w:rPr>
          <w:noProof/>
        </w:rPr>
        <w:tab/>
      </w:r>
      <w:r w:rsidRPr="00002536">
        <w:rPr>
          <w:noProof/>
        </w:rPr>
        <w:fldChar w:fldCharType="begin"/>
      </w:r>
      <w:r w:rsidRPr="002C0F93">
        <w:rPr>
          <w:noProof/>
        </w:rPr>
        <w:instrText xml:space="preserve"> PAGEREF _Toc529190579 \h </w:instrText>
      </w:r>
      <w:r w:rsidRPr="00002536">
        <w:rPr>
          <w:noProof/>
        </w:rPr>
      </w:r>
      <w:r w:rsidRPr="00002536">
        <w:rPr>
          <w:noProof/>
        </w:rPr>
        <w:fldChar w:fldCharType="separate"/>
      </w:r>
      <w:r w:rsidRPr="002C0F93">
        <w:rPr>
          <w:noProof/>
        </w:rPr>
        <w:t>54</w:t>
      </w:r>
      <w:r w:rsidRPr="00002536">
        <w:rPr>
          <w:noProof/>
        </w:rPr>
        <w:fldChar w:fldCharType="end"/>
      </w:r>
    </w:p>
    <w:p w14:paraId="2862FAE1" w14:textId="77777777" w:rsidR="002C0F93" w:rsidRPr="002C0F93" w:rsidRDefault="002C0F93">
      <w:pPr>
        <w:pStyle w:val="TableofFigures"/>
        <w:tabs>
          <w:tab w:val="right" w:pos="9016"/>
        </w:tabs>
        <w:rPr>
          <w:rFonts w:eastAsiaTheme="minorEastAsia" w:cstheme="minorBidi"/>
          <w:i w:val="0"/>
          <w:noProof/>
          <w:sz w:val="22"/>
          <w:szCs w:val="22"/>
          <w:lang w:eastAsia="en-GB" w:bidi="ar-SA"/>
        </w:rPr>
      </w:pPr>
      <w:r w:rsidRPr="002C0F93">
        <w:rPr>
          <w:noProof/>
        </w:rPr>
        <w:t>Case study III. Responding to agricultural disease in biodiversity hotspots</w:t>
      </w:r>
      <w:r w:rsidRPr="002C0F93">
        <w:rPr>
          <w:noProof/>
        </w:rPr>
        <w:tab/>
      </w:r>
      <w:r w:rsidRPr="00002536">
        <w:rPr>
          <w:noProof/>
        </w:rPr>
        <w:fldChar w:fldCharType="begin"/>
      </w:r>
      <w:r w:rsidRPr="002C0F93">
        <w:rPr>
          <w:noProof/>
        </w:rPr>
        <w:instrText xml:space="preserve"> PAGEREF _Toc529190580 \h </w:instrText>
      </w:r>
      <w:r w:rsidRPr="00002536">
        <w:rPr>
          <w:noProof/>
        </w:rPr>
      </w:r>
      <w:r w:rsidRPr="00002536">
        <w:rPr>
          <w:noProof/>
        </w:rPr>
        <w:fldChar w:fldCharType="separate"/>
      </w:r>
      <w:r w:rsidRPr="002C0F93">
        <w:rPr>
          <w:noProof/>
        </w:rPr>
        <w:t>59</w:t>
      </w:r>
      <w:r w:rsidRPr="00002536">
        <w:rPr>
          <w:noProof/>
        </w:rPr>
        <w:fldChar w:fldCharType="end"/>
      </w:r>
    </w:p>
    <w:p w14:paraId="783F4BD2" w14:textId="77777777" w:rsidR="002C0F93" w:rsidRPr="002C0F93" w:rsidRDefault="002C0F93">
      <w:pPr>
        <w:pStyle w:val="TableofFigures"/>
        <w:tabs>
          <w:tab w:val="right" w:pos="9016"/>
        </w:tabs>
        <w:rPr>
          <w:rFonts w:eastAsiaTheme="minorEastAsia" w:cstheme="minorBidi"/>
          <w:i w:val="0"/>
          <w:noProof/>
          <w:sz w:val="22"/>
          <w:szCs w:val="22"/>
          <w:lang w:eastAsia="en-GB" w:bidi="ar-SA"/>
        </w:rPr>
      </w:pPr>
      <w:r w:rsidRPr="002C0F93">
        <w:rPr>
          <w:noProof/>
        </w:rPr>
        <w:t>Case study IV. Linking REDD+ and CBD guidelines for safeguards</w:t>
      </w:r>
      <w:r w:rsidRPr="002C0F93">
        <w:rPr>
          <w:noProof/>
        </w:rPr>
        <w:tab/>
      </w:r>
      <w:r w:rsidRPr="00002536">
        <w:rPr>
          <w:noProof/>
        </w:rPr>
        <w:fldChar w:fldCharType="begin"/>
      </w:r>
      <w:r w:rsidRPr="002C0F93">
        <w:rPr>
          <w:noProof/>
        </w:rPr>
        <w:instrText xml:space="preserve"> PAGEREF _Toc529190581 \h </w:instrText>
      </w:r>
      <w:r w:rsidRPr="00002536">
        <w:rPr>
          <w:noProof/>
        </w:rPr>
      </w:r>
      <w:r w:rsidRPr="00002536">
        <w:rPr>
          <w:noProof/>
        </w:rPr>
        <w:fldChar w:fldCharType="separate"/>
      </w:r>
      <w:r w:rsidRPr="002C0F93">
        <w:rPr>
          <w:noProof/>
        </w:rPr>
        <w:t>65</w:t>
      </w:r>
      <w:r w:rsidRPr="00002536">
        <w:rPr>
          <w:noProof/>
        </w:rPr>
        <w:fldChar w:fldCharType="end"/>
      </w:r>
    </w:p>
    <w:p w14:paraId="2F4CBF6F" w14:textId="77777777" w:rsidR="002C0F93" w:rsidRPr="002C0F93" w:rsidRDefault="002C0F93">
      <w:pPr>
        <w:pStyle w:val="TableofFigures"/>
        <w:tabs>
          <w:tab w:val="right" w:pos="9016"/>
        </w:tabs>
        <w:rPr>
          <w:rFonts w:eastAsiaTheme="minorEastAsia" w:cstheme="minorBidi"/>
          <w:i w:val="0"/>
          <w:noProof/>
          <w:sz w:val="22"/>
          <w:szCs w:val="22"/>
          <w:lang w:eastAsia="en-GB" w:bidi="ar-SA"/>
        </w:rPr>
      </w:pPr>
      <w:r w:rsidRPr="002C0F93">
        <w:rPr>
          <w:noProof/>
        </w:rPr>
        <w:t>Case study V. Environmental Impact Assessment in Lao PDR</w:t>
      </w:r>
      <w:r w:rsidRPr="002C0F93">
        <w:rPr>
          <w:noProof/>
        </w:rPr>
        <w:tab/>
      </w:r>
      <w:r w:rsidRPr="00002536">
        <w:rPr>
          <w:noProof/>
        </w:rPr>
        <w:fldChar w:fldCharType="begin"/>
      </w:r>
      <w:r w:rsidRPr="002C0F93">
        <w:rPr>
          <w:noProof/>
        </w:rPr>
        <w:instrText xml:space="preserve"> PAGEREF _Toc529190582 \h </w:instrText>
      </w:r>
      <w:r w:rsidRPr="00002536">
        <w:rPr>
          <w:noProof/>
        </w:rPr>
      </w:r>
      <w:r w:rsidRPr="00002536">
        <w:rPr>
          <w:noProof/>
        </w:rPr>
        <w:fldChar w:fldCharType="separate"/>
      </w:r>
      <w:r w:rsidRPr="002C0F93">
        <w:rPr>
          <w:noProof/>
        </w:rPr>
        <w:t>71</w:t>
      </w:r>
      <w:r w:rsidRPr="00002536">
        <w:rPr>
          <w:noProof/>
        </w:rPr>
        <w:fldChar w:fldCharType="end"/>
      </w:r>
    </w:p>
    <w:p w14:paraId="332E0282" w14:textId="77777777" w:rsidR="005C1A1B" w:rsidRPr="00632DBC" w:rsidRDefault="005C1A1B" w:rsidP="00517AF1">
      <w:pPr>
        <w:spacing w:after="120" w:line="360" w:lineRule="auto"/>
      </w:pPr>
      <w:r w:rsidRPr="00002536">
        <w:rPr>
          <w:rFonts w:asciiTheme="minorHAnsi" w:hAnsiTheme="minorHAnsi"/>
          <w:sz w:val="24"/>
          <w:szCs w:val="24"/>
        </w:rPr>
        <w:fldChar w:fldCharType="end"/>
      </w:r>
    </w:p>
    <w:p w14:paraId="1D6C3DAA" w14:textId="77777777" w:rsidR="00361868" w:rsidRPr="00632DBC" w:rsidRDefault="00361868" w:rsidP="00361868">
      <w:pPr>
        <w:spacing w:after="120" w:line="360" w:lineRule="auto"/>
        <w:rPr>
          <w:sz w:val="24"/>
          <w:szCs w:val="24"/>
        </w:rPr>
      </w:pPr>
    </w:p>
    <w:p w14:paraId="19B52E15" w14:textId="1BDCC74E" w:rsidR="00361868" w:rsidRPr="00632DBC" w:rsidRDefault="00361868" w:rsidP="00361868">
      <w:pPr>
        <w:spacing w:after="120" w:line="360" w:lineRule="auto"/>
        <w:rPr>
          <w:rFonts w:ascii="Times New Roman" w:hAnsi="Times New Roman"/>
          <w:b/>
          <w:sz w:val="24"/>
          <w:szCs w:val="24"/>
        </w:rPr>
      </w:pPr>
    </w:p>
    <w:p w14:paraId="3498D22C" w14:textId="77777777" w:rsidR="00810C20" w:rsidRPr="00633A71" w:rsidRDefault="00361868" w:rsidP="00361868">
      <w:pPr>
        <w:spacing w:after="0" w:line="240" w:lineRule="auto"/>
      </w:pPr>
      <w:r w:rsidRPr="00632DBC">
        <w:rPr>
          <w:rFonts w:ascii="Times New Roman" w:hAnsi="Times New Roman"/>
          <w:b/>
          <w:sz w:val="24"/>
          <w:szCs w:val="24"/>
        </w:rPr>
        <w:br w:type="column"/>
      </w:r>
    </w:p>
    <w:p w14:paraId="00078F09" w14:textId="77777777" w:rsidR="005C1A1B" w:rsidRPr="00632DBC" w:rsidRDefault="005C1A1B" w:rsidP="005C1A1B">
      <w:pPr>
        <w:pStyle w:val="Heading1"/>
        <w:jc w:val="both"/>
        <w:rPr>
          <w:rFonts w:ascii="Times New Roman" w:hAnsi="Times New Roman"/>
          <w:b/>
          <w:sz w:val="22"/>
          <w:lang w:val="en-GB"/>
        </w:rPr>
      </w:pPr>
      <w:bookmarkStart w:id="4" w:name="_Toc525719908"/>
      <w:bookmarkStart w:id="5" w:name="_Toc529199422"/>
      <w:bookmarkStart w:id="6" w:name="_Toc263943506"/>
      <w:bookmarkStart w:id="7" w:name="_Toc382590299"/>
      <w:bookmarkStart w:id="8" w:name="_Toc336533193"/>
      <w:bookmarkStart w:id="9" w:name="_Toc336552520"/>
      <w:r w:rsidRPr="00632DBC">
        <w:rPr>
          <w:rFonts w:ascii="Times New Roman" w:hAnsi="Times New Roman"/>
          <w:b/>
          <w:sz w:val="22"/>
          <w:lang w:val="en-GB"/>
        </w:rPr>
        <w:t>Index of tables</w:t>
      </w:r>
      <w:bookmarkEnd w:id="4"/>
      <w:bookmarkEnd w:id="5"/>
    </w:p>
    <w:p w14:paraId="29288F10" w14:textId="77777777" w:rsidR="005F7D3F" w:rsidRPr="00632DBC" w:rsidRDefault="005F7D3F" w:rsidP="005F7D3F"/>
    <w:p w14:paraId="446A8530" w14:textId="77777777" w:rsidR="00416E64" w:rsidRDefault="005C1A1B">
      <w:pPr>
        <w:pStyle w:val="TableofFigures"/>
        <w:tabs>
          <w:tab w:val="right" w:leader="dot" w:pos="9016"/>
        </w:tabs>
        <w:rPr>
          <w:rFonts w:eastAsiaTheme="minorEastAsia" w:cstheme="minorBidi"/>
          <w:i w:val="0"/>
          <w:noProof/>
          <w:sz w:val="22"/>
          <w:szCs w:val="22"/>
          <w:lang w:eastAsia="en-GB" w:bidi="ar-SA"/>
        </w:rPr>
      </w:pPr>
      <w:r w:rsidRPr="00632DBC">
        <w:rPr>
          <w:sz w:val="22"/>
          <w:szCs w:val="22"/>
        </w:rPr>
        <w:fldChar w:fldCharType="begin"/>
      </w:r>
      <w:r w:rsidRPr="00632DBC">
        <w:rPr>
          <w:sz w:val="22"/>
          <w:szCs w:val="22"/>
        </w:rPr>
        <w:instrText xml:space="preserve"> TOC \c "Table" </w:instrText>
      </w:r>
      <w:r w:rsidRPr="00632DBC">
        <w:rPr>
          <w:sz w:val="22"/>
          <w:szCs w:val="22"/>
        </w:rPr>
        <w:fldChar w:fldCharType="separate"/>
      </w:r>
      <w:r w:rsidR="00416E64">
        <w:rPr>
          <w:noProof/>
        </w:rPr>
        <w:t xml:space="preserve">Table 1. </w:t>
      </w:r>
      <w:r w:rsidR="00416E64">
        <w:rPr>
          <w:noProof/>
          <w:lang w:eastAsia="es-ES"/>
        </w:rPr>
        <w:t>International legal instruments informing the guidelines</w:t>
      </w:r>
      <w:r w:rsidR="00416E64">
        <w:rPr>
          <w:noProof/>
        </w:rPr>
        <w:tab/>
      </w:r>
      <w:r w:rsidR="00416E64">
        <w:rPr>
          <w:noProof/>
        </w:rPr>
        <w:fldChar w:fldCharType="begin"/>
      </w:r>
      <w:r w:rsidR="00416E64">
        <w:rPr>
          <w:noProof/>
        </w:rPr>
        <w:instrText xml:space="preserve"> PAGEREF _Toc529192210 \h </w:instrText>
      </w:r>
      <w:r w:rsidR="00416E64">
        <w:rPr>
          <w:noProof/>
        </w:rPr>
      </w:r>
      <w:r w:rsidR="00416E64">
        <w:rPr>
          <w:noProof/>
        </w:rPr>
        <w:fldChar w:fldCharType="separate"/>
      </w:r>
      <w:r w:rsidR="00416E64">
        <w:rPr>
          <w:noProof/>
        </w:rPr>
        <w:t>30</w:t>
      </w:r>
      <w:r w:rsidR="00416E64">
        <w:rPr>
          <w:noProof/>
        </w:rPr>
        <w:fldChar w:fldCharType="end"/>
      </w:r>
    </w:p>
    <w:p w14:paraId="45845D07"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2. Types of safeguards and guidelines</w:t>
      </w:r>
      <w:r>
        <w:rPr>
          <w:noProof/>
        </w:rPr>
        <w:tab/>
      </w:r>
      <w:r>
        <w:rPr>
          <w:noProof/>
        </w:rPr>
        <w:fldChar w:fldCharType="begin"/>
      </w:r>
      <w:r>
        <w:rPr>
          <w:noProof/>
        </w:rPr>
        <w:instrText xml:space="preserve"> PAGEREF _Toc529192211 \h </w:instrText>
      </w:r>
      <w:r>
        <w:rPr>
          <w:noProof/>
        </w:rPr>
      </w:r>
      <w:r>
        <w:rPr>
          <w:noProof/>
        </w:rPr>
        <w:fldChar w:fldCharType="separate"/>
      </w:r>
      <w:r>
        <w:rPr>
          <w:noProof/>
        </w:rPr>
        <w:t>32</w:t>
      </w:r>
      <w:r>
        <w:rPr>
          <w:noProof/>
        </w:rPr>
        <w:fldChar w:fldCharType="end"/>
      </w:r>
    </w:p>
    <w:p w14:paraId="01F1A02D"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 xml:space="preserve">Table 3. Lessons learned from safeguard-related legal provisions in Ecuador and from their operationalization in </w:t>
      </w:r>
      <w:r w:rsidRPr="001538FC">
        <w:rPr>
          <w:noProof/>
        </w:rPr>
        <w:t>Proyecto Socio Bosque</w:t>
      </w:r>
      <w:r>
        <w:rPr>
          <w:noProof/>
        </w:rPr>
        <w:tab/>
      </w:r>
      <w:r>
        <w:rPr>
          <w:noProof/>
        </w:rPr>
        <w:fldChar w:fldCharType="begin"/>
      </w:r>
      <w:r>
        <w:rPr>
          <w:noProof/>
        </w:rPr>
        <w:instrText xml:space="preserve"> PAGEREF _Toc529192212 \h </w:instrText>
      </w:r>
      <w:r>
        <w:rPr>
          <w:noProof/>
        </w:rPr>
      </w:r>
      <w:r>
        <w:rPr>
          <w:noProof/>
        </w:rPr>
        <w:fldChar w:fldCharType="separate"/>
      </w:r>
      <w:r>
        <w:rPr>
          <w:noProof/>
        </w:rPr>
        <w:t>46</w:t>
      </w:r>
      <w:r>
        <w:rPr>
          <w:noProof/>
        </w:rPr>
        <w:fldChar w:fldCharType="end"/>
      </w:r>
    </w:p>
    <w:p w14:paraId="2D9A8E87"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4. Strategies for implementing the CBD guidelines for safeguards and corresponding lessons learned from the case of Payment for Ecosystem Services in the Olare Orok conservancy in Kenya.</w:t>
      </w:r>
      <w:r>
        <w:rPr>
          <w:noProof/>
        </w:rPr>
        <w:tab/>
      </w:r>
      <w:r>
        <w:rPr>
          <w:noProof/>
        </w:rPr>
        <w:fldChar w:fldCharType="begin"/>
      </w:r>
      <w:r>
        <w:rPr>
          <w:noProof/>
        </w:rPr>
        <w:instrText xml:space="preserve"> PAGEREF _Toc529192213 \h </w:instrText>
      </w:r>
      <w:r>
        <w:rPr>
          <w:noProof/>
        </w:rPr>
      </w:r>
      <w:r>
        <w:rPr>
          <w:noProof/>
        </w:rPr>
        <w:fldChar w:fldCharType="separate"/>
      </w:r>
      <w:r>
        <w:rPr>
          <w:noProof/>
        </w:rPr>
        <w:t>50</w:t>
      </w:r>
      <w:r>
        <w:rPr>
          <w:noProof/>
        </w:rPr>
        <w:fldChar w:fldCharType="end"/>
      </w:r>
    </w:p>
    <w:p w14:paraId="1D5AA305"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5. The CBD guidelines for safeguards in BFM and lessons learned from the operationalisation of safeguards in ecological compensation in Sweden.</w:t>
      </w:r>
      <w:r>
        <w:rPr>
          <w:noProof/>
        </w:rPr>
        <w:tab/>
      </w:r>
      <w:r>
        <w:rPr>
          <w:noProof/>
        </w:rPr>
        <w:fldChar w:fldCharType="begin"/>
      </w:r>
      <w:r>
        <w:rPr>
          <w:noProof/>
        </w:rPr>
        <w:instrText xml:space="preserve"> PAGEREF _Toc529192214 \h </w:instrText>
      </w:r>
      <w:r>
        <w:rPr>
          <w:noProof/>
        </w:rPr>
      </w:r>
      <w:r>
        <w:rPr>
          <w:noProof/>
        </w:rPr>
        <w:fldChar w:fldCharType="separate"/>
      </w:r>
      <w:r>
        <w:rPr>
          <w:noProof/>
        </w:rPr>
        <w:t>56</w:t>
      </w:r>
      <w:r>
        <w:rPr>
          <w:noProof/>
        </w:rPr>
        <w:fldChar w:fldCharType="end"/>
      </w:r>
    </w:p>
    <w:p w14:paraId="392CB65B"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6. Lessons learned from safeguard-related provisions, both substantive and procedural, and their operationalization in agroforestry diverse systems.</w:t>
      </w:r>
      <w:r>
        <w:rPr>
          <w:noProof/>
        </w:rPr>
        <w:tab/>
      </w:r>
      <w:r>
        <w:rPr>
          <w:noProof/>
        </w:rPr>
        <w:fldChar w:fldCharType="begin"/>
      </w:r>
      <w:r>
        <w:rPr>
          <w:noProof/>
        </w:rPr>
        <w:instrText xml:space="preserve"> PAGEREF _Toc529192215 \h </w:instrText>
      </w:r>
      <w:r>
        <w:rPr>
          <w:noProof/>
        </w:rPr>
      </w:r>
      <w:r>
        <w:rPr>
          <w:noProof/>
        </w:rPr>
        <w:fldChar w:fldCharType="separate"/>
      </w:r>
      <w:r>
        <w:rPr>
          <w:noProof/>
        </w:rPr>
        <w:t>61</w:t>
      </w:r>
      <w:r>
        <w:rPr>
          <w:noProof/>
        </w:rPr>
        <w:fldChar w:fldCharType="end"/>
      </w:r>
    </w:p>
    <w:p w14:paraId="035C9C1A"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7. Instruments for implementing the CBD guidelines for safeguards, and lessons learned, from coffee plantations affected by coffee rust</w:t>
      </w:r>
      <w:r>
        <w:rPr>
          <w:noProof/>
        </w:rPr>
        <w:tab/>
      </w:r>
      <w:r>
        <w:rPr>
          <w:noProof/>
        </w:rPr>
        <w:fldChar w:fldCharType="begin"/>
      </w:r>
      <w:r>
        <w:rPr>
          <w:noProof/>
        </w:rPr>
        <w:instrText xml:space="preserve"> PAGEREF _Toc529192216 \h </w:instrText>
      </w:r>
      <w:r>
        <w:rPr>
          <w:noProof/>
        </w:rPr>
      </w:r>
      <w:r>
        <w:rPr>
          <w:noProof/>
        </w:rPr>
        <w:fldChar w:fldCharType="separate"/>
      </w:r>
      <w:r>
        <w:rPr>
          <w:noProof/>
        </w:rPr>
        <w:t>62</w:t>
      </w:r>
      <w:r>
        <w:rPr>
          <w:noProof/>
        </w:rPr>
        <w:fldChar w:fldCharType="end"/>
      </w:r>
    </w:p>
    <w:p w14:paraId="12DD3929"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8. Lessons learned from biodiversity and social safeguards in REDD+ related legal provisions in Mexico</w:t>
      </w:r>
      <w:r>
        <w:rPr>
          <w:noProof/>
        </w:rPr>
        <w:tab/>
      </w:r>
      <w:r>
        <w:rPr>
          <w:noProof/>
        </w:rPr>
        <w:fldChar w:fldCharType="begin"/>
      </w:r>
      <w:r>
        <w:rPr>
          <w:noProof/>
        </w:rPr>
        <w:instrText xml:space="preserve"> PAGEREF _Toc529192217 \h </w:instrText>
      </w:r>
      <w:r>
        <w:rPr>
          <w:noProof/>
        </w:rPr>
      </w:r>
      <w:r>
        <w:rPr>
          <w:noProof/>
        </w:rPr>
        <w:fldChar w:fldCharType="separate"/>
      </w:r>
      <w:r>
        <w:rPr>
          <w:noProof/>
        </w:rPr>
        <w:t>66</w:t>
      </w:r>
      <w:r>
        <w:rPr>
          <w:noProof/>
        </w:rPr>
        <w:fldChar w:fldCharType="end"/>
      </w:r>
    </w:p>
    <w:p w14:paraId="4BE697B6"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9. Instruments for implementing the CBD guidelines for safeguards, and lessons learned, from REDD+ related regulations in Mexico</w:t>
      </w:r>
      <w:r>
        <w:rPr>
          <w:noProof/>
        </w:rPr>
        <w:tab/>
      </w:r>
      <w:r>
        <w:rPr>
          <w:noProof/>
        </w:rPr>
        <w:fldChar w:fldCharType="begin"/>
      </w:r>
      <w:r>
        <w:rPr>
          <w:noProof/>
        </w:rPr>
        <w:instrText xml:space="preserve"> PAGEREF _Toc529192218 \h </w:instrText>
      </w:r>
      <w:r>
        <w:rPr>
          <w:noProof/>
        </w:rPr>
      </w:r>
      <w:r>
        <w:rPr>
          <w:noProof/>
        </w:rPr>
        <w:fldChar w:fldCharType="separate"/>
      </w:r>
      <w:r>
        <w:rPr>
          <w:noProof/>
        </w:rPr>
        <w:t>69</w:t>
      </w:r>
      <w:r>
        <w:rPr>
          <w:noProof/>
        </w:rPr>
        <w:fldChar w:fldCharType="end"/>
      </w:r>
    </w:p>
    <w:p w14:paraId="6856F556"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10. Lessons learned from safeguard-related legal provisions of the ESIA regulatory framework in Lao PDR</w:t>
      </w:r>
      <w:r>
        <w:rPr>
          <w:noProof/>
        </w:rPr>
        <w:tab/>
      </w:r>
      <w:r>
        <w:rPr>
          <w:noProof/>
        </w:rPr>
        <w:fldChar w:fldCharType="begin"/>
      </w:r>
      <w:r>
        <w:rPr>
          <w:noProof/>
        </w:rPr>
        <w:instrText xml:space="preserve"> PAGEREF _Toc529192219 \h </w:instrText>
      </w:r>
      <w:r>
        <w:rPr>
          <w:noProof/>
        </w:rPr>
      </w:r>
      <w:r>
        <w:rPr>
          <w:noProof/>
        </w:rPr>
        <w:fldChar w:fldCharType="separate"/>
      </w:r>
      <w:r>
        <w:rPr>
          <w:noProof/>
        </w:rPr>
        <w:t>72</w:t>
      </w:r>
      <w:r>
        <w:rPr>
          <w:noProof/>
        </w:rPr>
        <w:fldChar w:fldCharType="end"/>
      </w:r>
    </w:p>
    <w:p w14:paraId="6B0EC45F" w14:textId="77777777" w:rsidR="00416E64" w:rsidRDefault="00416E64">
      <w:pPr>
        <w:pStyle w:val="TableofFigures"/>
        <w:tabs>
          <w:tab w:val="right" w:leader="dot" w:pos="9016"/>
        </w:tabs>
        <w:rPr>
          <w:rFonts w:eastAsiaTheme="minorEastAsia" w:cstheme="minorBidi"/>
          <w:i w:val="0"/>
          <w:noProof/>
          <w:sz w:val="22"/>
          <w:szCs w:val="22"/>
          <w:lang w:eastAsia="en-GB" w:bidi="ar-SA"/>
        </w:rPr>
      </w:pPr>
      <w:r>
        <w:rPr>
          <w:noProof/>
        </w:rPr>
        <w:t>Table 11. Regulations for implementing the CBD guidelines for safeguards, and corresponding lessons learned from the ESIA regulatory framework in Laos PDR</w:t>
      </w:r>
      <w:r>
        <w:rPr>
          <w:noProof/>
        </w:rPr>
        <w:tab/>
      </w:r>
      <w:r>
        <w:rPr>
          <w:noProof/>
        </w:rPr>
        <w:fldChar w:fldCharType="begin"/>
      </w:r>
      <w:r>
        <w:rPr>
          <w:noProof/>
        </w:rPr>
        <w:instrText xml:space="preserve"> PAGEREF _Toc529192220 \h </w:instrText>
      </w:r>
      <w:r>
        <w:rPr>
          <w:noProof/>
        </w:rPr>
      </w:r>
      <w:r>
        <w:rPr>
          <w:noProof/>
        </w:rPr>
        <w:fldChar w:fldCharType="separate"/>
      </w:r>
      <w:r>
        <w:rPr>
          <w:noProof/>
        </w:rPr>
        <w:t>76</w:t>
      </w:r>
      <w:r>
        <w:rPr>
          <w:noProof/>
        </w:rPr>
        <w:fldChar w:fldCharType="end"/>
      </w:r>
    </w:p>
    <w:p w14:paraId="5F1128B7" w14:textId="77777777" w:rsidR="005C1A1B" w:rsidRPr="00632DBC" w:rsidRDefault="005C1A1B" w:rsidP="003C2BEF">
      <w:pPr>
        <w:spacing w:after="120" w:line="360" w:lineRule="auto"/>
      </w:pPr>
      <w:r w:rsidRPr="00632DBC">
        <w:fldChar w:fldCharType="end"/>
      </w:r>
    </w:p>
    <w:p w14:paraId="032BD409" w14:textId="6AE4765D" w:rsidR="005F7D3F" w:rsidRPr="00632DBC" w:rsidRDefault="005F7D3F" w:rsidP="008B03F7">
      <w:pPr>
        <w:spacing w:after="120" w:line="360" w:lineRule="auto"/>
      </w:pPr>
    </w:p>
    <w:p w14:paraId="56B59519" w14:textId="1AC7D25B" w:rsidR="00810C20" w:rsidRPr="00632DBC" w:rsidRDefault="005872FB" w:rsidP="00361868">
      <w:pPr>
        <w:pStyle w:val="Heading1"/>
        <w:spacing w:before="0" w:after="120" w:line="360" w:lineRule="auto"/>
        <w:rPr>
          <w:rFonts w:ascii="Times New Roman" w:hAnsi="Times New Roman"/>
          <w:b/>
          <w:sz w:val="22"/>
          <w:lang w:val="en-GB"/>
        </w:rPr>
      </w:pPr>
      <w:r w:rsidRPr="00632DBC">
        <w:rPr>
          <w:rFonts w:ascii="Times New Roman" w:hAnsi="Times New Roman"/>
          <w:b/>
          <w:sz w:val="22"/>
          <w:lang w:val="en-GB"/>
        </w:rPr>
        <w:br w:type="column"/>
      </w:r>
      <w:bookmarkStart w:id="10" w:name="_Toc529199423"/>
      <w:r w:rsidR="00810C20" w:rsidRPr="00632DBC">
        <w:rPr>
          <w:rFonts w:ascii="Times New Roman" w:hAnsi="Times New Roman"/>
          <w:b/>
          <w:sz w:val="22"/>
          <w:szCs w:val="22"/>
          <w:lang w:val="en-GB"/>
        </w:rPr>
        <w:lastRenderedPageBreak/>
        <w:t>Executive summary</w:t>
      </w:r>
      <w:bookmarkEnd w:id="6"/>
      <w:bookmarkEnd w:id="7"/>
      <w:bookmarkEnd w:id="10"/>
    </w:p>
    <w:p w14:paraId="0F25C623" w14:textId="77777777" w:rsidR="00810C20" w:rsidRPr="00632DBC" w:rsidRDefault="00810C20" w:rsidP="004401C5">
      <w:pPr>
        <w:tabs>
          <w:tab w:val="left" w:pos="4253"/>
        </w:tabs>
        <w:spacing w:after="140" w:line="240" w:lineRule="auto"/>
        <w:jc w:val="both"/>
        <w:rPr>
          <w:rFonts w:ascii="Times New Roman" w:hAnsi="Times New Roman"/>
        </w:rPr>
      </w:pPr>
    </w:p>
    <w:p w14:paraId="332A7450" w14:textId="2B641C2F" w:rsidR="00FD75C6" w:rsidRPr="00632DBC" w:rsidRDefault="00FD75C6" w:rsidP="004401C5">
      <w:pPr>
        <w:pStyle w:val="Default"/>
        <w:jc w:val="both"/>
        <w:rPr>
          <w:rFonts w:ascii="Times New Roman" w:hAnsi="Times New Roman"/>
          <w:color w:val="auto"/>
          <w:sz w:val="22"/>
          <w:szCs w:val="22"/>
          <w:lang w:val="en-GB"/>
        </w:rPr>
      </w:pPr>
      <w:r w:rsidRPr="00632DBC">
        <w:rPr>
          <w:rFonts w:ascii="Times New Roman" w:hAnsi="Times New Roman"/>
          <w:color w:val="auto"/>
          <w:sz w:val="22"/>
          <w:lang w:val="en-GB"/>
        </w:rPr>
        <w:t>Mainstreaming biodiversity</w:t>
      </w:r>
      <w:r w:rsidR="0030014E" w:rsidRPr="00632DBC">
        <w:rPr>
          <w:rFonts w:ascii="Times New Roman" w:hAnsi="Times New Roman"/>
          <w:color w:val="auto"/>
          <w:sz w:val="22"/>
          <w:lang w:val="en-GB"/>
        </w:rPr>
        <w:t xml:space="preserve"> within and across sectors</w:t>
      </w:r>
      <w:r w:rsidRPr="00632DBC">
        <w:rPr>
          <w:rFonts w:ascii="Times New Roman" w:hAnsi="Times New Roman"/>
          <w:color w:val="auto"/>
          <w:sz w:val="22"/>
          <w:lang w:val="en-GB"/>
        </w:rPr>
        <w:t xml:space="preserve"> is a critical approach for </w:t>
      </w:r>
      <w:r w:rsidR="00B02733" w:rsidRPr="00632DBC">
        <w:rPr>
          <w:rFonts w:ascii="Times New Roman" w:hAnsi="Times New Roman"/>
          <w:color w:val="auto"/>
          <w:sz w:val="22"/>
          <w:szCs w:val="22"/>
          <w:lang w:val="en-GB"/>
        </w:rPr>
        <w:t>achieving</w:t>
      </w:r>
      <w:r w:rsidRPr="00632DBC">
        <w:rPr>
          <w:rFonts w:ascii="Times New Roman" w:hAnsi="Times New Roman"/>
          <w:color w:val="auto"/>
          <w:sz w:val="22"/>
          <w:lang w:val="en-GB"/>
        </w:rPr>
        <w:t xml:space="preserve"> the objectives</w:t>
      </w:r>
      <w:r w:rsidR="00AA6D52" w:rsidRPr="00632DBC">
        <w:rPr>
          <w:rFonts w:ascii="Times New Roman" w:hAnsi="Times New Roman"/>
          <w:color w:val="auto"/>
          <w:sz w:val="22"/>
          <w:lang w:val="en-GB"/>
        </w:rPr>
        <w:t xml:space="preserve"> of the Convention on Biological Diversity (CBD)</w:t>
      </w:r>
      <w:r w:rsidR="00B661CE" w:rsidRPr="00632DBC">
        <w:rPr>
          <w:rFonts w:ascii="Times New Roman" w:hAnsi="Times New Roman"/>
          <w:color w:val="auto"/>
          <w:sz w:val="22"/>
          <w:szCs w:val="22"/>
          <w:lang w:val="en-GB"/>
        </w:rPr>
        <w:t>,</w:t>
      </w:r>
      <w:r w:rsidR="00AA6D52" w:rsidRPr="00632DBC">
        <w:rPr>
          <w:rFonts w:ascii="Times New Roman" w:hAnsi="Times New Roman"/>
          <w:color w:val="auto"/>
          <w:sz w:val="22"/>
          <w:lang w:val="en-GB"/>
        </w:rPr>
        <w:t xml:space="preserve"> </w:t>
      </w:r>
      <w:r w:rsidR="0030014E" w:rsidRPr="00632DBC">
        <w:rPr>
          <w:rFonts w:ascii="Times New Roman" w:hAnsi="Times New Roman"/>
          <w:color w:val="auto"/>
          <w:sz w:val="22"/>
          <w:lang w:val="en-GB"/>
        </w:rPr>
        <w:t>as highlighted in Decision XIII/3 and the Cancun Declaration by the high-level segment of the United Natio</w:t>
      </w:r>
      <w:r w:rsidR="00792CCB" w:rsidRPr="00632DBC">
        <w:rPr>
          <w:rFonts w:ascii="Times New Roman" w:hAnsi="Times New Roman"/>
          <w:color w:val="auto"/>
          <w:sz w:val="22"/>
          <w:lang w:val="en-GB"/>
        </w:rPr>
        <w:t>ns Biodiversity Conference in</w:t>
      </w:r>
      <w:r w:rsidR="0030014E" w:rsidRPr="00632DBC">
        <w:rPr>
          <w:rFonts w:ascii="Times New Roman" w:hAnsi="Times New Roman"/>
          <w:color w:val="auto"/>
          <w:sz w:val="22"/>
          <w:lang w:val="en-GB"/>
        </w:rPr>
        <w:t xml:space="preserve"> 2016 (UNEP/CBD/COP/13/24)</w:t>
      </w:r>
      <w:r w:rsidRPr="00632DBC">
        <w:rPr>
          <w:rFonts w:ascii="Times New Roman" w:hAnsi="Times New Roman"/>
          <w:color w:val="auto"/>
          <w:sz w:val="22"/>
          <w:lang w:val="en-GB"/>
        </w:rPr>
        <w:t>. While numerous</w:t>
      </w:r>
      <w:r w:rsidRPr="00632DBC">
        <w:rPr>
          <w:rFonts w:ascii="Times New Roman" w:hAnsi="Times New Roman"/>
          <w:color w:val="auto"/>
          <w:sz w:val="22"/>
          <w:szCs w:val="22"/>
          <w:lang w:val="en-GB"/>
        </w:rPr>
        <w:t xml:space="preserve"> policies and tools exist to address the mainstreaming of biodiversity, many gaps in their implementation also exist. </w:t>
      </w:r>
      <w:r w:rsidR="0030014E" w:rsidRPr="00632DBC">
        <w:rPr>
          <w:rFonts w:ascii="Times New Roman" w:hAnsi="Times New Roman"/>
          <w:color w:val="auto"/>
          <w:sz w:val="22"/>
          <w:szCs w:val="22"/>
          <w:lang w:val="en-GB"/>
        </w:rPr>
        <w:t>Resource mobilisation for conservation and sustainable use of biodiversity is needed.</w:t>
      </w:r>
      <w:r w:rsidR="00792CCB" w:rsidRPr="00632DBC">
        <w:rPr>
          <w:rFonts w:ascii="Times New Roman" w:hAnsi="Times New Roman"/>
          <w:color w:val="auto"/>
          <w:sz w:val="22"/>
          <w:szCs w:val="22"/>
          <w:lang w:val="en-GB"/>
        </w:rPr>
        <w:t xml:space="preserve"> </w:t>
      </w:r>
      <w:r w:rsidRPr="00632DBC">
        <w:rPr>
          <w:rFonts w:ascii="Times New Roman" w:hAnsi="Times New Roman"/>
          <w:color w:val="auto"/>
          <w:sz w:val="22"/>
          <w:szCs w:val="22"/>
          <w:lang w:val="en-GB"/>
        </w:rPr>
        <w:t xml:space="preserve">Good governance and safeguards in resource </w:t>
      </w:r>
      <w:r w:rsidR="00B0310B" w:rsidRPr="00632DBC">
        <w:rPr>
          <w:rFonts w:ascii="Times New Roman" w:hAnsi="Times New Roman"/>
          <w:color w:val="auto"/>
          <w:sz w:val="22"/>
          <w:szCs w:val="22"/>
          <w:lang w:val="en-GB"/>
        </w:rPr>
        <w:t xml:space="preserve">mobilization play a key role </w:t>
      </w:r>
      <w:r w:rsidR="00792CCB" w:rsidRPr="00632DBC">
        <w:rPr>
          <w:rFonts w:ascii="Times New Roman" w:hAnsi="Times New Roman"/>
          <w:color w:val="auto"/>
          <w:sz w:val="22"/>
          <w:szCs w:val="22"/>
          <w:lang w:val="en-GB"/>
        </w:rPr>
        <w:t>in</w:t>
      </w:r>
      <w:r w:rsidRPr="00632DBC">
        <w:rPr>
          <w:rFonts w:ascii="Times New Roman" w:hAnsi="Times New Roman"/>
          <w:color w:val="auto"/>
          <w:sz w:val="22"/>
          <w:szCs w:val="22"/>
          <w:lang w:val="en-GB"/>
        </w:rPr>
        <w:t xml:space="preserve"> fostering positive </w:t>
      </w:r>
      <w:r w:rsidR="00B0310B" w:rsidRPr="00632DBC">
        <w:rPr>
          <w:rFonts w:ascii="Times New Roman" w:hAnsi="Times New Roman"/>
          <w:color w:val="auto"/>
          <w:sz w:val="22"/>
          <w:szCs w:val="22"/>
          <w:lang w:val="en-GB"/>
        </w:rPr>
        <w:t>social-ecological outcomes</w:t>
      </w:r>
      <w:r w:rsidRPr="00632DBC">
        <w:rPr>
          <w:rFonts w:ascii="Times New Roman" w:hAnsi="Times New Roman"/>
          <w:color w:val="auto"/>
          <w:sz w:val="22"/>
          <w:szCs w:val="22"/>
          <w:lang w:val="en-GB"/>
        </w:rPr>
        <w:t xml:space="preserve"> in practice.</w:t>
      </w:r>
      <w:r w:rsidRPr="00632DBC">
        <w:rPr>
          <w:rFonts w:ascii="Times New Roman" w:hAnsi="Times New Roman"/>
          <w:color w:val="auto"/>
          <w:sz w:val="22"/>
          <w:lang w:val="en-GB"/>
        </w:rPr>
        <w:t xml:space="preserve"> The </w:t>
      </w:r>
      <w:r w:rsidR="00416E64" w:rsidRPr="00632DBC">
        <w:rPr>
          <w:rFonts w:ascii="Times New Roman" w:hAnsi="Times New Roman"/>
          <w:color w:val="auto"/>
          <w:sz w:val="22"/>
          <w:lang w:val="en-GB"/>
        </w:rPr>
        <w:t>post</w:t>
      </w:r>
      <w:r w:rsidR="00416E64">
        <w:rPr>
          <w:rFonts w:ascii="Times New Roman" w:hAnsi="Times New Roman"/>
          <w:color w:val="auto"/>
          <w:sz w:val="22"/>
          <w:lang w:val="en-GB"/>
        </w:rPr>
        <w:t>-</w:t>
      </w:r>
      <w:r w:rsidRPr="00632DBC">
        <w:rPr>
          <w:rFonts w:ascii="Times New Roman" w:hAnsi="Times New Roman"/>
          <w:color w:val="auto"/>
          <w:sz w:val="22"/>
          <w:lang w:val="en-GB"/>
        </w:rPr>
        <w:t xml:space="preserve">2020 global biodiversity framework provides a window of opportunity for rethinking the role of legal instruments, principles, standards and safeguards in </w:t>
      </w:r>
      <w:r w:rsidRPr="00632DBC">
        <w:rPr>
          <w:rFonts w:ascii="Times New Roman" w:hAnsi="Times New Roman"/>
          <w:color w:val="auto"/>
          <w:sz w:val="22"/>
          <w:szCs w:val="22"/>
          <w:lang w:val="en-GB"/>
        </w:rPr>
        <w:t>fostering win-win strategies for people and nature.</w:t>
      </w:r>
    </w:p>
    <w:p w14:paraId="2011CA39" w14:textId="240606E9" w:rsidR="00B0310B" w:rsidRPr="00632DBC" w:rsidRDefault="00FD75C6" w:rsidP="00CD7D11">
      <w:pPr>
        <w:pStyle w:val="Default"/>
        <w:jc w:val="both"/>
        <w:rPr>
          <w:rFonts w:ascii="Times New Roman" w:hAnsi="Times New Roman"/>
          <w:color w:val="auto"/>
          <w:sz w:val="22"/>
          <w:lang w:val="en-GB"/>
        </w:rPr>
      </w:pPr>
      <w:r w:rsidRPr="00632DBC">
        <w:rPr>
          <w:rFonts w:ascii="Times New Roman" w:hAnsi="Times New Roman"/>
          <w:color w:val="auto"/>
          <w:sz w:val="22"/>
          <w:lang w:val="en-GB"/>
        </w:rPr>
        <w:t xml:space="preserve">This policy </w:t>
      </w:r>
      <w:r w:rsidR="00B0310B" w:rsidRPr="00632DBC">
        <w:rPr>
          <w:rFonts w:ascii="Times New Roman" w:hAnsi="Times New Roman"/>
          <w:color w:val="auto"/>
          <w:sz w:val="22"/>
          <w:lang w:val="en-GB"/>
        </w:rPr>
        <w:t xml:space="preserve">paper aims to contribute to </w:t>
      </w:r>
      <w:r w:rsidR="00B0310B" w:rsidRPr="00632DBC">
        <w:rPr>
          <w:rFonts w:ascii="Times New Roman" w:hAnsi="Times New Roman"/>
          <w:color w:val="auto"/>
          <w:sz w:val="22"/>
          <w:szCs w:val="22"/>
          <w:lang w:val="en-GB"/>
        </w:rPr>
        <w:t>foster</w:t>
      </w:r>
      <w:r w:rsidR="00B86719" w:rsidRPr="00632DBC">
        <w:rPr>
          <w:rFonts w:ascii="Times New Roman" w:hAnsi="Times New Roman"/>
          <w:color w:val="auto"/>
          <w:sz w:val="22"/>
          <w:szCs w:val="22"/>
          <w:lang w:val="en-GB"/>
        </w:rPr>
        <w:t>ing</w:t>
      </w:r>
      <w:r w:rsidR="00B0310B" w:rsidRPr="00632DBC">
        <w:rPr>
          <w:rFonts w:ascii="Times New Roman" w:hAnsi="Times New Roman"/>
          <w:color w:val="auto"/>
          <w:sz w:val="22"/>
          <w:lang w:val="en-GB"/>
        </w:rPr>
        <w:t xml:space="preserve"> an info</w:t>
      </w:r>
      <w:r w:rsidR="004E22D1" w:rsidRPr="00632DBC">
        <w:rPr>
          <w:rFonts w:ascii="Times New Roman" w:hAnsi="Times New Roman"/>
          <w:color w:val="auto"/>
          <w:sz w:val="22"/>
          <w:lang w:val="en-GB"/>
        </w:rPr>
        <w:t>r</w:t>
      </w:r>
      <w:r w:rsidR="00B0310B" w:rsidRPr="00632DBC">
        <w:rPr>
          <w:rFonts w:ascii="Times New Roman" w:hAnsi="Times New Roman"/>
          <w:color w:val="auto"/>
          <w:sz w:val="22"/>
          <w:lang w:val="en-GB"/>
        </w:rPr>
        <w:t>med and interactive</w:t>
      </w:r>
      <w:r w:rsidRPr="00632DBC">
        <w:rPr>
          <w:rFonts w:ascii="Times New Roman" w:hAnsi="Times New Roman"/>
          <w:color w:val="auto"/>
          <w:sz w:val="22"/>
          <w:lang w:val="en-GB"/>
        </w:rPr>
        <w:t xml:space="preserve"> </w:t>
      </w:r>
      <w:r w:rsidR="00D91E29" w:rsidRPr="00632DBC">
        <w:rPr>
          <w:rFonts w:ascii="Times New Roman" w:hAnsi="Times New Roman"/>
          <w:color w:val="auto"/>
          <w:sz w:val="22"/>
          <w:lang w:val="en-GB"/>
        </w:rPr>
        <w:t>dialogue with Parties</w:t>
      </w:r>
      <w:r w:rsidR="00B0310B" w:rsidRPr="00632DBC">
        <w:rPr>
          <w:rFonts w:ascii="Times New Roman" w:hAnsi="Times New Roman"/>
          <w:color w:val="auto"/>
          <w:sz w:val="22"/>
          <w:lang w:val="en-GB"/>
        </w:rPr>
        <w:t xml:space="preserve"> and other groups</w:t>
      </w:r>
      <w:r w:rsidRPr="00632DBC">
        <w:rPr>
          <w:rFonts w:ascii="Times New Roman" w:hAnsi="Times New Roman"/>
          <w:color w:val="auto"/>
          <w:sz w:val="22"/>
          <w:lang w:val="en-GB"/>
        </w:rPr>
        <w:t xml:space="preserve"> on the co-development of a post-2020 strategy for the operationalisation of </w:t>
      </w:r>
      <w:r w:rsidR="00B0310B" w:rsidRPr="00632DBC">
        <w:rPr>
          <w:rFonts w:ascii="Times New Roman" w:hAnsi="Times New Roman"/>
          <w:color w:val="auto"/>
          <w:sz w:val="22"/>
          <w:lang w:val="en-GB"/>
        </w:rPr>
        <w:t>biodiversity and</w:t>
      </w:r>
      <w:r w:rsidR="00D91E29" w:rsidRPr="00632DBC">
        <w:rPr>
          <w:rFonts w:ascii="Times New Roman" w:hAnsi="Times New Roman"/>
          <w:color w:val="auto"/>
          <w:sz w:val="22"/>
          <w:lang w:val="en-GB"/>
        </w:rPr>
        <w:t xml:space="preserve"> </w:t>
      </w:r>
      <w:r w:rsidR="00D91E29" w:rsidRPr="00632DBC">
        <w:rPr>
          <w:rFonts w:ascii="Times New Roman" w:hAnsi="Times New Roman"/>
          <w:color w:val="auto"/>
          <w:sz w:val="22"/>
          <w:szCs w:val="22"/>
          <w:lang w:val="en-GB"/>
        </w:rPr>
        <w:t>social</w:t>
      </w:r>
      <w:r w:rsidR="00B0310B" w:rsidRPr="00632DBC">
        <w:rPr>
          <w:rFonts w:ascii="Times New Roman" w:hAnsi="Times New Roman"/>
          <w:color w:val="auto"/>
          <w:sz w:val="22"/>
          <w:lang w:val="en-GB"/>
        </w:rPr>
        <w:t xml:space="preserve"> </w:t>
      </w:r>
      <w:r w:rsidRPr="00632DBC">
        <w:rPr>
          <w:rFonts w:ascii="Times New Roman" w:hAnsi="Times New Roman"/>
          <w:color w:val="auto"/>
          <w:sz w:val="22"/>
          <w:lang w:val="en-GB"/>
        </w:rPr>
        <w:t>safeguards</w:t>
      </w:r>
      <w:r w:rsidR="00B0310B" w:rsidRPr="00632DBC">
        <w:rPr>
          <w:rFonts w:ascii="Times New Roman" w:hAnsi="Times New Roman"/>
          <w:color w:val="auto"/>
          <w:sz w:val="22"/>
          <w:lang w:val="en-GB"/>
        </w:rPr>
        <w:t xml:space="preserve"> in resource mobilization. </w:t>
      </w:r>
      <w:r w:rsidR="004E22D1" w:rsidRPr="00632DBC">
        <w:rPr>
          <w:rFonts w:ascii="Times New Roman" w:hAnsi="Times New Roman"/>
          <w:color w:val="auto"/>
          <w:sz w:val="22"/>
          <w:lang w:val="en-GB"/>
        </w:rPr>
        <w:t xml:space="preserve">It </w:t>
      </w:r>
      <w:r w:rsidR="00B0310B" w:rsidRPr="00632DBC">
        <w:rPr>
          <w:rFonts w:ascii="Times New Roman" w:hAnsi="Times New Roman"/>
          <w:color w:val="auto"/>
          <w:sz w:val="22"/>
          <w:lang w:val="en-GB"/>
        </w:rPr>
        <w:t>also aims to contribute to current discussions on the development of a post-2020 specific safeguards framework on indigenous peoples and local communities</w:t>
      </w:r>
      <w:r w:rsidR="00B0310B" w:rsidRPr="00632DBC">
        <w:rPr>
          <w:rFonts w:ascii="Times New Roman" w:hAnsi="Times New Roman"/>
          <w:color w:val="auto"/>
          <w:sz w:val="22"/>
          <w:szCs w:val="22"/>
        </w:rPr>
        <w:t>, as part of the integrated programme of work on Article 8(j).</w:t>
      </w:r>
      <w:r w:rsidR="00181F1F" w:rsidRPr="00632DBC">
        <w:rPr>
          <w:rFonts w:ascii="Times New Roman" w:hAnsi="Times New Roman"/>
          <w:color w:val="auto"/>
          <w:sz w:val="22"/>
          <w:lang w:val="en-GB"/>
        </w:rPr>
        <w:t xml:space="preserve"> It is </w:t>
      </w:r>
      <w:r w:rsidR="00181F1F" w:rsidRPr="00632DBC">
        <w:rPr>
          <w:rFonts w:ascii="Times New Roman" w:hAnsi="Times New Roman"/>
          <w:color w:val="auto"/>
          <w:sz w:val="22"/>
          <w:szCs w:val="22"/>
          <w:lang w:val="en-GB"/>
        </w:rPr>
        <w:t>the</w:t>
      </w:r>
      <w:r w:rsidR="002A1557" w:rsidRPr="00632DBC">
        <w:rPr>
          <w:rFonts w:ascii="Times New Roman" w:hAnsi="Times New Roman"/>
          <w:color w:val="auto"/>
          <w:sz w:val="22"/>
          <w:lang w:val="en-GB"/>
        </w:rPr>
        <w:t xml:space="preserve"> result of a lengthy collaborative process</w:t>
      </w:r>
      <w:r w:rsidR="00181F1F" w:rsidRPr="00632DBC">
        <w:rPr>
          <w:rFonts w:ascii="Times New Roman" w:hAnsi="Times New Roman"/>
          <w:color w:val="auto"/>
          <w:sz w:val="22"/>
          <w:szCs w:val="22"/>
          <w:lang w:val="en-GB"/>
        </w:rPr>
        <w:t>,</w:t>
      </w:r>
      <w:r w:rsidR="002A1557" w:rsidRPr="00632DBC">
        <w:rPr>
          <w:rFonts w:ascii="Times New Roman" w:hAnsi="Times New Roman"/>
          <w:color w:val="auto"/>
          <w:sz w:val="22"/>
          <w:lang w:val="en-GB"/>
        </w:rPr>
        <w:t xml:space="preserve"> which has benefited from inputs and comments from Parties and other relevant </w:t>
      </w:r>
      <w:proofErr w:type="gramStart"/>
      <w:r w:rsidR="002A1557" w:rsidRPr="00632DBC">
        <w:rPr>
          <w:rFonts w:ascii="Times New Roman" w:hAnsi="Times New Roman"/>
          <w:color w:val="auto"/>
          <w:sz w:val="22"/>
          <w:lang w:val="en-GB"/>
        </w:rPr>
        <w:t>stakeholders</w:t>
      </w:r>
      <w:r w:rsidR="0025140E" w:rsidRPr="00632DBC">
        <w:rPr>
          <w:rFonts w:ascii="Times New Roman" w:hAnsi="Times New Roman"/>
          <w:color w:val="auto"/>
          <w:sz w:val="22"/>
          <w:szCs w:val="22"/>
          <w:lang w:val="en-GB"/>
        </w:rPr>
        <w:t>,</w:t>
      </w:r>
      <w:r w:rsidR="002A1557" w:rsidRPr="00632DBC">
        <w:rPr>
          <w:rFonts w:ascii="Times New Roman" w:hAnsi="Times New Roman"/>
          <w:color w:val="auto"/>
          <w:sz w:val="22"/>
          <w:lang w:val="en-GB"/>
        </w:rPr>
        <w:t xml:space="preserve"> and</w:t>
      </w:r>
      <w:proofErr w:type="gramEnd"/>
      <w:r w:rsidR="002A1557" w:rsidRPr="00632DBC">
        <w:rPr>
          <w:rFonts w:ascii="Times New Roman" w:hAnsi="Times New Roman"/>
          <w:color w:val="auto"/>
          <w:sz w:val="22"/>
          <w:lang w:val="en-GB"/>
        </w:rPr>
        <w:t xml:space="preserve"> builds on lessons learned from existing legal and policy processes under various international and national frameworks.</w:t>
      </w:r>
    </w:p>
    <w:p w14:paraId="659AD420" w14:textId="6F93BE58" w:rsidR="00FD75C6" w:rsidRPr="00632DBC" w:rsidRDefault="00B0310B" w:rsidP="004401C5">
      <w:pPr>
        <w:pStyle w:val="Default"/>
        <w:jc w:val="both"/>
        <w:rPr>
          <w:rFonts w:ascii="Times New Roman" w:hAnsi="Times New Roman"/>
          <w:color w:val="auto"/>
          <w:sz w:val="22"/>
          <w:lang w:val="en-GB"/>
        </w:rPr>
      </w:pPr>
      <w:r w:rsidRPr="00632DBC">
        <w:rPr>
          <w:rFonts w:ascii="Times New Roman" w:hAnsi="Times New Roman"/>
          <w:color w:val="auto"/>
          <w:sz w:val="22"/>
          <w:lang w:val="en-GB"/>
        </w:rPr>
        <w:t xml:space="preserve">The </w:t>
      </w:r>
      <w:r w:rsidR="00AA6D52" w:rsidRPr="00632DBC">
        <w:rPr>
          <w:rFonts w:ascii="Times New Roman" w:hAnsi="Times New Roman"/>
          <w:color w:val="auto"/>
          <w:sz w:val="22"/>
          <w:lang w:val="en-GB"/>
        </w:rPr>
        <w:t>CBD</w:t>
      </w:r>
      <w:r w:rsidR="00AA6D52" w:rsidRPr="00632DBC" w:rsidDel="00AA6D52">
        <w:rPr>
          <w:rFonts w:ascii="Times New Roman" w:hAnsi="Times New Roman"/>
          <w:color w:val="auto"/>
          <w:sz w:val="22"/>
          <w:lang w:val="en-GB"/>
        </w:rPr>
        <w:t xml:space="preserve"> </w:t>
      </w:r>
      <w:r w:rsidRPr="00632DBC">
        <w:rPr>
          <w:rFonts w:ascii="Times New Roman" w:hAnsi="Times New Roman"/>
          <w:color w:val="auto"/>
          <w:sz w:val="22"/>
          <w:lang w:val="en-GB"/>
        </w:rPr>
        <w:t>adopted voluntary guidelines for safeguards in Biodiversity Financing Mechanisms at the 12th meeting of the Conference of the Parties in 2016</w:t>
      </w:r>
      <w:r w:rsidR="00FD2850" w:rsidRPr="00632DBC">
        <w:rPr>
          <w:rFonts w:ascii="Times New Roman" w:hAnsi="Times New Roman"/>
          <w:color w:val="auto"/>
          <w:sz w:val="22"/>
          <w:szCs w:val="22"/>
          <w:lang w:val="en-GB"/>
        </w:rPr>
        <w:t>,</w:t>
      </w:r>
      <w:r w:rsidRPr="00632DBC">
        <w:rPr>
          <w:rFonts w:ascii="Times New Roman" w:hAnsi="Times New Roman"/>
          <w:color w:val="auto"/>
          <w:sz w:val="22"/>
          <w:lang w:val="en-GB"/>
        </w:rPr>
        <w:t xml:space="preserve"> under Decision XII/3 on Resource mobilization</w:t>
      </w:r>
      <w:r w:rsidR="00FD2850" w:rsidRPr="00632DBC">
        <w:rPr>
          <w:rFonts w:ascii="Times New Roman" w:hAnsi="Times New Roman"/>
          <w:color w:val="auto"/>
          <w:sz w:val="22"/>
          <w:szCs w:val="22"/>
          <w:lang w:val="en-GB"/>
        </w:rPr>
        <w:t>,</w:t>
      </w:r>
      <w:r w:rsidRPr="00632DBC">
        <w:rPr>
          <w:rFonts w:ascii="Times New Roman" w:hAnsi="Times New Roman"/>
          <w:color w:val="auto"/>
          <w:sz w:val="22"/>
          <w:lang w:val="en-GB"/>
        </w:rPr>
        <w:t xml:space="preserve"> including the Annex III </w:t>
      </w:r>
      <w:r w:rsidR="00633A71">
        <w:rPr>
          <w:rFonts w:ascii="Times New Roman" w:hAnsi="Times New Roman"/>
          <w:color w:val="auto"/>
          <w:sz w:val="22"/>
          <w:lang w:val="en-GB"/>
        </w:rPr>
        <w:t>of this Decision</w:t>
      </w:r>
      <w:r w:rsidR="007959AA">
        <w:rPr>
          <w:rFonts w:ascii="Times New Roman" w:hAnsi="Times New Roman"/>
          <w:color w:val="auto"/>
          <w:sz w:val="22"/>
          <w:lang w:val="en-GB"/>
        </w:rPr>
        <w:t xml:space="preserve"> </w:t>
      </w:r>
      <w:r w:rsidRPr="00632DBC">
        <w:rPr>
          <w:rFonts w:ascii="Times New Roman" w:hAnsi="Times New Roman"/>
          <w:color w:val="auto"/>
          <w:sz w:val="22"/>
          <w:lang w:val="en-GB"/>
        </w:rPr>
        <w:t>with the guidelines. Safeguards in Biodiversity Financing Mechanisms (BFMs) are measures for addressing the risks and maximizing the</w:t>
      </w:r>
      <w:r w:rsidR="003A1656" w:rsidRPr="00632DBC">
        <w:rPr>
          <w:rFonts w:ascii="Times New Roman" w:hAnsi="Times New Roman"/>
          <w:color w:val="auto"/>
          <w:sz w:val="22"/>
          <w:lang w:val="en-GB"/>
        </w:rPr>
        <w:t xml:space="preserve"> protection of biodiversity </w:t>
      </w:r>
      <w:r w:rsidR="00FD75C6" w:rsidRPr="00632DBC">
        <w:rPr>
          <w:rFonts w:ascii="Times New Roman" w:hAnsi="Times New Roman"/>
          <w:color w:val="auto"/>
          <w:sz w:val="22"/>
          <w:lang w:val="en-GB"/>
        </w:rPr>
        <w:t>and people’s livelihoods, including local commun</w:t>
      </w:r>
      <w:r w:rsidR="00BC66D2" w:rsidRPr="00632DBC">
        <w:rPr>
          <w:rFonts w:ascii="Times New Roman" w:hAnsi="Times New Roman"/>
          <w:color w:val="auto"/>
          <w:sz w:val="22"/>
          <w:lang w:val="en-GB"/>
        </w:rPr>
        <w:t>ities and indigenous peoples.</w:t>
      </w:r>
      <w:r w:rsidR="00770BA8" w:rsidRPr="00632DBC">
        <w:rPr>
          <w:rFonts w:ascii="Times New Roman" w:hAnsi="Times New Roman"/>
          <w:color w:val="auto"/>
          <w:sz w:val="22"/>
          <w:lang w:val="en-GB"/>
        </w:rPr>
        <w:t xml:space="preserve"> The paper focuses on the implementation of the CBD voluntary guidelines on safeguards at national and local levels</w:t>
      </w:r>
      <w:r w:rsidR="00A87971" w:rsidRPr="00632DBC">
        <w:rPr>
          <w:rFonts w:ascii="Times New Roman" w:hAnsi="Times New Roman"/>
          <w:color w:val="auto"/>
          <w:sz w:val="22"/>
          <w:szCs w:val="22"/>
          <w:lang w:val="en-GB"/>
        </w:rPr>
        <w:t>,</w:t>
      </w:r>
      <w:r w:rsidR="00770BA8" w:rsidRPr="00632DBC">
        <w:rPr>
          <w:rFonts w:ascii="Times New Roman" w:hAnsi="Times New Roman"/>
          <w:color w:val="auto"/>
          <w:sz w:val="22"/>
          <w:lang w:val="en-GB"/>
        </w:rPr>
        <w:t xml:space="preserve"> and lessons learned from practice </w:t>
      </w:r>
      <w:r w:rsidR="00A87971" w:rsidRPr="00632DBC">
        <w:rPr>
          <w:rFonts w:ascii="Times New Roman" w:hAnsi="Times New Roman"/>
          <w:color w:val="auto"/>
          <w:sz w:val="22"/>
          <w:szCs w:val="22"/>
          <w:lang w:val="en-GB"/>
        </w:rPr>
        <w:t>in</w:t>
      </w:r>
      <w:r w:rsidR="00770BA8" w:rsidRPr="00632DBC">
        <w:rPr>
          <w:rFonts w:ascii="Times New Roman" w:hAnsi="Times New Roman"/>
          <w:color w:val="auto"/>
          <w:sz w:val="22"/>
          <w:lang w:val="en-GB"/>
        </w:rPr>
        <w:t xml:space="preserve"> different countries and from international initiatives.</w:t>
      </w:r>
      <w:r w:rsidR="00BC66D2" w:rsidRPr="00632DBC">
        <w:rPr>
          <w:rFonts w:ascii="Times New Roman" w:hAnsi="Times New Roman"/>
          <w:color w:val="auto"/>
          <w:sz w:val="22"/>
          <w:lang w:val="en-GB"/>
        </w:rPr>
        <w:t xml:space="preserve"> The operationalization of safeguards </w:t>
      </w:r>
      <w:r w:rsidR="00FD75C6" w:rsidRPr="00632DBC">
        <w:rPr>
          <w:rFonts w:ascii="Times New Roman" w:hAnsi="Times New Roman"/>
          <w:color w:val="auto"/>
          <w:sz w:val="22"/>
          <w:lang w:val="en-GB"/>
        </w:rPr>
        <w:t>can contribute to mainstreaming biodiversity and human rights across internati</w:t>
      </w:r>
      <w:r w:rsidR="00A87971" w:rsidRPr="00632DBC">
        <w:rPr>
          <w:rFonts w:ascii="Times New Roman" w:hAnsi="Times New Roman"/>
          <w:color w:val="auto"/>
          <w:sz w:val="22"/>
          <w:lang w:val="en-GB"/>
        </w:rPr>
        <w:t>onal and national institutions.</w:t>
      </w:r>
    </w:p>
    <w:p w14:paraId="119EBE97" w14:textId="77777777" w:rsidR="00FD75C6" w:rsidRPr="00632DBC" w:rsidRDefault="00FD75C6" w:rsidP="004401C5">
      <w:pPr>
        <w:autoSpaceDE w:val="0"/>
        <w:autoSpaceDN w:val="0"/>
        <w:adjustRightInd w:val="0"/>
        <w:spacing w:after="0" w:line="240" w:lineRule="auto"/>
        <w:jc w:val="both"/>
        <w:rPr>
          <w:rFonts w:ascii="Times New Roman" w:hAnsi="Times New Roman"/>
        </w:rPr>
      </w:pPr>
    </w:p>
    <w:p w14:paraId="4249FF32" w14:textId="77777777" w:rsidR="00810C20" w:rsidRPr="00632DBC" w:rsidRDefault="00810C20" w:rsidP="004401C5">
      <w:pPr>
        <w:spacing w:after="140" w:line="240" w:lineRule="auto"/>
        <w:jc w:val="both"/>
        <w:rPr>
          <w:rFonts w:ascii="Times New Roman" w:hAnsi="Times New Roman"/>
        </w:rPr>
      </w:pPr>
      <w:r w:rsidRPr="00632DBC">
        <w:rPr>
          <w:rFonts w:ascii="Times New Roman" w:hAnsi="Times New Roman"/>
          <w:b/>
        </w:rPr>
        <w:t xml:space="preserve">The CBD context of this paper </w:t>
      </w:r>
    </w:p>
    <w:p w14:paraId="2BD0068B" w14:textId="12ECFE32" w:rsidR="00810C20" w:rsidRPr="00632DBC" w:rsidRDefault="00810C20" w:rsidP="00632DBC">
      <w:pPr>
        <w:autoSpaceDE w:val="0"/>
        <w:autoSpaceDN w:val="0"/>
        <w:adjustRightInd w:val="0"/>
        <w:jc w:val="both"/>
        <w:rPr>
          <w:rFonts w:ascii="Times New Roman" w:hAnsi="Times New Roman"/>
        </w:rPr>
      </w:pPr>
      <w:r w:rsidRPr="00632DBC">
        <w:rPr>
          <w:rFonts w:ascii="Times New Roman" w:hAnsi="Times New Roman"/>
        </w:rPr>
        <w:t>CBD-COP Decision XI/4 requested the CBD Secretariat to further develop the discussion paper</w:t>
      </w:r>
      <w:r w:rsidR="000041DB" w:rsidRPr="00632DBC">
        <w:rPr>
          <w:rFonts w:ascii="Times New Roman" w:hAnsi="Times New Roman"/>
          <w:lang w:eastAsia="hu-HU" w:bidi="ar-SA"/>
        </w:rPr>
        <w:t>,</w:t>
      </w:r>
      <w:r w:rsidRPr="00632DBC">
        <w:rPr>
          <w:rFonts w:ascii="Times New Roman" w:hAnsi="Times New Roman"/>
        </w:rPr>
        <w:t xml:space="preserve"> ‘Safeguards in scaling-up biodiversity financing and possible guiding </w:t>
      </w:r>
      <w:r w:rsidRPr="00632DBC">
        <w:rPr>
          <w:rFonts w:ascii="Times New Roman" w:hAnsi="Times New Roman"/>
          <w:lang w:eastAsia="hu-HU" w:bidi="ar-SA"/>
        </w:rPr>
        <w:t>principles</w:t>
      </w:r>
      <w:r w:rsidR="000041DB" w:rsidRPr="00632DBC">
        <w:rPr>
          <w:rFonts w:ascii="Times New Roman" w:hAnsi="Times New Roman"/>
          <w:lang w:eastAsia="hu-HU" w:bidi="ar-SA"/>
        </w:rPr>
        <w:t>,</w:t>
      </w:r>
      <w:r w:rsidRPr="00632DBC">
        <w:rPr>
          <w:rFonts w:ascii="Times New Roman" w:hAnsi="Times New Roman"/>
          <w:lang w:eastAsia="hu-HU" w:bidi="ar-SA"/>
        </w:rPr>
        <w:t>’</w:t>
      </w:r>
      <w:r w:rsidRPr="00632DBC">
        <w:rPr>
          <w:rFonts w:ascii="Times New Roman" w:hAnsi="Times New Roman"/>
        </w:rPr>
        <w:t xml:space="preserve"> (UNEP/CBD/COP/11/INF/7) with comments and inputs from Parties and relevant stakeholders; and requested WGRI5 t</w:t>
      </w:r>
      <w:r w:rsidR="00B81B90" w:rsidRPr="00632DBC">
        <w:rPr>
          <w:rFonts w:ascii="Times New Roman" w:hAnsi="Times New Roman"/>
        </w:rPr>
        <w:t>o prepare a recommendation for</w:t>
      </w:r>
      <w:r w:rsidRPr="00632DBC">
        <w:rPr>
          <w:rFonts w:ascii="Times New Roman" w:hAnsi="Times New Roman"/>
        </w:rPr>
        <w:t xml:space="preserve"> consideration by COP in its twelfth meeting.</w:t>
      </w:r>
      <w:r w:rsidRPr="00632DBC">
        <w:rPr>
          <w:rFonts w:ascii="Times New Roman" w:hAnsi="Times New Roman"/>
          <w:vertAlign w:val="superscript"/>
        </w:rPr>
        <w:footnoteReference w:id="3"/>
      </w:r>
      <w:r w:rsidRPr="00632DBC">
        <w:rPr>
          <w:rFonts w:ascii="Times New Roman" w:hAnsi="Times New Roman"/>
        </w:rPr>
        <w:t xml:space="preserve"> SCBD Notification (SCBD/ITS/RS//LZ/81526) invited CBD Parties and relevant stakeholders</w:t>
      </w:r>
      <w:r w:rsidR="00B81B90" w:rsidRPr="00632DBC">
        <w:rPr>
          <w:rFonts w:ascii="Times New Roman" w:hAnsi="Times New Roman"/>
        </w:rPr>
        <w:t xml:space="preserve"> to make submissions, </w:t>
      </w:r>
      <w:r w:rsidR="00B81B90" w:rsidRPr="00632DBC">
        <w:rPr>
          <w:rFonts w:ascii="Times New Roman" w:hAnsi="Times New Roman"/>
          <w:lang w:eastAsia="hu-HU" w:bidi="ar-SA"/>
        </w:rPr>
        <w:t>comments</w:t>
      </w:r>
      <w:r w:rsidR="00B81B90" w:rsidRPr="00632DBC">
        <w:rPr>
          <w:rFonts w:ascii="Times New Roman" w:hAnsi="Times New Roman"/>
        </w:rPr>
        <w:t xml:space="preserve"> and </w:t>
      </w:r>
      <w:r w:rsidR="00B81B90" w:rsidRPr="00632DBC">
        <w:rPr>
          <w:rFonts w:ascii="Times New Roman" w:hAnsi="Times New Roman"/>
          <w:lang w:eastAsia="hu-HU" w:bidi="ar-SA"/>
        </w:rPr>
        <w:t>provide</w:t>
      </w:r>
      <w:r w:rsidRPr="00632DBC">
        <w:rPr>
          <w:rFonts w:ascii="Times New Roman" w:hAnsi="Times New Roman"/>
        </w:rPr>
        <w:t xml:space="preserve"> inputs to the Principles and Safeguards Discussion Paper (UNEP/CBD/COP/11/INF/7). In addition to the submissions by Parties and other stakeholders, focus groups and semi-structured interviews were conducted </w:t>
      </w:r>
      <w:proofErr w:type="gramStart"/>
      <w:r w:rsidRPr="00632DBC">
        <w:rPr>
          <w:rFonts w:ascii="Times New Roman" w:hAnsi="Times New Roman"/>
        </w:rPr>
        <w:t>in order to</w:t>
      </w:r>
      <w:proofErr w:type="gramEnd"/>
      <w:r w:rsidRPr="00632DBC">
        <w:rPr>
          <w:rFonts w:ascii="Times New Roman" w:hAnsi="Times New Roman"/>
        </w:rPr>
        <w:t xml:space="preserve"> obtain further comments and inputs (See Box </w:t>
      </w:r>
      <w:r w:rsidR="006B264A" w:rsidRPr="00632DBC">
        <w:rPr>
          <w:rFonts w:ascii="Times New Roman" w:hAnsi="Times New Roman"/>
        </w:rPr>
        <w:t>3</w:t>
      </w:r>
      <w:r w:rsidRPr="00632DBC">
        <w:rPr>
          <w:rFonts w:ascii="Times New Roman" w:hAnsi="Times New Roman"/>
        </w:rPr>
        <w:t xml:space="preserve">).  The Ad Hoc Open-ended Working Group on Review of Implementation of the Convention </w:t>
      </w:r>
      <w:r w:rsidRPr="00632DBC">
        <w:rPr>
          <w:rFonts w:ascii="Times New Roman" w:hAnsi="Times New Roman"/>
        </w:rPr>
        <w:lastRenderedPageBreak/>
        <w:t>(WGRI5) requested the CBD Secretariat to</w:t>
      </w:r>
      <w:r w:rsidR="00945BD0" w:rsidRPr="00632DBC">
        <w:rPr>
          <w:rFonts w:ascii="Times New Roman" w:hAnsi="Times New Roman"/>
        </w:rPr>
        <w:t xml:space="preserve"> develop, </w:t>
      </w:r>
      <w:r w:rsidRPr="00632DBC">
        <w:rPr>
          <w:rFonts w:ascii="Times New Roman" w:hAnsi="Times New Roman"/>
        </w:rPr>
        <w:t>for consideration by the Conference of the Parties</w:t>
      </w:r>
      <w:r w:rsidRPr="00632DBC">
        <w:rPr>
          <w:rFonts w:ascii="Times New Roman" w:hAnsi="Times New Roman"/>
          <w:kern w:val="20"/>
        </w:rPr>
        <w:t xml:space="preserve"> </w:t>
      </w:r>
      <w:r w:rsidR="00945BD0" w:rsidRPr="00632DBC">
        <w:rPr>
          <w:rFonts w:ascii="Times New Roman" w:hAnsi="Times New Roman"/>
          <w:kern w:val="20"/>
        </w:rPr>
        <w:t>at its twelfth meeting,</w:t>
      </w:r>
      <w:r w:rsidRPr="00632DBC">
        <w:rPr>
          <w:rFonts w:ascii="Times New Roman" w:hAnsi="Times New Roman"/>
        </w:rPr>
        <w:t xml:space="preserve"> “Draft options for voluntary guidelines based on the challenges and possible risks of these mechanisms </w:t>
      </w:r>
      <w:r w:rsidRPr="00632DBC">
        <w:rPr>
          <w:rFonts w:ascii="Times New Roman" w:hAnsi="Times New Roman"/>
          <w:kern w:val="20"/>
        </w:rPr>
        <w:t>as identified in the document on possible risks and benefits of country-specific innovative financial mechanisms and safeguards</w:t>
      </w:r>
      <w:r w:rsidR="00AA6D52" w:rsidRPr="00632DBC">
        <w:rPr>
          <w:rFonts w:ascii="Times New Roman" w:hAnsi="Times New Roman"/>
          <w:kern w:val="20"/>
        </w:rPr>
        <w:t>”</w:t>
      </w:r>
      <w:r w:rsidRPr="00632DBC">
        <w:rPr>
          <w:rStyle w:val="FootnoteReference"/>
          <w:rFonts w:ascii="Times New Roman" w:hAnsi="Times New Roman"/>
          <w:kern w:val="20"/>
        </w:rPr>
        <w:footnoteReference w:id="4"/>
      </w:r>
      <w:r w:rsidRPr="00632DBC">
        <w:rPr>
          <w:rFonts w:ascii="Times New Roman" w:hAnsi="Times New Roman"/>
        </w:rPr>
        <w:t xml:space="preserve"> (</w:t>
      </w:r>
      <w:r w:rsidRPr="00632DBC">
        <w:rPr>
          <w:rFonts w:ascii="Times New Roman" w:hAnsi="Times New Roman"/>
          <w:kern w:val="20"/>
        </w:rPr>
        <w:t>UNEP/CBD/COP/12/4</w:t>
      </w:r>
      <w:r w:rsidR="00945BD0" w:rsidRPr="00632DBC">
        <w:rPr>
          <w:rFonts w:ascii="Times New Roman" w:hAnsi="Times New Roman"/>
        </w:rPr>
        <w:t>). The</w:t>
      </w:r>
      <w:r w:rsidRPr="00632DBC">
        <w:rPr>
          <w:rFonts w:ascii="Times New Roman" w:hAnsi="Times New Roman"/>
        </w:rPr>
        <w:t xml:space="preserve"> </w:t>
      </w:r>
      <w:r w:rsidR="00CD7D11" w:rsidRPr="00632DBC">
        <w:rPr>
          <w:rFonts w:ascii="Times New Roman" w:hAnsi="Times New Roman"/>
        </w:rPr>
        <w:t xml:space="preserve">first version of this policy paper (UNEP/CBD/WGRI/5/INF/7) was the </w:t>
      </w:r>
      <w:r w:rsidRPr="00632DBC">
        <w:rPr>
          <w:rFonts w:ascii="Times New Roman" w:hAnsi="Times New Roman"/>
        </w:rPr>
        <w:t xml:space="preserve">above-mentioned document </w:t>
      </w:r>
      <w:r w:rsidRPr="00632DBC">
        <w:rPr>
          <w:rFonts w:ascii="Times New Roman" w:hAnsi="Times New Roman"/>
          <w:kern w:val="20"/>
        </w:rPr>
        <w:t>on “possible risks and benefits of country-specific innovative financial mechanisms and safeguards”</w:t>
      </w:r>
      <w:r w:rsidR="007A3FBA" w:rsidRPr="00632DBC">
        <w:rPr>
          <w:rFonts w:ascii="Times New Roman" w:hAnsi="Times New Roman"/>
          <w:kern w:val="20"/>
        </w:rPr>
        <w:t xml:space="preserve">. </w:t>
      </w:r>
    </w:p>
    <w:p w14:paraId="3FC4A069" w14:textId="1F47BEC8" w:rsidR="008061B0" w:rsidRPr="00632DBC" w:rsidRDefault="00810C20" w:rsidP="004401C5">
      <w:pPr>
        <w:pStyle w:val="Default"/>
        <w:jc w:val="both"/>
        <w:rPr>
          <w:rFonts w:ascii="Times New Roman" w:eastAsiaTheme="minorEastAsia" w:hAnsi="Times New Roman"/>
          <w:color w:val="auto"/>
          <w:sz w:val="22"/>
          <w:szCs w:val="22"/>
          <w:lang w:val="en-GB" w:eastAsia="sv-SE"/>
        </w:rPr>
      </w:pPr>
      <w:r w:rsidRPr="00632DBC">
        <w:rPr>
          <w:rFonts w:ascii="Times New Roman" w:hAnsi="Times New Roman"/>
          <w:color w:val="auto"/>
          <w:sz w:val="22"/>
          <w:szCs w:val="22"/>
          <w:lang w:val="en-GB"/>
        </w:rPr>
        <w:t>Safeguards are also mentioned in the decisions adopted at COP11 in relation to REDD+</w:t>
      </w:r>
      <w:r w:rsidRPr="00632DBC">
        <w:rPr>
          <w:rFonts w:ascii="Times New Roman" w:hAnsi="Times New Roman"/>
          <w:color w:val="auto"/>
          <w:sz w:val="22"/>
          <w:szCs w:val="22"/>
          <w:vertAlign w:val="superscript"/>
          <w:lang w:val="en-GB"/>
        </w:rPr>
        <w:footnoteReference w:id="5"/>
      </w:r>
      <w:r w:rsidR="00945BD0" w:rsidRPr="00632DBC">
        <w:rPr>
          <w:rFonts w:ascii="Times New Roman" w:hAnsi="Times New Roman"/>
          <w:color w:val="auto"/>
          <w:sz w:val="22"/>
          <w:szCs w:val="22"/>
          <w:lang w:val="en-GB"/>
        </w:rPr>
        <w:t>,</w:t>
      </w:r>
      <w:r w:rsidRPr="00632DBC">
        <w:rPr>
          <w:rFonts w:ascii="Times New Roman" w:hAnsi="Times New Roman"/>
          <w:color w:val="auto"/>
          <w:sz w:val="22"/>
          <w:szCs w:val="22"/>
          <w:lang w:val="en-GB"/>
        </w:rPr>
        <w:t xml:space="preserve"> as well as regarding trends to respect traditional knowledge and practices in the national implementation of the Strategic Plan for Biodiversity 2011–2020</w:t>
      </w:r>
      <w:r w:rsidRPr="00632DBC">
        <w:rPr>
          <w:rFonts w:ascii="Times New Roman" w:hAnsi="Times New Roman"/>
          <w:color w:val="auto"/>
          <w:sz w:val="22"/>
          <w:szCs w:val="22"/>
          <w:vertAlign w:val="superscript"/>
          <w:lang w:val="en-GB"/>
        </w:rPr>
        <w:footnoteReference w:id="6"/>
      </w:r>
      <w:r w:rsidR="007A3FBA" w:rsidRPr="00632DBC">
        <w:rPr>
          <w:rFonts w:ascii="Times New Roman" w:hAnsi="Times New Roman"/>
          <w:color w:val="auto"/>
          <w:sz w:val="22"/>
          <w:szCs w:val="22"/>
          <w:lang w:val="en-GB"/>
        </w:rPr>
        <w:t>.</w:t>
      </w:r>
      <w:r w:rsidRPr="00632DBC">
        <w:rPr>
          <w:rFonts w:ascii="Times New Roman" w:hAnsi="Times New Roman"/>
          <w:color w:val="auto"/>
          <w:sz w:val="22"/>
          <w:szCs w:val="22"/>
          <w:lang w:val="en-GB"/>
        </w:rPr>
        <w:t xml:space="preserve"> </w:t>
      </w:r>
      <w:r w:rsidR="007A3FBA" w:rsidRPr="00632DBC">
        <w:rPr>
          <w:rFonts w:ascii="Times New Roman" w:hAnsi="Times New Roman"/>
          <w:color w:val="auto"/>
          <w:sz w:val="22"/>
          <w:szCs w:val="22"/>
          <w:lang w:val="en-GB"/>
        </w:rPr>
        <w:t xml:space="preserve">At its </w:t>
      </w:r>
      <w:r w:rsidRPr="00632DBC">
        <w:rPr>
          <w:rFonts w:ascii="Times New Roman" w:hAnsi="Times New Roman"/>
          <w:color w:val="auto"/>
          <w:sz w:val="22"/>
          <w:szCs w:val="22"/>
          <w:lang w:val="en-GB"/>
        </w:rPr>
        <w:t>fourth meeting</w:t>
      </w:r>
      <w:r w:rsidR="007A3FBA" w:rsidRPr="00632DBC">
        <w:rPr>
          <w:rFonts w:ascii="Times New Roman" w:hAnsi="Times New Roman"/>
          <w:color w:val="auto"/>
          <w:sz w:val="22"/>
          <w:szCs w:val="22"/>
          <w:lang w:val="en-GB"/>
        </w:rPr>
        <w:t>,</w:t>
      </w:r>
      <w:r w:rsidRPr="00632DBC">
        <w:rPr>
          <w:rFonts w:ascii="Times New Roman" w:hAnsi="Times New Roman"/>
          <w:color w:val="auto"/>
          <w:sz w:val="22"/>
          <w:szCs w:val="22"/>
          <w:lang w:val="en-GB"/>
        </w:rPr>
        <w:t xml:space="preserve"> the Ad Hoc </w:t>
      </w:r>
      <w:proofErr w:type="gramStart"/>
      <w:r w:rsidRPr="00632DBC">
        <w:rPr>
          <w:rFonts w:ascii="Times New Roman" w:hAnsi="Times New Roman"/>
          <w:color w:val="auto"/>
          <w:sz w:val="22"/>
          <w:szCs w:val="22"/>
          <w:lang w:val="en-GB"/>
        </w:rPr>
        <w:t>Open Ended</w:t>
      </w:r>
      <w:proofErr w:type="gramEnd"/>
      <w:r w:rsidRPr="00632DBC">
        <w:rPr>
          <w:rFonts w:ascii="Times New Roman" w:hAnsi="Times New Roman"/>
          <w:color w:val="auto"/>
          <w:sz w:val="22"/>
          <w:szCs w:val="22"/>
          <w:lang w:val="en-GB"/>
        </w:rPr>
        <w:t xml:space="preserve"> Working Group on Review of Implementation of the CBD (WGRI4)</w:t>
      </w:r>
      <w:r w:rsidR="00033C18" w:rsidRPr="00632DBC">
        <w:rPr>
          <w:rFonts w:ascii="Times New Roman" w:hAnsi="Times New Roman"/>
          <w:color w:val="auto"/>
          <w:sz w:val="22"/>
          <w:szCs w:val="22"/>
          <w:lang w:val="en-GB"/>
        </w:rPr>
        <w:t>,</w:t>
      </w:r>
      <w:r w:rsidRPr="00632DBC">
        <w:rPr>
          <w:rFonts w:ascii="Times New Roman" w:hAnsi="Times New Roman"/>
          <w:color w:val="auto"/>
          <w:sz w:val="22"/>
          <w:szCs w:val="22"/>
          <w:lang w:val="en-GB"/>
        </w:rPr>
        <w:t xml:space="preserve"> requested the Secretariat to assist Parties in exploring guiding principles and safeguards associated to relevant financing mechanisms (UNEP/CBD/COP/11/4)</w:t>
      </w:r>
      <w:r w:rsidRPr="00632DBC">
        <w:rPr>
          <w:rFonts w:ascii="Times New Roman" w:hAnsi="Times New Roman"/>
          <w:color w:val="auto"/>
          <w:sz w:val="22"/>
          <w:szCs w:val="22"/>
          <w:vertAlign w:val="superscript"/>
          <w:lang w:val="en-GB"/>
        </w:rPr>
        <w:footnoteReference w:id="7"/>
      </w:r>
      <w:r w:rsidR="00B60486" w:rsidRPr="00632DBC">
        <w:rPr>
          <w:rFonts w:ascii="Times New Roman" w:hAnsi="Times New Roman"/>
          <w:color w:val="auto"/>
          <w:sz w:val="22"/>
          <w:szCs w:val="22"/>
          <w:lang w:val="en-GB"/>
        </w:rPr>
        <w:t xml:space="preserve">. </w:t>
      </w:r>
      <w:r w:rsidR="008061B0" w:rsidRPr="00632DBC">
        <w:rPr>
          <w:rFonts w:ascii="Times New Roman" w:hAnsi="Times New Roman"/>
          <w:color w:val="auto"/>
          <w:sz w:val="22"/>
          <w:szCs w:val="22"/>
          <w:lang w:val="en-GB"/>
        </w:rPr>
        <w:t>The former</w:t>
      </w:r>
      <w:r w:rsidR="00D84A5B" w:rsidRPr="00632DBC">
        <w:rPr>
          <w:rFonts w:ascii="Times New Roman" w:hAnsi="Times New Roman"/>
          <w:color w:val="auto"/>
          <w:sz w:val="22"/>
          <w:szCs w:val="22"/>
          <w:lang w:val="en-GB"/>
        </w:rPr>
        <w:t xml:space="preserve"> version of </w:t>
      </w:r>
      <w:r w:rsidR="008061B0" w:rsidRPr="00632DBC">
        <w:rPr>
          <w:rFonts w:ascii="Times New Roman" w:hAnsi="Times New Roman"/>
          <w:color w:val="auto"/>
          <w:sz w:val="22"/>
          <w:szCs w:val="22"/>
          <w:lang w:val="en-GB"/>
        </w:rPr>
        <w:t>this</w:t>
      </w:r>
      <w:r w:rsidR="00B60486" w:rsidRPr="00632DBC">
        <w:rPr>
          <w:rFonts w:ascii="Times New Roman" w:hAnsi="Times New Roman"/>
          <w:color w:val="auto"/>
          <w:sz w:val="22"/>
          <w:szCs w:val="22"/>
          <w:lang w:val="en-GB"/>
        </w:rPr>
        <w:t xml:space="preserve"> report</w:t>
      </w:r>
      <w:r w:rsidR="00917AFB" w:rsidRPr="00632DBC">
        <w:rPr>
          <w:rFonts w:ascii="Times New Roman" w:hAnsi="Times New Roman"/>
          <w:color w:val="auto"/>
          <w:sz w:val="22"/>
          <w:szCs w:val="22"/>
          <w:lang w:val="en-GB"/>
        </w:rPr>
        <w:t xml:space="preserve"> was developed to fulfil </w:t>
      </w:r>
      <w:r w:rsidR="00033C18" w:rsidRPr="00632DBC">
        <w:rPr>
          <w:rFonts w:ascii="Times New Roman" w:hAnsi="Times New Roman"/>
          <w:color w:val="auto"/>
          <w:sz w:val="22"/>
          <w:szCs w:val="22"/>
          <w:lang w:val="en-GB"/>
        </w:rPr>
        <w:t>that</w:t>
      </w:r>
      <w:r w:rsidR="00917AFB" w:rsidRPr="00632DBC">
        <w:rPr>
          <w:rFonts w:ascii="Times New Roman" w:hAnsi="Times New Roman"/>
          <w:color w:val="auto"/>
          <w:sz w:val="22"/>
          <w:szCs w:val="22"/>
          <w:lang w:val="en-GB"/>
        </w:rPr>
        <w:t xml:space="preserve"> request</w:t>
      </w:r>
      <w:r w:rsidR="00E03273" w:rsidRPr="00632DBC">
        <w:rPr>
          <w:rFonts w:ascii="Times New Roman" w:hAnsi="Times New Roman"/>
          <w:color w:val="auto"/>
          <w:sz w:val="22"/>
          <w:szCs w:val="22"/>
          <w:lang w:val="en-GB"/>
        </w:rPr>
        <w:t xml:space="preserve">, </w:t>
      </w:r>
      <w:r w:rsidR="00034603" w:rsidRPr="00632DBC">
        <w:rPr>
          <w:rFonts w:ascii="Times New Roman" w:hAnsi="Times New Roman"/>
          <w:color w:val="auto"/>
          <w:sz w:val="22"/>
          <w:szCs w:val="22"/>
          <w:lang w:val="en-GB"/>
        </w:rPr>
        <w:t>which</w:t>
      </w:r>
      <w:r w:rsidR="00E03273" w:rsidRPr="00632DBC">
        <w:rPr>
          <w:rFonts w:ascii="Times New Roman" w:hAnsi="Times New Roman"/>
          <w:color w:val="auto"/>
          <w:sz w:val="22"/>
          <w:szCs w:val="22"/>
          <w:lang w:val="en-GB"/>
        </w:rPr>
        <w:t xml:space="preserve"> included a proposal of volu</w:t>
      </w:r>
      <w:r w:rsidR="00034603" w:rsidRPr="00632DBC">
        <w:rPr>
          <w:rFonts w:ascii="Times New Roman" w:hAnsi="Times New Roman"/>
          <w:color w:val="auto"/>
          <w:sz w:val="22"/>
          <w:szCs w:val="22"/>
          <w:lang w:val="en-GB"/>
        </w:rPr>
        <w:t>ntary guidelines for safeguards in biodiversity financing mechanisms based on lessons learned (UNEP/CBD/COP/12/INF/27)</w:t>
      </w:r>
      <w:r w:rsidR="00D84A5B" w:rsidRPr="00632DBC">
        <w:rPr>
          <w:rFonts w:ascii="Times New Roman" w:hAnsi="Times New Roman"/>
          <w:color w:val="auto"/>
          <w:sz w:val="22"/>
          <w:szCs w:val="22"/>
          <w:lang w:val="en-GB"/>
        </w:rPr>
        <w:t xml:space="preserve">. </w:t>
      </w:r>
      <w:r w:rsidR="00AB7885" w:rsidRPr="00632DBC">
        <w:rPr>
          <w:rFonts w:ascii="Times New Roman" w:hAnsi="Times New Roman"/>
          <w:color w:val="auto"/>
          <w:sz w:val="22"/>
          <w:szCs w:val="22"/>
          <w:lang w:val="en-GB"/>
        </w:rPr>
        <w:t>T</w:t>
      </w:r>
      <w:r w:rsidR="00A87C20" w:rsidRPr="00632DBC">
        <w:rPr>
          <w:rFonts w:ascii="Times New Roman" w:hAnsi="Times New Roman"/>
          <w:color w:val="auto"/>
          <w:sz w:val="22"/>
          <w:szCs w:val="22"/>
          <w:lang w:val="en-GB"/>
        </w:rPr>
        <w:t xml:space="preserve">he </w:t>
      </w:r>
      <w:r w:rsidR="00AB7885" w:rsidRPr="00632DBC">
        <w:rPr>
          <w:rFonts w:ascii="Times New Roman" w:hAnsi="Times New Roman"/>
          <w:color w:val="auto"/>
          <w:sz w:val="22"/>
          <w:szCs w:val="22"/>
          <w:lang w:val="en-GB"/>
        </w:rPr>
        <w:t xml:space="preserve">Convention revised and </w:t>
      </w:r>
      <w:r w:rsidR="003F5D0F" w:rsidRPr="00632DBC">
        <w:rPr>
          <w:rFonts w:ascii="Times New Roman" w:hAnsi="Times New Roman"/>
          <w:color w:val="auto"/>
          <w:sz w:val="22"/>
          <w:szCs w:val="22"/>
          <w:lang w:val="en-GB"/>
        </w:rPr>
        <w:t>adopted</w:t>
      </w:r>
      <w:r w:rsidR="00AB7885" w:rsidRPr="00632DBC">
        <w:rPr>
          <w:rFonts w:ascii="Times New Roman" w:hAnsi="Times New Roman"/>
          <w:color w:val="auto"/>
          <w:sz w:val="22"/>
          <w:szCs w:val="22"/>
          <w:lang w:val="en-GB"/>
        </w:rPr>
        <w:t xml:space="preserve"> the </w:t>
      </w:r>
      <w:r w:rsidR="00A87C20" w:rsidRPr="00632DBC">
        <w:rPr>
          <w:rFonts w:ascii="Times New Roman" w:hAnsi="Times New Roman"/>
          <w:color w:val="auto"/>
          <w:sz w:val="22"/>
          <w:szCs w:val="22"/>
          <w:lang w:val="en-GB"/>
        </w:rPr>
        <w:t xml:space="preserve">proposed voluntary </w:t>
      </w:r>
      <w:r w:rsidR="00AB7885" w:rsidRPr="00632DBC">
        <w:rPr>
          <w:rFonts w:ascii="Times New Roman" w:hAnsi="Times New Roman"/>
          <w:color w:val="auto"/>
          <w:sz w:val="22"/>
          <w:szCs w:val="22"/>
          <w:lang w:val="en-GB"/>
        </w:rPr>
        <w:t xml:space="preserve">guidelines for </w:t>
      </w:r>
      <w:r w:rsidR="00A87C20" w:rsidRPr="00632DBC">
        <w:rPr>
          <w:rFonts w:ascii="Times New Roman" w:hAnsi="Times New Roman"/>
          <w:color w:val="auto"/>
          <w:sz w:val="22"/>
          <w:szCs w:val="22"/>
          <w:lang w:val="en-GB"/>
        </w:rPr>
        <w:t>safeg</w:t>
      </w:r>
      <w:r w:rsidR="00AB7885" w:rsidRPr="00632DBC">
        <w:rPr>
          <w:rFonts w:ascii="Times New Roman" w:hAnsi="Times New Roman"/>
          <w:color w:val="auto"/>
          <w:sz w:val="22"/>
          <w:szCs w:val="22"/>
          <w:lang w:val="en-GB"/>
        </w:rPr>
        <w:t>uards in biodiversity financing mechanisms a</w:t>
      </w:r>
      <w:r w:rsidR="001D61F4" w:rsidRPr="00632DBC">
        <w:rPr>
          <w:rFonts w:ascii="Times New Roman" w:hAnsi="Times New Roman"/>
          <w:color w:val="auto"/>
          <w:sz w:val="22"/>
          <w:szCs w:val="22"/>
          <w:lang w:val="en-GB"/>
        </w:rPr>
        <w:t xml:space="preserve">t COP 12 </w:t>
      </w:r>
      <w:r w:rsidR="004401C5" w:rsidRPr="00632DBC">
        <w:rPr>
          <w:rFonts w:ascii="Times New Roman" w:hAnsi="Times New Roman"/>
          <w:color w:val="auto"/>
          <w:sz w:val="22"/>
          <w:szCs w:val="22"/>
          <w:lang w:val="en-GB"/>
        </w:rPr>
        <w:t xml:space="preserve">(See Box 1) </w:t>
      </w:r>
      <w:r w:rsidR="004E40FF" w:rsidRPr="00632DBC">
        <w:rPr>
          <w:rFonts w:ascii="Times New Roman" w:eastAsiaTheme="minorEastAsia" w:hAnsi="Times New Roman"/>
          <w:color w:val="auto"/>
          <w:sz w:val="22"/>
          <w:szCs w:val="22"/>
          <w:lang w:val="en-GB" w:eastAsia="sv-SE"/>
        </w:rPr>
        <w:t>(</w:t>
      </w:r>
      <w:r w:rsidR="001D61F4" w:rsidRPr="00632DBC">
        <w:rPr>
          <w:rFonts w:ascii="Times New Roman" w:eastAsiaTheme="minorEastAsia" w:hAnsi="Times New Roman"/>
          <w:color w:val="auto"/>
          <w:sz w:val="22"/>
          <w:szCs w:val="22"/>
          <w:lang w:val="en-GB" w:eastAsia="sv-SE"/>
        </w:rPr>
        <w:t>UNEP/CBD/COP/DEC/XII/3</w:t>
      </w:r>
      <w:r w:rsidR="004E40FF" w:rsidRPr="00632DBC">
        <w:rPr>
          <w:rFonts w:ascii="Times New Roman" w:eastAsiaTheme="minorEastAsia" w:hAnsi="Times New Roman"/>
          <w:color w:val="auto"/>
          <w:sz w:val="22"/>
          <w:szCs w:val="22"/>
          <w:lang w:val="en-GB" w:eastAsia="sv-SE"/>
        </w:rPr>
        <w:t>)</w:t>
      </w:r>
      <w:r w:rsidR="00AB7885" w:rsidRPr="00632DBC">
        <w:rPr>
          <w:rFonts w:ascii="Times New Roman" w:hAnsi="Times New Roman"/>
          <w:color w:val="auto"/>
          <w:sz w:val="22"/>
          <w:szCs w:val="22"/>
          <w:lang w:val="en-GB"/>
        </w:rPr>
        <w:t xml:space="preserve">. Consequently, </w:t>
      </w:r>
      <w:r w:rsidR="001D61F4" w:rsidRPr="00632DBC">
        <w:rPr>
          <w:rFonts w:ascii="Times New Roman" w:hAnsi="Times New Roman"/>
          <w:color w:val="auto"/>
          <w:sz w:val="22"/>
          <w:szCs w:val="22"/>
          <w:lang w:val="en-GB"/>
        </w:rPr>
        <w:t xml:space="preserve">at COP13, </w:t>
      </w:r>
      <w:r w:rsidR="00D84A5B" w:rsidRPr="00632DBC">
        <w:rPr>
          <w:rFonts w:ascii="Times New Roman" w:hAnsi="Times New Roman"/>
          <w:color w:val="auto"/>
          <w:sz w:val="22"/>
          <w:szCs w:val="22"/>
          <w:lang w:val="en-GB"/>
        </w:rPr>
        <w:t>t</w:t>
      </w:r>
      <w:r w:rsidR="00117D1E" w:rsidRPr="00632DBC">
        <w:rPr>
          <w:rFonts w:ascii="Times New Roman" w:hAnsi="Times New Roman"/>
          <w:color w:val="auto"/>
          <w:sz w:val="22"/>
          <w:szCs w:val="22"/>
          <w:lang w:val="en-GB"/>
        </w:rPr>
        <w:t xml:space="preserve">he Parties </w:t>
      </w:r>
      <w:r w:rsidR="004E40FF" w:rsidRPr="00632DBC">
        <w:rPr>
          <w:rFonts w:ascii="Times New Roman" w:hAnsi="Times New Roman"/>
          <w:color w:val="auto"/>
          <w:sz w:val="22"/>
          <w:szCs w:val="22"/>
          <w:lang w:val="en-GB"/>
        </w:rPr>
        <w:t xml:space="preserve">requested </w:t>
      </w:r>
      <w:r w:rsidR="00EF1E6F" w:rsidRPr="00632DBC">
        <w:rPr>
          <w:rFonts w:ascii="Times New Roman" w:hAnsi="Times New Roman"/>
          <w:color w:val="auto"/>
          <w:sz w:val="22"/>
          <w:szCs w:val="22"/>
          <w:lang w:val="en-GB"/>
        </w:rPr>
        <w:t xml:space="preserve">that </w:t>
      </w:r>
      <w:r w:rsidR="004E40FF" w:rsidRPr="00632DBC">
        <w:rPr>
          <w:rFonts w:ascii="Times New Roman" w:hAnsi="Times New Roman"/>
          <w:color w:val="auto"/>
          <w:sz w:val="22"/>
          <w:szCs w:val="22"/>
          <w:lang w:val="en-GB"/>
        </w:rPr>
        <w:t xml:space="preserve">the Executive Secretary </w:t>
      </w:r>
      <w:r w:rsidR="00117D1E" w:rsidRPr="00632DBC">
        <w:rPr>
          <w:rFonts w:ascii="Times New Roman" w:hAnsi="Times New Roman"/>
          <w:color w:val="auto"/>
          <w:sz w:val="22"/>
          <w:szCs w:val="22"/>
          <w:lang w:val="en-GB"/>
        </w:rPr>
        <w:t xml:space="preserve">compile and </w:t>
      </w:r>
      <w:r w:rsidR="00BF0634" w:rsidRPr="00632DBC">
        <w:rPr>
          <w:rFonts w:ascii="Times New Roman" w:hAnsi="Times New Roman"/>
          <w:color w:val="auto"/>
          <w:sz w:val="22"/>
          <w:szCs w:val="22"/>
          <w:lang w:val="en-GB"/>
        </w:rPr>
        <w:t>analyse</w:t>
      </w:r>
      <w:r w:rsidR="00117D1E" w:rsidRPr="00632DBC">
        <w:rPr>
          <w:rFonts w:ascii="Times New Roman" w:hAnsi="Times New Roman"/>
          <w:color w:val="auto"/>
          <w:sz w:val="22"/>
          <w:szCs w:val="22"/>
          <w:lang w:val="en-GB"/>
        </w:rPr>
        <w:t xml:space="preserve"> information, including good practices or lessons learned on how Parties, other Governments, international organizations, business organizations and other stakeholders </w:t>
      </w:r>
      <w:r w:rsidR="007D0AA4" w:rsidRPr="00632DBC">
        <w:rPr>
          <w:rFonts w:ascii="Times New Roman" w:hAnsi="Times New Roman"/>
          <w:color w:val="auto"/>
          <w:sz w:val="22"/>
          <w:szCs w:val="22"/>
          <w:lang w:val="en-GB"/>
        </w:rPr>
        <w:t>take</w:t>
      </w:r>
      <w:r w:rsidR="00117D1E" w:rsidRPr="00632DBC">
        <w:rPr>
          <w:rFonts w:ascii="Times New Roman" w:hAnsi="Times New Roman"/>
          <w:color w:val="auto"/>
          <w:sz w:val="22"/>
          <w:szCs w:val="22"/>
          <w:lang w:val="en-GB"/>
        </w:rPr>
        <w:t xml:space="preserve"> voluntary guidelines on safeguards in bi</w:t>
      </w:r>
      <w:r w:rsidR="007D0AA4" w:rsidRPr="00632DBC">
        <w:rPr>
          <w:rFonts w:ascii="Times New Roman" w:hAnsi="Times New Roman"/>
          <w:color w:val="auto"/>
          <w:sz w:val="22"/>
          <w:szCs w:val="22"/>
          <w:lang w:val="en-GB"/>
        </w:rPr>
        <w:t xml:space="preserve">odiversity financing mechanisms into account </w:t>
      </w:r>
      <w:r w:rsidR="00117D1E" w:rsidRPr="00632DBC">
        <w:rPr>
          <w:rFonts w:ascii="Times New Roman" w:hAnsi="Times New Roman"/>
          <w:color w:val="auto"/>
          <w:sz w:val="22"/>
          <w:szCs w:val="22"/>
          <w:lang w:val="en-GB"/>
        </w:rPr>
        <w:t>when selecting, designing and implementing biodiversity financing mechanisms, and when developing instrument-specific safeguards for them</w:t>
      </w:r>
      <w:r w:rsidR="00192610" w:rsidRPr="00632DBC">
        <w:rPr>
          <w:rFonts w:ascii="Times New Roman" w:hAnsi="Times New Roman"/>
          <w:color w:val="auto"/>
          <w:sz w:val="22"/>
          <w:szCs w:val="22"/>
          <w:lang w:val="en-GB"/>
        </w:rPr>
        <w:t xml:space="preserve"> </w:t>
      </w:r>
      <w:r w:rsidR="008061B0" w:rsidRPr="00632DBC">
        <w:rPr>
          <w:rFonts w:ascii="Times New Roman" w:hAnsi="Times New Roman"/>
          <w:color w:val="auto"/>
          <w:sz w:val="22"/>
          <w:szCs w:val="22"/>
          <w:lang w:val="en-GB"/>
        </w:rPr>
        <w:t>(</w:t>
      </w:r>
      <w:r w:rsidR="008061B0" w:rsidRPr="00632DBC">
        <w:rPr>
          <w:rFonts w:ascii="Times New Roman" w:eastAsiaTheme="minorEastAsia" w:hAnsi="Times New Roman"/>
          <w:color w:val="auto"/>
          <w:sz w:val="22"/>
          <w:szCs w:val="22"/>
          <w:lang w:val="en-GB" w:eastAsia="sv-SE"/>
        </w:rPr>
        <w:t xml:space="preserve">CBD/COP/DEC/XIII/20). </w:t>
      </w:r>
      <w:r w:rsidR="00192610" w:rsidRPr="00632DBC">
        <w:rPr>
          <w:rFonts w:ascii="Times New Roman" w:eastAsiaTheme="minorEastAsia" w:hAnsi="Times New Roman"/>
          <w:color w:val="auto"/>
          <w:sz w:val="22"/>
          <w:szCs w:val="22"/>
          <w:lang w:val="en-GB" w:eastAsia="sv-SE"/>
        </w:rPr>
        <w:t xml:space="preserve">The present policy </w:t>
      </w:r>
      <w:r w:rsidR="00BF0634" w:rsidRPr="00632DBC">
        <w:rPr>
          <w:rFonts w:ascii="Times New Roman" w:eastAsiaTheme="minorEastAsia" w:hAnsi="Times New Roman"/>
          <w:color w:val="auto"/>
          <w:sz w:val="22"/>
          <w:szCs w:val="22"/>
          <w:lang w:val="en-GB" w:eastAsia="sv-SE"/>
        </w:rPr>
        <w:t xml:space="preserve">report </w:t>
      </w:r>
      <w:r w:rsidR="003F5D0F" w:rsidRPr="00632DBC">
        <w:rPr>
          <w:rFonts w:ascii="Times New Roman" w:eastAsiaTheme="minorEastAsia" w:hAnsi="Times New Roman"/>
          <w:color w:val="auto"/>
          <w:sz w:val="22"/>
          <w:szCs w:val="22"/>
          <w:lang w:val="en-GB" w:eastAsia="sv-SE"/>
        </w:rPr>
        <w:t>fulfils</w:t>
      </w:r>
      <w:r w:rsidR="006B593D" w:rsidRPr="00632DBC">
        <w:rPr>
          <w:rFonts w:ascii="Times New Roman" w:eastAsiaTheme="minorEastAsia" w:hAnsi="Times New Roman"/>
          <w:color w:val="auto"/>
          <w:sz w:val="22"/>
          <w:szCs w:val="22"/>
          <w:lang w:val="en-GB" w:eastAsia="sv-SE"/>
        </w:rPr>
        <w:t xml:space="preserve"> this </w:t>
      </w:r>
      <w:r w:rsidR="00E62B62" w:rsidRPr="00632DBC">
        <w:rPr>
          <w:rFonts w:ascii="Times New Roman" w:eastAsiaTheme="minorEastAsia" w:hAnsi="Times New Roman"/>
          <w:color w:val="auto"/>
          <w:sz w:val="22"/>
          <w:szCs w:val="22"/>
          <w:lang w:val="en-GB" w:eastAsia="sv-SE"/>
        </w:rPr>
        <w:t>request</w:t>
      </w:r>
      <w:r w:rsidR="006B593D" w:rsidRPr="00632DBC">
        <w:rPr>
          <w:rFonts w:ascii="Times New Roman" w:eastAsiaTheme="minorEastAsia" w:hAnsi="Times New Roman"/>
          <w:color w:val="auto"/>
          <w:sz w:val="22"/>
          <w:szCs w:val="22"/>
          <w:lang w:val="en-GB" w:eastAsia="sv-SE"/>
        </w:rPr>
        <w:t xml:space="preserve"> from the Parties</w:t>
      </w:r>
      <w:r w:rsidR="00E62B62" w:rsidRPr="00632DBC">
        <w:rPr>
          <w:rFonts w:ascii="Times New Roman" w:eastAsiaTheme="minorEastAsia" w:hAnsi="Times New Roman"/>
          <w:color w:val="auto"/>
          <w:sz w:val="22"/>
          <w:szCs w:val="22"/>
          <w:lang w:val="en-GB" w:eastAsia="sv-SE"/>
        </w:rPr>
        <w:t>.</w:t>
      </w:r>
    </w:p>
    <w:p w14:paraId="1145EA17" w14:textId="3A99F245" w:rsidR="00E669F3" w:rsidRPr="00632DBC" w:rsidRDefault="00E669F3" w:rsidP="00632DBC">
      <w:pPr>
        <w:tabs>
          <w:tab w:val="left" w:pos="4253"/>
        </w:tabs>
        <w:autoSpaceDE w:val="0"/>
        <w:autoSpaceDN w:val="0"/>
        <w:adjustRightInd w:val="0"/>
        <w:jc w:val="both"/>
        <w:rPr>
          <w:rFonts w:ascii="Times New Roman" w:hAnsi="Times New Roman"/>
        </w:rPr>
      </w:pPr>
      <w:r w:rsidRPr="00632DBC">
        <w:rPr>
          <w:rFonts w:ascii="Times New Roman" w:hAnsi="Times New Roman"/>
        </w:rPr>
        <w:t>Th</w:t>
      </w:r>
      <w:r w:rsidR="00CD7D11" w:rsidRPr="00632DBC">
        <w:rPr>
          <w:rFonts w:ascii="Times New Roman" w:hAnsi="Times New Roman"/>
        </w:rPr>
        <w:t>is</w:t>
      </w:r>
      <w:r w:rsidRPr="00632DBC">
        <w:rPr>
          <w:rFonts w:ascii="Times New Roman" w:hAnsi="Times New Roman"/>
        </w:rPr>
        <w:t xml:space="preserve"> policy paper starts by examining the notion of safeguards in biodiversity financing mechanisms (BFMs) under the Con</w:t>
      </w:r>
      <w:r w:rsidR="00BC66D2" w:rsidRPr="00632DBC">
        <w:rPr>
          <w:rFonts w:ascii="Times New Roman" w:hAnsi="Times New Roman"/>
        </w:rPr>
        <w:t>vention on Biological Diversity</w:t>
      </w:r>
      <w:r w:rsidR="00A27DA6" w:rsidRPr="00632DBC">
        <w:rPr>
          <w:rFonts w:ascii="Times New Roman" w:hAnsi="Times New Roman"/>
        </w:rPr>
        <w:t xml:space="preserve"> (CBD)</w:t>
      </w:r>
      <w:r w:rsidRPr="00632DBC">
        <w:rPr>
          <w:rFonts w:ascii="Times New Roman" w:hAnsi="Times New Roman"/>
        </w:rPr>
        <w:t xml:space="preserve">. It explores key elements in the process of scaling-up biodiversity financing for achieving the CBD objectives.  Resource mobilisation is </w:t>
      </w:r>
      <w:r w:rsidR="00EF1E6F" w:rsidRPr="00632DBC">
        <w:rPr>
          <w:rFonts w:ascii="Times New Roman" w:hAnsi="Times New Roman"/>
        </w:rPr>
        <w:t xml:space="preserve">a </w:t>
      </w:r>
      <w:r w:rsidRPr="00632DBC">
        <w:rPr>
          <w:rFonts w:ascii="Times New Roman" w:hAnsi="Times New Roman"/>
        </w:rPr>
        <w:t>key element</w:t>
      </w:r>
      <w:r w:rsidR="00EF1E6F" w:rsidRPr="00632DBC">
        <w:rPr>
          <w:rFonts w:ascii="Times New Roman" w:hAnsi="Times New Roman"/>
        </w:rPr>
        <w:t xml:space="preserve"> that contributes</w:t>
      </w:r>
      <w:r w:rsidRPr="00632DBC">
        <w:rPr>
          <w:rFonts w:ascii="Times New Roman" w:hAnsi="Times New Roman"/>
        </w:rPr>
        <w:t xml:space="preserve"> to the achievement of the three goals of the Convention on Biological Diversity. However, concerns exist over potential social and environmental problems in the process of </w:t>
      </w:r>
      <w:r w:rsidR="00386D5E" w:rsidRPr="00632DBC">
        <w:rPr>
          <w:rFonts w:ascii="Times New Roman" w:hAnsi="Times New Roman"/>
        </w:rPr>
        <w:t>resource mobilisation</w:t>
      </w:r>
      <w:r w:rsidRPr="00632DBC">
        <w:rPr>
          <w:rFonts w:ascii="Times New Roman" w:hAnsi="Times New Roman"/>
        </w:rPr>
        <w:t>. To address these concerns, various government</w:t>
      </w:r>
      <w:r w:rsidR="0085353D" w:rsidRPr="00632DBC">
        <w:rPr>
          <w:rFonts w:ascii="Times New Roman" w:hAnsi="Times New Roman"/>
        </w:rPr>
        <w:t>s</w:t>
      </w:r>
      <w:r w:rsidRPr="00632DBC">
        <w:rPr>
          <w:rFonts w:ascii="Times New Roman" w:hAnsi="Times New Roman"/>
        </w:rPr>
        <w:t>, right-holders and</w:t>
      </w:r>
      <w:r w:rsidR="00633A71">
        <w:rPr>
          <w:rFonts w:ascii="Times New Roman" w:hAnsi="Times New Roman"/>
        </w:rPr>
        <w:t xml:space="preserve"> actor</w:t>
      </w:r>
      <w:r w:rsidR="007959AA">
        <w:rPr>
          <w:rFonts w:ascii="Times New Roman" w:hAnsi="Times New Roman"/>
        </w:rPr>
        <w:t xml:space="preserve"> </w:t>
      </w:r>
      <w:r w:rsidRPr="00632DBC">
        <w:rPr>
          <w:rFonts w:ascii="Times New Roman" w:hAnsi="Times New Roman"/>
        </w:rPr>
        <w:t xml:space="preserve">have stressed the importance of safeguards as prerequisites for reaching the CBD objectives. </w:t>
      </w:r>
    </w:p>
    <w:p w14:paraId="42321C38" w14:textId="3176F3AC" w:rsidR="00E669F3" w:rsidRPr="00632DBC" w:rsidRDefault="00E669F3" w:rsidP="004401C5">
      <w:pPr>
        <w:jc w:val="both"/>
        <w:rPr>
          <w:rFonts w:ascii="Times New Roman" w:hAnsi="Times New Roman"/>
        </w:rPr>
      </w:pPr>
      <w:r w:rsidRPr="00632DBC">
        <w:rPr>
          <w:rFonts w:ascii="Times New Roman" w:hAnsi="Times New Roman"/>
        </w:rPr>
        <w:t>This paper shows that safeguards in the environmental arena have evolved from an original defensive nature, aimed at ensuring smooth top-down implementation of a program or policy, to a relatively more comprehensive one</w:t>
      </w:r>
      <w:r w:rsidR="00C52FA8" w:rsidRPr="00632DBC">
        <w:rPr>
          <w:rFonts w:ascii="Times New Roman" w:hAnsi="Times New Roman"/>
        </w:rPr>
        <w:t>,</w:t>
      </w:r>
      <w:r w:rsidRPr="00632DBC">
        <w:rPr>
          <w:rFonts w:ascii="Times New Roman" w:hAnsi="Times New Roman"/>
        </w:rPr>
        <w:t xml:space="preserve"> that aims to support equitable biodiversity and ecosystem governance</w:t>
      </w:r>
      <w:r w:rsidR="00CD7D11" w:rsidRPr="00632DBC">
        <w:rPr>
          <w:rFonts w:ascii="Times New Roman" w:hAnsi="Times New Roman"/>
        </w:rPr>
        <w:t>,</w:t>
      </w:r>
      <w:r w:rsidR="00A27DA6" w:rsidRPr="00632DBC">
        <w:rPr>
          <w:rFonts w:ascii="Times New Roman" w:hAnsi="Times New Roman"/>
        </w:rPr>
        <w:t xml:space="preserve"> </w:t>
      </w:r>
      <w:r w:rsidR="00CD7D11" w:rsidRPr="00632DBC">
        <w:rPr>
          <w:rFonts w:ascii="Times New Roman" w:hAnsi="Times New Roman"/>
        </w:rPr>
        <w:t>i</w:t>
      </w:r>
      <w:r w:rsidRPr="00632DBC">
        <w:rPr>
          <w:rFonts w:ascii="Times New Roman" w:hAnsi="Times New Roman"/>
        </w:rPr>
        <w:t xml:space="preserve">ncluding the participation </w:t>
      </w:r>
      <w:r w:rsidR="00CD7D11" w:rsidRPr="00632DBC">
        <w:rPr>
          <w:rFonts w:ascii="Times New Roman" w:hAnsi="Times New Roman"/>
        </w:rPr>
        <w:t xml:space="preserve">of local right-holders </w:t>
      </w:r>
      <w:r w:rsidRPr="00632DBC">
        <w:rPr>
          <w:rFonts w:ascii="Times New Roman" w:hAnsi="Times New Roman"/>
        </w:rPr>
        <w:t>and recognition</w:t>
      </w:r>
      <w:r w:rsidR="00CD7D11" w:rsidRPr="00632DBC">
        <w:rPr>
          <w:rFonts w:ascii="Times New Roman" w:hAnsi="Times New Roman"/>
        </w:rPr>
        <w:t xml:space="preserve"> of their rights</w:t>
      </w:r>
      <w:r w:rsidRPr="00632DBC">
        <w:rPr>
          <w:rFonts w:ascii="Times New Roman" w:hAnsi="Times New Roman"/>
        </w:rPr>
        <w:t>.</w:t>
      </w:r>
      <w:r w:rsidRPr="00632DBC" w:rsidDel="009161AD">
        <w:rPr>
          <w:rFonts w:ascii="Times New Roman" w:hAnsi="Times New Roman"/>
        </w:rPr>
        <w:t xml:space="preserve"> </w:t>
      </w:r>
      <w:r w:rsidRPr="00632DBC">
        <w:rPr>
          <w:rFonts w:ascii="Times New Roman" w:hAnsi="Times New Roman"/>
        </w:rPr>
        <w:t xml:space="preserve">It suggests that </w:t>
      </w:r>
      <w:proofErr w:type="gramStart"/>
      <w:r w:rsidRPr="00632DBC">
        <w:rPr>
          <w:rFonts w:ascii="Times New Roman" w:hAnsi="Times New Roman"/>
        </w:rPr>
        <w:t>a rights</w:t>
      </w:r>
      <w:proofErr w:type="gramEnd"/>
      <w:r w:rsidRPr="00632DBC">
        <w:rPr>
          <w:rFonts w:ascii="Times New Roman" w:hAnsi="Times New Roman"/>
        </w:rPr>
        <w:t>/duties based approach to safeguards in BFMs</w:t>
      </w:r>
      <w:r w:rsidR="0010543F" w:rsidRPr="00632DBC">
        <w:rPr>
          <w:rFonts w:ascii="Times New Roman" w:hAnsi="Times New Roman"/>
        </w:rPr>
        <w:t>,</w:t>
      </w:r>
      <w:r w:rsidRPr="00632DBC">
        <w:rPr>
          <w:rFonts w:ascii="Times New Roman" w:hAnsi="Times New Roman"/>
        </w:rPr>
        <w:t xml:space="preserve"> that goes beyond a defensive approach</w:t>
      </w:r>
      <w:r w:rsidR="00C52FA8" w:rsidRPr="00632DBC">
        <w:rPr>
          <w:rFonts w:ascii="Times New Roman" w:hAnsi="Times New Roman"/>
        </w:rPr>
        <w:t>,</w:t>
      </w:r>
      <w:r w:rsidRPr="00632DBC">
        <w:rPr>
          <w:rFonts w:ascii="Times New Roman" w:hAnsi="Times New Roman"/>
        </w:rPr>
        <w:t xml:space="preserve"> can serve in constructively finding consensus for equitably</w:t>
      </w:r>
      <w:r w:rsidR="00A823DC" w:rsidRPr="00632DBC">
        <w:rPr>
          <w:rFonts w:ascii="Times New Roman" w:hAnsi="Times New Roman"/>
        </w:rPr>
        <w:t xml:space="preserve"> </w:t>
      </w:r>
      <w:r w:rsidRPr="00632DBC">
        <w:rPr>
          <w:rFonts w:ascii="Times New Roman" w:hAnsi="Times New Roman"/>
        </w:rPr>
        <w:t xml:space="preserve">recognising and guaranteeing biocultural rights and duties among the parties involved. While distinguishing procedural safeguards from substantive </w:t>
      </w:r>
      <w:r w:rsidRPr="00632DBC">
        <w:rPr>
          <w:rFonts w:ascii="Times New Roman" w:hAnsi="Times New Roman"/>
        </w:rPr>
        <w:lastRenderedPageBreak/>
        <w:t>safeguards, the paper highlights that both are needed. This more systematic approach to safeguards views their operationalization as a dynamic process</w:t>
      </w:r>
      <w:r w:rsidR="00CD7D11" w:rsidRPr="00632DBC">
        <w:rPr>
          <w:rFonts w:ascii="Times New Roman" w:hAnsi="Times New Roman"/>
        </w:rPr>
        <w:t>,</w:t>
      </w:r>
      <w:r w:rsidRPr="00632DBC">
        <w:rPr>
          <w:rFonts w:ascii="Times New Roman" w:hAnsi="Times New Roman"/>
        </w:rPr>
        <w:t xml:space="preserve"> grounded </w:t>
      </w:r>
      <w:proofErr w:type="gramStart"/>
      <w:r w:rsidRPr="00632DBC">
        <w:rPr>
          <w:rFonts w:ascii="Times New Roman" w:hAnsi="Times New Roman"/>
        </w:rPr>
        <w:t>in particular local</w:t>
      </w:r>
      <w:proofErr w:type="gramEnd"/>
      <w:r w:rsidRPr="00632DBC">
        <w:rPr>
          <w:rFonts w:ascii="Times New Roman" w:hAnsi="Times New Roman"/>
        </w:rPr>
        <w:t xml:space="preserve"> realities and linked to national and international processes.</w:t>
      </w:r>
    </w:p>
    <w:p w14:paraId="4A78A45A" w14:textId="3B6ED484" w:rsidR="00E669F3" w:rsidRPr="00632DBC" w:rsidRDefault="00E669F3" w:rsidP="004401C5">
      <w:pPr>
        <w:jc w:val="both"/>
        <w:rPr>
          <w:rFonts w:ascii="Times New Roman" w:hAnsi="Times New Roman"/>
        </w:rPr>
      </w:pPr>
      <w:r w:rsidRPr="00632DBC">
        <w:rPr>
          <w:rFonts w:ascii="Times New Roman" w:hAnsi="Times New Roman"/>
        </w:rPr>
        <w:t xml:space="preserve">The paper also analyses safeguards relating to different types of BFMs. This analysis found that, in practice, BFMs can </w:t>
      </w:r>
      <w:proofErr w:type="gramStart"/>
      <w:r w:rsidRPr="00632DBC">
        <w:rPr>
          <w:rFonts w:ascii="Times New Roman" w:hAnsi="Times New Roman"/>
        </w:rPr>
        <w:t>be connected with</w:t>
      </w:r>
      <w:proofErr w:type="gramEnd"/>
      <w:r w:rsidRPr="00632DBC">
        <w:rPr>
          <w:rFonts w:ascii="Times New Roman" w:hAnsi="Times New Roman"/>
        </w:rPr>
        <w:t xml:space="preserve"> one another, as well as with broader institutional reforms and biodiversity resource mobilisation such as Official Development Assistance (ODA). </w:t>
      </w:r>
      <w:r w:rsidR="00B12BE7" w:rsidRPr="00632DBC">
        <w:rPr>
          <w:rFonts w:ascii="Times New Roman" w:hAnsi="Times New Roman"/>
        </w:rPr>
        <w:t>W</w:t>
      </w:r>
      <w:r w:rsidRPr="00632DBC">
        <w:rPr>
          <w:rFonts w:ascii="Times New Roman" w:hAnsi="Times New Roman"/>
        </w:rPr>
        <w:t>hile Parties develop specific safeguards that respond to the risks and opportunities of each BFM, their efforts can be made more effective by harmonising different safeguards in the process of scaling-up biodiversity financing</w:t>
      </w:r>
      <w:r w:rsidR="00BC66D2" w:rsidRPr="00632DBC">
        <w:rPr>
          <w:rFonts w:ascii="Times New Roman" w:hAnsi="Times New Roman"/>
        </w:rPr>
        <w:t>.</w:t>
      </w:r>
    </w:p>
    <w:p w14:paraId="171129D9" w14:textId="211E64EB" w:rsidR="00810C20" w:rsidRPr="00632DBC" w:rsidRDefault="00810C20" w:rsidP="00CD7D11">
      <w:pPr>
        <w:jc w:val="both"/>
        <w:rPr>
          <w:rFonts w:ascii="Times New Roman" w:hAnsi="Times New Roman"/>
        </w:rPr>
      </w:pPr>
      <w:r w:rsidRPr="00632DBC">
        <w:rPr>
          <w:rFonts w:ascii="Times New Roman" w:hAnsi="Times New Roman"/>
        </w:rPr>
        <w:t>The BFMs addressed in this paper are the six mechanisms mentioned in Goal 4 of the Strategy of Resource Mobilisation (2008-2015) (COP9 Decision IX/11)</w:t>
      </w:r>
      <w:r w:rsidRPr="00632DBC">
        <w:rPr>
          <w:rFonts w:ascii="Times New Roman" w:hAnsi="Times New Roman"/>
          <w:vertAlign w:val="superscript"/>
        </w:rPr>
        <w:footnoteReference w:id="8"/>
      </w:r>
      <w:r w:rsidR="00A27DA6" w:rsidRPr="00632DBC">
        <w:rPr>
          <w:rFonts w:ascii="Times New Roman" w:hAnsi="Times New Roman"/>
        </w:rPr>
        <w:t>. The findings</w:t>
      </w:r>
      <w:r w:rsidR="00F37DF1" w:rsidRPr="00632DBC">
        <w:rPr>
          <w:rFonts w:ascii="Times New Roman" w:hAnsi="Times New Roman"/>
        </w:rPr>
        <w:t xml:space="preserve"> in this paper, </w:t>
      </w:r>
      <w:r w:rsidR="00CD7D11" w:rsidRPr="00632DBC">
        <w:rPr>
          <w:rFonts w:ascii="Times New Roman" w:hAnsi="Times New Roman"/>
        </w:rPr>
        <w:t xml:space="preserve">the </w:t>
      </w:r>
      <w:r w:rsidR="004546E2" w:rsidRPr="00632DBC">
        <w:rPr>
          <w:rFonts w:ascii="Times New Roman" w:hAnsi="Times New Roman"/>
        </w:rPr>
        <w:t>adopted guidelines</w:t>
      </w:r>
      <w:r w:rsidR="00CD7D11" w:rsidRPr="00632DBC">
        <w:rPr>
          <w:rFonts w:ascii="Times New Roman" w:hAnsi="Times New Roman"/>
        </w:rPr>
        <w:t>,</w:t>
      </w:r>
      <w:r w:rsidRPr="00632DBC">
        <w:rPr>
          <w:rFonts w:ascii="Times New Roman" w:hAnsi="Times New Roman"/>
        </w:rPr>
        <w:t xml:space="preserve"> and </w:t>
      </w:r>
      <w:r w:rsidR="00F37DF1" w:rsidRPr="00632DBC">
        <w:rPr>
          <w:rFonts w:ascii="Times New Roman" w:hAnsi="Times New Roman"/>
        </w:rPr>
        <w:t xml:space="preserve">a </w:t>
      </w:r>
      <w:r w:rsidRPr="00632DBC">
        <w:rPr>
          <w:rFonts w:ascii="Times New Roman" w:hAnsi="Times New Roman"/>
        </w:rPr>
        <w:t>suggested operationalization roadmap</w:t>
      </w:r>
      <w:r w:rsidR="00F37DF1" w:rsidRPr="00632DBC">
        <w:rPr>
          <w:rFonts w:ascii="Times New Roman" w:hAnsi="Times New Roman"/>
        </w:rPr>
        <w:t xml:space="preserve"> </w:t>
      </w:r>
      <w:r w:rsidRPr="00632DBC">
        <w:rPr>
          <w:rFonts w:ascii="Times New Roman" w:hAnsi="Times New Roman"/>
        </w:rPr>
        <w:t>are also relevan</w:t>
      </w:r>
      <w:r w:rsidR="00A27DA6" w:rsidRPr="00632DBC">
        <w:rPr>
          <w:rFonts w:ascii="Times New Roman" w:hAnsi="Times New Roman"/>
        </w:rPr>
        <w:t>t to other mechanisms</w:t>
      </w:r>
      <w:r w:rsidRPr="00632DBC">
        <w:rPr>
          <w:rFonts w:ascii="Times New Roman" w:hAnsi="Times New Roman"/>
        </w:rPr>
        <w:t xml:space="preserve"> such as those of the Nagoya Protocol and ABS system.</w:t>
      </w:r>
    </w:p>
    <w:p w14:paraId="0C93D90C" w14:textId="7C583D3C" w:rsidR="00E669F3" w:rsidRPr="00632DBC" w:rsidRDefault="00BC66D2" w:rsidP="00632DBC">
      <w:pPr>
        <w:pStyle w:val="Corps"/>
        <w:spacing w:after="200" w:line="276" w:lineRule="auto"/>
        <w:jc w:val="both"/>
        <w:rPr>
          <w:rFonts w:ascii="Times New Roman" w:hAnsi="Times New Roman"/>
          <w:color w:val="auto"/>
          <w:lang w:val="en-GB"/>
        </w:rPr>
      </w:pPr>
      <w:r w:rsidRPr="00632DBC">
        <w:rPr>
          <w:rFonts w:ascii="Times New Roman" w:hAnsi="Times New Roman"/>
          <w:color w:val="auto"/>
          <w:lang w:val="en-GB"/>
        </w:rPr>
        <w:t>Based on this analysis and informed by inputs from Parties and other groups, the paper suggests elements for a roadmap to operational</w:t>
      </w:r>
      <w:r w:rsidR="002B3B0A" w:rsidRPr="00632DBC">
        <w:rPr>
          <w:rFonts w:ascii="Times New Roman" w:hAnsi="Times New Roman"/>
          <w:color w:val="auto"/>
          <w:lang w:val="en-GB"/>
        </w:rPr>
        <w:t xml:space="preserve">ize such CBD guidelines. </w:t>
      </w:r>
      <w:r w:rsidR="001D1489" w:rsidRPr="00632DBC">
        <w:rPr>
          <w:rFonts w:ascii="Times New Roman" w:hAnsi="Times New Roman" w:cs="Times New Roman"/>
          <w:color w:val="auto"/>
          <w:lang w:val="en-GB"/>
        </w:rPr>
        <w:t>Countries</w:t>
      </w:r>
      <w:r w:rsidRPr="00632DBC">
        <w:rPr>
          <w:rFonts w:ascii="Times New Roman" w:hAnsi="Times New Roman"/>
          <w:color w:val="auto"/>
          <w:lang w:val="en-GB"/>
        </w:rPr>
        <w:t xml:space="preserve"> face distinctive challenges due to their socio-</w:t>
      </w:r>
      <w:r w:rsidR="002B3B0A" w:rsidRPr="00632DBC">
        <w:rPr>
          <w:rFonts w:ascii="Times New Roman" w:hAnsi="Times New Roman"/>
          <w:color w:val="auto"/>
          <w:lang w:val="en-GB"/>
        </w:rPr>
        <w:t>ecological and legal landscapes</w:t>
      </w:r>
      <w:r w:rsidR="002B3B0A" w:rsidRPr="00632DBC">
        <w:rPr>
          <w:rFonts w:ascii="Times New Roman" w:hAnsi="Times New Roman" w:cs="Times New Roman"/>
          <w:color w:val="auto"/>
          <w:lang w:val="en-GB"/>
        </w:rPr>
        <w:t>. T</w:t>
      </w:r>
      <w:r w:rsidRPr="00632DBC">
        <w:rPr>
          <w:rFonts w:ascii="Times New Roman" w:hAnsi="Times New Roman" w:cs="Times New Roman"/>
          <w:color w:val="auto"/>
          <w:lang w:val="en-GB"/>
        </w:rPr>
        <w:t>he</w:t>
      </w:r>
      <w:r w:rsidRPr="00632DBC">
        <w:rPr>
          <w:rFonts w:ascii="Times New Roman" w:hAnsi="Times New Roman"/>
          <w:color w:val="auto"/>
          <w:lang w:val="en-GB"/>
        </w:rPr>
        <w:t xml:space="preserve"> adopted guidelines aim to provide advice on how Parties and other stakeholders can make more informed </w:t>
      </w:r>
      <w:r w:rsidRPr="00632DBC">
        <w:rPr>
          <w:rFonts w:ascii="Times New Roman" w:hAnsi="Times New Roman" w:cs="Times New Roman"/>
          <w:color w:val="auto"/>
          <w:lang w:val="en-GB"/>
        </w:rPr>
        <w:t>decision</w:t>
      </w:r>
      <w:r w:rsidR="002B3B0A" w:rsidRPr="00632DBC">
        <w:rPr>
          <w:rFonts w:ascii="Times New Roman" w:hAnsi="Times New Roman" w:cs="Times New Roman"/>
          <w:color w:val="auto"/>
          <w:lang w:val="en-GB"/>
        </w:rPr>
        <w:t>s</w:t>
      </w:r>
      <w:r w:rsidRPr="00632DBC">
        <w:rPr>
          <w:rFonts w:ascii="Times New Roman" w:hAnsi="Times New Roman"/>
          <w:color w:val="auto"/>
          <w:lang w:val="en-GB"/>
        </w:rPr>
        <w:t xml:space="preserve"> on choosing, designing and implementing mechanisms for financing biodiversity</w:t>
      </w:r>
      <w:r w:rsidR="002B3B0A" w:rsidRPr="00632DBC">
        <w:rPr>
          <w:rFonts w:ascii="Times New Roman" w:hAnsi="Times New Roman" w:cs="Times New Roman"/>
          <w:color w:val="auto"/>
          <w:lang w:val="en-GB"/>
        </w:rPr>
        <w:t xml:space="preserve"> </w:t>
      </w:r>
      <w:r w:rsidR="00416E64">
        <w:rPr>
          <w:rFonts w:ascii="Times New Roman" w:hAnsi="Times New Roman" w:cs="Times New Roman"/>
          <w:color w:val="auto"/>
          <w:lang w:val="en-GB"/>
        </w:rPr>
        <w:t>i</w:t>
      </w:r>
      <w:r w:rsidR="00416E64" w:rsidRPr="00632DBC">
        <w:rPr>
          <w:rFonts w:ascii="Times New Roman" w:hAnsi="Times New Roman" w:cs="Times New Roman"/>
          <w:color w:val="auto"/>
          <w:lang w:val="en-GB"/>
        </w:rPr>
        <w:t>n</w:t>
      </w:r>
      <w:r w:rsidR="00416E64" w:rsidRPr="00632DBC">
        <w:rPr>
          <w:rFonts w:ascii="Times New Roman" w:hAnsi="Times New Roman"/>
          <w:color w:val="auto"/>
          <w:lang w:val="en-GB"/>
        </w:rPr>
        <w:t xml:space="preserve"> </w:t>
      </w:r>
      <w:r w:rsidRPr="00632DBC">
        <w:rPr>
          <w:rFonts w:ascii="Times New Roman" w:hAnsi="Times New Roman"/>
          <w:color w:val="auto"/>
          <w:lang w:val="en-GB"/>
        </w:rPr>
        <w:t>a way that fosters the achievement of the three inter-dependent CBD objectives with both environmental and social dimensions.</w:t>
      </w:r>
    </w:p>
    <w:p w14:paraId="087F3058" w14:textId="77777777" w:rsidR="00810C20" w:rsidRPr="00632DBC" w:rsidRDefault="00810C20" w:rsidP="004401C5">
      <w:pPr>
        <w:pStyle w:val="Corps"/>
        <w:tabs>
          <w:tab w:val="left" w:pos="7998"/>
        </w:tabs>
        <w:spacing w:before="240" w:after="140"/>
        <w:jc w:val="both"/>
        <w:rPr>
          <w:rFonts w:ascii="Times New Roman" w:eastAsia="Times New Roman" w:hAnsi="Times New Roman" w:cs="Times New Roman"/>
          <w:color w:val="auto"/>
          <w:lang w:val="en-GB"/>
        </w:rPr>
      </w:pPr>
      <w:r w:rsidRPr="00632DBC">
        <w:rPr>
          <w:rFonts w:ascii="Times New Roman" w:eastAsia="Times New Roman" w:hAnsi="Times New Roman" w:cs="Times New Roman"/>
          <w:b/>
          <w:color w:val="auto"/>
          <w:lang w:val="en-GB"/>
        </w:rPr>
        <w:t>Main findings</w:t>
      </w:r>
    </w:p>
    <w:p w14:paraId="126E5087" w14:textId="61BCF96F" w:rsidR="00810C20" w:rsidRPr="00632DBC" w:rsidRDefault="00810C20" w:rsidP="00632DBC">
      <w:pPr>
        <w:jc w:val="both"/>
        <w:rPr>
          <w:rFonts w:ascii="Times New Roman" w:hAnsi="Times New Roman"/>
        </w:rPr>
      </w:pPr>
      <w:r w:rsidRPr="00632DBC">
        <w:rPr>
          <w:rFonts w:ascii="Times New Roman" w:hAnsi="Times New Roman"/>
          <w:b/>
        </w:rPr>
        <w:t xml:space="preserve">Scaling-up biodiversity financing can be a means for meeting the CBD </w:t>
      </w:r>
      <w:r w:rsidR="0059461E" w:rsidRPr="00632DBC">
        <w:rPr>
          <w:rFonts w:ascii="Times New Roman" w:hAnsi="Times New Roman"/>
          <w:b/>
        </w:rPr>
        <w:t>o</w:t>
      </w:r>
      <w:r w:rsidRPr="00632DBC">
        <w:rPr>
          <w:rFonts w:ascii="Times New Roman" w:hAnsi="Times New Roman"/>
          <w:b/>
        </w:rPr>
        <w:t>bjectives,</w:t>
      </w:r>
      <w:r w:rsidRPr="00632DBC">
        <w:rPr>
          <w:rFonts w:ascii="Times New Roman" w:hAnsi="Times New Roman"/>
          <w:b/>
          <w:vertAlign w:val="superscript"/>
        </w:rPr>
        <w:t xml:space="preserve"> </w:t>
      </w:r>
      <w:r w:rsidRPr="00632DBC">
        <w:rPr>
          <w:rFonts w:ascii="Times New Roman" w:hAnsi="Times New Roman"/>
          <w:b/>
        </w:rPr>
        <w:t xml:space="preserve">but both opportunities and risks need to be </w:t>
      </w:r>
      <w:proofErr w:type="gramStart"/>
      <w:r w:rsidRPr="00632DBC">
        <w:rPr>
          <w:rFonts w:ascii="Times New Roman" w:hAnsi="Times New Roman"/>
          <w:b/>
        </w:rPr>
        <w:t>taken into account</w:t>
      </w:r>
      <w:proofErr w:type="gramEnd"/>
      <w:r w:rsidRPr="00632DBC">
        <w:rPr>
          <w:rFonts w:ascii="Times New Roman" w:hAnsi="Times New Roman"/>
          <w:b/>
        </w:rPr>
        <w:t xml:space="preserve"> in the mobilization of resources for biodiversity. </w:t>
      </w:r>
      <w:r w:rsidR="00B67E5C" w:rsidRPr="00632DBC">
        <w:rPr>
          <w:rFonts w:ascii="Times New Roman" w:hAnsi="Times New Roman"/>
        </w:rPr>
        <w:t>The p</w:t>
      </w:r>
      <w:r w:rsidRPr="00632DBC">
        <w:rPr>
          <w:rFonts w:ascii="Times New Roman" w:hAnsi="Times New Roman"/>
        </w:rPr>
        <w:t>otential impacts of BFMs on different elements of biodiversi</w:t>
      </w:r>
      <w:r w:rsidR="00B67E5C" w:rsidRPr="00632DBC">
        <w:rPr>
          <w:rFonts w:ascii="Times New Roman" w:hAnsi="Times New Roman"/>
        </w:rPr>
        <w:t>ty and</w:t>
      </w:r>
      <w:r w:rsidRPr="00632DBC">
        <w:rPr>
          <w:rFonts w:ascii="Times New Roman" w:hAnsi="Times New Roman"/>
        </w:rPr>
        <w:t xml:space="preserve"> effects on people’s rights and livelihoods need to be addressed. </w:t>
      </w:r>
      <w:proofErr w:type="gramStart"/>
      <w:r w:rsidRPr="00632DBC">
        <w:rPr>
          <w:rFonts w:ascii="Times New Roman" w:hAnsi="Times New Roman"/>
        </w:rPr>
        <w:t>P</w:t>
      </w:r>
      <w:r w:rsidR="00852D6F" w:rsidRPr="00632DBC">
        <w:rPr>
          <w:rFonts w:ascii="Times New Roman" w:hAnsi="Times New Roman"/>
        </w:rPr>
        <w:t>articular attention</w:t>
      </w:r>
      <w:proofErr w:type="gramEnd"/>
      <w:r w:rsidR="00852D6F" w:rsidRPr="00632DBC">
        <w:rPr>
          <w:rFonts w:ascii="Times New Roman" w:hAnsi="Times New Roman"/>
        </w:rPr>
        <w:t xml:space="preserve"> needs to be paid</w:t>
      </w:r>
      <w:r w:rsidR="00B67E5C" w:rsidRPr="00632DBC">
        <w:rPr>
          <w:rFonts w:ascii="Times New Roman" w:hAnsi="Times New Roman"/>
        </w:rPr>
        <w:t xml:space="preserve"> </w:t>
      </w:r>
      <w:r w:rsidR="00852D6F" w:rsidRPr="00632DBC">
        <w:rPr>
          <w:rFonts w:ascii="Times New Roman" w:hAnsi="Times New Roman"/>
        </w:rPr>
        <w:t xml:space="preserve">to </w:t>
      </w:r>
      <w:r w:rsidR="003774D6" w:rsidRPr="00632DBC">
        <w:rPr>
          <w:rFonts w:ascii="Times New Roman" w:hAnsi="Times New Roman"/>
        </w:rPr>
        <w:t>the</w:t>
      </w:r>
      <w:r w:rsidRPr="00632DBC">
        <w:rPr>
          <w:rFonts w:ascii="Times New Roman" w:hAnsi="Times New Roman"/>
        </w:rPr>
        <w:t xml:space="preserve"> impacts and contribution by indigenous peoples, local communities and women</w:t>
      </w:r>
      <w:r w:rsidR="003774D6" w:rsidRPr="00632DBC">
        <w:rPr>
          <w:rFonts w:ascii="Times New Roman" w:hAnsi="Times New Roman"/>
        </w:rPr>
        <w:t>,</w:t>
      </w:r>
      <w:r w:rsidRPr="00632DBC">
        <w:rPr>
          <w:rFonts w:ascii="Times New Roman" w:hAnsi="Times New Roman"/>
        </w:rPr>
        <w:t xml:space="preserve"> including their participation in the choice, design and operationalization of BFMs.</w:t>
      </w:r>
    </w:p>
    <w:p w14:paraId="33A32287" w14:textId="2F8A5BFB" w:rsidR="0059461E" w:rsidRPr="00632DBC" w:rsidRDefault="00CD7D11" w:rsidP="00632DBC">
      <w:pPr>
        <w:jc w:val="both"/>
      </w:pPr>
      <w:r w:rsidRPr="00632DBC">
        <w:rPr>
          <w:rFonts w:ascii="Times New Roman" w:hAnsi="Times New Roman"/>
          <w:b/>
        </w:rPr>
        <w:t>L</w:t>
      </w:r>
      <w:r w:rsidR="0059461E" w:rsidRPr="00632DBC">
        <w:rPr>
          <w:rFonts w:ascii="Times New Roman" w:hAnsi="Times New Roman"/>
          <w:b/>
        </w:rPr>
        <w:t xml:space="preserve">aw and institutions </w:t>
      </w:r>
      <w:r w:rsidRPr="00632DBC">
        <w:rPr>
          <w:rFonts w:ascii="Times New Roman" w:hAnsi="Times New Roman"/>
          <w:b/>
        </w:rPr>
        <w:t xml:space="preserve">play a vital role </w:t>
      </w:r>
      <w:r w:rsidR="0059461E" w:rsidRPr="00632DBC">
        <w:rPr>
          <w:rFonts w:ascii="Times New Roman" w:hAnsi="Times New Roman"/>
          <w:b/>
        </w:rPr>
        <w:t xml:space="preserve">for transformations for sustainability and environmental justice. </w:t>
      </w:r>
      <w:r w:rsidR="0059461E" w:rsidRPr="00632DBC">
        <w:rPr>
          <w:rFonts w:ascii="Times New Roman" w:hAnsi="Times New Roman"/>
        </w:rPr>
        <w:t xml:space="preserve">The fact that the </w:t>
      </w:r>
      <w:hyperlink r:id="rId11" w:tgtFrame="_blank" w:history="1">
        <w:r w:rsidR="0059461E" w:rsidRPr="00632DBC">
          <w:rPr>
            <w:rStyle w:val="Hyperlink"/>
            <w:rFonts w:ascii="Times New Roman" w:eastAsiaTheme="majorEastAsia" w:hAnsi="Times New Roman"/>
            <w:color w:val="auto"/>
          </w:rPr>
          <w:t>COP12 Decision XII/3</w:t>
        </w:r>
      </w:hyperlink>
      <w:r w:rsidR="0059461E" w:rsidRPr="00632DBC">
        <w:rPr>
          <w:rStyle w:val="Hyperlink"/>
          <w:rFonts w:ascii="Times New Roman" w:eastAsiaTheme="majorEastAsia" w:hAnsi="Times New Roman"/>
          <w:color w:val="auto"/>
        </w:rPr>
        <w:t xml:space="preserve"> adopting the guidelines </w:t>
      </w:r>
      <w:r w:rsidR="0059461E" w:rsidRPr="00632DBC">
        <w:rPr>
          <w:rFonts w:ascii="Times New Roman" w:hAnsi="Times New Roman"/>
        </w:rPr>
        <w:t xml:space="preserve">addresses both Parties of the CBD </w:t>
      </w:r>
      <w:r w:rsidR="007F01AD" w:rsidRPr="00632DBC">
        <w:rPr>
          <w:rFonts w:ascii="Times New Roman" w:hAnsi="Times New Roman"/>
        </w:rPr>
        <w:t>and</w:t>
      </w:r>
      <w:r w:rsidR="0059461E" w:rsidRPr="00632DBC">
        <w:rPr>
          <w:rFonts w:ascii="Times New Roman" w:hAnsi="Times New Roman"/>
        </w:rPr>
        <w:t xml:space="preserve"> also other actors</w:t>
      </w:r>
      <w:r w:rsidR="007F01AD" w:rsidRPr="00632DBC">
        <w:rPr>
          <w:rFonts w:ascii="Times New Roman" w:hAnsi="Times New Roman"/>
        </w:rPr>
        <w:t>,</w:t>
      </w:r>
      <w:r w:rsidR="0059461E" w:rsidRPr="00632DBC">
        <w:rPr>
          <w:rFonts w:ascii="Times New Roman" w:hAnsi="Times New Roman"/>
        </w:rPr>
        <w:t xml:space="preserve"> is especia</w:t>
      </w:r>
      <w:r w:rsidR="00EF183E" w:rsidRPr="00632DBC">
        <w:rPr>
          <w:rFonts w:ascii="Times New Roman" w:hAnsi="Times New Roman"/>
        </w:rPr>
        <w:t xml:space="preserve">lly relevant in the </w:t>
      </w:r>
      <w:r w:rsidR="0059461E" w:rsidRPr="00632DBC">
        <w:rPr>
          <w:rFonts w:ascii="Times New Roman" w:hAnsi="Times New Roman"/>
        </w:rPr>
        <w:t xml:space="preserve">broad engagement </w:t>
      </w:r>
      <w:r w:rsidR="00EF183E" w:rsidRPr="00632DBC">
        <w:rPr>
          <w:rFonts w:ascii="Times New Roman" w:hAnsi="Times New Roman"/>
        </w:rPr>
        <w:t xml:space="preserve">context </w:t>
      </w:r>
      <w:r w:rsidR="0059461E" w:rsidRPr="00632DBC">
        <w:rPr>
          <w:rFonts w:ascii="Times New Roman" w:hAnsi="Times New Roman"/>
        </w:rPr>
        <w:t>needed in transformations for sustainability and environmental justice. It signals that diverse actors have a role to play in scaling-up financing for biodiversity that brings about social-ecological benefits. Decision XII/3</w:t>
      </w:r>
      <w:r w:rsidR="00886C30" w:rsidRPr="00632DBC">
        <w:rPr>
          <w:rFonts w:ascii="Times New Roman" w:hAnsi="Times New Roman"/>
        </w:rPr>
        <w:t>,</w:t>
      </w:r>
      <w:r w:rsidR="0059461E" w:rsidRPr="00632DBC">
        <w:rPr>
          <w:rFonts w:ascii="Times New Roman" w:hAnsi="Times New Roman"/>
        </w:rPr>
        <w:t xml:space="preserve"> “urges Parties, other Governments, business organizations and other stakeholders to take the voluntary guidelines on safeguards in biodiversity financing mechanisms into account when selecting, designing and implementing biodiversity financing mechanisms, and when developing instrument-specific safeguards for them…” Besides adopting the guidelines, the 2014 Decision XII/3 by the Conference of the Parties refers to operational next steps </w:t>
      </w:r>
      <w:r w:rsidR="00886C30" w:rsidRPr="00632DBC">
        <w:rPr>
          <w:rFonts w:ascii="Times New Roman" w:hAnsi="Times New Roman"/>
        </w:rPr>
        <w:t>that link</w:t>
      </w:r>
      <w:r w:rsidR="0059461E" w:rsidRPr="00632DBC">
        <w:rPr>
          <w:rFonts w:ascii="Times New Roman" w:hAnsi="Times New Roman"/>
        </w:rPr>
        <w:t xml:space="preserve"> international level CBD processes with national legislati</w:t>
      </w:r>
      <w:r w:rsidR="00130F67" w:rsidRPr="00632DBC">
        <w:rPr>
          <w:rFonts w:ascii="Times New Roman" w:hAnsi="Times New Roman"/>
        </w:rPr>
        <w:t>on and policies. More specifically it,</w:t>
      </w:r>
      <w:r w:rsidR="0059461E" w:rsidRPr="00632DBC">
        <w:rPr>
          <w:rFonts w:ascii="Times New Roman" w:hAnsi="Times New Roman"/>
        </w:rPr>
        <w:t xml:space="preserve"> “</w:t>
      </w:r>
      <w:r w:rsidR="00130F67" w:rsidRPr="00632DBC">
        <w:rPr>
          <w:rFonts w:ascii="Times New Roman" w:hAnsi="Times New Roman"/>
        </w:rPr>
        <w:t>u</w:t>
      </w:r>
      <w:r w:rsidR="00A27DA6" w:rsidRPr="00632DBC">
        <w:rPr>
          <w:rFonts w:ascii="Times New Roman" w:hAnsi="Times New Roman"/>
        </w:rPr>
        <w:t>rges Parties</w:t>
      </w:r>
      <w:r w:rsidR="0059461E" w:rsidRPr="00632DBC">
        <w:rPr>
          <w:rFonts w:ascii="Times New Roman" w:hAnsi="Times New Roman"/>
        </w:rPr>
        <w:t xml:space="preserve"> to consider undertaking, as appropriate, a review and assessment of existing legislation and policies governing biodiversity financing mechanisms, with a view to identifying opportunities for mainstreaming biodiversity and strengthening </w:t>
      </w:r>
      <w:r w:rsidR="0059461E" w:rsidRPr="00632DBC">
        <w:rPr>
          <w:rFonts w:ascii="Times New Roman" w:hAnsi="Times New Roman"/>
        </w:rPr>
        <w:lastRenderedPageBreak/>
        <w:t>current policies and their complementary safeguards, and to make information on this work available to the Executive Secretary, including practical e</w:t>
      </w:r>
      <w:r w:rsidR="00130F67" w:rsidRPr="00632DBC">
        <w:rPr>
          <w:rFonts w:ascii="Times New Roman" w:hAnsi="Times New Roman"/>
        </w:rPr>
        <w:t>xperiences and lessons learned”.</w:t>
      </w:r>
    </w:p>
    <w:p w14:paraId="72E6F70E" w14:textId="6E680E25" w:rsidR="00E669F3" w:rsidRPr="00632DBC" w:rsidRDefault="000F4300" w:rsidP="00632DBC">
      <w:pPr>
        <w:pStyle w:val="Corps"/>
        <w:tabs>
          <w:tab w:val="left" w:pos="7998"/>
        </w:tabs>
        <w:spacing w:after="200" w:line="276" w:lineRule="auto"/>
        <w:jc w:val="both"/>
        <w:rPr>
          <w:rFonts w:ascii="Times New Roman" w:hAnsi="Times New Roman" w:cs="Times New Roman"/>
          <w:b/>
          <w:color w:val="auto"/>
          <w:lang w:val="en-GB"/>
        </w:rPr>
      </w:pPr>
      <w:r w:rsidRPr="00632DBC">
        <w:rPr>
          <w:rFonts w:ascii="Times New Roman" w:hAnsi="Times New Roman" w:cs="Times New Roman"/>
          <w:b/>
          <w:color w:val="auto"/>
          <w:lang w:val="en-GB"/>
        </w:rPr>
        <w:t>Principles and g</w:t>
      </w:r>
      <w:r w:rsidR="00810C20" w:rsidRPr="00632DBC">
        <w:rPr>
          <w:rFonts w:ascii="Times New Roman" w:hAnsi="Times New Roman" w:cs="Times New Roman"/>
          <w:b/>
          <w:color w:val="auto"/>
          <w:lang w:val="en-GB"/>
        </w:rPr>
        <w:t>uid</w:t>
      </w:r>
      <w:r w:rsidR="00816C27" w:rsidRPr="00632DBC">
        <w:rPr>
          <w:rFonts w:ascii="Times New Roman" w:hAnsi="Times New Roman" w:cs="Times New Roman"/>
          <w:b/>
          <w:color w:val="auto"/>
          <w:lang w:val="en-GB"/>
        </w:rPr>
        <w:t xml:space="preserve">elines can contribute </w:t>
      </w:r>
      <w:r w:rsidR="00CD7D11" w:rsidRPr="00632DBC">
        <w:rPr>
          <w:rFonts w:ascii="Times New Roman" w:hAnsi="Times New Roman" w:cs="Times New Roman"/>
          <w:b/>
          <w:color w:val="auto"/>
          <w:lang w:val="en-GB"/>
        </w:rPr>
        <w:t xml:space="preserve">to </w:t>
      </w:r>
      <w:r w:rsidR="00FF6CCB" w:rsidRPr="00632DBC">
        <w:rPr>
          <w:rFonts w:ascii="Times New Roman" w:hAnsi="Times New Roman" w:cs="Times New Roman"/>
          <w:b/>
          <w:color w:val="auto"/>
          <w:lang w:val="en-GB"/>
        </w:rPr>
        <w:t>coheren</w:t>
      </w:r>
      <w:r w:rsidR="00CD7D11" w:rsidRPr="00632DBC">
        <w:rPr>
          <w:rFonts w:ascii="Times New Roman" w:hAnsi="Times New Roman" w:cs="Times New Roman"/>
          <w:b/>
          <w:color w:val="auto"/>
          <w:lang w:val="en-GB"/>
        </w:rPr>
        <w:t>t</w:t>
      </w:r>
      <w:r w:rsidR="00810C20" w:rsidRPr="00632DBC">
        <w:rPr>
          <w:rFonts w:ascii="Times New Roman" w:hAnsi="Times New Roman" w:cs="Times New Roman"/>
          <w:b/>
          <w:color w:val="auto"/>
          <w:lang w:val="en-GB"/>
        </w:rPr>
        <w:t xml:space="preserve"> safeguards across</w:t>
      </w:r>
      <w:r w:rsidR="00CD7D11" w:rsidRPr="00632DBC">
        <w:rPr>
          <w:rFonts w:ascii="Times New Roman" w:hAnsi="Times New Roman" w:cs="Times New Roman"/>
          <w:b/>
          <w:color w:val="auto"/>
          <w:lang w:val="en-GB"/>
        </w:rPr>
        <w:t xml:space="preserve"> the interacting risks and opportunities of</w:t>
      </w:r>
      <w:r w:rsidR="00810C20" w:rsidRPr="00632DBC">
        <w:rPr>
          <w:rFonts w:ascii="Times New Roman" w:hAnsi="Times New Roman" w:cs="Times New Roman"/>
          <w:b/>
          <w:color w:val="auto"/>
          <w:lang w:val="en-GB"/>
        </w:rPr>
        <w:t xml:space="preserve"> different BFMs</w:t>
      </w:r>
      <w:r w:rsidR="00816C27" w:rsidRPr="00632DBC">
        <w:rPr>
          <w:rFonts w:ascii="Times New Roman" w:hAnsi="Times New Roman" w:cs="Times New Roman"/>
          <w:b/>
          <w:color w:val="auto"/>
          <w:lang w:val="en-GB"/>
        </w:rPr>
        <w:t>,</w:t>
      </w:r>
      <w:r w:rsidR="00810C20" w:rsidRPr="00632DBC">
        <w:rPr>
          <w:rFonts w:ascii="Times New Roman" w:hAnsi="Times New Roman" w:cs="Times New Roman"/>
          <w:b/>
          <w:color w:val="auto"/>
          <w:lang w:val="en-GB"/>
        </w:rPr>
        <w:t xml:space="preserve"> </w:t>
      </w:r>
      <w:r w:rsidR="00816C27" w:rsidRPr="00632DBC">
        <w:rPr>
          <w:rFonts w:ascii="Times New Roman" w:hAnsi="Times New Roman" w:cs="Times New Roman"/>
          <w:b/>
          <w:color w:val="auto"/>
          <w:lang w:val="en-GB"/>
        </w:rPr>
        <w:t>address unintended impacts</w:t>
      </w:r>
      <w:r w:rsidR="002518C2" w:rsidRPr="00632DBC">
        <w:rPr>
          <w:rFonts w:ascii="Times New Roman" w:hAnsi="Times New Roman" w:cs="Times New Roman"/>
          <w:b/>
          <w:color w:val="auto"/>
          <w:lang w:val="en-GB"/>
        </w:rPr>
        <w:t>,</w:t>
      </w:r>
      <w:r w:rsidR="00816C27" w:rsidRPr="00632DBC">
        <w:rPr>
          <w:rFonts w:ascii="Times New Roman" w:hAnsi="Times New Roman" w:cs="Times New Roman"/>
          <w:b/>
          <w:color w:val="auto"/>
          <w:lang w:val="en-GB"/>
        </w:rPr>
        <w:t xml:space="preserve"> and maximise the opportunities of </w:t>
      </w:r>
      <w:r w:rsidR="00810C20" w:rsidRPr="00632DBC">
        <w:rPr>
          <w:rFonts w:ascii="Times New Roman" w:hAnsi="Times New Roman" w:cs="Times New Roman"/>
          <w:b/>
          <w:color w:val="auto"/>
          <w:lang w:val="en-GB"/>
        </w:rPr>
        <w:t>financing mechanisms</w:t>
      </w:r>
      <w:r w:rsidR="00810C20" w:rsidRPr="00632DBC">
        <w:rPr>
          <w:rFonts w:ascii="Times New Roman" w:hAnsi="Times New Roman" w:cs="Times New Roman"/>
          <w:color w:val="auto"/>
          <w:lang w:val="en-GB"/>
        </w:rPr>
        <w:t>. The process of developing and implementing effective saf</w:t>
      </w:r>
      <w:r w:rsidR="009A14E9" w:rsidRPr="00632DBC">
        <w:rPr>
          <w:rFonts w:ascii="Times New Roman" w:hAnsi="Times New Roman" w:cs="Times New Roman"/>
          <w:color w:val="auto"/>
          <w:lang w:val="en-GB"/>
        </w:rPr>
        <w:t>eguards across different BFMs</w:t>
      </w:r>
      <w:r w:rsidR="002518C2" w:rsidRPr="00632DBC">
        <w:rPr>
          <w:rFonts w:ascii="Times New Roman" w:hAnsi="Times New Roman" w:cs="Times New Roman"/>
          <w:color w:val="auto"/>
          <w:lang w:val="en-GB"/>
        </w:rPr>
        <w:t>,</w:t>
      </w:r>
      <w:r w:rsidR="009A14E9" w:rsidRPr="00632DBC">
        <w:rPr>
          <w:rFonts w:ascii="Times New Roman" w:hAnsi="Times New Roman" w:cs="Times New Roman"/>
          <w:color w:val="auto"/>
          <w:lang w:val="en-GB"/>
        </w:rPr>
        <w:t xml:space="preserve"> </w:t>
      </w:r>
      <w:r w:rsidR="00810C20" w:rsidRPr="00632DBC">
        <w:rPr>
          <w:rFonts w:ascii="Times New Roman" w:hAnsi="Times New Roman" w:cs="Times New Roman"/>
          <w:color w:val="auto"/>
          <w:lang w:val="en-GB"/>
        </w:rPr>
        <w:t xml:space="preserve">supported by guidelines that adopt </w:t>
      </w:r>
      <w:proofErr w:type="gramStart"/>
      <w:r w:rsidR="00810C20" w:rsidRPr="00632DBC">
        <w:rPr>
          <w:rFonts w:ascii="Times New Roman" w:hAnsi="Times New Roman" w:cs="Times New Roman"/>
          <w:color w:val="auto"/>
          <w:lang w:val="en-GB"/>
        </w:rPr>
        <w:t>a rights</w:t>
      </w:r>
      <w:proofErr w:type="gramEnd"/>
      <w:r w:rsidR="00810C20" w:rsidRPr="00632DBC">
        <w:rPr>
          <w:rFonts w:ascii="Times New Roman" w:hAnsi="Times New Roman" w:cs="Times New Roman"/>
          <w:color w:val="auto"/>
          <w:lang w:val="en-GB"/>
        </w:rPr>
        <w:t>/responsibilities based approa</w:t>
      </w:r>
      <w:r w:rsidR="009A14E9" w:rsidRPr="00632DBC">
        <w:rPr>
          <w:rFonts w:ascii="Times New Roman" w:hAnsi="Times New Roman" w:cs="Times New Roman"/>
          <w:color w:val="auto"/>
          <w:lang w:val="en-GB"/>
        </w:rPr>
        <w:t xml:space="preserve">ch and consider ethical values, </w:t>
      </w:r>
      <w:r w:rsidR="00810C20" w:rsidRPr="00632DBC">
        <w:rPr>
          <w:rFonts w:ascii="Times New Roman" w:hAnsi="Times New Roman" w:cs="Times New Roman"/>
          <w:color w:val="auto"/>
          <w:lang w:val="en-GB"/>
        </w:rPr>
        <w:t>can contribute to improving equity and trust relatio</w:t>
      </w:r>
      <w:r w:rsidR="00816C27" w:rsidRPr="00632DBC">
        <w:rPr>
          <w:rFonts w:ascii="Times New Roman" w:hAnsi="Times New Roman" w:cs="Times New Roman"/>
          <w:color w:val="auto"/>
          <w:lang w:val="en-GB"/>
        </w:rPr>
        <w:t xml:space="preserve">nships between different groups. </w:t>
      </w:r>
      <w:r w:rsidR="002518C2" w:rsidRPr="00632DBC">
        <w:rPr>
          <w:rFonts w:ascii="Times New Roman" w:hAnsi="Times New Roman" w:cs="Times New Roman"/>
          <w:color w:val="auto"/>
          <w:lang w:val="en-GB"/>
        </w:rPr>
        <w:t>This i</w:t>
      </w:r>
      <w:r w:rsidR="00816C27" w:rsidRPr="00632DBC">
        <w:rPr>
          <w:rFonts w:ascii="Times New Roman" w:hAnsi="Times New Roman" w:cs="Times New Roman"/>
          <w:color w:val="auto"/>
          <w:lang w:val="en-GB"/>
        </w:rPr>
        <w:t>nclud</w:t>
      </w:r>
      <w:r w:rsidR="002518C2" w:rsidRPr="00632DBC">
        <w:rPr>
          <w:rFonts w:ascii="Times New Roman" w:hAnsi="Times New Roman" w:cs="Times New Roman"/>
          <w:color w:val="auto"/>
          <w:lang w:val="en-GB"/>
        </w:rPr>
        <w:t>es</w:t>
      </w:r>
      <w:r w:rsidR="00816C27" w:rsidRPr="00632DBC">
        <w:rPr>
          <w:rFonts w:ascii="Times New Roman" w:hAnsi="Times New Roman" w:cs="Times New Roman"/>
          <w:color w:val="auto"/>
          <w:lang w:val="en-GB"/>
        </w:rPr>
        <w:t>,</w:t>
      </w:r>
      <w:r w:rsidR="00810C20" w:rsidRPr="00632DBC">
        <w:rPr>
          <w:rFonts w:ascii="Times New Roman" w:hAnsi="Times New Roman" w:cs="Times New Roman"/>
          <w:color w:val="auto"/>
          <w:lang w:val="en-GB"/>
        </w:rPr>
        <w:t xml:space="preserve"> </w:t>
      </w:r>
      <w:r w:rsidR="00810C20" w:rsidRPr="00632DBC">
        <w:rPr>
          <w:rFonts w:ascii="Times New Roman" w:hAnsi="Times New Roman" w:cs="Times New Roman"/>
          <w:i/>
          <w:color w:val="auto"/>
          <w:lang w:val="en-GB"/>
        </w:rPr>
        <w:t>in</w:t>
      </w:r>
      <w:r w:rsidR="00810C20" w:rsidRPr="00632DBC">
        <w:rPr>
          <w:rFonts w:ascii="Times New Roman" w:hAnsi="Times New Roman" w:cs="Times New Roman"/>
          <w:i/>
          <w:iCs/>
          <w:color w:val="auto"/>
          <w:lang w:val="en-GB"/>
        </w:rPr>
        <w:t>ter alia</w:t>
      </w:r>
      <w:r w:rsidR="002518C2" w:rsidRPr="00632DBC">
        <w:rPr>
          <w:rFonts w:ascii="Times New Roman" w:hAnsi="Times New Roman" w:cs="Times New Roman"/>
          <w:i/>
          <w:iCs/>
          <w:color w:val="auto"/>
          <w:lang w:val="en-GB"/>
        </w:rPr>
        <w:t>,</w:t>
      </w:r>
      <w:r w:rsidR="00810C20" w:rsidRPr="00632DBC">
        <w:rPr>
          <w:rFonts w:ascii="Times New Roman" w:hAnsi="Times New Roman" w:cs="Times New Roman"/>
          <w:color w:val="auto"/>
          <w:lang w:val="en-GB"/>
        </w:rPr>
        <w:t xml:space="preserve"> </w:t>
      </w:r>
      <w:r w:rsidR="002518C2" w:rsidRPr="00632DBC">
        <w:rPr>
          <w:rFonts w:ascii="Times New Roman" w:hAnsi="Times New Roman" w:cs="Times New Roman"/>
          <w:color w:val="auto"/>
          <w:lang w:val="en-GB"/>
        </w:rPr>
        <w:t xml:space="preserve">the </w:t>
      </w:r>
      <w:r w:rsidR="00810C20" w:rsidRPr="00632DBC">
        <w:rPr>
          <w:rFonts w:ascii="Times New Roman" w:hAnsi="Times New Roman" w:cs="Times New Roman"/>
          <w:color w:val="auto"/>
          <w:lang w:val="en-GB"/>
        </w:rPr>
        <w:t xml:space="preserve">relationships of governments with </w:t>
      </w:r>
      <w:r w:rsidR="007676F0" w:rsidRPr="00632DBC">
        <w:rPr>
          <w:rFonts w:ascii="Times New Roman" w:hAnsi="Times New Roman" w:cs="Times New Roman"/>
          <w:color w:val="auto"/>
          <w:lang w:val="en-GB"/>
        </w:rPr>
        <w:t>indigenous peoples and local communities</w:t>
      </w:r>
      <w:r w:rsidR="00810C20" w:rsidRPr="00632DBC">
        <w:rPr>
          <w:rFonts w:ascii="Times New Roman" w:hAnsi="Times New Roman" w:cs="Times New Roman"/>
          <w:color w:val="auto"/>
          <w:lang w:val="en-GB"/>
        </w:rPr>
        <w:t xml:space="preserve">. </w:t>
      </w:r>
      <w:proofErr w:type="gramStart"/>
      <w:r w:rsidR="00810C20" w:rsidRPr="00632DBC">
        <w:rPr>
          <w:rFonts w:ascii="Times New Roman" w:hAnsi="Times New Roman" w:cs="Times New Roman"/>
          <w:color w:val="auto"/>
          <w:lang w:val="en-GB"/>
        </w:rPr>
        <w:t>A rights</w:t>
      </w:r>
      <w:proofErr w:type="gramEnd"/>
      <w:r w:rsidR="00810C20" w:rsidRPr="00632DBC">
        <w:rPr>
          <w:rFonts w:ascii="Times New Roman" w:hAnsi="Times New Roman" w:cs="Times New Roman"/>
          <w:color w:val="auto"/>
          <w:lang w:val="en-GB"/>
        </w:rPr>
        <w:t>/responsibilities based approach to safeguards distinguishes between substantive safeguards (e.g. land, tenure and knowledge-related rights) and procedural safeguards (e.g. participation, transparency and accountability) and recognises that both are necessary and interdependent.</w:t>
      </w:r>
    </w:p>
    <w:p w14:paraId="34F5EB5B" w14:textId="73426E17" w:rsidR="000F4300" w:rsidRPr="00632DBC" w:rsidRDefault="00810C20" w:rsidP="00632DBC">
      <w:pPr>
        <w:pStyle w:val="Corps"/>
        <w:tabs>
          <w:tab w:val="left" w:pos="7998"/>
        </w:tabs>
        <w:spacing w:after="200" w:line="276" w:lineRule="auto"/>
        <w:jc w:val="both"/>
        <w:rPr>
          <w:rFonts w:ascii="Times New Roman" w:hAnsi="Times New Roman" w:cs="Times New Roman"/>
          <w:color w:val="auto"/>
          <w:lang w:val="en-GB"/>
        </w:rPr>
      </w:pPr>
      <w:r w:rsidRPr="00632DBC">
        <w:rPr>
          <w:rFonts w:ascii="Times New Roman" w:hAnsi="Times New Roman" w:cs="Times New Roman"/>
          <w:b/>
          <w:color w:val="auto"/>
          <w:lang w:val="en-GB"/>
        </w:rPr>
        <w:t xml:space="preserve">Consistency of safeguards across national and international institutions can contribute to fostering biodiversity equitable governance. </w:t>
      </w:r>
      <w:r w:rsidRPr="00632DBC">
        <w:rPr>
          <w:rFonts w:ascii="Times New Roman" w:hAnsi="Times New Roman" w:cs="Times New Roman"/>
          <w:color w:val="auto"/>
          <w:lang w:val="en-GB"/>
        </w:rPr>
        <w:t>A constructive process should recognize a plurality of legal systems (international, national and local customary norms) and support their interaction through more deliberative and participatory processes. Operationali</w:t>
      </w:r>
      <w:r w:rsidR="00FF6CCB" w:rsidRPr="00632DBC">
        <w:rPr>
          <w:rFonts w:ascii="Times New Roman" w:hAnsi="Times New Roman" w:cs="Times New Roman"/>
          <w:color w:val="auto"/>
          <w:lang w:val="en-GB"/>
        </w:rPr>
        <w:t xml:space="preserve">sing guidelines in law, policy and practice, through country-driven and </w:t>
      </w:r>
      <w:r w:rsidRPr="00632DBC">
        <w:rPr>
          <w:rFonts w:ascii="Times New Roman" w:hAnsi="Times New Roman" w:cs="Times New Roman"/>
          <w:color w:val="auto"/>
          <w:lang w:val="en-GB"/>
        </w:rPr>
        <w:t>participatory processes can contribute to</w:t>
      </w:r>
      <w:r w:rsidR="000A13FF" w:rsidRPr="00632DBC">
        <w:rPr>
          <w:rFonts w:ascii="Times New Roman" w:hAnsi="Times New Roman" w:cs="Times New Roman"/>
          <w:color w:val="auto"/>
          <w:lang w:val="en-GB"/>
        </w:rPr>
        <w:t xml:space="preserve"> a constructive process</w:t>
      </w:r>
      <w:r w:rsidRPr="00632DBC">
        <w:rPr>
          <w:rFonts w:ascii="Times New Roman" w:hAnsi="Times New Roman" w:cs="Times New Roman"/>
          <w:color w:val="auto"/>
          <w:lang w:val="en-GB"/>
        </w:rPr>
        <w:t xml:space="preserve">. </w:t>
      </w:r>
      <w:r w:rsidR="0059461E" w:rsidRPr="00632DBC">
        <w:rPr>
          <w:rFonts w:ascii="Times New Roman" w:hAnsi="Times New Roman"/>
          <w:color w:val="auto"/>
          <w:lang w:val="en-GB"/>
        </w:rPr>
        <w:t>Given the different characteristics of</w:t>
      </w:r>
      <w:r w:rsidR="000A13FF" w:rsidRPr="00632DBC">
        <w:rPr>
          <w:rFonts w:ascii="Times New Roman" w:hAnsi="Times New Roman"/>
          <w:color w:val="auto"/>
          <w:lang w:val="en-GB"/>
        </w:rPr>
        <w:t xml:space="preserve"> </w:t>
      </w:r>
      <w:r w:rsidR="0059461E" w:rsidRPr="00632DBC">
        <w:rPr>
          <w:rFonts w:ascii="Times New Roman" w:hAnsi="Times New Roman"/>
          <w:color w:val="auto"/>
          <w:lang w:val="en-GB"/>
        </w:rPr>
        <w:t>law and safeguards-related provisi</w:t>
      </w:r>
      <w:r w:rsidR="000A13FF" w:rsidRPr="00632DBC">
        <w:rPr>
          <w:rFonts w:ascii="Times New Roman" w:hAnsi="Times New Roman"/>
          <w:color w:val="auto"/>
          <w:lang w:val="en-GB"/>
        </w:rPr>
        <w:t xml:space="preserve">ons in national frameworks and </w:t>
      </w:r>
      <w:r w:rsidR="0059461E" w:rsidRPr="00632DBC">
        <w:rPr>
          <w:rFonts w:ascii="Times New Roman" w:hAnsi="Times New Roman"/>
          <w:color w:val="auto"/>
          <w:lang w:val="en-GB"/>
        </w:rPr>
        <w:t xml:space="preserve">international agreements and international organizations, it is appropriate to disaggregate the strategies to address </w:t>
      </w:r>
      <w:r w:rsidR="000A13FF" w:rsidRPr="00632DBC">
        <w:rPr>
          <w:rFonts w:ascii="Times New Roman" w:hAnsi="Times New Roman" w:cs="Times New Roman"/>
          <w:color w:val="auto"/>
          <w:lang w:val="en-GB"/>
        </w:rPr>
        <w:t>both</w:t>
      </w:r>
      <w:r w:rsidR="0059461E" w:rsidRPr="00632DBC">
        <w:rPr>
          <w:rFonts w:ascii="Times New Roman" w:hAnsi="Times New Roman"/>
          <w:color w:val="auto"/>
          <w:lang w:val="en-GB"/>
        </w:rPr>
        <w:t xml:space="preserve"> the implementation of the CBD gu</w:t>
      </w:r>
      <w:r w:rsidR="000A13FF" w:rsidRPr="00632DBC">
        <w:rPr>
          <w:rFonts w:ascii="Times New Roman" w:hAnsi="Times New Roman"/>
          <w:color w:val="auto"/>
          <w:lang w:val="en-GB"/>
        </w:rPr>
        <w:t>idelines at national levels and</w:t>
      </w:r>
      <w:r w:rsidR="0059461E" w:rsidRPr="00632DBC">
        <w:rPr>
          <w:rFonts w:ascii="Times New Roman" w:hAnsi="Times New Roman"/>
          <w:color w:val="auto"/>
          <w:lang w:val="en-GB"/>
        </w:rPr>
        <w:t xml:space="preserve"> the interaction of the CBD guidelines </w:t>
      </w:r>
      <w:r w:rsidR="0059461E" w:rsidRPr="00002536">
        <w:rPr>
          <w:rFonts w:ascii="Times New Roman" w:hAnsi="Times New Roman"/>
          <w:i/>
          <w:color w:val="auto"/>
          <w:lang w:val="en-GB"/>
        </w:rPr>
        <w:t>vis</w:t>
      </w:r>
      <w:r w:rsidR="002518C2" w:rsidRPr="00002536">
        <w:rPr>
          <w:rFonts w:ascii="Times New Roman" w:hAnsi="Times New Roman"/>
          <w:i/>
          <w:color w:val="auto"/>
          <w:lang w:val="en-GB"/>
        </w:rPr>
        <w:t>-à-</w:t>
      </w:r>
      <w:r w:rsidR="0059461E" w:rsidRPr="00002536">
        <w:rPr>
          <w:rFonts w:ascii="Times New Roman" w:hAnsi="Times New Roman"/>
          <w:i/>
          <w:color w:val="auto"/>
          <w:lang w:val="en-GB"/>
        </w:rPr>
        <w:t>vis</w:t>
      </w:r>
      <w:r w:rsidR="0059461E" w:rsidRPr="00632DBC">
        <w:rPr>
          <w:rFonts w:ascii="Times New Roman" w:hAnsi="Times New Roman"/>
          <w:color w:val="auto"/>
          <w:lang w:val="en-GB"/>
        </w:rPr>
        <w:t xml:space="preserve"> other international organisations’ instruments. </w:t>
      </w:r>
      <w:r w:rsidR="0059461E" w:rsidRPr="00632DBC">
        <w:rPr>
          <w:rFonts w:ascii="Times New Roman" w:hAnsi="Times New Roman" w:cs="Times New Roman"/>
          <w:color w:val="auto"/>
          <w:lang w:val="en-GB"/>
        </w:rPr>
        <w:t xml:space="preserve">Dialogue </w:t>
      </w:r>
      <w:r w:rsidR="000A13FF" w:rsidRPr="00632DBC">
        <w:rPr>
          <w:rFonts w:ascii="Times New Roman" w:hAnsi="Times New Roman" w:cs="Times New Roman"/>
          <w:color w:val="auto"/>
          <w:lang w:val="en-GB"/>
        </w:rPr>
        <w:t xml:space="preserve">between the CBD Secretariat, </w:t>
      </w:r>
      <w:r w:rsidR="0059461E" w:rsidRPr="00632DBC">
        <w:rPr>
          <w:rFonts w:ascii="Times New Roman" w:hAnsi="Times New Roman" w:cs="Times New Roman"/>
          <w:color w:val="auto"/>
          <w:lang w:val="en-GB"/>
        </w:rPr>
        <w:t>other Secretariats of the Rio Conventions</w:t>
      </w:r>
      <w:r w:rsidR="000A13FF" w:rsidRPr="00632DBC">
        <w:rPr>
          <w:rFonts w:ascii="Times New Roman" w:hAnsi="Times New Roman" w:cs="Times New Roman"/>
          <w:color w:val="auto"/>
          <w:lang w:val="en-GB"/>
        </w:rPr>
        <w:t>,</w:t>
      </w:r>
      <w:r w:rsidR="0059461E" w:rsidRPr="00632DBC">
        <w:rPr>
          <w:rFonts w:ascii="Times New Roman" w:hAnsi="Times New Roman" w:cs="Times New Roman"/>
          <w:color w:val="auto"/>
          <w:lang w:val="en-GB"/>
        </w:rPr>
        <w:t xml:space="preserve"> and other relevant organisations can also foster consistency in the implementation of safeguards across international institutions.</w:t>
      </w:r>
      <w:r w:rsidR="00960E68" w:rsidRPr="00632DBC">
        <w:rPr>
          <w:rStyle w:val="FootnoteReference"/>
          <w:rFonts w:ascii="Times New Roman" w:hAnsi="Times New Roman" w:cs="Times New Roman"/>
          <w:color w:val="auto"/>
          <w:lang w:val="en-GB"/>
        </w:rPr>
        <w:footnoteReference w:id="9"/>
      </w:r>
      <w:r w:rsidR="000A13FF" w:rsidRPr="00632DBC">
        <w:rPr>
          <w:rFonts w:ascii="Times New Roman" w:hAnsi="Times New Roman" w:cs="Times New Roman"/>
          <w:color w:val="auto"/>
          <w:lang w:val="en-GB"/>
        </w:rPr>
        <w:t xml:space="preserve"> </w:t>
      </w:r>
      <w:r w:rsidR="00D43286" w:rsidRPr="00632DBC">
        <w:rPr>
          <w:rFonts w:ascii="Times New Roman" w:hAnsi="Times New Roman"/>
          <w:color w:val="auto"/>
          <w:lang w:val="en-GB"/>
        </w:rPr>
        <w:t xml:space="preserve">The Subsidiary Body of Implementation 2 (CBD/SBI/2/20) </w:t>
      </w:r>
      <w:r w:rsidR="00960E68" w:rsidRPr="00632DBC">
        <w:rPr>
          <w:rFonts w:ascii="Times New Roman" w:hAnsi="Times New Roman"/>
          <w:color w:val="auto"/>
          <w:lang w:val="en-GB"/>
        </w:rPr>
        <w:t>highlights</w:t>
      </w:r>
      <w:r w:rsidR="000A13FF" w:rsidRPr="00632DBC">
        <w:rPr>
          <w:rFonts w:ascii="Times New Roman" w:hAnsi="Times New Roman" w:cs="Times New Roman"/>
          <w:color w:val="auto"/>
          <w:lang w:val="en-GB"/>
        </w:rPr>
        <w:t>,</w:t>
      </w:r>
      <w:r w:rsidR="00960E68" w:rsidRPr="00632DBC">
        <w:rPr>
          <w:rFonts w:ascii="Times New Roman" w:hAnsi="Times New Roman"/>
          <w:color w:val="auto"/>
          <w:lang w:val="en-GB"/>
        </w:rPr>
        <w:t xml:space="preserve"> “the convergence that is emerging between the existing processes for developing and/or improving safeguard systems of the financing mechanisms and the Convention’s voluntary guidelines on safeguards in biodiversity financing mechanisms, and encourages all such processes to further refer to the guidelines in order to </w:t>
      </w:r>
      <w:r w:rsidR="000A13FF" w:rsidRPr="00632DBC">
        <w:rPr>
          <w:rFonts w:ascii="Times New Roman" w:hAnsi="Times New Roman"/>
          <w:color w:val="auto"/>
          <w:lang w:val="en-GB"/>
        </w:rPr>
        <w:t>create greater convergence</w:t>
      </w:r>
      <w:r w:rsidR="00960E68" w:rsidRPr="00632DBC">
        <w:rPr>
          <w:rFonts w:ascii="Times New Roman" w:hAnsi="Times New Roman" w:cs="Times New Roman"/>
          <w:color w:val="auto"/>
          <w:lang w:val="en-GB"/>
        </w:rPr>
        <w:t>”</w:t>
      </w:r>
      <w:r w:rsidR="000A13FF" w:rsidRPr="00632DBC">
        <w:rPr>
          <w:rFonts w:ascii="Times New Roman" w:hAnsi="Times New Roman" w:cs="Times New Roman"/>
          <w:color w:val="auto"/>
          <w:lang w:val="en-GB"/>
        </w:rPr>
        <w:t>. Specifically, a</w:t>
      </w:r>
      <w:r w:rsidR="0059461E" w:rsidRPr="00632DBC">
        <w:rPr>
          <w:rFonts w:ascii="Times New Roman" w:hAnsi="Times New Roman"/>
          <w:color w:val="auto"/>
          <w:lang w:val="en-GB"/>
        </w:rPr>
        <w:t xml:space="preserve"> multi-scale approach that considers the ways in which global dynamics interact with national and local processes as well as the interactions between international organisations is suitable for effective policies and adaptive governance.</w:t>
      </w:r>
      <w:r w:rsidR="0059461E" w:rsidRPr="00632DBC">
        <w:rPr>
          <w:rStyle w:val="FootnoteReference"/>
          <w:rFonts w:ascii="Times New Roman" w:hAnsi="Times New Roman"/>
          <w:color w:val="auto"/>
          <w:lang w:val="en-GB"/>
        </w:rPr>
        <w:footnoteReference w:id="10"/>
      </w:r>
    </w:p>
    <w:p w14:paraId="2B6FF01F" w14:textId="77777777" w:rsidR="009A14E9" w:rsidRPr="00632DBC" w:rsidRDefault="009A14E9" w:rsidP="00632DBC">
      <w:pPr>
        <w:pStyle w:val="Corps"/>
        <w:tabs>
          <w:tab w:val="left" w:pos="7998"/>
        </w:tabs>
        <w:spacing w:after="140"/>
        <w:jc w:val="both"/>
        <w:rPr>
          <w:rFonts w:ascii="Times New Roman" w:hAnsi="Times New Roman"/>
          <w:color w:val="auto"/>
          <w:lang w:val="en-GB"/>
        </w:rPr>
      </w:pPr>
    </w:p>
    <w:p w14:paraId="5724A242" w14:textId="0AC309A6" w:rsidR="000F4300" w:rsidRPr="00632DBC" w:rsidRDefault="000F4300" w:rsidP="004401C5">
      <w:pPr>
        <w:jc w:val="both"/>
        <w:rPr>
          <w:rFonts w:ascii="Times New Roman" w:hAnsi="Times New Roman"/>
        </w:rPr>
      </w:pPr>
      <w:r w:rsidRPr="00632DBC">
        <w:rPr>
          <w:rFonts w:ascii="Times New Roman" w:hAnsi="Times New Roman"/>
          <w:b/>
        </w:rPr>
        <w:t>Linking the CBD guidelines for safeguards with national legislation</w:t>
      </w:r>
      <w:r w:rsidR="002518C2" w:rsidRPr="00632DBC">
        <w:rPr>
          <w:rFonts w:ascii="Times New Roman" w:hAnsi="Times New Roman"/>
          <w:b/>
        </w:rPr>
        <w:t>,</w:t>
      </w:r>
      <w:r w:rsidRPr="00632DBC">
        <w:rPr>
          <w:rFonts w:ascii="Times New Roman" w:hAnsi="Times New Roman"/>
          <w:b/>
        </w:rPr>
        <w:t xml:space="preserve"> and exchanging lessons learned from the process of doing so</w:t>
      </w:r>
      <w:r w:rsidR="000E4246" w:rsidRPr="00632DBC">
        <w:rPr>
          <w:rFonts w:ascii="Times New Roman" w:hAnsi="Times New Roman"/>
          <w:b/>
        </w:rPr>
        <w:t>,</w:t>
      </w:r>
      <w:r w:rsidRPr="00632DBC">
        <w:rPr>
          <w:rFonts w:ascii="Times New Roman" w:hAnsi="Times New Roman"/>
          <w:b/>
        </w:rPr>
        <w:t xml:space="preserve"> can foster </w:t>
      </w:r>
      <w:r w:rsidR="0059461E" w:rsidRPr="00632DBC">
        <w:rPr>
          <w:rFonts w:ascii="Times New Roman" w:hAnsi="Times New Roman"/>
          <w:b/>
        </w:rPr>
        <w:t xml:space="preserve">social learning relevant for </w:t>
      </w:r>
      <w:r w:rsidRPr="00632DBC">
        <w:rPr>
          <w:rFonts w:ascii="Times New Roman" w:hAnsi="Times New Roman"/>
          <w:b/>
        </w:rPr>
        <w:t xml:space="preserve">biodiversity mainstreaming at distinct scales. </w:t>
      </w:r>
      <w:r w:rsidR="000E4246" w:rsidRPr="00632DBC">
        <w:rPr>
          <w:rFonts w:ascii="Times New Roman" w:hAnsi="Times New Roman"/>
        </w:rPr>
        <w:t xml:space="preserve">One means to do this </w:t>
      </w:r>
      <w:r w:rsidRPr="00632DBC">
        <w:rPr>
          <w:rFonts w:ascii="Times New Roman" w:hAnsi="Times New Roman"/>
        </w:rPr>
        <w:t>is via CBD-COP Decisions. F</w:t>
      </w:r>
      <w:r w:rsidR="000E4246" w:rsidRPr="00632DBC">
        <w:rPr>
          <w:rFonts w:ascii="Times New Roman" w:hAnsi="Times New Roman"/>
        </w:rPr>
        <w:t xml:space="preserve">or example, </w:t>
      </w:r>
      <w:r w:rsidR="00C9776D" w:rsidRPr="00632DBC">
        <w:rPr>
          <w:rFonts w:ascii="Times New Roman" w:hAnsi="Times New Roman"/>
        </w:rPr>
        <w:t xml:space="preserve">the </w:t>
      </w:r>
      <w:r w:rsidR="000E4246" w:rsidRPr="00632DBC">
        <w:rPr>
          <w:rFonts w:ascii="Times New Roman" w:hAnsi="Times New Roman"/>
        </w:rPr>
        <w:lastRenderedPageBreak/>
        <w:t xml:space="preserve">CBD-COP 13 Decision requested </w:t>
      </w:r>
      <w:r w:rsidR="00C9776D" w:rsidRPr="00632DBC">
        <w:rPr>
          <w:rFonts w:ascii="Times New Roman" w:hAnsi="Times New Roman"/>
        </w:rPr>
        <w:t xml:space="preserve">that the </w:t>
      </w:r>
      <w:r w:rsidR="00C9776D" w:rsidRPr="00632DBC">
        <w:rPr>
          <w:rFonts w:ascii="Times New Roman" w:eastAsia="MS Mincho" w:hAnsi="Times New Roman"/>
          <w:snapToGrid w:val="0"/>
          <w:kern w:val="22"/>
        </w:rPr>
        <w:t>“Executive Secretary</w:t>
      </w:r>
      <w:r w:rsidRPr="00632DBC">
        <w:rPr>
          <w:rFonts w:ascii="Times New Roman" w:eastAsia="MS Mincho" w:hAnsi="Times New Roman"/>
          <w:snapToGrid w:val="0"/>
          <w:kern w:val="22"/>
        </w:rPr>
        <w:t xml:space="preserve"> compile and analyse information, including go</w:t>
      </w:r>
      <w:r w:rsidR="00C9776D" w:rsidRPr="00632DBC">
        <w:rPr>
          <w:rFonts w:ascii="Times New Roman" w:eastAsia="MS Mincho" w:hAnsi="Times New Roman"/>
          <w:snapToGrid w:val="0"/>
          <w:kern w:val="22"/>
        </w:rPr>
        <w:t>od practices or lessons learned</w:t>
      </w:r>
      <w:r w:rsidRPr="00632DBC">
        <w:rPr>
          <w:rFonts w:ascii="Times New Roman" w:eastAsia="MS Mincho" w:hAnsi="Times New Roman"/>
          <w:snapToGrid w:val="0"/>
          <w:kern w:val="22"/>
        </w:rPr>
        <w:t xml:space="preserve"> on how, in </w:t>
      </w:r>
      <w:r w:rsidR="00C9776D" w:rsidRPr="00632DBC">
        <w:rPr>
          <w:rFonts w:ascii="Times New Roman" w:eastAsia="MS Mincho" w:hAnsi="Times New Roman"/>
          <w:snapToGrid w:val="0"/>
          <w:kern w:val="22"/>
        </w:rPr>
        <w:t>accordance</w:t>
      </w:r>
      <w:r w:rsidRPr="00632DBC">
        <w:rPr>
          <w:rFonts w:ascii="Times New Roman" w:eastAsia="MS Mincho" w:hAnsi="Times New Roman"/>
          <w:snapToGrid w:val="0"/>
          <w:kern w:val="22"/>
        </w:rPr>
        <w:t xml:space="preserve"> with paragraph 16 in decision XII/3, Parties, other Governments, international organizations, business organizations and other stakeholders take the voluntary guidelines on safeguards in biodiversity financing mechanisms into account when selecting, designing and implementing biodiversity financing mechanisms, and when developing instrume</w:t>
      </w:r>
      <w:r w:rsidR="00C9776D" w:rsidRPr="00632DBC">
        <w:rPr>
          <w:rFonts w:ascii="Times New Roman" w:eastAsia="MS Mincho" w:hAnsi="Times New Roman"/>
          <w:snapToGrid w:val="0"/>
          <w:kern w:val="22"/>
        </w:rPr>
        <w:t>nt-specific safeguards for them</w:t>
      </w:r>
      <w:r w:rsidRPr="00632DBC">
        <w:rPr>
          <w:rFonts w:ascii="Times New Roman" w:eastAsia="MS Mincho" w:hAnsi="Times New Roman"/>
          <w:snapToGrid w:val="0"/>
          <w:kern w:val="22"/>
        </w:rPr>
        <w:t>”</w:t>
      </w:r>
      <w:r w:rsidR="00C9776D" w:rsidRPr="00632DBC">
        <w:rPr>
          <w:rFonts w:ascii="Times New Roman" w:eastAsia="MS Mincho" w:hAnsi="Times New Roman"/>
          <w:snapToGrid w:val="0"/>
          <w:kern w:val="22"/>
        </w:rPr>
        <w:t>.</w:t>
      </w:r>
      <w:r w:rsidRPr="00632DBC">
        <w:rPr>
          <w:rFonts w:ascii="Times New Roman" w:eastAsia="MS Mincho" w:hAnsi="Times New Roman"/>
          <w:snapToGrid w:val="0"/>
          <w:kern w:val="22"/>
        </w:rPr>
        <w:t xml:space="preserve"> This analysis serves to develop recommendations for the implementation of the voluntary guidelines on safeguards that can help countries</w:t>
      </w:r>
      <w:r w:rsidR="00C9776D" w:rsidRPr="00632DBC">
        <w:rPr>
          <w:rFonts w:ascii="Times New Roman" w:eastAsia="MS Mincho" w:hAnsi="Times New Roman"/>
          <w:snapToGrid w:val="0"/>
          <w:kern w:val="22"/>
        </w:rPr>
        <w:t>,</w:t>
      </w:r>
      <w:r w:rsidRPr="00632DBC">
        <w:rPr>
          <w:rFonts w:ascii="Times New Roman" w:eastAsia="MS Mincho" w:hAnsi="Times New Roman"/>
          <w:snapToGrid w:val="0"/>
          <w:kern w:val="22"/>
        </w:rPr>
        <w:t xml:space="preserve"> “to address effectively the potential impacts of biodiversity financing mechanisms on different elements of biodiversity, as well as their potential effects on the rights and livelihoods of indigenous peoples and local communities”.</w:t>
      </w:r>
    </w:p>
    <w:tbl>
      <w:tblPr>
        <w:tblStyle w:val="TableGrid"/>
        <w:tblW w:w="0" w:type="auto"/>
        <w:tblLook w:val="04A0" w:firstRow="1" w:lastRow="0" w:firstColumn="1" w:lastColumn="0" w:noHBand="0" w:noVBand="1"/>
      </w:tblPr>
      <w:tblGrid>
        <w:gridCol w:w="9016"/>
      </w:tblGrid>
      <w:tr w:rsidR="00633A71" w:rsidRPr="00632DBC" w14:paraId="74FA827D" w14:textId="77777777" w:rsidTr="00517AF1">
        <w:tc>
          <w:tcPr>
            <w:tcW w:w="9016" w:type="dxa"/>
          </w:tcPr>
          <w:p w14:paraId="409A27ED" w14:textId="2AAA559F" w:rsidR="00565AA9" w:rsidRPr="00632DBC" w:rsidRDefault="003C4D40" w:rsidP="004401C5">
            <w:pPr>
              <w:jc w:val="both"/>
              <w:rPr>
                <w:rFonts w:ascii="Arial" w:hAnsi="Arial" w:cs="Arial"/>
                <w:b/>
                <w:sz w:val="18"/>
                <w:szCs w:val="18"/>
              </w:rPr>
            </w:pPr>
            <w:r w:rsidRPr="00632DBC">
              <w:rPr>
                <w:rFonts w:ascii="Arial" w:hAnsi="Arial" w:cs="Arial"/>
                <w:b/>
                <w:sz w:val="18"/>
                <w:szCs w:val="18"/>
              </w:rPr>
              <w:t xml:space="preserve">Box 1. </w:t>
            </w:r>
            <w:r w:rsidR="00565AA9" w:rsidRPr="00632DBC">
              <w:rPr>
                <w:rFonts w:ascii="Arial" w:hAnsi="Arial" w:cs="Arial"/>
                <w:b/>
                <w:sz w:val="18"/>
                <w:szCs w:val="18"/>
              </w:rPr>
              <w:t>Adopted CBD voluntary guidelines for safeguards in BFMs</w:t>
            </w:r>
          </w:p>
        </w:tc>
      </w:tr>
      <w:tr w:rsidR="00565AA9" w:rsidRPr="00632DBC" w14:paraId="750BAEB6" w14:textId="77777777" w:rsidTr="00517AF1">
        <w:trPr>
          <w:trHeight w:val="7067"/>
        </w:trPr>
        <w:tc>
          <w:tcPr>
            <w:tcW w:w="9016" w:type="dxa"/>
          </w:tcPr>
          <w:p w14:paraId="66559EB8" w14:textId="77777777" w:rsidR="00565AA9" w:rsidRPr="00632DBC" w:rsidRDefault="00565AA9" w:rsidP="004401C5">
            <w:pPr>
              <w:jc w:val="both"/>
              <w:rPr>
                <w:rFonts w:ascii="Arial" w:hAnsi="Arial" w:cs="Arial"/>
                <w:b/>
                <w:bCs/>
                <w:i/>
                <w:iCs/>
                <w:sz w:val="18"/>
                <w:szCs w:val="18"/>
              </w:rPr>
            </w:pPr>
            <w:r w:rsidRPr="00632DBC">
              <w:rPr>
                <w:rFonts w:ascii="Arial" w:hAnsi="Arial" w:cs="Arial"/>
                <w:b/>
                <w:bCs/>
                <w:i/>
                <w:iCs/>
                <w:sz w:val="18"/>
                <w:szCs w:val="18"/>
              </w:rPr>
              <w:t>Biodiversity underpins local livelihoods and resilience</w:t>
            </w:r>
          </w:p>
          <w:p w14:paraId="2BC69316" w14:textId="7755E032" w:rsidR="00565AA9" w:rsidRPr="00632DBC" w:rsidRDefault="00565AA9" w:rsidP="004401C5">
            <w:pPr>
              <w:pStyle w:val="Default"/>
              <w:jc w:val="both"/>
              <w:rPr>
                <w:rFonts w:ascii="Arial" w:hAnsi="Arial"/>
                <w:b/>
                <w:i/>
                <w:color w:val="auto"/>
                <w:sz w:val="18"/>
                <w:lang w:val="en-GB"/>
              </w:rPr>
            </w:pPr>
            <w:r w:rsidRPr="00632DBC">
              <w:rPr>
                <w:rFonts w:ascii="Arial" w:hAnsi="Arial" w:cs="Arial"/>
                <w:b/>
                <w:bCs/>
                <w:i/>
                <w:iCs/>
                <w:color w:val="auto"/>
                <w:sz w:val="18"/>
                <w:szCs w:val="18"/>
                <w:lang w:val="en-GB"/>
              </w:rPr>
              <w:t>Guideline (a)</w:t>
            </w:r>
            <w:r w:rsidR="00115B06" w:rsidRPr="00632DBC">
              <w:rPr>
                <w:rFonts w:ascii="Arial" w:hAnsi="Arial" w:cs="Arial"/>
                <w:b/>
                <w:bCs/>
                <w:i/>
                <w:iCs/>
                <w:color w:val="auto"/>
                <w:sz w:val="18"/>
                <w:szCs w:val="18"/>
                <w:lang w:val="en-GB"/>
              </w:rPr>
              <w:t xml:space="preserve">. </w:t>
            </w:r>
            <w:r w:rsidRPr="00632DBC">
              <w:rPr>
                <w:rFonts w:ascii="Arial" w:hAnsi="Arial" w:cs="Arial"/>
                <w:b/>
                <w:bCs/>
                <w:i/>
                <w:iCs/>
                <w:color w:val="auto"/>
                <w:sz w:val="18"/>
                <w:szCs w:val="18"/>
                <w:lang w:val="en-GB"/>
              </w:rPr>
              <w:t>-</w:t>
            </w:r>
            <w:r w:rsidRPr="00632DBC">
              <w:rPr>
                <w:rFonts w:ascii="Arial" w:eastAsiaTheme="minorEastAsia" w:hAnsi="Arial" w:cs="Arial"/>
                <w:color w:val="auto"/>
                <w:sz w:val="18"/>
                <w:szCs w:val="18"/>
                <w:lang w:val="en-GB" w:eastAsia="sv-SE"/>
              </w:rPr>
              <w:t xml:space="preserve"> The role of biodiversity and ecosystem functions for local livelihoods and resilience, as well as biodiversity’s intrinsic values, should be recognized in the selection, design and implementation of biodiversity financing mechanisms. </w:t>
            </w:r>
          </w:p>
          <w:p w14:paraId="7C0586FC" w14:textId="77777777" w:rsidR="00565AA9" w:rsidRPr="00632DBC" w:rsidRDefault="00565AA9" w:rsidP="004401C5">
            <w:pPr>
              <w:jc w:val="both"/>
              <w:rPr>
                <w:rFonts w:ascii="Arial" w:hAnsi="Arial" w:cs="Arial"/>
                <w:b/>
                <w:i/>
                <w:sz w:val="18"/>
                <w:szCs w:val="18"/>
              </w:rPr>
            </w:pPr>
            <w:r w:rsidRPr="00632DBC">
              <w:rPr>
                <w:rFonts w:ascii="Arial" w:hAnsi="Arial" w:cs="Arial"/>
                <w:b/>
                <w:i/>
                <w:noProof/>
                <w:sz w:val="18"/>
                <w:szCs w:val="18"/>
              </w:rPr>
              <w:t>People’s rights, responsabilities and effective participation</w:t>
            </w:r>
          </w:p>
          <w:p w14:paraId="29625A29" w14:textId="531C7566" w:rsidR="00565AA9" w:rsidRPr="00632DBC" w:rsidRDefault="00565AA9" w:rsidP="004401C5">
            <w:pPr>
              <w:pStyle w:val="Default"/>
              <w:jc w:val="both"/>
              <w:rPr>
                <w:rFonts w:ascii="Arial" w:hAnsi="Arial"/>
                <w:b/>
                <w:i/>
                <w:color w:val="auto"/>
                <w:sz w:val="18"/>
                <w:lang w:val="en-GB"/>
              </w:rPr>
            </w:pPr>
            <w:r w:rsidRPr="00632DBC">
              <w:rPr>
                <w:rFonts w:ascii="Arial" w:hAnsi="Arial" w:cs="Arial"/>
                <w:b/>
                <w:bCs/>
                <w:i/>
                <w:iCs/>
                <w:color w:val="auto"/>
                <w:sz w:val="18"/>
                <w:szCs w:val="18"/>
                <w:lang w:val="en-GB"/>
              </w:rPr>
              <w:t>Guideline (b</w:t>
            </w:r>
            <w:r w:rsidR="00115B06" w:rsidRPr="00632DBC">
              <w:rPr>
                <w:rFonts w:ascii="Arial" w:hAnsi="Arial" w:cs="Arial"/>
                <w:b/>
                <w:bCs/>
                <w:i/>
                <w:iCs/>
                <w:color w:val="auto"/>
                <w:sz w:val="18"/>
                <w:szCs w:val="18"/>
                <w:lang w:val="en-GB"/>
              </w:rPr>
              <w:t>). -</w:t>
            </w:r>
            <w:r w:rsidRPr="00632DBC">
              <w:rPr>
                <w:rFonts w:ascii="Arial" w:hAnsi="Arial" w:cs="Arial"/>
                <w:b/>
                <w:bCs/>
                <w:i/>
                <w:iCs/>
                <w:color w:val="auto"/>
                <w:sz w:val="18"/>
                <w:szCs w:val="18"/>
                <w:lang w:val="en-GB"/>
              </w:rPr>
              <w:t xml:space="preserve"> </w:t>
            </w:r>
            <w:r w:rsidRPr="00632DBC">
              <w:rPr>
                <w:rFonts w:ascii="Arial" w:eastAsiaTheme="minorEastAsia" w:hAnsi="Arial" w:cs="Arial"/>
                <w:color w:val="auto"/>
                <w:sz w:val="18"/>
                <w:szCs w:val="18"/>
                <w:lang w:val="en-GB" w:eastAsia="sv-SE"/>
              </w:rPr>
              <w:t>Rights and responsibilities of actors and/or stakeholders in biodiversity financing mechani</w:t>
            </w:r>
            <w:r w:rsidR="00115B06" w:rsidRPr="00632DBC">
              <w:rPr>
                <w:rFonts w:ascii="Arial" w:eastAsiaTheme="minorEastAsia" w:hAnsi="Arial" w:cs="Arial"/>
                <w:color w:val="auto"/>
                <w:sz w:val="18"/>
                <w:szCs w:val="18"/>
                <w:lang w:val="en-GB" w:eastAsia="sv-SE"/>
              </w:rPr>
              <w:t>sms should be carefully defined</w:t>
            </w:r>
            <w:r w:rsidRPr="00632DBC">
              <w:rPr>
                <w:rFonts w:ascii="Arial" w:eastAsiaTheme="minorEastAsia" w:hAnsi="Arial" w:cs="Arial"/>
                <w:color w:val="auto"/>
                <w:sz w:val="18"/>
                <w:szCs w:val="18"/>
                <w:lang w:val="en-GB" w:eastAsia="sv-SE"/>
              </w:rPr>
              <w:t xml:space="preserve"> at </w:t>
            </w:r>
            <w:r w:rsidR="00115B06" w:rsidRPr="00632DBC">
              <w:rPr>
                <w:rFonts w:ascii="Arial" w:eastAsiaTheme="minorEastAsia" w:hAnsi="Arial" w:cs="Arial"/>
                <w:color w:val="auto"/>
                <w:sz w:val="18"/>
                <w:szCs w:val="18"/>
                <w:lang w:val="en-GB" w:eastAsia="sv-SE"/>
              </w:rPr>
              <w:t>a national level. This should be done</w:t>
            </w:r>
            <w:r w:rsidRPr="00632DBC">
              <w:rPr>
                <w:rFonts w:ascii="Arial" w:eastAsiaTheme="minorEastAsia" w:hAnsi="Arial" w:cs="Arial"/>
                <w:color w:val="auto"/>
                <w:sz w:val="18"/>
                <w:szCs w:val="18"/>
                <w:lang w:val="en-GB" w:eastAsia="sv-SE"/>
              </w:rPr>
              <w:t xml:space="preserve"> in a fair and equitable manner, with the effective partic</w:t>
            </w:r>
            <w:r w:rsidR="00115B06" w:rsidRPr="00632DBC">
              <w:rPr>
                <w:rFonts w:ascii="Arial" w:eastAsiaTheme="minorEastAsia" w:hAnsi="Arial" w:cs="Arial"/>
                <w:color w:val="auto"/>
                <w:sz w:val="18"/>
                <w:szCs w:val="18"/>
                <w:lang w:val="en-GB" w:eastAsia="sv-SE"/>
              </w:rPr>
              <w:t>ipation of all actors concerned. I</w:t>
            </w:r>
            <w:r w:rsidRPr="00632DBC">
              <w:rPr>
                <w:rFonts w:ascii="Arial" w:eastAsiaTheme="minorEastAsia" w:hAnsi="Arial" w:cs="Arial"/>
                <w:color w:val="auto"/>
                <w:sz w:val="18"/>
                <w:szCs w:val="18"/>
                <w:lang w:val="en-GB" w:eastAsia="sv-SE"/>
              </w:rPr>
              <w:t xml:space="preserve">ncluding the prior informed consent or approval and involvement of indigenous and local communities, </w:t>
            </w:r>
            <w:proofErr w:type="gramStart"/>
            <w:r w:rsidRPr="00632DBC">
              <w:rPr>
                <w:rFonts w:ascii="Arial" w:eastAsiaTheme="minorEastAsia" w:hAnsi="Arial" w:cs="Arial"/>
                <w:color w:val="auto"/>
                <w:sz w:val="18"/>
                <w:szCs w:val="18"/>
                <w:lang w:val="en-GB" w:eastAsia="sv-SE"/>
              </w:rPr>
              <w:t>taking into account</w:t>
            </w:r>
            <w:proofErr w:type="gramEnd"/>
            <w:r w:rsidRPr="00632DBC">
              <w:rPr>
                <w:rFonts w:ascii="Arial" w:eastAsiaTheme="minorEastAsia" w:hAnsi="Arial" w:cs="Arial"/>
                <w:color w:val="auto"/>
                <w:sz w:val="18"/>
                <w:szCs w:val="18"/>
                <w:lang w:val="en-GB" w:eastAsia="sv-SE"/>
              </w:rPr>
              <w:t>, the Convention on Biological Diversity and its relevant decisions, guidance and principles and, as appropriate, the United Nations Declaration of the Rights of Indigenous Peoples</w:t>
            </w:r>
            <w:r w:rsidRPr="00632DBC">
              <w:rPr>
                <w:rFonts w:ascii="Arial" w:hAnsi="Arial" w:cs="Arial"/>
                <w:color w:val="auto"/>
                <w:sz w:val="18"/>
                <w:szCs w:val="18"/>
                <w:lang w:val="en-GB"/>
              </w:rPr>
              <w:t xml:space="preserve"> (UNDRIP). </w:t>
            </w:r>
          </w:p>
          <w:p w14:paraId="7A5031FE" w14:textId="77777777" w:rsidR="00565AA9" w:rsidRPr="00632DBC" w:rsidRDefault="00565AA9" w:rsidP="004401C5">
            <w:pPr>
              <w:jc w:val="both"/>
              <w:rPr>
                <w:rFonts w:ascii="Arial" w:hAnsi="Arial" w:cs="Arial"/>
                <w:b/>
                <w:bCs/>
                <w:i/>
                <w:iCs/>
                <w:sz w:val="18"/>
                <w:szCs w:val="18"/>
              </w:rPr>
            </w:pPr>
            <w:r w:rsidRPr="00632DBC">
              <w:rPr>
                <w:rFonts w:ascii="Arial" w:hAnsi="Arial" w:cs="Arial"/>
                <w:b/>
                <w:bCs/>
                <w:i/>
                <w:iCs/>
                <w:sz w:val="18"/>
                <w:szCs w:val="18"/>
              </w:rPr>
              <w:t>Local and country-driven/specific processes linked to the international level</w:t>
            </w:r>
          </w:p>
          <w:p w14:paraId="719ACFD6" w14:textId="667A7858" w:rsidR="00565AA9" w:rsidRPr="00632DBC" w:rsidRDefault="00565AA9" w:rsidP="004401C5">
            <w:pPr>
              <w:pStyle w:val="Default"/>
              <w:jc w:val="both"/>
              <w:rPr>
                <w:rFonts w:ascii="Arial" w:eastAsiaTheme="minorEastAsia" w:hAnsi="Arial" w:cs="Arial"/>
                <w:color w:val="auto"/>
                <w:sz w:val="18"/>
                <w:szCs w:val="18"/>
                <w:lang w:val="en-GB" w:eastAsia="sv-SE"/>
              </w:rPr>
            </w:pPr>
            <w:r w:rsidRPr="00632DBC">
              <w:rPr>
                <w:rFonts w:ascii="Arial" w:hAnsi="Arial" w:cs="Arial"/>
                <w:b/>
                <w:bCs/>
                <w:i/>
                <w:iCs/>
                <w:color w:val="auto"/>
                <w:sz w:val="18"/>
                <w:szCs w:val="18"/>
                <w:lang w:val="en-GB"/>
              </w:rPr>
              <w:t>Guideline (c</w:t>
            </w:r>
            <w:r w:rsidR="009873B5" w:rsidRPr="00632DBC">
              <w:rPr>
                <w:rFonts w:ascii="Arial" w:hAnsi="Arial" w:cs="Arial"/>
                <w:b/>
                <w:bCs/>
                <w:i/>
                <w:iCs/>
                <w:color w:val="auto"/>
                <w:sz w:val="18"/>
                <w:szCs w:val="18"/>
                <w:lang w:val="en-GB"/>
              </w:rPr>
              <w:t>). -</w:t>
            </w:r>
            <w:r w:rsidRPr="00632DBC">
              <w:rPr>
                <w:rFonts w:ascii="Arial" w:hAnsi="Arial" w:cs="Arial"/>
                <w:b/>
                <w:bCs/>
                <w:i/>
                <w:iCs/>
                <w:color w:val="auto"/>
                <w:sz w:val="18"/>
                <w:szCs w:val="18"/>
                <w:lang w:val="en-GB"/>
              </w:rPr>
              <w:t xml:space="preserve"> </w:t>
            </w:r>
            <w:r w:rsidRPr="00632DBC">
              <w:rPr>
                <w:rFonts w:ascii="Arial" w:eastAsiaTheme="minorEastAsia" w:hAnsi="Arial" w:cs="Arial"/>
                <w:color w:val="auto"/>
                <w:sz w:val="18"/>
                <w:szCs w:val="18"/>
                <w:lang w:val="en-GB" w:eastAsia="sv-SE"/>
              </w:rPr>
              <w:t>Safeguards in biodiversity financing mechanisms should be grounded</w:t>
            </w:r>
            <w:r w:rsidR="009873B5" w:rsidRPr="00632DBC">
              <w:rPr>
                <w:rFonts w:ascii="Arial" w:eastAsiaTheme="minorEastAsia" w:hAnsi="Arial" w:cs="Arial"/>
                <w:color w:val="auto"/>
                <w:sz w:val="18"/>
                <w:szCs w:val="18"/>
                <w:lang w:val="en-GB" w:eastAsia="sv-SE"/>
              </w:rPr>
              <w:t xml:space="preserve"> in local circumstances and </w:t>
            </w:r>
            <w:r w:rsidRPr="00632DBC">
              <w:rPr>
                <w:rFonts w:ascii="Arial" w:eastAsiaTheme="minorEastAsia" w:hAnsi="Arial" w:cs="Arial"/>
                <w:color w:val="auto"/>
                <w:sz w:val="18"/>
                <w:szCs w:val="18"/>
                <w:lang w:val="en-GB" w:eastAsia="sv-SE"/>
              </w:rPr>
              <w:t>be developed consistent with relevant co</w:t>
            </w:r>
            <w:r w:rsidR="009873B5" w:rsidRPr="00632DBC">
              <w:rPr>
                <w:rFonts w:ascii="Arial" w:eastAsiaTheme="minorEastAsia" w:hAnsi="Arial" w:cs="Arial"/>
                <w:color w:val="auto"/>
                <w:sz w:val="18"/>
                <w:szCs w:val="18"/>
                <w:lang w:val="en-GB" w:eastAsia="sv-SE"/>
              </w:rPr>
              <w:t xml:space="preserve">untry-driven/specific processes, </w:t>
            </w:r>
            <w:r w:rsidRPr="00632DBC">
              <w:rPr>
                <w:rFonts w:ascii="Arial" w:eastAsiaTheme="minorEastAsia" w:hAnsi="Arial" w:cs="Arial"/>
                <w:color w:val="auto"/>
                <w:sz w:val="18"/>
                <w:szCs w:val="18"/>
                <w:lang w:val="en-GB" w:eastAsia="sv-SE"/>
              </w:rPr>
              <w:t>nati</w:t>
            </w:r>
            <w:r w:rsidR="009873B5" w:rsidRPr="00632DBC">
              <w:rPr>
                <w:rFonts w:ascii="Arial" w:eastAsiaTheme="minorEastAsia" w:hAnsi="Arial" w:cs="Arial"/>
                <w:color w:val="auto"/>
                <w:sz w:val="18"/>
                <w:szCs w:val="18"/>
                <w:lang w:val="en-GB" w:eastAsia="sv-SE"/>
              </w:rPr>
              <w:t xml:space="preserve">onal legislation and priorities. They should </w:t>
            </w:r>
            <w:proofErr w:type="gramStart"/>
            <w:r w:rsidRPr="00632DBC">
              <w:rPr>
                <w:rFonts w:ascii="Arial" w:eastAsiaTheme="minorEastAsia" w:hAnsi="Arial" w:cs="Arial"/>
                <w:color w:val="auto"/>
                <w:sz w:val="18"/>
                <w:szCs w:val="18"/>
                <w:lang w:val="en-GB" w:eastAsia="sv-SE"/>
              </w:rPr>
              <w:t>take into account</w:t>
            </w:r>
            <w:proofErr w:type="gramEnd"/>
            <w:r w:rsidRPr="00632DBC">
              <w:rPr>
                <w:rFonts w:ascii="Arial" w:eastAsiaTheme="minorEastAsia" w:hAnsi="Arial" w:cs="Arial"/>
                <w:color w:val="auto"/>
                <w:sz w:val="18"/>
                <w:szCs w:val="18"/>
                <w:lang w:val="en-GB" w:eastAsia="sv-SE"/>
              </w:rPr>
              <w:t xml:space="preserve"> relevant international agreements, declarations and guidance, developed under the Convention on Biological Diversity and</w:t>
            </w:r>
            <w:r w:rsidR="009873B5" w:rsidRPr="00632DBC">
              <w:rPr>
                <w:rFonts w:ascii="Arial" w:eastAsiaTheme="minorEastAsia" w:hAnsi="Arial" w:cs="Arial"/>
                <w:color w:val="auto"/>
                <w:sz w:val="18"/>
                <w:szCs w:val="18"/>
                <w:lang w:val="en-GB" w:eastAsia="sv-SE"/>
              </w:rPr>
              <w:t>,</w:t>
            </w:r>
            <w:r w:rsidRPr="00632DBC">
              <w:rPr>
                <w:rFonts w:ascii="Arial" w:eastAsiaTheme="minorEastAsia" w:hAnsi="Arial" w:cs="Arial"/>
                <w:color w:val="auto"/>
                <w:sz w:val="18"/>
                <w:szCs w:val="18"/>
                <w:lang w:val="en-GB" w:eastAsia="sv-SE"/>
              </w:rPr>
              <w:t xml:space="preserve"> as appropriate, the United Nations Framework Convention on Climate Change, international human rights treaties and the United Nations Declaration of the Rights of Indigenous Peoples, among others.</w:t>
            </w:r>
          </w:p>
          <w:p w14:paraId="5B243A9A" w14:textId="77777777" w:rsidR="00565AA9" w:rsidRPr="00632DBC" w:rsidRDefault="00565AA9" w:rsidP="004401C5">
            <w:pPr>
              <w:pStyle w:val="Default"/>
              <w:jc w:val="both"/>
              <w:rPr>
                <w:rFonts w:ascii="Arial" w:hAnsi="Arial" w:cs="Arial"/>
                <w:b/>
                <w:bCs/>
                <w:i/>
                <w:iCs/>
                <w:color w:val="auto"/>
                <w:sz w:val="18"/>
                <w:szCs w:val="18"/>
                <w:lang w:val="en-GB"/>
              </w:rPr>
            </w:pPr>
            <w:r w:rsidRPr="00632DBC">
              <w:rPr>
                <w:rFonts w:ascii="Arial" w:hAnsi="Arial" w:cs="Arial"/>
                <w:b/>
                <w:i/>
                <w:noProof/>
                <w:color w:val="auto"/>
                <w:sz w:val="18"/>
                <w:szCs w:val="18"/>
                <w:lang w:val="en-GB"/>
              </w:rPr>
              <w:t>Governance, institutional frameworks, transparency, accountability and compliance</w:t>
            </w:r>
            <w:r w:rsidRPr="00632DBC" w:rsidDel="00316EA9">
              <w:rPr>
                <w:rFonts w:ascii="Arial" w:hAnsi="Arial" w:cs="Arial"/>
                <w:b/>
                <w:bCs/>
                <w:i/>
                <w:iCs/>
                <w:color w:val="auto"/>
                <w:sz w:val="18"/>
                <w:szCs w:val="18"/>
                <w:lang w:val="en-GB"/>
              </w:rPr>
              <w:t xml:space="preserve"> </w:t>
            </w:r>
          </w:p>
          <w:p w14:paraId="496CFBFB" w14:textId="39087F25" w:rsidR="00565AA9" w:rsidRPr="00632DBC" w:rsidRDefault="00565AA9" w:rsidP="009873B5">
            <w:pPr>
              <w:pStyle w:val="Default"/>
              <w:jc w:val="both"/>
              <w:rPr>
                <w:rFonts w:ascii="Arial" w:hAnsi="Arial"/>
                <w:b/>
                <w:i/>
                <w:color w:val="auto"/>
                <w:sz w:val="18"/>
                <w:lang w:val="en-GB"/>
              </w:rPr>
            </w:pPr>
            <w:r w:rsidRPr="00632DBC">
              <w:rPr>
                <w:rFonts w:ascii="Arial" w:hAnsi="Arial" w:cs="Arial"/>
                <w:b/>
                <w:bCs/>
                <w:i/>
                <w:iCs/>
                <w:color w:val="auto"/>
                <w:sz w:val="18"/>
                <w:szCs w:val="18"/>
                <w:lang w:val="en-GB"/>
              </w:rPr>
              <w:t>Guideline (d).</w:t>
            </w:r>
            <w:r w:rsidR="009873B5" w:rsidRPr="00632DBC">
              <w:rPr>
                <w:rFonts w:ascii="Arial" w:hAnsi="Arial" w:cs="Arial"/>
                <w:b/>
                <w:bCs/>
                <w:i/>
                <w:iCs/>
                <w:color w:val="auto"/>
                <w:sz w:val="18"/>
                <w:szCs w:val="18"/>
                <w:lang w:val="en-GB"/>
              </w:rPr>
              <w:t xml:space="preserve"> </w:t>
            </w:r>
            <w:r w:rsidRPr="00632DBC">
              <w:rPr>
                <w:rFonts w:ascii="Arial" w:hAnsi="Arial" w:cs="Arial"/>
                <w:b/>
                <w:bCs/>
                <w:i/>
                <w:iCs/>
                <w:color w:val="auto"/>
                <w:sz w:val="18"/>
                <w:szCs w:val="18"/>
                <w:lang w:val="en-GB"/>
              </w:rPr>
              <w:t xml:space="preserve">- </w:t>
            </w:r>
            <w:r w:rsidRPr="00632DBC">
              <w:rPr>
                <w:rFonts w:ascii="Arial" w:eastAsiaTheme="minorEastAsia" w:hAnsi="Arial" w:cs="Arial"/>
                <w:color w:val="auto"/>
                <w:sz w:val="18"/>
                <w:szCs w:val="18"/>
                <w:lang w:val="en-GB" w:eastAsia="sv-SE"/>
              </w:rPr>
              <w:t>Appropriate and effective institutional frameworks are of utmost importance for safeguards to be operati</w:t>
            </w:r>
            <w:r w:rsidR="009873B5" w:rsidRPr="00632DBC">
              <w:rPr>
                <w:rFonts w:ascii="Arial" w:eastAsiaTheme="minorEastAsia" w:hAnsi="Arial" w:cs="Arial"/>
                <w:color w:val="auto"/>
                <w:sz w:val="18"/>
                <w:szCs w:val="18"/>
                <w:lang w:val="en-GB" w:eastAsia="sv-SE"/>
              </w:rPr>
              <w:t>onal and should be put in place. This includes</w:t>
            </w:r>
            <w:r w:rsidRPr="00632DBC">
              <w:rPr>
                <w:rFonts w:ascii="Arial" w:eastAsiaTheme="minorEastAsia" w:hAnsi="Arial" w:cs="Arial"/>
                <w:color w:val="auto"/>
                <w:sz w:val="18"/>
                <w:szCs w:val="18"/>
                <w:lang w:val="en-GB" w:eastAsia="sv-SE"/>
              </w:rPr>
              <w:t xml:space="preserve"> enforcement and evaluation mechanisms that will ensure t</w:t>
            </w:r>
            <w:r w:rsidR="009873B5" w:rsidRPr="00632DBC">
              <w:rPr>
                <w:rFonts w:ascii="Arial" w:eastAsiaTheme="minorEastAsia" w:hAnsi="Arial" w:cs="Arial"/>
                <w:color w:val="auto"/>
                <w:sz w:val="18"/>
                <w:szCs w:val="18"/>
                <w:lang w:val="en-GB" w:eastAsia="sv-SE"/>
              </w:rPr>
              <w:t xml:space="preserve">ransparency and accountability and </w:t>
            </w:r>
            <w:r w:rsidRPr="00632DBC">
              <w:rPr>
                <w:rFonts w:ascii="Arial" w:eastAsiaTheme="minorEastAsia" w:hAnsi="Arial" w:cs="Arial"/>
                <w:color w:val="auto"/>
                <w:sz w:val="18"/>
                <w:szCs w:val="18"/>
                <w:lang w:val="en-GB" w:eastAsia="sv-SE"/>
              </w:rPr>
              <w:t xml:space="preserve">compliance with relevant safeguards. </w:t>
            </w:r>
          </w:p>
        </w:tc>
      </w:tr>
    </w:tbl>
    <w:p w14:paraId="3CB8CA07" w14:textId="7379261F" w:rsidR="00810C20" w:rsidRPr="00632DBC" w:rsidRDefault="00810C20" w:rsidP="004401C5">
      <w:pPr>
        <w:jc w:val="both"/>
        <w:rPr>
          <w:rFonts w:ascii="Times New Roman" w:hAnsi="Times New Roman"/>
          <w:b/>
          <w:bCs/>
        </w:rPr>
      </w:pPr>
    </w:p>
    <w:p w14:paraId="182B4636" w14:textId="77777777" w:rsidR="00810C20" w:rsidRPr="00632DBC" w:rsidRDefault="00810C20" w:rsidP="004401C5">
      <w:pPr>
        <w:jc w:val="both"/>
        <w:rPr>
          <w:rFonts w:ascii="Times New Roman" w:hAnsi="Times New Roman"/>
          <w:b/>
          <w:bCs/>
        </w:rPr>
      </w:pPr>
      <w:r w:rsidRPr="00632DBC">
        <w:rPr>
          <w:rFonts w:ascii="Times New Roman" w:hAnsi="Times New Roman"/>
          <w:b/>
          <w:bCs/>
        </w:rPr>
        <w:t>Potential elements for an operational roadmap</w:t>
      </w:r>
      <w:r w:rsidRPr="00632DBC">
        <w:rPr>
          <w:rFonts w:ascii="Times New Roman" w:hAnsi="Times New Roman"/>
        </w:rPr>
        <w:t xml:space="preserve"> </w:t>
      </w:r>
    </w:p>
    <w:p w14:paraId="6BE65031" w14:textId="77777777" w:rsidR="00BC66D2" w:rsidRPr="00632DBC" w:rsidRDefault="00BC66D2" w:rsidP="004401C5">
      <w:pPr>
        <w:jc w:val="both"/>
        <w:rPr>
          <w:rFonts w:ascii="Times New Roman" w:hAnsi="Times New Roman"/>
          <w:b/>
          <w:i/>
        </w:rPr>
      </w:pPr>
      <w:r w:rsidRPr="00632DBC">
        <w:rPr>
          <w:rFonts w:ascii="Times New Roman" w:hAnsi="Times New Roman"/>
          <w:b/>
          <w:i/>
        </w:rPr>
        <w:t>Looking ahead: resource mobilization and safeguards in the post-2020 global biodiversity framework</w:t>
      </w:r>
    </w:p>
    <w:p w14:paraId="7D9F545E" w14:textId="06F26551" w:rsidR="00BC66D2" w:rsidRPr="00632DBC" w:rsidRDefault="00BC66D2" w:rsidP="004401C5">
      <w:pPr>
        <w:pStyle w:val="NormalWeb"/>
        <w:shd w:val="clear" w:color="auto" w:fill="FFFFFF"/>
        <w:jc w:val="both"/>
        <w:rPr>
          <w:sz w:val="22"/>
          <w:szCs w:val="22"/>
          <w:lang w:eastAsia="sv-SE"/>
        </w:rPr>
      </w:pPr>
      <w:r w:rsidRPr="00632DBC">
        <w:rPr>
          <w:sz w:val="22"/>
          <w:szCs w:val="22"/>
          <w:lang w:eastAsia="sv-SE"/>
        </w:rPr>
        <w:t>The co-development of a post-2020 strategy to implement principles, standards and guidelines relevant for safeguards in resource mobilization, including the CBD voluntary guidelines on safeguards in BFMs, can contribute to address</w:t>
      </w:r>
      <w:r w:rsidR="00521C6C" w:rsidRPr="00632DBC">
        <w:rPr>
          <w:sz w:val="22"/>
          <w:szCs w:val="22"/>
          <w:lang w:eastAsia="sv-SE"/>
        </w:rPr>
        <w:t>ing</w:t>
      </w:r>
      <w:r w:rsidRPr="00632DBC">
        <w:rPr>
          <w:sz w:val="22"/>
          <w:szCs w:val="22"/>
          <w:lang w:eastAsia="sv-SE"/>
        </w:rPr>
        <w:t xml:space="preserve"> the underlying causes of biodiversity loss and to mainstream </w:t>
      </w:r>
      <w:r w:rsidRPr="00632DBC">
        <w:rPr>
          <w:sz w:val="22"/>
          <w:szCs w:val="22"/>
          <w:lang w:eastAsia="sv-SE"/>
        </w:rPr>
        <w:lastRenderedPageBreak/>
        <w:t xml:space="preserve">biodiversity </w:t>
      </w:r>
      <w:r w:rsidR="00521C6C" w:rsidRPr="00632DBC">
        <w:rPr>
          <w:sz w:val="22"/>
          <w:szCs w:val="22"/>
          <w:lang w:eastAsia="sv-SE"/>
        </w:rPr>
        <w:t>across sectors</w:t>
      </w:r>
      <w:r w:rsidR="00511F16">
        <w:rPr>
          <w:sz w:val="22"/>
          <w:szCs w:val="22"/>
          <w:lang w:eastAsia="sv-SE"/>
        </w:rPr>
        <w:t xml:space="preserve"> such as forestry and mining sector</w:t>
      </w:r>
      <w:r w:rsidRPr="00632DBC">
        <w:rPr>
          <w:sz w:val="22"/>
          <w:szCs w:val="22"/>
          <w:lang w:eastAsia="sv-SE"/>
        </w:rPr>
        <w:t>.</w:t>
      </w:r>
      <w:r w:rsidR="00960E68" w:rsidRPr="00632DBC">
        <w:rPr>
          <w:sz w:val="22"/>
          <w:szCs w:val="22"/>
          <w:lang w:eastAsia="sv-SE"/>
        </w:rPr>
        <w:t xml:space="preserve"> T</w:t>
      </w:r>
      <w:r w:rsidRPr="00632DBC">
        <w:rPr>
          <w:sz w:val="22"/>
          <w:szCs w:val="22"/>
          <w:lang w:eastAsia="sv-SE"/>
        </w:rPr>
        <w:t>his strategy can a</w:t>
      </w:r>
      <w:r w:rsidR="00D11BB3" w:rsidRPr="00632DBC">
        <w:rPr>
          <w:sz w:val="22"/>
          <w:szCs w:val="22"/>
          <w:lang w:eastAsia="sv-SE"/>
        </w:rPr>
        <w:t>lso contribute to operationalising</w:t>
      </w:r>
      <w:r w:rsidRPr="00632DBC">
        <w:rPr>
          <w:sz w:val="22"/>
          <w:szCs w:val="22"/>
          <w:lang w:eastAsia="sv-SE"/>
        </w:rPr>
        <w:t xml:space="preserve"> international human rights treaties </w:t>
      </w:r>
      <w:r w:rsidR="00D11BB3" w:rsidRPr="00632DBC">
        <w:rPr>
          <w:sz w:val="22"/>
          <w:szCs w:val="22"/>
          <w:lang w:eastAsia="sv-SE"/>
        </w:rPr>
        <w:t>and</w:t>
      </w:r>
      <w:r w:rsidRPr="00632DBC">
        <w:rPr>
          <w:sz w:val="22"/>
          <w:szCs w:val="22"/>
          <w:lang w:eastAsia="sv-SE"/>
        </w:rPr>
        <w:t xml:space="preserve"> safeguards under other multilateral environmental agreements such as UNFCC.</w:t>
      </w:r>
    </w:p>
    <w:p w14:paraId="4F314D06" w14:textId="45C40D22" w:rsidR="00810C20" w:rsidRPr="00632DBC" w:rsidRDefault="00810C20" w:rsidP="004401C5">
      <w:pPr>
        <w:jc w:val="both"/>
        <w:rPr>
          <w:rFonts w:ascii="Times New Roman" w:hAnsi="Times New Roman"/>
        </w:rPr>
      </w:pPr>
      <w:r w:rsidRPr="00632DBC">
        <w:rPr>
          <w:rFonts w:ascii="Times New Roman" w:hAnsi="Times New Roman"/>
        </w:rPr>
        <w:t>The following potential elements would help to operationalize the guidelines and specify strategies for implementation, complementing the possible milestones and roadmap of resource mobilisation covering the period up to 2020</w:t>
      </w:r>
      <w:r w:rsidR="00E669F3" w:rsidRPr="00632DBC">
        <w:rPr>
          <w:rFonts w:ascii="Times New Roman" w:hAnsi="Times New Roman"/>
        </w:rPr>
        <w:t xml:space="preserve"> and the post 2020 global biodiversity framework</w:t>
      </w:r>
      <w:r w:rsidRPr="00632DBC">
        <w:rPr>
          <w:rFonts w:ascii="Times New Roman" w:hAnsi="Times New Roman"/>
        </w:rPr>
        <w:t>:</w:t>
      </w:r>
    </w:p>
    <w:p w14:paraId="64B0AA31" w14:textId="2927C320" w:rsidR="00BC66D2" w:rsidRPr="00632DBC" w:rsidRDefault="00B32DFF" w:rsidP="00632DBC">
      <w:pPr>
        <w:numPr>
          <w:ilvl w:val="0"/>
          <w:numId w:val="23"/>
        </w:numPr>
        <w:contextualSpacing/>
        <w:jc w:val="both"/>
        <w:rPr>
          <w:rFonts w:ascii="Times New Roman" w:hAnsi="Times New Roman"/>
        </w:rPr>
      </w:pPr>
      <w:r w:rsidRPr="00632DBC">
        <w:rPr>
          <w:rFonts w:ascii="Times New Roman" w:hAnsi="Times New Roman"/>
          <w:lang w:eastAsia="sv-SE"/>
        </w:rPr>
        <w:t xml:space="preserve">The </w:t>
      </w:r>
      <w:r w:rsidR="00BC66D2" w:rsidRPr="00632DBC">
        <w:rPr>
          <w:rFonts w:ascii="Times New Roman" w:hAnsi="Times New Roman"/>
        </w:rPr>
        <w:t xml:space="preserve">CBD Secretariat </w:t>
      </w:r>
      <w:r w:rsidR="002518C2" w:rsidRPr="00632DBC">
        <w:rPr>
          <w:rFonts w:ascii="Times New Roman" w:hAnsi="Times New Roman"/>
        </w:rPr>
        <w:t xml:space="preserve">could </w:t>
      </w:r>
      <w:r w:rsidR="00BC66D2" w:rsidRPr="00632DBC">
        <w:rPr>
          <w:rFonts w:ascii="Times New Roman" w:hAnsi="Times New Roman"/>
        </w:rPr>
        <w:t>engage in active dialogue with the other Secr</w:t>
      </w:r>
      <w:r w:rsidRPr="00632DBC">
        <w:rPr>
          <w:rFonts w:ascii="Times New Roman" w:hAnsi="Times New Roman"/>
        </w:rPr>
        <w:t>etariats of the Rio Conventions</w:t>
      </w:r>
      <w:r w:rsidR="00BC66D2" w:rsidRPr="00632DBC">
        <w:rPr>
          <w:rFonts w:ascii="Times New Roman" w:hAnsi="Times New Roman"/>
        </w:rPr>
        <w:t xml:space="preserve"> and other relevant organizations</w:t>
      </w:r>
      <w:r w:rsidRPr="00632DBC">
        <w:rPr>
          <w:rFonts w:ascii="Times New Roman" w:hAnsi="Times New Roman"/>
          <w:lang w:eastAsia="sv-SE"/>
        </w:rPr>
        <w:t>,</w:t>
      </w:r>
      <w:r w:rsidR="00BC66D2" w:rsidRPr="00632DBC">
        <w:rPr>
          <w:rFonts w:ascii="Times New Roman" w:hAnsi="Times New Roman"/>
        </w:rPr>
        <w:t xml:space="preserve"> for the co-development of a strategy to implement legal instruments relevant for integrated approaches </w:t>
      </w:r>
      <w:r w:rsidR="00C24C44" w:rsidRPr="00632DBC">
        <w:rPr>
          <w:rFonts w:ascii="Times New Roman" w:hAnsi="Times New Roman"/>
          <w:lang w:eastAsia="sv-SE"/>
        </w:rPr>
        <w:t>that create</w:t>
      </w:r>
      <w:r w:rsidR="00C24C44" w:rsidRPr="00632DBC">
        <w:rPr>
          <w:rFonts w:ascii="Times New Roman" w:hAnsi="Times New Roman"/>
        </w:rPr>
        <w:t xml:space="preserve"> </w:t>
      </w:r>
      <w:r w:rsidR="00BC66D2" w:rsidRPr="00632DBC">
        <w:rPr>
          <w:rFonts w:ascii="Times New Roman" w:hAnsi="Times New Roman"/>
        </w:rPr>
        <w:t xml:space="preserve">a win-win for people and biodiversity. Other </w:t>
      </w:r>
      <w:r w:rsidR="00511F16">
        <w:rPr>
          <w:rFonts w:ascii="Times New Roman" w:hAnsi="Times New Roman"/>
        </w:rPr>
        <w:t xml:space="preserve">relevant </w:t>
      </w:r>
      <w:r w:rsidR="00BC66D2" w:rsidRPr="00632DBC">
        <w:rPr>
          <w:rFonts w:ascii="Times New Roman" w:hAnsi="Times New Roman"/>
        </w:rPr>
        <w:t xml:space="preserve">organizations </w:t>
      </w:r>
      <w:r w:rsidR="00511F16">
        <w:rPr>
          <w:rFonts w:ascii="Times New Roman" w:hAnsi="Times New Roman"/>
        </w:rPr>
        <w:t xml:space="preserve">working with </w:t>
      </w:r>
      <w:r w:rsidR="00BC66D2" w:rsidRPr="00632DBC">
        <w:rPr>
          <w:rFonts w:ascii="Times New Roman" w:hAnsi="Times New Roman"/>
        </w:rPr>
        <w:t xml:space="preserve"> substantive and procedural dimensions relevant for safeguards include the Human Rights Council, the </w:t>
      </w:r>
      <w:r w:rsidR="00026B10" w:rsidRPr="00632DBC">
        <w:rPr>
          <w:rFonts w:ascii="Times New Roman" w:hAnsi="Times New Roman"/>
        </w:rPr>
        <w:t xml:space="preserve">UN </w:t>
      </w:r>
      <w:r w:rsidR="00BC66D2" w:rsidRPr="00632DBC">
        <w:rPr>
          <w:rFonts w:ascii="Times New Roman" w:hAnsi="Times New Roman"/>
        </w:rPr>
        <w:t xml:space="preserve">Permanent Forum </w:t>
      </w:r>
      <w:r w:rsidR="00026B10" w:rsidRPr="00632DBC">
        <w:rPr>
          <w:rFonts w:ascii="Times New Roman" w:hAnsi="Times New Roman"/>
        </w:rPr>
        <w:t>on</w:t>
      </w:r>
      <w:r w:rsidR="00BC66D2" w:rsidRPr="00632DBC">
        <w:rPr>
          <w:rFonts w:ascii="Times New Roman" w:hAnsi="Times New Roman"/>
        </w:rPr>
        <w:t xml:space="preserve"> Indigenous </w:t>
      </w:r>
      <w:r w:rsidR="00026B10" w:rsidRPr="00632DBC">
        <w:rPr>
          <w:rFonts w:ascii="Times New Roman" w:hAnsi="Times New Roman"/>
        </w:rPr>
        <w:t>Issues</w:t>
      </w:r>
      <w:r w:rsidR="00BC66D2" w:rsidRPr="00632DBC">
        <w:rPr>
          <w:rFonts w:ascii="Times New Roman" w:hAnsi="Times New Roman"/>
        </w:rPr>
        <w:t xml:space="preserve">, the World Bank´s Inspection Panel, the International Development Law Organisations, the Intergovernmental Platform on Biodiversity and Ecosystem Services (in particular concerning its work on policy support tools and methodologies), and </w:t>
      </w:r>
      <w:r w:rsidR="00C24C44" w:rsidRPr="00632DBC">
        <w:rPr>
          <w:rFonts w:ascii="Times New Roman" w:hAnsi="Times New Roman"/>
          <w:lang w:eastAsia="sv-SE"/>
        </w:rPr>
        <w:t xml:space="preserve">other </w:t>
      </w:r>
      <w:r w:rsidR="00BC66D2" w:rsidRPr="00632DBC">
        <w:rPr>
          <w:rFonts w:ascii="Times New Roman" w:hAnsi="Times New Roman"/>
        </w:rPr>
        <w:t xml:space="preserve">organizations involved on operationalizing Agenda 2030 </w:t>
      </w:r>
      <w:r w:rsidR="00C24C44" w:rsidRPr="00632DBC">
        <w:rPr>
          <w:rFonts w:ascii="Times New Roman" w:hAnsi="Times New Roman"/>
          <w:lang w:eastAsia="sv-SE"/>
        </w:rPr>
        <w:t>and</w:t>
      </w:r>
      <w:r w:rsidR="00C24C44" w:rsidRPr="00632DBC">
        <w:rPr>
          <w:rFonts w:ascii="Times New Roman" w:hAnsi="Times New Roman"/>
        </w:rPr>
        <w:t xml:space="preserve"> </w:t>
      </w:r>
      <w:r w:rsidR="00BC66D2" w:rsidRPr="00632DBC">
        <w:rPr>
          <w:rFonts w:ascii="Times New Roman" w:hAnsi="Times New Roman"/>
        </w:rPr>
        <w:t xml:space="preserve">the Sustainable Development Goals. The aim of such a dialogue would be to </w:t>
      </w:r>
      <w:r w:rsidR="00BC66D2" w:rsidRPr="00632DBC">
        <w:rPr>
          <w:rFonts w:ascii="Times New Roman" w:hAnsi="Times New Roman"/>
          <w:lang w:eastAsia="sv-SE"/>
        </w:rPr>
        <w:t>contribut</w:t>
      </w:r>
      <w:r w:rsidR="00C24C44" w:rsidRPr="00632DBC">
        <w:rPr>
          <w:rFonts w:ascii="Times New Roman" w:hAnsi="Times New Roman"/>
          <w:lang w:eastAsia="sv-SE"/>
        </w:rPr>
        <w:t>e</w:t>
      </w:r>
      <w:r w:rsidR="00BC66D2" w:rsidRPr="00632DBC">
        <w:rPr>
          <w:rFonts w:ascii="Times New Roman" w:hAnsi="Times New Roman"/>
        </w:rPr>
        <w:t xml:space="preserve"> to a just governance of biodiversity and healthy ecosystems. The outcome strategy could then be presented to CBD Parties and other relevant groups.</w:t>
      </w:r>
    </w:p>
    <w:p w14:paraId="3164BCFE" w14:textId="010C164E" w:rsidR="00810C20" w:rsidRPr="00632DBC" w:rsidRDefault="00810C20" w:rsidP="004401C5">
      <w:pPr>
        <w:ind w:left="360"/>
        <w:contextualSpacing/>
        <w:jc w:val="both"/>
        <w:rPr>
          <w:rFonts w:ascii="Times New Roman" w:hAnsi="Times New Roman"/>
        </w:rPr>
      </w:pPr>
    </w:p>
    <w:p w14:paraId="66815F5F" w14:textId="0014910F" w:rsidR="00394C9D" w:rsidRPr="00632DBC" w:rsidRDefault="00810C20" w:rsidP="003966BA">
      <w:pPr>
        <w:numPr>
          <w:ilvl w:val="0"/>
          <w:numId w:val="23"/>
        </w:numPr>
        <w:contextualSpacing/>
        <w:jc w:val="both"/>
        <w:rPr>
          <w:rFonts w:ascii="Times New Roman" w:hAnsi="Times New Roman"/>
        </w:rPr>
      </w:pPr>
      <w:r w:rsidRPr="00632DBC">
        <w:rPr>
          <w:rFonts w:ascii="Times New Roman" w:hAnsi="Times New Roman"/>
        </w:rPr>
        <w:t xml:space="preserve">Member States </w:t>
      </w:r>
      <w:r w:rsidR="002518C2" w:rsidRPr="00632DBC">
        <w:rPr>
          <w:rFonts w:ascii="Times New Roman" w:hAnsi="Times New Roman"/>
        </w:rPr>
        <w:t>could</w:t>
      </w:r>
      <w:r w:rsidRPr="00632DBC">
        <w:rPr>
          <w:rFonts w:ascii="Times New Roman" w:hAnsi="Times New Roman"/>
        </w:rPr>
        <w:t xml:space="preserve"> reflect the above-mentioned guidelines</w:t>
      </w:r>
      <w:r w:rsidR="0024194D" w:rsidRPr="00632DBC">
        <w:rPr>
          <w:rFonts w:ascii="Times New Roman" w:hAnsi="Times New Roman"/>
        </w:rPr>
        <w:t xml:space="preserve"> in law, policies and practices</w:t>
      </w:r>
      <w:r w:rsidRPr="00632DBC">
        <w:rPr>
          <w:rFonts w:ascii="Times New Roman" w:hAnsi="Times New Roman"/>
        </w:rPr>
        <w:t xml:space="preserve"> in exercise of their sovereign rights over their biological resources and associated natio</w:t>
      </w:r>
      <w:r w:rsidR="0024194D" w:rsidRPr="00632DBC">
        <w:rPr>
          <w:rFonts w:ascii="Times New Roman" w:hAnsi="Times New Roman"/>
        </w:rPr>
        <w:t xml:space="preserve">nal autonomy in decision-making. It is recommended </w:t>
      </w:r>
      <w:r w:rsidR="002518C2" w:rsidRPr="00632DBC">
        <w:rPr>
          <w:rFonts w:ascii="Times New Roman" w:hAnsi="Times New Roman"/>
        </w:rPr>
        <w:t>that</w:t>
      </w:r>
      <w:r w:rsidR="00511F16">
        <w:rPr>
          <w:rFonts w:ascii="Times New Roman" w:hAnsi="Times New Roman"/>
        </w:rPr>
        <w:t xml:space="preserve"> the</w:t>
      </w:r>
      <w:r w:rsidRPr="00632DBC">
        <w:rPr>
          <w:rFonts w:ascii="Times New Roman" w:hAnsi="Times New Roman"/>
        </w:rPr>
        <w:t xml:space="preserve"> </w:t>
      </w:r>
      <w:r w:rsidR="002518C2" w:rsidRPr="00632DBC">
        <w:rPr>
          <w:rFonts w:ascii="Times New Roman" w:hAnsi="Times New Roman"/>
        </w:rPr>
        <w:t xml:space="preserve">development of </w:t>
      </w:r>
      <w:r w:rsidRPr="00632DBC">
        <w:rPr>
          <w:rFonts w:ascii="Times New Roman" w:hAnsi="Times New Roman"/>
        </w:rPr>
        <w:t xml:space="preserve">national systems for biodiversity and social </w:t>
      </w:r>
      <w:r w:rsidR="007959AA" w:rsidRPr="00632DBC">
        <w:rPr>
          <w:rFonts w:ascii="Times New Roman" w:hAnsi="Times New Roman"/>
        </w:rPr>
        <w:t xml:space="preserve">safeguards </w:t>
      </w:r>
      <w:r w:rsidR="007959AA">
        <w:rPr>
          <w:rFonts w:ascii="Times New Roman" w:hAnsi="Times New Roman"/>
        </w:rPr>
        <w:t>has</w:t>
      </w:r>
      <w:r w:rsidR="002518C2" w:rsidRPr="00632DBC">
        <w:rPr>
          <w:rFonts w:ascii="Times New Roman" w:hAnsi="Times New Roman"/>
        </w:rPr>
        <w:t xml:space="preserve"> </w:t>
      </w:r>
      <w:r w:rsidRPr="00632DBC">
        <w:rPr>
          <w:rFonts w:ascii="Times New Roman" w:hAnsi="Times New Roman"/>
        </w:rPr>
        <w:t xml:space="preserve">the effective participation of relevant stakeholders, </w:t>
      </w:r>
      <w:r w:rsidRPr="00632DBC">
        <w:rPr>
          <w:rFonts w:ascii="Times New Roman" w:hAnsi="Times New Roman"/>
          <w:i/>
          <w:iCs/>
        </w:rPr>
        <w:t>inter alia</w:t>
      </w:r>
      <w:r w:rsidRPr="00632DBC">
        <w:rPr>
          <w:rFonts w:ascii="Times New Roman" w:hAnsi="Times New Roman"/>
        </w:rPr>
        <w:t xml:space="preserve"> local communities and indigenous peoples. This includes: a)</w:t>
      </w:r>
      <w:r w:rsidR="002518C2" w:rsidRPr="00632DBC">
        <w:rPr>
          <w:rFonts w:ascii="Times New Roman" w:hAnsi="Times New Roman"/>
        </w:rPr>
        <w:t> </w:t>
      </w:r>
      <w:r w:rsidRPr="00632DBC">
        <w:rPr>
          <w:rFonts w:ascii="Times New Roman" w:hAnsi="Times New Roman"/>
        </w:rPr>
        <w:t>identifying national</w:t>
      </w:r>
      <w:r w:rsidR="00FA3C97" w:rsidRPr="00632DBC">
        <w:rPr>
          <w:rFonts w:ascii="Times New Roman" w:hAnsi="Times New Roman"/>
        </w:rPr>
        <w:t>,</w:t>
      </w:r>
      <w:r w:rsidRPr="00632DBC">
        <w:rPr>
          <w:rFonts w:ascii="Times New Roman" w:hAnsi="Times New Roman"/>
        </w:rPr>
        <w:t xml:space="preserve"> legal provisions and policies relevant to safeguards </w:t>
      </w:r>
      <w:r w:rsidR="0024194D" w:rsidRPr="00632DBC">
        <w:rPr>
          <w:rFonts w:ascii="Times New Roman" w:hAnsi="Times New Roman"/>
        </w:rPr>
        <w:t xml:space="preserve">that are </w:t>
      </w:r>
      <w:r w:rsidRPr="00632DBC">
        <w:rPr>
          <w:rFonts w:ascii="Times New Roman" w:hAnsi="Times New Roman"/>
        </w:rPr>
        <w:t>applicable to mechanisms for financing biodiversity and ecosystems</w:t>
      </w:r>
      <w:r w:rsidR="00394C9D" w:rsidRPr="00632DBC">
        <w:rPr>
          <w:rFonts w:ascii="Times New Roman" w:hAnsi="Times New Roman"/>
        </w:rPr>
        <w:t>;</w:t>
      </w:r>
      <w:r w:rsidRPr="00632DBC">
        <w:rPr>
          <w:rFonts w:ascii="Times New Roman" w:hAnsi="Times New Roman"/>
        </w:rPr>
        <w:t xml:space="preserve"> b) performing an assessment of the appropriateness and gaps of existing safeguards-related provisions in responding to the risks and opportunities of the six biodiversity financing mechanisms mentioned in Goal 4 of the Strategy of Resource Mobilisation (2008-2015) (COP 9 Decision IX/11)</w:t>
      </w:r>
      <w:r w:rsidR="00394C9D" w:rsidRPr="00632DBC">
        <w:rPr>
          <w:rFonts w:ascii="Times New Roman" w:hAnsi="Times New Roman"/>
        </w:rPr>
        <w:t xml:space="preserve">, and </w:t>
      </w:r>
      <w:r w:rsidR="00FA3C97" w:rsidRPr="00632DBC">
        <w:rPr>
          <w:rFonts w:ascii="Times New Roman" w:hAnsi="Times New Roman"/>
        </w:rPr>
        <w:t xml:space="preserve">an assessment of </w:t>
      </w:r>
      <w:r w:rsidRPr="00632DBC">
        <w:rPr>
          <w:rFonts w:ascii="Times New Roman" w:hAnsi="Times New Roman"/>
        </w:rPr>
        <w:t>p</w:t>
      </w:r>
      <w:r w:rsidR="00FA3C97" w:rsidRPr="00632DBC">
        <w:rPr>
          <w:rFonts w:ascii="Times New Roman" w:hAnsi="Times New Roman"/>
        </w:rPr>
        <w:t xml:space="preserve">otential additional mechanisms </w:t>
      </w:r>
      <w:r w:rsidR="00394C9D" w:rsidRPr="00632DBC">
        <w:rPr>
          <w:rFonts w:ascii="Times New Roman" w:hAnsi="Times New Roman"/>
        </w:rPr>
        <w:t>including</w:t>
      </w:r>
      <w:r w:rsidR="00FA3C97" w:rsidRPr="00632DBC">
        <w:rPr>
          <w:rFonts w:ascii="Times New Roman" w:hAnsi="Times New Roman"/>
        </w:rPr>
        <w:t xml:space="preserve"> </w:t>
      </w:r>
      <w:r w:rsidRPr="00632DBC">
        <w:rPr>
          <w:rFonts w:ascii="Times New Roman" w:hAnsi="Times New Roman"/>
        </w:rPr>
        <w:t>when such mechanisms are or will be operational in the country</w:t>
      </w:r>
      <w:r w:rsidR="00394C9D" w:rsidRPr="00632DBC">
        <w:rPr>
          <w:rFonts w:ascii="Times New Roman" w:hAnsi="Times New Roman"/>
        </w:rPr>
        <w:t>;</w:t>
      </w:r>
      <w:r w:rsidRPr="00632DBC">
        <w:rPr>
          <w:rFonts w:ascii="Times New Roman" w:hAnsi="Times New Roman"/>
        </w:rPr>
        <w:t xml:space="preserve"> and c) taking action in </w:t>
      </w:r>
      <w:r w:rsidR="00E669F3" w:rsidRPr="00632DBC">
        <w:rPr>
          <w:rFonts w:ascii="Times New Roman" w:hAnsi="Times New Roman"/>
        </w:rPr>
        <w:t>implementing</w:t>
      </w:r>
      <w:r w:rsidRPr="00632DBC">
        <w:rPr>
          <w:rFonts w:ascii="Times New Roman" w:hAnsi="Times New Roman"/>
        </w:rPr>
        <w:t xml:space="preserve"> different safeguards in scaling-up biodiversity financing and devel</w:t>
      </w:r>
      <w:r w:rsidR="001B5170" w:rsidRPr="00632DBC">
        <w:rPr>
          <w:rFonts w:ascii="Times New Roman" w:hAnsi="Times New Roman"/>
        </w:rPr>
        <w:t>oping new safeguards, when needed,</w:t>
      </w:r>
      <w:r w:rsidRPr="00632DBC">
        <w:rPr>
          <w:rFonts w:ascii="Times New Roman" w:hAnsi="Times New Roman"/>
        </w:rPr>
        <w:t xml:space="preserve"> </w:t>
      </w:r>
      <w:r w:rsidR="00E669F3" w:rsidRPr="00632DBC">
        <w:rPr>
          <w:rFonts w:ascii="Times New Roman" w:hAnsi="Times New Roman"/>
        </w:rPr>
        <w:t xml:space="preserve">informed by </w:t>
      </w:r>
      <w:r w:rsidRPr="00632DBC">
        <w:rPr>
          <w:rFonts w:ascii="Times New Roman" w:hAnsi="Times New Roman"/>
        </w:rPr>
        <w:t xml:space="preserve">the </w:t>
      </w:r>
      <w:r w:rsidR="00E669F3" w:rsidRPr="00632DBC">
        <w:rPr>
          <w:rFonts w:ascii="Times New Roman" w:hAnsi="Times New Roman"/>
        </w:rPr>
        <w:t xml:space="preserve">CBD </w:t>
      </w:r>
      <w:r w:rsidRPr="00632DBC">
        <w:rPr>
          <w:rFonts w:ascii="Times New Roman" w:hAnsi="Times New Roman"/>
        </w:rPr>
        <w:t xml:space="preserve">guidelines </w:t>
      </w:r>
      <w:r w:rsidR="00E669F3" w:rsidRPr="00632DBC">
        <w:rPr>
          <w:rFonts w:ascii="Times New Roman" w:hAnsi="Times New Roman"/>
        </w:rPr>
        <w:t>for safeguards and other CBD principles and guidelines</w:t>
      </w:r>
      <w:r w:rsidRPr="00632DBC">
        <w:rPr>
          <w:rFonts w:ascii="Times New Roman" w:hAnsi="Times New Roman"/>
        </w:rPr>
        <w:t xml:space="preserve">. </w:t>
      </w:r>
    </w:p>
    <w:p w14:paraId="72D16F01" w14:textId="77777777" w:rsidR="00810C20" w:rsidRPr="00632DBC" w:rsidRDefault="00810C20" w:rsidP="00632DBC">
      <w:pPr>
        <w:ind w:left="360"/>
        <w:contextualSpacing/>
        <w:jc w:val="both"/>
        <w:rPr>
          <w:rFonts w:ascii="Times New Roman" w:hAnsi="Times New Roman"/>
        </w:rPr>
      </w:pPr>
      <w:r w:rsidRPr="00632DBC">
        <w:rPr>
          <w:rFonts w:ascii="Times New Roman" w:hAnsi="Times New Roman"/>
        </w:rPr>
        <w:tab/>
      </w:r>
    </w:p>
    <w:p w14:paraId="679C5B72" w14:textId="6795BB5C" w:rsidR="00810C20" w:rsidRPr="00632DBC" w:rsidRDefault="00394C9D" w:rsidP="003966BA">
      <w:pPr>
        <w:numPr>
          <w:ilvl w:val="0"/>
          <w:numId w:val="23"/>
        </w:numPr>
        <w:contextualSpacing/>
        <w:jc w:val="both"/>
        <w:rPr>
          <w:rFonts w:ascii="Times New Roman" w:eastAsia="MS Mincho" w:hAnsi="Times New Roman"/>
          <w:lang w:eastAsia="sv-SE" w:bidi="ar-SA"/>
        </w:rPr>
      </w:pPr>
      <w:r w:rsidRPr="00632DBC">
        <w:rPr>
          <w:rFonts w:ascii="Times New Roman" w:eastAsia="MS Mincho" w:hAnsi="Times New Roman"/>
          <w:lang w:eastAsia="sv-SE" w:bidi="ar-SA"/>
        </w:rPr>
        <w:t>The</w:t>
      </w:r>
      <w:r w:rsidR="001B5170" w:rsidRPr="00632DBC">
        <w:rPr>
          <w:rFonts w:ascii="Times New Roman" w:eastAsia="MS Mincho" w:hAnsi="Times New Roman"/>
          <w:lang w:eastAsia="sv-SE" w:bidi="ar-SA"/>
        </w:rPr>
        <w:t xml:space="preserve"> COP </w:t>
      </w:r>
      <w:r w:rsidRPr="00632DBC">
        <w:rPr>
          <w:rFonts w:ascii="Times New Roman" w:eastAsia="MS Mincho" w:hAnsi="Times New Roman"/>
          <w:lang w:eastAsia="sv-SE" w:bidi="ar-SA"/>
        </w:rPr>
        <w:t xml:space="preserve">could </w:t>
      </w:r>
      <w:r w:rsidR="001B5170" w:rsidRPr="00632DBC">
        <w:rPr>
          <w:rFonts w:ascii="Times New Roman" w:eastAsia="MS Mincho" w:hAnsi="Times New Roman"/>
          <w:lang w:eastAsia="sv-SE" w:bidi="ar-SA"/>
        </w:rPr>
        <w:t>encourage</w:t>
      </w:r>
      <w:r w:rsidR="00810C20" w:rsidRPr="00632DBC">
        <w:rPr>
          <w:rFonts w:ascii="Times New Roman" w:eastAsia="MS Mincho" w:hAnsi="Times New Roman"/>
          <w:lang w:eastAsia="sv-SE" w:bidi="ar-SA"/>
        </w:rPr>
        <w:t xml:space="preserve"> Parties to report to the CBD Secretariat </w:t>
      </w:r>
      <w:r w:rsidR="001B5170" w:rsidRPr="00632DBC">
        <w:rPr>
          <w:rFonts w:ascii="Times New Roman" w:eastAsia="MS Mincho" w:hAnsi="Times New Roman"/>
          <w:lang w:eastAsia="sv-SE" w:bidi="ar-SA"/>
        </w:rPr>
        <w:t xml:space="preserve">their </w:t>
      </w:r>
      <w:r w:rsidR="00810C20" w:rsidRPr="00632DBC">
        <w:rPr>
          <w:rFonts w:ascii="Times New Roman" w:eastAsia="MS Mincho" w:hAnsi="Times New Roman"/>
          <w:lang w:eastAsia="sv-SE" w:bidi="ar-SA"/>
        </w:rPr>
        <w:t>strategies associated with safeguards in BFMs, including pilot experiences. Lessons learned could be drawn from these strategies and could help the CBD Secretariat to provide advice to Parties and other stakeholders on how to better implement the guidelines for maximising the biodiversity and social benefits of BFMs, while also addressing the risks and challenges building on tangible experiences from various countries.</w:t>
      </w:r>
    </w:p>
    <w:p w14:paraId="7BFFEC49" w14:textId="77777777" w:rsidR="00CC297E" w:rsidRPr="00633A71" w:rsidRDefault="00CC297E">
      <w:pPr>
        <w:spacing w:after="0" w:line="240" w:lineRule="auto"/>
        <w:rPr>
          <w:rFonts w:ascii="Times New Roman" w:hAnsi="Times New Roman"/>
        </w:rPr>
      </w:pPr>
      <w:r w:rsidRPr="00633A71">
        <w:rPr>
          <w:rFonts w:ascii="Times New Roman" w:hAnsi="Times New Roman"/>
        </w:rPr>
        <w:br w:type="page"/>
      </w:r>
    </w:p>
    <w:p w14:paraId="24189D4A" w14:textId="77777777" w:rsidR="00CC297E" w:rsidRPr="00633A71" w:rsidRDefault="00CC297E" w:rsidP="00CC297E">
      <w:pPr>
        <w:pStyle w:val="Heading1"/>
        <w:rPr>
          <w:rFonts w:ascii="Times New Roman" w:hAnsi="Times New Roman"/>
          <w:b/>
          <w:sz w:val="22"/>
          <w:szCs w:val="22"/>
          <w:lang w:val="en-GB"/>
        </w:rPr>
      </w:pPr>
      <w:bookmarkStart w:id="11" w:name="_Toc529199424"/>
      <w:r w:rsidRPr="00633A71">
        <w:rPr>
          <w:rFonts w:ascii="Times New Roman" w:hAnsi="Times New Roman"/>
          <w:b/>
          <w:sz w:val="22"/>
          <w:szCs w:val="22"/>
          <w:lang w:val="en-GB"/>
        </w:rPr>
        <w:lastRenderedPageBreak/>
        <w:t>Acknowledgements</w:t>
      </w:r>
      <w:bookmarkEnd w:id="11"/>
    </w:p>
    <w:p w14:paraId="5F56E198" w14:textId="300D8FAB" w:rsidR="00CC297E" w:rsidRPr="00632DBC" w:rsidRDefault="00CC297E" w:rsidP="00CC297E">
      <w:pPr>
        <w:spacing w:line="240" w:lineRule="auto"/>
        <w:jc w:val="both"/>
        <w:rPr>
          <w:rFonts w:ascii="Times New Roman" w:hAnsi="Times New Roman"/>
        </w:rPr>
      </w:pPr>
      <w:r w:rsidRPr="00633A71">
        <w:rPr>
          <w:rFonts w:ascii="Times New Roman" w:hAnsi="Times New Roman"/>
        </w:rPr>
        <w:t xml:space="preserve">The authors wish to acknowledge the invaluable work of Isabel </w:t>
      </w:r>
      <w:proofErr w:type="spellStart"/>
      <w:r w:rsidRPr="00633A71">
        <w:rPr>
          <w:rFonts w:ascii="Times New Roman" w:hAnsi="Times New Roman"/>
        </w:rPr>
        <w:t>Kempf</w:t>
      </w:r>
      <w:proofErr w:type="spellEnd"/>
      <w:r w:rsidRPr="00633A71">
        <w:rPr>
          <w:rFonts w:ascii="Times New Roman" w:hAnsi="Times New Roman"/>
        </w:rPr>
        <w:t xml:space="preserve">, Grace Wong, Philip </w:t>
      </w:r>
      <w:proofErr w:type="spellStart"/>
      <w:r w:rsidRPr="00633A71">
        <w:rPr>
          <w:rFonts w:ascii="Times New Roman" w:hAnsi="Times New Roman"/>
        </w:rPr>
        <w:t>O</w:t>
      </w:r>
      <w:r w:rsidR="00F16E32" w:rsidRPr="00504B5E">
        <w:rPr>
          <w:rFonts w:ascii="Times New Roman" w:hAnsi="Times New Roman"/>
        </w:rPr>
        <w:t>sano</w:t>
      </w:r>
      <w:proofErr w:type="spellEnd"/>
      <w:r w:rsidR="00F16E32" w:rsidRPr="00504B5E">
        <w:rPr>
          <w:rFonts w:ascii="Times New Roman" w:hAnsi="Times New Roman"/>
        </w:rPr>
        <w:t xml:space="preserve">, </w:t>
      </w:r>
      <w:proofErr w:type="spellStart"/>
      <w:r w:rsidR="00F16E32" w:rsidRPr="00504B5E">
        <w:rPr>
          <w:rFonts w:ascii="Times New Roman" w:hAnsi="Times New Roman"/>
        </w:rPr>
        <w:t>Niak</w:t>
      </w:r>
      <w:proofErr w:type="spellEnd"/>
      <w:r w:rsidR="00F16E32" w:rsidRPr="00504B5E">
        <w:rPr>
          <w:rFonts w:ascii="Times New Roman" w:hAnsi="Times New Roman"/>
        </w:rPr>
        <w:t xml:space="preserve"> Koh, Harry Jonas, </w:t>
      </w:r>
      <w:r w:rsidRPr="00504B5E">
        <w:rPr>
          <w:rFonts w:ascii="Times New Roman" w:hAnsi="Times New Roman"/>
        </w:rPr>
        <w:t xml:space="preserve">Antoine </w:t>
      </w:r>
      <w:proofErr w:type="spellStart"/>
      <w:r w:rsidRPr="00504B5E">
        <w:rPr>
          <w:rFonts w:ascii="Times New Roman" w:hAnsi="Times New Roman"/>
        </w:rPr>
        <w:t>Libert</w:t>
      </w:r>
      <w:proofErr w:type="spellEnd"/>
      <w:r w:rsidRPr="00504B5E">
        <w:rPr>
          <w:rFonts w:ascii="Times New Roman" w:hAnsi="Times New Roman"/>
        </w:rPr>
        <w:t xml:space="preserve"> Amico</w:t>
      </w:r>
      <w:r w:rsidR="00F16E32" w:rsidRPr="00A3063C">
        <w:rPr>
          <w:rFonts w:ascii="Times New Roman" w:hAnsi="Times New Roman"/>
        </w:rPr>
        <w:t xml:space="preserve">, </w:t>
      </w:r>
      <w:r w:rsidR="007959AA" w:rsidRPr="00A3063C">
        <w:rPr>
          <w:rFonts w:ascii="Times New Roman" w:hAnsi="Times New Roman"/>
        </w:rPr>
        <w:t>and Nicolas</w:t>
      </w:r>
      <w:r w:rsidRPr="0038043D">
        <w:rPr>
          <w:rFonts w:ascii="Times New Roman" w:hAnsi="Times New Roman"/>
        </w:rPr>
        <w:t xml:space="preserve"> </w:t>
      </w:r>
      <w:proofErr w:type="spellStart"/>
      <w:r w:rsidR="008C6000" w:rsidRPr="00632DBC">
        <w:rPr>
          <w:rFonts w:ascii="Times New Roman" w:eastAsiaTheme="minorEastAsia" w:hAnsi="Times New Roman"/>
          <w:lang w:eastAsia="sv-SE" w:bidi="ar-SA"/>
        </w:rPr>
        <w:t>Audifax</w:t>
      </w:r>
      <w:proofErr w:type="spellEnd"/>
      <w:r w:rsidR="008C6000" w:rsidRPr="00632DBC">
        <w:rPr>
          <w:rFonts w:ascii="Times New Roman" w:hAnsi="Times New Roman"/>
        </w:rPr>
        <w:t xml:space="preserve"> </w:t>
      </w:r>
      <w:r w:rsidRPr="00632DBC">
        <w:rPr>
          <w:rFonts w:ascii="Times New Roman" w:hAnsi="Times New Roman"/>
        </w:rPr>
        <w:t xml:space="preserve">who contributed with case studies, which crucially enriched this report. </w:t>
      </w:r>
    </w:p>
    <w:p w14:paraId="23196986" w14:textId="4FBCA1AC" w:rsidR="00CC297E" w:rsidRPr="00632DBC" w:rsidRDefault="00CC297E" w:rsidP="00173541">
      <w:pPr>
        <w:spacing w:line="240" w:lineRule="auto"/>
        <w:jc w:val="both"/>
        <w:rPr>
          <w:rFonts w:ascii="Times New Roman" w:hAnsi="Times New Roman"/>
        </w:rPr>
      </w:pPr>
      <w:r w:rsidRPr="00632DBC">
        <w:rPr>
          <w:rFonts w:ascii="Times New Roman" w:hAnsi="Times New Roman"/>
        </w:rPr>
        <w:t>We would also like to thank the valuable comments and inputs provided in the submissions by the European Union</w:t>
      </w:r>
      <w:r w:rsidR="00173541" w:rsidRPr="00632DBC">
        <w:rPr>
          <w:rFonts w:ascii="Times New Roman" w:hAnsi="Times New Roman"/>
        </w:rPr>
        <w:t xml:space="preserve"> and its Member States</w:t>
      </w:r>
      <w:r w:rsidRPr="00632DBC">
        <w:rPr>
          <w:rFonts w:ascii="Times New Roman" w:hAnsi="Times New Roman"/>
        </w:rPr>
        <w:t>, Ind</w:t>
      </w:r>
      <w:r w:rsidR="00173541" w:rsidRPr="00632DBC">
        <w:rPr>
          <w:rFonts w:ascii="Times New Roman" w:hAnsi="Times New Roman"/>
        </w:rPr>
        <w:t>ia, Peru,</w:t>
      </w:r>
      <w:r w:rsidR="0030014E" w:rsidRPr="00632DBC">
        <w:rPr>
          <w:rFonts w:ascii="Times New Roman" w:hAnsi="Times New Roman"/>
        </w:rPr>
        <w:t xml:space="preserve"> Sweden,</w:t>
      </w:r>
      <w:r w:rsidR="00173541" w:rsidRPr="00632DBC">
        <w:rPr>
          <w:rFonts w:ascii="Times New Roman" w:hAnsi="Times New Roman"/>
        </w:rPr>
        <w:t xml:space="preserve"> Switzerland, and IUCN, Forest Peoples Programme and several IIFB member organizations</w:t>
      </w:r>
      <w:r w:rsidR="0030014E" w:rsidRPr="00632DBC">
        <w:rPr>
          <w:rFonts w:ascii="Times New Roman" w:hAnsi="Times New Roman"/>
        </w:rPr>
        <w:t xml:space="preserve">, </w:t>
      </w:r>
      <w:r w:rsidR="00173541" w:rsidRPr="00632DBC">
        <w:rPr>
          <w:rFonts w:ascii="Times New Roman" w:hAnsi="Times New Roman"/>
        </w:rPr>
        <w:t>Global Forest Coalition/Community Conservation Resilience Initiative</w:t>
      </w:r>
      <w:r w:rsidR="0030014E" w:rsidRPr="00632DBC">
        <w:rPr>
          <w:rFonts w:ascii="Times New Roman" w:hAnsi="Times New Roman"/>
        </w:rPr>
        <w:t>, t</w:t>
      </w:r>
      <w:r w:rsidR="00173541" w:rsidRPr="00632DBC">
        <w:rPr>
          <w:rFonts w:ascii="Times New Roman" w:hAnsi="Times New Roman"/>
        </w:rPr>
        <w:t>he Indigenous Women’s Network on Biodiversity from Latin America and the Caribbean</w:t>
      </w:r>
      <w:r w:rsidR="0030014E" w:rsidRPr="00632DBC">
        <w:rPr>
          <w:rFonts w:ascii="Times New Roman" w:hAnsi="Times New Roman"/>
        </w:rPr>
        <w:t xml:space="preserve"> and the </w:t>
      </w:r>
      <w:r w:rsidR="00173541" w:rsidRPr="00632DBC">
        <w:rPr>
          <w:rFonts w:ascii="Times New Roman" w:hAnsi="Times New Roman"/>
        </w:rPr>
        <w:t>Foundation for Aboriginal and Is</w:t>
      </w:r>
      <w:r w:rsidR="0030014E" w:rsidRPr="00632DBC">
        <w:rPr>
          <w:rFonts w:ascii="Times New Roman" w:hAnsi="Times New Roman"/>
        </w:rPr>
        <w:t>lander Research Action.</w:t>
      </w:r>
      <w:r w:rsidRPr="00632DBC">
        <w:rPr>
          <w:rFonts w:ascii="Times New Roman" w:hAnsi="Times New Roman"/>
        </w:rPr>
        <w:t xml:space="preserve"> We would also like to thank the generous insights provided by people who participated in the following events:</w:t>
      </w:r>
    </w:p>
    <w:p w14:paraId="20F20356"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Using the CBD Voluntary guidelines for safeguards in Biodiversity Financing Mechanisms as a tool for implementing CBD article 8(j) and related provisions, side-event at WG(j) Montreal 14 December 2018</w:t>
      </w:r>
    </w:p>
    <w:p w14:paraId="7F76C2EB" w14:textId="77777777" w:rsidR="00CC297E" w:rsidRPr="00632DBC" w:rsidRDefault="00CC297E" w:rsidP="00632DBC">
      <w:pPr>
        <w:pStyle w:val="ListParagraph"/>
        <w:numPr>
          <w:ilvl w:val="0"/>
          <w:numId w:val="42"/>
        </w:numPr>
        <w:rPr>
          <w:rFonts w:eastAsiaTheme="minorEastAsia"/>
          <w:sz w:val="22"/>
          <w:szCs w:val="22"/>
          <w:lang w:val="en-GB"/>
        </w:rPr>
      </w:pPr>
      <w:r w:rsidRPr="00632DBC">
        <w:rPr>
          <w:rFonts w:eastAsiaTheme="minorEastAsia"/>
          <w:sz w:val="22"/>
          <w:szCs w:val="22"/>
          <w:lang w:val="en-GB"/>
        </w:rPr>
        <w:t>Peer to peer dialogue on weaving Sustainable Development Goal 16 and international human rights law with the post-2020 global biodiversity framework in Machakos Kenya. SwedBio, International Development Law Organization, Office of the United Nations High Commissioner for Human Rights-Special Procedures, UN Environment and Natural Justice, Machakos, Kenya, 28-31 May 2018</w:t>
      </w:r>
    </w:p>
    <w:p w14:paraId="0A20B8EC"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CBD Voluntary Guidelines on Safeguards, side-event at CBD-COP 13, 15 December 2016</w:t>
      </w:r>
    </w:p>
    <w:p w14:paraId="2462D97A"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 xml:space="preserve">International Workshop on Financing for Biodiversity, </w:t>
      </w:r>
      <w:proofErr w:type="spellStart"/>
      <w:r w:rsidRPr="00632DBC">
        <w:rPr>
          <w:rFonts w:eastAsiaTheme="minorEastAsia"/>
          <w:sz w:val="22"/>
          <w:szCs w:val="22"/>
          <w:lang w:val="en-GB"/>
        </w:rPr>
        <w:t>Kartause</w:t>
      </w:r>
      <w:proofErr w:type="spellEnd"/>
      <w:r w:rsidRPr="00632DBC">
        <w:rPr>
          <w:rFonts w:eastAsiaTheme="minorEastAsia"/>
          <w:sz w:val="22"/>
          <w:szCs w:val="22"/>
          <w:lang w:val="en-GB"/>
        </w:rPr>
        <w:t xml:space="preserve"> </w:t>
      </w:r>
      <w:proofErr w:type="spellStart"/>
      <w:r w:rsidRPr="00632DBC">
        <w:rPr>
          <w:rFonts w:eastAsiaTheme="minorEastAsia"/>
          <w:sz w:val="22"/>
          <w:szCs w:val="22"/>
          <w:lang w:val="en-GB"/>
        </w:rPr>
        <w:t>Ittingen</w:t>
      </w:r>
      <w:proofErr w:type="spellEnd"/>
      <w:r w:rsidRPr="00632DBC">
        <w:rPr>
          <w:rFonts w:eastAsiaTheme="minorEastAsia"/>
          <w:sz w:val="22"/>
          <w:szCs w:val="22"/>
          <w:lang w:val="en-GB"/>
        </w:rPr>
        <w:t>, Switzerland, 18–19 August 2014.</w:t>
      </w:r>
    </w:p>
    <w:p w14:paraId="7F3DE972"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The Ad Hoc Open-ended Working Group on Review of Implementation (WGRI5), Montreal, Canada 16–19 June 2014.</w:t>
      </w:r>
    </w:p>
    <w:p w14:paraId="0531A93D"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Second Dialogue Seminar on Scaling up Finance for Biodiversity, Quito, Ecuador 9–12 April 2014.</w:t>
      </w:r>
    </w:p>
    <w:p w14:paraId="5D362F26"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 xml:space="preserve">The Third Meeting of The Global Partnership </w:t>
      </w:r>
      <w:proofErr w:type="gramStart"/>
      <w:r w:rsidRPr="00632DBC">
        <w:rPr>
          <w:rFonts w:eastAsiaTheme="minorEastAsia"/>
          <w:sz w:val="22"/>
          <w:szCs w:val="22"/>
          <w:lang w:val="en-GB"/>
        </w:rPr>
        <w:t>For</w:t>
      </w:r>
      <w:proofErr w:type="gramEnd"/>
      <w:r w:rsidRPr="00632DBC">
        <w:rPr>
          <w:rFonts w:eastAsiaTheme="minorEastAsia"/>
          <w:sz w:val="22"/>
          <w:szCs w:val="22"/>
          <w:lang w:val="en-GB"/>
        </w:rPr>
        <w:t xml:space="preserve"> Business And Biodiversity, Montreal, Canada, 2–3 of October 2013.</w:t>
      </w:r>
    </w:p>
    <w:p w14:paraId="02BBA22B"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Seventh Trondheim Conference on biodiversity: ecology and economy for a Sustainable Society Trondheim, Norway, 27–31 May 2013.</w:t>
      </w:r>
    </w:p>
    <w:p w14:paraId="73490B88"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Bonn Expert Workshop on Community-Based Monitoring and Information Systems, 26–28 April 2013.</w:t>
      </w:r>
    </w:p>
    <w:p w14:paraId="544C5E4A"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Dialogue SRC – Faculty of Law, Stockholm University, 6th November 2012.</w:t>
      </w:r>
    </w:p>
    <w:p w14:paraId="10CA0D6F" w14:textId="77777777" w:rsidR="00CC297E" w:rsidRPr="00632DBC" w:rsidRDefault="00CC297E" w:rsidP="00632DBC">
      <w:pPr>
        <w:pStyle w:val="ListParagraph"/>
        <w:numPr>
          <w:ilvl w:val="0"/>
          <w:numId w:val="42"/>
        </w:numPr>
        <w:autoSpaceDE w:val="0"/>
        <w:autoSpaceDN w:val="0"/>
        <w:adjustRightInd w:val="0"/>
        <w:rPr>
          <w:rFonts w:eastAsiaTheme="minorEastAsia"/>
          <w:sz w:val="22"/>
          <w:szCs w:val="22"/>
          <w:lang w:val="en-GB"/>
        </w:rPr>
      </w:pPr>
      <w:r w:rsidRPr="00632DBC">
        <w:rPr>
          <w:rFonts w:eastAsiaTheme="minorEastAsia"/>
          <w:sz w:val="22"/>
          <w:szCs w:val="22"/>
          <w:lang w:val="en-GB"/>
        </w:rPr>
        <w:t>Seminar on Landscapes in a Carbon Focused World, Gothenburg, 26 October 2012.</w:t>
      </w:r>
    </w:p>
    <w:p w14:paraId="327218EB" w14:textId="77777777" w:rsidR="00CC297E" w:rsidRPr="00632DBC" w:rsidRDefault="00CC297E" w:rsidP="00CC297E">
      <w:pPr>
        <w:autoSpaceDE w:val="0"/>
        <w:autoSpaceDN w:val="0"/>
        <w:adjustRightInd w:val="0"/>
        <w:spacing w:after="0" w:line="240" w:lineRule="auto"/>
        <w:rPr>
          <w:rFonts w:ascii="Times New Roman" w:eastAsiaTheme="minorEastAsia" w:hAnsi="Times New Roman"/>
          <w:lang w:eastAsia="sv-SE" w:bidi="ar-SA"/>
        </w:rPr>
      </w:pPr>
    </w:p>
    <w:p w14:paraId="5E32AEAF" w14:textId="129315D5" w:rsidR="00CC297E" w:rsidRPr="00632DBC" w:rsidRDefault="00CC297E" w:rsidP="00CC297E">
      <w:pPr>
        <w:autoSpaceDE w:val="0"/>
        <w:autoSpaceDN w:val="0"/>
        <w:adjustRightInd w:val="0"/>
        <w:spacing w:after="0" w:line="240" w:lineRule="auto"/>
        <w:rPr>
          <w:rFonts w:ascii="Times New Roman" w:eastAsiaTheme="minorEastAsia" w:hAnsi="Times New Roman"/>
          <w:lang w:eastAsia="sv-SE" w:bidi="ar-SA"/>
        </w:rPr>
      </w:pPr>
      <w:r w:rsidRPr="00632DBC">
        <w:rPr>
          <w:rFonts w:ascii="Times New Roman" w:eastAsiaTheme="minorEastAsia" w:hAnsi="Times New Roman"/>
          <w:lang w:eastAsia="sv-SE" w:bidi="ar-SA"/>
        </w:rPr>
        <w:t xml:space="preserve">We are also grateful to people who participated in focus/working groups and interviews for the development of this project (see list below). We would also like to thank Nicolas </w:t>
      </w:r>
      <w:proofErr w:type="spellStart"/>
      <w:r w:rsidRPr="00632DBC">
        <w:rPr>
          <w:rFonts w:ascii="Times New Roman" w:eastAsiaTheme="minorEastAsia" w:hAnsi="Times New Roman"/>
          <w:lang w:eastAsia="sv-SE" w:bidi="ar-SA"/>
        </w:rPr>
        <w:t>Audifax</w:t>
      </w:r>
      <w:proofErr w:type="spellEnd"/>
      <w:r w:rsidRPr="00632DBC">
        <w:rPr>
          <w:rFonts w:ascii="Times New Roman" w:eastAsiaTheme="minorEastAsia" w:hAnsi="Times New Roman"/>
          <w:lang w:eastAsia="sv-SE" w:bidi="ar-SA"/>
        </w:rPr>
        <w:t xml:space="preserve"> and Carmen </w:t>
      </w:r>
      <w:proofErr w:type="spellStart"/>
      <w:r w:rsidRPr="00632DBC">
        <w:rPr>
          <w:rFonts w:ascii="Times New Roman" w:eastAsiaTheme="minorEastAsia" w:hAnsi="Times New Roman"/>
          <w:lang w:eastAsia="sv-SE" w:bidi="ar-SA"/>
        </w:rPr>
        <w:t>Seco</w:t>
      </w:r>
      <w:proofErr w:type="spellEnd"/>
      <w:r w:rsidRPr="00632DBC">
        <w:rPr>
          <w:rFonts w:ascii="Times New Roman" w:eastAsiaTheme="minorEastAsia" w:hAnsi="Times New Roman"/>
          <w:lang w:eastAsia="sv-SE" w:bidi="ar-SA"/>
        </w:rPr>
        <w:t xml:space="preserve"> for providing support in systematizing comments and inputs received to previous drafts, and to </w:t>
      </w:r>
      <w:proofErr w:type="spellStart"/>
      <w:r w:rsidRPr="00632DBC">
        <w:rPr>
          <w:rFonts w:ascii="Times New Roman" w:eastAsiaTheme="minorEastAsia" w:hAnsi="Times New Roman"/>
          <w:lang w:eastAsia="sv-SE" w:bidi="ar-SA"/>
        </w:rPr>
        <w:t>Pernilla</w:t>
      </w:r>
      <w:proofErr w:type="spellEnd"/>
      <w:r w:rsidRPr="00632DBC">
        <w:rPr>
          <w:rFonts w:ascii="Times New Roman" w:eastAsiaTheme="minorEastAsia" w:hAnsi="Times New Roman"/>
          <w:lang w:eastAsia="sv-SE" w:bidi="ar-SA"/>
        </w:rPr>
        <w:t xml:space="preserve"> </w:t>
      </w:r>
      <w:proofErr w:type="spellStart"/>
      <w:r w:rsidRPr="00632DBC">
        <w:rPr>
          <w:rFonts w:ascii="Times New Roman" w:eastAsiaTheme="minorEastAsia" w:hAnsi="Times New Roman"/>
          <w:lang w:eastAsia="sv-SE" w:bidi="ar-SA"/>
        </w:rPr>
        <w:t>Malmer</w:t>
      </w:r>
      <w:proofErr w:type="spellEnd"/>
      <w:r w:rsidRPr="00632DBC">
        <w:rPr>
          <w:rFonts w:ascii="Times New Roman" w:eastAsiaTheme="minorEastAsia" w:hAnsi="Times New Roman"/>
          <w:lang w:eastAsia="sv-SE" w:bidi="ar-SA"/>
        </w:rPr>
        <w:t xml:space="preserve"> and </w:t>
      </w:r>
      <w:proofErr w:type="spellStart"/>
      <w:r w:rsidRPr="00632DBC">
        <w:rPr>
          <w:rFonts w:ascii="Times New Roman" w:eastAsiaTheme="minorEastAsia" w:hAnsi="Times New Roman"/>
          <w:lang w:eastAsia="sv-SE" w:bidi="ar-SA"/>
        </w:rPr>
        <w:t>Ellika</w:t>
      </w:r>
      <w:proofErr w:type="spellEnd"/>
      <w:r w:rsidRPr="00632DBC">
        <w:rPr>
          <w:rFonts w:ascii="Times New Roman" w:eastAsiaTheme="minorEastAsia" w:hAnsi="Times New Roman"/>
          <w:lang w:eastAsia="sv-SE" w:bidi="ar-SA"/>
        </w:rPr>
        <w:t xml:space="preserve"> </w:t>
      </w:r>
      <w:proofErr w:type="spellStart"/>
      <w:r w:rsidRPr="00632DBC">
        <w:rPr>
          <w:rFonts w:ascii="Times New Roman" w:eastAsiaTheme="minorEastAsia" w:hAnsi="Times New Roman"/>
          <w:lang w:eastAsia="sv-SE" w:bidi="ar-SA"/>
        </w:rPr>
        <w:t>Hermansson</w:t>
      </w:r>
      <w:proofErr w:type="spellEnd"/>
      <w:r w:rsidRPr="00632DBC">
        <w:rPr>
          <w:rFonts w:ascii="Times New Roman" w:eastAsiaTheme="minorEastAsia" w:hAnsi="Times New Roman"/>
          <w:lang w:eastAsia="sv-SE" w:bidi="ar-SA"/>
        </w:rPr>
        <w:t xml:space="preserve"> </w:t>
      </w:r>
      <w:proofErr w:type="spellStart"/>
      <w:r w:rsidRPr="00632DBC">
        <w:rPr>
          <w:rFonts w:ascii="Times New Roman" w:eastAsiaTheme="minorEastAsia" w:hAnsi="Times New Roman"/>
          <w:lang w:eastAsia="sv-SE" w:bidi="ar-SA"/>
        </w:rPr>
        <w:t>Török</w:t>
      </w:r>
      <w:proofErr w:type="spellEnd"/>
      <w:r w:rsidRPr="00632DBC">
        <w:rPr>
          <w:rFonts w:ascii="Times New Roman" w:eastAsiaTheme="minorEastAsia" w:hAnsi="Times New Roman"/>
          <w:lang w:eastAsia="sv-SE" w:bidi="ar-SA"/>
        </w:rPr>
        <w:t xml:space="preserve"> for comments to an earlier version of this publication. People participating in focus/working groups and interviews </w:t>
      </w:r>
      <w:r w:rsidRPr="00632DBC">
        <w:rPr>
          <w:rFonts w:ascii="Times New Roman" w:hAnsi="Times New Roman"/>
        </w:rPr>
        <w:t xml:space="preserve">are mentioned below: </w:t>
      </w:r>
      <w:r w:rsidRPr="00632DBC">
        <w:rPr>
          <w:rStyle w:val="FootnoteReference"/>
          <w:rFonts w:ascii="Times New Roman" w:hAnsi="Times New Roman"/>
        </w:rPr>
        <w:footnoteReference w:id="11"/>
      </w:r>
    </w:p>
    <w:p w14:paraId="59645C12" w14:textId="77777777" w:rsidR="00CC297E" w:rsidRPr="00632DBC" w:rsidRDefault="00CC297E" w:rsidP="00CC297E">
      <w:pPr>
        <w:spacing w:after="0" w:line="240" w:lineRule="auto"/>
        <w:jc w:val="both"/>
        <w:rPr>
          <w:rFonts w:ascii="Times New Roman" w:hAnsi="Times New Roman"/>
        </w:rPr>
      </w:pPr>
    </w:p>
    <w:p w14:paraId="7A2CF8F9"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G</w:t>
      </w:r>
      <w:r w:rsidRPr="00632DBC">
        <w:rPr>
          <w:rFonts w:ascii="Times New Roman" w:hAnsi="Times New Roman"/>
          <w:i/>
        </w:rPr>
        <w:t>overnmental and Inter-governmental organisations</w:t>
      </w:r>
    </w:p>
    <w:p w14:paraId="2A5871E1"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Hem </w:t>
      </w:r>
      <w:proofErr w:type="spellStart"/>
      <w:r w:rsidRPr="00632DBC">
        <w:rPr>
          <w:rFonts w:ascii="Times New Roman" w:hAnsi="Times New Roman"/>
        </w:rPr>
        <w:t>Pande</w:t>
      </w:r>
      <w:proofErr w:type="spellEnd"/>
      <w:r w:rsidRPr="00632DBC">
        <w:rPr>
          <w:rFonts w:ascii="Times New Roman" w:hAnsi="Times New Roman"/>
        </w:rPr>
        <w:t>, Indian Ministry of Environment and Forests, Government of India</w:t>
      </w:r>
      <w:r w:rsidRPr="00632DBC" w:rsidDel="00D50CCA">
        <w:rPr>
          <w:rFonts w:ascii="Times New Roman" w:hAnsi="Times New Roman"/>
        </w:rPr>
        <w:t xml:space="preserve"> </w:t>
      </w:r>
    </w:p>
    <w:p w14:paraId="1E157D50"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Irvin Michael. South African Ministry of Environmental Affairs Department</w:t>
      </w:r>
    </w:p>
    <w:p w14:paraId="39751EDC"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Nathalie </w:t>
      </w:r>
      <w:proofErr w:type="spellStart"/>
      <w:r w:rsidRPr="00632DBC">
        <w:rPr>
          <w:rFonts w:ascii="Times New Roman" w:hAnsi="Times New Roman"/>
        </w:rPr>
        <w:t>Rizzotti</w:t>
      </w:r>
      <w:proofErr w:type="spellEnd"/>
      <w:r w:rsidRPr="00632DBC">
        <w:rPr>
          <w:rFonts w:ascii="Times New Roman" w:hAnsi="Times New Roman"/>
        </w:rPr>
        <w:t>, Federal Office for the Environment, Swiss Federation.</w:t>
      </w:r>
    </w:p>
    <w:p w14:paraId="5D2DAB9F"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Leticia </w:t>
      </w:r>
      <w:proofErr w:type="spellStart"/>
      <w:r w:rsidRPr="00632DBC">
        <w:rPr>
          <w:rFonts w:ascii="Times New Roman" w:hAnsi="Times New Roman"/>
        </w:rPr>
        <w:t>Manzanera</w:t>
      </w:r>
      <w:proofErr w:type="spellEnd"/>
      <w:r w:rsidRPr="00632DBC">
        <w:rPr>
          <w:rFonts w:ascii="Times New Roman" w:hAnsi="Times New Roman"/>
        </w:rPr>
        <w:t>, Ministry of the Environment, SEMARNAT.</w:t>
      </w:r>
    </w:p>
    <w:p w14:paraId="3C1DDA77"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Carolina Muñoz, National System of Conserved Areas, Costa Rica and Sandra Jimenez (Costa Rica)</w:t>
      </w:r>
    </w:p>
    <w:p w14:paraId="6052C9B1" w14:textId="77777777" w:rsidR="00CC297E" w:rsidRPr="00632DBC" w:rsidRDefault="00CC297E" w:rsidP="00CC297E">
      <w:pPr>
        <w:spacing w:after="0" w:line="240" w:lineRule="auto"/>
        <w:jc w:val="both"/>
        <w:rPr>
          <w:rFonts w:ascii="Times New Roman" w:hAnsi="Times New Roman"/>
        </w:rPr>
      </w:pPr>
      <w:proofErr w:type="spellStart"/>
      <w:r w:rsidRPr="00632DBC">
        <w:rPr>
          <w:rFonts w:ascii="Times New Roman" w:hAnsi="Times New Roman"/>
        </w:rPr>
        <w:lastRenderedPageBreak/>
        <w:t>Bente</w:t>
      </w:r>
      <w:proofErr w:type="spellEnd"/>
      <w:r w:rsidRPr="00632DBC">
        <w:rPr>
          <w:rFonts w:ascii="Times New Roman" w:hAnsi="Times New Roman"/>
        </w:rPr>
        <w:t xml:space="preserve"> </w:t>
      </w:r>
      <w:proofErr w:type="spellStart"/>
      <w:r w:rsidRPr="00632DBC">
        <w:rPr>
          <w:rFonts w:ascii="Times New Roman" w:hAnsi="Times New Roman"/>
        </w:rPr>
        <w:t>Herstad</w:t>
      </w:r>
      <w:proofErr w:type="spellEnd"/>
      <w:r w:rsidRPr="00632DBC">
        <w:rPr>
          <w:rFonts w:ascii="Times New Roman" w:hAnsi="Times New Roman"/>
        </w:rPr>
        <w:t>, The Norwegian Agency for Development Cooperation, Norway</w:t>
      </w:r>
    </w:p>
    <w:p w14:paraId="6310698F"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Johannes Stahl, Convention on Biological Diversity Secretariat</w:t>
      </w:r>
    </w:p>
    <w:p w14:paraId="07AE8020"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Annett </w:t>
      </w:r>
      <w:proofErr w:type="spellStart"/>
      <w:r w:rsidRPr="00632DBC">
        <w:rPr>
          <w:rFonts w:ascii="Times New Roman" w:hAnsi="Times New Roman"/>
        </w:rPr>
        <w:t>Möhner</w:t>
      </w:r>
      <w:proofErr w:type="spellEnd"/>
      <w:r w:rsidRPr="00632DBC">
        <w:rPr>
          <w:rFonts w:ascii="Times New Roman" w:hAnsi="Times New Roman"/>
        </w:rPr>
        <w:t>, UN Framework Convention on Climate Change Secretariat</w:t>
      </w:r>
    </w:p>
    <w:p w14:paraId="4C75F1B0"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Yves de </w:t>
      </w:r>
      <w:proofErr w:type="spellStart"/>
      <w:r w:rsidRPr="00632DBC">
        <w:rPr>
          <w:rFonts w:ascii="Times New Roman" w:hAnsi="Times New Roman"/>
        </w:rPr>
        <w:t>Soye</w:t>
      </w:r>
      <w:proofErr w:type="spellEnd"/>
      <w:r w:rsidRPr="00632DBC">
        <w:rPr>
          <w:rFonts w:ascii="Times New Roman" w:hAnsi="Times New Roman"/>
        </w:rPr>
        <w:t>, United Nations Development Programme</w:t>
      </w:r>
    </w:p>
    <w:p w14:paraId="63C5D144"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Valerie Hickey </w:t>
      </w:r>
    </w:p>
    <w:p w14:paraId="36F9FFDC"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Fabiano de Andrade Correa, International Development Law Organization</w:t>
      </w:r>
    </w:p>
    <w:p w14:paraId="337605EE" w14:textId="77777777" w:rsidR="00394C9D" w:rsidRPr="00632DBC" w:rsidRDefault="00394C9D" w:rsidP="00CC297E">
      <w:pPr>
        <w:spacing w:after="0" w:line="240" w:lineRule="auto"/>
        <w:jc w:val="both"/>
        <w:rPr>
          <w:rFonts w:ascii="Times New Roman" w:hAnsi="Times New Roman"/>
          <w:i/>
        </w:rPr>
      </w:pPr>
    </w:p>
    <w:p w14:paraId="441671E0" w14:textId="77777777" w:rsidR="00CC297E" w:rsidRPr="00632DBC" w:rsidRDefault="00CC297E" w:rsidP="00CC297E">
      <w:pPr>
        <w:spacing w:after="0" w:line="240" w:lineRule="auto"/>
        <w:jc w:val="both"/>
        <w:rPr>
          <w:rFonts w:ascii="Times New Roman" w:hAnsi="Times New Roman"/>
          <w:i/>
        </w:rPr>
      </w:pPr>
      <w:r w:rsidRPr="00632DBC">
        <w:rPr>
          <w:rFonts w:ascii="Times New Roman" w:hAnsi="Times New Roman"/>
          <w:i/>
        </w:rPr>
        <w:t>Non-governmental organisations</w:t>
      </w:r>
    </w:p>
    <w:p w14:paraId="2C1B6FD3"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Harry Jonas, Natural Justice</w:t>
      </w:r>
    </w:p>
    <w:p w14:paraId="339DB623"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Camila Montesinos, GRAIN</w:t>
      </w:r>
    </w:p>
    <w:p w14:paraId="4461374E"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Simone Lovera, Global Forest Coalition</w:t>
      </w:r>
    </w:p>
    <w:p w14:paraId="609375F6"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Paul </w:t>
      </w:r>
      <w:proofErr w:type="spellStart"/>
      <w:r w:rsidRPr="00632DBC">
        <w:rPr>
          <w:rFonts w:ascii="Times New Roman" w:hAnsi="Times New Roman"/>
        </w:rPr>
        <w:t>Matiku</w:t>
      </w:r>
      <w:proofErr w:type="spellEnd"/>
      <w:r w:rsidRPr="00632DBC">
        <w:rPr>
          <w:rFonts w:ascii="Times New Roman" w:hAnsi="Times New Roman"/>
        </w:rPr>
        <w:t>, Nature Kenya</w:t>
      </w:r>
    </w:p>
    <w:p w14:paraId="14215B47" w14:textId="77777777" w:rsidR="00CC297E" w:rsidRPr="00632DBC" w:rsidRDefault="00CC297E" w:rsidP="00CC297E">
      <w:pPr>
        <w:spacing w:after="0" w:line="240" w:lineRule="auto"/>
        <w:jc w:val="both"/>
      </w:pPr>
      <w:r w:rsidRPr="00632DBC">
        <w:t>Lucy Mulenkei, Indigenous Information Network</w:t>
      </w:r>
    </w:p>
    <w:p w14:paraId="5EB75E66" w14:textId="77777777" w:rsidR="00CC297E" w:rsidRPr="00633A71" w:rsidRDefault="00CC297E" w:rsidP="00CC297E">
      <w:pPr>
        <w:spacing w:after="0" w:line="240" w:lineRule="auto"/>
        <w:jc w:val="both"/>
        <w:rPr>
          <w:rFonts w:ascii="Times New Roman" w:hAnsi="Times New Roman"/>
        </w:rPr>
      </w:pPr>
      <w:r w:rsidRPr="00632DBC">
        <w:t xml:space="preserve">Zoe Cullen, </w:t>
      </w:r>
      <w:r w:rsidRPr="00633A71">
        <w:rPr>
          <w:rFonts w:ascii="Times New Roman" w:hAnsi="Times New Roman"/>
        </w:rPr>
        <w:t>Fauna and Flora International</w:t>
      </w:r>
    </w:p>
    <w:p w14:paraId="3BAD6451" w14:textId="134D54D6" w:rsidR="00CC297E" w:rsidRPr="00504B5E" w:rsidRDefault="00CC297E" w:rsidP="00CC297E">
      <w:pPr>
        <w:spacing w:after="0" w:line="240" w:lineRule="auto"/>
        <w:jc w:val="both"/>
        <w:rPr>
          <w:rFonts w:ascii="Times New Roman" w:hAnsi="Times New Roman"/>
        </w:rPr>
      </w:pPr>
      <w:r w:rsidRPr="00633A71">
        <w:rPr>
          <w:rFonts w:ascii="Times New Roman" w:hAnsi="Times New Roman"/>
        </w:rPr>
        <w:t>Natalie Olsen, IUCN</w:t>
      </w:r>
    </w:p>
    <w:p w14:paraId="05EE5B89" w14:textId="77777777" w:rsidR="00CC297E" w:rsidRPr="00504B5E" w:rsidRDefault="00CC297E" w:rsidP="00CC297E">
      <w:pPr>
        <w:spacing w:after="0" w:line="240" w:lineRule="auto"/>
        <w:jc w:val="both"/>
        <w:rPr>
          <w:rFonts w:ascii="Times New Roman" w:hAnsi="Times New Roman"/>
        </w:rPr>
      </w:pPr>
      <w:r w:rsidRPr="00504B5E">
        <w:rPr>
          <w:rFonts w:ascii="Times New Roman" w:hAnsi="Times New Roman"/>
        </w:rPr>
        <w:t>Maria Yolanda Teran Maigua, Indigenous Women's Network on Biodiversity</w:t>
      </w:r>
    </w:p>
    <w:p w14:paraId="243A3DA9" w14:textId="18BC6252" w:rsidR="00CC297E" w:rsidRPr="00A3063C" w:rsidRDefault="00CC297E" w:rsidP="00CC297E">
      <w:pPr>
        <w:spacing w:after="0" w:line="240" w:lineRule="auto"/>
        <w:jc w:val="both"/>
        <w:rPr>
          <w:rFonts w:ascii="Times New Roman" w:hAnsi="Times New Roman"/>
        </w:rPr>
      </w:pPr>
      <w:proofErr w:type="spellStart"/>
      <w:r w:rsidRPr="00A3063C">
        <w:rPr>
          <w:rFonts w:ascii="Times New Roman" w:hAnsi="Times New Roman"/>
        </w:rPr>
        <w:t>Joji</w:t>
      </w:r>
      <w:proofErr w:type="spellEnd"/>
      <w:r w:rsidRPr="00A3063C">
        <w:rPr>
          <w:rFonts w:ascii="Times New Roman" w:hAnsi="Times New Roman"/>
        </w:rPr>
        <w:t xml:space="preserve"> </w:t>
      </w:r>
      <w:proofErr w:type="spellStart"/>
      <w:r w:rsidRPr="00A3063C">
        <w:rPr>
          <w:rFonts w:ascii="Times New Roman" w:hAnsi="Times New Roman"/>
        </w:rPr>
        <w:t>Cari</w:t>
      </w:r>
      <w:r w:rsidR="007959AA">
        <w:rPr>
          <w:rFonts w:ascii="Times New Roman" w:hAnsi="Times New Roman"/>
        </w:rPr>
        <w:t>ñ</w:t>
      </w:r>
      <w:r w:rsidRPr="00A3063C">
        <w:rPr>
          <w:rFonts w:ascii="Times New Roman" w:hAnsi="Times New Roman"/>
        </w:rPr>
        <w:t>o</w:t>
      </w:r>
      <w:proofErr w:type="spellEnd"/>
      <w:r w:rsidRPr="00A3063C">
        <w:rPr>
          <w:rFonts w:ascii="Times New Roman" w:hAnsi="Times New Roman"/>
        </w:rPr>
        <w:t xml:space="preserve">, Director of the Forest Peoples Programme  </w:t>
      </w:r>
    </w:p>
    <w:p w14:paraId="695C3A48" w14:textId="77777777" w:rsidR="00CC297E" w:rsidRPr="0038043D" w:rsidRDefault="00CC297E" w:rsidP="00CC297E">
      <w:pPr>
        <w:spacing w:after="0" w:line="240" w:lineRule="auto"/>
        <w:jc w:val="both"/>
        <w:rPr>
          <w:rFonts w:ascii="Times New Roman" w:hAnsi="Times New Roman"/>
        </w:rPr>
      </w:pPr>
      <w:proofErr w:type="spellStart"/>
      <w:r w:rsidRPr="0038043D">
        <w:rPr>
          <w:rFonts w:ascii="Times New Roman" w:hAnsi="Times New Roman"/>
        </w:rPr>
        <w:t>Pasang</w:t>
      </w:r>
      <w:proofErr w:type="spellEnd"/>
      <w:r w:rsidRPr="0038043D">
        <w:rPr>
          <w:rFonts w:ascii="Times New Roman" w:hAnsi="Times New Roman"/>
        </w:rPr>
        <w:t xml:space="preserve"> Dolma Sherpa, Nepal Federation of Indigenous Nationalities</w:t>
      </w:r>
    </w:p>
    <w:p w14:paraId="1234DDB6" w14:textId="77777777" w:rsidR="00CC297E" w:rsidRPr="00632DBC" w:rsidRDefault="00CC297E" w:rsidP="00CC297E">
      <w:pPr>
        <w:spacing w:after="0" w:line="240" w:lineRule="auto"/>
        <w:jc w:val="both"/>
        <w:rPr>
          <w:rFonts w:ascii="Times New Roman" w:hAnsi="Times New Roman"/>
        </w:rPr>
      </w:pPr>
      <w:proofErr w:type="spellStart"/>
      <w:r w:rsidRPr="00632DBC">
        <w:rPr>
          <w:rFonts w:ascii="Times New Roman" w:hAnsi="Times New Roman"/>
        </w:rPr>
        <w:t>Joenia</w:t>
      </w:r>
      <w:proofErr w:type="spellEnd"/>
      <w:r w:rsidRPr="00632DBC">
        <w:rPr>
          <w:rFonts w:ascii="Times New Roman" w:hAnsi="Times New Roman"/>
        </w:rPr>
        <w:t xml:space="preserve"> Carvalho, Indigenous Council of Roraima (CIR), Brazil</w:t>
      </w:r>
    </w:p>
    <w:p w14:paraId="112A44C5"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Vicky </w:t>
      </w:r>
      <w:proofErr w:type="spellStart"/>
      <w:r w:rsidRPr="00632DBC">
        <w:rPr>
          <w:rFonts w:ascii="Times New Roman" w:hAnsi="Times New Roman"/>
        </w:rPr>
        <w:t>Tauli-Corpuz</w:t>
      </w:r>
      <w:proofErr w:type="spellEnd"/>
      <w:r w:rsidRPr="00632DBC">
        <w:rPr>
          <w:rFonts w:ascii="Times New Roman" w:hAnsi="Times New Roman"/>
        </w:rPr>
        <w:t xml:space="preserve">, </w:t>
      </w:r>
      <w:proofErr w:type="spellStart"/>
      <w:r w:rsidRPr="00632DBC">
        <w:rPr>
          <w:rFonts w:ascii="Times New Roman" w:hAnsi="Times New Roman"/>
        </w:rPr>
        <w:t>Tebtebba</w:t>
      </w:r>
      <w:proofErr w:type="spellEnd"/>
      <w:r w:rsidRPr="00632DBC">
        <w:rPr>
          <w:rFonts w:ascii="Times New Roman" w:hAnsi="Times New Roman"/>
        </w:rPr>
        <w:t xml:space="preserve"> </w:t>
      </w:r>
    </w:p>
    <w:p w14:paraId="1D9CEF24" w14:textId="77777777" w:rsidR="00CC297E" w:rsidRPr="00632DBC" w:rsidRDefault="00CC297E" w:rsidP="00CC297E">
      <w:pPr>
        <w:spacing w:after="0" w:line="240" w:lineRule="auto"/>
        <w:jc w:val="both"/>
        <w:rPr>
          <w:rFonts w:ascii="Times New Roman" w:hAnsi="Times New Roman"/>
        </w:rPr>
      </w:pPr>
      <w:proofErr w:type="spellStart"/>
      <w:r w:rsidRPr="00632DBC">
        <w:rPr>
          <w:rFonts w:ascii="Times New Roman" w:hAnsi="Times New Roman"/>
        </w:rPr>
        <w:t>Tarcila</w:t>
      </w:r>
      <w:proofErr w:type="spellEnd"/>
      <w:r w:rsidRPr="00632DBC">
        <w:rPr>
          <w:rFonts w:ascii="Times New Roman" w:hAnsi="Times New Roman"/>
        </w:rPr>
        <w:t xml:space="preserve"> Rivera </w:t>
      </w:r>
      <w:proofErr w:type="spellStart"/>
      <w:r w:rsidRPr="00632DBC">
        <w:rPr>
          <w:rFonts w:ascii="Times New Roman" w:hAnsi="Times New Roman"/>
        </w:rPr>
        <w:t>Zea</w:t>
      </w:r>
      <w:proofErr w:type="spellEnd"/>
      <w:r w:rsidRPr="00632DBC">
        <w:rPr>
          <w:rFonts w:ascii="Times New Roman" w:hAnsi="Times New Roman"/>
        </w:rPr>
        <w:t xml:space="preserve">, Director of </w:t>
      </w:r>
      <w:proofErr w:type="spellStart"/>
      <w:r w:rsidRPr="00632DBC">
        <w:rPr>
          <w:rFonts w:ascii="Times New Roman" w:hAnsi="Times New Roman"/>
        </w:rPr>
        <w:t>Chirapaq</w:t>
      </w:r>
      <w:proofErr w:type="spellEnd"/>
      <w:r w:rsidRPr="00632DBC">
        <w:rPr>
          <w:rFonts w:ascii="Times New Roman" w:hAnsi="Times New Roman"/>
        </w:rPr>
        <w:t>, Peru</w:t>
      </w:r>
    </w:p>
    <w:p w14:paraId="24B7D993" w14:textId="77777777" w:rsidR="00394C9D" w:rsidRPr="00632DBC" w:rsidRDefault="00394C9D" w:rsidP="00CC297E">
      <w:pPr>
        <w:spacing w:after="0" w:line="240" w:lineRule="auto"/>
        <w:rPr>
          <w:rFonts w:ascii="Times New Roman" w:hAnsi="Times New Roman"/>
          <w:i/>
        </w:rPr>
      </w:pPr>
    </w:p>
    <w:p w14:paraId="12F45E74" w14:textId="77777777" w:rsidR="00CC297E" w:rsidRPr="00632DBC" w:rsidRDefault="00CC297E" w:rsidP="00CC297E">
      <w:pPr>
        <w:spacing w:after="0" w:line="240" w:lineRule="auto"/>
        <w:rPr>
          <w:rFonts w:ascii="Times New Roman" w:hAnsi="Times New Roman"/>
          <w:i/>
        </w:rPr>
      </w:pPr>
      <w:r w:rsidRPr="00632DBC">
        <w:rPr>
          <w:rFonts w:ascii="Times New Roman" w:hAnsi="Times New Roman"/>
          <w:i/>
        </w:rPr>
        <w:t>Business Sector</w:t>
      </w:r>
    </w:p>
    <w:p w14:paraId="43D83A7E"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Jon K Grant, former Chairman and Chief Executive Officer of the Quaker Oats Company of Canada</w:t>
      </w:r>
    </w:p>
    <w:p w14:paraId="3C229054" w14:textId="77777777" w:rsidR="00394C9D" w:rsidRPr="00632DBC" w:rsidRDefault="00394C9D" w:rsidP="00CC297E">
      <w:pPr>
        <w:spacing w:after="0" w:line="240" w:lineRule="auto"/>
        <w:jc w:val="both"/>
        <w:rPr>
          <w:rFonts w:ascii="Times New Roman" w:hAnsi="Times New Roman"/>
          <w:i/>
        </w:rPr>
      </w:pPr>
    </w:p>
    <w:p w14:paraId="5960CD91" w14:textId="77777777" w:rsidR="00CC297E" w:rsidRPr="00632DBC" w:rsidRDefault="00CC297E" w:rsidP="00CC297E">
      <w:pPr>
        <w:spacing w:after="0" w:line="240" w:lineRule="auto"/>
        <w:jc w:val="both"/>
        <w:rPr>
          <w:rFonts w:ascii="Times New Roman" w:hAnsi="Times New Roman"/>
          <w:i/>
        </w:rPr>
      </w:pPr>
      <w:r w:rsidRPr="00632DBC">
        <w:rPr>
          <w:rFonts w:ascii="Times New Roman" w:hAnsi="Times New Roman"/>
          <w:i/>
        </w:rPr>
        <w:t>Scientific institutions</w:t>
      </w:r>
    </w:p>
    <w:p w14:paraId="71BB22A4"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Richard Klein, Stockholm Environment Institute </w:t>
      </w:r>
    </w:p>
    <w:p w14:paraId="332CEE28"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Terry Sunderland, </w:t>
      </w:r>
      <w:proofErr w:type="spellStart"/>
      <w:r w:rsidRPr="00632DBC">
        <w:rPr>
          <w:rFonts w:ascii="Times New Roman" w:hAnsi="Times New Roman"/>
        </w:rPr>
        <w:t>Center</w:t>
      </w:r>
      <w:proofErr w:type="spellEnd"/>
      <w:r w:rsidRPr="00632DBC">
        <w:rPr>
          <w:rFonts w:ascii="Times New Roman" w:hAnsi="Times New Roman"/>
        </w:rPr>
        <w:t xml:space="preserve"> for International Forestry Research</w:t>
      </w:r>
    </w:p>
    <w:p w14:paraId="5DB942AE"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Susanne von Walter, Swedish University of Agricultural Science and Uppsala University</w:t>
      </w:r>
    </w:p>
    <w:p w14:paraId="273FF85C" w14:textId="77777777" w:rsidR="00CC297E" w:rsidRPr="00633A71" w:rsidRDefault="00CC297E" w:rsidP="00CC297E">
      <w:pPr>
        <w:spacing w:after="0" w:line="240" w:lineRule="auto"/>
        <w:jc w:val="both"/>
        <w:rPr>
          <w:rFonts w:ascii="Times New Roman" w:hAnsi="Times New Roman"/>
        </w:rPr>
      </w:pPr>
      <w:r w:rsidRPr="00632DBC">
        <w:rPr>
          <w:rFonts w:ascii="Times New Roman" w:hAnsi="Times New Roman"/>
        </w:rPr>
        <w:t xml:space="preserve">Jonas </w:t>
      </w:r>
      <w:proofErr w:type="spellStart"/>
      <w:r w:rsidRPr="00632DBC">
        <w:rPr>
          <w:rFonts w:ascii="Times New Roman" w:hAnsi="Times New Roman"/>
        </w:rPr>
        <w:t>Ebbesson</w:t>
      </w:r>
      <w:proofErr w:type="spellEnd"/>
      <w:r w:rsidRPr="00632DBC">
        <w:rPr>
          <w:rFonts w:ascii="Times New Roman" w:hAnsi="Times New Roman"/>
        </w:rPr>
        <w:t>,</w:t>
      </w:r>
      <w:r w:rsidRPr="00632DBC">
        <w:rPr>
          <w:rFonts w:ascii="Times New Roman"/>
          <w:sz w:val="18"/>
          <w:szCs w:val="18"/>
          <w:u w:color="000000"/>
        </w:rPr>
        <w:t xml:space="preserve"> </w:t>
      </w:r>
      <w:r w:rsidRPr="00633A71">
        <w:rPr>
          <w:rFonts w:ascii="Times New Roman" w:hAnsi="Times New Roman"/>
        </w:rPr>
        <w:t>Stockholm University and Chair of the Aarhus Compliance Committee</w:t>
      </w:r>
    </w:p>
    <w:p w14:paraId="5C27B185" w14:textId="77777777" w:rsidR="00CC297E" w:rsidRPr="00504B5E" w:rsidRDefault="00CC297E" w:rsidP="00CC297E">
      <w:pPr>
        <w:spacing w:after="0" w:line="240" w:lineRule="auto"/>
        <w:jc w:val="both"/>
        <w:rPr>
          <w:rFonts w:ascii="Times New Roman" w:hAnsi="Times New Roman"/>
        </w:rPr>
      </w:pPr>
      <w:r w:rsidRPr="00633A71">
        <w:rPr>
          <w:rFonts w:ascii="Times New Roman" w:hAnsi="Times New Roman"/>
        </w:rPr>
        <w:t>Sian Sullivan, University of London</w:t>
      </w:r>
    </w:p>
    <w:p w14:paraId="79D21BD2" w14:textId="77777777" w:rsidR="00CC297E" w:rsidRPr="00504B5E" w:rsidRDefault="00CC297E" w:rsidP="00CC297E">
      <w:pPr>
        <w:spacing w:after="0" w:line="240" w:lineRule="auto"/>
        <w:jc w:val="both"/>
        <w:rPr>
          <w:rFonts w:ascii="Times New Roman" w:hAnsi="Times New Roman"/>
        </w:rPr>
      </w:pPr>
      <w:r w:rsidRPr="00504B5E">
        <w:rPr>
          <w:rFonts w:ascii="Times New Roman" w:hAnsi="Times New Roman"/>
        </w:rPr>
        <w:t xml:space="preserve">Maryanne Grieg-Gran, International Institute for Environment and Development </w:t>
      </w:r>
    </w:p>
    <w:p w14:paraId="0C8245B2" w14:textId="77777777" w:rsidR="00CC297E" w:rsidRPr="000F714B" w:rsidRDefault="00CC297E" w:rsidP="00CC297E">
      <w:pPr>
        <w:spacing w:after="0" w:line="240" w:lineRule="auto"/>
        <w:jc w:val="both"/>
        <w:rPr>
          <w:rFonts w:ascii="Times New Roman" w:hAnsi="Times New Roman"/>
          <w:lang w:val="fr-FR"/>
        </w:rPr>
      </w:pPr>
      <w:r w:rsidRPr="000F714B">
        <w:rPr>
          <w:rFonts w:ascii="Times New Roman" w:hAnsi="Times New Roman"/>
          <w:lang w:val="fr-FR"/>
        </w:rPr>
        <w:t xml:space="preserve">Aurélien </w:t>
      </w:r>
      <w:proofErr w:type="spellStart"/>
      <w:r w:rsidRPr="000F714B">
        <w:rPr>
          <w:rFonts w:ascii="Times New Roman" w:hAnsi="Times New Roman"/>
          <w:lang w:val="fr-FR"/>
        </w:rPr>
        <w:t>Guingand</w:t>
      </w:r>
      <w:proofErr w:type="spellEnd"/>
      <w:r w:rsidRPr="000F714B">
        <w:rPr>
          <w:rFonts w:ascii="Times New Roman" w:hAnsi="Times New Roman"/>
          <w:lang w:val="fr-FR"/>
        </w:rPr>
        <w:t xml:space="preserve">, Caisse des </w:t>
      </w:r>
      <w:proofErr w:type="spellStart"/>
      <w:r w:rsidRPr="000F714B">
        <w:rPr>
          <w:rFonts w:ascii="Times New Roman" w:hAnsi="Times New Roman"/>
          <w:lang w:val="fr-FR"/>
        </w:rPr>
        <w:t>Dépots</w:t>
      </w:r>
      <w:proofErr w:type="spellEnd"/>
      <w:r w:rsidRPr="000F714B">
        <w:rPr>
          <w:rFonts w:ascii="Times New Roman" w:hAnsi="Times New Roman"/>
          <w:lang w:val="fr-FR"/>
        </w:rPr>
        <w:t xml:space="preserve"> et Consignations group, France</w:t>
      </w:r>
    </w:p>
    <w:p w14:paraId="7CB8819F" w14:textId="77777777" w:rsidR="00CC297E" w:rsidRPr="0038043D" w:rsidRDefault="00CC297E" w:rsidP="00CC297E">
      <w:pPr>
        <w:spacing w:after="0" w:line="240" w:lineRule="auto"/>
        <w:jc w:val="both"/>
        <w:rPr>
          <w:rFonts w:ascii="Times New Roman" w:hAnsi="Times New Roman"/>
        </w:rPr>
      </w:pPr>
      <w:r w:rsidRPr="0038043D">
        <w:rPr>
          <w:rFonts w:ascii="Times New Roman" w:hAnsi="Times New Roman"/>
        </w:rPr>
        <w:t xml:space="preserve">Joël </w:t>
      </w:r>
      <w:proofErr w:type="spellStart"/>
      <w:r w:rsidRPr="0038043D">
        <w:rPr>
          <w:rFonts w:ascii="Times New Roman" w:hAnsi="Times New Roman"/>
        </w:rPr>
        <w:t>Houdet</w:t>
      </w:r>
      <w:proofErr w:type="spellEnd"/>
      <w:r w:rsidRPr="0038043D">
        <w:rPr>
          <w:rFonts w:ascii="Times New Roman" w:hAnsi="Times New Roman"/>
        </w:rPr>
        <w:t>, Integrated Sustainability Services, South Africa</w:t>
      </w:r>
    </w:p>
    <w:p w14:paraId="4D51A74C"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Vu </w:t>
      </w:r>
      <w:proofErr w:type="spellStart"/>
      <w:r w:rsidRPr="00632DBC">
        <w:rPr>
          <w:rFonts w:ascii="Times New Roman" w:hAnsi="Times New Roman"/>
        </w:rPr>
        <w:t>Ti</w:t>
      </w:r>
      <w:proofErr w:type="spellEnd"/>
      <w:r w:rsidRPr="00632DBC">
        <w:rPr>
          <w:rFonts w:ascii="Times New Roman" w:hAnsi="Times New Roman"/>
        </w:rPr>
        <w:t xml:space="preserve"> Hien, The Centre of Research and Development in Upland Areas, Vietnam</w:t>
      </w:r>
    </w:p>
    <w:p w14:paraId="508BF63C" w14:textId="77777777" w:rsidR="00CC297E" w:rsidRPr="00632DBC" w:rsidRDefault="00CC297E" w:rsidP="00CC297E">
      <w:pPr>
        <w:spacing w:after="0" w:line="240" w:lineRule="auto"/>
        <w:jc w:val="both"/>
        <w:rPr>
          <w:rFonts w:ascii="Times New Roman" w:hAnsi="Times New Roman"/>
        </w:rPr>
      </w:pPr>
      <w:proofErr w:type="spellStart"/>
      <w:r w:rsidRPr="00632DBC">
        <w:rPr>
          <w:rFonts w:ascii="Times New Roman" w:hAnsi="Times New Roman"/>
        </w:rPr>
        <w:t>Harro</w:t>
      </w:r>
      <w:proofErr w:type="spellEnd"/>
      <w:r w:rsidRPr="00632DBC">
        <w:rPr>
          <w:rFonts w:ascii="Times New Roman" w:hAnsi="Times New Roman"/>
        </w:rPr>
        <w:t xml:space="preserve"> Van-Asset, Stockholm Environment Institute </w:t>
      </w:r>
    </w:p>
    <w:p w14:paraId="24723DA8" w14:textId="77777777" w:rsidR="00CC297E" w:rsidRPr="00632DBC" w:rsidRDefault="00CC297E" w:rsidP="00CC297E">
      <w:pPr>
        <w:spacing w:after="0" w:line="240" w:lineRule="auto"/>
        <w:jc w:val="both"/>
        <w:rPr>
          <w:rFonts w:ascii="Times New Roman" w:hAnsi="Times New Roman"/>
        </w:rPr>
      </w:pPr>
      <w:r w:rsidRPr="00632DBC">
        <w:rPr>
          <w:rFonts w:ascii="Times New Roman" w:hAnsi="Times New Roman"/>
        </w:rPr>
        <w:t xml:space="preserve">Ekaterina </w:t>
      </w:r>
      <w:proofErr w:type="spellStart"/>
      <w:r w:rsidRPr="00632DBC">
        <w:rPr>
          <w:rFonts w:ascii="Times New Roman" w:hAnsi="Times New Roman"/>
        </w:rPr>
        <w:t>Alexandrova</w:t>
      </w:r>
      <w:proofErr w:type="spellEnd"/>
      <w:r w:rsidRPr="00632DBC">
        <w:rPr>
          <w:rFonts w:ascii="Times New Roman" w:hAnsi="Times New Roman"/>
        </w:rPr>
        <w:t>, ECOSUR-Mexico and Colorado State University</w:t>
      </w:r>
    </w:p>
    <w:p w14:paraId="4DB4120C" w14:textId="6840B241" w:rsidR="00CC297E" w:rsidRPr="00632DBC" w:rsidRDefault="00CC297E">
      <w:pPr>
        <w:spacing w:after="0" w:line="240" w:lineRule="auto"/>
        <w:rPr>
          <w:rFonts w:ascii="Times New Roman" w:hAnsi="Times New Roman"/>
        </w:rPr>
      </w:pPr>
      <w:r w:rsidRPr="00632DBC">
        <w:rPr>
          <w:rFonts w:ascii="Times New Roman" w:hAnsi="Times New Roman"/>
        </w:rPr>
        <w:br w:type="page"/>
      </w:r>
    </w:p>
    <w:p w14:paraId="150347E6" w14:textId="77777777" w:rsidR="00CC297E" w:rsidRPr="00632DBC" w:rsidRDefault="00CC297E" w:rsidP="00CC297E">
      <w:pPr>
        <w:spacing w:after="0" w:line="240" w:lineRule="auto"/>
        <w:rPr>
          <w:rFonts w:ascii="Times New Roman" w:hAnsi="Times New Roman"/>
        </w:rPr>
      </w:pPr>
    </w:p>
    <w:p w14:paraId="14CA50A2" w14:textId="2170B5EC" w:rsidR="00810C20" w:rsidRPr="00632DBC" w:rsidRDefault="003F5A1B" w:rsidP="00810C20">
      <w:pPr>
        <w:jc w:val="both"/>
        <w:rPr>
          <w:rFonts w:ascii="Times New Roman" w:hAnsi="Times New Roman"/>
        </w:rPr>
      </w:pPr>
      <w:r w:rsidRPr="00632DBC">
        <w:rPr>
          <w:rFonts w:ascii="Times New Roman" w:hAnsi="Times New Roman"/>
        </w:rPr>
        <w:br/>
      </w:r>
    </w:p>
    <w:tbl>
      <w:tblPr>
        <w:tblW w:w="8428" w:type="dxa"/>
        <w:tblInd w:w="108" w:type="dxa"/>
        <w:shd w:val="clear" w:color="auto" w:fill="FFFFFF"/>
        <w:tblLayout w:type="fixed"/>
        <w:tblLook w:val="04A0" w:firstRow="1" w:lastRow="0" w:firstColumn="1" w:lastColumn="0" w:noHBand="0" w:noVBand="1"/>
      </w:tblPr>
      <w:tblGrid>
        <w:gridCol w:w="1682"/>
        <w:gridCol w:w="6746"/>
      </w:tblGrid>
      <w:tr w:rsidR="00633A71" w:rsidRPr="00632DBC" w14:paraId="37231C38" w14:textId="77777777" w:rsidTr="00002536">
        <w:trPr>
          <w:trHeight w:val="510"/>
          <w:tblHeader/>
        </w:trPr>
        <w:tc>
          <w:tcPr>
            <w:tcW w:w="1682" w:type="dxa"/>
            <w:shd w:val="clear" w:color="auto" w:fill="FFFFFF"/>
            <w:tcMar>
              <w:top w:w="80" w:type="dxa"/>
              <w:left w:w="80" w:type="dxa"/>
              <w:bottom w:w="80" w:type="dxa"/>
              <w:right w:w="80" w:type="dxa"/>
            </w:tcMar>
            <w:vAlign w:val="center"/>
          </w:tcPr>
          <w:p w14:paraId="554501E9" w14:textId="75846751" w:rsidR="00810C20" w:rsidRPr="00632DBC" w:rsidRDefault="00810C20" w:rsidP="00CF7E8B">
            <w:pPr>
              <w:pStyle w:val="Heading1"/>
              <w:rPr>
                <w:rFonts w:ascii="Times New Roman" w:hAnsi="Times New Roman"/>
                <w:b/>
                <w:lang w:val="en-GB"/>
              </w:rPr>
            </w:pPr>
            <w:bookmarkStart w:id="12" w:name="_Toc263943507"/>
            <w:bookmarkStart w:id="13" w:name="_Toc382590300"/>
            <w:bookmarkStart w:id="14" w:name="_Toc529199425"/>
            <w:r w:rsidRPr="00632DBC">
              <w:rPr>
                <w:rFonts w:ascii="Times New Roman" w:hAnsi="Times New Roman"/>
                <w:b/>
                <w:sz w:val="22"/>
                <w:lang w:val="en-GB"/>
              </w:rPr>
              <w:t>Acronyms</w:t>
            </w:r>
            <w:bookmarkEnd w:id="12"/>
            <w:bookmarkEnd w:id="13"/>
            <w:bookmarkEnd w:id="14"/>
          </w:p>
        </w:tc>
        <w:tc>
          <w:tcPr>
            <w:tcW w:w="6746" w:type="dxa"/>
            <w:shd w:val="clear" w:color="auto" w:fill="FFFFFF"/>
            <w:tcMar>
              <w:top w:w="80" w:type="dxa"/>
              <w:left w:w="80" w:type="dxa"/>
              <w:bottom w:w="80" w:type="dxa"/>
              <w:right w:w="80" w:type="dxa"/>
            </w:tcMar>
          </w:tcPr>
          <w:p w14:paraId="536725D4" w14:textId="77777777" w:rsidR="00810C20" w:rsidRPr="00632DBC" w:rsidRDefault="00810C20" w:rsidP="00CF7E8B">
            <w:pPr>
              <w:jc w:val="both"/>
              <w:rPr>
                <w:rFonts w:ascii="Times New Roman" w:hAnsi="Times New Roman"/>
                <w:b/>
                <w:bCs/>
                <w:sz w:val="18"/>
                <w:szCs w:val="18"/>
              </w:rPr>
            </w:pPr>
          </w:p>
        </w:tc>
      </w:tr>
      <w:tr w:rsidR="00633A71" w:rsidRPr="00632DBC" w14:paraId="43F05456" w14:textId="77777777" w:rsidTr="00002536">
        <w:trPr>
          <w:trHeight w:val="1004"/>
        </w:trPr>
        <w:tc>
          <w:tcPr>
            <w:tcW w:w="1682" w:type="dxa"/>
            <w:shd w:val="clear" w:color="auto" w:fill="FFFFFF"/>
            <w:tcMar>
              <w:top w:w="80" w:type="dxa"/>
              <w:left w:w="80" w:type="dxa"/>
              <w:bottom w:w="80" w:type="dxa"/>
              <w:right w:w="80" w:type="dxa"/>
            </w:tcMar>
          </w:tcPr>
          <w:p w14:paraId="58FE60E4"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ABS</w:t>
            </w:r>
          </w:p>
        </w:tc>
        <w:tc>
          <w:tcPr>
            <w:tcW w:w="6746" w:type="dxa"/>
            <w:shd w:val="clear" w:color="auto" w:fill="FFFFFF"/>
            <w:tcMar>
              <w:top w:w="80" w:type="dxa"/>
              <w:left w:w="80" w:type="dxa"/>
              <w:bottom w:w="80" w:type="dxa"/>
              <w:right w:w="80" w:type="dxa"/>
            </w:tcMar>
          </w:tcPr>
          <w:p w14:paraId="31D7EEC9"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Access and Benefits Sharing: agreements linked to the access to genetic resources and their equitable use, an issue that became prominent in 2010 at COP-10 (Nagoya, Japan) in the “</w:t>
            </w:r>
            <w:r w:rsidRPr="00632DBC">
              <w:rPr>
                <w:rFonts w:ascii="Times New Roman" w:hAnsi="Times New Roman"/>
                <w:i/>
                <w:iCs/>
                <w:sz w:val="18"/>
                <w:szCs w:val="18"/>
              </w:rPr>
              <w:t xml:space="preserve">The Nagoya Protocol on Access to Genetic Resources and the Fair and Equitable Sharing of Benefits Arising from their Utilization to the Convention on Biological Diversity”. </w:t>
            </w:r>
          </w:p>
        </w:tc>
      </w:tr>
      <w:tr w:rsidR="00633A71" w:rsidRPr="00632DBC" w14:paraId="1352638E" w14:textId="77777777" w:rsidTr="00002536">
        <w:trPr>
          <w:trHeight w:val="510"/>
        </w:trPr>
        <w:tc>
          <w:tcPr>
            <w:tcW w:w="1682" w:type="dxa"/>
            <w:shd w:val="clear" w:color="auto" w:fill="FFFFFF"/>
            <w:tcMar>
              <w:top w:w="80" w:type="dxa"/>
              <w:left w:w="80" w:type="dxa"/>
              <w:bottom w:w="80" w:type="dxa"/>
              <w:right w:w="80" w:type="dxa"/>
            </w:tcMar>
          </w:tcPr>
          <w:p w14:paraId="75E02D5F"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BBOP</w:t>
            </w:r>
          </w:p>
          <w:p w14:paraId="34399651" w14:textId="77777777" w:rsidR="00810C20" w:rsidRPr="00632DBC" w:rsidRDefault="00810C20" w:rsidP="00CF7E8B">
            <w:pPr>
              <w:rPr>
                <w:rFonts w:ascii="Times New Roman" w:hAnsi="Times New Roman"/>
                <w:b/>
                <w:bCs/>
                <w:sz w:val="18"/>
                <w:szCs w:val="18"/>
              </w:rPr>
            </w:pPr>
          </w:p>
        </w:tc>
        <w:tc>
          <w:tcPr>
            <w:tcW w:w="6746" w:type="dxa"/>
            <w:shd w:val="clear" w:color="auto" w:fill="FFFFFF"/>
            <w:tcMar>
              <w:top w:w="80" w:type="dxa"/>
              <w:left w:w="80" w:type="dxa"/>
              <w:bottom w:w="80" w:type="dxa"/>
              <w:right w:w="80" w:type="dxa"/>
            </w:tcMar>
          </w:tcPr>
          <w:p w14:paraId="20485E32"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Business and Biodiversity Offsets Programs: international initiative of cooperation between stakeholders (companies, governments, civil society organizations, financial institutions, etc.) to achieve a net gain of biodiversity by developing better practices.  </w:t>
            </w:r>
          </w:p>
        </w:tc>
      </w:tr>
      <w:tr w:rsidR="00633A71" w:rsidRPr="00632DBC" w14:paraId="03D2E20C" w14:textId="77777777" w:rsidTr="00002536">
        <w:trPr>
          <w:trHeight w:val="510"/>
        </w:trPr>
        <w:tc>
          <w:tcPr>
            <w:tcW w:w="1682" w:type="dxa"/>
            <w:shd w:val="clear" w:color="auto" w:fill="FFFFFF"/>
            <w:tcMar>
              <w:top w:w="80" w:type="dxa"/>
              <w:left w:w="80" w:type="dxa"/>
              <w:bottom w:w="80" w:type="dxa"/>
              <w:right w:w="80" w:type="dxa"/>
            </w:tcMar>
          </w:tcPr>
          <w:p w14:paraId="5AC20BB0"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BCPs</w:t>
            </w:r>
          </w:p>
        </w:tc>
        <w:tc>
          <w:tcPr>
            <w:tcW w:w="6746" w:type="dxa"/>
            <w:shd w:val="clear" w:color="auto" w:fill="FFFFFF"/>
            <w:tcMar>
              <w:top w:w="80" w:type="dxa"/>
              <w:left w:w="80" w:type="dxa"/>
              <w:bottom w:w="80" w:type="dxa"/>
              <w:right w:w="80" w:type="dxa"/>
            </w:tcMar>
          </w:tcPr>
          <w:p w14:paraId="61473541"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Biocultural Community Protocols: community-led statements about a local population’s priorities and values relating to their biocultural resources.</w:t>
            </w:r>
          </w:p>
        </w:tc>
      </w:tr>
      <w:tr w:rsidR="00633A71" w:rsidRPr="00632DBC" w14:paraId="202A2FD2" w14:textId="77777777" w:rsidTr="00002536">
        <w:trPr>
          <w:trHeight w:val="510"/>
        </w:trPr>
        <w:tc>
          <w:tcPr>
            <w:tcW w:w="1682" w:type="dxa"/>
            <w:shd w:val="clear" w:color="auto" w:fill="FFFFFF"/>
            <w:tcMar>
              <w:top w:w="80" w:type="dxa"/>
              <w:left w:w="80" w:type="dxa"/>
              <w:bottom w:w="80" w:type="dxa"/>
              <w:right w:w="80" w:type="dxa"/>
            </w:tcMar>
          </w:tcPr>
          <w:p w14:paraId="4C369B42"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BFM</w:t>
            </w:r>
          </w:p>
        </w:tc>
        <w:tc>
          <w:tcPr>
            <w:tcW w:w="6746" w:type="dxa"/>
            <w:shd w:val="clear" w:color="auto" w:fill="FFFFFF"/>
            <w:tcMar>
              <w:top w:w="80" w:type="dxa"/>
              <w:left w:w="80" w:type="dxa"/>
              <w:bottom w:w="80" w:type="dxa"/>
              <w:right w:w="80" w:type="dxa"/>
            </w:tcMar>
          </w:tcPr>
          <w:p w14:paraId="65EF15F4"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Biodiversity financing mechanisms: financial tools such as payments for ecosystem services, biodiversity offsets or environmental fiscal reforms that could help in reaching CBD goals.  </w:t>
            </w:r>
          </w:p>
        </w:tc>
      </w:tr>
      <w:tr w:rsidR="00633A71" w:rsidRPr="00632DBC" w14:paraId="49EC7F58" w14:textId="77777777" w:rsidTr="00002536">
        <w:trPr>
          <w:trHeight w:val="510"/>
        </w:trPr>
        <w:tc>
          <w:tcPr>
            <w:tcW w:w="1682" w:type="dxa"/>
            <w:shd w:val="clear" w:color="auto" w:fill="FFFFFF"/>
            <w:tcMar>
              <w:top w:w="80" w:type="dxa"/>
              <w:left w:w="80" w:type="dxa"/>
              <w:bottom w:w="80" w:type="dxa"/>
              <w:right w:w="80" w:type="dxa"/>
            </w:tcMar>
          </w:tcPr>
          <w:p w14:paraId="0D7960A3"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CBD</w:t>
            </w:r>
          </w:p>
        </w:tc>
        <w:tc>
          <w:tcPr>
            <w:tcW w:w="6746" w:type="dxa"/>
            <w:shd w:val="clear" w:color="auto" w:fill="FFFFFF"/>
            <w:tcMar>
              <w:top w:w="80" w:type="dxa"/>
              <w:left w:w="80" w:type="dxa"/>
              <w:bottom w:w="80" w:type="dxa"/>
              <w:right w:w="80" w:type="dxa"/>
            </w:tcMar>
          </w:tcPr>
          <w:p w14:paraId="047CFC6C"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Convention of Biological Diversity: international convention opened for signature during the 1992 United Nations Conference on Environment and Development (UNCED, or “Earth Summit”) in Rio de Janeiro, and enforced on 29 December 1993. It has three main objectives: “the conservation of biological diversity; the sustainable use of the components of biological diversity; the fair and equitable sharing of the benefits arising out of the utilization of genetic resources”. </w:t>
            </w:r>
          </w:p>
        </w:tc>
      </w:tr>
      <w:tr w:rsidR="00633A71" w:rsidRPr="00632DBC" w14:paraId="3E7BA258" w14:textId="77777777" w:rsidTr="00002536">
        <w:trPr>
          <w:trHeight w:val="510"/>
        </w:trPr>
        <w:tc>
          <w:tcPr>
            <w:tcW w:w="1682" w:type="dxa"/>
            <w:shd w:val="clear" w:color="auto" w:fill="FFFFFF"/>
            <w:tcMar>
              <w:top w:w="80" w:type="dxa"/>
              <w:left w:w="80" w:type="dxa"/>
              <w:bottom w:w="80" w:type="dxa"/>
              <w:right w:w="80" w:type="dxa"/>
            </w:tcMar>
          </w:tcPr>
          <w:p w14:paraId="247D657E" w14:textId="280FD2BA" w:rsidR="004E0E3F" w:rsidRPr="00632DBC" w:rsidRDefault="004E0E3F" w:rsidP="00CF7E8B">
            <w:pPr>
              <w:rPr>
                <w:rFonts w:ascii="Times New Roman" w:hAnsi="Times New Roman"/>
                <w:b/>
                <w:bCs/>
                <w:sz w:val="18"/>
                <w:szCs w:val="18"/>
              </w:rPr>
            </w:pPr>
            <w:r w:rsidRPr="00632DBC">
              <w:rPr>
                <w:rFonts w:ascii="Times New Roman" w:hAnsi="Times New Roman"/>
                <w:b/>
                <w:bCs/>
                <w:sz w:val="18"/>
                <w:szCs w:val="18"/>
              </w:rPr>
              <w:t>CBMIS</w:t>
            </w:r>
          </w:p>
        </w:tc>
        <w:tc>
          <w:tcPr>
            <w:tcW w:w="6746" w:type="dxa"/>
            <w:shd w:val="clear" w:color="auto" w:fill="FFFFFF"/>
            <w:tcMar>
              <w:top w:w="80" w:type="dxa"/>
              <w:left w:w="80" w:type="dxa"/>
              <w:bottom w:w="80" w:type="dxa"/>
              <w:right w:w="80" w:type="dxa"/>
            </w:tcMar>
          </w:tcPr>
          <w:p w14:paraId="79AB5F80" w14:textId="137FB471" w:rsidR="004E0E3F" w:rsidRPr="00632DBC" w:rsidRDefault="004E0E3F" w:rsidP="008408B0">
            <w:pPr>
              <w:spacing w:line="240" w:lineRule="auto"/>
              <w:rPr>
                <w:rFonts w:ascii="Times" w:hAnsi="Times"/>
                <w:sz w:val="18"/>
              </w:rPr>
            </w:pPr>
            <w:r w:rsidRPr="00633A71">
              <w:rPr>
                <w:rFonts w:ascii="Times" w:hAnsi="Times"/>
                <w:sz w:val="18"/>
                <w:szCs w:val="18"/>
              </w:rPr>
              <w:t xml:space="preserve">Community Based Monitoring and Information Systems: </w:t>
            </w:r>
            <w:r w:rsidRPr="00632DBC">
              <w:rPr>
                <w:rFonts w:ascii="Times" w:hAnsi="Times" w:cs="Arial"/>
                <w:sz w:val="18"/>
                <w:szCs w:val="18"/>
                <w:shd w:val="clear" w:color="auto" w:fill="FFFFFF"/>
              </w:rPr>
              <w:t>refer to initiatives by indigenous peoples and local community organisations to monitor their community’s well-being and the state of their territories and natural resources, applying a mix of traditional knowledge and innovative tools and approaches.</w:t>
            </w:r>
          </w:p>
        </w:tc>
      </w:tr>
      <w:tr w:rsidR="00633A71" w:rsidRPr="00632DBC" w14:paraId="2279222C" w14:textId="77777777" w:rsidTr="00002536">
        <w:trPr>
          <w:trHeight w:val="510"/>
        </w:trPr>
        <w:tc>
          <w:tcPr>
            <w:tcW w:w="1682" w:type="dxa"/>
            <w:shd w:val="clear" w:color="auto" w:fill="FFFFFF"/>
            <w:tcMar>
              <w:top w:w="80" w:type="dxa"/>
              <w:left w:w="80" w:type="dxa"/>
              <w:bottom w:w="80" w:type="dxa"/>
              <w:right w:w="80" w:type="dxa"/>
            </w:tcMar>
          </w:tcPr>
          <w:p w14:paraId="10DE3115"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CCBA</w:t>
            </w:r>
          </w:p>
        </w:tc>
        <w:tc>
          <w:tcPr>
            <w:tcW w:w="6746" w:type="dxa"/>
            <w:shd w:val="clear" w:color="auto" w:fill="FFFFFF"/>
            <w:tcMar>
              <w:top w:w="80" w:type="dxa"/>
              <w:left w:w="80" w:type="dxa"/>
              <w:bottom w:w="80" w:type="dxa"/>
              <w:right w:w="80" w:type="dxa"/>
            </w:tcMar>
          </w:tcPr>
          <w:p w14:paraId="370DAB80"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Climate, Community and Biodiversity Alliance: initiative established in 2003 to improve forest management and increase private and public interest in forest protection. </w:t>
            </w:r>
          </w:p>
        </w:tc>
      </w:tr>
      <w:tr w:rsidR="00633A71" w:rsidRPr="00632DBC" w14:paraId="466A5A4F" w14:textId="77777777" w:rsidTr="00002536">
        <w:trPr>
          <w:trHeight w:val="510"/>
        </w:trPr>
        <w:tc>
          <w:tcPr>
            <w:tcW w:w="1682" w:type="dxa"/>
            <w:shd w:val="clear" w:color="auto" w:fill="FFFFFF"/>
            <w:tcMar>
              <w:top w:w="80" w:type="dxa"/>
              <w:left w:w="80" w:type="dxa"/>
              <w:bottom w:w="80" w:type="dxa"/>
              <w:right w:w="80" w:type="dxa"/>
            </w:tcMar>
          </w:tcPr>
          <w:p w14:paraId="1C20AF34"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CCBS</w:t>
            </w:r>
          </w:p>
        </w:tc>
        <w:tc>
          <w:tcPr>
            <w:tcW w:w="6746" w:type="dxa"/>
            <w:shd w:val="clear" w:color="auto" w:fill="FFFFFF"/>
            <w:tcMar>
              <w:top w:w="80" w:type="dxa"/>
              <w:left w:w="80" w:type="dxa"/>
              <w:bottom w:w="80" w:type="dxa"/>
              <w:right w:w="80" w:type="dxa"/>
            </w:tcMar>
          </w:tcPr>
          <w:p w14:paraId="2CEE20BA"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Climate, Community and Biodiversity Standards: initiative of the CCBA to allow multilevel stakeholders to assess climate-change mitigation projects.  </w:t>
            </w:r>
          </w:p>
        </w:tc>
      </w:tr>
      <w:tr w:rsidR="00633A71" w:rsidRPr="00632DBC" w14:paraId="1139C52A" w14:textId="77777777" w:rsidTr="00002536">
        <w:trPr>
          <w:trHeight w:val="892"/>
        </w:trPr>
        <w:tc>
          <w:tcPr>
            <w:tcW w:w="1682" w:type="dxa"/>
            <w:shd w:val="clear" w:color="auto" w:fill="FFFFFF"/>
            <w:tcMar>
              <w:top w:w="80" w:type="dxa"/>
              <w:left w:w="80" w:type="dxa"/>
              <w:bottom w:w="80" w:type="dxa"/>
              <w:right w:w="80" w:type="dxa"/>
            </w:tcMar>
          </w:tcPr>
          <w:p w14:paraId="4ED6D35A" w14:textId="69F9C32C" w:rsidR="00583E1E" w:rsidRPr="00632DBC" w:rsidRDefault="00810C20" w:rsidP="00CF7E8B">
            <w:pPr>
              <w:rPr>
                <w:rFonts w:ascii="Times New Roman" w:hAnsi="Times New Roman"/>
                <w:b/>
                <w:bCs/>
                <w:sz w:val="18"/>
                <w:szCs w:val="18"/>
              </w:rPr>
            </w:pPr>
            <w:r w:rsidRPr="00632DBC">
              <w:rPr>
                <w:rFonts w:ascii="Times New Roman" w:hAnsi="Times New Roman"/>
                <w:b/>
                <w:bCs/>
                <w:sz w:val="18"/>
                <w:szCs w:val="18"/>
              </w:rPr>
              <w:t xml:space="preserve">COP </w:t>
            </w:r>
          </w:p>
          <w:p w14:paraId="2DC166A5" w14:textId="77777777" w:rsidR="00583E1E" w:rsidRPr="00632DBC" w:rsidRDefault="00583E1E" w:rsidP="00583E1E">
            <w:pPr>
              <w:spacing w:after="0" w:line="240" w:lineRule="auto"/>
              <w:rPr>
                <w:rFonts w:ascii="Times New Roman" w:hAnsi="Times New Roman"/>
                <w:b/>
                <w:bCs/>
                <w:sz w:val="18"/>
                <w:szCs w:val="18"/>
              </w:rPr>
            </w:pPr>
          </w:p>
          <w:p w14:paraId="370EEBBE" w14:textId="77777777" w:rsidR="00CF71F5" w:rsidRPr="00632DBC" w:rsidRDefault="00CF71F5" w:rsidP="00583E1E">
            <w:pPr>
              <w:spacing w:after="0" w:line="240" w:lineRule="auto"/>
              <w:rPr>
                <w:rFonts w:ascii="Times New Roman" w:hAnsi="Times New Roman"/>
                <w:b/>
                <w:bCs/>
                <w:sz w:val="18"/>
                <w:szCs w:val="18"/>
              </w:rPr>
            </w:pPr>
          </w:p>
          <w:p w14:paraId="79176143" w14:textId="0399BE57" w:rsidR="00583E1E" w:rsidRPr="00632DBC" w:rsidRDefault="00583E1E" w:rsidP="00583E1E">
            <w:pPr>
              <w:spacing w:after="0" w:line="240" w:lineRule="auto"/>
              <w:rPr>
                <w:rFonts w:ascii="Times New Roman" w:hAnsi="Times New Roman"/>
                <w:b/>
                <w:bCs/>
                <w:sz w:val="18"/>
                <w:szCs w:val="18"/>
              </w:rPr>
            </w:pPr>
          </w:p>
        </w:tc>
        <w:tc>
          <w:tcPr>
            <w:tcW w:w="6746" w:type="dxa"/>
            <w:shd w:val="clear" w:color="auto" w:fill="FFFFFF"/>
            <w:tcMar>
              <w:top w:w="80" w:type="dxa"/>
              <w:left w:w="80" w:type="dxa"/>
              <w:bottom w:w="80" w:type="dxa"/>
              <w:right w:w="80" w:type="dxa"/>
            </w:tcMar>
          </w:tcPr>
          <w:p w14:paraId="10FB3C02" w14:textId="427529E4" w:rsidR="00CF71F5" w:rsidRPr="00632DBC" w:rsidRDefault="00810C20" w:rsidP="008408B0">
            <w:pPr>
              <w:jc w:val="both"/>
              <w:rPr>
                <w:rFonts w:ascii="Times New Roman" w:hAnsi="Times New Roman"/>
                <w:sz w:val="18"/>
                <w:szCs w:val="18"/>
              </w:rPr>
            </w:pPr>
            <w:r w:rsidRPr="00632DBC">
              <w:rPr>
                <w:rFonts w:ascii="Times New Roman" w:hAnsi="Times New Roman"/>
                <w:sz w:val="18"/>
                <w:szCs w:val="18"/>
              </w:rPr>
              <w:t xml:space="preserve">Conference </w:t>
            </w:r>
            <w:r w:rsidR="00DB59D7" w:rsidRPr="00632DBC">
              <w:rPr>
                <w:rFonts w:ascii="Times New Roman" w:hAnsi="Times New Roman"/>
                <w:sz w:val="18"/>
                <w:szCs w:val="18"/>
              </w:rPr>
              <w:t>o</w:t>
            </w:r>
            <w:r w:rsidRPr="00632DBC">
              <w:rPr>
                <w:rFonts w:ascii="Times New Roman" w:hAnsi="Times New Roman"/>
                <w:sz w:val="18"/>
                <w:szCs w:val="18"/>
              </w:rPr>
              <w:t>f the Parties: governing body of the Convention o</w:t>
            </w:r>
            <w:r w:rsidR="00DB59D7" w:rsidRPr="00632DBC">
              <w:rPr>
                <w:rFonts w:ascii="Times New Roman" w:hAnsi="Times New Roman"/>
                <w:sz w:val="18"/>
                <w:szCs w:val="18"/>
              </w:rPr>
              <w:t>n</w:t>
            </w:r>
            <w:r w:rsidRPr="00632DBC">
              <w:rPr>
                <w:rFonts w:ascii="Times New Roman" w:hAnsi="Times New Roman"/>
                <w:sz w:val="18"/>
                <w:szCs w:val="18"/>
              </w:rPr>
              <w:t xml:space="preserve"> Biological Diversity</w:t>
            </w:r>
            <w:r w:rsidR="00DB59D7" w:rsidRPr="00632DBC">
              <w:rPr>
                <w:rFonts w:ascii="Times New Roman" w:hAnsi="Times New Roman"/>
                <w:sz w:val="18"/>
                <w:szCs w:val="18"/>
              </w:rPr>
              <w:t>. Generally, the COP</w:t>
            </w:r>
            <w:r w:rsidRPr="00632DBC">
              <w:rPr>
                <w:rFonts w:ascii="Times New Roman" w:hAnsi="Times New Roman"/>
                <w:sz w:val="18"/>
                <w:szCs w:val="18"/>
              </w:rPr>
              <w:t xml:space="preserve"> </w:t>
            </w:r>
            <w:r w:rsidR="00DB59D7" w:rsidRPr="00632DBC">
              <w:rPr>
                <w:rFonts w:ascii="Times New Roman" w:hAnsi="Times New Roman"/>
                <w:sz w:val="18"/>
                <w:szCs w:val="18"/>
              </w:rPr>
              <w:t xml:space="preserve">meetings are hold </w:t>
            </w:r>
            <w:r w:rsidRPr="00632DBC">
              <w:rPr>
                <w:rFonts w:ascii="Times New Roman" w:hAnsi="Times New Roman"/>
                <w:sz w:val="18"/>
                <w:szCs w:val="18"/>
              </w:rPr>
              <w:t xml:space="preserve">every </w:t>
            </w:r>
            <w:r w:rsidR="00DB59D7" w:rsidRPr="00632DBC">
              <w:rPr>
                <w:rFonts w:ascii="Times New Roman" w:hAnsi="Times New Roman"/>
                <w:sz w:val="18"/>
                <w:szCs w:val="18"/>
              </w:rPr>
              <w:t>second year</w:t>
            </w:r>
            <w:r w:rsidRPr="00632DBC">
              <w:rPr>
                <w:rFonts w:ascii="Times New Roman" w:hAnsi="Times New Roman"/>
                <w:sz w:val="18"/>
                <w:szCs w:val="18"/>
              </w:rPr>
              <w:t xml:space="preserve"> to take decisions</w:t>
            </w:r>
            <w:r w:rsidR="00DB59D7" w:rsidRPr="00632DBC">
              <w:rPr>
                <w:rFonts w:ascii="Times New Roman" w:hAnsi="Times New Roman"/>
                <w:sz w:val="18"/>
                <w:szCs w:val="18"/>
              </w:rPr>
              <w:t xml:space="preserve"> regarding the development and implementation of the Convention</w:t>
            </w:r>
            <w:r w:rsidRPr="00632DBC">
              <w:rPr>
                <w:rFonts w:ascii="Times New Roman" w:hAnsi="Times New Roman"/>
                <w:sz w:val="18"/>
                <w:szCs w:val="18"/>
              </w:rPr>
              <w:t>.</w:t>
            </w:r>
          </w:p>
        </w:tc>
      </w:tr>
      <w:tr w:rsidR="00633A71" w:rsidRPr="00632DBC" w14:paraId="7128BC6E" w14:textId="77777777" w:rsidTr="00002536">
        <w:trPr>
          <w:trHeight w:val="510"/>
        </w:trPr>
        <w:tc>
          <w:tcPr>
            <w:tcW w:w="1682" w:type="dxa"/>
            <w:shd w:val="clear" w:color="auto" w:fill="FFFFFF"/>
            <w:tcMar>
              <w:top w:w="80" w:type="dxa"/>
              <w:left w:w="80" w:type="dxa"/>
              <w:bottom w:w="80" w:type="dxa"/>
              <w:right w:w="80" w:type="dxa"/>
            </w:tcMar>
          </w:tcPr>
          <w:p w14:paraId="66B624A1" w14:textId="3C27BB28" w:rsidR="008408B0" w:rsidRPr="00632DBC" w:rsidRDefault="008408B0" w:rsidP="00CF7E8B">
            <w:pPr>
              <w:rPr>
                <w:rFonts w:ascii="Times New Roman" w:hAnsi="Times New Roman"/>
                <w:b/>
                <w:bCs/>
                <w:sz w:val="18"/>
                <w:szCs w:val="18"/>
              </w:rPr>
            </w:pPr>
            <w:r w:rsidRPr="00632DBC">
              <w:rPr>
                <w:rFonts w:ascii="Times New Roman" w:hAnsi="Times New Roman"/>
                <w:b/>
                <w:bCs/>
                <w:sz w:val="18"/>
                <w:szCs w:val="18"/>
              </w:rPr>
              <w:t>EC</w:t>
            </w:r>
          </w:p>
        </w:tc>
        <w:tc>
          <w:tcPr>
            <w:tcW w:w="6746" w:type="dxa"/>
            <w:shd w:val="clear" w:color="auto" w:fill="FFFFFF"/>
            <w:tcMar>
              <w:top w:w="80" w:type="dxa"/>
              <w:left w:w="80" w:type="dxa"/>
              <w:bottom w:w="80" w:type="dxa"/>
              <w:right w:w="80" w:type="dxa"/>
            </w:tcMar>
          </w:tcPr>
          <w:p w14:paraId="74A821E1" w14:textId="12EDA8E6" w:rsidR="008408B0" w:rsidRPr="00632DBC" w:rsidRDefault="008408B0" w:rsidP="008408B0">
            <w:pPr>
              <w:rPr>
                <w:rFonts w:ascii="Times New Roman" w:hAnsi="Times New Roman"/>
                <w:sz w:val="18"/>
                <w:szCs w:val="18"/>
                <w:shd w:val="clear" w:color="auto" w:fill="FFFFFF"/>
                <w:lang w:eastAsia="sv-SE" w:bidi="ar-SA"/>
              </w:rPr>
            </w:pPr>
            <w:r w:rsidRPr="00632DBC">
              <w:rPr>
                <w:rFonts w:ascii="Times New Roman" w:hAnsi="Times New Roman"/>
                <w:sz w:val="18"/>
                <w:szCs w:val="18"/>
              </w:rPr>
              <w:t>Ecological Compensation: measure to mitigate development impacts whereby loss</w:t>
            </w:r>
            <w:r w:rsidRPr="00632DBC">
              <w:rPr>
                <w:rFonts w:ascii="Times New Roman" w:hAnsi="Times New Roman"/>
                <w:sz w:val="18"/>
                <w:szCs w:val="18"/>
                <w:shd w:val="clear" w:color="auto" w:fill="FFFFFF"/>
                <w:lang w:eastAsia="sv-SE" w:bidi="ar-SA"/>
              </w:rPr>
              <w:t xml:space="preserve"> of natural values is remedied or offset by a corresponding compensatory action on the same site or elsewhere, determined through the process of Environmental Impact Assessment.</w:t>
            </w:r>
          </w:p>
        </w:tc>
      </w:tr>
      <w:tr w:rsidR="00633A71" w:rsidRPr="00632DBC" w14:paraId="5CAD65A1" w14:textId="77777777" w:rsidTr="00002536">
        <w:trPr>
          <w:trHeight w:val="510"/>
        </w:trPr>
        <w:tc>
          <w:tcPr>
            <w:tcW w:w="1682" w:type="dxa"/>
            <w:shd w:val="clear" w:color="auto" w:fill="FFFFFF"/>
            <w:tcMar>
              <w:top w:w="80" w:type="dxa"/>
              <w:left w:w="80" w:type="dxa"/>
              <w:bottom w:w="80" w:type="dxa"/>
              <w:right w:w="80" w:type="dxa"/>
            </w:tcMar>
          </w:tcPr>
          <w:p w14:paraId="704D84B7" w14:textId="5F348269" w:rsidR="00CF71F5" w:rsidRPr="00632DBC" w:rsidRDefault="00810C20" w:rsidP="00CF7E8B">
            <w:pPr>
              <w:rPr>
                <w:rFonts w:ascii="Times New Roman" w:hAnsi="Times New Roman"/>
                <w:b/>
                <w:bCs/>
                <w:sz w:val="18"/>
                <w:szCs w:val="18"/>
              </w:rPr>
            </w:pPr>
            <w:r w:rsidRPr="00632DBC">
              <w:rPr>
                <w:rFonts w:ascii="Times New Roman" w:hAnsi="Times New Roman"/>
                <w:b/>
                <w:bCs/>
                <w:sz w:val="18"/>
                <w:szCs w:val="18"/>
              </w:rPr>
              <w:lastRenderedPageBreak/>
              <w:t>EIA</w:t>
            </w:r>
          </w:p>
        </w:tc>
        <w:tc>
          <w:tcPr>
            <w:tcW w:w="6746" w:type="dxa"/>
            <w:shd w:val="clear" w:color="auto" w:fill="FFFFFF"/>
            <w:tcMar>
              <w:top w:w="80" w:type="dxa"/>
              <w:left w:w="80" w:type="dxa"/>
              <w:bottom w:w="80" w:type="dxa"/>
              <w:right w:w="80" w:type="dxa"/>
            </w:tcMar>
          </w:tcPr>
          <w:p w14:paraId="68E963FA" w14:textId="63CD8A03" w:rsidR="00CF71F5" w:rsidRPr="00632DBC" w:rsidRDefault="00810C20" w:rsidP="008408B0">
            <w:pPr>
              <w:spacing w:after="0"/>
              <w:jc w:val="both"/>
              <w:rPr>
                <w:rFonts w:ascii="Times New Roman" w:hAnsi="Times New Roman"/>
                <w:sz w:val="18"/>
                <w:szCs w:val="18"/>
              </w:rPr>
            </w:pPr>
            <w:r w:rsidRPr="00632DBC">
              <w:rPr>
                <w:rFonts w:ascii="Times New Roman" w:hAnsi="Times New Roman"/>
                <w:sz w:val="18"/>
                <w:szCs w:val="18"/>
              </w:rPr>
              <w:t>Environmental Impact Assessment: a formal study prior to implementation of a policy or project assessing its potential effects on the environment.</w:t>
            </w:r>
            <w:r w:rsidR="00CF6BDB" w:rsidRPr="00632DBC">
              <w:rPr>
                <w:rFonts w:ascii="Times New Roman" w:hAnsi="Times New Roman"/>
                <w:sz w:val="18"/>
                <w:szCs w:val="18"/>
              </w:rPr>
              <w:t xml:space="preserve"> </w:t>
            </w:r>
          </w:p>
        </w:tc>
      </w:tr>
      <w:tr w:rsidR="00633A71" w:rsidRPr="00632DBC" w14:paraId="62594677" w14:textId="77777777" w:rsidTr="00002536">
        <w:trPr>
          <w:trHeight w:val="510"/>
        </w:trPr>
        <w:tc>
          <w:tcPr>
            <w:tcW w:w="1682" w:type="dxa"/>
            <w:shd w:val="clear" w:color="auto" w:fill="FFFFFF"/>
            <w:tcMar>
              <w:top w:w="80" w:type="dxa"/>
              <w:left w:w="80" w:type="dxa"/>
              <w:bottom w:w="80" w:type="dxa"/>
              <w:right w:w="80" w:type="dxa"/>
            </w:tcMar>
          </w:tcPr>
          <w:p w14:paraId="2343A219" w14:textId="7A9D9423" w:rsidR="00ED4724" w:rsidRPr="00632DBC" w:rsidRDefault="00ED4724" w:rsidP="00CF7E8B">
            <w:pPr>
              <w:rPr>
                <w:rFonts w:ascii="Times New Roman" w:hAnsi="Times New Roman"/>
                <w:b/>
                <w:bCs/>
                <w:sz w:val="18"/>
                <w:szCs w:val="18"/>
              </w:rPr>
            </w:pPr>
            <w:r w:rsidRPr="00632DBC">
              <w:rPr>
                <w:rFonts w:ascii="Times New Roman" w:hAnsi="Times New Roman"/>
                <w:b/>
                <w:bCs/>
                <w:sz w:val="18"/>
                <w:szCs w:val="18"/>
              </w:rPr>
              <w:t>ESIA</w:t>
            </w:r>
          </w:p>
        </w:tc>
        <w:tc>
          <w:tcPr>
            <w:tcW w:w="6746" w:type="dxa"/>
            <w:shd w:val="clear" w:color="auto" w:fill="FFFFFF"/>
            <w:tcMar>
              <w:top w:w="80" w:type="dxa"/>
              <w:left w:w="80" w:type="dxa"/>
              <w:bottom w:w="80" w:type="dxa"/>
              <w:right w:w="80" w:type="dxa"/>
            </w:tcMar>
          </w:tcPr>
          <w:p w14:paraId="74AE6B5A" w14:textId="7C4AFCB4" w:rsidR="00ED4724" w:rsidRPr="00632DBC" w:rsidRDefault="00ED4724" w:rsidP="00CF71F5">
            <w:pPr>
              <w:spacing w:after="0"/>
              <w:jc w:val="both"/>
              <w:rPr>
                <w:rFonts w:ascii="Times New Roman" w:hAnsi="Times New Roman"/>
                <w:sz w:val="18"/>
                <w:szCs w:val="18"/>
              </w:rPr>
            </w:pPr>
            <w:r w:rsidRPr="00632DBC">
              <w:rPr>
                <w:rFonts w:ascii="Times New Roman" w:hAnsi="Times New Roman"/>
                <w:sz w:val="18"/>
                <w:szCs w:val="18"/>
              </w:rPr>
              <w:t xml:space="preserve">Environmental and Social Impact Assessment: type of EIA that includes an analysis on the social impacts, such as impacts to health and livelihoods, likely to happen during the construction and operation of development projects </w:t>
            </w:r>
            <w:proofErr w:type="gramStart"/>
            <w:r w:rsidRPr="00632DBC">
              <w:rPr>
                <w:rFonts w:ascii="Times New Roman" w:hAnsi="Times New Roman"/>
                <w:sz w:val="18"/>
                <w:szCs w:val="18"/>
              </w:rPr>
              <w:t>in order to</w:t>
            </w:r>
            <w:proofErr w:type="gramEnd"/>
            <w:r w:rsidRPr="00632DBC">
              <w:rPr>
                <w:rFonts w:ascii="Times New Roman" w:hAnsi="Times New Roman"/>
                <w:sz w:val="18"/>
                <w:szCs w:val="18"/>
              </w:rPr>
              <w:t xml:space="preserve"> prevent and mitigate possible social impacts.</w:t>
            </w:r>
          </w:p>
        </w:tc>
      </w:tr>
      <w:tr w:rsidR="00633A71" w:rsidRPr="00632DBC" w14:paraId="55C9D4B4" w14:textId="77777777" w:rsidTr="00002536">
        <w:trPr>
          <w:trHeight w:val="1714"/>
        </w:trPr>
        <w:tc>
          <w:tcPr>
            <w:tcW w:w="1682" w:type="dxa"/>
            <w:shd w:val="clear" w:color="auto" w:fill="FFFFFF"/>
            <w:tcMar>
              <w:top w:w="80" w:type="dxa"/>
              <w:left w:w="80" w:type="dxa"/>
              <w:bottom w:w="80" w:type="dxa"/>
              <w:right w:w="80" w:type="dxa"/>
            </w:tcMar>
          </w:tcPr>
          <w:p w14:paraId="4F9FFD74" w14:textId="5372C72A" w:rsidR="00520FA3" w:rsidRPr="00632DBC" w:rsidRDefault="007C60C7" w:rsidP="007C60C7">
            <w:pPr>
              <w:rPr>
                <w:rFonts w:ascii="Times New Roman" w:hAnsi="Times New Roman"/>
                <w:b/>
                <w:bCs/>
                <w:sz w:val="18"/>
                <w:szCs w:val="18"/>
              </w:rPr>
            </w:pPr>
            <w:r w:rsidRPr="00632DBC">
              <w:rPr>
                <w:rFonts w:ascii="Times New Roman" w:hAnsi="Times New Roman"/>
                <w:b/>
                <w:sz w:val="18"/>
                <w:szCs w:val="18"/>
              </w:rPr>
              <w:t>FPIC</w:t>
            </w:r>
            <w:r w:rsidRPr="00632DBC">
              <w:rPr>
                <w:rFonts w:ascii="Times New Roman" w:hAnsi="Times New Roman"/>
                <w:b/>
                <w:bCs/>
                <w:sz w:val="18"/>
                <w:szCs w:val="18"/>
              </w:rPr>
              <w:t xml:space="preserve"> </w:t>
            </w:r>
          </w:p>
        </w:tc>
        <w:tc>
          <w:tcPr>
            <w:tcW w:w="6746" w:type="dxa"/>
            <w:shd w:val="clear" w:color="auto" w:fill="FFFFFF"/>
            <w:tcMar>
              <w:top w:w="80" w:type="dxa"/>
              <w:left w:w="80" w:type="dxa"/>
              <w:bottom w:w="80" w:type="dxa"/>
              <w:right w:w="80" w:type="dxa"/>
            </w:tcMar>
          </w:tcPr>
          <w:p w14:paraId="47CB1AA4" w14:textId="0E14AFB2" w:rsidR="00520FA3" w:rsidRPr="00632DBC" w:rsidRDefault="007C60C7" w:rsidP="007C60C7">
            <w:pPr>
              <w:jc w:val="both"/>
              <w:rPr>
                <w:rFonts w:ascii="Times New Roman" w:hAnsi="Times New Roman"/>
                <w:sz w:val="18"/>
                <w:szCs w:val="18"/>
              </w:rPr>
            </w:pPr>
            <w:r w:rsidRPr="00632DBC">
              <w:rPr>
                <w:rFonts w:ascii="Times New Roman" w:hAnsi="Times New Roman"/>
                <w:sz w:val="18"/>
                <w:szCs w:val="18"/>
              </w:rPr>
              <w:t xml:space="preserve">Free Prior Informed Consent. Procedural measure that allows indigenous peoples and local communities to give or withhold consent to a project that may affect them or their territories. Once they have given their consent, they can withdraw it at any stage. Furthermore, FPIC enables them to negotiate the conditions under which the project will be designed, implemented, monitored and evaluated. </w:t>
            </w:r>
            <w:r w:rsidR="007959AA">
              <w:rPr>
                <w:rFonts w:ascii="Times New Roman" w:hAnsi="Times New Roman"/>
                <w:sz w:val="18"/>
                <w:szCs w:val="18"/>
              </w:rPr>
              <w:t>S</w:t>
            </w:r>
            <w:r w:rsidRPr="00632DBC">
              <w:rPr>
                <w:rFonts w:ascii="Times New Roman" w:hAnsi="Times New Roman"/>
                <w:sz w:val="18"/>
                <w:szCs w:val="18"/>
              </w:rPr>
              <w:t>pecific right that pertains to indigenous peoples and recognised in the United Nations Declaration on the Rights of Indigenous Peoples (UNDRIP) and in the CBD Mo’otz kuxtal voluntary guidelines.</w:t>
            </w:r>
            <w:r w:rsidR="00CB3074" w:rsidRPr="00632DBC">
              <w:rPr>
                <w:rFonts w:ascii="Times New Roman" w:hAnsi="Times New Roman"/>
                <w:sz w:val="18"/>
                <w:szCs w:val="18"/>
              </w:rPr>
              <w:t xml:space="preserve"> In this </w:t>
            </w:r>
          </w:p>
        </w:tc>
      </w:tr>
      <w:tr w:rsidR="00633A71" w:rsidRPr="00632DBC" w14:paraId="00CD1E82" w14:textId="77777777" w:rsidTr="00002536">
        <w:trPr>
          <w:trHeight w:val="510"/>
        </w:trPr>
        <w:tc>
          <w:tcPr>
            <w:tcW w:w="1682" w:type="dxa"/>
            <w:shd w:val="clear" w:color="auto" w:fill="FFFFFF"/>
            <w:tcMar>
              <w:top w:w="80" w:type="dxa"/>
              <w:left w:w="80" w:type="dxa"/>
              <w:bottom w:w="80" w:type="dxa"/>
              <w:right w:w="80" w:type="dxa"/>
            </w:tcMar>
          </w:tcPr>
          <w:p w14:paraId="3F080E0D" w14:textId="754F7198" w:rsidR="009B166F" w:rsidRPr="00632DBC" w:rsidRDefault="007C60C7" w:rsidP="007C60C7">
            <w:pPr>
              <w:rPr>
                <w:rFonts w:ascii="Times New Roman" w:hAnsi="Times New Roman"/>
                <w:b/>
                <w:sz w:val="18"/>
                <w:szCs w:val="18"/>
              </w:rPr>
            </w:pPr>
            <w:r w:rsidRPr="00632DBC">
              <w:rPr>
                <w:rFonts w:ascii="Times New Roman" w:hAnsi="Times New Roman"/>
                <w:b/>
                <w:bCs/>
                <w:sz w:val="18"/>
                <w:szCs w:val="18"/>
              </w:rPr>
              <w:t>GEF</w:t>
            </w:r>
          </w:p>
        </w:tc>
        <w:tc>
          <w:tcPr>
            <w:tcW w:w="6746" w:type="dxa"/>
            <w:shd w:val="clear" w:color="auto" w:fill="FFFFFF"/>
            <w:tcMar>
              <w:top w:w="80" w:type="dxa"/>
              <w:left w:w="80" w:type="dxa"/>
              <w:bottom w:w="80" w:type="dxa"/>
              <w:right w:w="80" w:type="dxa"/>
            </w:tcMar>
          </w:tcPr>
          <w:p w14:paraId="330FD0E1" w14:textId="7C049706" w:rsidR="009B166F" w:rsidRPr="00632DBC" w:rsidRDefault="007C60C7" w:rsidP="007C60C7">
            <w:pPr>
              <w:rPr>
                <w:rFonts w:ascii="Times New Roman" w:hAnsi="Times New Roman"/>
                <w:sz w:val="18"/>
                <w:szCs w:val="18"/>
              </w:rPr>
            </w:pPr>
            <w:r w:rsidRPr="00632DBC">
              <w:rPr>
                <w:rFonts w:ascii="Times New Roman" w:hAnsi="Times New Roman"/>
                <w:sz w:val="18"/>
                <w:szCs w:val="18"/>
              </w:rPr>
              <w:t xml:space="preserve">Global Environment Facility: public funder which gathers in a partnership 182 countries, international institutions, companies and civil society organisations, </w:t>
            </w:r>
            <w:proofErr w:type="gramStart"/>
            <w:r w:rsidRPr="00632DBC">
              <w:rPr>
                <w:rFonts w:ascii="Times New Roman" w:hAnsi="Times New Roman"/>
                <w:sz w:val="18"/>
                <w:szCs w:val="18"/>
              </w:rPr>
              <w:t>in order to</w:t>
            </w:r>
            <w:proofErr w:type="gramEnd"/>
            <w:r w:rsidRPr="00632DBC">
              <w:rPr>
                <w:rFonts w:ascii="Times New Roman" w:hAnsi="Times New Roman"/>
                <w:sz w:val="18"/>
                <w:szCs w:val="18"/>
              </w:rPr>
              <w:t xml:space="preserve"> foster sustainable development initiatives and tackle global environment issues.</w:t>
            </w:r>
            <w:r w:rsidRPr="00632DBC">
              <w:rPr>
                <w:rFonts w:ascii="Times New Roman" w:eastAsiaTheme="minorEastAsia" w:hAnsi="Times New Roman"/>
                <w:sz w:val="18"/>
                <w:szCs w:val="18"/>
              </w:rPr>
              <w:t xml:space="preserve"> </w:t>
            </w:r>
          </w:p>
        </w:tc>
      </w:tr>
      <w:tr w:rsidR="00633A71" w:rsidRPr="00632DBC" w14:paraId="0CAF2A82" w14:textId="77777777" w:rsidTr="00002536">
        <w:trPr>
          <w:trHeight w:val="510"/>
        </w:trPr>
        <w:tc>
          <w:tcPr>
            <w:tcW w:w="1682" w:type="dxa"/>
            <w:shd w:val="clear" w:color="auto" w:fill="FFFFFF"/>
            <w:tcMar>
              <w:top w:w="80" w:type="dxa"/>
              <w:left w:w="80" w:type="dxa"/>
              <w:bottom w:w="80" w:type="dxa"/>
              <w:right w:w="80" w:type="dxa"/>
            </w:tcMar>
          </w:tcPr>
          <w:p w14:paraId="14B77937" w14:textId="7C2EEBCA" w:rsidR="00520FA3" w:rsidRPr="00632DBC" w:rsidRDefault="004D570C" w:rsidP="00CF7E8B">
            <w:pPr>
              <w:rPr>
                <w:rFonts w:ascii="Times New Roman" w:hAnsi="Times New Roman"/>
                <w:b/>
                <w:bCs/>
                <w:sz w:val="18"/>
                <w:szCs w:val="18"/>
              </w:rPr>
            </w:pPr>
            <w:r w:rsidRPr="00632DBC">
              <w:rPr>
                <w:rFonts w:ascii="Times New Roman" w:hAnsi="Times New Roman"/>
                <w:b/>
                <w:bCs/>
                <w:sz w:val="18"/>
                <w:szCs w:val="18"/>
              </w:rPr>
              <w:t>ICCA</w:t>
            </w:r>
          </w:p>
        </w:tc>
        <w:tc>
          <w:tcPr>
            <w:tcW w:w="6746" w:type="dxa"/>
            <w:shd w:val="clear" w:color="auto" w:fill="FFFFFF"/>
            <w:tcMar>
              <w:top w:w="80" w:type="dxa"/>
              <w:left w:w="80" w:type="dxa"/>
              <w:bottom w:w="80" w:type="dxa"/>
              <w:right w:w="80" w:type="dxa"/>
            </w:tcMar>
          </w:tcPr>
          <w:p w14:paraId="5DB1E51B" w14:textId="2B80FD5B" w:rsidR="00520FA3" w:rsidRPr="00633A71" w:rsidRDefault="00ED4724" w:rsidP="00ED4724">
            <w:pPr>
              <w:jc w:val="both"/>
              <w:rPr>
                <w:rFonts w:ascii="Times New Roman" w:hAnsi="Times New Roman"/>
                <w:sz w:val="18"/>
                <w:szCs w:val="18"/>
              </w:rPr>
            </w:pPr>
            <w:r w:rsidRPr="00632DBC">
              <w:rPr>
                <w:rFonts w:ascii="Times New Roman" w:eastAsiaTheme="minorEastAsia" w:hAnsi="Times New Roman"/>
                <w:sz w:val="18"/>
              </w:rPr>
              <w:t xml:space="preserve">Abbreviation for “territories and areas conserved by indigenous peoples and local communities” or “territories of life”. A close association is often found between a specific indigenous people or local community and a specific territory, area, or body of natural resources. When such an association is combined with effective local governance and conservation of nature, we speak of an “ICCA”. </w:t>
            </w:r>
          </w:p>
        </w:tc>
      </w:tr>
      <w:tr w:rsidR="00633A71" w:rsidRPr="00632DBC" w14:paraId="2913FB03" w14:textId="77777777" w:rsidTr="00002536">
        <w:trPr>
          <w:trHeight w:val="510"/>
        </w:trPr>
        <w:tc>
          <w:tcPr>
            <w:tcW w:w="1682" w:type="dxa"/>
            <w:shd w:val="clear" w:color="auto" w:fill="FFFFFF"/>
            <w:tcMar>
              <w:top w:w="80" w:type="dxa"/>
              <w:left w:w="80" w:type="dxa"/>
              <w:bottom w:w="80" w:type="dxa"/>
              <w:right w:w="80" w:type="dxa"/>
            </w:tcMar>
          </w:tcPr>
          <w:p w14:paraId="7250BBB0" w14:textId="77777777" w:rsidR="00AC1FEE" w:rsidRPr="00632DBC" w:rsidRDefault="00AC1FEE" w:rsidP="00980AB2">
            <w:pPr>
              <w:spacing w:after="0"/>
              <w:rPr>
                <w:rFonts w:ascii="Times New Roman" w:hAnsi="Times New Roman"/>
                <w:b/>
                <w:bCs/>
                <w:sz w:val="20"/>
                <w:szCs w:val="20"/>
              </w:rPr>
            </w:pPr>
            <w:r w:rsidRPr="00632DBC">
              <w:rPr>
                <w:rFonts w:ascii="Times New Roman" w:hAnsi="Times New Roman"/>
                <w:b/>
                <w:bCs/>
                <w:sz w:val="18"/>
                <w:szCs w:val="18"/>
              </w:rPr>
              <w:t>IEE</w:t>
            </w:r>
          </w:p>
          <w:p w14:paraId="0320BC57" w14:textId="074D7798" w:rsidR="00980AB2" w:rsidRPr="00632DBC" w:rsidRDefault="00980AB2" w:rsidP="00980AB2">
            <w:pPr>
              <w:spacing w:after="0"/>
              <w:rPr>
                <w:rFonts w:ascii="Times New Roman" w:hAnsi="Times New Roman"/>
                <w:b/>
                <w:bCs/>
                <w:sz w:val="18"/>
                <w:szCs w:val="18"/>
              </w:rPr>
            </w:pPr>
          </w:p>
        </w:tc>
        <w:tc>
          <w:tcPr>
            <w:tcW w:w="6746" w:type="dxa"/>
            <w:shd w:val="clear" w:color="auto" w:fill="FFFFFF"/>
            <w:tcMar>
              <w:top w:w="80" w:type="dxa"/>
              <w:left w:w="80" w:type="dxa"/>
              <w:bottom w:w="80" w:type="dxa"/>
              <w:right w:w="80" w:type="dxa"/>
            </w:tcMar>
          </w:tcPr>
          <w:p w14:paraId="19E609D5" w14:textId="1888CB0C" w:rsidR="00980AB2" w:rsidRPr="00632DBC" w:rsidRDefault="00AC1FEE" w:rsidP="00ED4724">
            <w:pPr>
              <w:pStyle w:val="Default"/>
              <w:spacing w:after="0"/>
              <w:rPr>
                <w:rFonts w:ascii="Times New Roman" w:eastAsiaTheme="minorEastAsia" w:hAnsi="Times New Roman"/>
                <w:color w:val="auto"/>
                <w:sz w:val="18"/>
                <w:szCs w:val="18"/>
                <w:lang w:val="en-GB" w:eastAsia="sv-SE"/>
              </w:rPr>
            </w:pPr>
            <w:r w:rsidRPr="00632DBC">
              <w:rPr>
                <w:rFonts w:ascii="Times New Roman" w:eastAsiaTheme="minorEastAsia" w:hAnsi="Times New Roman"/>
                <w:color w:val="auto"/>
                <w:sz w:val="18"/>
                <w:szCs w:val="18"/>
                <w:lang w:val="en-GB" w:eastAsia="sv-SE"/>
              </w:rPr>
              <w:t>Initi</w:t>
            </w:r>
            <w:r w:rsidR="003A5FBD" w:rsidRPr="00632DBC">
              <w:rPr>
                <w:rFonts w:ascii="Times New Roman" w:eastAsiaTheme="minorEastAsia" w:hAnsi="Times New Roman"/>
                <w:color w:val="auto"/>
                <w:sz w:val="18"/>
                <w:szCs w:val="18"/>
                <w:lang w:val="en-GB" w:eastAsia="sv-SE"/>
              </w:rPr>
              <w:t>al environmental examination: type of E</w:t>
            </w:r>
            <w:r w:rsidR="007754CA" w:rsidRPr="00632DBC">
              <w:rPr>
                <w:rFonts w:ascii="Times New Roman" w:eastAsiaTheme="minorEastAsia" w:hAnsi="Times New Roman"/>
                <w:color w:val="auto"/>
                <w:sz w:val="18"/>
                <w:szCs w:val="18"/>
                <w:lang w:val="en-GB" w:eastAsia="sv-SE"/>
              </w:rPr>
              <w:t>S</w:t>
            </w:r>
            <w:r w:rsidR="003A5FBD" w:rsidRPr="00632DBC">
              <w:rPr>
                <w:rFonts w:ascii="Times New Roman" w:eastAsiaTheme="minorEastAsia" w:hAnsi="Times New Roman"/>
                <w:color w:val="auto"/>
                <w:sz w:val="18"/>
                <w:szCs w:val="18"/>
                <w:lang w:val="en-GB" w:eastAsia="sv-SE"/>
              </w:rPr>
              <w:t xml:space="preserve">IA conducted in development projects </w:t>
            </w:r>
            <w:r w:rsidR="007754CA" w:rsidRPr="00632DBC">
              <w:rPr>
                <w:rFonts w:ascii="Times New Roman" w:eastAsiaTheme="minorEastAsia" w:hAnsi="Times New Roman"/>
                <w:color w:val="auto"/>
                <w:sz w:val="18"/>
                <w:szCs w:val="18"/>
                <w:lang w:val="en-GB" w:eastAsia="sv-SE"/>
              </w:rPr>
              <w:t>considered small or creating low</w:t>
            </w:r>
            <w:r w:rsidR="00CF6BDB" w:rsidRPr="00632DBC">
              <w:rPr>
                <w:rFonts w:ascii="Times New Roman" w:eastAsiaTheme="minorEastAsia" w:hAnsi="Times New Roman"/>
                <w:color w:val="auto"/>
                <w:sz w:val="18"/>
                <w:szCs w:val="18"/>
                <w:lang w:val="en-GB" w:eastAsia="sv-SE"/>
              </w:rPr>
              <w:t>er</w:t>
            </w:r>
            <w:r w:rsidR="007754CA" w:rsidRPr="00632DBC">
              <w:rPr>
                <w:rFonts w:ascii="Times New Roman" w:eastAsiaTheme="minorEastAsia" w:hAnsi="Times New Roman"/>
                <w:color w:val="auto"/>
                <w:sz w:val="18"/>
                <w:szCs w:val="18"/>
                <w:lang w:val="en-GB" w:eastAsia="sv-SE"/>
              </w:rPr>
              <w:t xml:space="preserve"> impacts on the environment and society</w:t>
            </w:r>
            <w:r w:rsidR="00CF6BDB" w:rsidRPr="00632DBC">
              <w:rPr>
                <w:rFonts w:ascii="Times New Roman" w:eastAsiaTheme="minorEastAsia" w:hAnsi="Times New Roman"/>
                <w:color w:val="auto"/>
                <w:sz w:val="18"/>
                <w:szCs w:val="18"/>
                <w:lang w:val="en-GB" w:eastAsia="sv-SE"/>
              </w:rPr>
              <w:t>.</w:t>
            </w:r>
          </w:p>
        </w:tc>
      </w:tr>
      <w:tr w:rsidR="00633A71" w:rsidRPr="00632DBC" w14:paraId="22A7B4D7" w14:textId="77777777" w:rsidTr="00002536">
        <w:trPr>
          <w:trHeight w:val="940"/>
        </w:trPr>
        <w:tc>
          <w:tcPr>
            <w:tcW w:w="1682" w:type="dxa"/>
            <w:shd w:val="clear" w:color="auto" w:fill="FFFFFF"/>
            <w:tcMar>
              <w:top w:w="80" w:type="dxa"/>
              <w:left w:w="80" w:type="dxa"/>
              <w:bottom w:w="80" w:type="dxa"/>
              <w:right w:w="80" w:type="dxa"/>
            </w:tcMar>
          </w:tcPr>
          <w:p w14:paraId="0FC974A2"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IPCC</w:t>
            </w:r>
          </w:p>
        </w:tc>
        <w:tc>
          <w:tcPr>
            <w:tcW w:w="6746" w:type="dxa"/>
            <w:shd w:val="clear" w:color="auto" w:fill="FFFFFF"/>
            <w:tcMar>
              <w:top w:w="80" w:type="dxa"/>
              <w:left w:w="80" w:type="dxa"/>
              <w:bottom w:w="80" w:type="dxa"/>
              <w:right w:w="80" w:type="dxa"/>
            </w:tcMar>
          </w:tcPr>
          <w:p w14:paraId="3E8C2D03"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Intergovernmental Panel on Climate Change: an international body under the auspices of the UN that assesses climate change. Its periodic reports gather scientific and policy communities for detailed review of the scientific evidence on climate change, its impacts and its mitigation.</w:t>
            </w:r>
          </w:p>
        </w:tc>
      </w:tr>
      <w:tr w:rsidR="00633A71" w:rsidRPr="00632DBC" w14:paraId="7891C199" w14:textId="77777777" w:rsidTr="00002536">
        <w:trPr>
          <w:trHeight w:val="510"/>
        </w:trPr>
        <w:tc>
          <w:tcPr>
            <w:tcW w:w="1682" w:type="dxa"/>
            <w:shd w:val="clear" w:color="auto" w:fill="FFFFFF"/>
            <w:tcMar>
              <w:top w:w="80" w:type="dxa"/>
              <w:left w:w="80" w:type="dxa"/>
              <w:bottom w:w="80" w:type="dxa"/>
              <w:right w:w="80" w:type="dxa"/>
            </w:tcMar>
          </w:tcPr>
          <w:p w14:paraId="747BC8D1" w14:textId="77777777" w:rsidR="00810C20" w:rsidRPr="00632DBC" w:rsidRDefault="00810C20" w:rsidP="00CF6BDB">
            <w:pPr>
              <w:spacing w:after="0"/>
              <w:rPr>
                <w:rFonts w:ascii="Times New Roman" w:hAnsi="Times New Roman"/>
                <w:b/>
                <w:bCs/>
                <w:sz w:val="18"/>
                <w:szCs w:val="18"/>
              </w:rPr>
            </w:pPr>
            <w:r w:rsidRPr="00632DBC">
              <w:rPr>
                <w:rFonts w:ascii="Times New Roman" w:hAnsi="Times New Roman"/>
                <w:b/>
                <w:bCs/>
                <w:sz w:val="18"/>
                <w:szCs w:val="18"/>
              </w:rPr>
              <w:t>IUCN</w:t>
            </w:r>
          </w:p>
          <w:p w14:paraId="4BD3F33C" w14:textId="77777777" w:rsidR="00CF6BDB" w:rsidRPr="00632DBC" w:rsidRDefault="00CF6BDB" w:rsidP="00CF6BDB">
            <w:pPr>
              <w:spacing w:after="0"/>
              <w:rPr>
                <w:rFonts w:ascii="Times New Roman" w:hAnsi="Times New Roman"/>
                <w:b/>
                <w:bCs/>
                <w:sz w:val="18"/>
                <w:szCs w:val="18"/>
              </w:rPr>
            </w:pPr>
          </w:p>
          <w:p w14:paraId="58F854A5" w14:textId="77777777" w:rsidR="00CF6BDB" w:rsidRPr="00632DBC" w:rsidRDefault="00CF6BDB" w:rsidP="00CF6BDB">
            <w:pPr>
              <w:spacing w:after="0"/>
              <w:rPr>
                <w:rFonts w:ascii="Times New Roman" w:hAnsi="Times New Roman"/>
                <w:b/>
                <w:bCs/>
                <w:sz w:val="18"/>
                <w:szCs w:val="18"/>
              </w:rPr>
            </w:pPr>
          </w:p>
          <w:p w14:paraId="3F8BC59D" w14:textId="77777777" w:rsidR="00CF6BDB" w:rsidRPr="00632DBC" w:rsidRDefault="00CF6BDB" w:rsidP="00CF6BDB">
            <w:pPr>
              <w:spacing w:after="0"/>
              <w:rPr>
                <w:rFonts w:ascii="Times New Roman" w:hAnsi="Times New Roman"/>
                <w:b/>
                <w:bCs/>
                <w:sz w:val="18"/>
                <w:szCs w:val="18"/>
              </w:rPr>
            </w:pPr>
          </w:p>
          <w:p w14:paraId="16D17366" w14:textId="6FCF55FB" w:rsidR="00CF6BDB" w:rsidRPr="00632DBC" w:rsidRDefault="00CF6BDB" w:rsidP="00CF6BDB">
            <w:pPr>
              <w:spacing w:after="0"/>
              <w:rPr>
                <w:rFonts w:ascii="Times New Roman" w:hAnsi="Times New Roman"/>
                <w:b/>
                <w:bCs/>
                <w:sz w:val="18"/>
                <w:szCs w:val="18"/>
              </w:rPr>
            </w:pPr>
          </w:p>
        </w:tc>
        <w:tc>
          <w:tcPr>
            <w:tcW w:w="6746" w:type="dxa"/>
            <w:shd w:val="clear" w:color="auto" w:fill="FFFFFF"/>
            <w:tcMar>
              <w:top w:w="80" w:type="dxa"/>
              <w:left w:w="80" w:type="dxa"/>
              <w:bottom w:w="80" w:type="dxa"/>
              <w:right w:w="80" w:type="dxa"/>
            </w:tcMar>
          </w:tcPr>
          <w:p w14:paraId="7C44DAFB" w14:textId="0D5A878F" w:rsidR="00CF6BDB" w:rsidRPr="00632DBC" w:rsidRDefault="00810C20" w:rsidP="006A5536">
            <w:pPr>
              <w:spacing w:after="0" w:line="240" w:lineRule="auto"/>
              <w:rPr>
                <w:rFonts w:ascii="Times" w:hAnsi="Times"/>
                <w:sz w:val="18"/>
              </w:rPr>
            </w:pPr>
            <w:r w:rsidRPr="00632DBC">
              <w:rPr>
                <w:rFonts w:ascii="Times" w:hAnsi="Times"/>
                <w:sz w:val="18"/>
                <w:szCs w:val="18"/>
              </w:rPr>
              <w:t xml:space="preserve">International Union for the Conservation of Nature: </w:t>
            </w:r>
            <w:r w:rsidR="00564468" w:rsidRPr="00632DBC">
              <w:rPr>
                <w:rFonts w:ascii="Times" w:hAnsi="Times"/>
                <w:sz w:val="18"/>
                <w:szCs w:val="18"/>
                <w:shd w:val="clear" w:color="auto" w:fill="FFFFFF"/>
              </w:rPr>
              <w:t xml:space="preserve"> a</w:t>
            </w:r>
            <w:r w:rsidR="00564468" w:rsidRPr="00632DBC">
              <w:rPr>
                <w:rStyle w:val="apple-converted-space"/>
                <w:rFonts w:ascii="Times" w:hAnsi="Times"/>
                <w:sz w:val="18"/>
                <w:szCs w:val="18"/>
                <w:shd w:val="clear" w:color="auto" w:fill="FFFFFF"/>
              </w:rPr>
              <w:t> </w:t>
            </w:r>
            <w:r w:rsidR="00564468" w:rsidRPr="00633A71">
              <w:rPr>
                <w:rFonts w:ascii="Times" w:hAnsi="Times"/>
                <w:sz w:val="18"/>
                <w:szCs w:val="18"/>
              </w:rPr>
              <w:t>membership Union</w:t>
            </w:r>
            <w:r w:rsidR="00564468" w:rsidRPr="00632DBC">
              <w:rPr>
                <w:rStyle w:val="apple-converted-space"/>
                <w:rFonts w:ascii="Times" w:hAnsi="Times"/>
                <w:sz w:val="18"/>
                <w:szCs w:val="18"/>
                <w:shd w:val="clear" w:color="auto" w:fill="FFFFFF"/>
              </w:rPr>
              <w:t> </w:t>
            </w:r>
            <w:r w:rsidR="00564468" w:rsidRPr="00632DBC">
              <w:rPr>
                <w:rFonts w:ascii="Times" w:hAnsi="Times"/>
                <w:sz w:val="18"/>
                <w:szCs w:val="18"/>
                <w:shd w:val="clear" w:color="auto" w:fill="FFFFFF"/>
              </w:rPr>
              <w:t xml:space="preserve">composed of both government and civil society organisations. It aims at </w:t>
            </w:r>
            <w:proofErr w:type="gramStart"/>
            <w:r w:rsidR="00564468" w:rsidRPr="00632DBC">
              <w:rPr>
                <w:rFonts w:ascii="Times" w:hAnsi="Times"/>
                <w:sz w:val="18"/>
                <w:szCs w:val="18"/>
                <w:shd w:val="clear" w:color="auto" w:fill="FFFFFF"/>
              </w:rPr>
              <w:t>provide</w:t>
            </w:r>
            <w:proofErr w:type="gramEnd"/>
            <w:r w:rsidR="00564468" w:rsidRPr="00632DBC">
              <w:rPr>
                <w:rFonts w:ascii="Times" w:hAnsi="Times"/>
                <w:sz w:val="18"/>
                <w:szCs w:val="18"/>
                <w:shd w:val="clear" w:color="auto" w:fill="FFFFFF"/>
              </w:rPr>
              <w:t xml:space="preserve"> public, private and non-governmental </w:t>
            </w:r>
            <w:proofErr w:type="spellStart"/>
            <w:r w:rsidR="00564468" w:rsidRPr="00632DBC">
              <w:rPr>
                <w:rFonts w:ascii="Times" w:hAnsi="Times"/>
                <w:sz w:val="18"/>
                <w:szCs w:val="18"/>
                <w:shd w:val="clear" w:color="auto" w:fill="FFFFFF"/>
              </w:rPr>
              <w:t>organ</w:t>
            </w:r>
            <w:r w:rsidR="00320DA4">
              <w:rPr>
                <w:rFonts w:ascii="Times" w:hAnsi="Times"/>
                <w:sz w:val="18"/>
                <w:szCs w:val="18"/>
                <w:shd w:val="clear" w:color="auto" w:fill="FFFFFF"/>
              </w:rPr>
              <w:t>s</w:t>
            </w:r>
            <w:r w:rsidR="00564468" w:rsidRPr="00632DBC">
              <w:rPr>
                <w:rFonts w:ascii="Times" w:hAnsi="Times"/>
                <w:sz w:val="18"/>
                <w:szCs w:val="18"/>
                <w:shd w:val="clear" w:color="auto" w:fill="FFFFFF"/>
              </w:rPr>
              <w:t>isations</w:t>
            </w:r>
            <w:proofErr w:type="spellEnd"/>
            <w:r w:rsidR="00564468" w:rsidRPr="00632DBC">
              <w:rPr>
                <w:rFonts w:ascii="Times" w:hAnsi="Times"/>
                <w:sz w:val="18"/>
                <w:szCs w:val="18"/>
                <w:shd w:val="clear" w:color="auto" w:fill="FFFFFF"/>
              </w:rPr>
              <w:t xml:space="preserve"> with knowledge and tools that enable human progress, economic development and nature conservation to take place together. IUCN was founded in 1948.</w:t>
            </w:r>
          </w:p>
        </w:tc>
      </w:tr>
      <w:tr w:rsidR="00633A71" w:rsidRPr="00632DBC" w14:paraId="0B7FAEC9" w14:textId="77777777" w:rsidTr="00002536">
        <w:trPr>
          <w:trHeight w:val="513"/>
        </w:trPr>
        <w:tc>
          <w:tcPr>
            <w:tcW w:w="1682" w:type="dxa"/>
            <w:shd w:val="clear" w:color="auto" w:fill="FFFFFF"/>
            <w:tcMar>
              <w:top w:w="80" w:type="dxa"/>
              <w:left w:w="80" w:type="dxa"/>
              <w:bottom w:w="80" w:type="dxa"/>
              <w:right w:w="80" w:type="dxa"/>
            </w:tcMar>
          </w:tcPr>
          <w:p w14:paraId="7399E9DD" w14:textId="002274A6" w:rsidR="006A5536" w:rsidRPr="00632DBC" w:rsidRDefault="006A5536" w:rsidP="008408B0">
            <w:pPr>
              <w:rPr>
                <w:rFonts w:ascii="Times New Roman" w:hAnsi="Times New Roman"/>
                <w:b/>
                <w:bCs/>
                <w:sz w:val="18"/>
                <w:szCs w:val="18"/>
              </w:rPr>
            </w:pPr>
            <w:r w:rsidRPr="00632DBC">
              <w:rPr>
                <w:rFonts w:ascii="Times New Roman" w:hAnsi="Times New Roman"/>
                <w:b/>
                <w:bCs/>
                <w:sz w:val="18"/>
                <w:szCs w:val="18"/>
              </w:rPr>
              <w:t>Lao PDR</w:t>
            </w:r>
          </w:p>
        </w:tc>
        <w:tc>
          <w:tcPr>
            <w:tcW w:w="6746" w:type="dxa"/>
            <w:shd w:val="clear" w:color="auto" w:fill="FFFFFF"/>
            <w:tcMar>
              <w:top w:w="80" w:type="dxa"/>
              <w:left w:w="80" w:type="dxa"/>
              <w:bottom w:w="80" w:type="dxa"/>
              <w:right w:w="80" w:type="dxa"/>
            </w:tcMar>
          </w:tcPr>
          <w:p w14:paraId="72ADAAD5" w14:textId="0AFE2BEE" w:rsidR="006A5536" w:rsidRPr="00633A71" w:rsidRDefault="006A5536" w:rsidP="008408B0">
            <w:pPr>
              <w:spacing w:line="240" w:lineRule="auto"/>
              <w:rPr>
                <w:rFonts w:ascii="Times" w:hAnsi="Times"/>
                <w:sz w:val="18"/>
                <w:szCs w:val="18"/>
              </w:rPr>
            </w:pPr>
            <w:r w:rsidRPr="00632DBC">
              <w:rPr>
                <w:rFonts w:ascii="Times" w:hAnsi="Times"/>
                <w:sz w:val="18"/>
              </w:rPr>
              <w:t>Lao People’s Democratic Republic</w:t>
            </w:r>
          </w:p>
        </w:tc>
      </w:tr>
      <w:tr w:rsidR="00633A71" w:rsidRPr="00632DBC" w14:paraId="3D1444FD" w14:textId="77777777" w:rsidTr="00002536">
        <w:trPr>
          <w:trHeight w:val="510"/>
        </w:trPr>
        <w:tc>
          <w:tcPr>
            <w:tcW w:w="1682" w:type="dxa"/>
            <w:shd w:val="clear" w:color="auto" w:fill="FFFFFF"/>
            <w:tcMar>
              <w:top w:w="80" w:type="dxa"/>
              <w:left w:w="80" w:type="dxa"/>
              <w:bottom w:w="80" w:type="dxa"/>
              <w:right w:w="80" w:type="dxa"/>
            </w:tcMar>
          </w:tcPr>
          <w:p w14:paraId="0ABCF283"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MA</w:t>
            </w:r>
          </w:p>
        </w:tc>
        <w:tc>
          <w:tcPr>
            <w:tcW w:w="6746" w:type="dxa"/>
            <w:shd w:val="clear" w:color="auto" w:fill="FFFFFF"/>
            <w:tcMar>
              <w:top w:w="80" w:type="dxa"/>
              <w:left w:w="80" w:type="dxa"/>
              <w:bottom w:w="80" w:type="dxa"/>
              <w:right w:w="80" w:type="dxa"/>
            </w:tcMar>
          </w:tcPr>
          <w:p w14:paraId="0DB03CAC" w14:textId="0BD7E54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Millennium Ecosystem Assessment: international </w:t>
            </w:r>
            <w:r w:rsidR="00520FA3" w:rsidRPr="00632DBC">
              <w:rPr>
                <w:rFonts w:ascii="Times New Roman" w:hAnsi="Times New Roman"/>
                <w:sz w:val="18"/>
                <w:szCs w:val="18"/>
              </w:rPr>
              <w:t>assessment produced</w:t>
            </w:r>
            <w:r w:rsidRPr="00632DBC">
              <w:rPr>
                <w:rFonts w:ascii="Times New Roman" w:hAnsi="Times New Roman"/>
                <w:sz w:val="18"/>
                <w:szCs w:val="18"/>
              </w:rPr>
              <w:t xml:space="preserve"> by </w:t>
            </w:r>
            <w:r w:rsidR="00520FA3" w:rsidRPr="00632DBC">
              <w:rPr>
                <w:rFonts w:ascii="Times New Roman" w:hAnsi="Times New Roman"/>
                <w:sz w:val="18"/>
                <w:szCs w:val="18"/>
              </w:rPr>
              <w:t xml:space="preserve">the </w:t>
            </w:r>
            <w:r w:rsidRPr="00632DBC">
              <w:rPr>
                <w:rFonts w:ascii="Times New Roman" w:hAnsi="Times New Roman"/>
                <w:sz w:val="18"/>
                <w:szCs w:val="18"/>
              </w:rPr>
              <w:t>leading scienti</w:t>
            </w:r>
            <w:r w:rsidR="00520FA3" w:rsidRPr="00632DBC">
              <w:rPr>
                <w:rFonts w:ascii="Times New Roman" w:hAnsi="Times New Roman"/>
                <w:sz w:val="18"/>
                <w:szCs w:val="18"/>
              </w:rPr>
              <w:t>fic community</w:t>
            </w:r>
            <w:r w:rsidRPr="00632DBC">
              <w:rPr>
                <w:rFonts w:ascii="Times New Roman" w:hAnsi="Times New Roman"/>
                <w:sz w:val="18"/>
                <w:szCs w:val="18"/>
              </w:rPr>
              <w:t xml:space="preserve"> published in 2005 that analyses the state of the world’s ecosystems and the impact of mankind on biodiversity. </w:t>
            </w:r>
          </w:p>
        </w:tc>
      </w:tr>
      <w:tr w:rsidR="00633A71" w:rsidRPr="00632DBC" w14:paraId="651CB6C4" w14:textId="77777777" w:rsidTr="00002536">
        <w:trPr>
          <w:trHeight w:val="510"/>
        </w:trPr>
        <w:tc>
          <w:tcPr>
            <w:tcW w:w="1682" w:type="dxa"/>
            <w:shd w:val="clear" w:color="auto" w:fill="FFFFFF"/>
            <w:tcMar>
              <w:top w:w="80" w:type="dxa"/>
              <w:left w:w="80" w:type="dxa"/>
              <w:bottom w:w="80" w:type="dxa"/>
              <w:right w:w="80" w:type="dxa"/>
            </w:tcMar>
          </w:tcPr>
          <w:p w14:paraId="4DA761B8"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lastRenderedPageBreak/>
              <w:t>MRV</w:t>
            </w:r>
          </w:p>
        </w:tc>
        <w:tc>
          <w:tcPr>
            <w:tcW w:w="6746" w:type="dxa"/>
            <w:shd w:val="clear" w:color="auto" w:fill="FFFFFF"/>
            <w:tcMar>
              <w:top w:w="80" w:type="dxa"/>
              <w:left w:w="80" w:type="dxa"/>
              <w:bottom w:w="80" w:type="dxa"/>
              <w:right w:w="80" w:type="dxa"/>
            </w:tcMar>
          </w:tcPr>
          <w:p w14:paraId="295CB872"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Monitoring, Reporting and Verification: systems that help in measuring, understanding and following-up the implementation of mechanisms.</w:t>
            </w:r>
          </w:p>
        </w:tc>
      </w:tr>
      <w:tr w:rsidR="00633A71" w:rsidRPr="00632DBC" w14:paraId="3C65FB43" w14:textId="77777777" w:rsidTr="00002536">
        <w:trPr>
          <w:trHeight w:val="510"/>
        </w:trPr>
        <w:tc>
          <w:tcPr>
            <w:tcW w:w="1682" w:type="dxa"/>
            <w:shd w:val="clear" w:color="auto" w:fill="FFFFFF"/>
            <w:tcMar>
              <w:top w:w="80" w:type="dxa"/>
              <w:left w:w="80" w:type="dxa"/>
              <w:bottom w:w="80" w:type="dxa"/>
              <w:right w:w="80" w:type="dxa"/>
            </w:tcMar>
          </w:tcPr>
          <w:p w14:paraId="199C76BD"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ODA</w:t>
            </w:r>
          </w:p>
        </w:tc>
        <w:tc>
          <w:tcPr>
            <w:tcW w:w="6746" w:type="dxa"/>
            <w:shd w:val="clear" w:color="auto" w:fill="FFFFFF"/>
            <w:tcMar>
              <w:top w:w="80" w:type="dxa"/>
              <w:left w:w="80" w:type="dxa"/>
              <w:bottom w:w="80" w:type="dxa"/>
              <w:right w:w="80" w:type="dxa"/>
            </w:tcMar>
          </w:tcPr>
          <w:p w14:paraId="2283FBF7" w14:textId="7A44A993" w:rsidR="00520FA3" w:rsidRPr="00632DBC" w:rsidRDefault="00810C20" w:rsidP="006A5536">
            <w:pPr>
              <w:jc w:val="both"/>
              <w:rPr>
                <w:rFonts w:ascii="Times New Roman" w:hAnsi="Times New Roman"/>
                <w:sz w:val="18"/>
                <w:szCs w:val="18"/>
              </w:rPr>
            </w:pPr>
            <w:r w:rsidRPr="00632DBC">
              <w:rPr>
                <w:rFonts w:ascii="Times New Roman" w:hAnsi="Times New Roman"/>
                <w:sz w:val="18"/>
                <w:szCs w:val="18"/>
              </w:rPr>
              <w:t>Official Development Assistance: “flows of official financing administered with the promotion of the economic development and welfare of developing countries as its main objective. ODA receipts comprise disbursements by bilateral donors and multilateral institutions”. (OECD, Glossary of Statistical Terms)</w:t>
            </w:r>
          </w:p>
        </w:tc>
      </w:tr>
      <w:tr w:rsidR="00633A71" w:rsidRPr="00632DBC" w14:paraId="3271C42B" w14:textId="77777777" w:rsidTr="00002536">
        <w:trPr>
          <w:trHeight w:val="510"/>
        </w:trPr>
        <w:tc>
          <w:tcPr>
            <w:tcW w:w="1682" w:type="dxa"/>
            <w:shd w:val="clear" w:color="auto" w:fill="FFFFFF"/>
            <w:tcMar>
              <w:top w:w="80" w:type="dxa"/>
              <w:left w:w="80" w:type="dxa"/>
              <w:bottom w:w="80" w:type="dxa"/>
              <w:right w:w="80" w:type="dxa"/>
            </w:tcMar>
          </w:tcPr>
          <w:p w14:paraId="4C492FAC" w14:textId="6BFC5579" w:rsidR="00C01385" w:rsidRPr="00632DBC" w:rsidRDefault="00C01385" w:rsidP="00CF7E8B">
            <w:pPr>
              <w:rPr>
                <w:rFonts w:ascii="Times New Roman" w:hAnsi="Times New Roman"/>
                <w:b/>
                <w:bCs/>
                <w:sz w:val="18"/>
                <w:szCs w:val="18"/>
              </w:rPr>
            </w:pPr>
            <w:r w:rsidRPr="00632DBC">
              <w:rPr>
                <w:rFonts w:ascii="Times New Roman" w:hAnsi="Times New Roman"/>
                <w:b/>
                <w:sz w:val="18"/>
                <w:szCs w:val="18"/>
              </w:rPr>
              <w:t>OOC</w:t>
            </w:r>
          </w:p>
        </w:tc>
        <w:tc>
          <w:tcPr>
            <w:tcW w:w="6746" w:type="dxa"/>
            <w:shd w:val="clear" w:color="auto" w:fill="FFFFFF"/>
            <w:tcMar>
              <w:top w:w="80" w:type="dxa"/>
              <w:left w:w="80" w:type="dxa"/>
              <w:bottom w:w="80" w:type="dxa"/>
              <w:right w:w="80" w:type="dxa"/>
            </w:tcMar>
          </w:tcPr>
          <w:p w14:paraId="2EB6B606" w14:textId="4F6AC80F" w:rsidR="00C01385" w:rsidRPr="00632DBC" w:rsidRDefault="00C01385" w:rsidP="00C01385">
            <w:pPr>
              <w:rPr>
                <w:rFonts w:ascii="Times New Roman" w:hAnsi="Times New Roman"/>
                <w:sz w:val="18"/>
                <w:szCs w:val="18"/>
              </w:rPr>
            </w:pPr>
            <w:proofErr w:type="spellStart"/>
            <w:r w:rsidRPr="00632DBC">
              <w:rPr>
                <w:rFonts w:ascii="Times New Roman" w:hAnsi="Times New Roman"/>
                <w:sz w:val="18"/>
                <w:szCs w:val="18"/>
              </w:rPr>
              <w:t>Olare</w:t>
            </w:r>
            <w:proofErr w:type="spellEnd"/>
            <w:r w:rsidRPr="00632DBC">
              <w:rPr>
                <w:rFonts w:ascii="Times New Roman" w:hAnsi="Times New Roman"/>
                <w:sz w:val="18"/>
                <w:szCs w:val="18"/>
              </w:rPr>
              <w:t xml:space="preserve"> </w:t>
            </w:r>
            <w:proofErr w:type="spellStart"/>
            <w:r w:rsidRPr="00632DBC">
              <w:rPr>
                <w:rFonts w:ascii="Times New Roman" w:hAnsi="Times New Roman"/>
                <w:sz w:val="18"/>
                <w:szCs w:val="18"/>
              </w:rPr>
              <w:t>Orok</w:t>
            </w:r>
            <w:proofErr w:type="spellEnd"/>
            <w:r w:rsidRPr="00632DBC">
              <w:rPr>
                <w:rFonts w:ascii="Times New Roman" w:hAnsi="Times New Roman"/>
                <w:sz w:val="18"/>
                <w:szCs w:val="18"/>
              </w:rPr>
              <w:t xml:space="preserve"> Conservancy: Kenyan conservancy, in the </w:t>
            </w:r>
            <w:proofErr w:type="spellStart"/>
            <w:r w:rsidRPr="00632DBC">
              <w:rPr>
                <w:rFonts w:ascii="Times New Roman" w:hAnsi="Times New Roman"/>
                <w:sz w:val="18"/>
                <w:szCs w:val="18"/>
              </w:rPr>
              <w:t>Maasai</w:t>
            </w:r>
            <w:proofErr w:type="spellEnd"/>
            <w:r w:rsidRPr="00632DBC">
              <w:rPr>
                <w:rFonts w:ascii="Times New Roman" w:hAnsi="Times New Roman"/>
                <w:sz w:val="18"/>
                <w:szCs w:val="18"/>
              </w:rPr>
              <w:t xml:space="preserve"> Mara region, that entered in a payment for ecosystem services scheme with tourist operators.</w:t>
            </w:r>
          </w:p>
        </w:tc>
      </w:tr>
      <w:tr w:rsidR="00633A71" w:rsidRPr="00632DBC" w14:paraId="78772B9C" w14:textId="77777777" w:rsidTr="00002536">
        <w:trPr>
          <w:trHeight w:val="510"/>
        </w:trPr>
        <w:tc>
          <w:tcPr>
            <w:tcW w:w="1682" w:type="dxa"/>
            <w:shd w:val="clear" w:color="auto" w:fill="FFFFFF"/>
            <w:tcMar>
              <w:top w:w="80" w:type="dxa"/>
              <w:left w:w="80" w:type="dxa"/>
              <w:bottom w:w="80" w:type="dxa"/>
              <w:right w:w="80" w:type="dxa"/>
            </w:tcMar>
          </w:tcPr>
          <w:p w14:paraId="2F650C96" w14:textId="1ECD5736"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PES</w:t>
            </w:r>
          </w:p>
        </w:tc>
        <w:tc>
          <w:tcPr>
            <w:tcW w:w="6746" w:type="dxa"/>
            <w:shd w:val="clear" w:color="auto" w:fill="FFFFFF"/>
            <w:tcMar>
              <w:top w:w="80" w:type="dxa"/>
              <w:left w:w="80" w:type="dxa"/>
              <w:bottom w:w="80" w:type="dxa"/>
              <w:right w:w="80" w:type="dxa"/>
            </w:tcMar>
          </w:tcPr>
          <w:p w14:paraId="52A0A8C3"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Payment for Ecosystem Services: positive incentives based on subsidies given to landowners who use practices that enhance ecological services. </w:t>
            </w:r>
          </w:p>
        </w:tc>
      </w:tr>
      <w:tr w:rsidR="00633A71" w:rsidRPr="00632DBC" w14:paraId="45DA6728" w14:textId="77777777" w:rsidTr="00002536">
        <w:trPr>
          <w:trHeight w:val="510"/>
        </w:trPr>
        <w:tc>
          <w:tcPr>
            <w:tcW w:w="1682" w:type="dxa"/>
            <w:shd w:val="clear" w:color="auto" w:fill="FFFFFF"/>
            <w:tcMar>
              <w:top w:w="80" w:type="dxa"/>
              <w:left w:w="80" w:type="dxa"/>
              <w:bottom w:w="80" w:type="dxa"/>
              <w:right w:w="80" w:type="dxa"/>
            </w:tcMar>
          </w:tcPr>
          <w:p w14:paraId="3986F5EE" w14:textId="66B443BE" w:rsidR="00426405" w:rsidRPr="00632DBC" w:rsidRDefault="00426405" w:rsidP="00CF7E8B">
            <w:pPr>
              <w:rPr>
                <w:rFonts w:ascii="Times New Roman" w:hAnsi="Times New Roman"/>
                <w:b/>
                <w:bCs/>
                <w:sz w:val="18"/>
                <w:szCs w:val="18"/>
              </w:rPr>
            </w:pPr>
            <w:r w:rsidRPr="00632DBC">
              <w:rPr>
                <w:rFonts w:ascii="Times New Roman" w:hAnsi="Times New Roman"/>
                <w:b/>
                <w:bCs/>
                <w:sz w:val="18"/>
                <w:szCs w:val="18"/>
              </w:rPr>
              <w:t>PEI</w:t>
            </w:r>
          </w:p>
        </w:tc>
        <w:tc>
          <w:tcPr>
            <w:tcW w:w="6746" w:type="dxa"/>
            <w:shd w:val="clear" w:color="auto" w:fill="FFFFFF"/>
            <w:tcMar>
              <w:top w:w="80" w:type="dxa"/>
              <w:left w:w="80" w:type="dxa"/>
              <w:bottom w:w="80" w:type="dxa"/>
              <w:right w:w="80" w:type="dxa"/>
            </w:tcMar>
          </w:tcPr>
          <w:p w14:paraId="099575F1" w14:textId="5A37EC9C" w:rsidR="004945ED" w:rsidRPr="00632DBC" w:rsidRDefault="004945ED" w:rsidP="004945ED">
            <w:pPr>
              <w:rPr>
                <w:rFonts w:ascii="Times New Roman" w:hAnsi="Times New Roman"/>
                <w:sz w:val="18"/>
                <w:szCs w:val="18"/>
              </w:rPr>
            </w:pPr>
            <w:r w:rsidRPr="00632DBC">
              <w:rPr>
                <w:rFonts w:ascii="Times New Roman" w:hAnsi="Times New Roman"/>
                <w:sz w:val="18"/>
                <w:szCs w:val="18"/>
              </w:rPr>
              <w:t>Poverty-Environment Initiative: joint programme of UNDP and the United Nations Environment Programme that supports country-led efforts to put pro-poor, pro-environment objectives into national and sub-national development planning.</w:t>
            </w:r>
          </w:p>
        </w:tc>
      </w:tr>
      <w:tr w:rsidR="00633A71" w:rsidRPr="00632DBC" w14:paraId="4C217ED3" w14:textId="77777777" w:rsidTr="00002536">
        <w:trPr>
          <w:trHeight w:val="510"/>
        </w:trPr>
        <w:tc>
          <w:tcPr>
            <w:tcW w:w="1682" w:type="dxa"/>
            <w:shd w:val="clear" w:color="auto" w:fill="FFFFFF"/>
            <w:tcMar>
              <w:top w:w="80" w:type="dxa"/>
              <w:left w:w="80" w:type="dxa"/>
              <w:bottom w:w="80" w:type="dxa"/>
              <w:right w:w="80" w:type="dxa"/>
            </w:tcMar>
          </w:tcPr>
          <w:p w14:paraId="0ED0F9A9"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REDD+</w:t>
            </w:r>
          </w:p>
        </w:tc>
        <w:tc>
          <w:tcPr>
            <w:tcW w:w="6746" w:type="dxa"/>
            <w:shd w:val="clear" w:color="auto" w:fill="FFFFFF"/>
            <w:tcMar>
              <w:top w:w="80" w:type="dxa"/>
              <w:left w:w="80" w:type="dxa"/>
              <w:bottom w:w="80" w:type="dxa"/>
              <w:right w:w="80" w:type="dxa"/>
            </w:tcMar>
          </w:tcPr>
          <w:p w14:paraId="020670C9" w14:textId="4F7CE2D1" w:rsidR="004945ED" w:rsidRPr="00632DBC" w:rsidRDefault="00810C20" w:rsidP="00EC5EF3">
            <w:pPr>
              <w:jc w:val="both"/>
              <w:rPr>
                <w:rFonts w:ascii="Times New Roman" w:hAnsi="Times New Roman"/>
                <w:sz w:val="18"/>
                <w:szCs w:val="18"/>
              </w:rPr>
            </w:pPr>
            <w:r w:rsidRPr="00632DBC">
              <w:rPr>
                <w:rFonts w:ascii="Times New Roman" w:hAnsi="Times New Roman"/>
                <w:sz w:val="18"/>
                <w:szCs w:val="18"/>
              </w:rPr>
              <w:t xml:space="preserve">Reducing Emissions from Deforestation and Forest Degradation, conserving and sustainably managing forests and enhancing forest carbon stocks </w:t>
            </w:r>
            <w:r w:rsidR="00EC5EF3" w:rsidRPr="00632DBC">
              <w:rPr>
                <w:rFonts w:ascii="Times New Roman" w:hAnsi="Times New Roman"/>
                <w:sz w:val="18"/>
                <w:szCs w:val="18"/>
              </w:rPr>
              <w:t>in Developing Countries</w:t>
            </w:r>
            <w:r w:rsidR="004945ED" w:rsidRPr="00632DBC">
              <w:rPr>
                <w:rFonts w:ascii="Times New Roman" w:hAnsi="Times New Roman"/>
                <w:sz w:val="18"/>
                <w:szCs w:val="18"/>
              </w:rPr>
              <w:t>.</w:t>
            </w:r>
          </w:p>
        </w:tc>
      </w:tr>
      <w:tr w:rsidR="00633A71" w:rsidRPr="00632DBC" w14:paraId="654C1E71" w14:textId="77777777" w:rsidTr="00002536">
        <w:trPr>
          <w:trHeight w:val="510"/>
        </w:trPr>
        <w:tc>
          <w:tcPr>
            <w:tcW w:w="1682" w:type="dxa"/>
            <w:shd w:val="clear" w:color="auto" w:fill="FFFFFF"/>
            <w:tcMar>
              <w:top w:w="80" w:type="dxa"/>
              <w:left w:w="80" w:type="dxa"/>
              <w:bottom w:w="80" w:type="dxa"/>
              <w:right w:w="80" w:type="dxa"/>
            </w:tcMar>
          </w:tcPr>
          <w:p w14:paraId="3C0B3A26"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SB</w:t>
            </w:r>
          </w:p>
        </w:tc>
        <w:tc>
          <w:tcPr>
            <w:tcW w:w="6746" w:type="dxa"/>
            <w:shd w:val="clear" w:color="auto" w:fill="FFFFFF"/>
            <w:tcMar>
              <w:top w:w="80" w:type="dxa"/>
              <w:left w:w="80" w:type="dxa"/>
              <w:bottom w:w="80" w:type="dxa"/>
              <w:right w:w="80" w:type="dxa"/>
            </w:tcMar>
          </w:tcPr>
          <w:p w14:paraId="15C297F4"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Socio Bosque program: governmental initiative implemented in Ecuador since September 2008 to preserve native forest ecosystem from deforestation. </w:t>
            </w:r>
          </w:p>
        </w:tc>
      </w:tr>
      <w:tr w:rsidR="00633A71" w:rsidRPr="00632DBC" w14:paraId="3904755D" w14:textId="77777777" w:rsidTr="00002536">
        <w:trPr>
          <w:trHeight w:val="785"/>
        </w:trPr>
        <w:tc>
          <w:tcPr>
            <w:tcW w:w="1682" w:type="dxa"/>
            <w:shd w:val="clear" w:color="auto" w:fill="FFFFFF"/>
            <w:tcMar>
              <w:top w:w="80" w:type="dxa"/>
              <w:left w:w="80" w:type="dxa"/>
              <w:bottom w:w="80" w:type="dxa"/>
              <w:right w:w="80" w:type="dxa"/>
            </w:tcMar>
          </w:tcPr>
          <w:p w14:paraId="3438B4BC"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SCS</w:t>
            </w:r>
          </w:p>
        </w:tc>
        <w:tc>
          <w:tcPr>
            <w:tcW w:w="6746" w:type="dxa"/>
            <w:shd w:val="clear" w:color="auto" w:fill="FFFFFF"/>
            <w:tcMar>
              <w:top w:w="80" w:type="dxa"/>
              <w:left w:w="80" w:type="dxa"/>
              <w:bottom w:w="80" w:type="dxa"/>
              <w:right w:w="80" w:type="dxa"/>
            </w:tcMar>
          </w:tcPr>
          <w:p w14:paraId="7E7A6869" w14:textId="2A1C3289"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Scientific Certification Systems: certification services proposed by SCS Global Services, a third-party environmental auditing and certification company which is in partnership with different stakeholders and delivers assessments and advice. </w:t>
            </w:r>
          </w:p>
        </w:tc>
      </w:tr>
      <w:tr w:rsidR="00633A71" w:rsidRPr="00632DBC" w14:paraId="16AC1AD4" w14:textId="77777777" w:rsidTr="00002536">
        <w:trPr>
          <w:trHeight w:val="510"/>
        </w:trPr>
        <w:tc>
          <w:tcPr>
            <w:tcW w:w="1682" w:type="dxa"/>
            <w:shd w:val="clear" w:color="auto" w:fill="FFFFFF"/>
            <w:tcMar>
              <w:top w:w="80" w:type="dxa"/>
              <w:left w:w="80" w:type="dxa"/>
              <w:bottom w:w="80" w:type="dxa"/>
              <w:right w:w="80" w:type="dxa"/>
            </w:tcMar>
          </w:tcPr>
          <w:p w14:paraId="7B1735F1"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SEA</w:t>
            </w:r>
          </w:p>
        </w:tc>
        <w:tc>
          <w:tcPr>
            <w:tcW w:w="6746" w:type="dxa"/>
            <w:shd w:val="clear" w:color="auto" w:fill="FFFFFF"/>
            <w:tcMar>
              <w:top w:w="80" w:type="dxa"/>
              <w:left w:w="80" w:type="dxa"/>
              <w:bottom w:w="80" w:type="dxa"/>
              <w:right w:w="80" w:type="dxa"/>
            </w:tcMar>
          </w:tcPr>
          <w:p w14:paraId="447D517E"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Strategic Environmental Assessment: a structured process to ensure that the environmental effects of a project or a policy have been identified. </w:t>
            </w:r>
          </w:p>
        </w:tc>
      </w:tr>
      <w:tr w:rsidR="00633A71" w:rsidRPr="00632DBC" w14:paraId="3DD2095C" w14:textId="77777777" w:rsidTr="00002536">
        <w:trPr>
          <w:trHeight w:val="510"/>
        </w:trPr>
        <w:tc>
          <w:tcPr>
            <w:tcW w:w="1682" w:type="dxa"/>
            <w:shd w:val="clear" w:color="auto" w:fill="FFFFFF"/>
            <w:tcMar>
              <w:top w:w="80" w:type="dxa"/>
              <w:left w:w="80" w:type="dxa"/>
              <w:bottom w:w="80" w:type="dxa"/>
              <w:right w:w="80" w:type="dxa"/>
            </w:tcMar>
          </w:tcPr>
          <w:p w14:paraId="638DF880"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TEEB</w:t>
            </w:r>
          </w:p>
        </w:tc>
        <w:tc>
          <w:tcPr>
            <w:tcW w:w="6746" w:type="dxa"/>
            <w:shd w:val="clear" w:color="auto" w:fill="FFFFFF"/>
            <w:tcMar>
              <w:top w:w="80" w:type="dxa"/>
              <w:left w:w="80" w:type="dxa"/>
              <w:bottom w:w="80" w:type="dxa"/>
              <w:right w:w="80" w:type="dxa"/>
            </w:tcMar>
          </w:tcPr>
          <w:p w14:paraId="58833D43"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The Economics of Ecosystems and Biodiversity: study launched in 2007 by the G8+5 (after the summit in Potsdam, Germany) and which aimed at underlining the economic benefits of biodiversity and the costs of ecosystem degradation.</w:t>
            </w:r>
          </w:p>
        </w:tc>
      </w:tr>
      <w:tr w:rsidR="00633A71" w:rsidRPr="00632DBC" w14:paraId="02497329" w14:textId="77777777" w:rsidTr="00002536">
        <w:trPr>
          <w:trHeight w:val="510"/>
        </w:trPr>
        <w:tc>
          <w:tcPr>
            <w:tcW w:w="1682" w:type="dxa"/>
            <w:shd w:val="clear" w:color="auto" w:fill="FFFFFF"/>
            <w:tcMar>
              <w:top w:w="80" w:type="dxa"/>
              <w:left w:w="80" w:type="dxa"/>
              <w:bottom w:w="80" w:type="dxa"/>
              <w:right w:w="80" w:type="dxa"/>
            </w:tcMar>
          </w:tcPr>
          <w:p w14:paraId="3DBDD5FB"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UN-REDD</w:t>
            </w:r>
          </w:p>
        </w:tc>
        <w:tc>
          <w:tcPr>
            <w:tcW w:w="6746" w:type="dxa"/>
            <w:shd w:val="clear" w:color="auto" w:fill="FFFFFF"/>
            <w:tcMar>
              <w:top w:w="80" w:type="dxa"/>
              <w:left w:w="80" w:type="dxa"/>
              <w:bottom w:w="80" w:type="dxa"/>
              <w:right w:w="80" w:type="dxa"/>
            </w:tcMar>
          </w:tcPr>
          <w:p w14:paraId="36C6C391"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United Nations-Reducing Emissions from Deforestation and forest Degradation: initiative launched in 2008 to better support REDD+ at the national level in developing countries.</w:t>
            </w:r>
          </w:p>
        </w:tc>
      </w:tr>
      <w:tr w:rsidR="00633A71" w:rsidRPr="00632DBC" w14:paraId="5BCF80DD" w14:textId="77777777" w:rsidTr="00002536">
        <w:trPr>
          <w:trHeight w:val="918"/>
        </w:trPr>
        <w:tc>
          <w:tcPr>
            <w:tcW w:w="1682" w:type="dxa"/>
            <w:shd w:val="clear" w:color="auto" w:fill="FFFFFF"/>
            <w:tcMar>
              <w:top w:w="80" w:type="dxa"/>
              <w:left w:w="80" w:type="dxa"/>
              <w:bottom w:w="80" w:type="dxa"/>
              <w:right w:w="80" w:type="dxa"/>
            </w:tcMar>
          </w:tcPr>
          <w:p w14:paraId="56D3AB6F"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UNDP</w:t>
            </w:r>
          </w:p>
        </w:tc>
        <w:tc>
          <w:tcPr>
            <w:tcW w:w="6746" w:type="dxa"/>
            <w:shd w:val="clear" w:color="auto" w:fill="FFFFFF"/>
            <w:tcMar>
              <w:top w:w="80" w:type="dxa"/>
              <w:left w:w="80" w:type="dxa"/>
              <w:bottom w:w="80" w:type="dxa"/>
              <w:right w:w="80" w:type="dxa"/>
            </w:tcMar>
          </w:tcPr>
          <w:p w14:paraId="11649C5E"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United Nations Development Program: branch of the United Nations Organization created in 1966, whose goal is to help developing countries in building strong societies to be able to withstand crises. </w:t>
            </w:r>
          </w:p>
        </w:tc>
      </w:tr>
      <w:tr w:rsidR="00633A71" w:rsidRPr="00632DBC" w14:paraId="6586357C" w14:textId="77777777" w:rsidTr="00002536">
        <w:trPr>
          <w:trHeight w:val="1312"/>
        </w:trPr>
        <w:tc>
          <w:tcPr>
            <w:tcW w:w="1682" w:type="dxa"/>
            <w:shd w:val="clear" w:color="auto" w:fill="FFFFFF"/>
            <w:tcMar>
              <w:top w:w="80" w:type="dxa"/>
              <w:left w:w="80" w:type="dxa"/>
              <w:bottom w:w="80" w:type="dxa"/>
              <w:right w:w="80" w:type="dxa"/>
            </w:tcMar>
          </w:tcPr>
          <w:p w14:paraId="4E6AAEF1" w14:textId="68BEB0C8" w:rsidR="001A454C" w:rsidRPr="00632DBC" w:rsidRDefault="001A454C" w:rsidP="00CF7E8B">
            <w:pPr>
              <w:rPr>
                <w:rFonts w:ascii="Times New Roman" w:hAnsi="Times New Roman"/>
                <w:b/>
                <w:bCs/>
                <w:sz w:val="18"/>
                <w:szCs w:val="18"/>
              </w:rPr>
            </w:pPr>
            <w:r w:rsidRPr="00632DBC">
              <w:rPr>
                <w:rFonts w:ascii="Times New Roman" w:hAnsi="Times New Roman"/>
                <w:b/>
                <w:bCs/>
                <w:sz w:val="18"/>
                <w:szCs w:val="18"/>
              </w:rPr>
              <w:lastRenderedPageBreak/>
              <w:t>UNDRIP</w:t>
            </w:r>
          </w:p>
        </w:tc>
        <w:tc>
          <w:tcPr>
            <w:tcW w:w="6746" w:type="dxa"/>
            <w:shd w:val="clear" w:color="auto" w:fill="FFFFFF"/>
            <w:tcMar>
              <w:top w:w="80" w:type="dxa"/>
              <w:left w:w="80" w:type="dxa"/>
              <w:bottom w:w="80" w:type="dxa"/>
              <w:right w:w="80" w:type="dxa"/>
            </w:tcMar>
          </w:tcPr>
          <w:p w14:paraId="6DC624FF" w14:textId="16AECD88" w:rsidR="001A454C" w:rsidRPr="00633A71" w:rsidRDefault="001A454C" w:rsidP="006A628E">
            <w:pPr>
              <w:rPr>
                <w:rFonts w:ascii="Times New Roman" w:hAnsi="Times New Roman"/>
                <w:sz w:val="18"/>
                <w:szCs w:val="18"/>
                <w:lang w:eastAsia="sv-SE" w:bidi="ar-SA"/>
              </w:rPr>
            </w:pPr>
            <w:r w:rsidRPr="00632DBC">
              <w:rPr>
                <w:rFonts w:ascii="Times New Roman" w:hAnsi="Times New Roman"/>
                <w:sz w:val="18"/>
                <w:szCs w:val="18"/>
              </w:rPr>
              <w:t xml:space="preserve">United Nations Declaration of the Rights of Indigenous Peoples: </w:t>
            </w:r>
            <w:r w:rsidR="006A628E" w:rsidRPr="00632DBC">
              <w:rPr>
                <w:rFonts w:ascii="Times New Roman" w:hAnsi="Times New Roman"/>
                <w:sz w:val="18"/>
                <w:szCs w:val="18"/>
              </w:rPr>
              <w:t>t</w:t>
            </w:r>
            <w:r w:rsidR="006A628E" w:rsidRPr="00632DBC">
              <w:rPr>
                <w:rFonts w:ascii="Times New Roman" w:hAnsi="Times New Roman"/>
                <w:sz w:val="18"/>
                <w:szCs w:val="18"/>
                <w:shd w:val="clear" w:color="auto" w:fill="FFFFFF"/>
                <w:lang w:eastAsia="sv-SE" w:bidi="ar-SA"/>
              </w:rPr>
              <w:t>he most comprehensive international instrument on the rights of indigenous peoples, it establishes a universal framework of minimum standards for the survival, dignity and well-being of the indigenous peoples of the world and it elaborates on existing human rights standards and fundamental freedoms as they apply to the specific situation of indigenous peoples. The UN General Assembly adopted it</w:t>
            </w:r>
            <w:r w:rsidR="006A628E" w:rsidRPr="00632DBC">
              <w:rPr>
                <w:rFonts w:ascii="Times New Roman" w:hAnsi="Times New Roman"/>
                <w:bCs/>
                <w:sz w:val="18"/>
                <w:szCs w:val="18"/>
                <w:bdr w:val="none" w:sz="0" w:space="0" w:color="auto" w:frame="1"/>
                <w:lang w:eastAsia="sv-SE" w:bidi="ar-SA"/>
              </w:rPr>
              <w:t xml:space="preserve"> in September 2007.</w:t>
            </w:r>
          </w:p>
        </w:tc>
      </w:tr>
      <w:tr w:rsidR="00633A71" w:rsidRPr="00632DBC" w14:paraId="16B68625" w14:textId="77777777" w:rsidTr="00002536">
        <w:trPr>
          <w:trHeight w:val="510"/>
        </w:trPr>
        <w:tc>
          <w:tcPr>
            <w:tcW w:w="1682" w:type="dxa"/>
            <w:shd w:val="clear" w:color="auto" w:fill="FFFFFF"/>
            <w:tcMar>
              <w:top w:w="80" w:type="dxa"/>
              <w:left w:w="80" w:type="dxa"/>
              <w:bottom w:w="80" w:type="dxa"/>
              <w:right w:w="80" w:type="dxa"/>
            </w:tcMar>
          </w:tcPr>
          <w:p w14:paraId="428F7966"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UNEP</w:t>
            </w:r>
          </w:p>
        </w:tc>
        <w:tc>
          <w:tcPr>
            <w:tcW w:w="6746" w:type="dxa"/>
            <w:shd w:val="clear" w:color="auto" w:fill="FFFFFF"/>
            <w:tcMar>
              <w:top w:w="80" w:type="dxa"/>
              <w:left w:w="80" w:type="dxa"/>
              <w:bottom w:w="80" w:type="dxa"/>
              <w:right w:w="80" w:type="dxa"/>
            </w:tcMar>
          </w:tcPr>
          <w:p w14:paraId="1531131A"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 xml:space="preserve">United Nation Environment Program: UN agency founded in 1972 which coordinates environmental initiatives and helps developing countries in enforcing better policies and practices. </w:t>
            </w:r>
          </w:p>
        </w:tc>
      </w:tr>
      <w:tr w:rsidR="00633A71" w:rsidRPr="00632DBC" w14:paraId="6CF01C09" w14:textId="77777777" w:rsidTr="00002536">
        <w:trPr>
          <w:trHeight w:val="863"/>
        </w:trPr>
        <w:tc>
          <w:tcPr>
            <w:tcW w:w="1682" w:type="dxa"/>
            <w:shd w:val="clear" w:color="auto" w:fill="FFFFFF"/>
            <w:tcMar>
              <w:top w:w="80" w:type="dxa"/>
              <w:left w:w="80" w:type="dxa"/>
              <w:bottom w:w="80" w:type="dxa"/>
              <w:right w:w="80" w:type="dxa"/>
            </w:tcMar>
          </w:tcPr>
          <w:p w14:paraId="7344E7AB"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UNFCCC</w:t>
            </w:r>
          </w:p>
        </w:tc>
        <w:tc>
          <w:tcPr>
            <w:tcW w:w="6746" w:type="dxa"/>
            <w:shd w:val="clear" w:color="auto" w:fill="FFFFFF"/>
            <w:tcMar>
              <w:top w:w="80" w:type="dxa"/>
              <w:left w:w="80" w:type="dxa"/>
              <w:bottom w:w="80" w:type="dxa"/>
              <w:right w:w="80" w:type="dxa"/>
            </w:tcMar>
          </w:tcPr>
          <w:p w14:paraId="35788E19" w14:textId="09E0B483" w:rsidR="008408B0" w:rsidRPr="00632DBC" w:rsidRDefault="00810C20" w:rsidP="008119CA">
            <w:pPr>
              <w:jc w:val="both"/>
              <w:rPr>
                <w:rFonts w:ascii="Times New Roman" w:hAnsi="Times New Roman"/>
                <w:sz w:val="18"/>
                <w:szCs w:val="18"/>
              </w:rPr>
            </w:pPr>
            <w:r w:rsidRPr="00632DBC">
              <w:rPr>
                <w:rFonts w:ascii="Times New Roman" w:hAnsi="Times New Roman"/>
                <w:sz w:val="18"/>
                <w:szCs w:val="18"/>
              </w:rPr>
              <w:t xml:space="preserve">United Nations Framework Convention on Climate Change: international treaty negotiated during the Rio Earth Summit in 1992, which provides a framework for further negotiations to reduce greenhouse gases. </w:t>
            </w:r>
          </w:p>
        </w:tc>
      </w:tr>
      <w:tr w:rsidR="00633A71" w:rsidRPr="00632DBC" w14:paraId="5DD1C3DF" w14:textId="77777777" w:rsidTr="00002536">
        <w:trPr>
          <w:trHeight w:val="742"/>
        </w:trPr>
        <w:tc>
          <w:tcPr>
            <w:tcW w:w="1682" w:type="dxa"/>
            <w:shd w:val="clear" w:color="auto" w:fill="FFFFFF"/>
            <w:tcMar>
              <w:top w:w="80" w:type="dxa"/>
              <w:left w:w="80" w:type="dxa"/>
              <w:bottom w:w="80" w:type="dxa"/>
              <w:right w:w="80" w:type="dxa"/>
            </w:tcMar>
          </w:tcPr>
          <w:p w14:paraId="50719B7F" w14:textId="184CF7F7" w:rsidR="00FF428F" w:rsidRPr="00632DBC" w:rsidRDefault="00B91303" w:rsidP="00CF7E8B">
            <w:pPr>
              <w:rPr>
                <w:rFonts w:ascii="Times New Roman" w:hAnsi="Times New Roman"/>
                <w:b/>
                <w:bCs/>
                <w:sz w:val="18"/>
                <w:szCs w:val="18"/>
              </w:rPr>
            </w:pPr>
            <w:r w:rsidRPr="00632DBC">
              <w:rPr>
                <w:rFonts w:ascii="Times New Roman" w:hAnsi="Times New Roman"/>
                <w:b/>
                <w:bCs/>
                <w:sz w:val="18"/>
                <w:szCs w:val="18"/>
              </w:rPr>
              <w:t>UNPFII</w:t>
            </w:r>
          </w:p>
        </w:tc>
        <w:tc>
          <w:tcPr>
            <w:tcW w:w="6746" w:type="dxa"/>
            <w:shd w:val="clear" w:color="auto" w:fill="FFFFFF"/>
            <w:tcMar>
              <w:top w:w="80" w:type="dxa"/>
              <w:left w:w="80" w:type="dxa"/>
              <w:bottom w:w="80" w:type="dxa"/>
              <w:right w:w="80" w:type="dxa"/>
            </w:tcMar>
          </w:tcPr>
          <w:p w14:paraId="31672A62" w14:textId="0FAC7797" w:rsidR="00FF428F" w:rsidRPr="00633A71" w:rsidRDefault="00B91303" w:rsidP="008119CA">
            <w:pPr>
              <w:spacing w:line="240" w:lineRule="auto"/>
              <w:rPr>
                <w:rFonts w:ascii="Times" w:hAnsi="Times"/>
                <w:sz w:val="18"/>
                <w:szCs w:val="18"/>
              </w:rPr>
            </w:pPr>
            <w:r w:rsidRPr="00632DBC">
              <w:rPr>
                <w:rFonts w:ascii="Times" w:hAnsi="Times"/>
                <w:sz w:val="18"/>
                <w:szCs w:val="18"/>
              </w:rPr>
              <w:t>United Nations Permanent Forum on Indigenous Issues</w:t>
            </w:r>
            <w:r w:rsidR="001C67A1" w:rsidRPr="00632DBC">
              <w:rPr>
                <w:rFonts w:ascii="Times" w:hAnsi="Times"/>
                <w:sz w:val="18"/>
                <w:szCs w:val="18"/>
              </w:rPr>
              <w:t xml:space="preserve">: </w:t>
            </w:r>
            <w:r w:rsidR="001C67A1" w:rsidRPr="00632DBC">
              <w:rPr>
                <w:rFonts w:ascii="Times" w:hAnsi="Times" w:cs="Arial"/>
                <w:sz w:val="18"/>
                <w:szCs w:val="18"/>
                <w:shd w:val="clear" w:color="auto" w:fill="FFFFFF"/>
              </w:rPr>
              <w:t>a high- level advisory body to the Economic and Social Council</w:t>
            </w:r>
            <w:r w:rsidR="001C67A1" w:rsidRPr="00632DBC">
              <w:rPr>
                <w:rStyle w:val="apple-converted-space"/>
                <w:rFonts w:ascii="Times" w:hAnsi="Times" w:cs="Arial"/>
                <w:sz w:val="18"/>
                <w:szCs w:val="18"/>
                <w:shd w:val="clear" w:color="auto" w:fill="FFFFFF"/>
              </w:rPr>
              <w:t> </w:t>
            </w:r>
            <w:r w:rsidR="001C67A1" w:rsidRPr="00632DBC">
              <w:rPr>
                <w:rFonts w:ascii="Times" w:hAnsi="Times" w:cs="Arial"/>
                <w:sz w:val="18"/>
                <w:szCs w:val="18"/>
                <w:shd w:val="clear" w:color="auto" w:fill="FFFFFF"/>
              </w:rPr>
              <w:t xml:space="preserve">with the mandate to deal with indigenous issues related to economic and social development, culture, the environment, education, health and human rights. </w:t>
            </w:r>
          </w:p>
        </w:tc>
      </w:tr>
      <w:tr w:rsidR="00633A71" w:rsidRPr="00632DBC" w14:paraId="18F152DB" w14:textId="77777777" w:rsidTr="00002536">
        <w:trPr>
          <w:trHeight w:val="600"/>
        </w:trPr>
        <w:tc>
          <w:tcPr>
            <w:tcW w:w="1682" w:type="dxa"/>
            <w:shd w:val="clear" w:color="auto" w:fill="FFFFFF"/>
            <w:tcMar>
              <w:top w:w="80" w:type="dxa"/>
              <w:left w:w="80" w:type="dxa"/>
              <w:bottom w:w="80" w:type="dxa"/>
              <w:right w:w="80" w:type="dxa"/>
            </w:tcMar>
          </w:tcPr>
          <w:p w14:paraId="527085FF" w14:textId="77777777" w:rsidR="00810C20" w:rsidRPr="00632DBC" w:rsidRDefault="00810C20" w:rsidP="00CF7E8B">
            <w:pPr>
              <w:rPr>
                <w:rFonts w:ascii="Times New Roman" w:hAnsi="Times New Roman"/>
                <w:b/>
                <w:bCs/>
                <w:sz w:val="18"/>
                <w:szCs w:val="18"/>
              </w:rPr>
            </w:pPr>
            <w:r w:rsidRPr="00632DBC">
              <w:rPr>
                <w:rFonts w:ascii="Times New Roman" w:hAnsi="Times New Roman"/>
                <w:b/>
                <w:bCs/>
                <w:sz w:val="18"/>
                <w:szCs w:val="18"/>
              </w:rPr>
              <w:t>VCS</w:t>
            </w:r>
          </w:p>
        </w:tc>
        <w:tc>
          <w:tcPr>
            <w:tcW w:w="6746" w:type="dxa"/>
            <w:shd w:val="clear" w:color="auto" w:fill="FFFFFF"/>
            <w:tcMar>
              <w:top w:w="80" w:type="dxa"/>
              <w:left w:w="80" w:type="dxa"/>
              <w:bottom w:w="80" w:type="dxa"/>
              <w:right w:w="80" w:type="dxa"/>
            </w:tcMar>
          </w:tcPr>
          <w:p w14:paraId="41D163E0" w14:textId="77777777" w:rsidR="00810C20" w:rsidRPr="00632DBC" w:rsidRDefault="00810C20" w:rsidP="00CF7E8B">
            <w:pPr>
              <w:jc w:val="both"/>
              <w:rPr>
                <w:rFonts w:ascii="Times New Roman" w:hAnsi="Times New Roman"/>
                <w:sz w:val="18"/>
                <w:szCs w:val="18"/>
              </w:rPr>
            </w:pPr>
            <w:r w:rsidRPr="00632DBC">
              <w:rPr>
                <w:rFonts w:ascii="Times New Roman" w:hAnsi="Times New Roman"/>
                <w:sz w:val="18"/>
                <w:szCs w:val="18"/>
              </w:rPr>
              <w:t>Verified Carbon Standards: voluntary greenhouse gas program that works with public and private sectors to reduce greenhouse gas emissions by monitoring current practices and developing innovative ones.</w:t>
            </w:r>
          </w:p>
        </w:tc>
      </w:tr>
      <w:bookmarkEnd w:id="8"/>
      <w:bookmarkEnd w:id="9"/>
    </w:tbl>
    <w:p w14:paraId="41D13B07" w14:textId="1F47B1FA" w:rsidR="00BC5B26" w:rsidRPr="00632DBC" w:rsidRDefault="00BC5B26" w:rsidP="00810C20">
      <w:pPr>
        <w:tabs>
          <w:tab w:val="left" w:pos="426"/>
        </w:tabs>
        <w:spacing w:line="240" w:lineRule="auto"/>
        <w:jc w:val="both"/>
        <w:rPr>
          <w:rFonts w:ascii="Times New Roman" w:hAnsi="Times New Roman"/>
        </w:rPr>
      </w:pPr>
    </w:p>
    <w:p w14:paraId="12D2444D" w14:textId="06E5F31E" w:rsidR="00BC5B26" w:rsidRPr="00632DBC" w:rsidRDefault="00BC5B26" w:rsidP="00810C20">
      <w:pPr>
        <w:tabs>
          <w:tab w:val="left" w:pos="426"/>
        </w:tabs>
        <w:spacing w:line="240" w:lineRule="auto"/>
        <w:jc w:val="both"/>
        <w:rPr>
          <w:rFonts w:ascii="Times New Roman" w:hAnsi="Times New Roman"/>
        </w:rPr>
      </w:pPr>
      <w:r w:rsidRPr="00632DBC">
        <w:rPr>
          <w:rFonts w:ascii="Times New Roman" w:hAnsi="Times New Roman"/>
        </w:rPr>
        <w:br w:type="column"/>
      </w:r>
    </w:p>
    <w:p w14:paraId="2792FFC3" w14:textId="3E597628" w:rsidR="00BC5B26" w:rsidRPr="00632DBC" w:rsidRDefault="00BC5B26" w:rsidP="003966BA">
      <w:pPr>
        <w:pStyle w:val="Heading2"/>
        <w:numPr>
          <w:ilvl w:val="0"/>
          <w:numId w:val="5"/>
        </w:numPr>
        <w:rPr>
          <w:lang w:val="en-GB"/>
        </w:rPr>
      </w:pPr>
      <w:bookmarkStart w:id="15" w:name="_Toc336968689"/>
      <w:bookmarkStart w:id="16" w:name="_Toc337217545"/>
      <w:bookmarkStart w:id="17" w:name="_Toc337217926"/>
      <w:bookmarkStart w:id="18" w:name="_Toc342296079"/>
      <w:bookmarkStart w:id="19" w:name="_Toc263943508"/>
      <w:bookmarkStart w:id="20" w:name="_Toc382590301"/>
      <w:bookmarkStart w:id="21" w:name="_Toc529199426"/>
      <w:r w:rsidRPr="00632DBC">
        <w:rPr>
          <w:lang w:val="en-GB"/>
        </w:rPr>
        <w:t>Introduction</w:t>
      </w:r>
      <w:bookmarkEnd w:id="15"/>
      <w:bookmarkEnd w:id="16"/>
      <w:bookmarkEnd w:id="17"/>
      <w:bookmarkEnd w:id="18"/>
      <w:bookmarkEnd w:id="19"/>
      <w:bookmarkEnd w:id="20"/>
      <w:bookmarkEnd w:id="21"/>
    </w:p>
    <w:p w14:paraId="2C837979" w14:textId="77777777" w:rsidR="00810C20" w:rsidRPr="00633A71" w:rsidRDefault="00810C20" w:rsidP="00810C20">
      <w:pPr>
        <w:tabs>
          <w:tab w:val="left" w:pos="426"/>
        </w:tabs>
        <w:spacing w:line="240" w:lineRule="auto"/>
        <w:jc w:val="both"/>
        <w:rPr>
          <w:rFonts w:ascii="Times New Roman" w:hAnsi="Times New Roman"/>
        </w:rPr>
      </w:pPr>
      <w:r w:rsidRPr="00632DBC">
        <w:rPr>
          <w:rFonts w:ascii="Times New Roman" w:hAnsi="Times New Roman"/>
        </w:rPr>
        <w:t>The Earth's biological resources are vital to humanity's economic and social development. Extensive evidence, first brought together in a worldwide effort for the Millennium Ecosystem Assessment, has clearly demonstrated that humans have changed ecosystems more rapidly and extensively over the past 50 years than in any other period in history.</w:t>
      </w:r>
      <w:r w:rsidRPr="00633A71">
        <w:rPr>
          <w:rFonts w:ascii="Times New Roman" w:hAnsi="Times New Roman"/>
          <w:vertAlign w:val="superscript"/>
        </w:rPr>
        <w:footnoteReference w:id="12"/>
      </w:r>
      <w:r w:rsidRPr="00633A71">
        <w:rPr>
          <w:rFonts w:ascii="Times New Roman" w:hAnsi="Times New Roman"/>
        </w:rPr>
        <w:t xml:space="preserve"> As a response to this problem, the Convention on Biological Diversity (CBD) was agreed upon by governments and came into force in 1993, with three objectives: “conservation of biological diversity, the sustainable use of its components and the fair and equitable sharing of the benefits arising out of the utilization of genetic resources”.</w:t>
      </w:r>
      <w:r w:rsidRPr="00633A71">
        <w:rPr>
          <w:rFonts w:ascii="Times New Roman" w:hAnsi="Times New Roman"/>
          <w:vertAlign w:val="superscript"/>
        </w:rPr>
        <w:footnoteReference w:id="13"/>
      </w:r>
      <w:r w:rsidRPr="00633A71">
        <w:rPr>
          <w:rFonts w:ascii="Times New Roman" w:hAnsi="Times New Roman"/>
        </w:rPr>
        <w:t xml:space="preserve"> At the tenth Conference of the Parties (COP 10) in Nagoya, Japan, Parties agreed on a new strategic plan, setting 20 so-called Aichi Biodiversity Targets. </w:t>
      </w:r>
    </w:p>
    <w:p w14:paraId="4AD7E51B" w14:textId="77777777" w:rsidR="00810C20" w:rsidRPr="00633A71" w:rsidRDefault="00810C20" w:rsidP="00810C20">
      <w:pPr>
        <w:tabs>
          <w:tab w:val="left" w:pos="426"/>
        </w:tabs>
        <w:spacing w:line="240" w:lineRule="auto"/>
        <w:jc w:val="both"/>
        <w:rPr>
          <w:rFonts w:ascii="Times New Roman" w:hAnsi="Times New Roman"/>
        </w:rPr>
      </w:pPr>
      <w:r w:rsidRPr="00633A71">
        <w:rPr>
          <w:rFonts w:ascii="Times New Roman" w:hAnsi="Times New Roman"/>
        </w:rPr>
        <w:t>Scaling up biodiversity financing can be a means for the CBD to meet the Aichi Biodiversity Targets.</w:t>
      </w:r>
      <w:r w:rsidRPr="00632DBC">
        <w:rPr>
          <w:rFonts w:ascii="Times New Roman" w:hAnsi="Times New Roman"/>
          <w:vertAlign w:val="superscript"/>
        </w:rPr>
        <w:footnoteReference w:id="14"/>
      </w:r>
      <w:r w:rsidRPr="00633A71">
        <w:rPr>
          <w:rFonts w:ascii="Times New Roman" w:hAnsi="Times New Roman"/>
        </w:rPr>
        <w:t xml:space="preserve"> However, the development of some financial mechanisms has generated concern over many potential social and environmental problems.  Notable among these are their effects on the rights and livelihoods of indigenous peoples and local communities, as well as potential adverse impacts on different elements of biodiversity if BFMs are not adequately developed. </w:t>
      </w:r>
    </w:p>
    <w:p w14:paraId="577D27F4" w14:textId="2DD41748" w:rsidR="00810C20" w:rsidRPr="00632DBC" w:rsidRDefault="00810C20" w:rsidP="00810C20">
      <w:pPr>
        <w:tabs>
          <w:tab w:val="left" w:pos="426"/>
        </w:tabs>
        <w:spacing w:line="240" w:lineRule="auto"/>
        <w:jc w:val="both"/>
        <w:rPr>
          <w:rFonts w:ascii="Times New Roman" w:hAnsi="Times New Roman"/>
        </w:rPr>
      </w:pPr>
      <w:r w:rsidRPr="00504B5E">
        <w:rPr>
          <w:rFonts w:ascii="Times New Roman" w:hAnsi="Times New Roman"/>
        </w:rPr>
        <w:t xml:space="preserve">To address these concerns, various stakeholders have stressed the importance of designing and implementing both environmental and social safeguards in </w:t>
      </w:r>
      <w:r w:rsidRPr="00632DBC">
        <w:rPr>
          <w:rFonts w:ascii="Times New Roman" w:hAnsi="Times New Roman"/>
        </w:rPr>
        <w:t>biodiversity financing mechanisms</w:t>
      </w:r>
      <w:r w:rsidRPr="00633A71">
        <w:rPr>
          <w:rFonts w:ascii="Times New Roman" w:hAnsi="Times New Roman"/>
        </w:rPr>
        <w:t xml:space="preserve">. Parties have also called for these safeguards (see Box </w:t>
      </w:r>
      <w:r w:rsidR="006B264A" w:rsidRPr="00633A71">
        <w:rPr>
          <w:rFonts w:ascii="Times New Roman" w:hAnsi="Times New Roman"/>
        </w:rPr>
        <w:t>2</w:t>
      </w:r>
      <w:r w:rsidRPr="00633A71">
        <w:rPr>
          <w:rFonts w:ascii="Times New Roman" w:hAnsi="Times New Roman"/>
        </w:rPr>
        <w:t xml:space="preserve">). </w:t>
      </w:r>
      <w:r w:rsidRPr="00632DBC">
        <w:rPr>
          <w:rFonts w:ascii="Times New Roman" w:hAnsi="Times New Roman"/>
        </w:rPr>
        <w:t>Guiding principles and safeguards</w:t>
      </w:r>
      <w:r w:rsidRPr="00633A71">
        <w:rPr>
          <w:rFonts w:ascii="Times New Roman" w:hAnsi="Times New Roman"/>
        </w:rPr>
        <w:t xml:space="preserve"> was a decision of</w:t>
      </w:r>
      <w:r w:rsidRPr="00632DBC">
        <w:rPr>
          <w:rFonts w:ascii="Times New Roman" w:hAnsi="Times New Roman"/>
        </w:rPr>
        <w:t xml:space="preserve"> the fourth meeting of the </w:t>
      </w:r>
      <w:r w:rsidRPr="00632DBC">
        <w:rPr>
          <w:rFonts w:ascii="Times New Roman" w:hAnsi="Times New Roman"/>
          <w:i/>
        </w:rPr>
        <w:t>ad hoc</w:t>
      </w:r>
      <w:r w:rsidRPr="00632DBC">
        <w:rPr>
          <w:rFonts w:ascii="Times New Roman" w:hAnsi="Times New Roman"/>
        </w:rPr>
        <w:t xml:space="preserve"> open-ended Working Group on Review of Implementation of the CBD to assist Parties in exploring relevant financing mechanisms.</w:t>
      </w:r>
      <w:r w:rsidRPr="00632DBC">
        <w:rPr>
          <w:rStyle w:val="FootnoteReference"/>
          <w:rFonts w:ascii="Times New Roman" w:hAnsi="Times New Roman"/>
        </w:rPr>
        <w:footnoteReference w:id="15"/>
      </w:r>
      <w:r w:rsidRPr="00632DBC">
        <w:rPr>
          <w:rFonts w:ascii="Times New Roman" w:hAnsi="Times New Roman"/>
        </w:rPr>
        <w:t xml:space="preserve"> </w:t>
      </w:r>
    </w:p>
    <w:p w14:paraId="7772B219" w14:textId="3C8DE4EC" w:rsidR="00810C20" w:rsidRPr="00504B5E" w:rsidRDefault="00810C20" w:rsidP="00810C20">
      <w:pPr>
        <w:tabs>
          <w:tab w:val="left" w:pos="426"/>
        </w:tabs>
        <w:spacing w:line="240" w:lineRule="auto"/>
        <w:jc w:val="both"/>
        <w:rPr>
          <w:rFonts w:ascii="Times New Roman" w:hAnsi="Times New Roman"/>
          <w:iCs/>
        </w:rPr>
      </w:pPr>
      <w:r w:rsidRPr="00632DBC">
        <w:rPr>
          <w:rFonts w:ascii="Times New Roman" w:hAnsi="Times New Roman"/>
        </w:rPr>
        <w:t xml:space="preserve">In this context, an initial version of this paper was developed as an information document for COP-11 in Hyderabad, India on 8-19 October 2012 </w:t>
      </w:r>
      <w:r w:rsidRPr="00633A71">
        <w:rPr>
          <w:rFonts w:ascii="Times New Roman" w:hAnsi="Times New Roman"/>
        </w:rPr>
        <w:t>(UNEP/CBD/COP/11/INF/7)</w:t>
      </w:r>
      <w:r w:rsidRPr="00632DBC">
        <w:rPr>
          <w:rFonts w:ascii="Times New Roman" w:hAnsi="Times New Roman"/>
        </w:rPr>
        <w:t xml:space="preserve">. At its eleventh meeting, the </w:t>
      </w:r>
      <w:r w:rsidRPr="00633A71">
        <w:rPr>
          <w:rFonts w:ascii="Times New Roman" w:hAnsi="Times New Roman"/>
        </w:rPr>
        <w:t xml:space="preserve">Conference of the Parties (COP 11) took note of the initial discussion paper as well as other relevant documents.  </w:t>
      </w:r>
      <w:r w:rsidRPr="00633A71">
        <w:rPr>
          <w:rFonts w:ascii="Times New Roman" w:hAnsi="Times New Roman"/>
          <w:iCs/>
        </w:rPr>
        <w:t>Paragraph 20 of Decision XI/4</w:t>
      </w:r>
      <w:r w:rsidRPr="00633A71" w:rsidDel="00A2524B">
        <w:rPr>
          <w:rFonts w:ascii="Times New Roman" w:hAnsi="Times New Roman"/>
          <w:iCs/>
        </w:rPr>
        <w:t xml:space="preserve"> </w:t>
      </w:r>
      <w:r w:rsidRPr="00633A71">
        <w:rPr>
          <w:rFonts w:ascii="Times New Roman" w:hAnsi="Times New Roman"/>
          <w:iCs/>
        </w:rPr>
        <w:t xml:space="preserve"> </w:t>
      </w:r>
      <w:r w:rsidRPr="00504B5E">
        <w:rPr>
          <w:rFonts w:ascii="Times New Roman" w:hAnsi="Times New Roman"/>
        </w:rPr>
        <w:t>“</w:t>
      </w:r>
      <w:r w:rsidRPr="00504B5E">
        <w:rPr>
          <w:rFonts w:ascii="Times New Roman" w:hAnsi="Times New Roman"/>
          <w:i/>
        </w:rPr>
        <w:t>requests</w:t>
      </w:r>
      <w:r w:rsidRPr="00A3063C">
        <w:rPr>
          <w:rFonts w:ascii="Times New Roman" w:hAnsi="Times New Roman"/>
        </w:rPr>
        <w:t xml:space="preserve"> the Executive Secretary to further develop the paper for submission to WGRI-5 based on comments from Parties and </w:t>
      </w:r>
      <w:r w:rsidRPr="0038043D">
        <w:rPr>
          <w:rFonts w:ascii="Times New Roman" w:hAnsi="Times New Roman"/>
        </w:rPr>
        <w:t>other stakeholders and requests WGRI-5 to prepare a recommendation for the consideration by the Conference of the Parties at its twelfth meeting”.</w:t>
      </w:r>
      <w:r w:rsidRPr="00633A71">
        <w:rPr>
          <w:rStyle w:val="FootnoteReference"/>
          <w:rFonts w:ascii="Times New Roman" w:hAnsi="Times New Roman"/>
        </w:rPr>
        <w:footnoteReference w:id="16"/>
      </w:r>
      <w:r w:rsidRPr="00633A71">
        <w:rPr>
          <w:rFonts w:ascii="Times New Roman" w:hAnsi="Times New Roman"/>
        </w:rPr>
        <w:t xml:space="preserve"> </w:t>
      </w:r>
      <w:r w:rsidRPr="00633A71">
        <w:rPr>
          <w:rFonts w:ascii="Times New Roman" w:hAnsi="Times New Roman"/>
          <w:iCs/>
        </w:rPr>
        <w:t>Paragraph 21 of Decision XI/4</w:t>
      </w:r>
      <w:r w:rsidRPr="00633A71" w:rsidDel="00A2524B">
        <w:rPr>
          <w:rFonts w:ascii="Times New Roman" w:hAnsi="Times New Roman"/>
          <w:iCs/>
        </w:rPr>
        <w:t xml:space="preserve"> </w:t>
      </w:r>
      <w:r w:rsidRPr="00633A71">
        <w:rPr>
          <w:rFonts w:ascii="Times New Roman" w:hAnsi="Times New Roman"/>
          <w:iCs/>
        </w:rPr>
        <w:t>invites Parties and relevant stakeholders to submit lessons learned on country-specific innovative financing mechanisms</w:t>
      </w:r>
      <w:r w:rsidRPr="00633A71">
        <w:rPr>
          <w:rStyle w:val="FootnoteReference"/>
          <w:rFonts w:ascii="Times New Roman" w:hAnsi="Times New Roman"/>
          <w:iCs/>
        </w:rPr>
        <w:footnoteReference w:id="17"/>
      </w:r>
      <w:r w:rsidRPr="00633A71">
        <w:rPr>
          <w:rFonts w:ascii="Times New Roman" w:hAnsi="Times New Roman"/>
          <w:iCs/>
        </w:rPr>
        <w:t xml:space="preserve">, which may include safeguards. Accordingly, inputs have been received and have informed the further development of the initial discussion paper (See Box </w:t>
      </w:r>
      <w:r w:rsidR="006B264A" w:rsidRPr="00633A71">
        <w:rPr>
          <w:rFonts w:ascii="Times New Roman" w:hAnsi="Times New Roman"/>
          <w:iCs/>
        </w:rPr>
        <w:t>3</w:t>
      </w:r>
      <w:r w:rsidRPr="00504B5E">
        <w:rPr>
          <w:rFonts w:ascii="Times New Roman" w:hAnsi="Times New Roman"/>
          <w:iCs/>
        </w:rPr>
        <w:t>).</w:t>
      </w:r>
    </w:p>
    <w:p w14:paraId="06276FF5" w14:textId="2A93FB51" w:rsidR="00810C20" w:rsidRPr="00633A71" w:rsidRDefault="00810C20" w:rsidP="00810C20">
      <w:pPr>
        <w:keepNext/>
        <w:keepLines/>
        <w:pBdr>
          <w:top w:val="single" w:sz="4" w:space="0" w:color="auto"/>
          <w:left w:val="single" w:sz="4" w:space="4" w:color="auto"/>
          <w:bottom w:val="single" w:sz="4" w:space="6" w:color="auto"/>
          <w:right w:val="single" w:sz="4" w:space="4" w:color="auto"/>
        </w:pBdr>
        <w:shd w:val="clear" w:color="auto" w:fill="F2F2F2"/>
        <w:tabs>
          <w:tab w:val="left" w:pos="426"/>
        </w:tabs>
        <w:spacing w:line="240" w:lineRule="auto"/>
        <w:jc w:val="both"/>
        <w:rPr>
          <w:rFonts w:ascii="Arial" w:hAnsi="Arial" w:cs="Arial"/>
          <w:sz w:val="18"/>
          <w:szCs w:val="18"/>
        </w:rPr>
      </w:pPr>
      <w:r w:rsidRPr="00632DBC">
        <w:rPr>
          <w:rFonts w:ascii="Arial" w:hAnsi="Arial" w:cs="Arial"/>
          <w:i/>
          <w:sz w:val="18"/>
          <w:szCs w:val="18"/>
        </w:rPr>
        <w:lastRenderedPageBreak/>
        <w:t xml:space="preserve">Box </w:t>
      </w:r>
      <w:r w:rsidR="006B264A" w:rsidRPr="00632DBC">
        <w:rPr>
          <w:rFonts w:ascii="Arial" w:hAnsi="Arial" w:cs="Arial"/>
          <w:i/>
          <w:sz w:val="18"/>
          <w:szCs w:val="18"/>
        </w:rPr>
        <w:t>2</w:t>
      </w:r>
      <w:r w:rsidRPr="00632DBC">
        <w:rPr>
          <w:rFonts w:ascii="Arial" w:hAnsi="Arial" w:cs="Arial"/>
          <w:i/>
          <w:sz w:val="18"/>
          <w:szCs w:val="18"/>
        </w:rPr>
        <w:t>. The story of safeguards under CBD</w:t>
      </w:r>
    </w:p>
    <w:p w14:paraId="31FEBBAF" w14:textId="77777777" w:rsidR="00810C20" w:rsidRPr="00633A71" w:rsidRDefault="00810C20" w:rsidP="00810C20">
      <w:pPr>
        <w:keepNext/>
        <w:keepLines/>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r w:rsidRPr="00633A71">
        <w:rPr>
          <w:rFonts w:ascii="Arial" w:hAnsi="Arial" w:cs="Arial"/>
          <w:sz w:val="18"/>
          <w:szCs w:val="18"/>
        </w:rPr>
        <w:t xml:space="preserve">The need for scaling up resources for biodiversity conservation was discussed at COP 9 in 2008, where Parties adopted </w:t>
      </w:r>
      <w:r w:rsidRPr="00633A71">
        <w:rPr>
          <w:rFonts w:ascii="Arial" w:hAnsi="Arial" w:cs="Arial"/>
          <w:bCs/>
          <w:sz w:val="18"/>
          <w:szCs w:val="18"/>
        </w:rPr>
        <w:t xml:space="preserve">Decision IX/11, which includes </w:t>
      </w:r>
      <w:r w:rsidRPr="00633A71">
        <w:rPr>
          <w:rFonts w:ascii="Arial" w:hAnsi="Arial" w:cs="Arial"/>
          <w:sz w:val="18"/>
          <w:szCs w:val="18"/>
        </w:rPr>
        <w:t xml:space="preserve">the </w:t>
      </w:r>
      <w:r w:rsidRPr="00504B5E">
        <w:rPr>
          <w:rFonts w:ascii="Arial" w:hAnsi="Arial" w:cs="Arial"/>
          <w:sz w:val="18"/>
          <w:szCs w:val="18"/>
        </w:rPr>
        <w:t>CBD’s Strategy for Resource Mobilization (2008-2015). The Strategy’s Goal 4 is to: “Explore new and innovative financial mechanisms at all levels with a view to increasing funding to support the three objectives of the Convention”</w:t>
      </w:r>
      <w:r w:rsidRPr="00A3063C">
        <w:rPr>
          <w:rFonts w:ascii="Arial" w:hAnsi="Arial" w:cs="Arial"/>
          <w:i/>
          <w:iCs/>
          <w:sz w:val="18"/>
          <w:szCs w:val="18"/>
        </w:rPr>
        <w:t>.</w:t>
      </w:r>
      <w:r w:rsidRPr="00632DBC">
        <w:rPr>
          <w:rFonts w:ascii="Times New Roman" w:hAnsi="Times New Roman"/>
          <w:sz w:val="18"/>
          <w:szCs w:val="18"/>
          <w:vertAlign w:val="superscript"/>
        </w:rPr>
        <w:footnoteReference w:id="18"/>
      </w:r>
      <w:r w:rsidRPr="00633A71">
        <w:rPr>
          <w:rFonts w:ascii="Times New Roman" w:hAnsi="Times New Roman"/>
          <w:i/>
          <w:iCs/>
          <w:sz w:val="18"/>
          <w:szCs w:val="18"/>
        </w:rPr>
        <w:t xml:space="preserve"> </w:t>
      </w:r>
    </w:p>
    <w:p w14:paraId="1472EC76" w14:textId="77777777" w:rsidR="00810C20" w:rsidRPr="00633A71" w:rsidRDefault="00810C20" w:rsidP="00810C20">
      <w:pPr>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iCs/>
          <w:sz w:val="18"/>
          <w:szCs w:val="18"/>
        </w:rPr>
      </w:pPr>
      <w:r w:rsidRPr="00633A71">
        <w:rPr>
          <w:rFonts w:ascii="Arial" w:hAnsi="Arial" w:cs="Arial"/>
          <w:iCs/>
          <w:sz w:val="18"/>
          <w:szCs w:val="18"/>
        </w:rPr>
        <w:t xml:space="preserve">In 2010, COP 10 </w:t>
      </w:r>
      <w:r w:rsidRPr="00504B5E">
        <w:rPr>
          <w:rFonts w:ascii="Arial" w:hAnsi="Arial" w:cs="Arial"/>
          <w:iCs/>
          <w:sz w:val="18"/>
          <w:szCs w:val="18"/>
        </w:rPr>
        <w:t xml:space="preserve">Decision X/3 on the Strategy for Resource Mobilization in Support of the Achievement of the CBD’s Three Objectives reaffirmed the Parties’ commitment to scaling up biodiversity financing, highlighting the need for information about the opportunities </w:t>
      </w:r>
      <w:proofErr w:type="gramStart"/>
      <w:r w:rsidRPr="00504B5E">
        <w:rPr>
          <w:rFonts w:ascii="Arial" w:hAnsi="Arial" w:cs="Arial"/>
          <w:iCs/>
          <w:sz w:val="18"/>
          <w:szCs w:val="18"/>
        </w:rPr>
        <w:t>and also</w:t>
      </w:r>
      <w:proofErr w:type="gramEnd"/>
      <w:r w:rsidRPr="00504B5E">
        <w:rPr>
          <w:rFonts w:ascii="Arial" w:hAnsi="Arial" w:cs="Arial"/>
          <w:iCs/>
          <w:sz w:val="18"/>
          <w:szCs w:val="18"/>
        </w:rPr>
        <w:t xml:space="preserve"> the potential problems that biodiversity financing mechanisms could generate. Safeguards were identified as one of the me</w:t>
      </w:r>
      <w:r w:rsidRPr="00A3063C">
        <w:rPr>
          <w:rFonts w:ascii="Arial" w:hAnsi="Arial" w:cs="Arial"/>
          <w:iCs/>
          <w:sz w:val="18"/>
          <w:szCs w:val="18"/>
        </w:rPr>
        <w:t>ans to address these potential problems.</w:t>
      </w:r>
      <w:r w:rsidRPr="00633A71">
        <w:rPr>
          <w:rStyle w:val="FootnoteReference"/>
          <w:rFonts w:ascii="Times New Roman" w:hAnsi="Times New Roman"/>
          <w:iCs/>
          <w:sz w:val="18"/>
          <w:szCs w:val="18"/>
        </w:rPr>
        <w:footnoteReference w:id="19"/>
      </w:r>
      <w:r w:rsidRPr="00633A71">
        <w:rPr>
          <w:rFonts w:ascii="Times New Roman" w:hAnsi="Times New Roman"/>
          <w:iCs/>
          <w:sz w:val="18"/>
          <w:szCs w:val="18"/>
        </w:rPr>
        <w:t xml:space="preserve"> </w:t>
      </w:r>
    </w:p>
    <w:p w14:paraId="17E63413" w14:textId="77777777" w:rsidR="00810C20" w:rsidRPr="00633A71" w:rsidRDefault="00810C20" w:rsidP="00810C20">
      <w:pPr>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iCs/>
          <w:sz w:val="18"/>
          <w:szCs w:val="18"/>
        </w:rPr>
      </w:pPr>
      <w:r w:rsidRPr="00633A71">
        <w:rPr>
          <w:rFonts w:ascii="Arial" w:hAnsi="Arial" w:cs="Arial"/>
          <w:sz w:val="18"/>
          <w:szCs w:val="18"/>
        </w:rPr>
        <w:t>Safeguards were also debated</w:t>
      </w:r>
      <w:r w:rsidRPr="00632DBC">
        <w:rPr>
          <w:rStyle w:val="FootnoteReference"/>
          <w:rFonts w:ascii="Times New Roman" w:hAnsi="Times New Roman"/>
          <w:sz w:val="18"/>
          <w:szCs w:val="18"/>
        </w:rPr>
        <w:footnoteReference w:id="20"/>
      </w:r>
      <w:r w:rsidRPr="00633A71">
        <w:rPr>
          <w:rFonts w:ascii="Times New Roman" w:hAnsi="Times New Roman"/>
          <w:sz w:val="18"/>
          <w:szCs w:val="18"/>
        </w:rPr>
        <w:t xml:space="preserve"> </w:t>
      </w:r>
      <w:r w:rsidRPr="00633A71">
        <w:rPr>
          <w:rFonts w:ascii="Arial" w:hAnsi="Arial" w:cs="Arial"/>
          <w:sz w:val="18"/>
          <w:szCs w:val="18"/>
        </w:rPr>
        <w:t>at COP 10, along with other issues relating to a Draft decision on Policy Options Concerning Innovative Financial Mechanisms. However, Parties did not reach consensus and, hence, this decision was not adopted.</w:t>
      </w:r>
      <w:r w:rsidRPr="00632DBC">
        <w:rPr>
          <w:rStyle w:val="FootnoteReference"/>
          <w:rFonts w:ascii="Times New Roman" w:hAnsi="Times New Roman"/>
          <w:sz w:val="18"/>
          <w:szCs w:val="18"/>
        </w:rPr>
        <w:footnoteReference w:id="21"/>
      </w:r>
      <w:r w:rsidRPr="00633A71">
        <w:rPr>
          <w:rFonts w:ascii="Times New Roman" w:hAnsi="Times New Roman"/>
          <w:sz w:val="18"/>
          <w:szCs w:val="18"/>
        </w:rPr>
        <w:t xml:space="preserve"> </w:t>
      </w:r>
    </w:p>
    <w:p w14:paraId="75688222" w14:textId="25AB31F5" w:rsidR="00810C20" w:rsidRPr="00632DBC" w:rsidRDefault="00810C20" w:rsidP="00810C20">
      <w:pPr>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r w:rsidRPr="00632DBC">
        <w:rPr>
          <w:rFonts w:ascii="Arial" w:hAnsi="Arial" w:cs="Arial"/>
          <w:sz w:val="18"/>
          <w:szCs w:val="18"/>
        </w:rPr>
        <w:t>In early 2012, a Dialogue Seminar on Scaling up Biodiversity Finance in Quito (Quito Dialogue Seminar) was convened by the CBD Secretariat and Sweden, Ecuador, Norway, India and Japan. The importance of safeguards was highlighted, and that “economic incentives can play an important role for reaching the Aichi Biodiversity Targets and that governance and institutional frameworks, including safeguards, are critically important for all financing mechanisms for biodiversity</w:t>
      </w:r>
      <w:r w:rsidR="00565AA9" w:rsidRPr="00632DBC">
        <w:rPr>
          <w:rFonts w:ascii="Arial" w:hAnsi="Arial" w:cs="Arial"/>
          <w:sz w:val="18"/>
          <w:szCs w:val="18"/>
        </w:rPr>
        <w:t>”</w:t>
      </w:r>
      <w:r w:rsidRPr="00632DBC">
        <w:rPr>
          <w:rFonts w:ascii="Arial" w:hAnsi="Arial" w:cs="Arial"/>
          <w:sz w:val="18"/>
          <w:szCs w:val="18"/>
        </w:rPr>
        <w:t>.</w:t>
      </w:r>
      <w:r w:rsidRPr="00632DBC">
        <w:rPr>
          <w:rStyle w:val="FootnoteReference"/>
          <w:rFonts w:ascii="Times New Roman" w:hAnsi="Times New Roman"/>
          <w:sz w:val="18"/>
          <w:szCs w:val="18"/>
        </w:rPr>
        <w:footnoteReference w:id="22"/>
      </w:r>
      <w:r w:rsidRPr="00632DBC">
        <w:rPr>
          <w:rFonts w:ascii="Times New Roman" w:hAnsi="Times New Roman"/>
          <w:sz w:val="18"/>
          <w:szCs w:val="18"/>
        </w:rPr>
        <w:t xml:space="preserve"> </w:t>
      </w:r>
    </w:p>
    <w:p w14:paraId="45554C43" w14:textId="77777777" w:rsidR="00810C20" w:rsidRPr="00632DBC" w:rsidRDefault="00810C20" w:rsidP="00810C20">
      <w:pPr>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r w:rsidRPr="00632DBC">
        <w:rPr>
          <w:rFonts w:ascii="Arial" w:hAnsi="Arial" w:cs="Arial"/>
          <w:sz w:val="18"/>
          <w:szCs w:val="18"/>
        </w:rPr>
        <w:t>In 2012, the fourth meeting of the Ad Hoc Open Ended Working Group on Review of Implementation of the CBD (WGRI4) requested the Secretariat to assist Parties in exploring guiding principles and safeguards associated to relevant financing mechanisms.</w:t>
      </w:r>
      <w:r w:rsidRPr="00632DBC">
        <w:rPr>
          <w:rFonts w:ascii="Times New Roman" w:hAnsi="Times New Roman"/>
          <w:sz w:val="18"/>
          <w:szCs w:val="18"/>
          <w:vertAlign w:val="superscript"/>
        </w:rPr>
        <w:footnoteReference w:id="23"/>
      </w:r>
      <w:r w:rsidRPr="00632DBC">
        <w:rPr>
          <w:rFonts w:ascii="Arial" w:hAnsi="Arial" w:cs="Arial"/>
          <w:sz w:val="18"/>
          <w:szCs w:val="18"/>
        </w:rPr>
        <w:t xml:space="preserve"> Safeguards are also explicitly mentioned in the decisions adopted at COP 11 in relation to REDD+ as well as trends to respect traditional knowledge and practices in national implementation.</w:t>
      </w:r>
    </w:p>
    <w:p w14:paraId="745B6E31" w14:textId="6B4F3318" w:rsidR="00810C20" w:rsidRPr="00633A71" w:rsidRDefault="00810C20" w:rsidP="00810C20">
      <w:pPr>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iCs/>
          <w:sz w:val="18"/>
          <w:szCs w:val="18"/>
        </w:rPr>
      </w:pPr>
      <w:r w:rsidRPr="00633A71">
        <w:rPr>
          <w:rFonts w:ascii="Arial" w:hAnsi="Arial" w:cs="Arial"/>
          <w:sz w:val="18"/>
          <w:szCs w:val="18"/>
        </w:rPr>
        <w:t xml:space="preserve">The Secretariat’s synthesis on innovative financial mechanisms (Agenda item 4.1, for CBD-COP11) presented in October 2012 provides </w:t>
      </w:r>
      <w:r w:rsidRPr="00633A71">
        <w:rPr>
          <w:rFonts w:ascii="Arial" w:hAnsi="Arial" w:cs="Arial"/>
          <w:iCs/>
          <w:sz w:val="18"/>
          <w:szCs w:val="18"/>
        </w:rPr>
        <w:t xml:space="preserve">evidence of distinct perspectives on innovative financial mechanisms. Opinion “ranges widely from innovative financial mechanisms as problem solvers to highlighting the potential problems that may be caused by innovative financial </w:t>
      </w:r>
      <w:proofErr w:type="gramStart"/>
      <w:r w:rsidRPr="00633A71">
        <w:rPr>
          <w:rFonts w:ascii="Arial" w:hAnsi="Arial" w:cs="Arial"/>
          <w:iCs/>
          <w:sz w:val="18"/>
          <w:szCs w:val="18"/>
        </w:rPr>
        <w:t>mechanisms..</w:t>
      </w:r>
      <w:proofErr w:type="gramEnd"/>
      <w:r w:rsidR="00F36DF7" w:rsidRPr="00504B5E">
        <w:rPr>
          <w:rFonts w:ascii="Arial" w:hAnsi="Arial" w:cs="Arial"/>
          <w:iCs/>
          <w:sz w:val="18"/>
          <w:szCs w:val="18"/>
        </w:rPr>
        <w:t>”.</w:t>
      </w:r>
      <w:r w:rsidRPr="00633A71">
        <w:rPr>
          <w:rStyle w:val="FootnoteReference"/>
          <w:rFonts w:ascii="Times New Roman" w:hAnsi="Times New Roman"/>
          <w:iCs/>
          <w:sz w:val="18"/>
          <w:szCs w:val="18"/>
        </w:rPr>
        <w:footnoteReference w:id="24"/>
      </w:r>
      <w:r w:rsidRPr="00633A71">
        <w:rPr>
          <w:rFonts w:ascii="Arial" w:hAnsi="Arial" w:cs="Arial"/>
          <w:iCs/>
          <w:sz w:val="18"/>
          <w:szCs w:val="18"/>
        </w:rPr>
        <w:t xml:space="preserve"> </w:t>
      </w:r>
      <w:r w:rsidRPr="00633A71">
        <w:rPr>
          <w:rFonts w:ascii="Arial" w:hAnsi="Arial" w:cs="Arial"/>
          <w:sz w:val="18"/>
          <w:szCs w:val="18"/>
        </w:rPr>
        <w:t xml:space="preserve">It </w:t>
      </w:r>
      <w:r w:rsidRPr="00633A71">
        <w:rPr>
          <w:rFonts w:ascii="Arial" w:hAnsi="Arial" w:cs="Arial"/>
          <w:iCs/>
          <w:sz w:val="18"/>
          <w:szCs w:val="18"/>
        </w:rPr>
        <w:t>mentions that a “deeper understanding of innovative financial mechanisms by all relevant stakeholders may contribute to consensus building, including through development of appropriate environmental and socio-economic safeguards that are called in several submissions”.</w:t>
      </w:r>
      <w:r w:rsidRPr="00633A71">
        <w:rPr>
          <w:rStyle w:val="FootnoteReference"/>
          <w:rFonts w:ascii="Times New Roman" w:hAnsi="Times New Roman"/>
          <w:iCs/>
          <w:sz w:val="18"/>
          <w:szCs w:val="18"/>
        </w:rPr>
        <w:footnoteReference w:id="25"/>
      </w:r>
    </w:p>
    <w:p w14:paraId="729F556B" w14:textId="0A1D1424" w:rsidR="00810C20" w:rsidRPr="00632DBC" w:rsidRDefault="00810C20" w:rsidP="00810C20">
      <w:pPr>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r w:rsidRPr="00632DBC">
        <w:rPr>
          <w:rFonts w:ascii="Arial" w:hAnsi="Arial" w:cs="Arial"/>
          <w:sz w:val="18"/>
          <w:szCs w:val="18"/>
        </w:rPr>
        <w:t>I</w:t>
      </w:r>
      <w:r w:rsidRPr="00633A71">
        <w:rPr>
          <w:rFonts w:ascii="Arial" w:hAnsi="Arial" w:cs="Arial"/>
          <w:iCs/>
          <w:sz w:val="18"/>
          <w:szCs w:val="18"/>
        </w:rPr>
        <w:t>n 2013-2014, for the fifth meeting of the Ad Hoc Open-ended Working Group on Review of Implementation of the Convention (WGRI5) a new version of this Safeguards paper was developed (UNEP/CBD/WGRI/5/INF/7)</w:t>
      </w:r>
      <w:r w:rsidRPr="00633A71">
        <w:rPr>
          <w:rFonts w:ascii="Arial" w:hAnsi="Arial" w:cs="Arial"/>
          <w:iCs/>
          <w:sz w:val="18"/>
          <w:szCs w:val="18"/>
          <w:vertAlign w:val="superscript"/>
        </w:rPr>
        <w:t xml:space="preserve"> </w:t>
      </w:r>
      <w:r w:rsidRPr="00633A71">
        <w:rPr>
          <w:rFonts w:ascii="Arial" w:hAnsi="Arial" w:cs="Arial"/>
          <w:iCs/>
          <w:sz w:val="18"/>
          <w:szCs w:val="18"/>
          <w:vertAlign w:val="superscript"/>
        </w:rPr>
        <w:footnoteReference w:id="26"/>
      </w:r>
      <w:r w:rsidRPr="00633A71">
        <w:rPr>
          <w:rFonts w:ascii="Arial" w:hAnsi="Arial" w:cs="Arial"/>
          <w:iCs/>
          <w:sz w:val="18"/>
          <w:szCs w:val="18"/>
        </w:rPr>
        <w:t>.The WGRI5 requested</w:t>
      </w:r>
      <w:r w:rsidRPr="00633A71" w:rsidDel="009D5995">
        <w:rPr>
          <w:rFonts w:ascii="Arial" w:hAnsi="Arial" w:cs="Arial"/>
          <w:iCs/>
          <w:sz w:val="18"/>
          <w:szCs w:val="18"/>
        </w:rPr>
        <w:t xml:space="preserve"> </w:t>
      </w:r>
      <w:r w:rsidRPr="00633A71">
        <w:rPr>
          <w:rFonts w:ascii="Arial" w:hAnsi="Arial" w:cs="Arial"/>
          <w:iCs/>
          <w:sz w:val="18"/>
          <w:szCs w:val="18"/>
        </w:rPr>
        <w:t>the CBD Secretariat to develop, for consideration by the Conference of the Parties at its twelfth meeting: “Draft options for voluntary guidelines based on the challenges and possible risks of these mechanisms as identified in the document on possible risks and benefits of country-specific innovative financial mechanisms and safeguards</w:t>
      </w:r>
      <w:r w:rsidRPr="00633A71">
        <w:rPr>
          <w:rFonts w:ascii="Arial" w:hAnsi="Arial" w:cs="Arial"/>
          <w:iCs/>
          <w:sz w:val="18"/>
          <w:szCs w:val="18"/>
          <w:vertAlign w:val="superscript"/>
        </w:rPr>
        <w:footnoteReference w:id="27"/>
      </w:r>
      <w:r w:rsidRPr="00633A71">
        <w:rPr>
          <w:rFonts w:ascii="Arial" w:hAnsi="Arial" w:cs="Arial"/>
          <w:iCs/>
          <w:sz w:val="18"/>
          <w:szCs w:val="18"/>
        </w:rPr>
        <w:t>”(UNEP/CBD/COP/12/4).</w:t>
      </w:r>
      <w:r w:rsidRPr="00632DBC">
        <w:rPr>
          <w:rFonts w:ascii="Arial" w:hAnsi="Arial" w:cs="Arial"/>
          <w:sz w:val="18"/>
          <w:szCs w:val="18"/>
        </w:rPr>
        <w:t xml:space="preserve"> WGRI5 also </w:t>
      </w:r>
      <w:r w:rsidRPr="00633A71">
        <w:rPr>
          <w:rFonts w:ascii="Arial" w:hAnsi="Arial" w:cs="Arial"/>
          <w:iCs/>
          <w:sz w:val="18"/>
          <w:szCs w:val="18"/>
        </w:rPr>
        <w:t xml:space="preserve">takes note of the Co-Chair’s Summary of the Second Informal Dialogue Seminar on Scaling up Finance for Biodiversity which </w:t>
      </w:r>
      <w:r w:rsidRPr="00632DBC">
        <w:rPr>
          <w:rFonts w:ascii="Arial" w:hAnsi="Arial" w:cs="Arial"/>
          <w:sz w:val="18"/>
          <w:szCs w:val="18"/>
        </w:rPr>
        <w:t xml:space="preserve">included, as specific objectives, to seek </w:t>
      </w:r>
      <w:r w:rsidRPr="00632DBC">
        <w:rPr>
          <w:rFonts w:ascii="Arial" w:hAnsi="Arial" w:cs="Arial"/>
          <w:sz w:val="18"/>
          <w:szCs w:val="18"/>
        </w:rPr>
        <w:lastRenderedPageBreak/>
        <w:t>enhanced understanding of various ways of operationalising mechanisms for mobilizing financial and non-financial resources, including principles and safeguards for their implementation;</w:t>
      </w:r>
      <w:r w:rsidRPr="00632DBC">
        <w:rPr>
          <w:rStyle w:val="FootnoteReference"/>
          <w:rFonts w:ascii="Arial" w:hAnsi="Arial" w:cs="Arial"/>
          <w:sz w:val="18"/>
          <w:szCs w:val="18"/>
        </w:rPr>
        <w:footnoteReference w:id="28"/>
      </w:r>
      <w:r w:rsidRPr="00632DBC">
        <w:rPr>
          <w:rFonts w:ascii="Arial" w:hAnsi="Arial" w:cs="Arial"/>
          <w:sz w:val="18"/>
          <w:szCs w:val="18"/>
        </w:rPr>
        <w:t xml:space="preserve"> for some highlights on governance, safeguards and equity discussed in this Dialogue Seminar, see Box </w:t>
      </w:r>
      <w:r w:rsidR="00D64C02" w:rsidRPr="00632DBC">
        <w:rPr>
          <w:rFonts w:ascii="Arial" w:hAnsi="Arial" w:cs="Arial"/>
          <w:sz w:val="18"/>
          <w:szCs w:val="18"/>
        </w:rPr>
        <w:t>8</w:t>
      </w:r>
      <w:r w:rsidRPr="00632DBC">
        <w:rPr>
          <w:rFonts w:ascii="Arial" w:hAnsi="Arial" w:cs="Arial"/>
          <w:sz w:val="18"/>
          <w:szCs w:val="18"/>
        </w:rPr>
        <w:t xml:space="preserve">. </w:t>
      </w:r>
    </w:p>
    <w:p w14:paraId="38DC8CB4" w14:textId="3577C221" w:rsidR="00565AA9" w:rsidRPr="00504B5E" w:rsidRDefault="00565AA9" w:rsidP="00810C20">
      <w:pPr>
        <w:pBdr>
          <w:top w:val="single" w:sz="4" w:space="0" w:color="auto"/>
          <w:left w:val="single" w:sz="4" w:space="4" w:color="auto"/>
          <w:bottom w:val="single" w:sz="4" w:space="6" w:color="auto"/>
          <w:right w:val="single" w:sz="4" w:space="4" w:color="auto"/>
        </w:pBdr>
        <w:shd w:val="clear" w:color="auto" w:fill="F2F2F2"/>
        <w:spacing w:line="240" w:lineRule="auto"/>
        <w:jc w:val="both"/>
        <w:rPr>
          <w:rFonts w:ascii="Arial" w:hAnsi="Arial" w:cs="Arial"/>
          <w:iCs/>
          <w:sz w:val="18"/>
          <w:szCs w:val="18"/>
        </w:rPr>
      </w:pPr>
      <w:r w:rsidRPr="00633A71">
        <w:rPr>
          <w:rFonts w:ascii="Arial" w:hAnsi="Arial" w:cs="Arial"/>
          <w:iCs/>
          <w:sz w:val="18"/>
          <w:szCs w:val="18"/>
        </w:rPr>
        <w:t>The Convention revised and adopted the proposed voluntary guidelines for safeguards in biodiversity financing mechanisms at COP 12 in 2014 (UNEP/CBD/COP/DEC/XII/3). Consequently, at COP13, the Parties requested the Executive Secretary to compile and analyse information, including good practices or lessons learned on how Parties, other Governments, international organizations, business organizations and other stakeholders take voluntary guidelines on safeguards in biodiversity financing mechanisms into account when selecting, designi</w:t>
      </w:r>
      <w:r w:rsidRPr="00504B5E">
        <w:rPr>
          <w:rFonts w:ascii="Arial" w:hAnsi="Arial" w:cs="Arial"/>
          <w:iCs/>
          <w:sz w:val="18"/>
          <w:szCs w:val="18"/>
        </w:rPr>
        <w:t>ng and implementing biodiversity financing mechanisms, and when developing instrument-specific safeguards for them (CBD/COP/DEC/XIII/20).</w:t>
      </w:r>
    </w:p>
    <w:p w14:paraId="659CE161" w14:textId="5868058C" w:rsidR="00810C20" w:rsidRPr="00632DBC" w:rsidRDefault="00810C20" w:rsidP="00810C20">
      <w:pPr>
        <w:tabs>
          <w:tab w:val="left" w:pos="450"/>
        </w:tabs>
        <w:spacing w:line="240" w:lineRule="auto"/>
        <w:jc w:val="both"/>
        <w:rPr>
          <w:rFonts w:ascii="Times New Roman" w:hAnsi="Times New Roman"/>
        </w:rPr>
      </w:pPr>
      <w:r w:rsidRPr="00A3063C">
        <w:rPr>
          <w:rFonts w:ascii="Times New Roman" w:hAnsi="Times New Roman"/>
        </w:rPr>
        <w:t>This paper addresses how to develop and implement safeguards for scaling up biodiversity financing under CBD and proposes guidelines and elements for an operational roadmap. We focus especially on the so-called “new and innovative financial mechanism</w:t>
      </w:r>
      <w:r w:rsidRPr="0038043D">
        <w:rPr>
          <w:rFonts w:ascii="Times New Roman" w:hAnsi="Times New Roman"/>
        </w:rPr>
        <w:t>s” (IFMs) under the CBD’s strategy for resource mobilization (Decision IX/11) which are: payments for ecosystems services, biodiversity offsets, environmental fiscal reform, international development finance, markets for green products and climate financin</w:t>
      </w:r>
      <w:r w:rsidRPr="00632DBC">
        <w:rPr>
          <w:rFonts w:ascii="Times New Roman" w:hAnsi="Times New Roman"/>
        </w:rPr>
        <w:t xml:space="preserve">g with co-benefits to biodiversity. These mechanisms under Goal 4 are distinct in nature. As OECD (2013) highlights, these mechanisms may vary in terms of their purpose, their applicability as well as in the amount of finance they have been able to mobilise and the opportunities to scale-up. Likewise, distinct design and implementation considerations need to be </w:t>
      </w:r>
      <w:proofErr w:type="gramStart"/>
      <w:r w:rsidRPr="00632DBC">
        <w:rPr>
          <w:rFonts w:ascii="Times New Roman" w:hAnsi="Times New Roman"/>
        </w:rPr>
        <w:t>taken into account</w:t>
      </w:r>
      <w:proofErr w:type="gramEnd"/>
      <w:r w:rsidRPr="00632DBC">
        <w:rPr>
          <w:rFonts w:ascii="Times New Roman" w:hAnsi="Times New Roman"/>
        </w:rPr>
        <w:t xml:space="preserve"> depending on the type of mechanism. The </w:t>
      </w:r>
      <w:r w:rsidR="004546E2" w:rsidRPr="00632DBC">
        <w:rPr>
          <w:rFonts w:ascii="Times New Roman" w:hAnsi="Times New Roman"/>
        </w:rPr>
        <w:t>adopted guidelines</w:t>
      </w:r>
      <w:r w:rsidRPr="00632DBC">
        <w:rPr>
          <w:rFonts w:ascii="Times New Roman" w:hAnsi="Times New Roman"/>
        </w:rPr>
        <w:t xml:space="preserve"> in Section 5 are relatively general because they aim to be applicable to all the BFMs while also taking into consideration the interconnectedness of BFMs’ risks and opportunities.  A step-wise approach is suggested including the proposed elements for an operational roadmap in Section 7, which can then contribute to further specify the guidelines and methodologies for safeguards </w:t>
      </w:r>
      <w:proofErr w:type="gramStart"/>
      <w:r w:rsidRPr="00632DBC">
        <w:rPr>
          <w:rFonts w:ascii="Times New Roman" w:hAnsi="Times New Roman"/>
        </w:rPr>
        <w:t>in particular BFMs</w:t>
      </w:r>
      <w:proofErr w:type="gramEnd"/>
      <w:r w:rsidRPr="00632DBC">
        <w:rPr>
          <w:rFonts w:ascii="Times New Roman" w:hAnsi="Times New Roman"/>
        </w:rPr>
        <w:t xml:space="preserve"> as well as for safeguards addressing the linkages of BFMs’ risks and opportunities.  </w:t>
      </w:r>
    </w:p>
    <w:p w14:paraId="4E7F3BA6" w14:textId="01A7C8C0" w:rsidR="00810C20" w:rsidRPr="00633A71" w:rsidRDefault="00FA0A09" w:rsidP="00810C20">
      <w:pPr>
        <w:tabs>
          <w:tab w:val="left" w:pos="450"/>
        </w:tabs>
        <w:spacing w:line="240" w:lineRule="auto"/>
        <w:jc w:val="both"/>
        <w:rPr>
          <w:rFonts w:ascii="Times New Roman" w:hAnsi="Times New Roman"/>
        </w:rPr>
      </w:pPr>
      <w:r w:rsidRPr="00632DBC">
        <w:rPr>
          <w:rFonts w:ascii="Times New Roman" w:hAnsi="Times New Roman"/>
        </w:rPr>
        <w:t>In this paper, we</w:t>
      </w:r>
      <w:r w:rsidR="00810C20" w:rsidRPr="00632DBC">
        <w:rPr>
          <w:rFonts w:ascii="Times New Roman" w:hAnsi="Times New Roman"/>
        </w:rPr>
        <w:t xml:space="preserve"> </w:t>
      </w:r>
      <w:r w:rsidRPr="00632DBC">
        <w:rPr>
          <w:rFonts w:ascii="Times New Roman" w:hAnsi="Times New Roman"/>
        </w:rPr>
        <w:t xml:space="preserve">use </w:t>
      </w:r>
      <w:r w:rsidR="00810C20" w:rsidRPr="00632DBC">
        <w:rPr>
          <w:rFonts w:ascii="Times New Roman" w:hAnsi="Times New Roman"/>
        </w:rPr>
        <w:t xml:space="preserve">“biodiversity financing mechanisms” (or BFMs) to refer to </w:t>
      </w:r>
      <w:r w:rsidR="00810C20" w:rsidRPr="00633A71">
        <w:rPr>
          <w:rFonts w:ascii="Times New Roman" w:hAnsi="Times New Roman"/>
        </w:rPr>
        <w:t xml:space="preserve">“new and innovative financial mechanisms” (IFMs) </w:t>
      </w:r>
      <w:r w:rsidR="00810C20" w:rsidRPr="00632DBC">
        <w:rPr>
          <w:rFonts w:ascii="Times New Roman" w:hAnsi="Times New Roman"/>
        </w:rPr>
        <w:t xml:space="preserve">under </w:t>
      </w:r>
      <w:r w:rsidR="00810C20" w:rsidRPr="00633A71">
        <w:rPr>
          <w:rFonts w:ascii="Times New Roman" w:hAnsi="Times New Roman"/>
          <w:bCs/>
        </w:rPr>
        <w:t>the</w:t>
      </w:r>
      <w:r w:rsidR="00810C20" w:rsidRPr="00633A71">
        <w:rPr>
          <w:rFonts w:ascii="Times New Roman" w:hAnsi="Times New Roman"/>
        </w:rPr>
        <w:t xml:space="preserve"> </w:t>
      </w:r>
      <w:r w:rsidR="00810C20" w:rsidRPr="00632DBC">
        <w:rPr>
          <w:rFonts w:ascii="Times New Roman" w:hAnsi="Times New Roman"/>
        </w:rPr>
        <w:t>CBD’s strategy for resource mobilization</w:t>
      </w:r>
      <w:r w:rsidR="00810C20" w:rsidRPr="00633A71">
        <w:rPr>
          <w:rFonts w:ascii="Times New Roman" w:hAnsi="Times New Roman"/>
        </w:rPr>
        <w:t xml:space="preserve"> (</w:t>
      </w:r>
      <w:r w:rsidR="00810C20" w:rsidRPr="00633A71">
        <w:rPr>
          <w:rFonts w:ascii="Times New Roman" w:hAnsi="Times New Roman"/>
          <w:bCs/>
        </w:rPr>
        <w:t>Decision IX/11)</w:t>
      </w:r>
      <w:r w:rsidR="00810C20" w:rsidRPr="00632DBC">
        <w:rPr>
          <w:rFonts w:ascii="Times New Roman" w:hAnsi="Times New Roman"/>
        </w:rPr>
        <w:t xml:space="preserve"> because these mechanisms actually include both established mechanisms and new alternatives in both the public and private sectors.</w:t>
      </w:r>
      <w:r w:rsidR="00810C20" w:rsidRPr="00632DBC">
        <w:rPr>
          <w:rStyle w:val="FootnoteReference"/>
          <w:rFonts w:ascii="Times New Roman" w:hAnsi="Times New Roman"/>
        </w:rPr>
        <w:footnoteReference w:id="29"/>
      </w:r>
      <w:r w:rsidR="00810C20" w:rsidRPr="00632DBC">
        <w:rPr>
          <w:rFonts w:ascii="Times New Roman" w:hAnsi="Times New Roman"/>
        </w:rPr>
        <w:t xml:space="preserve"> “Safeguards in BFMs” refer to measures for maximising the protection of biodiversity and people’s livelihoods while minimising negative impacts. </w:t>
      </w:r>
      <w:r w:rsidR="00810C20" w:rsidRPr="00633A71">
        <w:rPr>
          <w:rFonts w:ascii="Times New Roman" w:hAnsi="Times New Roman"/>
        </w:rPr>
        <w:t xml:space="preserve">Rather than defining a set of safeguards, the focus of this study is to examine the notion of safeguards and explore elements and guidelines that can be useful for the design and application of safeguards in BFMs. </w:t>
      </w:r>
    </w:p>
    <w:p w14:paraId="557FDA91" w14:textId="1A980C46" w:rsidR="00794D32" w:rsidRPr="00632DBC" w:rsidRDefault="00794D32" w:rsidP="00794D32">
      <w:pPr>
        <w:pStyle w:val="NormalWeb"/>
        <w:spacing w:line="240" w:lineRule="auto"/>
        <w:jc w:val="both"/>
        <w:rPr>
          <w:rFonts w:ascii="Times" w:eastAsiaTheme="minorEastAsia" w:hAnsi="Times"/>
          <w:sz w:val="20"/>
        </w:rPr>
      </w:pPr>
      <w:r w:rsidRPr="00632DBC">
        <w:rPr>
          <w:sz w:val="22"/>
        </w:rPr>
        <w:t xml:space="preserve">Indigenous peoples and local communities play a prominent </w:t>
      </w:r>
      <w:r w:rsidR="00180E8E" w:rsidRPr="00632DBC">
        <w:rPr>
          <w:sz w:val="22"/>
        </w:rPr>
        <w:t>role in biodiversity governance</w:t>
      </w:r>
      <w:r w:rsidR="00180E8E" w:rsidRPr="00632DBC">
        <w:rPr>
          <w:sz w:val="22"/>
          <w:szCs w:val="22"/>
        </w:rPr>
        <w:t>. T</w:t>
      </w:r>
      <w:r w:rsidRPr="00632DBC">
        <w:rPr>
          <w:sz w:val="22"/>
          <w:szCs w:val="22"/>
        </w:rPr>
        <w:t>herefore</w:t>
      </w:r>
      <w:r w:rsidRPr="00632DBC">
        <w:rPr>
          <w:sz w:val="22"/>
        </w:rPr>
        <w:t xml:space="preserve">, efforts to select, design </w:t>
      </w:r>
      <w:r w:rsidR="00180E8E" w:rsidRPr="00632DBC">
        <w:rPr>
          <w:sz w:val="22"/>
        </w:rPr>
        <w:t xml:space="preserve">and implement </w:t>
      </w:r>
      <w:r w:rsidR="00180E8E" w:rsidRPr="00632DBC">
        <w:rPr>
          <w:sz w:val="22"/>
          <w:szCs w:val="22"/>
        </w:rPr>
        <w:t>BFMs</w:t>
      </w:r>
      <w:r w:rsidR="00180E8E" w:rsidRPr="00632DBC">
        <w:rPr>
          <w:sz w:val="22"/>
        </w:rPr>
        <w:t xml:space="preserve"> must take </w:t>
      </w:r>
      <w:r w:rsidR="00180E8E" w:rsidRPr="00632DBC">
        <w:rPr>
          <w:sz w:val="22"/>
          <w:szCs w:val="22"/>
        </w:rPr>
        <w:t>those</w:t>
      </w:r>
      <w:r w:rsidR="00180E8E" w:rsidRPr="00632DBC">
        <w:rPr>
          <w:sz w:val="22"/>
        </w:rPr>
        <w:t xml:space="preserve"> key actors</w:t>
      </w:r>
      <w:r w:rsidRPr="00632DBC">
        <w:rPr>
          <w:sz w:val="22"/>
        </w:rPr>
        <w:t xml:space="preserve"> into account</w:t>
      </w:r>
      <w:r w:rsidR="00B02733" w:rsidRPr="00632DBC">
        <w:rPr>
          <w:sz w:val="22"/>
          <w:szCs w:val="22"/>
        </w:rPr>
        <w:t>,</w:t>
      </w:r>
      <w:r w:rsidR="00CC297E" w:rsidRPr="00632DBC">
        <w:rPr>
          <w:sz w:val="22"/>
        </w:rPr>
        <w:t xml:space="preserve"> both as right-holders and key agents of sustainability solutions</w:t>
      </w:r>
      <w:r w:rsidRPr="00632DBC">
        <w:rPr>
          <w:sz w:val="22"/>
        </w:rPr>
        <w:t>. In this paper,</w:t>
      </w:r>
      <w:r w:rsidR="00CC297E" w:rsidRPr="00632DBC">
        <w:rPr>
          <w:sz w:val="22"/>
        </w:rPr>
        <w:t xml:space="preserve"> following CBD </w:t>
      </w:r>
      <w:r w:rsidR="00CC297E" w:rsidRPr="00632DBC">
        <w:rPr>
          <w:sz w:val="22"/>
          <w:shd w:val="clear" w:color="auto" w:fill="FFFFFF"/>
        </w:rPr>
        <w:t xml:space="preserve">Decision </w:t>
      </w:r>
      <w:r w:rsidR="00CC297E" w:rsidRPr="00632DBC">
        <w:rPr>
          <w:rFonts w:eastAsiaTheme="minorEastAsia"/>
          <w:sz w:val="22"/>
        </w:rPr>
        <w:t>XII/12,</w:t>
      </w:r>
      <w:r w:rsidRPr="00632DBC">
        <w:rPr>
          <w:sz w:val="22"/>
        </w:rPr>
        <w:t xml:space="preserve"> we use the terms “indigenous</w:t>
      </w:r>
      <w:r w:rsidR="00180E8E" w:rsidRPr="00632DBC">
        <w:rPr>
          <w:sz w:val="22"/>
        </w:rPr>
        <w:t xml:space="preserve"> peoples and local communities” </w:t>
      </w:r>
      <w:r w:rsidR="00CC297E" w:rsidRPr="00632DBC">
        <w:rPr>
          <w:sz w:val="22"/>
          <w:shd w:val="clear" w:color="auto" w:fill="FFFFFF"/>
        </w:rPr>
        <w:t>(IPLC</w:t>
      </w:r>
      <w:r w:rsidR="00CC297E" w:rsidRPr="00632DBC">
        <w:rPr>
          <w:sz w:val="22"/>
          <w:szCs w:val="22"/>
          <w:shd w:val="clear" w:color="auto" w:fill="FFFFFF"/>
          <w:lang w:eastAsia="sv-SE" w:bidi="ar-SA"/>
        </w:rPr>
        <w:t>)</w:t>
      </w:r>
      <w:r w:rsidRPr="00632DBC">
        <w:rPr>
          <w:rFonts w:eastAsiaTheme="minorEastAsia"/>
          <w:sz w:val="22"/>
          <w:szCs w:val="22"/>
          <w:lang w:eastAsia="sv-SE" w:bidi="ar-SA"/>
        </w:rPr>
        <w:t>.</w:t>
      </w:r>
      <w:r w:rsidRPr="00632DBC">
        <w:rPr>
          <w:rFonts w:eastAsiaTheme="minorEastAsia"/>
          <w:sz w:val="22"/>
        </w:rPr>
        <w:t xml:space="preserve"> </w:t>
      </w:r>
      <w:r w:rsidR="00E725F9" w:rsidRPr="00632DBC">
        <w:rPr>
          <w:rFonts w:eastAsiaTheme="minorEastAsia"/>
          <w:sz w:val="22"/>
        </w:rPr>
        <w:t>I</w:t>
      </w:r>
      <w:r w:rsidR="00CC297E" w:rsidRPr="00632DBC">
        <w:rPr>
          <w:rFonts w:eastAsiaTheme="minorEastAsia"/>
          <w:sz w:val="22"/>
        </w:rPr>
        <w:t>n line with Decision CBD/COP/DEC/XIII/18</w:t>
      </w:r>
      <w:r w:rsidR="00E725F9" w:rsidRPr="00632DBC">
        <w:rPr>
          <w:rFonts w:eastAsiaTheme="minorEastAsia"/>
          <w:sz w:val="22"/>
        </w:rPr>
        <w:t xml:space="preserve">, </w:t>
      </w:r>
      <w:r w:rsidRPr="00632DBC">
        <w:rPr>
          <w:rFonts w:eastAsiaTheme="minorEastAsia"/>
          <w:sz w:val="22"/>
        </w:rPr>
        <w:t xml:space="preserve">we use the term Free Prior Informed Consent </w:t>
      </w:r>
      <w:r w:rsidR="00180E8E" w:rsidRPr="00632DBC">
        <w:rPr>
          <w:rFonts w:eastAsiaTheme="minorEastAsia"/>
          <w:sz w:val="22"/>
          <w:szCs w:val="22"/>
          <w:lang w:val="en-US" w:eastAsia="sv-SE" w:bidi="ar-SA"/>
        </w:rPr>
        <w:t>(</w:t>
      </w:r>
      <w:r w:rsidRPr="00632DBC">
        <w:rPr>
          <w:rFonts w:eastAsiaTheme="minorEastAsia"/>
          <w:sz w:val="22"/>
        </w:rPr>
        <w:t>FPIC</w:t>
      </w:r>
      <w:r w:rsidR="00180E8E" w:rsidRPr="00632DBC">
        <w:rPr>
          <w:rFonts w:eastAsiaTheme="minorEastAsia"/>
          <w:sz w:val="22"/>
          <w:szCs w:val="22"/>
          <w:lang w:eastAsia="sv-SE" w:bidi="ar-SA"/>
        </w:rPr>
        <w:t>),</w:t>
      </w:r>
      <w:r w:rsidRPr="00632DBC">
        <w:rPr>
          <w:rFonts w:eastAsiaTheme="minorEastAsia"/>
          <w:sz w:val="22"/>
        </w:rPr>
        <w:t xml:space="preserve"> </w:t>
      </w:r>
      <w:r w:rsidR="00E725F9" w:rsidRPr="00632DBC">
        <w:rPr>
          <w:rFonts w:eastAsiaTheme="minorEastAsia"/>
          <w:sz w:val="22"/>
        </w:rPr>
        <w:t xml:space="preserve">to refer to </w:t>
      </w:r>
      <w:r w:rsidRPr="00632DBC">
        <w:rPr>
          <w:rFonts w:eastAsiaTheme="minorEastAsia"/>
          <w:sz w:val="22"/>
        </w:rPr>
        <w:t>consent</w:t>
      </w:r>
      <w:r w:rsidR="00E725F9" w:rsidRPr="00632DBC">
        <w:rPr>
          <w:rFonts w:eastAsiaTheme="minorEastAsia"/>
          <w:sz w:val="22"/>
        </w:rPr>
        <w:t xml:space="preserve"> by</w:t>
      </w:r>
      <w:r w:rsidRPr="00632DBC">
        <w:rPr>
          <w:rFonts w:eastAsiaTheme="minorEastAsia"/>
          <w:sz w:val="22"/>
        </w:rPr>
        <w:t xml:space="preserve"> </w:t>
      </w:r>
      <w:r w:rsidR="00E725F9" w:rsidRPr="00632DBC">
        <w:rPr>
          <w:rFonts w:eastAsiaTheme="minorEastAsia"/>
          <w:sz w:val="22"/>
        </w:rPr>
        <w:t xml:space="preserve">indigenous peoples and local communities </w:t>
      </w:r>
      <w:r w:rsidR="00CC297E" w:rsidRPr="00632DBC">
        <w:rPr>
          <w:rFonts w:eastAsiaTheme="minorEastAsia"/>
          <w:sz w:val="22"/>
        </w:rPr>
        <w:t xml:space="preserve">that is </w:t>
      </w:r>
      <w:r w:rsidRPr="00632DBC">
        <w:rPr>
          <w:rFonts w:eastAsiaTheme="minorEastAsia"/>
          <w:sz w:val="22"/>
        </w:rPr>
        <w:t>free of any form of coercion</w:t>
      </w:r>
      <w:r w:rsidR="00E725F9" w:rsidRPr="00632DBC">
        <w:rPr>
          <w:rFonts w:eastAsiaTheme="minorEastAsia"/>
          <w:sz w:val="22"/>
        </w:rPr>
        <w:t>;</w:t>
      </w:r>
      <w:r w:rsidRPr="00632DBC">
        <w:rPr>
          <w:rFonts w:eastAsiaTheme="minorEastAsia"/>
          <w:sz w:val="22"/>
        </w:rPr>
        <w:t xml:space="preserve"> </w:t>
      </w:r>
      <w:r w:rsidR="00E725F9" w:rsidRPr="00632DBC">
        <w:rPr>
          <w:rFonts w:eastAsiaTheme="minorEastAsia"/>
          <w:sz w:val="22"/>
        </w:rPr>
        <w:t xml:space="preserve">provided </w:t>
      </w:r>
      <w:r w:rsidRPr="00632DBC">
        <w:rPr>
          <w:rFonts w:eastAsiaTheme="minorEastAsia"/>
          <w:sz w:val="22"/>
        </w:rPr>
        <w:t>sufficiently in advance</w:t>
      </w:r>
      <w:r w:rsidR="00E725F9" w:rsidRPr="00632DBC">
        <w:rPr>
          <w:rFonts w:eastAsiaTheme="minorEastAsia"/>
          <w:sz w:val="22"/>
        </w:rPr>
        <w:t>;</w:t>
      </w:r>
      <w:r w:rsidRPr="00632DBC">
        <w:rPr>
          <w:rFonts w:eastAsiaTheme="minorEastAsia"/>
          <w:sz w:val="22"/>
        </w:rPr>
        <w:t xml:space="preserve"> respecting customary decision-making processes and time requirements </w:t>
      </w:r>
      <w:r w:rsidR="00E725F9" w:rsidRPr="00632DBC">
        <w:rPr>
          <w:rFonts w:eastAsiaTheme="minorEastAsia"/>
          <w:sz w:val="22"/>
        </w:rPr>
        <w:t xml:space="preserve">by </w:t>
      </w:r>
      <w:r w:rsidRPr="00632DBC">
        <w:rPr>
          <w:rFonts w:eastAsiaTheme="minorEastAsia"/>
          <w:sz w:val="22"/>
        </w:rPr>
        <w:t>indigenous peoples and local communities</w:t>
      </w:r>
      <w:r w:rsidR="00E725F9" w:rsidRPr="00632DBC">
        <w:rPr>
          <w:rFonts w:eastAsiaTheme="minorEastAsia"/>
          <w:sz w:val="22"/>
        </w:rPr>
        <w:t>;</w:t>
      </w:r>
      <w:r w:rsidRPr="00632DBC">
        <w:rPr>
          <w:rFonts w:eastAsiaTheme="minorEastAsia"/>
          <w:sz w:val="22"/>
        </w:rPr>
        <w:t xml:space="preserve"> </w:t>
      </w:r>
      <w:r w:rsidR="005D04D9" w:rsidRPr="00632DBC">
        <w:rPr>
          <w:rFonts w:eastAsiaTheme="minorEastAsia"/>
          <w:sz w:val="22"/>
        </w:rPr>
        <w:t xml:space="preserve">where </w:t>
      </w:r>
      <w:r w:rsidRPr="00632DBC">
        <w:rPr>
          <w:rFonts w:eastAsiaTheme="minorEastAsia"/>
          <w:sz w:val="22"/>
        </w:rPr>
        <w:t xml:space="preserve">information </w:t>
      </w:r>
      <w:r w:rsidR="00E725F9" w:rsidRPr="00632DBC">
        <w:rPr>
          <w:rFonts w:eastAsiaTheme="minorEastAsia"/>
          <w:sz w:val="22"/>
        </w:rPr>
        <w:t xml:space="preserve">for this decision-making </w:t>
      </w:r>
      <w:r w:rsidRPr="00632DBC">
        <w:rPr>
          <w:rFonts w:eastAsiaTheme="minorEastAsia"/>
          <w:sz w:val="22"/>
        </w:rPr>
        <w:t>is relevant and complete</w:t>
      </w:r>
      <w:r w:rsidR="00E725F9" w:rsidRPr="00632DBC">
        <w:rPr>
          <w:rFonts w:eastAsiaTheme="minorEastAsia"/>
          <w:sz w:val="22"/>
        </w:rPr>
        <w:t>;</w:t>
      </w:r>
      <w:r w:rsidRPr="00632DBC">
        <w:rPr>
          <w:rFonts w:eastAsiaTheme="minorEastAsia"/>
          <w:sz w:val="22"/>
        </w:rPr>
        <w:t xml:space="preserve"> </w:t>
      </w:r>
      <w:r w:rsidR="005D04D9" w:rsidRPr="00632DBC">
        <w:rPr>
          <w:rFonts w:eastAsiaTheme="minorEastAsia"/>
          <w:sz w:val="22"/>
        </w:rPr>
        <w:t xml:space="preserve">involving </w:t>
      </w:r>
      <w:r w:rsidRPr="00632DBC">
        <w:rPr>
          <w:rFonts w:eastAsiaTheme="minorEastAsia"/>
          <w:sz w:val="22"/>
        </w:rPr>
        <w:t>full and effective participation</w:t>
      </w:r>
      <w:r w:rsidR="00E725F9" w:rsidRPr="00632DBC">
        <w:rPr>
          <w:rFonts w:eastAsiaTheme="minorEastAsia"/>
          <w:sz w:val="22"/>
        </w:rPr>
        <w:t>; and is in accordance with national legislation</w:t>
      </w:r>
      <w:r w:rsidRPr="00632DBC">
        <w:rPr>
          <w:rFonts w:eastAsiaTheme="minorEastAsia"/>
          <w:sz w:val="22"/>
        </w:rPr>
        <w:t>.</w:t>
      </w:r>
      <w:r w:rsidRPr="00632DBC">
        <w:rPr>
          <w:rStyle w:val="FootnoteReference"/>
          <w:rFonts w:eastAsiaTheme="minorEastAsia"/>
          <w:sz w:val="22"/>
        </w:rPr>
        <w:footnoteReference w:id="30"/>
      </w:r>
      <w:r w:rsidRPr="00632DBC">
        <w:rPr>
          <w:rFonts w:eastAsiaTheme="minorEastAsia"/>
          <w:sz w:val="22"/>
        </w:rPr>
        <w:t xml:space="preserve"> As </w:t>
      </w:r>
      <w:r w:rsidR="00E725F9" w:rsidRPr="00632DBC">
        <w:rPr>
          <w:rFonts w:eastAsiaTheme="minorEastAsia"/>
          <w:sz w:val="22"/>
        </w:rPr>
        <w:t xml:space="preserve">certain </w:t>
      </w:r>
      <w:r w:rsidR="00E725F9" w:rsidRPr="00632DBC">
        <w:rPr>
          <w:rFonts w:eastAsiaTheme="minorEastAsia"/>
          <w:sz w:val="22"/>
        </w:rPr>
        <w:lastRenderedPageBreak/>
        <w:t xml:space="preserve">instruments for </w:t>
      </w:r>
      <w:r w:rsidRPr="00632DBC">
        <w:rPr>
          <w:rFonts w:eastAsiaTheme="minorEastAsia"/>
          <w:sz w:val="22"/>
        </w:rPr>
        <w:t>scaling-up BFM take place at national level</w:t>
      </w:r>
      <w:r w:rsidR="00E725F9" w:rsidRPr="00632DBC">
        <w:rPr>
          <w:rFonts w:eastAsiaTheme="minorEastAsia"/>
          <w:sz w:val="22"/>
        </w:rPr>
        <w:t>s</w:t>
      </w:r>
      <w:r w:rsidRPr="00632DBC">
        <w:rPr>
          <w:rFonts w:eastAsiaTheme="minorEastAsia"/>
          <w:sz w:val="22"/>
        </w:rPr>
        <w:t>,</w:t>
      </w:r>
      <w:r w:rsidR="00E725F9" w:rsidRPr="00632DBC">
        <w:rPr>
          <w:rFonts w:eastAsiaTheme="minorEastAsia"/>
          <w:sz w:val="22"/>
        </w:rPr>
        <w:t xml:space="preserve"> it worth noting that</w:t>
      </w:r>
      <w:r w:rsidRPr="00632DBC">
        <w:rPr>
          <w:rFonts w:eastAsiaTheme="minorEastAsia"/>
          <w:sz w:val="22"/>
        </w:rPr>
        <w:t xml:space="preserve"> </w:t>
      </w:r>
      <w:r w:rsidR="00E725F9" w:rsidRPr="00632DBC">
        <w:rPr>
          <w:rFonts w:eastAsiaTheme="minorEastAsia"/>
          <w:sz w:val="22"/>
        </w:rPr>
        <w:t xml:space="preserve">in some national contexts </w:t>
      </w:r>
      <w:r w:rsidRPr="00632DBC">
        <w:rPr>
          <w:rFonts w:eastAsiaTheme="minorEastAsia"/>
          <w:sz w:val="22"/>
        </w:rPr>
        <w:t xml:space="preserve">FPIC </w:t>
      </w:r>
      <w:r w:rsidR="00E725F9" w:rsidRPr="00632DBC">
        <w:rPr>
          <w:rFonts w:eastAsiaTheme="minorEastAsia"/>
          <w:sz w:val="22"/>
        </w:rPr>
        <w:t xml:space="preserve">is phrased </w:t>
      </w:r>
      <w:r w:rsidRPr="00632DBC">
        <w:rPr>
          <w:rFonts w:eastAsiaTheme="minorEastAsia"/>
          <w:sz w:val="22"/>
        </w:rPr>
        <w:t>as “Prior and informed consent” or “approval and involvement”.</w:t>
      </w:r>
    </w:p>
    <w:p w14:paraId="0220415A" w14:textId="76955178" w:rsidR="00810C20" w:rsidRPr="00633A71" w:rsidRDefault="00810C20" w:rsidP="00810C20">
      <w:pPr>
        <w:spacing w:line="240" w:lineRule="auto"/>
        <w:jc w:val="both"/>
        <w:rPr>
          <w:rFonts w:ascii="Times New Roman" w:hAnsi="Times New Roman"/>
        </w:rPr>
      </w:pPr>
      <w:proofErr w:type="gramStart"/>
      <w:r w:rsidRPr="00632DBC">
        <w:rPr>
          <w:rFonts w:ascii="Times New Roman" w:hAnsi="Times New Roman"/>
        </w:rPr>
        <w:t>In order to</w:t>
      </w:r>
      <w:proofErr w:type="gramEnd"/>
      <w:r w:rsidRPr="00632DBC">
        <w:rPr>
          <w:rFonts w:ascii="Times New Roman" w:hAnsi="Times New Roman"/>
        </w:rPr>
        <w:t xml:space="preserve"> scope the range of views on safeguards for scaling-up biodiversity financing, we used a composite of methods including a literature review, analysis of relevant official CBD, UNFCCC and other international law treaties documents. The lead author presented the Discussion Paper in the events where comments and inputs were received, as well as</w:t>
      </w:r>
      <w:r w:rsidRPr="00632DBC" w:rsidDel="009161AD">
        <w:rPr>
          <w:rFonts w:ascii="Arial" w:hAnsi="Arial" w:cs="Arial"/>
          <w:i/>
          <w:sz w:val="18"/>
          <w:szCs w:val="18"/>
        </w:rPr>
        <w:t xml:space="preserve"> </w:t>
      </w:r>
      <w:r w:rsidRPr="00632DBC">
        <w:rPr>
          <w:rFonts w:ascii="Times New Roman" w:hAnsi="Times New Roman"/>
        </w:rPr>
        <w:t xml:space="preserve">conducted focus groups and in-depth semi-structured interviews with experts from various organizations including governmental, intergovernmental and non-governmental organizations and scientific institutions (see </w:t>
      </w:r>
      <w:r w:rsidRPr="00633A71">
        <w:rPr>
          <w:rFonts w:ascii="Times New Roman" w:hAnsi="Times New Roman"/>
        </w:rPr>
        <w:t xml:space="preserve">Box </w:t>
      </w:r>
      <w:r w:rsidR="00652724" w:rsidRPr="00633A71">
        <w:rPr>
          <w:rFonts w:ascii="Times New Roman" w:hAnsi="Times New Roman"/>
        </w:rPr>
        <w:t>3</w:t>
      </w:r>
      <w:r w:rsidRPr="00633A71">
        <w:rPr>
          <w:rFonts w:ascii="Times New Roman" w:hAnsi="Times New Roman"/>
        </w:rPr>
        <w:t xml:space="preserve"> below</w:t>
      </w:r>
      <w:r w:rsidRPr="00632DBC">
        <w:rPr>
          <w:rFonts w:ascii="Times New Roman" w:hAnsi="Times New Roman"/>
        </w:rPr>
        <w:t xml:space="preserve"> and Appendix 1).</w:t>
      </w:r>
      <w:r w:rsidRPr="00632DBC">
        <w:rPr>
          <w:rStyle w:val="FootnoteReference"/>
          <w:rFonts w:ascii="Times New Roman" w:hAnsi="Times New Roman"/>
        </w:rPr>
        <w:footnoteReference w:id="31"/>
      </w:r>
      <w:r w:rsidRPr="00632DBC">
        <w:rPr>
          <w:rFonts w:ascii="Times New Roman" w:hAnsi="Times New Roman"/>
        </w:rPr>
        <w:t xml:space="preserve"> This revised version of the information document incorporates views and responses to submissions from Parties and other stakeholders, also outlined in Box </w:t>
      </w:r>
      <w:r w:rsidR="00652724" w:rsidRPr="00632DBC">
        <w:rPr>
          <w:rFonts w:ascii="Times New Roman" w:hAnsi="Times New Roman"/>
        </w:rPr>
        <w:t>3</w:t>
      </w:r>
      <w:r w:rsidRPr="00632DBC">
        <w:rPr>
          <w:rFonts w:ascii="Times New Roman" w:hAnsi="Times New Roman"/>
        </w:rPr>
        <w:t xml:space="preserve">. </w:t>
      </w:r>
      <w:r w:rsidRPr="00633A71">
        <w:rPr>
          <w:rFonts w:ascii="Times New Roman" w:hAnsi="Times New Roman"/>
        </w:rPr>
        <w:t>Different perspectives were expressed in the country submissions, interviews, focus groups and events where the paper was presented; hence, the interpretations and conclusions presented here do not imply a consensus and are the responsibility of the authors.</w:t>
      </w:r>
    </w:p>
    <w:p w14:paraId="2A77B858" w14:textId="596357A3"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i/>
          <w:sz w:val="18"/>
          <w:szCs w:val="18"/>
        </w:rPr>
      </w:pPr>
      <w:r w:rsidRPr="00632DBC">
        <w:rPr>
          <w:rFonts w:ascii="Arial" w:hAnsi="Arial" w:cs="Arial"/>
          <w:i/>
          <w:sz w:val="18"/>
          <w:szCs w:val="18"/>
        </w:rPr>
        <w:t xml:space="preserve">Box </w:t>
      </w:r>
      <w:r w:rsidR="006B264A" w:rsidRPr="00632DBC">
        <w:rPr>
          <w:rFonts w:ascii="Arial" w:hAnsi="Arial" w:cs="Arial"/>
          <w:i/>
          <w:sz w:val="18"/>
          <w:szCs w:val="18"/>
        </w:rPr>
        <w:t>3</w:t>
      </w:r>
      <w:r w:rsidRPr="00632DBC">
        <w:rPr>
          <w:rFonts w:ascii="Arial" w:hAnsi="Arial" w:cs="Arial"/>
          <w:i/>
          <w:sz w:val="18"/>
          <w:szCs w:val="18"/>
        </w:rPr>
        <w:t>. Methodology and list of submissions and events where comments and inputs were received</w:t>
      </w:r>
      <w:r w:rsidRPr="00632DBC" w:rsidDel="009161AD">
        <w:rPr>
          <w:rFonts w:ascii="Arial" w:hAnsi="Arial" w:cs="Arial"/>
          <w:i/>
          <w:sz w:val="18"/>
          <w:szCs w:val="18"/>
        </w:rPr>
        <w:t xml:space="preserve"> </w:t>
      </w:r>
      <w:r w:rsidRPr="00632DBC">
        <w:rPr>
          <w:rFonts w:ascii="Arial" w:hAnsi="Arial" w:cs="Arial"/>
          <w:i/>
          <w:sz w:val="18"/>
          <w:szCs w:val="18"/>
        </w:rPr>
        <w:t>(See Appendix 1 for a summary of the inputs and the way they are addressed in the paper).</w:t>
      </w:r>
    </w:p>
    <w:p w14:paraId="4DE7C69C"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4FBB39D2"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t xml:space="preserve">16 Semi-structured in-depth interviews </w:t>
      </w:r>
    </w:p>
    <w:p w14:paraId="5CA5FD63"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66F69F78" w14:textId="59118816"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t xml:space="preserve">Submissions by </w:t>
      </w:r>
      <w:r w:rsidR="007F45E8" w:rsidRPr="00632DBC">
        <w:rPr>
          <w:rFonts w:ascii="Arial" w:hAnsi="Arial" w:cs="Arial"/>
          <w:b/>
          <w:sz w:val="18"/>
          <w:szCs w:val="18"/>
        </w:rPr>
        <w:t>Parties and other stakeholders</w:t>
      </w:r>
    </w:p>
    <w:p w14:paraId="1E50BD00"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1A6F6CE3"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t xml:space="preserve">Comments and inputs were received between October 2012 and August 2014 in the following events and focus/working groups: </w:t>
      </w:r>
    </w:p>
    <w:p w14:paraId="23164EBE" w14:textId="77777777" w:rsidR="007F45E8" w:rsidRPr="00632DBC" w:rsidRDefault="007F45E8"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75B0D418" w14:textId="188A5CFA" w:rsidR="00F17128" w:rsidRPr="00632DBC" w:rsidRDefault="00F17128" w:rsidP="00F17128">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b/>
          <w:sz w:val="18"/>
          <w:szCs w:val="18"/>
        </w:rPr>
        <w:t xml:space="preserve">Using the CBD Voluntary guidelines for safeguards in Biodiversity Financing Mechanisms as a tool for implementing CBD article 8(j) and related provisions, Montreal 14 December </w:t>
      </w:r>
      <w:r w:rsidR="00C708BD" w:rsidRPr="00632DBC">
        <w:rPr>
          <w:rFonts w:ascii="Arial" w:hAnsi="Arial" w:cs="Arial"/>
          <w:b/>
          <w:sz w:val="18"/>
          <w:szCs w:val="18"/>
        </w:rPr>
        <w:t>201</w:t>
      </w:r>
      <w:r w:rsidR="00C708BD">
        <w:rPr>
          <w:rFonts w:ascii="Arial" w:hAnsi="Arial" w:cs="Arial"/>
          <w:b/>
          <w:sz w:val="18"/>
          <w:szCs w:val="18"/>
        </w:rPr>
        <w:t>7</w:t>
      </w:r>
      <w:r w:rsidR="007959AA">
        <w:rPr>
          <w:rFonts w:ascii="Arial" w:hAnsi="Arial" w:cs="Arial"/>
          <w:b/>
          <w:sz w:val="18"/>
          <w:szCs w:val="18"/>
        </w:rPr>
        <w:t>.</w:t>
      </w:r>
      <w:r w:rsidRPr="00632DBC">
        <w:rPr>
          <w:rFonts w:ascii="Arial" w:hAnsi="Arial" w:cs="Arial"/>
          <w:b/>
          <w:sz w:val="18"/>
          <w:szCs w:val="18"/>
        </w:rPr>
        <w:t xml:space="preserve"> </w:t>
      </w:r>
      <w:r w:rsidRPr="00632DBC">
        <w:rPr>
          <w:rFonts w:ascii="Arial" w:hAnsi="Arial" w:cs="Arial"/>
          <w:sz w:val="18"/>
          <w:szCs w:val="18"/>
        </w:rPr>
        <w:t>In this side event, dialogue with various stakeholders revolved around the co-development of a strategy for the operationalisation of the CBD voluntary guidelines on safeguards at national and local levels as well as on next steps for providing coherence to guidelines and safeguards across diverse international institutions relevant in the process of biodiversity resource mobilization including lessons learned from practice from different countries.</w:t>
      </w:r>
    </w:p>
    <w:p w14:paraId="052CB5E3" w14:textId="77777777" w:rsidR="00E725F9" w:rsidRPr="00632DBC" w:rsidRDefault="00E725F9" w:rsidP="00F17128">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p>
    <w:p w14:paraId="1F4A678F" w14:textId="59885F8B" w:rsidR="00E725F9" w:rsidRPr="00632DBC" w:rsidRDefault="00E725F9" w:rsidP="00F17128">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b/>
          <w:sz w:val="18"/>
          <w:szCs w:val="18"/>
        </w:rPr>
        <w:t>Peer to peer dialogue on weaving Sustainable Development Goal 16 and international human rights law with the post-2020 global biodiversity framework</w:t>
      </w:r>
      <w:r w:rsidRPr="00632DBC">
        <w:rPr>
          <w:rFonts w:ascii="Arial" w:hAnsi="Arial" w:cs="Arial"/>
          <w:sz w:val="18"/>
          <w:szCs w:val="18"/>
        </w:rPr>
        <w:t xml:space="preserve"> in Machakos Kenya. SwedBio, International Development Law Organization, Office of the United Nations High Commissioner for Human Rights-Special Procedures, UN Environment and Natural Justice, Machakos, Kenya, 28-31 May 2018. In this event, the connections between the CBD guidelines for safeguards, environmental impact assessments and human rights were </w:t>
      </w:r>
      <w:proofErr w:type="gramStart"/>
      <w:r w:rsidR="00760123" w:rsidRPr="00632DBC">
        <w:rPr>
          <w:rFonts w:ascii="Arial" w:hAnsi="Arial" w:cs="Arial"/>
          <w:sz w:val="18"/>
          <w:szCs w:val="18"/>
        </w:rPr>
        <w:t>discussed</w:t>
      </w:r>
      <w:proofErr w:type="gramEnd"/>
      <w:r w:rsidR="00760123" w:rsidRPr="00632DBC">
        <w:rPr>
          <w:rFonts w:ascii="Arial" w:hAnsi="Arial" w:cs="Arial"/>
          <w:sz w:val="18"/>
          <w:szCs w:val="18"/>
        </w:rPr>
        <w:t xml:space="preserve"> and relevant insights were received by participants of this Dialogue.</w:t>
      </w:r>
    </w:p>
    <w:p w14:paraId="1BC58A6B" w14:textId="77777777" w:rsidR="00F17128" w:rsidRPr="00632DBC" w:rsidRDefault="00F17128" w:rsidP="00F17128">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p>
    <w:p w14:paraId="045BDB5B" w14:textId="65FA00AF" w:rsidR="00F17128" w:rsidRPr="00632DBC" w:rsidRDefault="00F17128" w:rsidP="00F17128">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b/>
          <w:sz w:val="18"/>
          <w:szCs w:val="18"/>
        </w:rPr>
        <w:t>CBD Voluntary Guidelines on Safeguards, side-event at CBD-COP 13, 15 December 2016</w:t>
      </w:r>
      <w:r w:rsidR="007959AA">
        <w:rPr>
          <w:rFonts w:ascii="Arial" w:hAnsi="Arial" w:cs="Arial"/>
          <w:b/>
          <w:sz w:val="18"/>
          <w:szCs w:val="18"/>
        </w:rPr>
        <w:t>.</w:t>
      </w:r>
      <w:r w:rsidRPr="00632DBC">
        <w:rPr>
          <w:rFonts w:ascii="Arial" w:hAnsi="Arial" w:cs="Arial"/>
          <w:b/>
          <w:sz w:val="18"/>
          <w:szCs w:val="18"/>
        </w:rPr>
        <w:t xml:space="preserve"> </w:t>
      </w:r>
      <w:r w:rsidRPr="00632DBC">
        <w:rPr>
          <w:rFonts w:ascii="Arial" w:hAnsi="Arial" w:cs="Arial"/>
          <w:sz w:val="18"/>
          <w:szCs w:val="18"/>
        </w:rPr>
        <w:t>In this side event, experiences on the implementation of safeguards by international and national institutions relevant in the process of biodiversity resource mobilization were discussed including lessons learned from practice in Africa, Latin America, Europe and Asia.</w:t>
      </w:r>
    </w:p>
    <w:p w14:paraId="525E4DBB" w14:textId="77777777" w:rsidR="00F17128" w:rsidRPr="00632DBC" w:rsidRDefault="00F17128"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3FB109AC"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05CCD0B9"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t xml:space="preserve">International Workshop on Financing for Biodiversity, </w:t>
      </w:r>
      <w:proofErr w:type="spellStart"/>
      <w:r w:rsidRPr="00632DBC">
        <w:rPr>
          <w:rFonts w:ascii="Arial" w:hAnsi="Arial" w:cs="Arial"/>
          <w:b/>
          <w:sz w:val="18"/>
          <w:szCs w:val="18"/>
        </w:rPr>
        <w:t>Kartause</w:t>
      </w:r>
      <w:proofErr w:type="spellEnd"/>
      <w:r w:rsidRPr="00632DBC">
        <w:rPr>
          <w:rFonts w:ascii="Arial" w:hAnsi="Arial" w:cs="Arial"/>
          <w:b/>
          <w:sz w:val="18"/>
          <w:szCs w:val="18"/>
        </w:rPr>
        <w:t xml:space="preserve"> </w:t>
      </w:r>
      <w:proofErr w:type="spellStart"/>
      <w:r w:rsidRPr="00632DBC">
        <w:rPr>
          <w:rFonts w:ascii="Arial" w:hAnsi="Arial" w:cs="Arial"/>
          <w:b/>
          <w:sz w:val="18"/>
          <w:szCs w:val="18"/>
        </w:rPr>
        <w:t>Ittingen</w:t>
      </w:r>
      <w:proofErr w:type="spellEnd"/>
      <w:r w:rsidRPr="00632DBC">
        <w:rPr>
          <w:rFonts w:ascii="Arial" w:hAnsi="Arial" w:cs="Arial"/>
          <w:b/>
          <w:sz w:val="18"/>
          <w:szCs w:val="18"/>
        </w:rPr>
        <w:t xml:space="preserve">, Switzerland, 18-19 August 2014. </w:t>
      </w:r>
    </w:p>
    <w:p w14:paraId="1D6FF664"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sz w:val="18"/>
          <w:szCs w:val="18"/>
        </w:rPr>
        <w:t xml:space="preserve">A draft of this paper became part of the meeting documents for this workshop (see http://www.cbd.int/doc/?meeting=RMWS-2014-05). The overall aim of the workshop, where selected experts from various countries participated, was “to provide technical follow-up to the elements of the recommendation on resource mobilization adopted by WGRI 5. The workshop will </w:t>
      </w:r>
      <w:proofErr w:type="gramStart"/>
      <w:r w:rsidRPr="00632DBC">
        <w:rPr>
          <w:rFonts w:ascii="Arial" w:hAnsi="Arial" w:cs="Arial"/>
          <w:sz w:val="18"/>
          <w:szCs w:val="18"/>
        </w:rPr>
        <w:t>take into account</w:t>
      </w:r>
      <w:proofErr w:type="gramEnd"/>
      <w:r w:rsidRPr="00632DBC">
        <w:rPr>
          <w:rFonts w:ascii="Arial" w:hAnsi="Arial" w:cs="Arial"/>
          <w:sz w:val="18"/>
          <w:szCs w:val="18"/>
        </w:rPr>
        <w:t xml:space="preserve"> the existing strategy for resource mobilization, including elements from all eight of its goals, the report of the High-Level Panel on the Global Assessment of Resources for implementing the Strategic Plan for Biodiversity 2011-2020, the Co-Chair’s Summary of the Second Dialogue Seminar on Scaling up Finance for Biodiversity, and the ongoing initiatives and activities on technical support and capacity-building.</w:t>
      </w:r>
    </w:p>
    <w:p w14:paraId="6B4C221B"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i/>
          <w:sz w:val="18"/>
          <w:szCs w:val="18"/>
        </w:rPr>
      </w:pPr>
      <w:r w:rsidRPr="00632DBC">
        <w:rPr>
          <w:rFonts w:ascii="Arial" w:hAnsi="Arial" w:cs="Arial"/>
          <w:i/>
          <w:sz w:val="18"/>
          <w:szCs w:val="18"/>
        </w:rPr>
        <w:t>Presentation via video link (around 50 participants).</w:t>
      </w:r>
    </w:p>
    <w:p w14:paraId="62C56675"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49F8920F"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60083771"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lastRenderedPageBreak/>
        <w:t xml:space="preserve">The Ad Hoc Open-ended Working Group on Review of Implementation (WGRI5), Montreal, Canada 16-19 June 2014. </w:t>
      </w:r>
    </w:p>
    <w:p w14:paraId="3643DCC4"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sz w:val="18"/>
          <w:szCs w:val="18"/>
        </w:rPr>
        <w:t>A previous version of this paper became Information Document for this meeting: UNEP/CBD/WGRI/5/INF/7 “Identifying guiding principles for safeguards in financing biodiversity and lessons learned from risks, benefits and safeguards in country-specific mechanisms”, a revised and expanded version of Discussion Paper “Safeguards for scaling-up biodiversity financing and possible guiding principles”” (UNEP/CBD/COP/11/INF/7) and comments were received by Parties and other stakeholders (see http://www.cbd.int/wgri5/documents/).</w:t>
      </w:r>
    </w:p>
    <w:p w14:paraId="64792890"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i/>
          <w:sz w:val="18"/>
          <w:szCs w:val="18"/>
        </w:rPr>
      </w:pPr>
      <w:r w:rsidRPr="00632DBC">
        <w:rPr>
          <w:rFonts w:ascii="Arial" w:hAnsi="Arial" w:cs="Arial"/>
          <w:i/>
          <w:sz w:val="18"/>
          <w:szCs w:val="18"/>
        </w:rPr>
        <w:t xml:space="preserve">Presentation in a side event via audio (around 80 participants). </w:t>
      </w:r>
    </w:p>
    <w:p w14:paraId="17160298"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sz w:val="18"/>
          <w:szCs w:val="18"/>
        </w:rPr>
        <w:t>The outcome of the Ad Hoc Open-ended Working Group on Review of Implementation (WGRI5) supports the twelfth meeting of the Conference of the Parties in addressing the review of implementation of the Convention, including the items suggested in the multi-year programme of work of the Conference of the Parties for the period 2011-2020 (paragraph (b) of decision X/9) (see http://www.cbd.int/wgri5/).</w:t>
      </w:r>
    </w:p>
    <w:p w14:paraId="426E325F"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i/>
          <w:sz w:val="18"/>
          <w:szCs w:val="18"/>
        </w:rPr>
      </w:pPr>
      <w:r w:rsidRPr="00632DBC">
        <w:rPr>
          <w:rFonts w:ascii="Arial" w:hAnsi="Arial" w:cs="Arial"/>
          <w:i/>
          <w:sz w:val="18"/>
          <w:szCs w:val="18"/>
        </w:rPr>
        <w:t>Presentation via audio link</w:t>
      </w:r>
    </w:p>
    <w:p w14:paraId="188F4659"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4B8A8405"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1BF79CCB"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t xml:space="preserve">Second Dialogue Seminar on Scaling up Finance for Biodiversity, Quito, Ecuador 9-12 April 2014. </w:t>
      </w:r>
    </w:p>
    <w:p w14:paraId="0546DD95"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sz w:val="18"/>
          <w:szCs w:val="18"/>
        </w:rPr>
        <w:t>Participants: State Members representatives and key actors on financing biodiversity, including experts active in CBD discussions on resource mobilization and also from related processes, as well as national level actors from sectors dealing with financing of biodiversity and ecosystem services, intergovernmental and non-governmental organizations, social movements, farmer organizations, indigenous and local communities, scientists and private sector (see http://www.cbd.int/doc/meetings/fin/ds-fb-02/official/ds-fb-02-report-en.pdf).</w:t>
      </w:r>
    </w:p>
    <w:p w14:paraId="0AAF5BB3"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i/>
          <w:sz w:val="18"/>
          <w:szCs w:val="18"/>
        </w:rPr>
      </w:pPr>
      <w:r w:rsidRPr="00632DBC">
        <w:rPr>
          <w:rFonts w:ascii="Arial" w:hAnsi="Arial" w:cs="Arial"/>
          <w:i/>
          <w:sz w:val="18"/>
          <w:szCs w:val="18"/>
        </w:rPr>
        <w:t>Presentation (to around 80 people) and focus/working group on “Governance, safeguards and equity” (20-25 people).</w:t>
      </w:r>
    </w:p>
    <w:p w14:paraId="045D88D8"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i/>
          <w:sz w:val="18"/>
          <w:szCs w:val="18"/>
        </w:rPr>
      </w:pPr>
    </w:p>
    <w:p w14:paraId="13577D65"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b/>
          <w:sz w:val="18"/>
          <w:szCs w:val="18"/>
        </w:rPr>
        <w:t xml:space="preserve">The Third Meeting of The Global Partnership </w:t>
      </w:r>
      <w:proofErr w:type="gramStart"/>
      <w:r w:rsidRPr="00632DBC">
        <w:rPr>
          <w:rFonts w:ascii="Arial" w:hAnsi="Arial" w:cs="Arial"/>
          <w:b/>
          <w:sz w:val="18"/>
          <w:szCs w:val="18"/>
        </w:rPr>
        <w:t>For</w:t>
      </w:r>
      <w:proofErr w:type="gramEnd"/>
      <w:r w:rsidRPr="00632DBC">
        <w:rPr>
          <w:rFonts w:ascii="Arial" w:hAnsi="Arial" w:cs="Arial"/>
          <w:b/>
          <w:sz w:val="18"/>
          <w:szCs w:val="18"/>
        </w:rPr>
        <w:t xml:space="preserve"> Business And Biodiversity, Montreal, Canada, 2-3 of October 2013.</w:t>
      </w:r>
      <w:r w:rsidRPr="00632DBC">
        <w:rPr>
          <w:rFonts w:ascii="Arial" w:hAnsi="Arial" w:cs="Arial"/>
          <w:sz w:val="18"/>
          <w:szCs w:val="18"/>
        </w:rPr>
        <w:t xml:space="preserve"> </w:t>
      </w:r>
    </w:p>
    <w:p w14:paraId="1E7244A4"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sz w:val="18"/>
          <w:szCs w:val="18"/>
        </w:rPr>
        <w:t>Participants: businesses, business associations, governments, intergovernmental and non-governmental organizations and academia.</w:t>
      </w:r>
    </w:p>
    <w:p w14:paraId="20BFFCDB" w14:textId="0F1DA2BD"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i/>
          <w:sz w:val="18"/>
          <w:szCs w:val="18"/>
        </w:rPr>
        <w:t>Presentation at the Panel “Safeguards &amp; mechanisms”, Q&amp;A and panel discussion (around 25 people) webcasted</w:t>
      </w:r>
      <w:r w:rsidRPr="00632DBC">
        <w:rPr>
          <w:rFonts w:ascii="Arial" w:hAnsi="Arial" w:cs="Arial"/>
          <w:sz w:val="18"/>
          <w:szCs w:val="18"/>
        </w:rPr>
        <w:t>.</w:t>
      </w:r>
      <w:r w:rsidRPr="00632DBC">
        <w:rPr>
          <w:rStyle w:val="FootnoteReference"/>
          <w:rFonts w:ascii="Times New Roman" w:hAnsi="Times New Roman"/>
          <w:sz w:val="18"/>
          <w:szCs w:val="18"/>
        </w:rPr>
        <w:footnoteReference w:id="32"/>
      </w:r>
    </w:p>
    <w:p w14:paraId="005416A8"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34F5EE3E"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b/>
          <w:sz w:val="18"/>
          <w:szCs w:val="18"/>
        </w:rPr>
        <w:t>Seventh Trondheim Conference on biodiversity: ecology and economy for a Sustainable Society Trondheim, Norway, 27-31 May 2013.</w:t>
      </w:r>
    </w:p>
    <w:p w14:paraId="59C197BD"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sz w:val="18"/>
          <w:szCs w:val="18"/>
        </w:rPr>
        <w:t>Organized by Norwegian Government in cooperation with the United Nations Environment Programme (UNEP), the Secretariat of the Convention on Biological Diversity (CBD), the Food and Agriculture Organisation (FAO) and the United Nations Development Programme (UNDP)</w:t>
      </w:r>
    </w:p>
    <w:p w14:paraId="72E7265E"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sz w:val="18"/>
          <w:szCs w:val="18"/>
        </w:rPr>
        <w:t xml:space="preserve">Participants: Member States, relevant UN entities and selected international organizations and institutions that are involved in supporting the implementation of the CBD. </w:t>
      </w:r>
      <w:r w:rsidRPr="00632DBC">
        <w:rPr>
          <w:rFonts w:ascii="Arial" w:hAnsi="Arial" w:cs="Arial"/>
          <w:i/>
          <w:sz w:val="18"/>
          <w:szCs w:val="18"/>
        </w:rPr>
        <w:t>Presentation (around 350 people) and focus group (7 people)</w:t>
      </w:r>
      <w:r w:rsidRPr="00632DBC">
        <w:rPr>
          <w:rFonts w:ascii="Arial" w:hAnsi="Arial" w:cs="Arial"/>
          <w:sz w:val="18"/>
          <w:szCs w:val="18"/>
        </w:rPr>
        <w:t>.</w:t>
      </w:r>
    </w:p>
    <w:p w14:paraId="28B7D5E4"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p>
    <w:p w14:paraId="2F955B7A"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b/>
          <w:sz w:val="18"/>
          <w:szCs w:val="18"/>
        </w:rPr>
        <w:t>Bonn Expert Workshop on Community-Based Monitoring and Information Systems, 26-28 April 2013</w:t>
      </w:r>
    </w:p>
    <w:p w14:paraId="0FE33462" w14:textId="454EA469"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sz w:val="18"/>
          <w:szCs w:val="18"/>
        </w:rPr>
        <w:t>Participants: members of local communities, NGOs, academia and intergovernmental organizations who share interests and expertise on traditional knowledge, biodiversity, human well-being and the rights of indigenous people</w:t>
      </w:r>
      <w:r w:rsidR="00780015" w:rsidRPr="00632DBC">
        <w:rPr>
          <w:rFonts w:ascii="Arial" w:hAnsi="Arial" w:cs="Arial"/>
          <w:sz w:val="18"/>
          <w:szCs w:val="18"/>
        </w:rPr>
        <w:t>s</w:t>
      </w:r>
      <w:r w:rsidRPr="00632DBC">
        <w:rPr>
          <w:rFonts w:ascii="Arial" w:hAnsi="Arial" w:cs="Arial"/>
          <w:sz w:val="18"/>
          <w:szCs w:val="18"/>
        </w:rPr>
        <w:t xml:space="preserve">. </w:t>
      </w:r>
    </w:p>
    <w:p w14:paraId="1A5D5E02" w14:textId="185F1308"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i/>
          <w:sz w:val="18"/>
          <w:szCs w:val="18"/>
        </w:rPr>
        <w:t>Presentation</w:t>
      </w:r>
      <w:r w:rsidR="005D04D9" w:rsidRPr="00632DBC">
        <w:rPr>
          <w:rFonts w:ascii="Arial" w:hAnsi="Arial" w:cs="Arial"/>
          <w:i/>
          <w:sz w:val="18"/>
          <w:szCs w:val="18"/>
        </w:rPr>
        <w:t xml:space="preserve"> </w:t>
      </w:r>
      <w:r w:rsidRPr="00632DBC">
        <w:rPr>
          <w:rFonts w:ascii="Arial" w:hAnsi="Arial" w:cs="Arial"/>
          <w:i/>
          <w:sz w:val="18"/>
          <w:szCs w:val="18"/>
        </w:rPr>
        <w:t xml:space="preserve">(around 40 people), Q&amp;A and focus group (4 people). </w:t>
      </w:r>
    </w:p>
    <w:p w14:paraId="0AEC345E"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p>
    <w:p w14:paraId="22A1B21F"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t>Dialogue SRC – Faculty of Law, Stockholm University, 6</w:t>
      </w:r>
      <w:r w:rsidRPr="00632DBC">
        <w:rPr>
          <w:rFonts w:ascii="Arial" w:hAnsi="Arial" w:cs="Arial"/>
          <w:b/>
          <w:sz w:val="18"/>
          <w:szCs w:val="18"/>
          <w:vertAlign w:val="superscript"/>
        </w:rPr>
        <w:t>th</w:t>
      </w:r>
      <w:r w:rsidRPr="00632DBC">
        <w:rPr>
          <w:rFonts w:ascii="Arial" w:hAnsi="Arial" w:cs="Arial"/>
          <w:b/>
          <w:sz w:val="18"/>
          <w:szCs w:val="18"/>
        </w:rPr>
        <w:t xml:space="preserve"> November 2012 </w:t>
      </w:r>
    </w:p>
    <w:p w14:paraId="303B1D0A"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r w:rsidRPr="00632DBC">
        <w:rPr>
          <w:rFonts w:ascii="Arial" w:hAnsi="Arial" w:cs="Arial"/>
          <w:b/>
          <w:sz w:val="18"/>
          <w:szCs w:val="18"/>
        </w:rPr>
        <w:t xml:space="preserve">Discussant, Jonas </w:t>
      </w:r>
      <w:proofErr w:type="spellStart"/>
      <w:r w:rsidRPr="00632DBC">
        <w:rPr>
          <w:rFonts w:ascii="Arial" w:hAnsi="Arial" w:cs="Arial"/>
          <w:b/>
          <w:sz w:val="18"/>
          <w:szCs w:val="18"/>
        </w:rPr>
        <w:t>Ebbesson</w:t>
      </w:r>
      <w:proofErr w:type="spellEnd"/>
      <w:r w:rsidRPr="00632DBC">
        <w:rPr>
          <w:rFonts w:ascii="Arial" w:hAnsi="Arial" w:cs="Arial"/>
          <w:b/>
          <w:sz w:val="18"/>
          <w:szCs w:val="18"/>
        </w:rPr>
        <w:t xml:space="preserve">, Professor of Environmental Law at Stockholm University and Chair of the Aarhus Compliance Committee,  </w:t>
      </w:r>
    </w:p>
    <w:p w14:paraId="66D5D0F0"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sz w:val="18"/>
          <w:szCs w:val="18"/>
        </w:rPr>
      </w:pPr>
      <w:r w:rsidRPr="00632DBC">
        <w:rPr>
          <w:rFonts w:ascii="Arial" w:hAnsi="Arial" w:cs="Arial"/>
          <w:sz w:val="18"/>
          <w:szCs w:val="18"/>
        </w:rPr>
        <w:t>Participants: researchers and students from SRC and Faculty of Law, Stockholm University.</w:t>
      </w:r>
    </w:p>
    <w:p w14:paraId="33BD6BE4" w14:textId="2D674E98"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i/>
          <w:sz w:val="18"/>
          <w:szCs w:val="18"/>
        </w:rPr>
      </w:pPr>
      <w:r w:rsidRPr="00632DBC">
        <w:rPr>
          <w:rFonts w:ascii="Arial" w:hAnsi="Arial" w:cs="Arial"/>
          <w:i/>
          <w:sz w:val="18"/>
          <w:szCs w:val="18"/>
        </w:rPr>
        <w:t>Presentation, discussant reply and dialogue</w:t>
      </w:r>
      <w:r w:rsidR="005D04D9" w:rsidRPr="00632DBC">
        <w:rPr>
          <w:rFonts w:ascii="Arial" w:hAnsi="Arial" w:cs="Arial"/>
          <w:i/>
          <w:sz w:val="18"/>
          <w:szCs w:val="18"/>
        </w:rPr>
        <w:t xml:space="preserve"> </w:t>
      </w:r>
      <w:r w:rsidRPr="00632DBC">
        <w:rPr>
          <w:rFonts w:ascii="Arial" w:hAnsi="Arial" w:cs="Arial"/>
          <w:i/>
          <w:sz w:val="18"/>
          <w:szCs w:val="18"/>
        </w:rPr>
        <w:t>(around 25 people).</w:t>
      </w:r>
    </w:p>
    <w:p w14:paraId="04E0E877"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sz w:val="18"/>
          <w:szCs w:val="18"/>
        </w:rPr>
      </w:pPr>
    </w:p>
    <w:p w14:paraId="4342E084"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b/>
          <w:sz w:val="18"/>
          <w:szCs w:val="18"/>
        </w:rPr>
        <w:t>Seminar on Landscapes in a Carbon Focused World, Gothenburg, 26 October 2012</w:t>
      </w:r>
      <w:r w:rsidRPr="00632DBC">
        <w:rPr>
          <w:rFonts w:ascii="Arial" w:hAnsi="Arial" w:cs="Arial"/>
          <w:sz w:val="18"/>
          <w:szCs w:val="18"/>
        </w:rPr>
        <w:t xml:space="preserve">. </w:t>
      </w:r>
    </w:p>
    <w:p w14:paraId="77AC0623"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after="0" w:line="240" w:lineRule="auto"/>
        <w:jc w:val="both"/>
        <w:rPr>
          <w:rFonts w:ascii="Arial" w:hAnsi="Arial" w:cs="Arial"/>
          <w:b/>
          <w:bCs/>
          <w:sz w:val="18"/>
          <w:szCs w:val="18"/>
        </w:rPr>
      </w:pPr>
      <w:r w:rsidRPr="00632DBC">
        <w:rPr>
          <w:rFonts w:ascii="Arial" w:hAnsi="Arial" w:cs="Arial"/>
          <w:sz w:val="18"/>
          <w:szCs w:val="18"/>
        </w:rPr>
        <w:t>Participants: Stakeholders that share interests and expertise on Landscape approach to discuss climate change governance, sustainability, resilience and improvement of agriculture.</w:t>
      </w:r>
    </w:p>
    <w:p w14:paraId="1D7452EB"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cs="Arial"/>
          <w:iCs/>
          <w:sz w:val="18"/>
          <w:szCs w:val="18"/>
        </w:rPr>
      </w:pPr>
      <w:r w:rsidRPr="00632DBC">
        <w:rPr>
          <w:rFonts w:ascii="Arial" w:hAnsi="Arial" w:cs="Arial"/>
          <w:i/>
          <w:sz w:val="18"/>
          <w:szCs w:val="18"/>
        </w:rPr>
        <w:t>Presentation and Q&amp;A (around 30 people); video of the presentation publicly available.</w:t>
      </w:r>
      <w:r w:rsidRPr="00632DBC">
        <w:rPr>
          <w:rStyle w:val="FootnoteReference"/>
          <w:rFonts w:ascii="Times New Roman" w:hAnsi="Times New Roman"/>
          <w:sz w:val="18"/>
          <w:szCs w:val="18"/>
        </w:rPr>
        <w:footnoteReference w:id="33"/>
      </w:r>
    </w:p>
    <w:p w14:paraId="129DD1EC" w14:textId="77777777" w:rsidR="00810C20" w:rsidRPr="00633A71" w:rsidRDefault="00810C20" w:rsidP="003966BA">
      <w:pPr>
        <w:pStyle w:val="Heading2"/>
        <w:numPr>
          <w:ilvl w:val="0"/>
          <w:numId w:val="5"/>
        </w:numPr>
        <w:rPr>
          <w:lang w:val="en-GB"/>
        </w:rPr>
      </w:pPr>
      <w:bookmarkStart w:id="22" w:name="_Toc337217546"/>
      <w:bookmarkStart w:id="23" w:name="_Toc337217927"/>
      <w:bookmarkStart w:id="24" w:name="_Toc342296080"/>
      <w:bookmarkStart w:id="25" w:name="_Toc263943509"/>
      <w:bookmarkStart w:id="26" w:name="_Toc382590302"/>
      <w:bookmarkStart w:id="27" w:name="_Toc529199427"/>
      <w:bookmarkStart w:id="28" w:name="_Toc336968690"/>
      <w:r w:rsidRPr="00633A71">
        <w:rPr>
          <w:lang w:val="en-GB"/>
        </w:rPr>
        <w:lastRenderedPageBreak/>
        <w:t>Valuation of biodiversity</w:t>
      </w:r>
      <w:bookmarkEnd w:id="22"/>
      <w:bookmarkEnd w:id="23"/>
      <w:bookmarkEnd w:id="24"/>
      <w:bookmarkEnd w:id="25"/>
      <w:bookmarkEnd w:id="26"/>
      <w:bookmarkEnd w:id="27"/>
    </w:p>
    <w:p w14:paraId="4B8B0853" w14:textId="77777777" w:rsidR="00810C20" w:rsidRPr="00504B5E" w:rsidRDefault="00810C20" w:rsidP="00810C20">
      <w:pPr>
        <w:spacing w:line="240" w:lineRule="auto"/>
        <w:jc w:val="both"/>
        <w:rPr>
          <w:rFonts w:ascii="Times New Roman" w:hAnsi="Times New Roman" w:cs="Arial"/>
          <w:szCs w:val="18"/>
        </w:rPr>
      </w:pPr>
      <w:r w:rsidRPr="00633A71">
        <w:rPr>
          <w:rFonts w:ascii="Times New Roman" w:hAnsi="Times New Roman"/>
        </w:rPr>
        <w:t>The justification for promoting and financing biodiversity is of course the value of biodiversity for human well-being. However, valuation of biodiversity and ecosystem services is not straightforward and often overlooks the importance of non-traded suppor</w:t>
      </w:r>
      <w:r w:rsidRPr="00504B5E">
        <w:rPr>
          <w:rFonts w:ascii="Times New Roman" w:hAnsi="Times New Roman"/>
        </w:rPr>
        <w:t>ting and regulating services.</w:t>
      </w:r>
      <w:r w:rsidRPr="00633A71">
        <w:rPr>
          <w:rStyle w:val="FootnoteReference"/>
          <w:rFonts w:ascii="Times New Roman" w:hAnsi="Times New Roman"/>
        </w:rPr>
        <w:footnoteReference w:id="34"/>
      </w:r>
      <w:r w:rsidRPr="00633A71">
        <w:rPr>
          <w:rFonts w:ascii="Times New Roman" w:hAnsi="Times New Roman"/>
        </w:rPr>
        <w:t xml:space="preserve"> The “insurance value” of biodiversity and well-functioning resilient ecosystems should be regarded as an integral part of their total economic value,</w:t>
      </w:r>
      <w:r w:rsidRPr="00633A71">
        <w:rPr>
          <w:rStyle w:val="FootnoteReference"/>
          <w:rFonts w:ascii="Times New Roman" w:hAnsi="Times New Roman"/>
        </w:rPr>
        <w:footnoteReference w:id="35"/>
      </w:r>
      <w:r w:rsidRPr="00633A71">
        <w:rPr>
          <w:rFonts w:ascii="Times New Roman" w:hAnsi="Times New Roman"/>
        </w:rPr>
        <w:t xml:space="preserve"> and explicitly </w:t>
      </w:r>
      <w:proofErr w:type="gramStart"/>
      <w:r w:rsidRPr="00633A71">
        <w:rPr>
          <w:rFonts w:ascii="Times New Roman" w:hAnsi="Times New Roman"/>
        </w:rPr>
        <w:t>taken into account</w:t>
      </w:r>
      <w:proofErr w:type="gramEnd"/>
      <w:r w:rsidRPr="00633A71">
        <w:rPr>
          <w:rFonts w:ascii="Times New Roman" w:hAnsi="Times New Roman"/>
        </w:rPr>
        <w:t xml:space="preserve"> in safeguards in BFMs. </w:t>
      </w:r>
      <w:r w:rsidRPr="00633A71">
        <w:rPr>
          <w:rFonts w:ascii="Times New Roman" w:hAnsi="Times New Roman" w:cs="Arial"/>
          <w:szCs w:val="18"/>
        </w:rPr>
        <w:t xml:space="preserve">The Economics of Ecosystems and Biodiversity (TEEB) has distinguished </w:t>
      </w:r>
      <w:r w:rsidRPr="00633A71">
        <w:rPr>
          <w:rFonts w:ascii="Times New Roman" w:hAnsi="Times New Roman"/>
        </w:rPr>
        <w:t xml:space="preserve">three approaches to valuation: </w:t>
      </w:r>
    </w:p>
    <w:p w14:paraId="2FCB3DD5" w14:textId="77777777" w:rsidR="00810C20" w:rsidRPr="00632DBC" w:rsidRDefault="00810C20" w:rsidP="003966BA">
      <w:pPr>
        <w:pStyle w:val="Listavistosa-nfasis12"/>
        <w:numPr>
          <w:ilvl w:val="0"/>
          <w:numId w:val="3"/>
        </w:numPr>
        <w:spacing w:line="240" w:lineRule="auto"/>
        <w:jc w:val="both"/>
        <w:rPr>
          <w:rFonts w:ascii="Times New Roman" w:hAnsi="Times New Roman" w:cs="Arial"/>
          <w:szCs w:val="18"/>
        </w:rPr>
      </w:pPr>
      <w:r w:rsidRPr="00504B5E">
        <w:rPr>
          <w:rFonts w:ascii="Times New Roman" w:hAnsi="Times New Roman"/>
          <w:i/>
        </w:rPr>
        <w:t>Recognizing value</w:t>
      </w:r>
      <w:r w:rsidRPr="00A3063C">
        <w:rPr>
          <w:rFonts w:ascii="Times New Roman" w:hAnsi="Times New Roman"/>
        </w:rPr>
        <w:t>: a feature of a</w:t>
      </w:r>
      <w:r w:rsidRPr="0038043D">
        <w:rPr>
          <w:rFonts w:ascii="Times New Roman" w:hAnsi="Times New Roman"/>
        </w:rPr>
        <w:t>ll human societies and communities and expressed through norms, regulations, regional planning, policies and legislations</w:t>
      </w:r>
      <w:r w:rsidRPr="00632DBC">
        <w:rPr>
          <w:rFonts w:ascii="Times New Roman" w:hAnsi="Times New Roman" w:cs="Arial"/>
          <w:szCs w:val="18"/>
        </w:rPr>
        <w:t xml:space="preserve">; </w:t>
      </w:r>
    </w:p>
    <w:p w14:paraId="230FDA84" w14:textId="77777777" w:rsidR="00810C20" w:rsidRPr="00632DBC" w:rsidRDefault="00810C20" w:rsidP="003966BA">
      <w:pPr>
        <w:pStyle w:val="Listavistosa-nfasis12"/>
        <w:numPr>
          <w:ilvl w:val="0"/>
          <w:numId w:val="3"/>
        </w:numPr>
        <w:spacing w:line="240" w:lineRule="auto"/>
        <w:jc w:val="both"/>
        <w:rPr>
          <w:rFonts w:ascii="Times New Roman" w:hAnsi="Times New Roman" w:cs="Arial"/>
          <w:szCs w:val="18"/>
        </w:rPr>
      </w:pPr>
      <w:r w:rsidRPr="00632DBC">
        <w:rPr>
          <w:rFonts w:ascii="Times New Roman" w:hAnsi="Times New Roman"/>
          <w:i/>
        </w:rPr>
        <w:t>Demonstrating value</w:t>
      </w:r>
      <w:r w:rsidRPr="00632DBC">
        <w:rPr>
          <w:rFonts w:ascii="Times New Roman" w:hAnsi="Times New Roman"/>
        </w:rPr>
        <w:t>: e.g. by showing the value of Protected Areas or wetlands in economic (monetary) terms, as a support for decision making</w:t>
      </w:r>
      <w:r w:rsidRPr="00632DBC">
        <w:rPr>
          <w:rFonts w:ascii="Times New Roman" w:hAnsi="Times New Roman" w:cs="Arial"/>
          <w:szCs w:val="18"/>
        </w:rPr>
        <w:t>;</w:t>
      </w:r>
      <w:r w:rsidRPr="00632DBC">
        <w:rPr>
          <w:rFonts w:ascii="Times New Roman" w:hAnsi="Times New Roman"/>
        </w:rPr>
        <w:t xml:space="preserve"> and </w:t>
      </w:r>
    </w:p>
    <w:p w14:paraId="323EAE08" w14:textId="77777777" w:rsidR="00810C20" w:rsidRPr="00632DBC" w:rsidRDefault="00810C20" w:rsidP="003966BA">
      <w:pPr>
        <w:pStyle w:val="Listavistosa-nfasis12"/>
        <w:numPr>
          <w:ilvl w:val="0"/>
          <w:numId w:val="3"/>
        </w:numPr>
        <w:spacing w:line="240" w:lineRule="auto"/>
        <w:jc w:val="both"/>
        <w:rPr>
          <w:rFonts w:ascii="Times New Roman" w:hAnsi="Times New Roman"/>
        </w:rPr>
      </w:pPr>
      <w:r w:rsidRPr="00632DBC">
        <w:rPr>
          <w:rFonts w:ascii="Times New Roman" w:hAnsi="Times New Roman"/>
          <w:i/>
        </w:rPr>
        <w:t>Capturing value</w:t>
      </w:r>
      <w:r w:rsidRPr="00632DBC">
        <w:rPr>
          <w:rFonts w:ascii="Times New Roman" w:hAnsi="Times New Roman"/>
        </w:rPr>
        <w:t>: the introduction of taxes, subsidies or other mechanisms that incorporate the values of ecosystems as costs or benefits for market actors, e.g. through the establishment of systems for payments for ecosystem services (PES).</w:t>
      </w:r>
      <w:r w:rsidRPr="00632DBC">
        <w:rPr>
          <w:rStyle w:val="FootnoteReference"/>
          <w:rFonts w:ascii="Times New Roman" w:hAnsi="Times New Roman"/>
        </w:rPr>
        <w:footnoteReference w:id="36"/>
      </w:r>
      <w:r w:rsidRPr="00632DBC">
        <w:rPr>
          <w:rFonts w:ascii="Times New Roman" w:hAnsi="Times New Roman"/>
        </w:rPr>
        <w:t xml:space="preserve"> </w:t>
      </w:r>
    </w:p>
    <w:p w14:paraId="29A7259A" w14:textId="5325E98C" w:rsidR="00810C20" w:rsidRPr="00633A71" w:rsidRDefault="00810C20" w:rsidP="00810C20">
      <w:pPr>
        <w:spacing w:line="240" w:lineRule="auto"/>
        <w:jc w:val="both"/>
        <w:rPr>
          <w:rFonts w:ascii="Times New Roman" w:hAnsi="Times New Roman"/>
        </w:rPr>
      </w:pPr>
      <w:r w:rsidRPr="00632DBC">
        <w:rPr>
          <w:rFonts w:ascii="Times New Roman" w:hAnsi="Times New Roman"/>
        </w:rPr>
        <w:t xml:space="preserve">A common misunderstanding is that financing biodiversity is the same thing as putting a price tag on nature and letting the market solve the problem. In fact, financing biodiversity does not usually rely on markets or even valuation (Box </w:t>
      </w:r>
      <w:r w:rsidR="00652724" w:rsidRPr="00632DBC">
        <w:rPr>
          <w:rFonts w:ascii="Times New Roman" w:hAnsi="Times New Roman"/>
        </w:rPr>
        <w:t>4</w:t>
      </w:r>
      <w:r w:rsidRPr="00632DBC">
        <w:rPr>
          <w:rFonts w:ascii="Times New Roman" w:hAnsi="Times New Roman"/>
        </w:rPr>
        <w:t>). The potential of scaling-up biodiversity financing often depends on government intervention including their role in the development of safeguards.</w:t>
      </w:r>
      <w:r w:rsidRPr="00633A71">
        <w:rPr>
          <w:rStyle w:val="FootnoteReference"/>
          <w:rFonts w:ascii="Times New Roman" w:hAnsi="Times New Roman"/>
        </w:rPr>
        <w:footnoteReference w:id="37"/>
      </w:r>
      <w:r w:rsidRPr="00633A71">
        <w:rPr>
          <w:rFonts w:ascii="Times New Roman" w:hAnsi="Times New Roman"/>
        </w:rPr>
        <w:t xml:space="preserve"> The thorough discussion on biodiversity values conducted by TEEB is key for understanding BFMs and we will return to this.</w:t>
      </w:r>
    </w:p>
    <w:p w14:paraId="0C5A3D5F" w14:textId="707D77D3" w:rsidR="00810C20" w:rsidRPr="00A3063C"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cs="Arial"/>
          <w:i/>
          <w:sz w:val="18"/>
          <w:szCs w:val="18"/>
        </w:rPr>
      </w:pPr>
      <w:r w:rsidRPr="00504B5E">
        <w:rPr>
          <w:rFonts w:ascii="Arial" w:hAnsi="Arial" w:cs="Arial"/>
          <w:i/>
          <w:sz w:val="18"/>
          <w:szCs w:val="18"/>
        </w:rPr>
        <w:t xml:space="preserve">Box </w:t>
      </w:r>
      <w:r w:rsidR="00652724" w:rsidRPr="00504B5E">
        <w:rPr>
          <w:rFonts w:ascii="Arial" w:hAnsi="Arial" w:cs="Arial"/>
          <w:i/>
          <w:sz w:val="18"/>
          <w:szCs w:val="18"/>
        </w:rPr>
        <w:t>4</w:t>
      </w:r>
      <w:r w:rsidRPr="00A3063C">
        <w:rPr>
          <w:rFonts w:ascii="Arial" w:hAnsi="Arial" w:cs="Arial"/>
          <w:i/>
          <w:sz w:val="18"/>
          <w:szCs w:val="18"/>
        </w:rPr>
        <w:t>. Values and markets</w:t>
      </w:r>
    </w:p>
    <w:p w14:paraId="7CF1105E"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r w:rsidRPr="0038043D">
        <w:rPr>
          <w:rFonts w:ascii="Arial" w:hAnsi="Arial" w:cs="Arial"/>
          <w:sz w:val="18"/>
          <w:szCs w:val="18"/>
        </w:rPr>
        <w:t>There are many divergent perspectives on the valuation of ecosystem services. In BFM debates, some stakeholders have raised concerns about the process of trading ecosystem services and biodiversity in the abstract (as assets wh</w:t>
      </w:r>
      <w:r w:rsidRPr="00632DBC">
        <w:rPr>
          <w:rFonts w:ascii="Arial" w:hAnsi="Arial" w:cs="Arial"/>
          <w:sz w:val="18"/>
          <w:szCs w:val="18"/>
        </w:rPr>
        <w:t>ich can be commercialised further as money and associated derivative products) in contrast to regular trade in goods and products.</w:t>
      </w:r>
      <w:r w:rsidRPr="00633A71">
        <w:rPr>
          <w:rStyle w:val="FootnoteReference"/>
          <w:rFonts w:ascii="Times New Roman" w:hAnsi="Times New Roman"/>
          <w:sz w:val="18"/>
          <w:szCs w:val="18"/>
        </w:rPr>
        <w:footnoteReference w:id="38"/>
      </w:r>
      <w:r w:rsidRPr="00633A71">
        <w:rPr>
          <w:rFonts w:ascii="Arial" w:hAnsi="Arial" w:cs="Arial"/>
          <w:sz w:val="18"/>
          <w:szCs w:val="18"/>
        </w:rPr>
        <w:t xml:space="preserve"> Another concern is the “corporatization of nature”, viewed by some as a process in which large corporations monopolise certain biodiversity-related rights.</w:t>
      </w:r>
      <w:r w:rsidRPr="00633A71">
        <w:rPr>
          <w:rStyle w:val="FootnoteReference"/>
          <w:rFonts w:ascii="Times New Roman" w:hAnsi="Times New Roman"/>
          <w:sz w:val="18"/>
          <w:szCs w:val="18"/>
        </w:rPr>
        <w:footnoteReference w:id="39"/>
      </w:r>
      <w:r w:rsidRPr="00633A71">
        <w:rPr>
          <w:rFonts w:ascii="Times New Roman" w:hAnsi="Times New Roman"/>
          <w:sz w:val="18"/>
          <w:szCs w:val="18"/>
        </w:rPr>
        <w:t xml:space="preserve"> </w:t>
      </w:r>
    </w:p>
    <w:p w14:paraId="470DE274" w14:textId="3B5302A4"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proofErr w:type="gramStart"/>
      <w:r w:rsidRPr="00633A71">
        <w:rPr>
          <w:rFonts w:ascii="Arial" w:hAnsi="Arial" w:cs="Arial"/>
          <w:sz w:val="18"/>
          <w:szCs w:val="18"/>
        </w:rPr>
        <w:t>In reality, most</w:t>
      </w:r>
      <w:proofErr w:type="gramEnd"/>
      <w:r w:rsidRPr="00633A71">
        <w:rPr>
          <w:rFonts w:ascii="Arial" w:hAnsi="Arial" w:cs="Arial"/>
          <w:sz w:val="18"/>
          <w:szCs w:val="18"/>
        </w:rPr>
        <w:t xml:space="preserve"> valuation has very little to do with markets. TEEB’s “first step” in valuation, recognizing value, does not rely on </w:t>
      </w:r>
      <w:r w:rsidRPr="00633A71">
        <w:rPr>
          <w:rFonts w:ascii="Arial" w:hAnsi="Arial" w:cs="Arial"/>
          <w:i/>
          <w:sz w:val="18"/>
          <w:szCs w:val="18"/>
        </w:rPr>
        <w:t>monetary</w:t>
      </w:r>
      <w:r w:rsidRPr="00504B5E">
        <w:rPr>
          <w:rFonts w:ascii="Arial" w:hAnsi="Arial" w:cs="Arial"/>
          <w:sz w:val="18"/>
          <w:szCs w:val="18"/>
        </w:rPr>
        <w:t xml:space="preserve"> values, and therefore has nothing necessarily to do with markets. As an example, almost all national parks worldwide were probably valued and justified by other means than monetary calculations of their ecological value. When values are estimated or “demonstrated” in monetary terms to inform decision-makers about </w:t>
      </w:r>
      <w:r w:rsidRPr="00504B5E">
        <w:rPr>
          <w:rFonts w:ascii="Arial" w:hAnsi="Arial" w:cs="Arial"/>
          <w:sz w:val="18"/>
          <w:szCs w:val="18"/>
        </w:rPr>
        <w:lastRenderedPageBreak/>
        <w:t>the costs and benefit</w:t>
      </w:r>
      <w:r w:rsidRPr="00A3063C">
        <w:rPr>
          <w:rFonts w:ascii="Arial" w:hAnsi="Arial" w:cs="Arial"/>
          <w:sz w:val="18"/>
          <w:szCs w:val="18"/>
        </w:rPr>
        <w:t>s that are not reflected in market prices, this may improve decisions but will not change the market.</w:t>
      </w:r>
      <w:r w:rsidR="006B3323" w:rsidRPr="00633A71">
        <w:rPr>
          <w:rStyle w:val="FootnoteReference"/>
          <w:rFonts w:ascii="Arial" w:hAnsi="Arial" w:cs="Arial"/>
          <w:sz w:val="18"/>
          <w:szCs w:val="18"/>
        </w:rPr>
        <w:footnoteReference w:id="40"/>
      </w:r>
      <w:r w:rsidRPr="00633A71">
        <w:rPr>
          <w:rFonts w:ascii="Arial" w:hAnsi="Arial" w:cs="Arial"/>
          <w:sz w:val="18"/>
          <w:szCs w:val="18"/>
        </w:rPr>
        <w:t xml:space="preserve"> </w:t>
      </w:r>
    </w:p>
    <w:p w14:paraId="7AB5632A"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r w:rsidRPr="00633A71">
        <w:rPr>
          <w:rFonts w:ascii="Arial" w:hAnsi="Arial" w:cs="Arial"/>
          <w:sz w:val="18"/>
          <w:szCs w:val="18"/>
        </w:rPr>
        <w:t xml:space="preserve">Finally, when the purpose of valuation is to change the economic incentives (price signals) on the market (e.g. through taxation/charges, subsidies, PES or other ways of internalising </w:t>
      </w:r>
      <w:r w:rsidRPr="00504B5E">
        <w:rPr>
          <w:rFonts w:ascii="Arial" w:hAnsi="Arial" w:cs="Arial"/>
          <w:sz w:val="18"/>
          <w:szCs w:val="18"/>
        </w:rPr>
        <w:t>the ecological costs or benefits), this is not the same as “marketization”. It is not letting the market solve the problem; it is rather a government intervention that alters relative prices. As much as 99 per cent of all PES derive from public sources, while this percentage is 97 for developing countries.</w:t>
      </w:r>
      <w:r w:rsidRPr="00633A71">
        <w:rPr>
          <w:rStyle w:val="FootnoteReference"/>
          <w:rFonts w:ascii="Times New Roman" w:hAnsi="Times New Roman"/>
          <w:sz w:val="18"/>
          <w:szCs w:val="18"/>
        </w:rPr>
        <w:footnoteReference w:id="41"/>
      </w:r>
      <w:r w:rsidRPr="00633A71">
        <w:rPr>
          <w:rFonts w:ascii="Times New Roman" w:hAnsi="Times New Roman"/>
          <w:sz w:val="18"/>
          <w:szCs w:val="18"/>
        </w:rPr>
        <w:t xml:space="preserve"> </w:t>
      </w:r>
      <w:r w:rsidRPr="00633A71">
        <w:rPr>
          <w:rFonts w:ascii="Arial" w:hAnsi="Arial" w:cs="Arial"/>
          <w:sz w:val="18"/>
          <w:szCs w:val="18"/>
        </w:rPr>
        <w:t>When the public sector possesses full control over supply or demand there is no real market. Hence, even when “price tags” are put on biodiversity and ecosystem services to change economic incentives relating to their use, this is not the same as delegating the power to decide on biodiversity to the market. In this context, efforts to scale-up biodiversity financing do not necessarily involve commodification of biodiversity products and processes or the u</w:t>
      </w:r>
      <w:r w:rsidRPr="00504B5E">
        <w:rPr>
          <w:rFonts w:ascii="Arial" w:hAnsi="Arial" w:cs="Arial"/>
          <w:sz w:val="18"/>
          <w:szCs w:val="18"/>
        </w:rPr>
        <w:t>se of associated market mechanisms.</w:t>
      </w:r>
      <w:r w:rsidRPr="00633A71">
        <w:rPr>
          <w:rStyle w:val="FootnoteReference"/>
          <w:rFonts w:ascii="Times New Roman" w:hAnsi="Times New Roman"/>
          <w:sz w:val="18"/>
          <w:szCs w:val="18"/>
        </w:rPr>
        <w:footnoteReference w:id="42"/>
      </w:r>
    </w:p>
    <w:p w14:paraId="1BAA3919" w14:textId="1F3E2E28" w:rsidR="00810C20" w:rsidRPr="00633A71" w:rsidRDefault="00810C20" w:rsidP="003966BA">
      <w:pPr>
        <w:pStyle w:val="Heading2"/>
        <w:numPr>
          <w:ilvl w:val="0"/>
          <w:numId w:val="5"/>
        </w:numPr>
        <w:rPr>
          <w:lang w:val="en-GB"/>
        </w:rPr>
      </w:pPr>
      <w:bookmarkStart w:id="29" w:name="_Toc337217547"/>
      <w:bookmarkStart w:id="30" w:name="_Toc337217928"/>
      <w:bookmarkStart w:id="31" w:name="_Toc342296081"/>
      <w:bookmarkStart w:id="32" w:name="_Toc263943510"/>
      <w:bookmarkStart w:id="33" w:name="_Toc382590303"/>
      <w:bookmarkStart w:id="34" w:name="_Toc529199428"/>
      <w:r w:rsidRPr="00633A71">
        <w:rPr>
          <w:lang w:val="en-GB"/>
        </w:rPr>
        <w:t>The evolving notion of safeguards</w:t>
      </w:r>
      <w:bookmarkEnd w:id="28"/>
      <w:bookmarkEnd w:id="29"/>
      <w:bookmarkEnd w:id="30"/>
      <w:bookmarkEnd w:id="31"/>
      <w:bookmarkEnd w:id="32"/>
      <w:bookmarkEnd w:id="33"/>
      <w:bookmarkEnd w:id="34"/>
      <w:r w:rsidRPr="00633A71">
        <w:rPr>
          <w:lang w:val="en-GB"/>
        </w:rPr>
        <w:t xml:space="preserve"> </w:t>
      </w:r>
    </w:p>
    <w:p w14:paraId="6C5D2ADA" w14:textId="34AB3AFD" w:rsidR="00810C20" w:rsidRPr="00633A71" w:rsidRDefault="00810C20" w:rsidP="00810C20">
      <w:pPr>
        <w:tabs>
          <w:tab w:val="left" w:pos="4253"/>
        </w:tabs>
        <w:spacing w:line="240" w:lineRule="auto"/>
        <w:jc w:val="both"/>
        <w:rPr>
          <w:rFonts w:ascii="Times New Roman" w:hAnsi="Times New Roman"/>
        </w:rPr>
      </w:pPr>
      <w:r w:rsidRPr="00632DBC">
        <w:rPr>
          <w:rFonts w:ascii="Times New Roman" w:hAnsi="Times New Roman"/>
        </w:rPr>
        <w:t xml:space="preserve">The term “safeguards” was first used in the 1990s </w:t>
      </w:r>
      <w:proofErr w:type="gramStart"/>
      <w:r w:rsidRPr="00632DBC">
        <w:rPr>
          <w:rFonts w:ascii="Times New Roman" w:hAnsi="Times New Roman"/>
        </w:rPr>
        <w:t>in reference to</w:t>
      </w:r>
      <w:proofErr w:type="gramEnd"/>
      <w:r w:rsidRPr="00632DBC">
        <w:rPr>
          <w:rFonts w:ascii="Times New Roman" w:hAnsi="Times New Roman"/>
        </w:rPr>
        <w:t xml:space="preserve"> policies for preventing unintended negative consequences for people and ecosystems arising from international interventions. “Safeguards” initially referred to the defensive approach deployed by the World Bank and other financial institutions engaging in development projects at the time.</w:t>
      </w:r>
      <w:r w:rsidRPr="00632DBC">
        <w:rPr>
          <w:rFonts w:ascii="Times New Roman" w:hAnsi="Times New Roman"/>
          <w:vertAlign w:val="superscript"/>
        </w:rPr>
        <w:footnoteReference w:id="43"/>
      </w:r>
      <w:r w:rsidRPr="00632DBC">
        <w:rPr>
          <w:rFonts w:ascii="Times New Roman" w:hAnsi="Times New Roman"/>
        </w:rPr>
        <w:t xml:space="preserve"> The World Bank responded to high profile controversies (e.g. forced resettlements related to projects developed in the 1970s and 1980s) with a range of reforms in the early 1990s. Since then, in socio-legal processes in the international environmental arena, a more comprehensive content of the notion of “safeguards” has emerged. The term has come to inhabit new arenas and now includes a much broader set of issues. The World Bank defines safeguards as follows: “Board-approved mechanisms for integration of environmental and social issues into the decision-making process. They provide a set of specialized tools to support the development processes, and support participatory approaches and transparency”.</w:t>
      </w:r>
      <w:r w:rsidRPr="00632DBC">
        <w:rPr>
          <w:rStyle w:val="FootnoteReference"/>
          <w:rFonts w:ascii="Times New Roman" w:hAnsi="Times New Roman"/>
        </w:rPr>
        <w:footnoteReference w:id="44"/>
      </w:r>
      <w:r w:rsidRPr="00632DBC">
        <w:rPr>
          <w:rFonts w:ascii="Times New Roman" w:hAnsi="Times New Roman"/>
        </w:rPr>
        <w:t xml:space="preserve"> World Bank safeguards have been developed to cover a wide range of social-environmental concerns including indigenous peoples and local communities, cultural property, disputed areas, involuntary resettlement, forestry and natural habitats.</w:t>
      </w:r>
      <w:r w:rsidRPr="00632DBC">
        <w:rPr>
          <w:rStyle w:val="FootnoteReference"/>
          <w:rFonts w:ascii="Times New Roman" w:hAnsi="Times New Roman"/>
        </w:rPr>
        <w:footnoteReference w:id="45"/>
      </w:r>
      <w:r w:rsidRPr="00633A71">
        <w:rPr>
          <w:rFonts w:ascii="Times New Roman" w:hAnsi="Times New Roman"/>
        </w:rPr>
        <w:t xml:space="preserve"> The World Bank’s Operational Policy 4.04 “expects borrowers to apply a precautionary approach to natural resource management to ensure opportunities for environmentally sustainable development</w:t>
      </w:r>
      <w:r w:rsidR="00F36DF7" w:rsidRPr="00633A71">
        <w:rPr>
          <w:rFonts w:ascii="Times New Roman" w:hAnsi="Times New Roman"/>
        </w:rPr>
        <w:t>”.</w:t>
      </w:r>
      <w:r w:rsidRPr="00504B5E">
        <w:rPr>
          <w:rFonts w:ascii="Times New Roman" w:hAnsi="Times New Roman"/>
        </w:rPr>
        <w:t xml:space="preserve"> </w:t>
      </w:r>
      <w:r w:rsidRPr="00632DBC">
        <w:rPr>
          <w:rFonts w:ascii="Times New Roman" w:hAnsi="Times New Roman"/>
        </w:rPr>
        <w:t>The World Bank is among the institutions invited in Decision IX/11 to take prompt actions to implement the strategy for resource mobilization,</w:t>
      </w:r>
      <w:r w:rsidRPr="00632DBC">
        <w:rPr>
          <w:rStyle w:val="FootnoteReference"/>
          <w:rFonts w:ascii="Times New Roman" w:hAnsi="Times New Roman"/>
        </w:rPr>
        <w:footnoteReference w:id="46"/>
      </w:r>
      <w:r w:rsidRPr="00633A71">
        <w:rPr>
          <w:rFonts w:ascii="Times New Roman" w:hAnsi="Times New Roman"/>
        </w:rPr>
        <w:t xml:space="preserve"> and it has financed projects that have BFMs components such as PES.</w:t>
      </w:r>
      <w:r w:rsidRPr="00633A71">
        <w:rPr>
          <w:rStyle w:val="FootnoteReference"/>
          <w:rFonts w:ascii="Times New Roman" w:hAnsi="Times New Roman"/>
        </w:rPr>
        <w:footnoteReference w:id="47"/>
      </w:r>
    </w:p>
    <w:p w14:paraId="4D41E4EE" w14:textId="77777777" w:rsidR="00810C20" w:rsidRPr="00633A71" w:rsidRDefault="00810C20" w:rsidP="00810C20">
      <w:pPr>
        <w:tabs>
          <w:tab w:val="left" w:pos="4253"/>
        </w:tabs>
        <w:spacing w:line="240" w:lineRule="auto"/>
        <w:jc w:val="both"/>
        <w:rPr>
          <w:rFonts w:ascii="Times New Roman" w:hAnsi="Times New Roman"/>
        </w:rPr>
      </w:pPr>
      <w:r w:rsidRPr="00633A71">
        <w:rPr>
          <w:rFonts w:ascii="Times New Roman" w:hAnsi="Times New Roman"/>
        </w:rPr>
        <w:lastRenderedPageBreak/>
        <w:t xml:space="preserve">Safeguards have gained </w:t>
      </w:r>
      <w:proofErr w:type="gramStart"/>
      <w:r w:rsidRPr="00633A71">
        <w:rPr>
          <w:rFonts w:ascii="Times New Roman" w:hAnsi="Times New Roman"/>
        </w:rPr>
        <w:t>particular momentum</w:t>
      </w:r>
      <w:proofErr w:type="gramEnd"/>
      <w:r w:rsidRPr="00633A71">
        <w:rPr>
          <w:rFonts w:ascii="Times New Roman" w:hAnsi="Times New Roman"/>
        </w:rPr>
        <w:t xml:space="preserve"> in the context of reducing emissions from deforestation and forest degradation, conserving and sustainably managing forests and enhancing forest carbon stocks </w:t>
      </w:r>
      <w:r w:rsidRPr="00633A71">
        <w:rPr>
          <w:rFonts w:ascii="Times New Roman" w:eastAsia="Calibri" w:hAnsi="Times New Roman"/>
          <w:lang w:eastAsia="sv-SE"/>
        </w:rPr>
        <w:t>in developing countries</w:t>
      </w:r>
      <w:r w:rsidRPr="00632DBC">
        <w:rPr>
          <w:rFonts w:ascii="Times New Roman" w:hAnsi="Times New Roman"/>
          <w:i/>
        </w:rPr>
        <w:t xml:space="preserve"> </w:t>
      </w:r>
      <w:r w:rsidRPr="00633A71">
        <w:rPr>
          <w:rFonts w:ascii="Times New Roman" w:hAnsi="Times New Roman"/>
        </w:rPr>
        <w:t>(REDD+) under the UN Framework Convention on Climate Change (UNFCCC).</w:t>
      </w:r>
      <w:r w:rsidRPr="00633A71">
        <w:rPr>
          <w:rStyle w:val="FootnoteReference"/>
          <w:rFonts w:ascii="Times New Roman" w:hAnsi="Times New Roman"/>
        </w:rPr>
        <w:footnoteReference w:id="48"/>
      </w:r>
      <w:r w:rsidRPr="00633A71">
        <w:rPr>
          <w:rFonts w:ascii="Times New Roman" w:hAnsi="Times New Roman"/>
        </w:rPr>
        <w:t xml:space="preserve"> BFMs can draw many direct lessons from this experience. Parties to the CBD noted that well-designed and properly implemented REDD+ projects would confer substantial benefits for forest biodiversity as well as reduce greenhouse gas emissions </w:t>
      </w:r>
      <w:proofErr w:type="gramStart"/>
      <w:r w:rsidRPr="00633A71">
        <w:rPr>
          <w:rFonts w:ascii="Times New Roman" w:hAnsi="Times New Roman"/>
        </w:rPr>
        <w:t>provided that</w:t>
      </w:r>
      <w:proofErr w:type="gramEnd"/>
      <w:r w:rsidRPr="00633A71">
        <w:rPr>
          <w:rFonts w:ascii="Times New Roman" w:hAnsi="Times New Roman"/>
        </w:rPr>
        <w:t xml:space="preserve"> there are adequate biodiversity and social safeguards. In recent years, discussions between CBD and UNFCCC on the linkages between REDD+ and biodiversity conservation have increased supported by a growing body of policy and research-based evidence</w:t>
      </w:r>
      <w:r w:rsidRPr="00504B5E">
        <w:t>.</w:t>
      </w:r>
      <w:r w:rsidRPr="00633A71">
        <w:rPr>
          <w:rStyle w:val="FootnoteReference"/>
          <w:rFonts w:ascii="Times New Roman" w:hAnsi="Times New Roman"/>
        </w:rPr>
        <w:footnoteReference w:id="49"/>
      </w:r>
    </w:p>
    <w:p w14:paraId="73F8627D" w14:textId="4356566D" w:rsidR="00810C20" w:rsidRPr="00632DBC" w:rsidRDefault="00810C20" w:rsidP="00810C20">
      <w:pPr>
        <w:spacing w:line="240" w:lineRule="auto"/>
        <w:jc w:val="both"/>
        <w:rPr>
          <w:rFonts w:ascii="Times New Roman" w:hAnsi="Times New Roman"/>
        </w:rPr>
      </w:pPr>
      <w:r w:rsidRPr="00633A71">
        <w:rPr>
          <w:rFonts w:ascii="Times New Roman" w:hAnsi="Times New Roman"/>
        </w:rPr>
        <w:t xml:space="preserve">The REDD+ safeguards were initially discussed almost only in corridors and at side-events, among civil society representatives and by a few official delegates to UNFCCC. </w:t>
      </w:r>
      <w:r w:rsidRPr="00632DBC">
        <w:rPr>
          <w:rFonts w:ascii="Times New Roman" w:hAnsi="Times New Roman"/>
        </w:rPr>
        <w:t xml:space="preserve">Yet, now a range of safeguards are formally part of COP Decisions under the UNFCCC. An interviewee noted that although the reduction of greenhouse emissions continues to be the </w:t>
      </w:r>
      <w:proofErr w:type="gramStart"/>
      <w:r w:rsidRPr="00632DBC">
        <w:rPr>
          <w:rFonts w:ascii="Times New Roman" w:hAnsi="Times New Roman"/>
        </w:rPr>
        <w:t>main focus</w:t>
      </w:r>
      <w:proofErr w:type="gramEnd"/>
      <w:r w:rsidRPr="00632DBC">
        <w:rPr>
          <w:rFonts w:ascii="Times New Roman" w:hAnsi="Times New Roman"/>
        </w:rPr>
        <w:t xml:space="preserve"> of official delegates to the UNFCCC, safeguards are increasingly seen as an indispensable means to reach climate-related objectives in an effective and equitable way. Safeguards in REDD+ concern issues of participation of indigenous peoples and local communities, biodiversity conservation, good governance, and the prevention of conversion of natural forests in REDD+ projects. In COP-16 in Cancun 2010, the UNFCCC’s safeguards were adopted. Subsequently an expert group provided guidance on how to assess their implementation in REDD+ activities.</w:t>
      </w:r>
      <w:r w:rsidRPr="00632DBC">
        <w:rPr>
          <w:rFonts w:ascii="Times New Roman" w:hAnsi="Times New Roman"/>
          <w:vertAlign w:val="superscript"/>
        </w:rPr>
        <w:footnoteReference w:id="50"/>
      </w:r>
      <w:r w:rsidRPr="00632DBC">
        <w:rPr>
          <w:rFonts w:ascii="Times New Roman" w:hAnsi="Times New Roman"/>
        </w:rPr>
        <w:t xml:space="preserve"> In UNFCCC COP-17 in Durban 2011, Parties agreed that systems for providing information on how the safeguards are addressed should be country-driven, </w:t>
      </w:r>
      <w:proofErr w:type="gramStart"/>
      <w:r w:rsidRPr="00632DBC">
        <w:rPr>
          <w:rFonts w:ascii="Times New Roman" w:hAnsi="Times New Roman"/>
        </w:rPr>
        <w:t>taking into account</w:t>
      </w:r>
      <w:proofErr w:type="gramEnd"/>
      <w:r w:rsidRPr="00632DBC">
        <w:rPr>
          <w:rFonts w:ascii="Times New Roman" w:hAnsi="Times New Roman"/>
        </w:rPr>
        <w:t xml:space="preserve"> national circumstances and relevant international obligations. These systems should provide transparent and consistent information that is accessible by all relevant stakeholders. Standards and guidance for the implementation of REDD+ safeguards have also progressively developed beyond the UNFCCC framework (see Box </w:t>
      </w:r>
      <w:r w:rsidR="00652724" w:rsidRPr="00632DBC">
        <w:rPr>
          <w:rFonts w:ascii="Times New Roman" w:hAnsi="Times New Roman"/>
        </w:rPr>
        <w:t>5</w:t>
      </w:r>
      <w:r w:rsidRPr="00632DBC">
        <w:rPr>
          <w:rFonts w:ascii="Times New Roman" w:hAnsi="Times New Roman"/>
        </w:rPr>
        <w:t xml:space="preserve">). </w:t>
      </w:r>
    </w:p>
    <w:p w14:paraId="1AE7420F" w14:textId="109E8D29" w:rsidR="00810C20" w:rsidRPr="00632DBC" w:rsidRDefault="00810C20" w:rsidP="00810C20">
      <w:pPr>
        <w:tabs>
          <w:tab w:val="left" w:pos="426"/>
        </w:tabs>
        <w:spacing w:line="240" w:lineRule="auto"/>
        <w:jc w:val="both"/>
        <w:rPr>
          <w:rFonts w:ascii="Times New Roman" w:hAnsi="Times New Roman"/>
        </w:rPr>
      </w:pPr>
      <w:r w:rsidRPr="00632DBC">
        <w:rPr>
          <w:rFonts w:ascii="Times New Roman" w:hAnsi="Times New Roman"/>
        </w:rPr>
        <w:t xml:space="preserve">Safeguards are demanded by a broad range of stakeholders, from the business sector to indigenous peoples and local communities and their advocates, and governments. However, the REDD+ experience highlights that the notion of safeguards takes different forms depending on the framework under which safeguards are discussed and the stakeholders who are demanding them. For example, </w:t>
      </w:r>
      <w:r w:rsidRPr="00633A71">
        <w:rPr>
          <w:rFonts w:ascii="Times New Roman" w:hAnsi="Times New Roman"/>
        </w:rPr>
        <w:t>at an open dialogue held by the Rights and Resources Initiative in London in 2011, a carbon market expert, the Managing Director and Global Head of Carbon Emissions at the Bank of America Merrill Lynch, expressed the need for “designing and enforcing safeguards, addressing accounting issues and developing appropriate standards".</w:t>
      </w:r>
      <w:r w:rsidRPr="00633A71">
        <w:rPr>
          <w:rStyle w:val="FootnoteReference"/>
          <w:rFonts w:ascii="Times New Roman" w:hAnsi="Times New Roman"/>
        </w:rPr>
        <w:footnoteReference w:id="51"/>
      </w:r>
      <w:r w:rsidRPr="00632DBC">
        <w:rPr>
          <w:rFonts w:ascii="Times New Roman" w:hAnsi="Times New Roman"/>
        </w:rPr>
        <w:t xml:space="preserve"> Similarly in development cooperation, safeguards may refer to the means for ensuring that financial resources provided are used for their designated purpose, without adverse environmental and social impacts.</w:t>
      </w:r>
      <w:r w:rsidRPr="00632DBC">
        <w:rPr>
          <w:rStyle w:val="FootnoteReference"/>
          <w:rFonts w:ascii="Times New Roman" w:hAnsi="Times New Roman"/>
        </w:rPr>
        <w:footnoteReference w:id="52"/>
      </w:r>
      <w:r w:rsidRPr="00632DBC">
        <w:rPr>
          <w:rFonts w:ascii="Times New Roman" w:hAnsi="Times New Roman"/>
        </w:rPr>
        <w:t xml:space="preserve"> When the term safeguards is used by indigenous peoples and local communities, it is often in terms of having decision power in projects or initiatives, including the design, changes or even veto regarding a project, as well as the right of complaint (e.g. to an ombudsperson) or redress in the event of problems in the process.</w:t>
      </w:r>
      <w:r w:rsidRPr="00632DBC">
        <w:rPr>
          <w:rStyle w:val="FootnoteReference"/>
          <w:rFonts w:ascii="Times New Roman" w:hAnsi="Times New Roman"/>
        </w:rPr>
        <w:footnoteReference w:id="53"/>
      </w:r>
      <w:r w:rsidRPr="00632DBC">
        <w:rPr>
          <w:rFonts w:ascii="Times New Roman" w:hAnsi="Times New Roman"/>
        </w:rPr>
        <w:t xml:space="preserve"> Hence, when exploring safeguards </w:t>
      </w:r>
      <w:r w:rsidRPr="00632DBC">
        <w:rPr>
          <w:rFonts w:ascii="Times New Roman" w:hAnsi="Times New Roman"/>
        </w:rPr>
        <w:lastRenderedPageBreak/>
        <w:t xml:space="preserve">in BFMs, it is important to consider these different understandings of the term and recognize the multi-faceted features of each </w:t>
      </w:r>
      <w:r w:rsidR="003A65CE" w:rsidRPr="00632DBC">
        <w:rPr>
          <w:rFonts w:ascii="Times New Roman" w:hAnsi="Times New Roman"/>
        </w:rPr>
        <w:t>adopted</w:t>
      </w:r>
      <w:r w:rsidRPr="00632DBC">
        <w:rPr>
          <w:rFonts w:ascii="Times New Roman" w:hAnsi="Times New Roman"/>
        </w:rPr>
        <w:t xml:space="preserve"> safeguard.</w:t>
      </w:r>
    </w:p>
    <w:p w14:paraId="34DDFB9D" w14:textId="623E7DD8" w:rsidR="00810C20" w:rsidRPr="00632DBC" w:rsidRDefault="00810C20" w:rsidP="00810C20">
      <w:pPr>
        <w:keepNext/>
        <w:keepLines/>
        <w:pBdr>
          <w:top w:val="single" w:sz="4" w:space="6" w:color="auto"/>
          <w:left w:val="single" w:sz="4" w:space="4" w:color="auto"/>
          <w:bottom w:val="single" w:sz="4" w:space="6" w:color="auto"/>
          <w:right w:val="single" w:sz="4" w:space="4" w:color="auto"/>
        </w:pBdr>
        <w:shd w:val="clear" w:color="auto" w:fill="F2F2F2"/>
        <w:tabs>
          <w:tab w:val="left" w:pos="4253"/>
        </w:tabs>
        <w:spacing w:line="240" w:lineRule="auto"/>
        <w:jc w:val="both"/>
        <w:rPr>
          <w:rFonts w:ascii="Arial" w:hAnsi="Arial"/>
          <w:i/>
          <w:sz w:val="18"/>
          <w:szCs w:val="20"/>
        </w:rPr>
      </w:pPr>
      <w:r w:rsidRPr="00632DBC">
        <w:rPr>
          <w:rFonts w:ascii="Arial" w:hAnsi="Arial"/>
          <w:i/>
          <w:sz w:val="18"/>
          <w:szCs w:val="20"/>
        </w:rPr>
        <w:t xml:space="preserve">Box </w:t>
      </w:r>
      <w:r w:rsidR="00652724" w:rsidRPr="00632DBC">
        <w:rPr>
          <w:rFonts w:ascii="Arial" w:hAnsi="Arial"/>
          <w:i/>
          <w:sz w:val="18"/>
          <w:szCs w:val="20"/>
        </w:rPr>
        <w:t>5</w:t>
      </w:r>
      <w:r w:rsidRPr="00632DBC">
        <w:rPr>
          <w:rFonts w:ascii="Arial" w:hAnsi="Arial"/>
          <w:i/>
          <w:sz w:val="18"/>
          <w:szCs w:val="20"/>
        </w:rPr>
        <w:t>. Climate, Community and Biodiversity Alliance Standards</w:t>
      </w:r>
    </w:p>
    <w:p w14:paraId="430A786C" w14:textId="2802D0A8" w:rsidR="00810C20" w:rsidRPr="00633A71" w:rsidRDefault="00810C20" w:rsidP="00810C20">
      <w:pPr>
        <w:keepNext/>
        <w:keepLines/>
        <w:pBdr>
          <w:top w:val="single" w:sz="4" w:space="6" w:color="auto"/>
          <w:left w:val="single" w:sz="4" w:space="4" w:color="auto"/>
          <w:bottom w:val="single" w:sz="4" w:space="6" w:color="auto"/>
          <w:right w:val="single" w:sz="4" w:space="4" w:color="auto"/>
        </w:pBdr>
        <w:shd w:val="clear" w:color="auto" w:fill="F2F2F2"/>
        <w:tabs>
          <w:tab w:val="left" w:pos="4253"/>
        </w:tabs>
        <w:spacing w:line="240" w:lineRule="auto"/>
        <w:jc w:val="both"/>
        <w:rPr>
          <w:rFonts w:ascii="Arial" w:hAnsi="Arial"/>
          <w:sz w:val="18"/>
          <w:szCs w:val="20"/>
        </w:rPr>
      </w:pPr>
      <w:r w:rsidRPr="00633A71">
        <w:rPr>
          <w:rFonts w:ascii="Arial" w:hAnsi="Arial"/>
          <w:sz w:val="18"/>
          <w:szCs w:val="20"/>
        </w:rPr>
        <w:t xml:space="preserve">Certain provisions of Climate, Community and Biodiversity Standards (CCBS) and multi-stakeholder processes can be framed as safeguards. </w:t>
      </w:r>
      <w:r w:rsidRPr="00633A71">
        <w:rPr>
          <w:rFonts w:ascii="Arial" w:hAnsi="Arial"/>
          <w:sz w:val="18"/>
        </w:rPr>
        <w:t xml:space="preserve">The </w:t>
      </w:r>
      <w:r w:rsidRPr="00633A71">
        <w:rPr>
          <w:rFonts w:ascii="Arial" w:hAnsi="Arial"/>
          <w:sz w:val="18"/>
          <w:szCs w:val="20"/>
        </w:rPr>
        <w:t>CCBS are among the main international standards for the multiple benefits of land-based carbon projects. The standards</w:t>
      </w:r>
      <w:r w:rsidRPr="00504B5E">
        <w:rPr>
          <w:rFonts w:ascii="Arial" w:hAnsi="Arial"/>
          <w:sz w:val="18"/>
        </w:rPr>
        <w:t xml:space="preserve"> </w:t>
      </w:r>
      <w:r w:rsidRPr="00504B5E">
        <w:rPr>
          <w:rFonts w:ascii="Arial" w:hAnsi="Arial"/>
          <w:sz w:val="18"/>
          <w:szCs w:val="20"/>
        </w:rPr>
        <w:t>were developed by a partnership of international NGOs and research institutes, called the Climate, Community and</w:t>
      </w:r>
      <w:r w:rsidRPr="00A3063C">
        <w:rPr>
          <w:rFonts w:ascii="Arial" w:hAnsi="Arial"/>
          <w:sz w:val="18"/>
          <w:szCs w:val="20"/>
        </w:rPr>
        <w:t xml:space="preserve"> Biodiversity Alliance (CCBA).</w:t>
      </w:r>
      <w:r w:rsidRPr="00632DBC">
        <w:rPr>
          <w:rFonts w:ascii="Arial" w:hAnsi="Arial"/>
          <w:i/>
          <w:sz w:val="18"/>
          <w:szCs w:val="20"/>
        </w:rPr>
        <w:t xml:space="preserve"> </w:t>
      </w:r>
      <w:r w:rsidRPr="00633A71">
        <w:rPr>
          <w:rFonts w:ascii="Arial" w:hAnsi="Arial"/>
          <w:sz w:val="18"/>
          <w:szCs w:val="20"/>
        </w:rPr>
        <w:t xml:space="preserve">CCBA aims at promoting land management practices that simultaneously mitigate climate change, conserve biodiversity and confer sustainable development benefits. It aims to promote policies and markets for the development of forest protection, restoration and agroforestry projects through multiple-benefit and </w:t>
      </w:r>
      <w:proofErr w:type="gramStart"/>
      <w:r w:rsidRPr="00633A71">
        <w:rPr>
          <w:rFonts w:ascii="Arial" w:hAnsi="Arial"/>
          <w:sz w:val="18"/>
          <w:szCs w:val="20"/>
        </w:rPr>
        <w:t>high quality</w:t>
      </w:r>
      <w:proofErr w:type="gramEnd"/>
      <w:r w:rsidRPr="00633A71">
        <w:rPr>
          <w:rFonts w:ascii="Arial" w:hAnsi="Arial"/>
          <w:sz w:val="18"/>
          <w:szCs w:val="20"/>
        </w:rPr>
        <w:t xml:space="preserve"> land-based carbon projects. “As of November 2008, six projects completed the validation process and ten projects were in the public comment phase. These 16 CCB projects aim to reduce greenhouse gas emissions by over 4.4 million tons of CO2e per year and cover 1,385,190 ha. Around 100 additional projects have indicated to the CCBA their intent to use the CCB Standards</w:t>
      </w:r>
      <w:r w:rsidR="00F36DF7" w:rsidRPr="00504B5E">
        <w:rPr>
          <w:rFonts w:ascii="Arial" w:hAnsi="Arial"/>
          <w:sz w:val="18"/>
          <w:szCs w:val="20"/>
        </w:rPr>
        <w:t>”.</w:t>
      </w:r>
      <w:r w:rsidRPr="00A3063C">
        <w:rPr>
          <w:rFonts w:ascii="Arial" w:hAnsi="Arial"/>
          <w:sz w:val="18"/>
          <w:szCs w:val="20"/>
        </w:rPr>
        <w:t xml:space="preserve"> </w:t>
      </w:r>
      <w:r w:rsidRPr="00633A71">
        <w:rPr>
          <w:rStyle w:val="FootnoteReference"/>
          <w:rFonts w:ascii="Times New Roman" w:hAnsi="Times New Roman"/>
        </w:rPr>
        <w:footnoteReference w:id="54"/>
      </w:r>
    </w:p>
    <w:p w14:paraId="03BA9E88"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tabs>
          <w:tab w:val="left" w:pos="4253"/>
        </w:tabs>
        <w:spacing w:line="240" w:lineRule="auto"/>
        <w:jc w:val="both"/>
        <w:rPr>
          <w:rFonts w:ascii="Arial" w:hAnsi="Arial"/>
          <w:sz w:val="18"/>
          <w:szCs w:val="20"/>
        </w:rPr>
      </w:pPr>
      <w:r w:rsidRPr="00633A71">
        <w:rPr>
          <w:rFonts w:ascii="Arial" w:hAnsi="Arial"/>
          <w:sz w:val="18"/>
          <w:szCs w:val="20"/>
        </w:rPr>
        <w:t>Nonetheless, standard-setting organizations, including the CCBA, are unlikely to enjoy acceptance on the part of Parties (including member states of the CBD) as well as other stakeholders, unless they comprise of both national and local actors in the process of design, implementation, monitoring and verification of standards. Standards gain acceptance and become established depending upon who owns and drives these processes.</w:t>
      </w:r>
      <w:r w:rsidRPr="00633A71">
        <w:rPr>
          <w:rStyle w:val="FootnoteReference"/>
          <w:rFonts w:ascii="Times New Roman" w:hAnsi="Times New Roman"/>
        </w:rPr>
        <w:footnoteReference w:id="55"/>
      </w:r>
      <w:r w:rsidRPr="00633A71">
        <w:rPr>
          <w:rFonts w:ascii="Times New Roman" w:hAnsi="Times New Roman"/>
          <w:szCs w:val="20"/>
        </w:rPr>
        <w:t xml:space="preserve"> </w:t>
      </w:r>
    </w:p>
    <w:p w14:paraId="29606BF9" w14:textId="7EB6891B" w:rsidR="00810C20" w:rsidRPr="00504B5E" w:rsidRDefault="00810C20" w:rsidP="003966BA">
      <w:pPr>
        <w:pStyle w:val="Heading2"/>
        <w:numPr>
          <w:ilvl w:val="0"/>
          <w:numId w:val="5"/>
        </w:numPr>
        <w:ind w:left="714" w:hanging="357"/>
        <w:rPr>
          <w:lang w:val="en-GB"/>
        </w:rPr>
      </w:pPr>
      <w:bookmarkStart w:id="35" w:name="_Toc336968691"/>
      <w:bookmarkStart w:id="36" w:name="_Toc337217548"/>
      <w:bookmarkStart w:id="37" w:name="_Toc337217929"/>
      <w:bookmarkStart w:id="38" w:name="_Toc342296082"/>
      <w:bookmarkStart w:id="39" w:name="_Toc263943511"/>
      <w:bookmarkStart w:id="40" w:name="_Toc382590304"/>
      <w:bookmarkStart w:id="41" w:name="_Toc529199429"/>
      <w:r w:rsidRPr="00633A71">
        <w:rPr>
          <w:lang w:val="en-GB"/>
        </w:rPr>
        <w:t>Safeguards in legal and policy instruments and standards</w:t>
      </w:r>
      <w:bookmarkEnd w:id="35"/>
      <w:bookmarkEnd w:id="36"/>
      <w:bookmarkEnd w:id="37"/>
      <w:bookmarkEnd w:id="38"/>
      <w:bookmarkEnd w:id="39"/>
      <w:bookmarkEnd w:id="40"/>
      <w:bookmarkEnd w:id="41"/>
    </w:p>
    <w:p w14:paraId="731AFB82" w14:textId="126EB70A" w:rsidR="00810C20" w:rsidRPr="00632DBC" w:rsidRDefault="00810C20" w:rsidP="00810C20">
      <w:pPr>
        <w:spacing w:line="240" w:lineRule="auto"/>
        <w:jc w:val="both"/>
        <w:rPr>
          <w:rFonts w:ascii="Times New Roman" w:hAnsi="Times New Roman"/>
        </w:rPr>
      </w:pPr>
      <w:r w:rsidRPr="00504B5E">
        <w:rPr>
          <w:rFonts w:ascii="Times New Roman" w:hAnsi="Times New Roman"/>
        </w:rPr>
        <w:t>Certain safeguards are already embedded in existing legal fram</w:t>
      </w:r>
      <w:r w:rsidRPr="00A3063C">
        <w:rPr>
          <w:rFonts w:ascii="Times New Roman" w:hAnsi="Times New Roman"/>
        </w:rPr>
        <w:t xml:space="preserve">eworks. It is useful to distinguish </w:t>
      </w:r>
      <w:r w:rsidRPr="0038043D">
        <w:rPr>
          <w:rFonts w:ascii="Times New Roman" w:hAnsi="Times New Roman"/>
          <w:b/>
        </w:rPr>
        <w:t>procedural safeguards</w:t>
      </w:r>
      <w:r w:rsidRPr="00632DBC">
        <w:rPr>
          <w:rFonts w:ascii="Times New Roman" w:hAnsi="Times New Roman"/>
        </w:rPr>
        <w:t xml:space="preserve"> from </w:t>
      </w:r>
      <w:r w:rsidRPr="00632DBC">
        <w:rPr>
          <w:rFonts w:ascii="Times New Roman" w:hAnsi="Times New Roman"/>
          <w:b/>
        </w:rPr>
        <w:t>substantive safeguards</w:t>
      </w:r>
      <w:r w:rsidRPr="00632DBC">
        <w:rPr>
          <w:rFonts w:ascii="Times New Roman" w:hAnsi="Times New Roman"/>
        </w:rPr>
        <w:t xml:space="preserve">, recognising that both are needed for the more holistic approach that many stakeholders have called for (see an example in Box </w:t>
      </w:r>
      <w:r w:rsidR="007F1302" w:rsidRPr="00632DBC">
        <w:rPr>
          <w:rFonts w:ascii="Times New Roman" w:hAnsi="Times New Roman"/>
        </w:rPr>
        <w:t>6</w:t>
      </w:r>
      <w:r w:rsidRPr="00632DBC">
        <w:rPr>
          <w:rFonts w:ascii="Times New Roman" w:hAnsi="Times New Roman"/>
        </w:rPr>
        <w:t xml:space="preserve">). The operationalisation of both procedural and substantive safeguards </w:t>
      </w:r>
      <w:proofErr w:type="gramStart"/>
      <w:r w:rsidRPr="00632DBC">
        <w:rPr>
          <w:rFonts w:ascii="Times New Roman" w:hAnsi="Times New Roman"/>
        </w:rPr>
        <w:t>can be seen as</w:t>
      </w:r>
      <w:proofErr w:type="gramEnd"/>
      <w:r w:rsidRPr="00632DBC">
        <w:rPr>
          <w:rFonts w:ascii="Times New Roman" w:hAnsi="Times New Roman"/>
        </w:rPr>
        <w:t xml:space="preserve"> a dynamic process that needs to be grounded in particular local level realities. </w:t>
      </w:r>
    </w:p>
    <w:p w14:paraId="6D2F9213" w14:textId="77777777" w:rsidR="00810C20" w:rsidRPr="00633A71" w:rsidRDefault="00810C20" w:rsidP="00810C20">
      <w:pPr>
        <w:autoSpaceDE w:val="0"/>
        <w:autoSpaceDN w:val="0"/>
        <w:adjustRightInd w:val="0"/>
        <w:spacing w:after="0" w:line="240" w:lineRule="auto"/>
        <w:jc w:val="both"/>
        <w:rPr>
          <w:rFonts w:ascii="Times New Roman" w:hAnsi="Times New Roman"/>
        </w:rPr>
      </w:pPr>
      <w:r w:rsidRPr="00632DBC">
        <w:rPr>
          <w:rFonts w:ascii="Times New Roman" w:hAnsi="Times New Roman"/>
        </w:rPr>
        <w:t>Substantive safeguards define the rights and duties while procedural safeguards entail the processes and means for making effective and enforcing those rights and duties.</w:t>
      </w:r>
      <w:r w:rsidRPr="00633A71">
        <w:rPr>
          <w:rStyle w:val="FootnoteReference"/>
          <w:rFonts w:ascii="Times New Roman" w:hAnsi="Times New Roman"/>
        </w:rPr>
        <w:footnoteReference w:id="56"/>
      </w:r>
      <w:r w:rsidRPr="00633A71">
        <w:rPr>
          <w:rFonts w:ascii="Times New Roman" w:hAnsi="Times New Roman"/>
        </w:rPr>
        <w:t xml:space="preserve"> Substantive safeguards enshrined in international law and national constitutions can be used to address environmental concerns that affect human livelihoods such as the right to life, right to property, and right to health. In particular, substantive safeguards associated with the equitable distribution of tenure or property rights, over both tangible (e.g. land rights) and intangible resources (e.g. knowledge and innovations), can have an important role in the success of BFMs.</w:t>
      </w:r>
      <w:r w:rsidRPr="00633A71">
        <w:rPr>
          <w:rStyle w:val="FootnoteReference"/>
          <w:rFonts w:ascii="Times New Roman" w:hAnsi="Times New Roman"/>
        </w:rPr>
        <w:footnoteReference w:id="57"/>
      </w:r>
      <w:r w:rsidRPr="00633A71">
        <w:rPr>
          <w:rFonts w:ascii="Times New Roman" w:hAnsi="Times New Roman"/>
        </w:rPr>
        <w:t xml:space="preserve"> Natural resource tenure includes rights over land (farmland, grassing land) and also over other resources such as use and non-use values of flora and fauna, rivers and fisheries.</w:t>
      </w:r>
      <w:r w:rsidRPr="00633A71">
        <w:rPr>
          <w:rStyle w:val="FootnoteReference"/>
          <w:rFonts w:ascii="Times New Roman" w:hAnsi="Times New Roman"/>
        </w:rPr>
        <w:footnoteReference w:id="58"/>
      </w:r>
      <w:r w:rsidRPr="00633A71">
        <w:rPr>
          <w:rFonts w:ascii="Times New Roman" w:hAnsi="Times New Roman"/>
        </w:rPr>
        <w:t xml:space="preserve"> </w:t>
      </w:r>
    </w:p>
    <w:p w14:paraId="5503D9D0" w14:textId="77777777" w:rsidR="00810C20" w:rsidRPr="00633A71" w:rsidRDefault="00810C20" w:rsidP="00810C20">
      <w:pPr>
        <w:autoSpaceDE w:val="0"/>
        <w:autoSpaceDN w:val="0"/>
        <w:adjustRightInd w:val="0"/>
        <w:spacing w:after="0" w:line="240" w:lineRule="auto"/>
        <w:rPr>
          <w:rFonts w:ascii="Times New Roman" w:hAnsi="Times New Roman"/>
        </w:rPr>
      </w:pPr>
    </w:p>
    <w:p w14:paraId="0FC7E498" w14:textId="77777777" w:rsidR="00810C20" w:rsidRPr="00633A71" w:rsidRDefault="00810C20" w:rsidP="00810C20">
      <w:pPr>
        <w:spacing w:line="240" w:lineRule="auto"/>
        <w:jc w:val="both"/>
        <w:rPr>
          <w:rFonts w:ascii="Times New Roman" w:hAnsi="Times New Roman"/>
        </w:rPr>
      </w:pPr>
      <w:r w:rsidRPr="00504B5E">
        <w:rPr>
          <w:rFonts w:ascii="Times New Roman" w:hAnsi="Times New Roman"/>
        </w:rPr>
        <w:lastRenderedPageBreak/>
        <w:t>Procedural safeguards refer to the opportunities and abilities to exercise environmental-related rights, including public participation in decision-making, access to information, and access to justice. These kinds of safeguards can contribute to processes where empowered communities engage with outsiders as equals</w:t>
      </w:r>
      <w:r w:rsidRPr="00A3063C">
        <w:rPr>
          <w:rFonts w:ascii="Times New Roman" w:hAnsi="Times New Roman"/>
        </w:rPr>
        <w:t xml:space="preserve"> and operate within robust legal frameworks (as systems). Towards this end, broader nationally driven processes associated with substantive and procedural safeguards could promote meaningful community engagement. These processes can become resilient and lo</w:t>
      </w:r>
      <w:r w:rsidRPr="0038043D">
        <w:rPr>
          <w:rFonts w:ascii="Times New Roman" w:hAnsi="Times New Roman"/>
        </w:rPr>
        <w:t xml:space="preserve">cally rooted safeguards, especially considering that small changes in social-ecological systems can have large effects at the community level. Countries may request technical assistance </w:t>
      </w:r>
      <w:proofErr w:type="gramStart"/>
      <w:r w:rsidRPr="0038043D">
        <w:rPr>
          <w:rFonts w:ascii="Times New Roman" w:hAnsi="Times New Roman"/>
        </w:rPr>
        <w:t>in order to</w:t>
      </w:r>
      <w:proofErr w:type="gramEnd"/>
      <w:r w:rsidRPr="0038043D">
        <w:rPr>
          <w:rFonts w:ascii="Times New Roman" w:hAnsi="Times New Roman"/>
        </w:rPr>
        <w:t xml:space="preserve"> strengthen their national efforts in developing and implem</w:t>
      </w:r>
      <w:r w:rsidRPr="00632DBC">
        <w:rPr>
          <w:rFonts w:ascii="Times New Roman" w:hAnsi="Times New Roman"/>
        </w:rPr>
        <w:t>enting safeguards in consonance with their national and local circumstances and conditions.</w:t>
      </w:r>
      <w:r w:rsidRPr="00633A71">
        <w:rPr>
          <w:rStyle w:val="FootnoteReference"/>
          <w:rFonts w:ascii="Times New Roman" w:hAnsi="Times New Roman"/>
        </w:rPr>
        <w:footnoteReference w:id="59"/>
      </w:r>
    </w:p>
    <w:p w14:paraId="02996181" w14:textId="3C70BFDE" w:rsidR="00810C20" w:rsidRPr="00504B5E"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i/>
          <w:sz w:val="18"/>
        </w:rPr>
      </w:pPr>
      <w:r w:rsidRPr="00633A71">
        <w:rPr>
          <w:rFonts w:ascii="Arial" w:hAnsi="Arial"/>
          <w:i/>
          <w:sz w:val="18"/>
        </w:rPr>
        <w:t xml:space="preserve">Box </w:t>
      </w:r>
      <w:r w:rsidR="007F1302" w:rsidRPr="00633A71">
        <w:rPr>
          <w:rFonts w:ascii="Arial" w:hAnsi="Arial"/>
          <w:i/>
          <w:sz w:val="18"/>
          <w:szCs w:val="20"/>
        </w:rPr>
        <w:t>6</w:t>
      </w:r>
      <w:r w:rsidRPr="00633A71">
        <w:rPr>
          <w:rFonts w:ascii="Arial" w:hAnsi="Arial"/>
          <w:i/>
          <w:sz w:val="18"/>
          <w:szCs w:val="20"/>
        </w:rPr>
        <w:t>.</w:t>
      </w:r>
      <w:r w:rsidRPr="00633A71">
        <w:rPr>
          <w:rFonts w:ascii="Arial" w:hAnsi="Arial"/>
          <w:i/>
          <w:sz w:val="18"/>
        </w:rPr>
        <w:t xml:space="preserve"> Example of the linkages between procedural and substantive dimensions of safeguards</w:t>
      </w:r>
    </w:p>
    <w:p w14:paraId="513E53E0"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rPr>
      </w:pPr>
      <w:r w:rsidRPr="00504B5E">
        <w:rPr>
          <w:rFonts w:ascii="Arial" w:hAnsi="Arial"/>
          <w:sz w:val="18"/>
        </w:rPr>
        <w:t>Development agencies and research institutes can engage in operationaliz</w:t>
      </w:r>
      <w:r w:rsidRPr="00A3063C">
        <w:rPr>
          <w:rFonts w:ascii="Arial" w:hAnsi="Arial"/>
          <w:sz w:val="18"/>
        </w:rPr>
        <w:t xml:space="preserve">ing substantive (e.g. tenure) and procedural (e.g. participatory) related aspects of safeguards. </w:t>
      </w:r>
      <w:r w:rsidRPr="0038043D">
        <w:rPr>
          <w:rFonts w:ascii="Arial" w:hAnsi="Arial"/>
          <w:sz w:val="18"/>
          <w:szCs w:val="20"/>
        </w:rPr>
        <w:t xml:space="preserve">One example is the Alternatives to Slash and Burn (ASB) program of International Centre for Research in Agroforestry. </w:t>
      </w:r>
      <w:r w:rsidRPr="00632DBC">
        <w:rPr>
          <w:rFonts w:ascii="Arial" w:hAnsi="Arial"/>
          <w:sz w:val="18"/>
        </w:rPr>
        <w:t xml:space="preserve">In Indonesia, the ASB facilitated a tenure reform by investing several years in dialogue and consensus building with NGOs, local government offices, and the </w:t>
      </w:r>
      <w:proofErr w:type="spellStart"/>
      <w:r w:rsidRPr="00632DBC">
        <w:rPr>
          <w:rFonts w:ascii="Arial" w:hAnsi="Arial"/>
          <w:sz w:val="18"/>
        </w:rPr>
        <w:t>Krui</w:t>
      </w:r>
      <w:proofErr w:type="spellEnd"/>
      <w:r w:rsidRPr="00632DBC">
        <w:rPr>
          <w:rFonts w:ascii="Arial" w:hAnsi="Arial"/>
          <w:sz w:val="18"/>
        </w:rPr>
        <w:t xml:space="preserve"> community. Eventually the ASB managed to convince the authorities of the high social benefits from community agroforestry.</w:t>
      </w:r>
      <w:r w:rsidRPr="00633A71">
        <w:rPr>
          <w:rStyle w:val="FootnoteReference"/>
          <w:rFonts w:ascii="Times New Roman" w:hAnsi="Times New Roman"/>
        </w:rPr>
        <w:footnoteReference w:id="60"/>
      </w:r>
    </w:p>
    <w:p w14:paraId="5F249330" w14:textId="0F0B8138" w:rsidR="00810C20" w:rsidRPr="00633A71" w:rsidRDefault="00810C20" w:rsidP="00810C20">
      <w:pPr>
        <w:spacing w:line="240" w:lineRule="auto"/>
        <w:jc w:val="both"/>
        <w:rPr>
          <w:rFonts w:ascii="Times New Roman" w:hAnsi="Times New Roman"/>
        </w:rPr>
      </w:pPr>
      <w:r w:rsidRPr="00633A71">
        <w:rPr>
          <w:rFonts w:ascii="Times New Roman" w:hAnsi="Times New Roman"/>
        </w:rPr>
        <w:t>The international legal framework provides an important point of departure when developing safeguards, and also delineates the “policy space” within which BFM safeguards need to be devised.</w:t>
      </w:r>
      <w:r w:rsidRPr="00633A71">
        <w:rPr>
          <w:rStyle w:val="FootnoteReference"/>
          <w:rFonts w:ascii="Times New Roman" w:hAnsi="Times New Roman"/>
        </w:rPr>
        <w:footnoteReference w:id="61"/>
      </w:r>
      <w:r w:rsidRPr="00633A71">
        <w:rPr>
          <w:rFonts w:ascii="Times New Roman" w:hAnsi="Times New Roman"/>
        </w:rPr>
        <w:t xml:space="preserve"> The discussion of safeguards can build on consensus already reached in CBD negotiation processes as well as legal and policy instruments that are already known to be important in the context of the BFMs such as the United Nations Declaration on the Rights of Indigenous Peoples and international human rights treaties. In the CBD</w:t>
      </w:r>
      <w:r w:rsidRPr="00632DBC">
        <w:rPr>
          <w:rFonts w:ascii="Times New Roman" w:hAnsi="Times New Roman"/>
        </w:rPr>
        <w:t xml:space="preserve">, </w:t>
      </w:r>
      <w:r w:rsidRPr="00633A71">
        <w:rPr>
          <w:rFonts w:ascii="Times New Roman" w:hAnsi="Times New Roman"/>
        </w:rPr>
        <w:t>c</w:t>
      </w:r>
      <w:r w:rsidRPr="00632DBC">
        <w:rPr>
          <w:rFonts w:ascii="Times New Roman" w:hAnsi="Times New Roman"/>
        </w:rPr>
        <w:t>ertain issues relevant for safeguards in BFMs, such as the participation of indigenous peoples and local communities in decision-making, have been discussed under the CBD framework since its drafting in the early 1990s. More recently, equity and participation in decision-making have received much attention in the negotiation of the 2010 Nagoya Protocol.</w:t>
      </w:r>
      <w:r w:rsidRPr="00632DBC">
        <w:rPr>
          <w:rStyle w:val="FootnoteReference"/>
          <w:rFonts w:ascii="Times New Roman" w:hAnsi="Times New Roman"/>
        </w:rPr>
        <w:footnoteReference w:id="62"/>
      </w:r>
      <w:r w:rsidRPr="00632DBC">
        <w:rPr>
          <w:rFonts w:ascii="Times New Roman" w:hAnsi="Times New Roman"/>
        </w:rPr>
        <w:t xml:space="preserve"> In particular,</w:t>
      </w:r>
      <w:r w:rsidRPr="00633A71">
        <w:rPr>
          <w:rFonts w:ascii="Times New Roman" w:hAnsi="Times New Roman"/>
        </w:rPr>
        <w:t xml:space="preserve"> Articles 21 (</w:t>
      </w:r>
      <w:proofErr w:type="spellStart"/>
      <w:r w:rsidRPr="00633A71">
        <w:rPr>
          <w:rFonts w:ascii="Times New Roman" w:hAnsi="Times New Roman"/>
        </w:rPr>
        <w:t>i</w:t>
      </w:r>
      <w:proofErr w:type="spellEnd"/>
      <w:r w:rsidRPr="00633A71">
        <w:rPr>
          <w:rFonts w:ascii="Times New Roman" w:hAnsi="Times New Roman"/>
        </w:rPr>
        <w:t>) and 12.3 of the Nagoya Protocol refer to</w:t>
      </w:r>
      <w:r w:rsidRPr="00632DBC">
        <w:rPr>
          <w:rFonts w:ascii="Times New Roman" w:hAnsi="Times New Roman"/>
        </w:rPr>
        <w:t xml:space="preserve"> community protocols: “Biocultural community protocols </w:t>
      </w:r>
      <w:r w:rsidRPr="00633A71">
        <w:rPr>
          <w:rFonts w:ascii="Times New Roman" w:hAnsi="Times New Roman"/>
        </w:rPr>
        <w:t>provide an opportunity for a particular community to work on Biocultural protocols that are in consonance with their own values and priorities</w:t>
      </w:r>
      <w:r w:rsidR="00F36DF7" w:rsidRPr="00633A71">
        <w:rPr>
          <w:rFonts w:ascii="Times New Roman" w:hAnsi="Times New Roman"/>
        </w:rPr>
        <w:t>”.</w:t>
      </w:r>
      <w:r w:rsidRPr="00633A71">
        <w:rPr>
          <w:rStyle w:val="FootnoteReference"/>
          <w:rFonts w:ascii="Times New Roman" w:hAnsi="Times New Roman"/>
        </w:rPr>
        <w:footnoteReference w:id="63"/>
      </w:r>
      <w:r w:rsidRPr="00633A71">
        <w:rPr>
          <w:rFonts w:ascii="Arial" w:hAnsi="Arial" w:cs="Arial"/>
          <w:sz w:val="24"/>
          <w:szCs w:val="24"/>
        </w:rPr>
        <w:t xml:space="preserve"> </w:t>
      </w:r>
      <w:r w:rsidRPr="00632DBC">
        <w:rPr>
          <w:rFonts w:ascii="Times New Roman" w:hAnsi="Times New Roman"/>
        </w:rPr>
        <w:t>BCPs outline the local procedures and conditions for engaging with other actors such as governmental institutions and conservation agencies on issues related to the community’s biocultural resources.</w:t>
      </w:r>
      <w:r w:rsidRPr="00632DBC">
        <w:rPr>
          <w:rStyle w:val="FootnoteReference"/>
          <w:rFonts w:ascii="Times New Roman" w:hAnsi="Times New Roman"/>
        </w:rPr>
        <w:footnoteReference w:id="64"/>
      </w:r>
      <w:r w:rsidRPr="00632DBC">
        <w:rPr>
          <w:rFonts w:ascii="Times New Roman" w:hAnsi="Times New Roman"/>
        </w:rPr>
        <w:t xml:space="preserve"> Community protocols can be seen as a concept that links international treaties and national laws with the customary norms and priorities of local people.</w:t>
      </w:r>
      <w:r w:rsidRPr="00633A71">
        <w:rPr>
          <w:rFonts w:ascii="Times New Roman" w:hAnsi="Times New Roman"/>
          <w:lang w:eastAsia="en-GB"/>
        </w:rPr>
        <w:t xml:space="preserve"> </w:t>
      </w:r>
    </w:p>
    <w:p w14:paraId="192F8EFA" w14:textId="4C7D7B31" w:rsidR="00810C20" w:rsidRPr="00504B5E" w:rsidRDefault="00810C20" w:rsidP="00810C20">
      <w:pPr>
        <w:spacing w:line="240" w:lineRule="auto"/>
        <w:jc w:val="both"/>
        <w:rPr>
          <w:rFonts w:ascii="Times New Roman" w:hAnsi="Times New Roman"/>
        </w:rPr>
      </w:pPr>
      <w:r w:rsidRPr="00633A71">
        <w:rPr>
          <w:rFonts w:ascii="Times New Roman" w:hAnsi="Times New Roman"/>
          <w:iCs/>
        </w:rPr>
        <w:lastRenderedPageBreak/>
        <w:t xml:space="preserve">Likewise, </w:t>
      </w:r>
      <w:r w:rsidRPr="00633A71">
        <w:rPr>
          <w:rFonts w:ascii="Times New Roman" w:hAnsi="Times New Roman"/>
        </w:rPr>
        <w:t>BFMs can draw lessons from international guidelines and standards by recognising that the latter play a key role in supporting countries in implem</w:t>
      </w:r>
      <w:r w:rsidRPr="00504B5E">
        <w:rPr>
          <w:rFonts w:ascii="Times New Roman" w:hAnsi="Times New Roman"/>
        </w:rPr>
        <w:t>enting safeguards at the national level.</w:t>
      </w:r>
      <w:r w:rsidRPr="00633A71">
        <w:rPr>
          <w:rFonts w:ascii="Times New Roman" w:hAnsi="Times New Roman"/>
          <w:sz w:val="20"/>
          <w:szCs w:val="20"/>
          <w:vertAlign w:val="superscript"/>
        </w:rPr>
        <w:footnoteReference w:id="65"/>
      </w:r>
      <w:r w:rsidRPr="00633A71">
        <w:rPr>
          <w:rFonts w:ascii="Times New Roman" w:hAnsi="Times New Roman"/>
          <w:sz w:val="20"/>
          <w:szCs w:val="20"/>
        </w:rPr>
        <w:t xml:space="preserve"> </w:t>
      </w:r>
      <w:r w:rsidRPr="00633A71">
        <w:rPr>
          <w:rFonts w:ascii="Times New Roman" w:hAnsi="Times New Roman"/>
        </w:rPr>
        <w:t>Standards agreed at the international level, such as the REDD+ Social and Environmental Standards, can serve to inform both the content and implementation of the guidelines for BFMs.</w:t>
      </w:r>
      <w:r w:rsidRPr="00633A71">
        <w:rPr>
          <w:rFonts w:ascii="Times New Roman" w:hAnsi="Times New Roman"/>
          <w:vertAlign w:val="superscript"/>
        </w:rPr>
        <w:footnoteReference w:id="66"/>
      </w:r>
      <w:r w:rsidRPr="00633A71">
        <w:rPr>
          <w:rFonts w:ascii="Times New Roman" w:hAnsi="Times New Roman"/>
        </w:rPr>
        <w:t xml:space="preserve"> Systems with embedded social and environmental standards developed for monitoring, reporting and verification (MRV) together with Safeguards Information Systems (SIS) mentioned earlier in REDD+ projects could be used in addressing biodiversity and social safeguards in addition to assessing carbon emissions reduction.</w:t>
      </w:r>
      <w:r w:rsidRPr="00633A71">
        <w:rPr>
          <w:rStyle w:val="FootnoteReference"/>
          <w:rFonts w:ascii="Times New Roman" w:hAnsi="Times New Roman"/>
        </w:rPr>
        <w:footnoteReference w:id="67"/>
      </w:r>
      <w:r w:rsidRPr="00633A71">
        <w:rPr>
          <w:rFonts w:ascii="Times New Roman" w:hAnsi="Times New Roman"/>
        </w:rPr>
        <w:t xml:space="preserve"> While this would entail significant changes in the planning, management and monitoring of verifiable emission reductions under REDD+, independent (non-governmental) initiatives, such as the CCBA (see Box </w:t>
      </w:r>
      <w:r w:rsidR="00652724" w:rsidRPr="00633A71">
        <w:rPr>
          <w:rFonts w:ascii="Times New Roman" w:hAnsi="Times New Roman"/>
        </w:rPr>
        <w:t>5</w:t>
      </w:r>
      <w:r w:rsidRPr="00633A71">
        <w:rPr>
          <w:rFonts w:ascii="Times New Roman" w:hAnsi="Times New Roman"/>
        </w:rPr>
        <w:t>) and the Plan Vivo system</w:t>
      </w:r>
      <w:r w:rsidRPr="00633A71">
        <w:rPr>
          <w:rFonts w:ascii="Times New Roman" w:hAnsi="Times New Roman"/>
          <w:vertAlign w:val="superscript"/>
        </w:rPr>
        <w:footnoteReference w:id="68"/>
      </w:r>
      <w:r w:rsidRPr="00633A71">
        <w:rPr>
          <w:rFonts w:ascii="Times New Roman" w:hAnsi="Times New Roman"/>
        </w:rPr>
        <w:t xml:space="preserve">, are developing standards with the aim of addressing this challenge. These standards, whether agreed at the international or national levels or bilaterally between contract parties, include safeguards relevant to the CBD’s BFMs. National experiences in applying these existing guidelines for safeguards can be shared under the CBD, aiding the design and implementation of BFM safeguards. Furthermore, although important challenges remain especially in terms of implementation, countries can often count upon relevant substantive and procedural legal provisions in their respective Constitutions as well as secondary legislation </w:t>
      </w:r>
      <w:proofErr w:type="gramStart"/>
      <w:r w:rsidRPr="00633A71">
        <w:rPr>
          <w:rFonts w:ascii="Times New Roman" w:hAnsi="Times New Roman"/>
        </w:rPr>
        <w:t>in order to</w:t>
      </w:r>
      <w:proofErr w:type="gramEnd"/>
      <w:r w:rsidRPr="00633A71">
        <w:rPr>
          <w:rFonts w:ascii="Times New Roman" w:hAnsi="Times New Roman"/>
        </w:rPr>
        <w:t xml:space="preserve"> provide the legal basis for both biodiversity and social safeguards (see Table 3 with a case study of Ecuador).  </w:t>
      </w:r>
    </w:p>
    <w:p w14:paraId="500FE764" w14:textId="04EBF4F3" w:rsidR="007054CF" w:rsidRPr="00632DBC" w:rsidRDefault="00810C20" w:rsidP="007E3D89">
      <w:pPr>
        <w:jc w:val="both"/>
        <w:rPr>
          <w:rFonts w:ascii="Times New Roman" w:hAnsi="Times New Roman"/>
        </w:rPr>
      </w:pPr>
      <w:r w:rsidRPr="00504B5E">
        <w:rPr>
          <w:rFonts w:ascii="Times New Roman" w:hAnsi="Times New Roman"/>
        </w:rPr>
        <w:t>Certain provisions in legal and policy instruments relating to environmental impact assessments (EIA), strategic environmental assessments (</w:t>
      </w:r>
      <w:r w:rsidRPr="00A3063C">
        <w:rPr>
          <w:rFonts w:ascii="Times New Roman" w:hAnsi="Times New Roman"/>
        </w:rPr>
        <w:t xml:space="preserve">SEA) and social impact assessments (SIA) </w:t>
      </w:r>
      <w:proofErr w:type="gramStart"/>
      <w:r w:rsidRPr="00A3063C">
        <w:rPr>
          <w:rFonts w:ascii="Times New Roman" w:hAnsi="Times New Roman"/>
        </w:rPr>
        <w:t>can be seen as</w:t>
      </w:r>
      <w:proofErr w:type="gramEnd"/>
      <w:r w:rsidRPr="00A3063C">
        <w:rPr>
          <w:rFonts w:ascii="Times New Roman" w:hAnsi="Times New Roman"/>
        </w:rPr>
        <w:t xml:space="preserve"> a form of safeguard for some BFMs (see </w:t>
      </w:r>
      <w:r w:rsidR="00F71A2E" w:rsidRPr="0038043D">
        <w:rPr>
          <w:rFonts w:ascii="Times New Roman" w:hAnsi="Times New Roman"/>
        </w:rPr>
        <w:t>s</w:t>
      </w:r>
      <w:r w:rsidR="007E3D89" w:rsidRPr="00632DBC">
        <w:rPr>
          <w:rFonts w:ascii="Times New Roman" w:hAnsi="Times New Roman"/>
        </w:rPr>
        <w:t xml:space="preserve">ection </w:t>
      </w:r>
      <w:r w:rsidR="00D64C02" w:rsidRPr="00632DBC">
        <w:rPr>
          <w:rFonts w:ascii="Times New Roman" w:hAnsi="Times New Roman"/>
        </w:rPr>
        <w:t>7</w:t>
      </w:r>
      <w:r w:rsidRPr="00632DBC">
        <w:rPr>
          <w:rFonts w:ascii="Times New Roman" w:hAnsi="Times New Roman"/>
        </w:rPr>
        <w:t xml:space="preserve">). </w:t>
      </w:r>
    </w:p>
    <w:p w14:paraId="6377A047" w14:textId="2E898399" w:rsidR="00586CA4" w:rsidRPr="00633A71" w:rsidRDefault="007054CF" w:rsidP="007E3D89">
      <w:pPr>
        <w:jc w:val="both"/>
        <w:rPr>
          <w:rFonts w:ascii="Calibri" w:hAnsi="Calibri"/>
        </w:rPr>
      </w:pPr>
      <w:r w:rsidRPr="00632DBC">
        <w:rPr>
          <w:rFonts w:ascii="Times New Roman" w:hAnsi="Times New Roman"/>
        </w:rPr>
        <w:t>The CBD guidelines for safeguards in BFM</w:t>
      </w:r>
      <w:r w:rsidR="00865CC0" w:rsidRPr="00632DBC">
        <w:rPr>
          <w:rFonts w:ascii="Times New Roman" w:hAnsi="Times New Roman"/>
        </w:rPr>
        <w:t>s</w:t>
      </w:r>
      <w:r w:rsidRPr="00632DBC">
        <w:rPr>
          <w:rFonts w:ascii="Times New Roman" w:hAnsi="Times New Roman"/>
        </w:rPr>
        <w:t xml:space="preserve"> address factors and conditions relevant to social-ecological governance</w:t>
      </w:r>
      <w:r w:rsidR="00F7172F" w:rsidRPr="00632DBC">
        <w:rPr>
          <w:rFonts w:ascii="Times New Roman" w:hAnsi="Times New Roman"/>
        </w:rPr>
        <w:t xml:space="preserve"> and hence to guidance under the CBD</w:t>
      </w:r>
      <w:r w:rsidR="00865CC0" w:rsidRPr="00632DBC">
        <w:rPr>
          <w:rFonts w:ascii="Times New Roman" w:hAnsi="Times New Roman"/>
        </w:rPr>
        <w:t>, even if it is adopted after tho</w:t>
      </w:r>
      <w:r w:rsidR="00F7172F" w:rsidRPr="00632DBC">
        <w:rPr>
          <w:rFonts w:ascii="Times New Roman" w:hAnsi="Times New Roman"/>
        </w:rPr>
        <w:t>se CBD guidelines</w:t>
      </w:r>
      <w:r w:rsidRPr="00632DBC">
        <w:rPr>
          <w:rFonts w:ascii="Times New Roman" w:hAnsi="Times New Roman"/>
        </w:rPr>
        <w:t>.</w:t>
      </w:r>
      <w:r w:rsidR="008A44CC" w:rsidRPr="00632DBC">
        <w:rPr>
          <w:rStyle w:val="FootnoteReference"/>
          <w:rFonts w:ascii="Times New Roman" w:hAnsi="Times New Roman"/>
        </w:rPr>
        <w:footnoteReference w:id="69"/>
      </w:r>
      <w:r w:rsidRPr="00632DBC">
        <w:rPr>
          <w:rFonts w:ascii="Times New Roman" w:hAnsi="Times New Roman"/>
        </w:rPr>
        <w:t xml:space="preserve"> </w:t>
      </w:r>
      <w:r w:rsidR="000639BA">
        <w:rPr>
          <w:rFonts w:ascii="Times New Roman" w:hAnsi="Times New Roman"/>
        </w:rPr>
        <w:t xml:space="preserve">The operationalization of the </w:t>
      </w:r>
      <w:r w:rsidR="00F7172F" w:rsidRPr="00632DBC">
        <w:rPr>
          <w:rFonts w:ascii="Times New Roman" w:hAnsi="Times New Roman"/>
        </w:rPr>
        <w:t xml:space="preserve">CBD </w:t>
      </w:r>
      <w:r w:rsidR="00A06283" w:rsidRPr="00632DBC">
        <w:rPr>
          <w:rFonts w:ascii="Times New Roman" w:hAnsi="Times New Roman"/>
        </w:rPr>
        <w:t>guidelines can</w:t>
      </w:r>
      <w:r w:rsidR="000639BA">
        <w:rPr>
          <w:rFonts w:ascii="Times New Roman" w:hAnsi="Times New Roman"/>
        </w:rPr>
        <w:t xml:space="preserve"> contribute </w:t>
      </w:r>
      <w:r w:rsidRPr="00632DBC">
        <w:rPr>
          <w:rFonts w:ascii="Times New Roman" w:hAnsi="Times New Roman"/>
        </w:rPr>
        <w:t>to sustainability</w:t>
      </w:r>
      <w:r w:rsidR="000639BA">
        <w:rPr>
          <w:rFonts w:ascii="Times New Roman" w:hAnsi="Times New Roman"/>
        </w:rPr>
        <w:t xml:space="preserve"> and justice</w:t>
      </w:r>
      <w:r w:rsidRPr="00632DBC">
        <w:rPr>
          <w:rFonts w:ascii="Times New Roman" w:hAnsi="Times New Roman"/>
        </w:rPr>
        <w:t xml:space="preserve"> in protected areas but also in the case of </w:t>
      </w:r>
      <w:r w:rsidRPr="00632DBC">
        <w:rPr>
          <w:rFonts w:ascii="Times New Roman" w:hAnsi="Times New Roman"/>
          <w:b/>
        </w:rPr>
        <w:t>Other Effective Area-based Conservation Measures</w:t>
      </w:r>
      <w:r w:rsidRPr="00632DBC">
        <w:rPr>
          <w:rFonts w:ascii="Times New Roman" w:hAnsi="Times New Roman"/>
          <w:i/>
        </w:rPr>
        <w:t xml:space="preserve"> </w:t>
      </w:r>
      <w:r w:rsidRPr="00632DBC">
        <w:rPr>
          <w:rFonts w:ascii="Times New Roman" w:hAnsi="Times New Roman"/>
        </w:rPr>
        <w:t>(OECM)</w:t>
      </w:r>
      <w:r w:rsidR="00BD0B6E" w:rsidRPr="00632DBC">
        <w:rPr>
          <w:rStyle w:val="FootnoteReference"/>
          <w:rFonts w:ascii="Times New Roman" w:hAnsi="Times New Roman"/>
        </w:rPr>
        <w:footnoteReference w:id="70"/>
      </w:r>
      <w:r w:rsidR="00D64C02" w:rsidRPr="00633A71">
        <w:rPr>
          <w:rFonts w:ascii="Times New Roman" w:hAnsi="Times New Roman"/>
        </w:rPr>
        <w:t xml:space="preserve"> (</w:t>
      </w:r>
      <w:r w:rsidR="00865CC0" w:rsidRPr="00633A71">
        <w:rPr>
          <w:rFonts w:ascii="Times New Roman" w:hAnsi="Times New Roman"/>
        </w:rPr>
        <w:t xml:space="preserve">see </w:t>
      </w:r>
      <w:r w:rsidR="00D64C02" w:rsidRPr="00633A71">
        <w:rPr>
          <w:rFonts w:ascii="Times New Roman" w:hAnsi="Times New Roman"/>
        </w:rPr>
        <w:t>Box 7).</w:t>
      </w:r>
      <w:r w:rsidR="00BD0B6E" w:rsidRPr="00633A71">
        <w:rPr>
          <w:rFonts w:ascii="Calibri" w:hAnsi="Calibri"/>
        </w:rPr>
        <w:t xml:space="preserve"> </w:t>
      </w:r>
    </w:p>
    <w:p w14:paraId="6A83DB17" w14:textId="2B0103A1" w:rsidR="00825955" w:rsidRPr="00632DBC" w:rsidRDefault="00825955" w:rsidP="000A675C">
      <w:pPr>
        <w:spacing w:line="240" w:lineRule="auto"/>
        <w:jc w:val="both"/>
      </w:pPr>
      <w:bookmarkStart w:id="42" w:name="_Toc336533203"/>
      <w:bookmarkStart w:id="43" w:name="_Toc336552530"/>
      <w:bookmarkStart w:id="44" w:name="_Toc336968692"/>
      <w:bookmarkStart w:id="45" w:name="_Toc337217549"/>
      <w:bookmarkStart w:id="46" w:name="_Toc337217930"/>
      <w:bookmarkStart w:id="47" w:name="_Toc342296083"/>
      <w:bookmarkStart w:id="48" w:name="_Toc263943512"/>
      <w:bookmarkStart w:id="49" w:name="_Toc382590305"/>
    </w:p>
    <w:tbl>
      <w:tblPr>
        <w:tblStyle w:val="TableGrid"/>
        <w:tblW w:w="0" w:type="auto"/>
        <w:tblLook w:val="04A0" w:firstRow="1" w:lastRow="0" w:firstColumn="1" w:lastColumn="0" w:noHBand="0" w:noVBand="1"/>
      </w:tblPr>
      <w:tblGrid>
        <w:gridCol w:w="9016"/>
      </w:tblGrid>
      <w:tr w:rsidR="007054CF" w:rsidRPr="00632DBC" w14:paraId="5935ED30" w14:textId="77777777" w:rsidTr="006D47F9">
        <w:trPr>
          <w:trHeight w:val="699"/>
        </w:trPr>
        <w:tc>
          <w:tcPr>
            <w:tcW w:w="9016" w:type="dxa"/>
          </w:tcPr>
          <w:p w14:paraId="43D65A75" w14:textId="570CAD96" w:rsidR="00BD0B6E" w:rsidRPr="00632DBC" w:rsidRDefault="00BD0B6E" w:rsidP="00BD0B6E">
            <w:pPr>
              <w:pStyle w:val="Arial"/>
              <w:rPr>
                <w:rFonts w:ascii="Arial" w:hAnsi="Arial" w:cs="Arial"/>
                <w:color w:val="auto"/>
                <w:sz w:val="18"/>
                <w:szCs w:val="18"/>
              </w:rPr>
            </w:pPr>
            <w:r w:rsidRPr="00632DBC">
              <w:rPr>
                <w:rFonts w:ascii="Arial" w:hAnsi="Arial" w:cs="Arial"/>
                <w:color w:val="auto"/>
                <w:sz w:val="18"/>
                <w:szCs w:val="18"/>
              </w:rPr>
              <w:lastRenderedPageBreak/>
              <w:t xml:space="preserve">Box </w:t>
            </w:r>
            <w:r w:rsidR="00D64C02" w:rsidRPr="00632DBC">
              <w:rPr>
                <w:rFonts w:ascii="Arial" w:hAnsi="Arial" w:cs="Arial"/>
                <w:color w:val="auto"/>
                <w:sz w:val="18"/>
                <w:szCs w:val="18"/>
              </w:rPr>
              <w:t>7</w:t>
            </w:r>
            <w:r w:rsidRPr="00632DBC">
              <w:rPr>
                <w:rFonts w:ascii="Arial" w:hAnsi="Arial" w:cs="Arial"/>
                <w:color w:val="auto"/>
                <w:sz w:val="18"/>
                <w:szCs w:val="18"/>
              </w:rPr>
              <w:t xml:space="preserve"> Safeguards and Other Effective Area-based Conservation Measures, Harry Jonas, Future Law</w:t>
            </w:r>
          </w:p>
          <w:p w14:paraId="1BD97E91" w14:textId="1F48631A" w:rsidR="00F71A2E" w:rsidRPr="00632DBC" w:rsidRDefault="00E334C8" w:rsidP="00BD0B6E">
            <w:pPr>
              <w:pStyle w:val="Arial"/>
              <w:rPr>
                <w:rFonts w:ascii="Arial" w:hAnsi="Arial" w:cs="Arial"/>
                <w:color w:val="auto"/>
                <w:sz w:val="18"/>
                <w:szCs w:val="18"/>
              </w:rPr>
            </w:pPr>
            <w:r w:rsidRPr="00632DBC">
              <w:rPr>
                <w:rFonts w:ascii="Arial" w:hAnsi="Arial" w:cs="Arial"/>
                <w:color w:val="auto"/>
                <w:sz w:val="18"/>
                <w:szCs w:val="18"/>
              </w:rPr>
              <w:t>Currently,</w:t>
            </w:r>
            <w:r w:rsidR="00011020" w:rsidRPr="00632DBC">
              <w:rPr>
                <w:rFonts w:ascii="Arial" w:hAnsi="Arial" w:cs="Arial"/>
                <w:color w:val="auto"/>
                <w:sz w:val="18"/>
                <w:szCs w:val="18"/>
              </w:rPr>
              <w:t xml:space="preserve"> </w:t>
            </w:r>
            <w:r w:rsidR="005D04D9" w:rsidRPr="00632DBC">
              <w:rPr>
                <w:rFonts w:ascii="Arial" w:hAnsi="Arial" w:cs="Arial"/>
                <w:color w:val="auto"/>
                <w:sz w:val="18"/>
                <w:szCs w:val="18"/>
              </w:rPr>
              <w:t xml:space="preserve">an </w:t>
            </w:r>
            <w:r w:rsidR="00011020" w:rsidRPr="00632DBC">
              <w:rPr>
                <w:rFonts w:ascii="Arial" w:hAnsi="Arial" w:cs="Arial"/>
                <w:b/>
                <w:color w:val="auto"/>
                <w:sz w:val="18"/>
                <w:szCs w:val="18"/>
              </w:rPr>
              <w:t>“other e</w:t>
            </w:r>
            <w:r w:rsidR="00F71A2E" w:rsidRPr="00632DBC">
              <w:rPr>
                <w:rFonts w:ascii="Arial" w:hAnsi="Arial" w:cs="Arial"/>
                <w:b/>
                <w:color w:val="auto"/>
                <w:sz w:val="18"/>
                <w:szCs w:val="18"/>
              </w:rPr>
              <w:t>ffective area-based conservation measure</w:t>
            </w:r>
            <w:r w:rsidR="00011020" w:rsidRPr="00632DBC">
              <w:rPr>
                <w:rFonts w:ascii="Arial" w:hAnsi="Arial" w:cs="Arial"/>
                <w:b/>
                <w:color w:val="auto"/>
                <w:sz w:val="18"/>
                <w:szCs w:val="18"/>
              </w:rPr>
              <w:t>’</w:t>
            </w:r>
            <w:r w:rsidR="00F71A2E" w:rsidRPr="00632DBC">
              <w:rPr>
                <w:rFonts w:ascii="Arial" w:hAnsi="Arial" w:cs="Arial"/>
                <w:i/>
                <w:color w:val="auto"/>
                <w:sz w:val="18"/>
                <w:szCs w:val="18"/>
              </w:rPr>
              <w:t xml:space="preserve"> </w:t>
            </w:r>
            <w:r w:rsidR="00F71A2E" w:rsidRPr="00632DBC">
              <w:rPr>
                <w:rFonts w:ascii="Arial" w:hAnsi="Arial" w:cs="Arial"/>
                <w:color w:val="auto"/>
                <w:sz w:val="18"/>
                <w:szCs w:val="18"/>
              </w:rPr>
              <w:t xml:space="preserve">(OECM/conserved area) is defined as </w:t>
            </w:r>
            <w:r w:rsidR="00F71A2E" w:rsidRPr="00632DBC">
              <w:rPr>
                <w:rFonts w:ascii="Arial" w:hAnsi="Arial"/>
                <w:color w:val="auto"/>
                <w:sz w:val="18"/>
              </w:rPr>
              <w:t>“</w:t>
            </w:r>
            <w:r w:rsidR="00F71A2E" w:rsidRPr="00632DBC">
              <w:rPr>
                <w:rFonts w:ascii="Arial" w:hAnsi="Arial"/>
                <w:i/>
                <w:color w:val="auto"/>
                <w:sz w:val="18"/>
              </w:rPr>
              <w:t>A geographically defined area other than a Protected Area, which is governed and managed in ways that achieve positive and sustained long-term outcomes for the in situ conservation of biodiversity, with associated ecosystem functions and services and where applicable, cultural, spiritual, socio–economic, and other locally relevant values</w:t>
            </w:r>
            <w:r w:rsidR="00F71A2E" w:rsidRPr="00632DBC">
              <w:rPr>
                <w:rFonts w:ascii="Arial" w:hAnsi="Arial"/>
                <w:color w:val="auto"/>
                <w:sz w:val="18"/>
              </w:rPr>
              <w:t>”.</w:t>
            </w:r>
            <w:r w:rsidR="00BB5DE9" w:rsidRPr="00632DBC">
              <w:rPr>
                <w:rStyle w:val="FootnoteReference"/>
                <w:rFonts w:ascii="Arial" w:hAnsi="Arial"/>
                <w:color w:val="auto"/>
                <w:sz w:val="18"/>
              </w:rPr>
              <w:footnoteReference w:id="71"/>
            </w:r>
            <w:r w:rsidR="00F71A2E" w:rsidRPr="00632DBC">
              <w:rPr>
                <w:rFonts w:ascii="Arial" w:hAnsi="Arial"/>
                <w:color w:val="auto"/>
                <w:sz w:val="18"/>
              </w:rPr>
              <w:t xml:space="preserve"> </w:t>
            </w:r>
            <w:r w:rsidR="00F71A2E" w:rsidRPr="00632DBC">
              <w:rPr>
                <w:rFonts w:ascii="Arial" w:hAnsi="Arial" w:cs="Arial"/>
                <w:color w:val="auto"/>
                <w:sz w:val="18"/>
                <w:szCs w:val="18"/>
              </w:rPr>
              <w:t>In other words, OECMs are generally areas that are not managed to conserve biodiversity but achieve it either because there is active conservation of the area’s ecological functions (‘secondary conservation’) or because biodiversity thrives despite a lack of focus on the area’s ecological integrity (‘ancillary conservation’). Some areas of primary conservation might also be OECMs if the governance authority prefers to be recognised as an OECM instead of a protected area (</w:t>
            </w:r>
            <w:r w:rsidR="00546101" w:rsidRPr="00632DBC">
              <w:rPr>
                <w:rFonts w:ascii="Arial" w:hAnsi="Arial" w:cs="Arial"/>
                <w:color w:val="auto"/>
                <w:sz w:val="18"/>
                <w:szCs w:val="18"/>
              </w:rPr>
              <w:t>IUCN-</w:t>
            </w:r>
            <w:r w:rsidR="00F71A2E" w:rsidRPr="00632DBC">
              <w:rPr>
                <w:rFonts w:ascii="Arial" w:hAnsi="Arial" w:cs="Arial"/>
                <w:color w:val="auto"/>
                <w:sz w:val="18"/>
                <w:szCs w:val="18"/>
              </w:rPr>
              <w:t>WCPA, 2018).</w:t>
            </w:r>
            <w:r w:rsidR="00546101" w:rsidRPr="00632DBC">
              <w:rPr>
                <w:rStyle w:val="FootnoteReference"/>
                <w:rFonts w:ascii="Arial" w:hAnsi="Arial" w:cs="Arial"/>
                <w:color w:val="auto"/>
                <w:sz w:val="18"/>
                <w:szCs w:val="18"/>
              </w:rPr>
              <w:footnoteReference w:id="72"/>
            </w:r>
            <w:r w:rsidR="00F71A2E" w:rsidRPr="00632DBC">
              <w:rPr>
                <w:rFonts w:ascii="Arial" w:hAnsi="Arial" w:cs="Arial"/>
                <w:color w:val="auto"/>
                <w:sz w:val="18"/>
                <w:szCs w:val="18"/>
              </w:rPr>
              <w:t xml:space="preserve"> Government agencies, private entities and/or Indigenous peoples and local communities can govern OECMs.</w:t>
            </w:r>
          </w:p>
          <w:p w14:paraId="7263E6C5" w14:textId="5C5BD14B" w:rsidR="00B836C7" w:rsidRPr="00632DBC" w:rsidRDefault="00F71A2E" w:rsidP="000B5F1D">
            <w:pPr>
              <w:pStyle w:val="Arial"/>
              <w:rPr>
                <w:rFonts w:ascii="Arial" w:hAnsi="Arial" w:cs="Arial"/>
                <w:color w:val="auto"/>
                <w:sz w:val="18"/>
                <w:szCs w:val="18"/>
              </w:rPr>
            </w:pPr>
            <w:r w:rsidRPr="00632DBC">
              <w:rPr>
                <w:rFonts w:ascii="Arial" w:hAnsi="Arial" w:cs="Arial"/>
                <w:color w:val="auto"/>
                <w:sz w:val="18"/>
                <w:szCs w:val="18"/>
              </w:rPr>
              <w:t>Once the relevant C</w:t>
            </w:r>
            <w:r w:rsidR="000B5F1D" w:rsidRPr="00632DBC">
              <w:rPr>
                <w:rFonts w:ascii="Arial" w:hAnsi="Arial" w:cs="Arial"/>
                <w:color w:val="auto"/>
                <w:sz w:val="18"/>
                <w:szCs w:val="18"/>
              </w:rPr>
              <w:t xml:space="preserve">onvention in </w:t>
            </w:r>
            <w:r w:rsidRPr="00632DBC">
              <w:rPr>
                <w:rFonts w:ascii="Arial" w:hAnsi="Arial" w:cs="Arial"/>
                <w:color w:val="auto"/>
                <w:sz w:val="18"/>
                <w:szCs w:val="18"/>
              </w:rPr>
              <w:t>B</w:t>
            </w:r>
            <w:r w:rsidR="000B5F1D" w:rsidRPr="00632DBC">
              <w:rPr>
                <w:rFonts w:ascii="Arial" w:hAnsi="Arial" w:cs="Arial"/>
                <w:color w:val="auto"/>
                <w:sz w:val="18"/>
                <w:szCs w:val="18"/>
              </w:rPr>
              <w:t xml:space="preserve">iological </w:t>
            </w:r>
            <w:r w:rsidRPr="00632DBC">
              <w:rPr>
                <w:rFonts w:ascii="Arial" w:hAnsi="Arial" w:cs="Arial"/>
                <w:color w:val="auto"/>
                <w:sz w:val="18"/>
                <w:szCs w:val="18"/>
              </w:rPr>
              <w:t>D</w:t>
            </w:r>
            <w:r w:rsidR="000B5F1D" w:rsidRPr="00632DBC">
              <w:rPr>
                <w:rFonts w:ascii="Arial" w:hAnsi="Arial" w:cs="Arial"/>
                <w:color w:val="auto"/>
                <w:sz w:val="18"/>
                <w:szCs w:val="18"/>
              </w:rPr>
              <w:t xml:space="preserve">iversity (CBD) decision is adopted at COP 14 </w:t>
            </w:r>
            <w:r w:rsidRPr="00632DBC">
              <w:rPr>
                <w:rFonts w:ascii="Arial" w:hAnsi="Arial" w:cs="Arial"/>
                <w:color w:val="auto"/>
                <w:sz w:val="18"/>
                <w:szCs w:val="18"/>
              </w:rPr>
              <w:t>and the potential positive conservation outcomes of OECMs</w:t>
            </w:r>
            <w:r w:rsidR="000B5F1D" w:rsidRPr="00632DBC">
              <w:rPr>
                <w:rFonts w:ascii="Arial" w:hAnsi="Arial" w:cs="Arial"/>
                <w:color w:val="auto"/>
                <w:sz w:val="18"/>
                <w:szCs w:val="18"/>
              </w:rPr>
              <w:t xml:space="preserve"> realised</w:t>
            </w:r>
            <w:r w:rsidRPr="00632DBC">
              <w:rPr>
                <w:rFonts w:ascii="Arial" w:hAnsi="Arial" w:cs="Arial"/>
                <w:color w:val="auto"/>
                <w:sz w:val="18"/>
                <w:szCs w:val="18"/>
              </w:rPr>
              <w:t>, biodiversity-financing mechanisms will likely be called upon to support conservation initiatives outside protected areas. Without adequate safeguards, the governance authorities of territories and areas conserved by Indigenous peoples and local communities (ICCAs) that are recognised as OECMs</w:t>
            </w:r>
            <w:r w:rsidR="00B836C7" w:rsidRPr="00632DBC">
              <w:rPr>
                <w:rFonts w:ascii="Arial" w:hAnsi="Arial" w:cs="Arial"/>
                <w:color w:val="auto"/>
                <w:sz w:val="18"/>
                <w:szCs w:val="18"/>
              </w:rPr>
              <w:t>,</w:t>
            </w:r>
            <w:r w:rsidRPr="00632DBC">
              <w:rPr>
                <w:rFonts w:ascii="Arial" w:hAnsi="Arial" w:cs="Arial"/>
                <w:color w:val="auto"/>
                <w:sz w:val="18"/>
                <w:szCs w:val="18"/>
              </w:rPr>
              <w:t xml:space="preserve"> may at best be disi</w:t>
            </w:r>
            <w:r w:rsidR="00B836C7" w:rsidRPr="00632DBC">
              <w:rPr>
                <w:rFonts w:ascii="Arial" w:hAnsi="Arial" w:cs="Arial"/>
                <w:color w:val="auto"/>
                <w:sz w:val="18"/>
                <w:szCs w:val="18"/>
              </w:rPr>
              <w:t xml:space="preserve">nterested in engaging with BFM or </w:t>
            </w:r>
            <w:r w:rsidRPr="00632DBC">
              <w:rPr>
                <w:rFonts w:ascii="Arial" w:hAnsi="Arial" w:cs="Arial"/>
                <w:color w:val="auto"/>
                <w:sz w:val="18"/>
                <w:szCs w:val="18"/>
              </w:rPr>
              <w:t xml:space="preserve">at worst, OECMs may be used - whether inadvertently or not - to further undermine the social-ecological integrity of ICCAs. </w:t>
            </w:r>
          </w:p>
          <w:p w14:paraId="7A927A5A" w14:textId="77777777" w:rsidR="006F6CD6" w:rsidRPr="004513CA" w:rsidRDefault="006F6CD6" w:rsidP="006F6CD6">
            <w:pPr>
              <w:rPr>
                <w:lang w:val="en-US"/>
              </w:rPr>
            </w:pPr>
            <w:r w:rsidRPr="006F6CD6">
              <w:rPr>
                <w:rFonts w:ascii="Arial" w:hAnsi="Arial" w:cs="Arial"/>
                <w:sz w:val="18"/>
                <w:szCs w:val="18"/>
              </w:rPr>
              <w:t>With the correct support, including incentives provided by BFMs with adequate safeguards in place, OECMs may achieve some of the wider aims suggested by the IUCN Task Force on OECMs such as: increasing the potential to engage and support a range of new partners in global conservation efforts, incentivizing the recognition or application of robust conservation and management measures to areas of biodiversity significance, and contributing to improved management and restoration of areas that could usefully contribute to long-term in situ conservation of biodiversity (IUCN-WCPA, 2018).</w:t>
            </w:r>
            <w:r w:rsidRPr="00632DBC">
              <w:rPr>
                <w:rStyle w:val="FootnoteReference"/>
                <w:rFonts w:ascii="Arial" w:hAnsi="Arial" w:cs="Arial"/>
                <w:sz w:val="18"/>
                <w:szCs w:val="18"/>
              </w:rPr>
              <w:footnoteReference w:id="73"/>
            </w:r>
          </w:p>
          <w:p w14:paraId="4D6C9250" w14:textId="2C2E7DE3" w:rsidR="007054CF" w:rsidRPr="006F6CD6" w:rsidRDefault="007054CF" w:rsidP="001D18BD">
            <w:pPr>
              <w:pStyle w:val="Arial"/>
              <w:keepNext/>
              <w:spacing w:before="320"/>
              <w:outlineLvl w:val="2"/>
              <w:rPr>
                <w:rFonts w:ascii="Arial" w:hAnsi="Arial"/>
                <w:color w:val="auto"/>
                <w:sz w:val="18"/>
                <w:lang w:val="en-US"/>
              </w:rPr>
            </w:pPr>
          </w:p>
        </w:tc>
      </w:tr>
    </w:tbl>
    <w:p w14:paraId="4A43548F" w14:textId="77777777" w:rsidR="00F7172F" w:rsidRPr="00632DBC" w:rsidRDefault="00F7172F" w:rsidP="00377B50">
      <w:pPr>
        <w:spacing w:line="240" w:lineRule="auto"/>
        <w:jc w:val="both"/>
        <w:rPr>
          <w:rFonts w:ascii="Times New Roman" w:hAnsi="Times New Roman"/>
        </w:rPr>
      </w:pPr>
    </w:p>
    <w:p w14:paraId="453D5C56" w14:textId="4A3A565A" w:rsidR="00810C20" w:rsidRPr="00632DBC" w:rsidRDefault="003A65CE" w:rsidP="003966BA">
      <w:pPr>
        <w:pStyle w:val="Heading2"/>
        <w:numPr>
          <w:ilvl w:val="0"/>
          <w:numId w:val="5"/>
        </w:numPr>
        <w:ind w:left="714" w:hanging="357"/>
        <w:rPr>
          <w:lang w:val="en-GB"/>
        </w:rPr>
      </w:pPr>
      <w:bookmarkStart w:id="50" w:name="_Toc529199430"/>
      <w:r w:rsidRPr="00632DBC">
        <w:rPr>
          <w:lang w:val="en-GB"/>
        </w:rPr>
        <w:t>Adopted</w:t>
      </w:r>
      <w:r w:rsidR="00810C20" w:rsidRPr="00632DBC">
        <w:rPr>
          <w:lang w:val="en-GB"/>
        </w:rPr>
        <w:t xml:space="preserve"> voluntary guidelines for safeguards in BFMs</w:t>
      </w:r>
      <w:bookmarkEnd w:id="42"/>
      <w:bookmarkEnd w:id="43"/>
      <w:bookmarkEnd w:id="44"/>
      <w:bookmarkEnd w:id="45"/>
      <w:bookmarkEnd w:id="46"/>
      <w:bookmarkEnd w:id="47"/>
      <w:bookmarkEnd w:id="48"/>
      <w:bookmarkEnd w:id="49"/>
      <w:bookmarkEnd w:id="50"/>
    </w:p>
    <w:p w14:paraId="5E0C2BC7" w14:textId="7CCE256C" w:rsidR="00810C20" w:rsidRPr="00632DBC" w:rsidRDefault="00810C20" w:rsidP="00810C20">
      <w:pPr>
        <w:spacing w:line="240" w:lineRule="auto"/>
        <w:jc w:val="both"/>
        <w:rPr>
          <w:rFonts w:ascii="Times New Roman" w:hAnsi="Times New Roman"/>
        </w:rPr>
      </w:pPr>
      <w:r w:rsidRPr="00632DBC">
        <w:rPr>
          <w:rFonts w:ascii="Times New Roman" w:hAnsi="Times New Roman"/>
        </w:rPr>
        <w:t xml:space="preserve">In this section, we describe examples of elements that would need safeguarding in scaling-up biodiversity financing, as well as some possible guidelines for safeguards in BFMs. </w:t>
      </w:r>
      <w:r w:rsidR="008B430B" w:rsidRPr="00632DBC">
        <w:rPr>
          <w:rFonts w:ascii="Times New Roman" w:hAnsi="Times New Roman"/>
        </w:rPr>
        <w:t>Guidelines can</w:t>
      </w:r>
      <w:r w:rsidRPr="00632DBC">
        <w:rPr>
          <w:rFonts w:ascii="Times New Roman" w:hAnsi="Times New Roman"/>
        </w:rPr>
        <w:t xml:space="preserve"> serve as concrete tools to foster biodiversity equitable governance. They can also provide a shared and understandable language, which is key to building trust and consensus during the negotiation and implementation of BFMs and achieving the CBD’s objectives while also building on lessons learned from risks, benefits and safeguards from country-specific financing mechanisms (see Box 7). Because of the voluntary nature of the </w:t>
      </w:r>
      <w:r w:rsidR="004546E2" w:rsidRPr="00632DBC">
        <w:rPr>
          <w:rFonts w:ascii="Times New Roman" w:hAnsi="Times New Roman"/>
        </w:rPr>
        <w:t>adopted guidelines</w:t>
      </w:r>
      <w:r w:rsidRPr="00632DBC">
        <w:rPr>
          <w:rFonts w:ascii="Times New Roman" w:hAnsi="Times New Roman"/>
        </w:rPr>
        <w:t>, they could be more readily expanded through the Convention on Biological Diversity's processes as we learn more about lessons learned by Parties and other stakeholders’ experiences. The possible guidelines described in this section build on international, national legal and policy instruments and standards as well as customary norms and principles. Table 1 below outlines non-exhaustive international legal instruments that inform the guiding principles.</w:t>
      </w:r>
    </w:p>
    <w:p w14:paraId="13F857A6" w14:textId="5A5DB92E" w:rsidR="00810C20" w:rsidRPr="00632DBC" w:rsidRDefault="00810C20" w:rsidP="00810C20">
      <w:pPr>
        <w:keepNext/>
        <w:keepLines/>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i/>
          <w:sz w:val="18"/>
        </w:rPr>
      </w:pPr>
      <w:r w:rsidRPr="00632DBC">
        <w:rPr>
          <w:rFonts w:ascii="Arial" w:hAnsi="Arial"/>
          <w:i/>
          <w:sz w:val="18"/>
        </w:rPr>
        <w:lastRenderedPageBreak/>
        <w:t xml:space="preserve">Box </w:t>
      </w:r>
      <w:r w:rsidR="00D64C02" w:rsidRPr="00632DBC">
        <w:rPr>
          <w:rFonts w:ascii="Arial" w:hAnsi="Arial"/>
          <w:i/>
          <w:sz w:val="18"/>
        </w:rPr>
        <w:t>8</w:t>
      </w:r>
      <w:r w:rsidRPr="00632DBC">
        <w:rPr>
          <w:rFonts w:ascii="Arial" w:hAnsi="Arial"/>
          <w:i/>
          <w:sz w:val="18"/>
        </w:rPr>
        <w:t xml:space="preserve">. Quito II – highlights from discussion of Working Group session II on Governance, safeguards and equity. </w:t>
      </w:r>
    </w:p>
    <w:p w14:paraId="3947336D" w14:textId="77777777" w:rsidR="00810C20" w:rsidRPr="00632DBC" w:rsidRDefault="00810C20" w:rsidP="00810C20">
      <w:pPr>
        <w:keepNext/>
        <w:keepLines/>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rPr>
      </w:pPr>
      <w:r w:rsidRPr="00632DBC">
        <w:rPr>
          <w:rFonts w:ascii="Arial" w:hAnsi="Arial"/>
          <w:sz w:val="18"/>
        </w:rPr>
        <w:t xml:space="preserve">“A richness of perspectives and constructive proposals were provided in the working group on guiding principles and safeguards for biodiversity financing mechanisms for contributions to equitable biodiversity governance. Participants highlighted the importance of considering both social and biodiversity safeguards as well as the specificities of these two types of safeguards. Likewise, participants talked about the relationships and characteristics of guiding principles and safeguards which would be suitable for the process of resource mobilisation for biodiversity under the CBD. Participants noted the importance of taking into consideration national and local specificities and expressed that instead of trying to agree on compulsory safeguards for biodiversity financing, international guiding principles of a voluntary nature that would </w:t>
      </w:r>
      <w:proofErr w:type="gramStart"/>
      <w:r w:rsidRPr="00632DBC">
        <w:rPr>
          <w:rFonts w:ascii="Arial" w:hAnsi="Arial"/>
          <w:sz w:val="18"/>
        </w:rPr>
        <w:t>take into account</w:t>
      </w:r>
      <w:proofErr w:type="gramEnd"/>
      <w:r w:rsidRPr="00632DBC">
        <w:rPr>
          <w:rFonts w:ascii="Arial" w:hAnsi="Arial"/>
          <w:sz w:val="18"/>
        </w:rPr>
        <w:t xml:space="preserve"> existing international laws and policies would be a better alternative. In this context, countries could then decide the best way to operationalise guiding principles considering both legal approaches and other strategies including those of a political nature. There was no consensus though on the legal nature that national safeguards should have: some considered that compulsory legislation was needed </w:t>
      </w:r>
      <w:proofErr w:type="gramStart"/>
      <w:r w:rsidRPr="00632DBC">
        <w:rPr>
          <w:rFonts w:ascii="Arial" w:hAnsi="Arial"/>
          <w:sz w:val="18"/>
        </w:rPr>
        <w:t>in order to</w:t>
      </w:r>
      <w:proofErr w:type="gramEnd"/>
      <w:r w:rsidRPr="00632DBC">
        <w:rPr>
          <w:rFonts w:ascii="Arial" w:hAnsi="Arial"/>
          <w:sz w:val="18"/>
        </w:rPr>
        <w:t xml:space="preserve"> ensure that risks associated with mechanisms for biodiversity financing are effectively addressed and go beyond good intentions, while others considered that compulsory safeguards was not the best way forward. The possibilities and limitations of safeguards were also addressed. On the one hand, safeguards </w:t>
      </w:r>
      <w:proofErr w:type="gramStart"/>
      <w:r w:rsidRPr="00632DBC">
        <w:rPr>
          <w:rFonts w:ascii="Arial" w:hAnsi="Arial"/>
          <w:sz w:val="18"/>
        </w:rPr>
        <w:t>were seen as</w:t>
      </w:r>
      <w:proofErr w:type="gramEnd"/>
      <w:r w:rsidRPr="00632DBC">
        <w:rPr>
          <w:rFonts w:ascii="Arial" w:hAnsi="Arial"/>
          <w:sz w:val="18"/>
        </w:rPr>
        <w:t xml:space="preserve"> useful established tools for operationalising risk reduction and “doing no harm” in the process of resource mobilisation for biodiversity. On the other hand, participants also noted that in certain political contexts, other strategies than safeguards and a focus on risks would be more suitable for convincing people, especially politicians, about the importance of considering both environmental and livelihoods aspects in scaling-up biodiversity financing. </w:t>
      </w:r>
    </w:p>
    <w:p w14:paraId="7B8CB84E" w14:textId="77777777" w:rsidR="00810C20" w:rsidRPr="00633A71" w:rsidRDefault="00810C20" w:rsidP="00810C20">
      <w:pPr>
        <w:keepNext/>
        <w:keepLines/>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rPr>
      </w:pPr>
      <w:r w:rsidRPr="00632DBC">
        <w:rPr>
          <w:rFonts w:ascii="Arial" w:hAnsi="Arial"/>
          <w:sz w:val="18"/>
        </w:rPr>
        <w:t xml:space="preserve">Different opinions were expressed regarding the relationships of safeguards to social equity. Certain challenges associated with equity were identified including the complexity of social situations, the difficulty to measure equity and fairness dimensions and its relativistic nature. In turn, it was also noted that precisely recognising such complexities is what made it even more important to consider equity and fairness in the process of resource mobilisation: from choosing the adequate mechanisms for </w:t>
      </w:r>
      <w:proofErr w:type="gramStart"/>
      <w:r w:rsidRPr="00632DBC">
        <w:rPr>
          <w:rFonts w:ascii="Arial" w:hAnsi="Arial"/>
          <w:sz w:val="18"/>
        </w:rPr>
        <w:t>a specific social and environmental contexts</w:t>
      </w:r>
      <w:proofErr w:type="gramEnd"/>
      <w:r w:rsidRPr="00632DBC">
        <w:rPr>
          <w:rFonts w:ascii="Arial" w:hAnsi="Arial"/>
          <w:sz w:val="18"/>
        </w:rPr>
        <w:t xml:space="preserve"> to the associated design and implementation of the respective safeguards. This could then prevent social conflicts and enhance the possibilities of equitable biodiversity governance in the long run.  It was also noted that equity has been a concern under the CBD since its adoption as part of the 3th pillar/objective of the Convention…” </w:t>
      </w:r>
      <w:r w:rsidRPr="00633A71">
        <w:rPr>
          <w:rStyle w:val="FootnoteReference"/>
          <w:rFonts w:ascii="Times New Roman" w:hAnsi="Times New Roman"/>
        </w:rPr>
        <w:footnoteReference w:id="74"/>
      </w:r>
    </w:p>
    <w:p w14:paraId="60879520" w14:textId="77777777" w:rsidR="00810C20" w:rsidRPr="00633A71" w:rsidRDefault="00810C20" w:rsidP="00810C20">
      <w:pPr>
        <w:spacing w:line="240" w:lineRule="auto"/>
        <w:jc w:val="both"/>
        <w:rPr>
          <w:rFonts w:ascii="Times New Roman" w:hAnsi="Times New Roman"/>
        </w:rPr>
      </w:pPr>
    </w:p>
    <w:p w14:paraId="4C70D227" w14:textId="77777777" w:rsidR="00810C20" w:rsidRPr="00632DBC" w:rsidRDefault="00810C20" w:rsidP="00810C20">
      <w:pPr>
        <w:spacing w:line="240" w:lineRule="auto"/>
        <w:jc w:val="both"/>
        <w:rPr>
          <w:rFonts w:ascii="Times New Roman" w:hAnsi="Times New Roman"/>
        </w:rPr>
        <w:sectPr w:rsidR="00810C20" w:rsidRPr="00632DBC" w:rsidSect="000F714B">
          <w:footerReference w:type="default" r:id="rId12"/>
          <w:pgSz w:w="11906" w:h="16838"/>
          <w:pgMar w:top="1134" w:right="1440" w:bottom="1134" w:left="1440" w:header="567" w:footer="567" w:gutter="0"/>
          <w:cols w:space="708"/>
          <w:titlePg/>
          <w:docGrid w:linePitch="360"/>
        </w:sectPr>
      </w:pPr>
    </w:p>
    <w:p w14:paraId="7A77F020" w14:textId="0B89F7AB" w:rsidR="00812BED" w:rsidRPr="00632DBC" w:rsidRDefault="00AE7CC4" w:rsidP="00DF2423">
      <w:pPr>
        <w:pStyle w:val="Caption"/>
      </w:pPr>
      <w:bookmarkStart w:id="51" w:name="_Toc398935605"/>
      <w:bookmarkStart w:id="52" w:name="_Toc398936070"/>
      <w:bookmarkStart w:id="53" w:name="_Toc529192210"/>
      <w:r w:rsidRPr="00632DBC">
        <w:lastRenderedPageBreak/>
        <w:t xml:space="preserve">Table </w:t>
      </w:r>
      <w:r w:rsidR="00A262C9" w:rsidRPr="00632DBC">
        <w:rPr>
          <w:noProof/>
        </w:rPr>
        <w:fldChar w:fldCharType="begin"/>
      </w:r>
      <w:r w:rsidR="00A262C9" w:rsidRPr="00632DBC">
        <w:rPr>
          <w:noProof/>
        </w:rPr>
        <w:instrText xml:space="preserve"> SEQ Table \* ARABIC </w:instrText>
      </w:r>
      <w:r w:rsidR="00A262C9" w:rsidRPr="00632DBC">
        <w:rPr>
          <w:noProof/>
        </w:rPr>
        <w:fldChar w:fldCharType="separate"/>
      </w:r>
      <w:r w:rsidR="00251833" w:rsidRPr="00632DBC">
        <w:rPr>
          <w:noProof/>
        </w:rPr>
        <w:t>1</w:t>
      </w:r>
      <w:r w:rsidR="00A262C9" w:rsidRPr="00632DBC">
        <w:rPr>
          <w:noProof/>
        </w:rPr>
        <w:fldChar w:fldCharType="end"/>
      </w:r>
      <w:r w:rsidRPr="00632DBC">
        <w:t xml:space="preserve">. </w:t>
      </w:r>
      <w:r w:rsidRPr="00632DBC">
        <w:rPr>
          <w:lang w:eastAsia="es-ES" w:bidi="ar-SA"/>
        </w:rPr>
        <w:t>International legal instruments informing the guidelines</w:t>
      </w:r>
      <w:bookmarkEnd w:id="51"/>
      <w:bookmarkEnd w:id="52"/>
      <w:bookmarkEnd w:id="53"/>
    </w:p>
    <w:tbl>
      <w:tblPr>
        <w:tblW w:w="1395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840"/>
        <w:gridCol w:w="6570"/>
      </w:tblGrid>
      <w:tr w:rsidR="00633A71" w:rsidRPr="00632DBC" w14:paraId="747C8E2B" w14:textId="77777777" w:rsidTr="00CF7E8B">
        <w:trPr>
          <w:trHeight w:val="70"/>
        </w:trPr>
        <w:tc>
          <w:tcPr>
            <w:tcW w:w="540" w:type="dxa"/>
          </w:tcPr>
          <w:p w14:paraId="1A03F38F" w14:textId="77777777" w:rsidR="00810C20" w:rsidRPr="00632DBC" w:rsidRDefault="00810C20" w:rsidP="00CF7E8B">
            <w:pPr>
              <w:spacing w:after="0" w:line="240" w:lineRule="auto"/>
              <w:ind w:right="17"/>
              <w:jc w:val="both"/>
              <w:rPr>
                <w:rFonts w:ascii="Times New Roman" w:hAnsi="Times New Roman"/>
                <w:b/>
                <w:bCs/>
                <w:sz w:val="20"/>
                <w:szCs w:val="20"/>
                <w:lang w:eastAsia="es-ES" w:bidi="ar-SA"/>
              </w:rPr>
            </w:pPr>
          </w:p>
        </w:tc>
        <w:tc>
          <w:tcPr>
            <w:tcW w:w="6840" w:type="dxa"/>
            <w:vAlign w:val="center"/>
          </w:tcPr>
          <w:p w14:paraId="24A3746A" w14:textId="77777777" w:rsidR="00810C20" w:rsidRPr="00633A71" w:rsidRDefault="00810C20" w:rsidP="00CF7E8B">
            <w:pPr>
              <w:spacing w:after="0" w:line="240" w:lineRule="auto"/>
              <w:ind w:right="17"/>
              <w:jc w:val="center"/>
              <w:rPr>
                <w:rFonts w:ascii="Times New Roman" w:hAnsi="Times New Roman"/>
                <w:b/>
                <w:bCs/>
                <w:sz w:val="18"/>
                <w:szCs w:val="18"/>
                <w:lang w:eastAsia="es-ES" w:bidi="ar-SA"/>
              </w:rPr>
            </w:pPr>
            <w:r w:rsidRPr="00632DBC">
              <w:rPr>
                <w:rFonts w:ascii="Times New Roman" w:hAnsi="Times New Roman"/>
                <w:b/>
                <w:bCs/>
                <w:sz w:val="18"/>
                <w:szCs w:val="18"/>
                <w:lang w:eastAsia="es-ES" w:bidi="ar-SA"/>
              </w:rPr>
              <w:t>International treaties</w:t>
            </w:r>
            <w:r w:rsidRPr="00633A71">
              <w:rPr>
                <w:rFonts w:ascii="Times New Roman" w:hAnsi="Times New Roman"/>
                <w:b/>
                <w:bCs/>
                <w:sz w:val="18"/>
                <w:szCs w:val="18"/>
                <w:vertAlign w:val="superscript"/>
                <w:lang w:eastAsia="es-ES" w:bidi="ar-SA"/>
              </w:rPr>
              <w:footnoteReference w:id="75"/>
            </w:r>
            <w:r w:rsidRPr="00633A71">
              <w:rPr>
                <w:rFonts w:ascii="Times New Roman" w:hAnsi="Times New Roman"/>
                <w:b/>
                <w:bCs/>
                <w:sz w:val="18"/>
                <w:szCs w:val="18"/>
                <w:lang w:eastAsia="es-ES" w:bidi="ar-SA"/>
              </w:rPr>
              <w:t xml:space="preserve"> (binding)</w:t>
            </w:r>
          </w:p>
        </w:tc>
        <w:tc>
          <w:tcPr>
            <w:tcW w:w="6570" w:type="dxa"/>
          </w:tcPr>
          <w:p w14:paraId="2DB5DA94" w14:textId="77777777" w:rsidR="00810C20" w:rsidRPr="00633A71" w:rsidRDefault="00810C20" w:rsidP="00CF7E8B">
            <w:pPr>
              <w:tabs>
                <w:tab w:val="left" w:pos="290"/>
              </w:tabs>
              <w:spacing w:after="0" w:line="240" w:lineRule="auto"/>
              <w:ind w:left="290" w:right="17" w:hanging="180"/>
              <w:jc w:val="center"/>
              <w:rPr>
                <w:rFonts w:ascii="Times New Roman" w:hAnsi="Times New Roman"/>
                <w:b/>
                <w:bCs/>
                <w:sz w:val="18"/>
                <w:szCs w:val="18"/>
                <w:lang w:eastAsia="es-ES" w:bidi="ar-SA"/>
              </w:rPr>
            </w:pPr>
            <w:r w:rsidRPr="00633A71">
              <w:rPr>
                <w:rFonts w:ascii="Times New Roman" w:hAnsi="Times New Roman"/>
                <w:b/>
                <w:bCs/>
                <w:sz w:val="18"/>
                <w:szCs w:val="18"/>
                <w:lang w:eastAsia="es-ES" w:bidi="ar-SA"/>
              </w:rPr>
              <w:t>Declarations, principles and guidelines</w:t>
            </w:r>
          </w:p>
          <w:p w14:paraId="348F31F7" w14:textId="77777777" w:rsidR="00810C20" w:rsidRPr="00504B5E" w:rsidRDefault="00810C20" w:rsidP="00CF7E8B">
            <w:pPr>
              <w:tabs>
                <w:tab w:val="left" w:pos="290"/>
              </w:tabs>
              <w:spacing w:after="0" w:line="240" w:lineRule="auto"/>
              <w:ind w:left="290" w:right="17" w:hanging="180"/>
              <w:jc w:val="center"/>
              <w:rPr>
                <w:rFonts w:ascii="Times New Roman" w:hAnsi="Times New Roman"/>
                <w:b/>
                <w:bCs/>
                <w:sz w:val="18"/>
                <w:szCs w:val="18"/>
                <w:lang w:eastAsia="es-ES" w:bidi="ar-SA"/>
              </w:rPr>
            </w:pPr>
            <w:r w:rsidRPr="00504B5E">
              <w:rPr>
                <w:rFonts w:ascii="Times New Roman" w:hAnsi="Times New Roman"/>
                <w:b/>
                <w:bCs/>
                <w:sz w:val="18"/>
                <w:szCs w:val="18"/>
                <w:lang w:eastAsia="es-ES" w:bidi="ar-SA"/>
              </w:rPr>
              <w:t>agreed between States (non-binding)</w:t>
            </w:r>
          </w:p>
        </w:tc>
      </w:tr>
      <w:tr w:rsidR="00633A71" w:rsidRPr="00632DBC" w14:paraId="1CE6F00C" w14:textId="77777777" w:rsidTr="00CF7E8B">
        <w:trPr>
          <w:cantSplit/>
          <w:trHeight w:val="3675"/>
        </w:trPr>
        <w:tc>
          <w:tcPr>
            <w:tcW w:w="540" w:type="dxa"/>
            <w:textDirection w:val="btLr"/>
          </w:tcPr>
          <w:p w14:paraId="696705B9" w14:textId="77777777" w:rsidR="00810C20" w:rsidRPr="00632DBC" w:rsidRDefault="00810C20" w:rsidP="00CF7E8B">
            <w:pPr>
              <w:spacing w:after="0" w:line="240" w:lineRule="auto"/>
              <w:ind w:left="113" w:right="17"/>
              <w:jc w:val="center"/>
              <w:rPr>
                <w:rFonts w:ascii="Times New Roman" w:hAnsi="Times New Roman"/>
                <w:b/>
                <w:bCs/>
                <w:sz w:val="20"/>
                <w:szCs w:val="20"/>
                <w:lang w:eastAsia="es-ES" w:bidi="ar-SA"/>
              </w:rPr>
            </w:pPr>
            <w:r w:rsidRPr="00632DBC">
              <w:rPr>
                <w:rFonts w:ascii="Times New Roman" w:hAnsi="Times New Roman"/>
                <w:b/>
                <w:bCs/>
                <w:sz w:val="20"/>
                <w:szCs w:val="20"/>
                <w:lang w:eastAsia="es-ES" w:bidi="ar-SA"/>
              </w:rPr>
              <w:t>Environment</w:t>
            </w:r>
          </w:p>
          <w:p w14:paraId="30537F06" w14:textId="77777777" w:rsidR="00810C20" w:rsidRPr="00632DBC" w:rsidRDefault="00810C20" w:rsidP="00CF7E8B">
            <w:pPr>
              <w:spacing w:after="0" w:line="240" w:lineRule="auto"/>
              <w:ind w:left="113" w:right="17"/>
              <w:jc w:val="center"/>
              <w:rPr>
                <w:rFonts w:ascii="Times New Roman" w:hAnsi="Times New Roman"/>
                <w:bCs/>
                <w:sz w:val="20"/>
                <w:szCs w:val="20"/>
                <w:lang w:eastAsia="es-ES" w:bidi="ar-SA"/>
              </w:rPr>
            </w:pPr>
          </w:p>
          <w:p w14:paraId="0E3CC37A" w14:textId="77777777" w:rsidR="00810C20" w:rsidRPr="00632DBC" w:rsidRDefault="00810C20" w:rsidP="00CF7E8B">
            <w:pPr>
              <w:spacing w:after="0" w:line="240" w:lineRule="auto"/>
              <w:ind w:left="113" w:right="17"/>
              <w:jc w:val="center"/>
              <w:rPr>
                <w:rFonts w:ascii="Times New Roman" w:hAnsi="Times New Roman"/>
                <w:bCs/>
                <w:sz w:val="20"/>
                <w:szCs w:val="20"/>
                <w:lang w:eastAsia="es-ES" w:bidi="ar-SA"/>
              </w:rPr>
            </w:pPr>
          </w:p>
        </w:tc>
        <w:tc>
          <w:tcPr>
            <w:tcW w:w="6840" w:type="dxa"/>
            <w:vAlign w:val="center"/>
          </w:tcPr>
          <w:p w14:paraId="4C23DEEF"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Cs/>
                <w:sz w:val="18"/>
                <w:szCs w:val="18"/>
                <w:lang w:eastAsia="es-ES" w:bidi="ar-SA"/>
              </w:rPr>
            </w:pPr>
            <w:r w:rsidRPr="00632DBC">
              <w:rPr>
                <w:rFonts w:ascii="Times New Roman" w:hAnsi="Times New Roman"/>
                <w:iCs/>
                <w:sz w:val="18"/>
                <w:szCs w:val="18"/>
                <w:lang w:eastAsia="es-ES" w:bidi="ar-SA"/>
              </w:rPr>
              <w:t>Convention on Biological Diversity, 1992 / 1993</w:t>
            </w:r>
          </w:p>
          <w:p w14:paraId="172C58D5"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Nagoya Protocol on Access to Genetic Resources and the Fair and Equitable Sharing of Benefits Arising from their Utilization 2010</w:t>
            </w:r>
          </w:p>
          <w:p w14:paraId="1B58AD56"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Cartagena Protocol on Biosafety 2000 /2003</w:t>
            </w:r>
          </w:p>
          <w:p w14:paraId="33FE7A6F"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The Nagoya – Kuala Lumpur Supplementary Protocol on Liability and Redress to the Cartagena Protocol on Biosafety 2000/ 2010</w:t>
            </w:r>
          </w:p>
          <w:p w14:paraId="44ABC506"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United Nations Framework Convention on Climate Change 1992/1994 </w:t>
            </w:r>
          </w:p>
          <w:p w14:paraId="0CB242B6"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United Nations Convention to Combat Desertification in Those Countries Experiencing Serious Drought and/or Desertification, Particularly in Africa, 1994 / 1996 </w:t>
            </w:r>
          </w:p>
          <w:p w14:paraId="2DB5F731"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Convention on Wetlands of International Importance Especially as Waterfowl Habitat, 1971 / 1975 </w:t>
            </w:r>
          </w:p>
          <w:p w14:paraId="38D8D9AF" w14:textId="77777777" w:rsidR="00810C20" w:rsidRPr="00633A71"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Convention on the International Trade in Endangered Species of Wild Fauna and Fauna 1973 / 1975 </w:t>
            </w:r>
            <w:r w:rsidRPr="00633A71">
              <w:rPr>
                <w:rFonts w:ascii="Times New Roman" w:hAnsi="Times New Roman"/>
                <w:sz w:val="18"/>
                <w:szCs w:val="18"/>
                <w:vertAlign w:val="superscript"/>
                <w:lang w:eastAsia="es-ES" w:bidi="ar-SA"/>
              </w:rPr>
              <w:footnoteReference w:id="76"/>
            </w:r>
            <w:r w:rsidRPr="00633A71">
              <w:rPr>
                <w:rFonts w:ascii="Times New Roman" w:hAnsi="Times New Roman"/>
                <w:sz w:val="18"/>
                <w:szCs w:val="18"/>
                <w:lang w:eastAsia="es-ES" w:bidi="ar-SA"/>
              </w:rPr>
              <w:t xml:space="preserve"> </w:t>
            </w:r>
          </w:p>
          <w:p w14:paraId="7223E1F7" w14:textId="77777777" w:rsidR="00810C20" w:rsidRPr="00633A71"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3A71">
              <w:rPr>
                <w:rFonts w:ascii="Times New Roman" w:hAnsi="Times New Roman"/>
                <w:sz w:val="18"/>
                <w:szCs w:val="18"/>
                <w:lang w:eastAsia="es-ES" w:bidi="ar-SA"/>
              </w:rPr>
              <w:t xml:space="preserve">Convention on the Conservation of Migratory Species of Wild Flora and Fauna, 1973/ 1975 </w:t>
            </w:r>
            <w:r w:rsidRPr="00633A71">
              <w:rPr>
                <w:rFonts w:ascii="Times New Roman" w:hAnsi="Times New Roman"/>
                <w:sz w:val="18"/>
                <w:szCs w:val="18"/>
                <w:vertAlign w:val="superscript"/>
                <w:lang w:eastAsia="es-ES" w:bidi="ar-SA"/>
              </w:rPr>
              <w:footnoteReference w:id="77"/>
            </w:r>
            <w:r w:rsidRPr="00633A71">
              <w:rPr>
                <w:rFonts w:ascii="Times New Roman" w:hAnsi="Times New Roman"/>
                <w:sz w:val="18"/>
                <w:szCs w:val="18"/>
                <w:lang w:eastAsia="es-ES" w:bidi="ar-SA"/>
              </w:rPr>
              <w:t xml:space="preserve"> </w:t>
            </w:r>
          </w:p>
          <w:p w14:paraId="65A0C74D" w14:textId="77777777" w:rsidR="00810C20" w:rsidRPr="00504B5E"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3A71">
              <w:rPr>
                <w:rFonts w:ascii="Times New Roman" w:hAnsi="Times New Roman"/>
                <w:sz w:val="18"/>
                <w:szCs w:val="18"/>
                <w:lang w:eastAsia="es-ES" w:bidi="ar-SA"/>
              </w:rPr>
              <w:t xml:space="preserve">Convention on Access to Information, Public Participation </w:t>
            </w:r>
            <w:proofErr w:type="gramStart"/>
            <w:r w:rsidRPr="00633A71">
              <w:rPr>
                <w:rFonts w:ascii="Times New Roman" w:hAnsi="Times New Roman"/>
                <w:sz w:val="18"/>
                <w:szCs w:val="18"/>
                <w:lang w:eastAsia="es-ES" w:bidi="ar-SA"/>
              </w:rPr>
              <w:t>In</w:t>
            </w:r>
            <w:proofErr w:type="gramEnd"/>
            <w:r w:rsidRPr="00633A71">
              <w:rPr>
                <w:rFonts w:ascii="Times New Roman" w:hAnsi="Times New Roman"/>
                <w:sz w:val="18"/>
                <w:szCs w:val="18"/>
                <w:lang w:eastAsia="es-ES" w:bidi="ar-SA"/>
              </w:rPr>
              <w:t xml:space="preserve"> Decision-Making, and Access to Justice In Environmental Matters, 1998 / 2001</w:t>
            </w:r>
          </w:p>
          <w:p w14:paraId="640AB780" w14:textId="77777777" w:rsidR="00810C20" w:rsidRPr="00504B5E" w:rsidRDefault="00810C20" w:rsidP="003966BA">
            <w:pPr>
              <w:numPr>
                <w:ilvl w:val="0"/>
                <w:numId w:val="6"/>
              </w:numPr>
              <w:tabs>
                <w:tab w:val="num" w:pos="290"/>
              </w:tabs>
              <w:spacing w:after="0" w:line="240" w:lineRule="auto"/>
              <w:ind w:left="290" w:right="17" w:hanging="290"/>
              <w:rPr>
                <w:rFonts w:ascii="Times New Roman" w:hAnsi="Times New Roman"/>
                <w:sz w:val="18"/>
                <w:szCs w:val="18"/>
                <w:lang w:eastAsia="es-ES" w:bidi="ar-SA"/>
              </w:rPr>
            </w:pPr>
            <w:r w:rsidRPr="00504B5E">
              <w:rPr>
                <w:rFonts w:ascii="Times New Roman" w:hAnsi="Times New Roman"/>
                <w:sz w:val="18"/>
                <w:szCs w:val="18"/>
                <w:lang w:eastAsia="es-ES" w:bidi="ar-SA"/>
              </w:rPr>
              <w:t>The International Treaty on Plant Genetic Resources for Food and Agriculture, 2001/ 2004</w:t>
            </w:r>
          </w:p>
        </w:tc>
        <w:tc>
          <w:tcPr>
            <w:tcW w:w="6570" w:type="dxa"/>
            <w:vAlign w:val="center"/>
          </w:tcPr>
          <w:p w14:paraId="0A2EA43C" w14:textId="77777777" w:rsidR="00810C20" w:rsidRPr="0038043D"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A3063C">
              <w:rPr>
                <w:rFonts w:ascii="Times New Roman" w:hAnsi="Times New Roman"/>
                <w:sz w:val="18"/>
                <w:szCs w:val="18"/>
                <w:lang w:eastAsia="es-ES" w:bidi="ar-SA"/>
              </w:rPr>
              <w:t>Stockholm Declaration of the United Nations Conference on the Human Environment, 1972</w:t>
            </w:r>
          </w:p>
          <w:p w14:paraId="3A5F5981"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sz w:val="18"/>
                <w:szCs w:val="18"/>
                <w:lang w:eastAsia="es-ES" w:bidi="ar-SA"/>
              </w:rPr>
            </w:pPr>
            <w:r w:rsidRPr="00632DBC">
              <w:rPr>
                <w:rFonts w:ascii="Times New Roman" w:hAnsi="Times New Roman"/>
                <w:sz w:val="18"/>
                <w:szCs w:val="18"/>
                <w:lang w:eastAsia="es-ES" w:bidi="ar-SA"/>
              </w:rPr>
              <w:t>World Charter for Nature, 1982</w:t>
            </w:r>
          </w:p>
          <w:p w14:paraId="76F97D2E"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Rio Declaration on Environment and Development,1992</w:t>
            </w:r>
          </w:p>
          <w:p w14:paraId="5C444D50"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Agenda 21, 1992</w:t>
            </w:r>
          </w:p>
          <w:p w14:paraId="4356DCCA"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Forest Principles, United Nations Conference on Environment and Development Non-Legally Binding Authoritative Statement of Principles for a Global Consensus on the Management, Conservation and Sustainable Development of All Types of Forests, 1992</w:t>
            </w:r>
          </w:p>
          <w:p w14:paraId="76610C58"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Johannesburg Declaration on Sustainable Development (UN, 2002)</w:t>
            </w:r>
          </w:p>
          <w:p w14:paraId="04237971"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sz w:val="18"/>
                <w:szCs w:val="18"/>
                <w:lang w:eastAsia="es-ES" w:bidi="ar-SA"/>
              </w:rPr>
            </w:pPr>
            <w:r w:rsidRPr="00632DBC">
              <w:rPr>
                <w:rFonts w:ascii="Times New Roman" w:hAnsi="Times New Roman"/>
                <w:sz w:val="18"/>
                <w:szCs w:val="18"/>
                <w:lang w:eastAsia="es-ES" w:bidi="ar-SA"/>
              </w:rPr>
              <w:t xml:space="preserve">The Bonn Guidelines on Access to Genetic Resources and Fair and Equitable Sharing of the Benefits Arising out of their </w:t>
            </w:r>
            <w:proofErr w:type="gramStart"/>
            <w:r w:rsidRPr="00632DBC">
              <w:rPr>
                <w:rFonts w:ascii="Times New Roman" w:hAnsi="Times New Roman"/>
                <w:sz w:val="18"/>
                <w:szCs w:val="18"/>
                <w:lang w:eastAsia="es-ES" w:bidi="ar-SA"/>
              </w:rPr>
              <w:t>Utilization(</w:t>
            </w:r>
            <w:proofErr w:type="gramEnd"/>
            <w:r w:rsidRPr="00632DBC">
              <w:rPr>
                <w:rFonts w:ascii="Times New Roman" w:hAnsi="Times New Roman"/>
                <w:sz w:val="18"/>
                <w:szCs w:val="18"/>
                <w:lang w:eastAsia="es-ES" w:bidi="ar-SA"/>
              </w:rPr>
              <w:t>CBD 2002)</w:t>
            </w:r>
          </w:p>
          <w:p w14:paraId="5FF6A610" w14:textId="13C42C66"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Akwé on Voluntary guidelines for the conduct of cultural, environmental and social impact assessments regarding developments </w:t>
            </w:r>
            <w:r w:rsidR="003A65CE" w:rsidRPr="00632DBC">
              <w:rPr>
                <w:rFonts w:ascii="Times New Roman" w:hAnsi="Times New Roman"/>
                <w:sz w:val="18"/>
                <w:szCs w:val="18"/>
                <w:lang w:eastAsia="es-ES" w:bidi="ar-SA"/>
              </w:rPr>
              <w:t>adopted</w:t>
            </w:r>
            <w:r w:rsidRPr="00632DBC">
              <w:rPr>
                <w:rFonts w:ascii="Times New Roman" w:hAnsi="Times New Roman"/>
                <w:sz w:val="18"/>
                <w:szCs w:val="18"/>
                <w:lang w:eastAsia="es-ES" w:bidi="ar-SA"/>
              </w:rPr>
              <w:t xml:space="preserve"> to take place on, or which are likely to impact on, sacred sites and on lands and waters traditionally occupied or used by indigenous and local communities (CBD 2004)</w:t>
            </w:r>
          </w:p>
          <w:p w14:paraId="144D8EA1"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Addis Ababa Principles and Guidelines for the Sustainable Use of Biodiversity (CBD 2004)</w:t>
            </w:r>
          </w:p>
          <w:p w14:paraId="7E656FA8"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Delos Initiatives: The Monserrat Statement on sacred natural sites in technologically developed countries (IUCN, 2006)</w:t>
            </w:r>
          </w:p>
          <w:p w14:paraId="14797094"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Interlaken Declaration on Animal Genetic </w:t>
            </w:r>
            <w:proofErr w:type="gramStart"/>
            <w:r w:rsidRPr="00632DBC">
              <w:rPr>
                <w:rFonts w:ascii="Times New Roman" w:hAnsi="Times New Roman"/>
                <w:sz w:val="18"/>
                <w:szCs w:val="18"/>
                <w:lang w:eastAsia="es-ES" w:bidi="ar-SA"/>
              </w:rPr>
              <w:t>Resources  (</w:t>
            </w:r>
            <w:proofErr w:type="gramEnd"/>
            <w:r w:rsidRPr="00632DBC">
              <w:rPr>
                <w:rFonts w:ascii="Times New Roman" w:hAnsi="Times New Roman"/>
                <w:sz w:val="18"/>
                <w:szCs w:val="18"/>
                <w:lang w:eastAsia="es-ES" w:bidi="ar-SA"/>
              </w:rPr>
              <w:t>FAO, 2007)</w:t>
            </w:r>
          </w:p>
          <w:p w14:paraId="11E08AA7"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Cs/>
                <w:sz w:val="18"/>
                <w:szCs w:val="18"/>
                <w:lang w:eastAsia="es-ES" w:bidi="ar-SA"/>
              </w:rPr>
            </w:pPr>
            <w:r w:rsidRPr="00632DBC">
              <w:rPr>
                <w:rFonts w:ascii="Times New Roman" w:hAnsi="Times New Roman"/>
                <w:iCs/>
                <w:sz w:val="18"/>
                <w:szCs w:val="18"/>
                <w:lang w:eastAsia="es-ES" w:bidi="ar-SA"/>
              </w:rPr>
              <w:t>Sacred natural sites, guidelines for protected area managers (IUCN/UNESCO,2008)</w:t>
            </w:r>
          </w:p>
          <w:p w14:paraId="6E33D493"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proofErr w:type="gramStart"/>
            <w:r w:rsidRPr="00632DBC">
              <w:rPr>
                <w:rFonts w:ascii="Times New Roman" w:hAnsi="Times New Roman"/>
                <w:sz w:val="18"/>
                <w:szCs w:val="18"/>
                <w:lang w:eastAsia="es-ES" w:bidi="ar-SA"/>
              </w:rPr>
              <w:t>Tkarihwaié:ri</w:t>
            </w:r>
            <w:proofErr w:type="gramEnd"/>
            <w:r w:rsidRPr="00632DBC">
              <w:rPr>
                <w:rFonts w:ascii="Times New Roman" w:hAnsi="Times New Roman"/>
                <w:sz w:val="18"/>
                <w:szCs w:val="18"/>
                <w:lang w:eastAsia="es-ES" w:bidi="ar-SA"/>
              </w:rPr>
              <w:t xml:space="preserve"> Code of Ethical Conduct to Ensure Respect for the Cultural and Intellectual Heritage of Indigenous and Local Communities, (CBD 2010)</w:t>
            </w:r>
          </w:p>
          <w:p w14:paraId="556EF62D" w14:textId="77777777" w:rsidR="00810C20" w:rsidRPr="00632DBC" w:rsidRDefault="00810C20" w:rsidP="00CF7E8B">
            <w:pPr>
              <w:spacing w:after="0" w:line="240" w:lineRule="auto"/>
              <w:ind w:left="290" w:right="17"/>
              <w:rPr>
                <w:rFonts w:ascii="Times New Roman" w:hAnsi="Times New Roman"/>
                <w:sz w:val="18"/>
                <w:szCs w:val="18"/>
                <w:lang w:eastAsia="es-ES" w:bidi="ar-SA"/>
              </w:rPr>
            </w:pPr>
          </w:p>
        </w:tc>
      </w:tr>
      <w:tr w:rsidR="00633A71" w:rsidRPr="00632DBC" w14:paraId="42941928" w14:textId="77777777" w:rsidTr="00CF7E8B">
        <w:trPr>
          <w:cantSplit/>
          <w:trHeight w:val="2060"/>
        </w:trPr>
        <w:tc>
          <w:tcPr>
            <w:tcW w:w="540" w:type="dxa"/>
            <w:textDirection w:val="btLr"/>
            <w:vAlign w:val="center"/>
          </w:tcPr>
          <w:p w14:paraId="6293ABB6" w14:textId="77777777" w:rsidR="00810C20" w:rsidRPr="00632DBC" w:rsidRDefault="00810C20" w:rsidP="00CF7E8B">
            <w:pPr>
              <w:spacing w:after="0" w:line="240" w:lineRule="auto"/>
              <w:ind w:left="113" w:right="17"/>
              <w:jc w:val="center"/>
              <w:rPr>
                <w:rFonts w:ascii="Times New Roman" w:hAnsi="Times New Roman"/>
                <w:b/>
                <w:bCs/>
                <w:sz w:val="20"/>
                <w:szCs w:val="20"/>
                <w:lang w:eastAsia="es-ES" w:bidi="ar-SA"/>
              </w:rPr>
            </w:pPr>
            <w:r w:rsidRPr="00632DBC">
              <w:rPr>
                <w:rFonts w:ascii="Times New Roman" w:hAnsi="Times New Roman"/>
                <w:b/>
                <w:bCs/>
                <w:sz w:val="20"/>
                <w:szCs w:val="20"/>
                <w:lang w:eastAsia="es-ES" w:bidi="ar-SA"/>
              </w:rPr>
              <w:lastRenderedPageBreak/>
              <w:t>Human Rights</w:t>
            </w:r>
          </w:p>
        </w:tc>
        <w:tc>
          <w:tcPr>
            <w:tcW w:w="6840" w:type="dxa"/>
          </w:tcPr>
          <w:p w14:paraId="562F5D87"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International Covenant on Civil and Political Rights, 1966 / 1976 </w:t>
            </w:r>
          </w:p>
          <w:p w14:paraId="7223D9E8"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International Covenant on Economic, Social and Cultural Rights, 1966 /1976 </w:t>
            </w:r>
          </w:p>
          <w:p w14:paraId="646B9FA0"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 xml:space="preserve">International Convention on the Elimination of All Forms of Racial </w:t>
            </w:r>
            <w:proofErr w:type="gramStart"/>
            <w:r w:rsidRPr="00632DBC">
              <w:rPr>
                <w:rFonts w:ascii="Times New Roman" w:hAnsi="Times New Roman"/>
                <w:sz w:val="18"/>
                <w:szCs w:val="18"/>
                <w:lang w:eastAsia="es-ES" w:bidi="ar-SA"/>
              </w:rPr>
              <w:t>Discrimination ,</w:t>
            </w:r>
            <w:proofErr w:type="gramEnd"/>
            <w:r w:rsidRPr="00632DBC">
              <w:rPr>
                <w:rFonts w:ascii="Times New Roman" w:hAnsi="Times New Roman"/>
                <w:sz w:val="18"/>
                <w:szCs w:val="18"/>
                <w:lang w:eastAsia="es-ES" w:bidi="ar-SA"/>
              </w:rPr>
              <w:t xml:space="preserve"> 1965 /1969 </w:t>
            </w:r>
          </w:p>
          <w:p w14:paraId="0FD7B131"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Convention on the Rights of the Child, 1989/ 1990</w:t>
            </w:r>
          </w:p>
          <w:p w14:paraId="60B56623" w14:textId="77777777" w:rsidR="00810C20" w:rsidRPr="00632DBC" w:rsidRDefault="00810C20" w:rsidP="003966BA">
            <w:pPr>
              <w:numPr>
                <w:ilvl w:val="0"/>
                <w:numId w:val="6"/>
              </w:numPr>
              <w:tabs>
                <w:tab w:val="num" w:pos="290"/>
              </w:tabs>
              <w:spacing w:after="0" w:line="240" w:lineRule="auto"/>
              <w:ind w:left="290" w:right="17" w:hanging="290"/>
              <w:rPr>
                <w:rFonts w:ascii="Times New Roman" w:hAnsi="Times New Roman"/>
                <w:i/>
                <w:iCs/>
                <w:sz w:val="18"/>
                <w:szCs w:val="18"/>
                <w:lang w:eastAsia="es-ES" w:bidi="ar-SA"/>
              </w:rPr>
            </w:pPr>
            <w:r w:rsidRPr="00632DBC">
              <w:rPr>
                <w:rFonts w:ascii="Times New Roman" w:hAnsi="Times New Roman"/>
                <w:sz w:val="18"/>
                <w:szCs w:val="18"/>
                <w:lang w:eastAsia="es-ES" w:bidi="ar-SA"/>
              </w:rPr>
              <w:t>Convention on the Elimination of All Forms of Discrimination Against Women Indigenous and Tribal Peoples Convention No. 169, 1989/1990 (depository: ILO)</w:t>
            </w:r>
          </w:p>
          <w:p w14:paraId="2A1C358B" w14:textId="77777777" w:rsidR="00810C20" w:rsidRPr="00632DBC" w:rsidRDefault="00810C20" w:rsidP="00CF7E8B">
            <w:pPr>
              <w:spacing w:after="0" w:line="240" w:lineRule="auto"/>
              <w:ind w:right="17"/>
              <w:rPr>
                <w:rFonts w:ascii="Times New Roman" w:hAnsi="Times New Roman"/>
                <w:sz w:val="18"/>
                <w:szCs w:val="18"/>
                <w:lang w:eastAsia="es-ES" w:bidi="ar-SA"/>
              </w:rPr>
            </w:pPr>
          </w:p>
        </w:tc>
        <w:tc>
          <w:tcPr>
            <w:tcW w:w="6570" w:type="dxa"/>
          </w:tcPr>
          <w:p w14:paraId="173ECD65" w14:textId="77777777" w:rsidR="00810C20" w:rsidRPr="00632DBC" w:rsidRDefault="00810C20" w:rsidP="003966BA">
            <w:pPr>
              <w:numPr>
                <w:ilvl w:val="0"/>
                <w:numId w:val="26"/>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Universal Declaration of Human Rights, 1948</w:t>
            </w:r>
          </w:p>
          <w:p w14:paraId="5F5A627F" w14:textId="77777777" w:rsidR="00810C20" w:rsidRPr="00632DBC" w:rsidRDefault="00810C20" w:rsidP="003966BA">
            <w:pPr>
              <w:numPr>
                <w:ilvl w:val="0"/>
                <w:numId w:val="26"/>
              </w:numPr>
              <w:spacing w:before="100" w:beforeAutospacing="1" w:after="0" w:afterAutospacing="1"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Declaration of Rights and Development in Social Contexts, 1969</w:t>
            </w:r>
          </w:p>
          <w:p w14:paraId="298194EE" w14:textId="77777777" w:rsidR="00810C20" w:rsidRPr="00632DBC" w:rsidRDefault="00810C20" w:rsidP="003966BA">
            <w:pPr>
              <w:numPr>
                <w:ilvl w:val="0"/>
                <w:numId w:val="26"/>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United Nations Declaration on the Right to Development, 1986</w:t>
            </w:r>
          </w:p>
          <w:p w14:paraId="582433C1" w14:textId="132CE8B8" w:rsidR="00810C20" w:rsidRPr="00632DBC" w:rsidRDefault="00810C20" w:rsidP="00002536">
            <w:pPr>
              <w:numPr>
                <w:ilvl w:val="0"/>
                <w:numId w:val="26"/>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United Nations Declaration on the Rights of Persons Belonging to National or Ethnic, Religious and Linguistic Minorities, 1992</w:t>
            </w:r>
          </w:p>
          <w:p w14:paraId="7FE24B27" w14:textId="77777777" w:rsidR="00810C20" w:rsidRPr="00632DBC" w:rsidRDefault="00810C20" w:rsidP="003966BA">
            <w:pPr>
              <w:numPr>
                <w:ilvl w:val="0"/>
                <w:numId w:val="26"/>
              </w:numPr>
              <w:spacing w:before="100" w:beforeAutospacing="1" w:after="0" w:afterAutospacing="1"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Declaration of responsibilities of actual generations with future generations, 1997</w:t>
            </w:r>
          </w:p>
          <w:p w14:paraId="276A016B" w14:textId="77777777" w:rsidR="00810C20" w:rsidRPr="00632DBC" w:rsidRDefault="00810C20" w:rsidP="003966BA">
            <w:pPr>
              <w:numPr>
                <w:ilvl w:val="0"/>
                <w:numId w:val="26"/>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Declaration on the Rights of Persons Belonging to National or Ethnic, Religious and Linguistic Minorities, 1992</w:t>
            </w:r>
          </w:p>
          <w:p w14:paraId="28C52F3A" w14:textId="77777777" w:rsidR="00810C20" w:rsidRPr="00632DBC" w:rsidRDefault="00810C20" w:rsidP="003966BA">
            <w:pPr>
              <w:numPr>
                <w:ilvl w:val="0"/>
                <w:numId w:val="26"/>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 xml:space="preserve">United Nations Declaration of the Rights of Indigenous Peoples, 2007 </w:t>
            </w:r>
          </w:p>
          <w:p w14:paraId="2FB1973E" w14:textId="77777777" w:rsidR="00810C20" w:rsidRPr="00632DBC" w:rsidRDefault="00810C20" w:rsidP="003966BA">
            <w:pPr>
              <w:numPr>
                <w:ilvl w:val="0"/>
                <w:numId w:val="26"/>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 xml:space="preserve">The Universal Declaration on Cultural Diversity (UNESCO 2001) </w:t>
            </w:r>
          </w:p>
          <w:p w14:paraId="4B03F0D3" w14:textId="77777777" w:rsidR="00810C20" w:rsidRPr="00632DBC" w:rsidRDefault="00810C20" w:rsidP="003966BA">
            <w:pPr>
              <w:numPr>
                <w:ilvl w:val="0"/>
                <w:numId w:val="24"/>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The Universal Declaration on Bioethics and Human Rights (UNESCO 2005)</w:t>
            </w:r>
          </w:p>
          <w:p w14:paraId="713ABD8B" w14:textId="77777777" w:rsidR="00810C20" w:rsidRPr="00632DBC" w:rsidRDefault="00810C20" w:rsidP="003966BA">
            <w:pPr>
              <w:numPr>
                <w:ilvl w:val="0"/>
                <w:numId w:val="24"/>
              </w:numPr>
              <w:spacing w:after="0" w:line="240" w:lineRule="auto"/>
              <w:ind w:right="17"/>
              <w:jc w:val="both"/>
              <w:rPr>
                <w:rFonts w:ascii="Times New Roman" w:hAnsi="Times New Roman"/>
                <w:sz w:val="18"/>
                <w:szCs w:val="18"/>
                <w:lang w:eastAsia="es-ES" w:bidi="ar-SA"/>
              </w:rPr>
            </w:pPr>
            <w:r w:rsidRPr="00632DBC">
              <w:rPr>
                <w:rFonts w:ascii="Times New Roman" w:hAnsi="Times New Roman"/>
                <w:sz w:val="18"/>
                <w:szCs w:val="18"/>
                <w:lang w:eastAsia="es-ES" w:bidi="ar-SA"/>
              </w:rPr>
              <w:t>Guiding principles on business and human rights (UNHR, 2011)</w:t>
            </w:r>
          </w:p>
          <w:p w14:paraId="7586771A" w14:textId="77777777" w:rsidR="00810C20" w:rsidRPr="00632DBC" w:rsidRDefault="00810C20" w:rsidP="00CF7E8B">
            <w:pPr>
              <w:spacing w:after="0" w:line="240" w:lineRule="auto"/>
              <w:ind w:left="290" w:right="17"/>
              <w:jc w:val="both"/>
              <w:rPr>
                <w:rFonts w:ascii="Times New Roman" w:hAnsi="Times New Roman"/>
                <w:sz w:val="18"/>
                <w:szCs w:val="18"/>
                <w:lang w:eastAsia="es-ES" w:bidi="ar-SA"/>
              </w:rPr>
            </w:pPr>
          </w:p>
        </w:tc>
      </w:tr>
      <w:tr w:rsidR="00633A71" w:rsidRPr="00632DBC" w14:paraId="1BFEE14B" w14:textId="77777777" w:rsidTr="00CF7E8B">
        <w:trPr>
          <w:cantSplit/>
          <w:trHeight w:val="2635"/>
        </w:trPr>
        <w:tc>
          <w:tcPr>
            <w:tcW w:w="540" w:type="dxa"/>
            <w:tcBorders>
              <w:top w:val="single" w:sz="4" w:space="0" w:color="auto"/>
              <w:left w:val="single" w:sz="4" w:space="0" w:color="auto"/>
              <w:bottom w:val="single" w:sz="4" w:space="0" w:color="auto"/>
              <w:right w:val="single" w:sz="4" w:space="0" w:color="auto"/>
            </w:tcBorders>
            <w:textDirection w:val="btLr"/>
          </w:tcPr>
          <w:p w14:paraId="4695DEFC" w14:textId="77777777" w:rsidR="00810C20" w:rsidRPr="00632DBC" w:rsidRDefault="00810C20" w:rsidP="00CF7E8B">
            <w:pPr>
              <w:spacing w:after="0" w:line="240" w:lineRule="auto"/>
              <w:ind w:left="290" w:right="17"/>
              <w:jc w:val="center"/>
              <w:rPr>
                <w:rFonts w:ascii="Times New Roman" w:hAnsi="Times New Roman"/>
                <w:b/>
                <w:sz w:val="20"/>
                <w:szCs w:val="20"/>
                <w:lang w:eastAsia="es-ES" w:bidi="ar-SA"/>
              </w:rPr>
            </w:pPr>
            <w:r w:rsidRPr="00632DBC">
              <w:rPr>
                <w:rFonts w:ascii="Times New Roman" w:hAnsi="Times New Roman"/>
                <w:b/>
                <w:sz w:val="20"/>
                <w:szCs w:val="20"/>
                <w:lang w:eastAsia="es-ES" w:bidi="ar-SA"/>
              </w:rPr>
              <w:t>Intellectual Property / Heritage</w:t>
            </w:r>
          </w:p>
          <w:p w14:paraId="7E984003" w14:textId="77777777" w:rsidR="00810C20" w:rsidRPr="00632DBC" w:rsidRDefault="00810C20" w:rsidP="00CF7E8B">
            <w:pPr>
              <w:spacing w:after="0" w:line="240" w:lineRule="auto"/>
              <w:ind w:left="360" w:right="17"/>
              <w:jc w:val="center"/>
              <w:rPr>
                <w:rFonts w:ascii="Times New Roman" w:hAnsi="Times New Roman"/>
                <w:b/>
                <w:sz w:val="18"/>
                <w:szCs w:val="18"/>
                <w:lang w:eastAsia="es-ES" w:bidi="ar-SA"/>
              </w:rPr>
            </w:pPr>
          </w:p>
          <w:p w14:paraId="31DCA475" w14:textId="77777777" w:rsidR="00810C20" w:rsidRPr="00632DBC" w:rsidRDefault="00810C20" w:rsidP="003966BA">
            <w:pPr>
              <w:numPr>
                <w:ilvl w:val="0"/>
                <w:numId w:val="24"/>
              </w:numPr>
              <w:spacing w:after="0" w:line="240" w:lineRule="auto"/>
              <w:ind w:right="17"/>
              <w:jc w:val="center"/>
              <w:rPr>
                <w:rFonts w:ascii="Times New Roman" w:hAnsi="Times New Roman"/>
                <w:b/>
                <w:sz w:val="18"/>
                <w:szCs w:val="18"/>
                <w:lang w:eastAsia="es-ES" w:bidi="ar-SA"/>
              </w:rPr>
            </w:pPr>
          </w:p>
        </w:tc>
        <w:tc>
          <w:tcPr>
            <w:tcW w:w="6840" w:type="dxa"/>
            <w:tcBorders>
              <w:top w:val="single" w:sz="4" w:space="0" w:color="auto"/>
              <w:left w:val="single" w:sz="4" w:space="0" w:color="auto"/>
              <w:bottom w:val="single" w:sz="4" w:space="0" w:color="auto"/>
              <w:right w:val="single" w:sz="4" w:space="0" w:color="auto"/>
            </w:tcBorders>
          </w:tcPr>
          <w:p w14:paraId="789DEF99" w14:textId="77777777" w:rsidR="00810C20" w:rsidRPr="00632DBC" w:rsidRDefault="00810C20" w:rsidP="00CF7E8B">
            <w:pPr>
              <w:spacing w:after="0" w:line="240" w:lineRule="auto"/>
              <w:ind w:left="290" w:right="17"/>
              <w:rPr>
                <w:rFonts w:ascii="Times New Roman" w:hAnsi="Times New Roman"/>
                <w:sz w:val="18"/>
                <w:szCs w:val="18"/>
                <w:lang w:eastAsia="es-ES" w:bidi="ar-SA"/>
              </w:rPr>
            </w:pPr>
          </w:p>
          <w:p w14:paraId="5DFDAB47"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Berne Convention for the Protection of Literary and Artistic Works, 1886 last amended 1976 (depository: WIPO)</w:t>
            </w:r>
          </w:p>
          <w:p w14:paraId="67A0B5CE"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Convention establishing the World Intellectual Property Organisation (WIPO), 1967 amended 1979.</w:t>
            </w:r>
          </w:p>
          <w:p w14:paraId="1B6B9913"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Convention on means of prohibiting and preventing the illicit import, export and transport of ownership of cultural property, 1970/1972. (depository: UNESCO)</w:t>
            </w:r>
          </w:p>
          <w:p w14:paraId="09DC1D56"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 xml:space="preserve">Agreement on Trade- Related Aspects of Intellectual Property Rights (TRIPS), 1994 </w:t>
            </w:r>
          </w:p>
          <w:p w14:paraId="5C5E1EE4"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Agreement which established the World Trade Organisation (WTO), 1994</w:t>
            </w:r>
          </w:p>
          <w:p w14:paraId="21D408F1"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Andean Decision 391: Common Regime on Access to Genetic Resources 1996</w:t>
            </w:r>
          </w:p>
          <w:p w14:paraId="5E67BF8B"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Bangui Agreement on the Creation of an African Intellectual Property Organization OAPI (WIPO, 1999)</w:t>
            </w:r>
          </w:p>
          <w:p w14:paraId="4D2C27F7"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Convention Concerning the Protection of the World Cultural and Natural Heritage (UNESCO, 1972)</w:t>
            </w:r>
          </w:p>
          <w:p w14:paraId="3205FADC" w14:textId="77777777" w:rsidR="00810C20" w:rsidRPr="00632DBC" w:rsidRDefault="00810C20" w:rsidP="003966BA">
            <w:pPr>
              <w:numPr>
                <w:ilvl w:val="0"/>
                <w:numId w:val="27"/>
              </w:numPr>
              <w:spacing w:after="0" w:line="240" w:lineRule="auto"/>
              <w:ind w:right="17"/>
              <w:contextualSpacing/>
              <w:jc w:val="both"/>
              <w:rPr>
                <w:rFonts w:ascii="Times New Roman" w:hAnsi="Times New Roman"/>
                <w:sz w:val="18"/>
                <w:szCs w:val="18"/>
                <w:lang w:eastAsia="es-ES"/>
              </w:rPr>
            </w:pPr>
            <w:r w:rsidRPr="00632DBC">
              <w:rPr>
                <w:rFonts w:ascii="Times New Roman" w:hAnsi="Times New Roman"/>
                <w:sz w:val="18"/>
                <w:szCs w:val="18"/>
                <w:lang w:eastAsia="es-ES"/>
              </w:rPr>
              <w:t>Convention for Safeguarding of the Intangible Cultural Heritage (UNESCO, 2003)</w:t>
            </w:r>
          </w:p>
          <w:p w14:paraId="2A759261" w14:textId="77777777" w:rsidR="00810C20" w:rsidRPr="00632DBC" w:rsidRDefault="00810C20" w:rsidP="003966BA">
            <w:pPr>
              <w:numPr>
                <w:ilvl w:val="0"/>
                <w:numId w:val="27"/>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The Convention on the Protection and Promotion of the Diversity of Cultural Expressions (2005)</w:t>
            </w:r>
          </w:p>
          <w:p w14:paraId="7B7D5F83" w14:textId="77777777" w:rsidR="00810C20" w:rsidRPr="00632DBC" w:rsidRDefault="00810C20" w:rsidP="00CF7E8B">
            <w:pPr>
              <w:spacing w:after="0" w:line="240" w:lineRule="auto"/>
              <w:ind w:right="17"/>
              <w:rPr>
                <w:rFonts w:ascii="Times New Roman" w:hAnsi="Times New Roman"/>
                <w:sz w:val="18"/>
                <w:szCs w:val="18"/>
                <w:lang w:eastAsia="es-ES" w:bidi="ar-SA"/>
              </w:rPr>
            </w:pPr>
          </w:p>
        </w:tc>
        <w:tc>
          <w:tcPr>
            <w:tcW w:w="6570" w:type="dxa"/>
            <w:tcBorders>
              <w:top w:val="single" w:sz="4" w:space="0" w:color="auto"/>
              <w:left w:val="single" w:sz="4" w:space="0" w:color="auto"/>
              <w:bottom w:val="single" w:sz="4" w:space="0" w:color="auto"/>
              <w:right w:val="single" w:sz="4" w:space="0" w:color="auto"/>
            </w:tcBorders>
          </w:tcPr>
          <w:p w14:paraId="13C62159" w14:textId="77777777" w:rsidR="00810C20" w:rsidRPr="00632DBC" w:rsidRDefault="00810C20" w:rsidP="00CF7E8B">
            <w:pPr>
              <w:spacing w:after="0" w:line="240" w:lineRule="auto"/>
              <w:ind w:right="17"/>
              <w:jc w:val="both"/>
              <w:rPr>
                <w:rFonts w:ascii="Times New Roman" w:hAnsi="Times New Roman"/>
                <w:sz w:val="18"/>
                <w:szCs w:val="18"/>
                <w:lang w:eastAsia="es-ES" w:bidi="ar-SA"/>
              </w:rPr>
            </w:pPr>
          </w:p>
          <w:p w14:paraId="32FA1771" w14:textId="77777777" w:rsidR="00810C20" w:rsidRPr="00632DBC" w:rsidRDefault="00810C20" w:rsidP="003966BA">
            <w:pPr>
              <w:numPr>
                <w:ilvl w:val="0"/>
                <w:numId w:val="25"/>
              </w:numPr>
              <w:spacing w:after="0" w:line="240" w:lineRule="auto"/>
              <w:ind w:right="17"/>
              <w:contextualSpacing/>
              <w:rPr>
                <w:rFonts w:ascii="Times New Roman" w:hAnsi="Times New Roman"/>
                <w:bCs/>
                <w:sz w:val="18"/>
                <w:szCs w:val="18"/>
                <w:lang w:eastAsia="es-ES"/>
              </w:rPr>
            </w:pPr>
            <w:r w:rsidRPr="00632DBC">
              <w:rPr>
                <w:rFonts w:ascii="Times New Roman" w:hAnsi="Times New Roman"/>
                <w:sz w:val="18"/>
                <w:szCs w:val="18"/>
                <w:lang w:eastAsia="es-ES"/>
              </w:rPr>
              <w:t xml:space="preserve">The Universal Declaration of Principles of </w:t>
            </w:r>
            <w:r w:rsidRPr="00632DBC">
              <w:rPr>
                <w:rFonts w:ascii="Times New Roman" w:hAnsi="Times New Roman"/>
                <w:bCs/>
                <w:sz w:val="18"/>
                <w:szCs w:val="18"/>
                <w:lang w:eastAsia="es-ES"/>
              </w:rPr>
              <w:t>International Cultural Co-operation (UNESCO, 1966)</w:t>
            </w:r>
          </w:p>
          <w:p w14:paraId="3F622829" w14:textId="77777777" w:rsidR="00810C20" w:rsidRPr="00632DBC" w:rsidRDefault="00810C20" w:rsidP="003966BA">
            <w:pPr>
              <w:numPr>
                <w:ilvl w:val="0"/>
                <w:numId w:val="25"/>
              </w:numPr>
              <w:spacing w:after="0" w:line="240" w:lineRule="auto"/>
              <w:ind w:right="17"/>
              <w:contextualSpacing/>
              <w:jc w:val="both"/>
              <w:rPr>
                <w:rFonts w:ascii="Times New Roman" w:hAnsi="Times New Roman"/>
                <w:sz w:val="18"/>
                <w:szCs w:val="18"/>
                <w:lang w:eastAsia="es-ES"/>
              </w:rPr>
            </w:pPr>
            <w:r w:rsidRPr="00632DBC">
              <w:rPr>
                <w:rFonts w:ascii="Times New Roman" w:hAnsi="Times New Roman"/>
                <w:sz w:val="18"/>
                <w:szCs w:val="18"/>
                <w:lang w:eastAsia="es-ES"/>
              </w:rPr>
              <w:t>The Tunis Model Law on Copyright for Developing Countries (UNESCO/WIPO, 1976)</w:t>
            </w:r>
          </w:p>
          <w:p w14:paraId="33AB8C21" w14:textId="77777777" w:rsidR="00810C20" w:rsidRPr="00632DBC" w:rsidRDefault="00810C20" w:rsidP="003966BA">
            <w:pPr>
              <w:numPr>
                <w:ilvl w:val="0"/>
                <w:numId w:val="25"/>
              </w:numPr>
              <w:spacing w:after="0" w:line="240" w:lineRule="auto"/>
              <w:ind w:right="17"/>
              <w:contextualSpacing/>
              <w:jc w:val="both"/>
              <w:rPr>
                <w:rFonts w:ascii="Times New Roman" w:hAnsi="Times New Roman"/>
                <w:sz w:val="18"/>
                <w:szCs w:val="18"/>
                <w:lang w:eastAsia="es-ES"/>
              </w:rPr>
            </w:pPr>
            <w:r w:rsidRPr="00632DBC">
              <w:rPr>
                <w:rFonts w:ascii="Times New Roman" w:hAnsi="Times New Roman"/>
                <w:sz w:val="18"/>
                <w:szCs w:val="18"/>
                <w:lang w:eastAsia="es-ES"/>
              </w:rPr>
              <w:t>Model Provisions for National Laws on the Protection of Expressions of Folklore Against Illicit Exploitation and Other Prejudicial Actions (UNESCO/WIPO, 1982)</w:t>
            </w:r>
          </w:p>
          <w:p w14:paraId="572BA2A8" w14:textId="77777777" w:rsidR="00810C20" w:rsidRPr="00632DBC" w:rsidRDefault="00810C20" w:rsidP="003966BA">
            <w:pPr>
              <w:numPr>
                <w:ilvl w:val="0"/>
                <w:numId w:val="25"/>
              </w:numPr>
              <w:spacing w:after="0" w:line="240" w:lineRule="auto"/>
              <w:ind w:right="17"/>
              <w:contextualSpacing/>
              <w:jc w:val="both"/>
              <w:rPr>
                <w:rFonts w:ascii="Times New Roman" w:hAnsi="Times New Roman"/>
                <w:sz w:val="18"/>
                <w:szCs w:val="18"/>
                <w:lang w:eastAsia="es-ES"/>
              </w:rPr>
            </w:pPr>
            <w:r w:rsidRPr="00632DBC">
              <w:rPr>
                <w:rFonts w:ascii="Times New Roman" w:hAnsi="Times New Roman"/>
                <w:sz w:val="18"/>
                <w:szCs w:val="18"/>
                <w:lang w:eastAsia="es-ES"/>
              </w:rPr>
              <w:t>Recommendation on the Safeguarding of Traditional Culture and Folklore adopted by the General Conference at its twenty fifth session (UNESCO, 1989)</w:t>
            </w:r>
          </w:p>
          <w:p w14:paraId="400BEA9C" w14:textId="77777777" w:rsidR="00810C20" w:rsidRPr="00632DBC" w:rsidRDefault="00810C20" w:rsidP="003966BA">
            <w:pPr>
              <w:numPr>
                <w:ilvl w:val="0"/>
                <w:numId w:val="25"/>
              </w:numPr>
              <w:spacing w:after="0" w:line="240" w:lineRule="auto"/>
              <w:ind w:right="17"/>
              <w:contextualSpacing/>
              <w:jc w:val="both"/>
              <w:rPr>
                <w:rFonts w:ascii="Times New Roman" w:hAnsi="Times New Roman"/>
                <w:sz w:val="18"/>
                <w:szCs w:val="18"/>
                <w:lang w:eastAsia="es-ES"/>
              </w:rPr>
            </w:pPr>
            <w:proofErr w:type="spellStart"/>
            <w:r w:rsidRPr="00632DBC">
              <w:rPr>
                <w:rFonts w:ascii="Times New Roman" w:hAnsi="Times New Roman"/>
                <w:sz w:val="18"/>
                <w:szCs w:val="18"/>
                <w:lang w:eastAsia="es-ES"/>
              </w:rPr>
              <w:t>Mataatua</w:t>
            </w:r>
            <w:proofErr w:type="spellEnd"/>
            <w:r w:rsidRPr="00632DBC">
              <w:rPr>
                <w:rFonts w:ascii="Times New Roman" w:hAnsi="Times New Roman"/>
                <w:sz w:val="18"/>
                <w:szCs w:val="18"/>
                <w:lang w:eastAsia="es-ES"/>
              </w:rPr>
              <w:t xml:space="preserve"> Declaration on Cultural and Intellectual Property Rights of Indigenous Peoples (UNHR, 1993)</w:t>
            </w:r>
          </w:p>
          <w:p w14:paraId="24344BE0" w14:textId="77777777" w:rsidR="00810C20" w:rsidRPr="00632DBC" w:rsidRDefault="00810C20" w:rsidP="003966BA">
            <w:pPr>
              <w:numPr>
                <w:ilvl w:val="0"/>
                <w:numId w:val="25"/>
              </w:numPr>
              <w:spacing w:after="0" w:line="240" w:lineRule="auto"/>
              <w:ind w:right="17"/>
              <w:contextualSpacing/>
              <w:jc w:val="both"/>
              <w:rPr>
                <w:rFonts w:ascii="Times New Roman" w:hAnsi="Times New Roman"/>
                <w:sz w:val="18"/>
                <w:szCs w:val="18"/>
                <w:lang w:eastAsia="es-ES"/>
              </w:rPr>
            </w:pPr>
            <w:r w:rsidRPr="00632DBC">
              <w:rPr>
                <w:rFonts w:ascii="Times New Roman" w:hAnsi="Times New Roman"/>
                <w:sz w:val="18"/>
                <w:szCs w:val="18"/>
                <w:lang w:eastAsia="es-ES"/>
              </w:rPr>
              <w:t>Pacific Regional Framework for the Protection of TK and Expressions of Culture to assist Pacific Island countries and territories wishing to legally protect its Traditional Knowledge and Expressions of Culture (UNESCO, 2002)</w:t>
            </w:r>
          </w:p>
          <w:p w14:paraId="054F84C1" w14:textId="77777777" w:rsidR="00810C20" w:rsidRPr="00632DBC" w:rsidRDefault="00810C20" w:rsidP="003966BA">
            <w:pPr>
              <w:numPr>
                <w:ilvl w:val="0"/>
                <w:numId w:val="25"/>
              </w:numPr>
              <w:spacing w:after="0" w:line="240" w:lineRule="auto"/>
              <w:ind w:right="17"/>
              <w:contextualSpacing/>
              <w:jc w:val="both"/>
              <w:rPr>
                <w:rFonts w:ascii="Times New Roman" w:hAnsi="Times New Roman"/>
                <w:sz w:val="18"/>
                <w:szCs w:val="18"/>
                <w:lang w:eastAsia="es-ES"/>
              </w:rPr>
            </w:pPr>
            <w:r w:rsidRPr="00632DBC">
              <w:rPr>
                <w:rFonts w:ascii="Times New Roman" w:hAnsi="Times New Roman"/>
                <w:sz w:val="18"/>
                <w:szCs w:val="18"/>
                <w:lang w:eastAsia="es-ES"/>
              </w:rPr>
              <w:t xml:space="preserve">Cusco Declaration </w:t>
            </w:r>
            <w:r w:rsidRPr="00632DBC">
              <w:rPr>
                <w:rFonts w:ascii="Times New Roman" w:hAnsi="Times New Roman"/>
                <w:bCs/>
                <w:sz w:val="18"/>
                <w:szCs w:val="18"/>
                <w:lang w:eastAsia="es-ES"/>
              </w:rPr>
              <w:t>on Access to Genetic Resources, Traditional Knowledge and Intellectual Property Rights of Like-Minded Megadiverse Countries (UNASUR, 2002)</w:t>
            </w:r>
          </w:p>
          <w:p w14:paraId="56A49250" w14:textId="77777777" w:rsidR="00810C20" w:rsidRPr="00632DBC" w:rsidRDefault="00810C20" w:rsidP="003966BA">
            <w:pPr>
              <w:numPr>
                <w:ilvl w:val="0"/>
                <w:numId w:val="25"/>
              </w:numPr>
              <w:spacing w:after="0" w:line="240" w:lineRule="auto"/>
              <w:ind w:right="17"/>
              <w:rPr>
                <w:rFonts w:ascii="Times New Roman" w:hAnsi="Times New Roman"/>
                <w:sz w:val="18"/>
                <w:szCs w:val="18"/>
                <w:lang w:eastAsia="es-ES" w:bidi="ar-SA"/>
              </w:rPr>
            </w:pPr>
            <w:r w:rsidRPr="00632DBC">
              <w:rPr>
                <w:rFonts w:ascii="Times New Roman" w:hAnsi="Times New Roman"/>
                <w:sz w:val="18"/>
                <w:szCs w:val="18"/>
                <w:lang w:eastAsia="es-ES" w:bidi="ar-SA"/>
              </w:rPr>
              <w:t>Declaration on Cultural Diversity (UNESCO, 2001)</w:t>
            </w:r>
          </w:p>
          <w:p w14:paraId="028DFBBB" w14:textId="77777777" w:rsidR="00810C20" w:rsidRPr="00632DBC" w:rsidRDefault="00810C20" w:rsidP="00CF7E8B">
            <w:pPr>
              <w:spacing w:after="0" w:line="240" w:lineRule="auto"/>
              <w:ind w:left="360" w:right="17"/>
              <w:jc w:val="both"/>
              <w:rPr>
                <w:rFonts w:ascii="Times New Roman" w:hAnsi="Times New Roman"/>
                <w:sz w:val="18"/>
                <w:szCs w:val="18"/>
                <w:lang w:eastAsia="es-ES"/>
              </w:rPr>
            </w:pPr>
          </w:p>
        </w:tc>
      </w:tr>
    </w:tbl>
    <w:p w14:paraId="1C15C21B" w14:textId="77777777" w:rsidR="00810C20" w:rsidRPr="00632DBC" w:rsidRDefault="00810C20" w:rsidP="00810C20">
      <w:pPr>
        <w:spacing w:line="240" w:lineRule="auto"/>
        <w:jc w:val="both"/>
        <w:rPr>
          <w:rFonts w:ascii="Times New Roman" w:hAnsi="Times New Roman"/>
          <w:sz w:val="20"/>
          <w:szCs w:val="20"/>
        </w:rPr>
      </w:pPr>
    </w:p>
    <w:p w14:paraId="09C457B5" w14:textId="3CE8A134" w:rsidR="00810C20" w:rsidRPr="00632DBC" w:rsidRDefault="00810C20" w:rsidP="007E3D89">
      <w:pPr>
        <w:spacing w:before="200" w:after="0" w:line="240" w:lineRule="auto"/>
        <w:rPr>
          <w:rFonts w:ascii="Times New Roman" w:hAnsi="Times New Roman"/>
        </w:rPr>
        <w:sectPr w:rsidR="00810C20" w:rsidRPr="00632DBC" w:rsidSect="00CF7E8B">
          <w:pgSz w:w="16838" w:h="11906" w:orient="landscape"/>
          <w:pgMar w:top="1417" w:right="1134" w:bottom="1417" w:left="1276" w:header="708" w:footer="209" w:gutter="0"/>
          <w:cols w:space="708"/>
          <w:titlePg/>
          <w:docGrid w:linePitch="360"/>
        </w:sectPr>
      </w:pPr>
      <w:r w:rsidRPr="00632DBC">
        <w:rPr>
          <w:rFonts w:ascii="Times New Roman" w:hAnsi="Times New Roman"/>
          <w:sz w:val="20"/>
          <w:szCs w:val="20"/>
        </w:rPr>
        <w:t>Source: own elaboration based on various sources including e.g. UNEP (2006) Manual on Compliance with and Enforcement of Multilateral Environmental Agreements, UNEP/</w:t>
      </w:r>
      <w:proofErr w:type="spellStart"/>
      <w:r w:rsidRPr="00632DBC">
        <w:rPr>
          <w:rFonts w:ascii="Times New Roman" w:hAnsi="Times New Roman"/>
          <w:sz w:val="20"/>
          <w:szCs w:val="20"/>
        </w:rPr>
        <w:t>Earthprint</w:t>
      </w:r>
      <w:proofErr w:type="spellEnd"/>
      <w:r w:rsidRPr="00632DBC">
        <w:rPr>
          <w:rFonts w:ascii="Times New Roman" w:hAnsi="Times New Roman"/>
          <w:sz w:val="20"/>
          <w:szCs w:val="20"/>
        </w:rPr>
        <w:t xml:space="preserve"> and Sands, P., &amp; Peel, J.,</w:t>
      </w:r>
      <w:r w:rsidR="007A614C" w:rsidRPr="00632DBC">
        <w:rPr>
          <w:rFonts w:ascii="Times New Roman" w:hAnsi="Times New Roman"/>
          <w:sz w:val="20"/>
          <w:szCs w:val="20"/>
        </w:rPr>
        <w:t xml:space="preserve"> </w:t>
      </w:r>
      <w:r w:rsidRPr="00632DBC">
        <w:rPr>
          <w:rFonts w:ascii="Times New Roman" w:hAnsi="Times New Roman"/>
          <w:sz w:val="20"/>
          <w:szCs w:val="20"/>
        </w:rPr>
        <w:t>2012. Principles of international environmental law. Cambridge University Press, UK</w:t>
      </w:r>
      <w:r w:rsidRPr="00632DBC">
        <w:rPr>
          <w:rFonts w:ascii="Times New Roman" w:hAnsi="Times New Roman"/>
        </w:rPr>
        <w:t xml:space="preserve">. </w:t>
      </w:r>
    </w:p>
    <w:p w14:paraId="4C6582AF" w14:textId="77777777" w:rsidR="00810C20" w:rsidRPr="00632DBC" w:rsidRDefault="00810C20" w:rsidP="00810C20">
      <w:pPr>
        <w:spacing w:line="240" w:lineRule="auto"/>
        <w:jc w:val="both"/>
        <w:rPr>
          <w:rFonts w:ascii="Times New Roman" w:hAnsi="Times New Roman"/>
        </w:rPr>
      </w:pPr>
      <w:bookmarkStart w:id="54" w:name="_Toc336968693"/>
      <w:bookmarkStart w:id="55" w:name="_Toc337217550"/>
      <w:bookmarkStart w:id="56" w:name="_Toc337217931"/>
      <w:r w:rsidRPr="00632DBC">
        <w:rPr>
          <w:rFonts w:ascii="Times New Roman" w:hAnsi="Times New Roman"/>
        </w:rPr>
        <w:lastRenderedPageBreak/>
        <w:t xml:space="preserve"> </w:t>
      </w:r>
    </w:p>
    <w:p w14:paraId="6D535BCC" w14:textId="77777777" w:rsidR="00810C20" w:rsidRPr="00632DBC" w:rsidRDefault="00810C20" w:rsidP="00810C20">
      <w:pPr>
        <w:spacing w:line="240" w:lineRule="auto"/>
        <w:jc w:val="both"/>
        <w:rPr>
          <w:rFonts w:ascii="Times New Roman" w:hAnsi="Times New Roman"/>
          <w:i/>
        </w:rPr>
      </w:pPr>
    </w:p>
    <w:p w14:paraId="31F5945A" w14:textId="77777777" w:rsidR="00810C20" w:rsidRPr="00633A71" w:rsidRDefault="00810C20" w:rsidP="00810C20">
      <w:pPr>
        <w:spacing w:line="240" w:lineRule="auto"/>
        <w:jc w:val="both"/>
        <w:rPr>
          <w:rFonts w:ascii="Times New Roman" w:hAnsi="Times New Roman"/>
        </w:rPr>
      </w:pPr>
      <w:r w:rsidRPr="00632DBC">
        <w:rPr>
          <w:rFonts w:ascii="Times New Roman" w:hAnsi="Times New Roman"/>
        </w:rPr>
        <w:t xml:space="preserve">The emphasis of some guidelines is on substantive safeguards while others in procedural safeguards (see Table 2 below). The guidelines and safeguards enshrine internationally agreed commitments; a non-exhaustive selection of provisions is included in Table 2. </w:t>
      </w:r>
      <w:r w:rsidRPr="00633A71">
        <w:rPr>
          <w:rStyle w:val="FootnoteReference"/>
          <w:rFonts w:ascii="Times New Roman" w:hAnsi="Times New Roman"/>
        </w:rPr>
        <w:footnoteReference w:id="78"/>
      </w:r>
    </w:p>
    <w:p w14:paraId="7F8ABC75" w14:textId="21DD7F41" w:rsidR="008D066F" w:rsidRPr="00632DBC" w:rsidRDefault="008D066F" w:rsidP="00DF2423">
      <w:pPr>
        <w:pStyle w:val="Caption"/>
      </w:pPr>
      <w:bookmarkStart w:id="57" w:name="_Toc398935606"/>
      <w:bookmarkStart w:id="58" w:name="_Toc398936071"/>
      <w:bookmarkStart w:id="59" w:name="_Toc529192211"/>
      <w:r w:rsidRPr="00633A71">
        <w:t xml:space="preserve">Table </w:t>
      </w:r>
      <w:r w:rsidR="00A262C9" w:rsidRPr="00632DBC">
        <w:rPr>
          <w:noProof/>
        </w:rPr>
        <w:fldChar w:fldCharType="begin"/>
      </w:r>
      <w:r w:rsidR="00A262C9" w:rsidRPr="00632DBC">
        <w:rPr>
          <w:noProof/>
        </w:rPr>
        <w:instrText xml:space="preserve"> SEQ Table \* ARABIC </w:instrText>
      </w:r>
      <w:r w:rsidR="00A262C9" w:rsidRPr="00632DBC">
        <w:rPr>
          <w:noProof/>
        </w:rPr>
        <w:fldChar w:fldCharType="separate"/>
      </w:r>
      <w:r w:rsidR="00251833" w:rsidRPr="00632DBC">
        <w:rPr>
          <w:noProof/>
        </w:rPr>
        <w:t>2</w:t>
      </w:r>
      <w:r w:rsidR="00A262C9" w:rsidRPr="00632DBC">
        <w:rPr>
          <w:noProof/>
        </w:rPr>
        <w:fldChar w:fldCharType="end"/>
      </w:r>
      <w:r w:rsidRPr="00632DBC">
        <w:t>. Types of safeguards and guidelines</w:t>
      </w:r>
      <w:bookmarkEnd w:id="57"/>
      <w:bookmarkEnd w:id="58"/>
      <w:bookmarkEnd w:id="59"/>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1668"/>
        <w:gridCol w:w="3130"/>
        <w:gridCol w:w="2826"/>
        <w:gridCol w:w="3244"/>
        <w:gridCol w:w="3540"/>
      </w:tblGrid>
      <w:tr w:rsidR="00633A71" w:rsidRPr="00632DBC" w14:paraId="1BAB4695" w14:textId="77777777" w:rsidTr="00CF7E8B">
        <w:trPr>
          <w:trHeight w:val="591"/>
        </w:trPr>
        <w:tc>
          <w:tcPr>
            <w:tcW w:w="0" w:type="auto"/>
            <w:tcBorders>
              <w:bottom w:val="single" w:sz="8" w:space="0" w:color="000000"/>
            </w:tcBorders>
            <w:shd w:val="clear" w:color="auto" w:fill="FFFFFF"/>
            <w:tcMar>
              <w:top w:w="11" w:type="dxa"/>
              <w:left w:w="70" w:type="dxa"/>
              <w:bottom w:w="0" w:type="dxa"/>
              <w:right w:w="70" w:type="dxa"/>
            </w:tcMar>
            <w:hideMark/>
          </w:tcPr>
          <w:p w14:paraId="4CE87558" w14:textId="77777777" w:rsidR="00810C20" w:rsidRPr="00632DBC" w:rsidRDefault="00810C20" w:rsidP="00CF7E8B">
            <w:pPr>
              <w:rPr>
                <w:rFonts w:ascii="Calibri" w:hAnsi="Calibri"/>
              </w:rPr>
            </w:pPr>
          </w:p>
        </w:tc>
        <w:tc>
          <w:tcPr>
            <w:tcW w:w="0" w:type="auto"/>
            <w:gridSpan w:val="4"/>
            <w:shd w:val="pct10" w:color="auto" w:fill="FFFFFF"/>
            <w:tcMar>
              <w:top w:w="11" w:type="dxa"/>
              <w:left w:w="70" w:type="dxa"/>
              <w:bottom w:w="0" w:type="dxa"/>
              <w:right w:w="70" w:type="dxa"/>
            </w:tcMar>
            <w:hideMark/>
          </w:tcPr>
          <w:p w14:paraId="0CEA82DE" w14:textId="77777777" w:rsidR="00810C20" w:rsidRPr="00632DBC" w:rsidRDefault="00810C20" w:rsidP="00CF7E8B">
            <w:pPr>
              <w:rPr>
                <w:rFonts w:ascii="Calibri" w:hAnsi="Calibri"/>
              </w:rPr>
            </w:pPr>
            <w:r w:rsidRPr="00632DBC">
              <w:rPr>
                <w:rFonts w:ascii="Calibri" w:hAnsi="Calibri"/>
                <w:b/>
                <w:bCs/>
              </w:rPr>
              <w:t>GUIDELINES</w:t>
            </w:r>
          </w:p>
        </w:tc>
      </w:tr>
      <w:tr w:rsidR="00633A71" w:rsidRPr="00632DBC" w14:paraId="4405D79D" w14:textId="77777777" w:rsidTr="00CF7E8B">
        <w:trPr>
          <w:trHeight w:val="1119"/>
        </w:trPr>
        <w:tc>
          <w:tcPr>
            <w:tcW w:w="0" w:type="auto"/>
            <w:shd w:val="pct5" w:color="auto" w:fill="FFFFFF"/>
            <w:tcMar>
              <w:top w:w="11" w:type="dxa"/>
              <w:left w:w="70" w:type="dxa"/>
              <w:bottom w:w="0" w:type="dxa"/>
              <w:right w:w="70" w:type="dxa"/>
            </w:tcMar>
            <w:hideMark/>
          </w:tcPr>
          <w:p w14:paraId="14BF83FE" w14:textId="77777777" w:rsidR="00810C20" w:rsidRPr="00632DBC" w:rsidRDefault="00810C20" w:rsidP="00CF7E8B">
            <w:pPr>
              <w:rPr>
                <w:rFonts w:ascii="Calibri" w:hAnsi="Calibri"/>
              </w:rPr>
            </w:pPr>
            <w:r w:rsidRPr="00632DBC">
              <w:rPr>
                <w:rFonts w:ascii="Calibri" w:hAnsi="Calibri"/>
                <w:b/>
                <w:bCs/>
              </w:rPr>
              <w:t>TYPES OF SAFEGUARDS</w:t>
            </w:r>
          </w:p>
        </w:tc>
        <w:tc>
          <w:tcPr>
            <w:tcW w:w="0" w:type="auto"/>
            <w:shd w:val="pct10" w:color="auto" w:fill="FFFFFF"/>
            <w:tcMar>
              <w:top w:w="11" w:type="dxa"/>
              <w:left w:w="70" w:type="dxa"/>
              <w:bottom w:w="0" w:type="dxa"/>
              <w:right w:w="70" w:type="dxa"/>
            </w:tcMar>
            <w:hideMark/>
          </w:tcPr>
          <w:p w14:paraId="12377427" w14:textId="77777777" w:rsidR="00810C20" w:rsidRPr="00632DBC" w:rsidRDefault="00810C20" w:rsidP="00CF7E8B">
            <w:pPr>
              <w:rPr>
                <w:rFonts w:ascii="Calibri" w:hAnsi="Calibri"/>
              </w:rPr>
            </w:pPr>
            <w:r w:rsidRPr="00632DBC">
              <w:rPr>
                <w:rFonts w:ascii="Calibri" w:hAnsi="Calibri"/>
                <w:b/>
                <w:bCs/>
              </w:rPr>
              <w:t>Biodiversity underpins local livelihoods and resilience</w:t>
            </w:r>
          </w:p>
        </w:tc>
        <w:tc>
          <w:tcPr>
            <w:tcW w:w="0" w:type="auto"/>
            <w:shd w:val="pct10" w:color="auto" w:fill="FFFFFF"/>
            <w:tcMar>
              <w:top w:w="11" w:type="dxa"/>
              <w:left w:w="70" w:type="dxa"/>
              <w:bottom w:w="0" w:type="dxa"/>
              <w:right w:w="70" w:type="dxa"/>
            </w:tcMar>
            <w:hideMark/>
          </w:tcPr>
          <w:p w14:paraId="746FBD94" w14:textId="491F02D6" w:rsidR="00810C20" w:rsidRPr="00632DBC" w:rsidRDefault="00810C20" w:rsidP="00CF7E8B">
            <w:pPr>
              <w:rPr>
                <w:rFonts w:ascii="Calibri" w:hAnsi="Calibri"/>
              </w:rPr>
            </w:pPr>
            <w:r w:rsidRPr="00632DBC">
              <w:rPr>
                <w:rFonts w:ascii="Calibri" w:hAnsi="Calibri"/>
                <w:b/>
                <w:bCs/>
              </w:rPr>
              <w:t xml:space="preserve">People’s rights, </w:t>
            </w:r>
            <w:r w:rsidR="005A76DB" w:rsidRPr="00632DBC">
              <w:rPr>
                <w:rFonts w:ascii="Calibri" w:hAnsi="Calibri"/>
                <w:b/>
                <w:bCs/>
              </w:rPr>
              <w:t>responsibilities and effective participation</w:t>
            </w:r>
            <w:r w:rsidRPr="00632DBC">
              <w:rPr>
                <w:rFonts w:ascii="Calibri" w:hAnsi="Calibri"/>
                <w:b/>
                <w:bCs/>
              </w:rPr>
              <w:t xml:space="preserve"> </w:t>
            </w:r>
          </w:p>
        </w:tc>
        <w:tc>
          <w:tcPr>
            <w:tcW w:w="0" w:type="auto"/>
            <w:shd w:val="pct10" w:color="auto" w:fill="FFFFFF"/>
            <w:tcMar>
              <w:top w:w="11" w:type="dxa"/>
              <w:left w:w="70" w:type="dxa"/>
              <w:bottom w:w="0" w:type="dxa"/>
              <w:right w:w="70" w:type="dxa"/>
            </w:tcMar>
            <w:hideMark/>
          </w:tcPr>
          <w:p w14:paraId="7DC8C68E" w14:textId="77777777" w:rsidR="00810C20" w:rsidRPr="00632DBC" w:rsidRDefault="00810C20" w:rsidP="00CF7E8B">
            <w:pPr>
              <w:rPr>
                <w:rFonts w:ascii="Calibri" w:hAnsi="Calibri"/>
              </w:rPr>
            </w:pPr>
            <w:r w:rsidRPr="00632DBC">
              <w:rPr>
                <w:rFonts w:ascii="Calibri" w:hAnsi="Calibri"/>
                <w:b/>
                <w:bCs/>
              </w:rPr>
              <w:t xml:space="preserve">Local and country-driven/ specific processes linked to the international level </w:t>
            </w:r>
          </w:p>
        </w:tc>
        <w:tc>
          <w:tcPr>
            <w:tcW w:w="0" w:type="auto"/>
            <w:shd w:val="pct10" w:color="auto" w:fill="FFFFFF"/>
            <w:tcMar>
              <w:top w:w="11" w:type="dxa"/>
              <w:left w:w="70" w:type="dxa"/>
              <w:bottom w:w="0" w:type="dxa"/>
              <w:right w:w="70" w:type="dxa"/>
            </w:tcMar>
            <w:hideMark/>
          </w:tcPr>
          <w:p w14:paraId="1A763617" w14:textId="09F51A95" w:rsidR="00810C20" w:rsidRPr="00632DBC" w:rsidRDefault="003F6434" w:rsidP="00CF7E8B">
            <w:pPr>
              <w:rPr>
                <w:rFonts w:ascii="Calibri" w:hAnsi="Calibri"/>
              </w:rPr>
            </w:pPr>
            <w:r w:rsidRPr="00632DBC">
              <w:rPr>
                <w:rFonts w:ascii="Calibri" w:hAnsi="Calibri"/>
                <w:b/>
                <w:bCs/>
              </w:rPr>
              <w:t>Governance, institutional frameworks, transparency, accountability and compliance</w:t>
            </w:r>
            <w:r w:rsidR="00810C20" w:rsidRPr="00632DBC">
              <w:rPr>
                <w:rFonts w:ascii="Calibri" w:hAnsi="Calibri"/>
                <w:b/>
                <w:bCs/>
              </w:rPr>
              <w:t xml:space="preserve"> </w:t>
            </w:r>
          </w:p>
        </w:tc>
      </w:tr>
      <w:tr w:rsidR="00633A71" w:rsidRPr="00632DBC" w14:paraId="6A04E2DC" w14:textId="77777777" w:rsidTr="00CF7E8B">
        <w:trPr>
          <w:trHeight w:val="1093"/>
        </w:trPr>
        <w:tc>
          <w:tcPr>
            <w:tcW w:w="0" w:type="auto"/>
            <w:shd w:val="pct5" w:color="auto" w:fill="FFFFFF"/>
            <w:tcMar>
              <w:top w:w="11" w:type="dxa"/>
              <w:left w:w="70" w:type="dxa"/>
              <w:bottom w:w="0" w:type="dxa"/>
              <w:right w:w="70" w:type="dxa"/>
            </w:tcMar>
            <w:hideMark/>
          </w:tcPr>
          <w:p w14:paraId="2F2D71E9" w14:textId="77777777" w:rsidR="00810C20" w:rsidRPr="00632DBC" w:rsidRDefault="00810C20" w:rsidP="00CF7E8B">
            <w:pPr>
              <w:rPr>
                <w:rFonts w:ascii="Calibri" w:hAnsi="Calibri"/>
              </w:rPr>
            </w:pPr>
            <w:r w:rsidRPr="00632DBC">
              <w:rPr>
                <w:rFonts w:ascii="Calibri" w:hAnsi="Calibri"/>
                <w:b/>
                <w:bCs/>
              </w:rPr>
              <w:t xml:space="preserve">Substantive safeguards </w:t>
            </w:r>
          </w:p>
        </w:tc>
        <w:tc>
          <w:tcPr>
            <w:tcW w:w="0" w:type="auto"/>
            <w:shd w:val="clear" w:color="auto" w:fill="FFFFFF"/>
            <w:tcMar>
              <w:top w:w="11" w:type="dxa"/>
              <w:left w:w="70" w:type="dxa"/>
              <w:bottom w:w="0" w:type="dxa"/>
              <w:right w:w="70" w:type="dxa"/>
            </w:tcMar>
            <w:hideMark/>
          </w:tcPr>
          <w:p w14:paraId="7D77C33E" w14:textId="77777777" w:rsidR="00810C20" w:rsidRPr="00632DBC" w:rsidRDefault="00810C20" w:rsidP="00CF7E8B">
            <w:pPr>
              <w:rPr>
                <w:rFonts w:ascii="Calibri" w:hAnsi="Calibri"/>
                <w:b/>
                <w:bCs/>
              </w:rPr>
            </w:pPr>
            <w:r w:rsidRPr="00632DBC">
              <w:rPr>
                <w:rFonts w:ascii="Calibri" w:hAnsi="Calibri"/>
                <w:b/>
                <w:bCs/>
              </w:rPr>
              <w:t xml:space="preserve">X </w:t>
            </w:r>
          </w:p>
          <w:p w14:paraId="768A2C4A"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Convention on Biological Diversity (Art 1, 2 ,3, 8(c, k), 15.1) </w:t>
            </w:r>
          </w:p>
          <w:p w14:paraId="2DD1FC02" w14:textId="77777777" w:rsidR="00810C20" w:rsidRPr="00632DBC" w:rsidRDefault="00810C20" w:rsidP="00CF7E8B">
            <w:pPr>
              <w:pStyle w:val="FootnoteText"/>
              <w:spacing w:after="0"/>
              <w:rPr>
                <w:rFonts w:ascii="Calibri" w:hAnsi="Calibri"/>
                <w:bCs/>
                <w:lang w:val="en-GB"/>
              </w:rPr>
            </w:pPr>
          </w:p>
          <w:p w14:paraId="6BBDAC92"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Convention on Intangible Cultural Heritage, (Art. 11). </w:t>
            </w:r>
          </w:p>
          <w:p w14:paraId="669240B1" w14:textId="77777777" w:rsidR="00810C20" w:rsidRPr="00632DBC" w:rsidRDefault="00810C20" w:rsidP="00CF7E8B">
            <w:pPr>
              <w:pStyle w:val="FootnoteText"/>
              <w:spacing w:after="0"/>
              <w:rPr>
                <w:rFonts w:ascii="Calibri" w:hAnsi="Calibri"/>
                <w:bCs/>
                <w:lang w:val="en-GB"/>
              </w:rPr>
            </w:pPr>
          </w:p>
          <w:p w14:paraId="13C8B69F" w14:textId="77777777" w:rsidR="00810C20" w:rsidRPr="00632DBC" w:rsidRDefault="00810C20" w:rsidP="00CF7E8B">
            <w:pPr>
              <w:pStyle w:val="FootnoteText"/>
              <w:spacing w:after="0"/>
              <w:rPr>
                <w:rFonts w:ascii="Calibri" w:hAnsi="Calibri"/>
                <w:lang w:val="en-GB"/>
              </w:rPr>
            </w:pPr>
            <w:r w:rsidRPr="00632DBC">
              <w:rPr>
                <w:rFonts w:ascii="Calibri" w:hAnsi="Calibri"/>
                <w:bCs/>
                <w:lang w:val="en-GB"/>
              </w:rPr>
              <w:t xml:space="preserve">United Nations Framework Convention on Climate Change, Decision 1/CP.16, Appendix 1 (1. d, g, k; </w:t>
            </w:r>
            <w:proofErr w:type="gramStart"/>
            <w:r w:rsidRPr="00632DBC">
              <w:rPr>
                <w:rFonts w:ascii="Calibri" w:hAnsi="Calibri"/>
                <w:bCs/>
                <w:lang w:val="en-GB"/>
              </w:rPr>
              <w:t>2.c,e</w:t>
            </w:r>
            <w:proofErr w:type="gramEnd"/>
            <w:r w:rsidRPr="00632DBC">
              <w:rPr>
                <w:rFonts w:ascii="Calibri" w:hAnsi="Calibri"/>
                <w:bCs/>
                <w:lang w:val="en-GB"/>
              </w:rPr>
              <w:t>)</w:t>
            </w:r>
          </w:p>
        </w:tc>
        <w:tc>
          <w:tcPr>
            <w:tcW w:w="0" w:type="auto"/>
            <w:shd w:val="clear" w:color="auto" w:fill="FFFFFF"/>
            <w:tcMar>
              <w:top w:w="11" w:type="dxa"/>
              <w:left w:w="70" w:type="dxa"/>
              <w:bottom w:w="0" w:type="dxa"/>
              <w:right w:w="70" w:type="dxa"/>
            </w:tcMar>
            <w:hideMark/>
          </w:tcPr>
          <w:p w14:paraId="1612AFF5" w14:textId="77777777" w:rsidR="00810C20" w:rsidRPr="00632DBC" w:rsidRDefault="00810C20" w:rsidP="00CF7E8B">
            <w:pPr>
              <w:rPr>
                <w:rFonts w:ascii="Calibri" w:hAnsi="Calibri"/>
                <w:b/>
                <w:bCs/>
              </w:rPr>
            </w:pPr>
            <w:r w:rsidRPr="00632DBC">
              <w:rPr>
                <w:rFonts w:ascii="Calibri" w:hAnsi="Calibri"/>
                <w:b/>
                <w:bCs/>
              </w:rPr>
              <w:t>X</w:t>
            </w:r>
          </w:p>
          <w:p w14:paraId="65F4F456"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Convention on Biological Diversity (Art 8(j), 10(c))</w:t>
            </w:r>
          </w:p>
          <w:p w14:paraId="014E7923" w14:textId="77777777" w:rsidR="00810C20" w:rsidRPr="00632DBC" w:rsidRDefault="00810C20" w:rsidP="00CF7E8B">
            <w:pPr>
              <w:pStyle w:val="FootnoteText"/>
              <w:spacing w:after="0"/>
              <w:rPr>
                <w:rFonts w:ascii="Calibri" w:hAnsi="Calibri"/>
                <w:bCs/>
                <w:lang w:val="en-GB"/>
              </w:rPr>
            </w:pPr>
          </w:p>
          <w:p w14:paraId="3A89EACA"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United Nations Framework Convention on Climate Change (Art 3 .1, 3.2)</w:t>
            </w:r>
          </w:p>
          <w:p w14:paraId="58010E44" w14:textId="77777777" w:rsidR="00810C20" w:rsidRPr="00632DBC" w:rsidRDefault="00810C20" w:rsidP="00CF7E8B">
            <w:pPr>
              <w:pStyle w:val="FootnoteText"/>
              <w:spacing w:after="0"/>
              <w:rPr>
                <w:rFonts w:ascii="Calibri" w:hAnsi="Calibri"/>
                <w:bCs/>
                <w:lang w:val="en-GB"/>
              </w:rPr>
            </w:pPr>
          </w:p>
          <w:p w14:paraId="3B8D2590"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International Covenant on Economic, Social and Cultural Rights, (Arts 1, 6, 11, 12);</w:t>
            </w:r>
          </w:p>
          <w:p w14:paraId="30E6DD81" w14:textId="77777777" w:rsidR="00810C20" w:rsidRPr="00632DBC" w:rsidRDefault="00810C20" w:rsidP="00CF7E8B">
            <w:pPr>
              <w:pStyle w:val="FootnoteText"/>
              <w:spacing w:after="0"/>
              <w:rPr>
                <w:rFonts w:ascii="Calibri" w:hAnsi="Calibri"/>
                <w:bCs/>
                <w:lang w:val="en-GB"/>
              </w:rPr>
            </w:pPr>
          </w:p>
          <w:p w14:paraId="23CC6FB0"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ILO Convention 169 (Arts. 3.1, 4,6,8, 13, 14, 15, 16), </w:t>
            </w:r>
          </w:p>
          <w:p w14:paraId="74E573E6" w14:textId="77777777" w:rsidR="00810C20" w:rsidRPr="00632DBC" w:rsidRDefault="00810C20" w:rsidP="00CF7E8B">
            <w:pPr>
              <w:pStyle w:val="FootnoteText"/>
              <w:spacing w:after="0"/>
              <w:rPr>
                <w:rFonts w:ascii="Calibri" w:hAnsi="Calibri"/>
                <w:bCs/>
                <w:lang w:val="en-GB"/>
              </w:rPr>
            </w:pPr>
          </w:p>
          <w:p w14:paraId="219C2AE7"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International Convention on the Elimination of All Forms of Racial Discrimination </w:t>
            </w:r>
          </w:p>
          <w:p w14:paraId="7F26AC91"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 (Art 2) </w:t>
            </w:r>
          </w:p>
          <w:p w14:paraId="09B72FEA" w14:textId="77777777" w:rsidR="00810C20" w:rsidRPr="00632DBC" w:rsidRDefault="00810C20" w:rsidP="00CF7E8B">
            <w:pPr>
              <w:pStyle w:val="FootnoteText"/>
              <w:spacing w:after="0"/>
              <w:rPr>
                <w:rFonts w:ascii="Calibri" w:hAnsi="Calibri"/>
                <w:bCs/>
                <w:lang w:val="en-GB"/>
              </w:rPr>
            </w:pPr>
          </w:p>
          <w:p w14:paraId="53B5D396"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Convention on the Rights of the Child (Art 30) </w:t>
            </w:r>
          </w:p>
          <w:p w14:paraId="01830873" w14:textId="77777777" w:rsidR="00810C20" w:rsidRPr="00632DBC" w:rsidRDefault="00810C20" w:rsidP="00CF7E8B">
            <w:pPr>
              <w:pStyle w:val="FootnoteText"/>
              <w:spacing w:after="0"/>
              <w:rPr>
                <w:rFonts w:ascii="Calibri" w:hAnsi="Calibri"/>
                <w:bCs/>
                <w:lang w:val="en-GB"/>
              </w:rPr>
            </w:pPr>
            <w:r w:rsidRPr="00632DBC">
              <w:rPr>
                <w:rStyle w:val="PageNumber"/>
                <w:rFonts w:ascii="Calibri" w:eastAsia="Calibri" w:hAnsi="Calibri" w:cs="Arial"/>
                <w:sz w:val="22"/>
                <w:lang w:val="en-GB"/>
              </w:rPr>
              <w:t xml:space="preserve"> </w:t>
            </w:r>
          </w:p>
        </w:tc>
        <w:tc>
          <w:tcPr>
            <w:tcW w:w="0" w:type="auto"/>
            <w:shd w:val="clear" w:color="auto" w:fill="FFFFFF"/>
            <w:tcMar>
              <w:top w:w="11" w:type="dxa"/>
              <w:left w:w="70" w:type="dxa"/>
              <w:bottom w:w="0" w:type="dxa"/>
              <w:right w:w="70" w:type="dxa"/>
            </w:tcMar>
            <w:hideMark/>
          </w:tcPr>
          <w:p w14:paraId="1AE7C6EC" w14:textId="77777777" w:rsidR="00810C20" w:rsidRPr="00632DBC" w:rsidRDefault="00810C20" w:rsidP="00CF7E8B">
            <w:pPr>
              <w:rPr>
                <w:rFonts w:ascii="Calibri" w:hAnsi="Calibri"/>
                <w:b/>
                <w:bCs/>
              </w:rPr>
            </w:pPr>
            <w:r w:rsidRPr="00632DBC">
              <w:rPr>
                <w:rFonts w:ascii="Calibri" w:hAnsi="Calibri"/>
                <w:b/>
                <w:bCs/>
              </w:rPr>
              <w:t xml:space="preserve">X </w:t>
            </w:r>
          </w:p>
          <w:p w14:paraId="48C7067B"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Convention on Biological Diversity (Art 5, 8(m), 9 (e), 10 (a) 14(c))</w:t>
            </w:r>
          </w:p>
          <w:p w14:paraId="16506B40" w14:textId="77777777" w:rsidR="00810C20" w:rsidRPr="00632DBC" w:rsidRDefault="00810C20" w:rsidP="00CF7E8B">
            <w:pPr>
              <w:pStyle w:val="FootnoteText"/>
              <w:spacing w:after="0"/>
              <w:rPr>
                <w:rFonts w:ascii="Calibri" w:hAnsi="Calibri"/>
                <w:bCs/>
                <w:lang w:val="en-GB"/>
              </w:rPr>
            </w:pPr>
          </w:p>
          <w:p w14:paraId="262F27DB"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Nagoya Protocol (Art. 11, 15 &amp; 16).</w:t>
            </w:r>
          </w:p>
          <w:p w14:paraId="7A18B979" w14:textId="77777777" w:rsidR="00810C20" w:rsidRPr="00632DBC" w:rsidRDefault="00810C20" w:rsidP="00CF7E8B">
            <w:pPr>
              <w:pStyle w:val="FootnoteText"/>
              <w:spacing w:after="0"/>
              <w:rPr>
                <w:rFonts w:ascii="Calibri" w:hAnsi="Calibri"/>
                <w:bCs/>
                <w:lang w:val="en-GB"/>
              </w:rPr>
            </w:pPr>
          </w:p>
          <w:p w14:paraId="21904AA6"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Convention on Intangible Cultural Heritage, (Art. 19).</w:t>
            </w:r>
          </w:p>
          <w:p w14:paraId="378C872A" w14:textId="77777777" w:rsidR="00810C20" w:rsidRPr="00632DBC" w:rsidRDefault="00810C20" w:rsidP="00CF7E8B">
            <w:pPr>
              <w:pStyle w:val="FootnoteText"/>
              <w:spacing w:after="0"/>
              <w:rPr>
                <w:rFonts w:ascii="Calibri" w:hAnsi="Calibri"/>
                <w:bCs/>
                <w:lang w:val="en-GB"/>
              </w:rPr>
            </w:pPr>
          </w:p>
          <w:p w14:paraId="252A2D54"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United Nations Framework Convention on Climate Change (Art 3 .1, 3.2)</w:t>
            </w:r>
          </w:p>
          <w:p w14:paraId="5E19A58A" w14:textId="77777777" w:rsidR="00810C20" w:rsidRPr="00632DBC" w:rsidRDefault="00810C20" w:rsidP="00CF7E8B">
            <w:pPr>
              <w:pStyle w:val="FootnoteText"/>
              <w:spacing w:after="0"/>
              <w:rPr>
                <w:rFonts w:ascii="Calibri" w:hAnsi="Calibri"/>
                <w:bCs/>
                <w:lang w:val="en-GB"/>
              </w:rPr>
            </w:pPr>
          </w:p>
          <w:p w14:paraId="18F0778D" w14:textId="77777777" w:rsidR="00810C20" w:rsidRPr="00632DBC" w:rsidRDefault="00810C20" w:rsidP="00CF7E8B">
            <w:pPr>
              <w:pStyle w:val="FootnoteText"/>
              <w:spacing w:after="0"/>
              <w:rPr>
                <w:rFonts w:ascii="Calibri" w:hAnsi="Calibri"/>
                <w:bCs/>
                <w:lang w:val="en-GB"/>
              </w:rPr>
            </w:pPr>
          </w:p>
          <w:p w14:paraId="5C271C96" w14:textId="77777777" w:rsidR="00810C20" w:rsidRPr="00632DBC" w:rsidRDefault="00810C20" w:rsidP="00CF7E8B">
            <w:pPr>
              <w:pStyle w:val="FootnoteText"/>
              <w:spacing w:after="0"/>
              <w:rPr>
                <w:rFonts w:ascii="Calibri" w:hAnsi="Calibri"/>
                <w:lang w:val="en-GB"/>
              </w:rPr>
            </w:pPr>
          </w:p>
        </w:tc>
        <w:tc>
          <w:tcPr>
            <w:tcW w:w="0" w:type="auto"/>
            <w:shd w:val="clear" w:color="auto" w:fill="FFFFFF"/>
            <w:tcMar>
              <w:top w:w="11" w:type="dxa"/>
              <w:left w:w="70" w:type="dxa"/>
              <w:bottom w:w="0" w:type="dxa"/>
              <w:right w:w="70" w:type="dxa"/>
            </w:tcMar>
            <w:hideMark/>
          </w:tcPr>
          <w:p w14:paraId="63808174" w14:textId="77777777" w:rsidR="00810C20" w:rsidRPr="00632DBC" w:rsidRDefault="00810C20" w:rsidP="00CF7E8B">
            <w:pPr>
              <w:rPr>
                <w:rFonts w:ascii="Calibri" w:hAnsi="Calibri"/>
              </w:rPr>
            </w:pPr>
          </w:p>
          <w:p w14:paraId="53F32C9C" w14:textId="77777777" w:rsidR="00810C20" w:rsidRPr="00632DBC" w:rsidRDefault="00810C20" w:rsidP="00CF7E8B">
            <w:pPr>
              <w:rPr>
                <w:rFonts w:ascii="Calibri" w:hAnsi="Calibri"/>
              </w:rPr>
            </w:pPr>
          </w:p>
          <w:p w14:paraId="330344F9" w14:textId="77777777" w:rsidR="00810C20" w:rsidRPr="00632DBC" w:rsidRDefault="00810C20" w:rsidP="00CF7E8B">
            <w:pPr>
              <w:rPr>
                <w:rFonts w:ascii="Calibri" w:hAnsi="Calibri"/>
              </w:rPr>
            </w:pPr>
          </w:p>
          <w:p w14:paraId="1F79D84E" w14:textId="77777777" w:rsidR="00810C20" w:rsidRPr="00632DBC" w:rsidRDefault="00810C20" w:rsidP="00CF7E8B">
            <w:pPr>
              <w:rPr>
                <w:rFonts w:ascii="Calibri" w:hAnsi="Calibri"/>
              </w:rPr>
            </w:pPr>
          </w:p>
          <w:p w14:paraId="206BE5A1" w14:textId="77777777" w:rsidR="00810C20" w:rsidRPr="00632DBC" w:rsidRDefault="00810C20" w:rsidP="00CF7E8B">
            <w:pPr>
              <w:rPr>
                <w:rFonts w:ascii="Calibri" w:hAnsi="Calibri"/>
              </w:rPr>
            </w:pPr>
          </w:p>
          <w:p w14:paraId="66551B4A" w14:textId="77777777" w:rsidR="00810C20" w:rsidRPr="00632DBC" w:rsidRDefault="00810C20" w:rsidP="00CF7E8B">
            <w:pPr>
              <w:pStyle w:val="FootnoteText"/>
              <w:spacing w:after="0"/>
              <w:rPr>
                <w:rFonts w:ascii="Calibri" w:hAnsi="Calibri"/>
                <w:lang w:val="en-GB"/>
              </w:rPr>
            </w:pPr>
          </w:p>
        </w:tc>
      </w:tr>
      <w:tr w:rsidR="00633A71" w:rsidRPr="00632DBC" w14:paraId="446C87E5" w14:textId="77777777" w:rsidTr="00CF7E8B">
        <w:trPr>
          <w:trHeight w:val="1093"/>
        </w:trPr>
        <w:tc>
          <w:tcPr>
            <w:tcW w:w="0" w:type="auto"/>
            <w:shd w:val="pct5" w:color="auto" w:fill="FFFFFF"/>
            <w:tcMar>
              <w:top w:w="11" w:type="dxa"/>
              <w:left w:w="70" w:type="dxa"/>
              <w:bottom w:w="0" w:type="dxa"/>
              <w:right w:w="70" w:type="dxa"/>
            </w:tcMar>
            <w:hideMark/>
          </w:tcPr>
          <w:p w14:paraId="58801139" w14:textId="77777777" w:rsidR="00810C20" w:rsidRPr="00632DBC" w:rsidRDefault="00810C20" w:rsidP="00CF7E8B">
            <w:pPr>
              <w:rPr>
                <w:rFonts w:ascii="Calibri" w:hAnsi="Calibri"/>
              </w:rPr>
            </w:pPr>
            <w:r w:rsidRPr="00632DBC">
              <w:rPr>
                <w:rFonts w:ascii="Calibri" w:hAnsi="Calibri"/>
                <w:b/>
                <w:bCs/>
              </w:rPr>
              <w:lastRenderedPageBreak/>
              <w:t xml:space="preserve">Procedural safeguards </w:t>
            </w:r>
          </w:p>
        </w:tc>
        <w:tc>
          <w:tcPr>
            <w:tcW w:w="0" w:type="auto"/>
            <w:shd w:val="clear" w:color="auto" w:fill="FFFFFF"/>
            <w:tcMar>
              <w:top w:w="11" w:type="dxa"/>
              <w:left w:w="70" w:type="dxa"/>
              <w:bottom w:w="0" w:type="dxa"/>
              <w:right w:w="70" w:type="dxa"/>
            </w:tcMar>
            <w:hideMark/>
          </w:tcPr>
          <w:p w14:paraId="4421A8D9" w14:textId="77777777" w:rsidR="00810C20" w:rsidRPr="00632DBC" w:rsidRDefault="00810C20" w:rsidP="00CF7E8B">
            <w:pPr>
              <w:rPr>
                <w:rFonts w:ascii="Calibri" w:hAnsi="Calibri"/>
              </w:rPr>
            </w:pPr>
          </w:p>
        </w:tc>
        <w:tc>
          <w:tcPr>
            <w:tcW w:w="0" w:type="auto"/>
            <w:shd w:val="clear" w:color="auto" w:fill="FFFFFF"/>
            <w:tcMar>
              <w:top w:w="11" w:type="dxa"/>
              <w:left w:w="70" w:type="dxa"/>
              <w:bottom w:w="0" w:type="dxa"/>
              <w:right w:w="70" w:type="dxa"/>
            </w:tcMar>
            <w:hideMark/>
          </w:tcPr>
          <w:p w14:paraId="5A57714F" w14:textId="77777777" w:rsidR="00810C20" w:rsidRPr="00632DBC" w:rsidRDefault="00810C20" w:rsidP="00CF7E8B">
            <w:pPr>
              <w:rPr>
                <w:rFonts w:ascii="Calibri" w:hAnsi="Calibri"/>
                <w:b/>
                <w:bCs/>
              </w:rPr>
            </w:pPr>
            <w:r w:rsidRPr="00632DBC">
              <w:rPr>
                <w:rFonts w:ascii="Calibri" w:hAnsi="Calibri"/>
                <w:b/>
                <w:bCs/>
              </w:rPr>
              <w:t xml:space="preserve">X </w:t>
            </w:r>
          </w:p>
          <w:p w14:paraId="67A2D3CA"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Convention on Biological Diversity (Art 21)</w:t>
            </w:r>
          </w:p>
          <w:p w14:paraId="6CA3E264" w14:textId="77777777" w:rsidR="00810C20" w:rsidRPr="00632DBC" w:rsidRDefault="00810C20" w:rsidP="00CF7E8B">
            <w:pPr>
              <w:pStyle w:val="FootnoteText"/>
              <w:spacing w:after="0"/>
              <w:rPr>
                <w:rFonts w:ascii="Calibri" w:hAnsi="Calibri"/>
                <w:bCs/>
                <w:lang w:val="en-GB"/>
              </w:rPr>
            </w:pPr>
          </w:p>
          <w:p w14:paraId="663119C0"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International Covenant on Civil and Political Rights (Art </w:t>
            </w:r>
            <w:r w:rsidRPr="00632DBC">
              <w:rPr>
                <w:rFonts w:ascii="Calibri" w:eastAsia="Calibri" w:hAnsi="Calibri"/>
                <w:bCs/>
                <w:lang w:val="en-GB"/>
              </w:rPr>
              <w:t>2.1</w:t>
            </w:r>
            <w:r w:rsidRPr="00632DBC">
              <w:rPr>
                <w:rFonts w:ascii="Calibri" w:hAnsi="Calibri"/>
                <w:bCs/>
                <w:lang w:val="en-GB"/>
              </w:rPr>
              <w:t>)</w:t>
            </w:r>
          </w:p>
        </w:tc>
        <w:tc>
          <w:tcPr>
            <w:tcW w:w="0" w:type="auto"/>
            <w:shd w:val="clear" w:color="auto" w:fill="FFFFFF"/>
            <w:tcMar>
              <w:top w:w="11" w:type="dxa"/>
              <w:left w:w="70" w:type="dxa"/>
              <w:bottom w:w="0" w:type="dxa"/>
              <w:right w:w="70" w:type="dxa"/>
            </w:tcMar>
            <w:hideMark/>
          </w:tcPr>
          <w:p w14:paraId="04B5CBAC" w14:textId="77777777" w:rsidR="00810C20" w:rsidRPr="00632DBC" w:rsidRDefault="00810C20" w:rsidP="00CF7E8B">
            <w:pPr>
              <w:rPr>
                <w:rFonts w:ascii="Calibri" w:hAnsi="Calibri"/>
                <w:b/>
                <w:bCs/>
              </w:rPr>
            </w:pPr>
            <w:r w:rsidRPr="00632DBC">
              <w:rPr>
                <w:rFonts w:ascii="Calibri" w:hAnsi="Calibri"/>
                <w:b/>
                <w:bCs/>
              </w:rPr>
              <w:t xml:space="preserve">X </w:t>
            </w:r>
          </w:p>
          <w:p w14:paraId="4D532EB2"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Convention on Biological Diversity (Art 14.1(c, e, d)), 14.2</w:t>
            </w:r>
          </w:p>
          <w:p w14:paraId="0B3338C3" w14:textId="77777777" w:rsidR="00810C20" w:rsidRPr="00632DBC" w:rsidRDefault="00810C20" w:rsidP="00CF7E8B">
            <w:pPr>
              <w:pStyle w:val="FootnoteText"/>
              <w:spacing w:after="0"/>
              <w:rPr>
                <w:rFonts w:ascii="Calibri" w:hAnsi="Calibri"/>
                <w:bCs/>
                <w:lang w:val="en-GB"/>
              </w:rPr>
            </w:pPr>
          </w:p>
          <w:p w14:paraId="47153900"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United Nations Framework Convention on Climate Change Decision 1/CP.16, Appendix 1 (1.c, </w:t>
            </w:r>
            <w:proofErr w:type="spellStart"/>
            <w:proofErr w:type="gramStart"/>
            <w:r w:rsidRPr="00632DBC">
              <w:rPr>
                <w:rFonts w:ascii="Calibri" w:hAnsi="Calibri"/>
                <w:bCs/>
                <w:lang w:val="en-GB"/>
              </w:rPr>
              <w:t>e,f</w:t>
            </w:r>
            <w:proofErr w:type="gramEnd"/>
            <w:r w:rsidRPr="00632DBC">
              <w:rPr>
                <w:rFonts w:ascii="Calibri" w:hAnsi="Calibri"/>
                <w:bCs/>
                <w:lang w:val="en-GB"/>
              </w:rPr>
              <w:t>,h</w:t>
            </w:r>
            <w:proofErr w:type="spellEnd"/>
            <w:r w:rsidRPr="00632DBC">
              <w:rPr>
                <w:rFonts w:ascii="Calibri" w:hAnsi="Calibri"/>
                <w:bCs/>
                <w:lang w:val="en-GB"/>
              </w:rPr>
              <w:t>)</w:t>
            </w:r>
          </w:p>
        </w:tc>
        <w:tc>
          <w:tcPr>
            <w:tcW w:w="0" w:type="auto"/>
            <w:shd w:val="clear" w:color="auto" w:fill="FFFFFF"/>
            <w:tcMar>
              <w:top w:w="11" w:type="dxa"/>
              <w:left w:w="70" w:type="dxa"/>
              <w:bottom w:w="0" w:type="dxa"/>
              <w:right w:w="70" w:type="dxa"/>
            </w:tcMar>
            <w:hideMark/>
          </w:tcPr>
          <w:p w14:paraId="14389CA1" w14:textId="77777777" w:rsidR="00810C20" w:rsidRPr="00632DBC" w:rsidRDefault="00810C20" w:rsidP="00CF7E8B">
            <w:pPr>
              <w:rPr>
                <w:rFonts w:ascii="Calibri" w:hAnsi="Calibri"/>
                <w:b/>
                <w:bCs/>
              </w:rPr>
            </w:pPr>
            <w:r w:rsidRPr="00632DBC">
              <w:rPr>
                <w:rFonts w:ascii="Calibri" w:hAnsi="Calibri"/>
                <w:b/>
                <w:bCs/>
              </w:rPr>
              <w:t xml:space="preserve">X </w:t>
            </w:r>
          </w:p>
          <w:p w14:paraId="5ADD87FB"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Convention on Biological Diversity (Art. 6, 21, 14.1 (a, b), 16.2, 17), </w:t>
            </w:r>
          </w:p>
          <w:p w14:paraId="7FB68A90" w14:textId="77777777" w:rsidR="00810C20" w:rsidRPr="00632DBC" w:rsidRDefault="00810C20" w:rsidP="00CF7E8B">
            <w:pPr>
              <w:pStyle w:val="FootnoteText"/>
              <w:spacing w:after="0"/>
              <w:rPr>
                <w:rFonts w:ascii="Calibri" w:hAnsi="Calibri"/>
                <w:bCs/>
                <w:lang w:val="en-GB"/>
              </w:rPr>
            </w:pPr>
          </w:p>
          <w:p w14:paraId="18EEA31C"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Aarhus Convention (Art. 5, 9.3) </w:t>
            </w:r>
          </w:p>
          <w:p w14:paraId="15F43920" w14:textId="77777777" w:rsidR="00810C20" w:rsidRPr="00632DBC" w:rsidRDefault="00810C20" w:rsidP="00CF7E8B">
            <w:pPr>
              <w:pStyle w:val="FootnoteText"/>
              <w:spacing w:after="0"/>
              <w:rPr>
                <w:rFonts w:ascii="Calibri" w:hAnsi="Calibri"/>
                <w:bCs/>
                <w:lang w:val="en-GB"/>
              </w:rPr>
            </w:pPr>
          </w:p>
          <w:p w14:paraId="55402CD5" w14:textId="77777777" w:rsidR="00810C20" w:rsidRPr="00632DBC" w:rsidRDefault="00810C20" w:rsidP="00CF7E8B">
            <w:pPr>
              <w:pStyle w:val="FootnoteText"/>
              <w:spacing w:after="0"/>
              <w:rPr>
                <w:rFonts w:ascii="Calibri" w:hAnsi="Calibri"/>
                <w:bCs/>
                <w:lang w:val="en-GB"/>
              </w:rPr>
            </w:pPr>
            <w:r w:rsidRPr="00632DBC">
              <w:rPr>
                <w:rFonts w:ascii="Calibri" w:hAnsi="Calibri"/>
                <w:bCs/>
                <w:lang w:val="en-GB"/>
              </w:rPr>
              <w:t xml:space="preserve">UNFCCC Decision 1/CP.16, Appendix (1.i; </w:t>
            </w:r>
            <w:proofErr w:type="gramStart"/>
            <w:r w:rsidRPr="00632DBC">
              <w:rPr>
                <w:rFonts w:ascii="Calibri" w:hAnsi="Calibri"/>
                <w:bCs/>
                <w:lang w:val="en-GB"/>
              </w:rPr>
              <w:t>2.c,e</w:t>
            </w:r>
            <w:proofErr w:type="gramEnd"/>
            <w:r w:rsidRPr="00632DBC">
              <w:rPr>
                <w:rFonts w:ascii="Calibri" w:hAnsi="Calibri"/>
                <w:bCs/>
                <w:lang w:val="en-GB"/>
              </w:rPr>
              <w:t>)</w:t>
            </w:r>
          </w:p>
          <w:p w14:paraId="1A04C7AA" w14:textId="77777777" w:rsidR="00810C20" w:rsidRPr="00632DBC" w:rsidRDefault="00810C20" w:rsidP="00CF7E8B">
            <w:pPr>
              <w:pStyle w:val="FootnoteText"/>
              <w:spacing w:after="0"/>
              <w:rPr>
                <w:rFonts w:ascii="Calibri" w:hAnsi="Calibri"/>
                <w:lang w:val="en-GB"/>
              </w:rPr>
            </w:pPr>
          </w:p>
        </w:tc>
      </w:tr>
    </w:tbl>
    <w:p w14:paraId="12A62C71" w14:textId="77777777" w:rsidR="00810C20" w:rsidRPr="00632DBC" w:rsidRDefault="00810C20" w:rsidP="00810C20">
      <w:pPr>
        <w:spacing w:before="200" w:after="0" w:line="240" w:lineRule="auto"/>
        <w:rPr>
          <w:rFonts w:ascii="Times New Roman" w:hAnsi="Times New Roman"/>
        </w:rPr>
        <w:sectPr w:rsidR="00810C20" w:rsidRPr="00632DBC" w:rsidSect="00CF7E8B">
          <w:pgSz w:w="16838" w:h="11906" w:orient="landscape"/>
          <w:pgMar w:top="1417" w:right="1134" w:bottom="1417" w:left="1276" w:header="708" w:footer="209" w:gutter="0"/>
          <w:cols w:space="708"/>
          <w:titlePg/>
          <w:docGrid w:linePitch="360"/>
        </w:sectPr>
      </w:pPr>
      <w:r w:rsidRPr="00632DBC">
        <w:rPr>
          <w:rFonts w:ascii="Times New Roman" w:hAnsi="Times New Roman"/>
          <w:sz w:val="20"/>
          <w:szCs w:val="20"/>
        </w:rPr>
        <w:t>Source: own elaboration based on the provisions of the respective international agreement mentioned in this Table.</w:t>
      </w:r>
    </w:p>
    <w:p w14:paraId="0C03B323" w14:textId="77777777" w:rsidR="00810C20" w:rsidRPr="00632DBC" w:rsidRDefault="00810C20" w:rsidP="00810C20"/>
    <w:p w14:paraId="04FBEF27" w14:textId="77777777" w:rsidR="00810C20" w:rsidRPr="00632DBC" w:rsidRDefault="00810C20" w:rsidP="00810C20"/>
    <w:p w14:paraId="50126FCD" w14:textId="5815E29F" w:rsidR="00810C20" w:rsidRPr="00632DBC" w:rsidRDefault="00810C20" w:rsidP="00810C20">
      <w:pPr>
        <w:pStyle w:val="Heading3"/>
      </w:pPr>
      <w:bookmarkStart w:id="60" w:name="_Toc263943513"/>
      <w:bookmarkStart w:id="61" w:name="_Toc382590306"/>
      <w:bookmarkStart w:id="62" w:name="_Toc529199431"/>
      <w:r w:rsidRPr="00632DBC">
        <w:t>5.1 Biodiversity underpins local livelihoods and resilience</w:t>
      </w:r>
      <w:bookmarkEnd w:id="60"/>
      <w:bookmarkEnd w:id="61"/>
      <w:bookmarkEnd w:id="62"/>
      <w:r w:rsidRPr="00632DBC">
        <w:t xml:space="preserve"> </w:t>
      </w:r>
      <w:bookmarkEnd w:id="54"/>
      <w:bookmarkEnd w:id="55"/>
      <w:bookmarkEnd w:id="56"/>
    </w:p>
    <w:p w14:paraId="6E57F3FF" w14:textId="437D10DF" w:rsidR="00810C20" w:rsidRPr="00633A71" w:rsidRDefault="00810C20" w:rsidP="00810C20">
      <w:pPr>
        <w:spacing w:line="240" w:lineRule="auto"/>
        <w:ind w:left="567" w:right="567"/>
        <w:jc w:val="both"/>
        <w:rPr>
          <w:rFonts w:ascii="Times New Roman" w:hAnsi="Times New Roman"/>
          <w:b/>
          <w:i/>
        </w:rPr>
      </w:pPr>
      <w:r w:rsidRPr="00632DBC">
        <w:rPr>
          <w:rFonts w:ascii="Times New Roman" w:hAnsi="Times New Roman"/>
          <w:b/>
          <w:bCs/>
          <w:i/>
          <w:iCs/>
        </w:rPr>
        <w:t xml:space="preserve">Guideline </w:t>
      </w:r>
      <w:r w:rsidR="006B197A" w:rsidRPr="00632DBC">
        <w:rPr>
          <w:rFonts w:ascii="Times New Roman" w:hAnsi="Times New Roman"/>
          <w:b/>
          <w:bCs/>
          <w:i/>
          <w:iCs/>
        </w:rPr>
        <w:t>(a</w:t>
      </w:r>
      <w:proofErr w:type="gramStart"/>
      <w:r w:rsidR="006B197A" w:rsidRPr="00632DBC">
        <w:rPr>
          <w:rFonts w:ascii="Times New Roman" w:hAnsi="Times New Roman"/>
          <w:b/>
          <w:bCs/>
          <w:i/>
          <w:iCs/>
        </w:rPr>
        <w:t>)</w:t>
      </w:r>
      <w:r w:rsidRPr="00632DBC">
        <w:rPr>
          <w:rFonts w:ascii="Times New Roman" w:hAnsi="Times New Roman"/>
          <w:b/>
          <w:bCs/>
          <w:i/>
          <w:iCs/>
        </w:rPr>
        <w:t>.-</w:t>
      </w:r>
      <w:proofErr w:type="gramEnd"/>
      <w:r w:rsidRPr="00632DBC">
        <w:rPr>
          <w:rFonts w:ascii="Times New Roman" w:hAnsi="Times New Roman"/>
          <w:b/>
          <w:bCs/>
          <w:i/>
          <w:iCs/>
        </w:rPr>
        <w:t xml:space="preserve"> The role of biodiversity and ecosystem functions for local livelihoods and resilience, as well as biodiversity’s intrinsic values, sh</w:t>
      </w:r>
      <w:r w:rsidR="006F0891" w:rsidRPr="00632DBC">
        <w:rPr>
          <w:rFonts w:ascii="Times New Roman" w:hAnsi="Times New Roman"/>
          <w:b/>
          <w:bCs/>
          <w:i/>
          <w:iCs/>
        </w:rPr>
        <w:t>ould</w:t>
      </w:r>
      <w:r w:rsidRPr="00632DBC">
        <w:rPr>
          <w:rFonts w:ascii="Times New Roman" w:hAnsi="Times New Roman"/>
          <w:b/>
          <w:bCs/>
          <w:i/>
          <w:iCs/>
        </w:rPr>
        <w:t xml:space="preserve"> be recognized in the </w:t>
      </w:r>
      <w:r w:rsidR="006F0891" w:rsidRPr="00632DBC">
        <w:rPr>
          <w:rFonts w:ascii="Times New Roman" w:hAnsi="Times New Roman"/>
          <w:b/>
          <w:bCs/>
          <w:i/>
          <w:iCs/>
        </w:rPr>
        <w:t xml:space="preserve">selection, </w:t>
      </w:r>
      <w:r w:rsidRPr="00632DBC">
        <w:rPr>
          <w:rFonts w:ascii="Times New Roman" w:hAnsi="Times New Roman"/>
          <w:b/>
          <w:bCs/>
          <w:i/>
          <w:iCs/>
        </w:rPr>
        <w:t xml:space="preserve">design and implementation of </w:t>
      </w:r>
      <w:r w:rsidR="006F0891" w:rsidRPr="00632DBC">
        <w:rPr>
          <w:rFonts w:ascii="Times New Roman" w:hAnsi="Times New Roman"/>
          <w:b/>
          <w:bCs/>
          <w:i/>
          <w:iCs/>
        </w:rPr>
        <w:t>biodiversity financing mechanisms</w:t>
      </w:r>
      <w:r w:rsidRPr="00632DBC">
        <w:rPr>
          <w:rFonts w:ascii="Times New Roman" w:hAnsi="Times New Roman"/>
          <w:b/>
          <w:i/>
        </w:rPr>
        <w:t>.</w:t>
      </w:r>
    </w:p>
    <w:p w14:paraId="3E0E9E99" w14:textId="77777777" w:rsidR="006F0891" w:rsidRPr="00633A71" w:rsidRDefault="006F0891" w:rsidP="00810C20">
      <w:pPr>
        <w:spacing w:line="240" w:lineRule="auto"/>
        <w:ind w:left="567" w:right="567"/>
        <w:jc w:val="both"/>
        <w:rPr>
          <w:rFonts w:ascii="Times New Roman" w:hAnsi="Times New Roman"/>
          <w:b/>
          <w:i/>
        </w:rPr>
      </w:pPr>
    </w:p>
    <w:p w14:paraId="3F386663"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 xml:space="preserve">The conditions and processes of ecosystems play a fundamental role in sustaining and fulfilling human life. Sustaining biodiversity is essential for the maintenance of functioning ecosystems that </w:t>
      </w:r>
      <w:proofErr w:type="gramStart"/>
      <w:r w:rsidRPr="00633A71">
        <w:rPr>
          <w:rFonts w:ascii="Times New Roman" w:hAnsi="Times New Roman"/>
        </w:rPr>
        <w:t>are capable of delivering</w:t>
      </w:r>
      <w:proofErr w:type="gramEnd"/>
      <w:r w:rsidRPr="00633A71">
        <w:rPr>
          <w:rFonts w:ascii="Times New Roman" w:hAnsi="Times New Roman"/>
        </w:rPr>
        <w:t xml:space="preserve"> the multiple services on which humanity (and non-huma</w:t>
      </w:r>
      <w:r w:rsidRPr="00504B5E">
        <w:rPr>
          <w:rFonts w:ascii="Times New Roman" w:hAnsi="Times New Roman"/>
        </w:rPr>
        <w:t>n beings) depend. The recognition of the many ways in which humans benefit from well-functioning ecosystems underpins the concept of ecosystem services. The state of ecosystems determines people’s scope for sustainable natural resource management and has direct consequences for livelihoods including food security</w:t>
      </w:r>
      <w:r w:rsidRPr="00633A71">
        <w:rPr>
          <w:rStyle w:val="FootnoteReference"/>
          <w:rFonts w:ascii="Times New Roman" w:hAnsi="Times New Roman"/>
        </w:rPr>
        <w:footnoteReference w:id="79"/>
      </w:r>
      <w:r w:rsidRPr="00633A71">
        <w:rPr>
          <w:rFonts w:ascii="Times New Roman" w:hAnsi="Times New Roman"/>
        </w:rPr>
        <w:t>, access to water, and the health of present and future generations.</w:t>
      </w:r>
      <w:r w:rsidRPr="00633A71">
        <w:rPr>
          <w:rStyle w:val="FootnoteReference"/>
          <w:rFonts w:ascii="Times New Roman" w:hAnsi="Times New Roman"/>
        </w:rPr>
        <w:footnoteReference w:id="80"/>
      </w:r>
      <w:r w:rsidRPr="00633A71">
        <w:rPr>
          <w:rFonts w:ascii="Times New Roman" w:hAnsi="Times New Roman"/>
        </w:rPr>
        <w:t xml:space="preserve"> However, there is frequently a need to disaggregate the broad definition of ecosystem services as ‘the benefits people derive from ecosystems’ into more specific terms of benefits derived by different sections of society. It is particularly important to consider those individuals and collectives in relatively disadvantaged positions or with differentiated individual and collective rights due to e.g. socioeconomic aspects, gender, ethnicity, geography, and livelihood conditions</w:t>
      </w:r>
      <w:r w:rsidRPr="00504B5E">
        <w:rPr>
          <w:rFonts w:ascii="Times New Roman" w:hAnsi="Times New Roman"/>
          <w:lang w:eastAsia="sv-SE"/>
        </w:rPr>
        <w:t>.</w:t>
      </w:r>
      <w:r w:rsidRPr="00633A71">
        <w:rPr>
          <w:rStyle w:val="FootnoteReference"/>
          <w:rFonts w:ascii="Times New Roman" w:eastAsia="Calibri" w:hAnsi="Times New Roman"/>
        </w:rPr>
        <w:footnoteReference w:id="81"/>
      </w:r>
      <w:r w:rsidRPr="00633A71">
        <w:rPr>
          <w:rFonts w:ascii="Times New Roman" w:hAnsi="Times New Roman"/>
        </w:rPr>
        <w:t xml:space="preserve"> </w:t>
      </w:r>
    </w:p>
    <w:p w14:paraId="71BCBB67" w14:textId="49D54680" w:rsidR="00810C20" w:rsidRPr="00633A71" w:rsidRDefault="00810C20" w:rsidP="00810C20">
      <w:pPr>
        <w:spacing w:line="240" w:lineRule="auto"/>
        <w:jc w:val="both"/>
        <w:rPr>
          <w:rFonts w:ascii="Times New Roman" w:hAnsi="Times New Roman"/>
        </w:rPr>
      </w:pPr>
      <w:r w:rsidRPr="00633A71">
        <w:rPr>
          <w:rFonts w:ascii="Times New Roman" w:hAnsi="Times New Roman"/>
        </w:rPr>
        <w:t>Sustaining people’s livelihoods is in turn dependent on the resilience of the intertwined social and ecological systems. Since most ecosystems are managed</w:t>
      </w:r>
      <w:r w:rsidRPr="00504B5E">
        <w:rPr>
          <w:rFonts w:ascii="Times New Roman" w:hAnsi="Times New Roman"/>
        </w:rPr>
        <w:t xml:space="preserve"> by people, the term “ecosystem resilience” is increasingly being replaced by the term “social-ecological resilience</w:t>
      </w:r>
      <w:r w:rsidRPr="00A3063C">
        <w:rPr>
          <w:rFonts w:ascii="Times New Roman" w:hAnsi="Times New Roman"/>
        </w:rPr>
        <w:t>”</w:t>
      </w:r>
      <w:r w:rsidR="008220A1" w:rsidRPr="0038043D">
        <w:rPr>
          <w:rFonts w:ascii="Times New Roman" w:hAnsi="Times New Roman"/>
        </w:rPr>
        <w:t>,</w:t>
      </w:r>
      <w:r w:rsidRPr="00632DBC">
        <w:rPr>
          <w:rFonts w:ascii="Times New Roman" w:hAnsi="Times New Roman"/>
        </w:rPr>
        <w:t xml:space="preserve"> meaning the capacity of linked social and ecological systems to absorb disturbance and adapt or reorganise so as to still retain essentially the same function, structure and identity.</w:t>
      </w:r>
      <w:r w:rsidRPr="00633A71">
        <w:rPr>
          <w:rStyle w:val="FootnoteReference"/>
          <w:rFonts w:ascii="Times New Roman" w:hAnsi="Times New Roman"/>
        </w:rPr>
        <w:footnoteReference w:id="82"/>
      </w:r>
      <w:r w:rsidRPr="00633A71">
        <w:rPr>
          <w:rFonts w:ascii="Times New Roman" w:hAnsi="Times New Roman"/>
        </w:rPr>
        <w:t xml:space="preserve"> The resilience of social-ecological systems focuses on the capacity of ecosystems and social actors to co-adapt and reorganise, and can be seen as a prerequisite for sustainable development.</w:t>
      </w:r>
      <w:r w:rsidRPr="00633A71">
        <w:rPr>
          <w:rStyle w:val="FootnoteReference"/>
          <w:rFonts w:ascii="Times New Roman" w:hAnsi="Times New Roman"/>
        </w:rPr>
        <w:footnoteReference w:id="83"/>
      </w:r>
      <w:r w:rsidRPr="00633A71">
        <w:rPr>
          <w:rFonts w:ascii="Times New Roman" w:hAnsi="Times New Roman"/>
        </w:rPr>
        <w:t xml:space="preserve"> Poverty and social disadvantage are important factors that increase vulnerability and reduce social-ecological resilience.</w:t>
      </w:r>
      <w:r w:rsidRPr="00632DBC">
        <w:rPr>
          <w:rFonts w:ascii="Times New Roman" w:hAnsi="Times New Roman"/>
        </w:rPr>
        <w:t xml:space="preserve"> </w:t>
      </w:r>
      <w:r w:rsidRPr="00633A71">
        <w:rPr>
          <w:rFonts w:ascii="Times New Roman" w:hAnsi="Times New Roman"/>
        </w:rPr>
        <w:t>The resilience that biodiversity confers</w:t>
      </w:r>
      <w:r w:rsidRPr="00633A71">
        <w:rPr>
          <w:rFonts w:ascii="Times New Roman" w:hAnsi="Times New Roman"/>
          <w:b/>
        </w:rPr>
        <w:t xml:space="preserve"> </w:t>
      </w:r>
      <w:r w:rsidRPr="00633A71">
        <w:rPr>
          <w:rFonts w:ascii="Times New Roman" w:hAnsi="Times New Roman"/>
        </w:rPr>
        <w:t xml:space="preserve">is an important element to be safeguarded in BFMs. </w:t>
      </w:r>
    </w:p>
    <w:p w14:paraId="706E5DA5" w14:textId="77777777" w:rsidR="00810C20" w:rsidRPr="00632DBC" w:rsidRDefault="00810C20" w:rsidP="00810C20">
      <w:pPr>
        <w:spacing w:line="240" w:lineRule="auto"/>
        <w:jc w:val="both"/>
        <w:rPr>
          <w:rFonts w:ascii="Times New Roman" w:hAnsi="Times New Roman"/>
        </w:rPr>
      </w:pPr>
      <w:r w:rsidRPr="00633A71">
        <w:rPr>
          <w:rFonts w:ascii="Times New Roman" w:hAnsi="Times New Roman"/>
        </w:rPr>
        <w:t>Social-ecological resilience provides people with a kind of “insurance” against reaching a non-desired state.</w:t>
      </w:r>
      <w:r w:rsidRPr="00633A71">
        <w:rPr>
          <w:rStyle w:val="FootnoteReference"/>
          <w:rFonts w:ascii="Times New Roman" w:hAnsi="Times New Roman"/>
        </w:rPr>
        <w:footnoteReference w:id="84"/>
      </w:r>
      <w:r w:rsidRPr="00633A71">
        <w:rPr>
          <w:rFonts w:ascii="Times New Roman" w:hAnsi="Times New Roman"/>
        </w:rPr>
        <w:t xml:space="preserve"> This “insurance value” of biodiversity and resilience has been defined in different ways. It relates to what economists have long since referred to as option value and quasi-option value, but more recently it has become a specific concept for understanding the value of biodiversity and ecosystems. A key message of TEEB is to distinguish between the output values generated by the current state of the ecosystems (such as flood control), and the insurance values.</w:t>
      </w:r>
      <w:r w:rsidRPr="00633A71">
        <w:rPr>
          <w:rStyle w:val="FootnoteReference"/>
          <w:rFonts w:ascii="Times New Roman" w:hAnsi="Times New Roman"/>
        </w:rPr>
        <w:footnoteReference w:id="85"/>
      </w:r>
      <w:r w:rsidRPr="00633A71">
        <w:rPr>
          <w:rFonts w:ascii="Times New Roman" w:hAnsi="Times New Roman"/>
        </w:rPr>
        <w:t xml:space="preserve"> The latter is about protecting against shocks and disturbances that are not currently occurring. A high insurance value corresponds to a high </w:t>
      </w:r>
      <w:r w:rsidRPr="00633A71">
        <w:rPr>
          <w:rFonts w:ascii="Times New Roman" w:hAnsi="Times New Roman"/>
        </w:rPr>
        <w:lastRenderedPageBreak/>
        <w:t>level of resilience.</w:t>
      </w:r>
      <w:r w:rsidRPr="00633A71">
        <w:rPr>
          <w:rStyle w:val="FootnoteReference"/>
          <w:rFonts w:ascii="Times New Roman" w:hAnsi="Times New Roman"/>
        </w:rPr>
        <w:footnoteReference w:id="86"/>
      </w:r>
      <w:r w:rsidRPr="00633A71">
        <w:rPr>
          <w:rFonts w:ascii="Times New Roman" w:hAnsi="Times New Roman"/>
        </w:rPr>
        <w:t xml:space="preserve"> </w:t>
      </w:r>
      <w:r w:rsidRPr="00633A71">
        <w:rPr>
          <w:rFonts w:ascii="Times New Roman" w:eastAsia="MS Mincho" w:hAnsi="Times New Roman"/>
          <w:lang w:eastAsia="ja-JP" w:bidi="ar-SA"/>
        </w:rPr>
        <w:t>The TEEB report is also emphatic that even when a single service is the focus, as is the case for many BFMs, general approaches to sustaining biodiversity are required for long-term resilience.</w:t>
      </w:r>
      <w:r w:rsidRPr="00633A71">
        <w:rPr>
          <w:rStyle w:val="FootnoteReference"/>
          <w:rFonts w:ascii="Times New Roman" w:eastAsia="MS Mincho" w:hAnsi="Times New Roman"/>
          <w:lang w:eastAsia="ja-JP" w:bidi="ar-SA"/>
        </w:rPr>
        <w:footnoteReference w:id="87"/>
      </w:r>
      <w:r w:rsidRPr="00632DBC">
        <w:rPr>
          <w:rFonts w:ascii="Times New Roman" w:eastAsia="MS Mincho" w:hAnsi="Times New Roman"/>
          <w:lang w:eastAsia="ja-JP" w:bidi="ar-SA"/>
        </w:rPr>
        <w:t xml:space="preserve"> </w:t>
      </w:r>
    </w:p>
    <w:p w14:paraId="550B6D44" w14:textId="77777777" w:rsidR="00810C20" w:rsidRPr="00632DBC" w:rsidRDefault="00810C20" w:rsidP="00810C20">
      <w:pPr>
        <w:spacing w:line="240" w:lineRule="auto"/>
        <w:jc w:val="both"/>
        <w:rPr>
          <w:rFonts w:ascii="Times New Roman" w:hAnsi="Times New Roman"/>
        </w:rPr>
      </w:pPr>
      <w:r w:rsidRPr="00633A71">
        <w:rPr>
          <w:rFonts w:ascii="Times New Roman" w:hAnsi="Times New Roman"/>
        </w:rPr>
        <w:t xml:space="preserve">These significant non-use values associated with biodiversity are increasingly being discussed because of the global scale of degradation of ecosystems and the loss of biodiversity. </w:t>
      </w:r>
      <w:r w:rsidRPr="00633A71">
        <w:rPr>
          <w:rFonts w:ascii="Times New Roman" w:eastAsia="MS Mincho" w:hAnsi="Times New Roman"/>
          <w:lang w:eastAsia="ja-JP" w:bidi="ar-SA"/>
        </w:rPr>
        <w:t xml:space="preserve">The ecosystem services concept is explicitly anthropocentric and utilitarian: values are framed in terms of the benefits that humans derive. An alternative view is that value from nature does not originate with human preferences, but that nature has intrinsic or “existence” </w:t>
      </w:r>
      <w:proofErr w:type="gramStart"/>
      <w:r w:rsidRPr="00633A71">
        <w:rPr>
          <w:rFonts w:ascii="Times New Roman" w:eastAsia="MS Mincho" w:hAnsi="Times New Roman"/>
          <w:lang w:eastAsia="ja-JP" w:bidi="ar-SA"/>
        </w:rPr>
        <w:t>value in its own right</w:t>
      </w:r>
      <w:proofErr w:type="gramEnd"/>
      <w:r w:rsidRPr="00633A71">
        <w:rPr>
          <w:rFonts w:ascii="Times New Roman" w:eastAsia="MS Mincho" w:hAnsi="Times New Roman"/>
          <w:lang w:eastAsia="ja-JP" w:bidi="ar-SA"/>
        </w:rPr>
        <w:t xml:space="preserve">. </w:t>
      </w:r>
      <w:r w:rsidRPr="00504B5E">
        <w:rPr>
          <w:rFonts w:ascii="Times New Roman" w:hAnsi="Times New Roman"/>
        </w:rPr>
        <w:t>Intrinsic values are determined on ethical or philosophical grounds, not utilitarian economic ones.</w:t>
      </w:r>
      <w:r w:rsidRPr="00504B5E">
        <w:rPr>
          <w:rFonts w:ascii="Times New Roman" w:eastAsia="MS Mincho" w:hAnsi="Times New Roman"/>
          <w:lang w:eastAsia="ja-JP" w:bidi="ar-SA"/>
        </w:rPr>
        <w:t> The ecosystem services concept seeks to include the spiritual, religious, cultural and aesthetic values that people attach to ecosystems, landscapes, or species.</w:t>
      </w:r>
      <w:r w:rsidRPr="00A3063C">
        <w:rPr>
          <w:rFonts w:ascii="Times New Roman" w:hAnsi="Times New Roman"/>
        </w:rPr>
        <w:t xml:space="preserve"> Hence, it is important to</w:t>
      </w:r>
      <w:r w:rsidRPr="0038043D">
        <w:rPr>
          <w:rFonts w:ascii="Times New Roman" w:hAnsi="Times New Roman"/>
        </w:rPr>
        <w:t xml:space="preserve"> recognising both the direct use-values of ecosystems by people as well as capturing the very significant non-use values associated with biodiversity. However, because both ecological resilience and insurance values are difficult to measure, and intrinsic </w:t>
      </w:r>
      <w:r w:rsidRPr="00632DBC">
        <w:rPr>
          <w:rFonts w:ascii="Times New Roman" w:hAnsi="Times New Roman"/>
        </w:rPr>
        <w:t xml:space="preserve">values have fundamentally different metrics, different means are needed for ensuring that these values can be explicitly recognised and expressed. </w:t>
      </w:r>
    </w:p>
    <w:p w14:paraId="326B99F4" w14:textId="15FE7FDC" w:rsidR="00810C20" w:rsidRPr="00633A71" w:rsidRDefault="00810C20" w:rsidP="00DA5631">
      <w:pPr>
        <w:spacing w:after="0" w:line="240" w:lineRule="auto"/>
        <w:jc w:val="both"/>
        <w:rPr>
          <w:rFonts w:ascii="Times New Roman" w:hAnsi="Times New Roman"/>
        </w:rPr>
      </w:pPr>
      <w:r w:rsidRPr="00632DBC">
        <w:rPr>
          <w:rFonts w:ascii="Times New Roman" w:hAnsi="Times New Roman"/>
        </w:rPr>
        <w:t>Multiple systems of life emerge from the understanding and intrinsic relationships of many indigenous peoples and local communities with specific ecosystems and elements of nature.</w:t>
      </w:r>
      <w:r w:rsidRPr="00633A71">
        <w:rPr>
          <w:rStyle w:val="FootnoteReference"/>
          <w:rFonts w:ascii="Times New Roman" w:hAnsi="Times New Roman"/>
        </w:rPr>
        <w:footnoteReference w:id="88"/>
      </w:r>
      <w:r w:rsidRPr="00633A71">
        <w:rPr>
          <w:rFonts w:ascii="Times New Roman" w:hAnsi="Times New Roman"/>
        </w:rPr>
        <w:t xml:space="preserve"> Locally designed and implementable tools and mechanisms can be helpful in recognising the value of biodiversity and ecosystem services to local livelihoods. These include eco-calendars and eco-mapping, </w:t>
      </w:r>
      <w:proofErr w:type="gramStart"/>
      <w:r w:rsidRPr="00633A71">
        <w:rPr>
          <w:rFonts w:ascii="Times New Roman" w:hAnsi="Times New Roman"/>
        </w:rPr>
        <w:t xml:space="preserve">community </w:t>
      </w:r>
      <w:r w:rsidR="001C67A1" w:rsidRPr="00633A71">
        <w:rPr>
          <w:rFonts w:ascii="Times New Roman" w:hAnsi="Times New Roman"/>
        </w:rPr>
        <w:t>based</w:t>
      </w:r>
      <w:proofErr w:type="gramEnd"/>
      <w:r w:rsidR="001C67A1" w:rsidRPr="00633A71">
        <w:rPr>
          <w:rFonts w:ascii="Times New Roman" w:hAnsi="Times New Roman"/>
        </w:rPr>
        <w:t xml:space="preserve"> </w:t>
      </w:r>
      <w:r w:rsidRPr="00633A71">
        <w:rPr>
          <w:rFonts w:ascii="Times New Roman" w:hAnsi="Times New Roman"/>
        </w:rPr>
        <w:t>monitoring and information systems</w:t>
      </w:r>
      <w:r w:rsidR="001C67A1" w:rsidRPr="00633A71">
        <w:rPr>
          <w:rFonts w:ascii="Times New Roman" w:hAnsi="Times New Roman"/>
        </w:rPr>
        <w:t xml:space="preserve"> (CBMIS)</w:t>
      </w:r>
      <w:r w:rsidRPr="00633A71">
        <w:rPr>
          <w:rFonts w:ascii="Times New Roman" w:hAnsi="Times New Roman"/>
        </w:rPr>
        <w:t xml:space="preserve">, community territorial planning, and </w:t>
      </w:r>
      <w:r w:rsidR="00DB59D7" w:rsidRPr="00632DBC">
        <w:rPr>
          <w:rFonts w:ascii="Times New Roman" w:hAnsi="Times New Roman"/>
          <w:sz w:val="21"/>
        </w:rPr>
        <w:t>territories and areas conserved by indigenous peoples and local communitie</w:t>
      </w:r>
      <w:r w:rsidR="00456840" w:rsidRPr="00632DBC">
        <w:rPr>
          <w:rFonts w:ascii="Times New Roman" w:hAnsi="Times New Roman"/>
          <w:sz w:val="21"/>
        </w:rPr>
        <w:t>s</w:t>
      </w:r>
      <w:r w:rsidR="00456840" w:rsidRPr="00633A71">
        <w:rPr>
          <w:rFonts w:ascii="Times New Roman" w:hAnsi="Times New Roman"/>
        </w:rPr>
        <w:t>, “</w:t>
      </w:r>
      <w:r w:rsidRPr="00633A71">
        <w:rPr>
          <w:rFonts w:ascii="Times New Roman" w:hAnsi="Times New Roman"/>
        </w:rPr>
        <w:t>ICCAs</w:t>
      </w:r>
      <w:r w:rsidR="00DB59D7" w:rsidRPr="00633A71">
        <w:rPr>
          <w:rFonts w:ascii="Times New Roman" w:hAnsi="Times New Roman"/>
        </w:rPr>
        <w:t>”</w:t>
      </w:r>
      <w:r w:rsidRPr="00633A71">
        <w:rPr>
          <w:rFonts w:ascii="Times New Roman" w:hAnsi="Times New Roman"/>
        </w:rPr>
        <w:t>.</w:t>
      </w:r>
      <w:r w:rsidRPr="00633A71">
        <w:rPr>
          <w:rStyle w:val="FootnoteReference"/>
          <w:rFonts w:ascii="Times New Roman" w:hAnsi="Times New Roman"/>
        </w:rPr>
        <w:footnoteReference w:id="89"/>
      </w:r>
      <w:r w:rsidRPr="00633A71">
        <w:rPr>
          <w:rFonts w:ascii="Times New Roman" w:hAnsi="Times New Roman"/>
        </w:rPr>
        <w:t xml:space="preserve"> </w:t>
      </w:r>
      <w:r w:rsidRPr="00633A71">
        <w:rPr>
          <w:rFonts w:ascii="Times New Roman" w:eastAsia="MS Mincho" w:hAnsi="Times New Roman"/>
          <w:lang w:eastAsia="ja-JP" w:bidi="ar-SA"/>
        </w:rPr>
        <w:t>B</w:t>
      </w:r>
      <w:r w:rsidR="007A614C" w:rsidRPr="00633A71">
        <w:rPr>
          <w:rFonts w:ascii="Times New Roman" w:eastAsia="MS Mincho" w:hAnsi="Times New Roman"/>
          <w:lang w:eastAsia="ja-JP" w:bidi="ar-SA"/>
        </w:rPr>
        <w:t>iodiversity financing</w:t>
      </w:r>
      <w:r w:rsidRPr="00633A71">
        <w:rPr>
          <w:rFonts w:ascii="Times New Roman" w:eastAsia="MS Mincho" w:hAnsi="Times New Roman"/>
          <w:lang w:eastAsia="ja-JP" w:bidi="ar-SA"/>
        </w:rPr>
        <w:t xml:space="preserve"> mechanisms need to recognize that along with biodiversity, the diversity of human perspectives and knowledge contributions also lies at the heart of resilience and sustainable development</w:t>
      </w:r>
      <w:r w:rsidRPr="00633A71">
        <w:rPr>
          <w:rFonts w:ascii="Times New Roman" w:hAnsi="Times New Roman"/>
        </w:rPr>
        <w:t xml:space="preserve">. </w:t>
      </w:r>
    </w:p>
    <w:p w14:paraId="734E44C1" w14:textId="77777777" w:rsidR="00456840" w:rsidRPr="00632DBC" w:rsidRDefault="00456840" w:rsidP="00DA5631">
      <w:pPr>
        <w:spacing w:after="0" w:line="240" w:lineRule="auto"/>
        <w:jc w:val="both"/>
        <w:rPr>
          <w:rFonts w:ascii="Times New Roman" w:hAnsi="Times New Roman"/>
          <w:sz w:val="24"/>
        </w:rPr>
      </w:pPr>
    </w:p>
    <w:p w14:paraId="64FDEDB8" w14:textId="0A973A33" w:rsidR="00810C20" w:rsidRPr="00A3063C" w:rsidRDefault="00810C20" w:rsidP="00810C20">
      <w:pPr>
        <w:spacing w:line="240" w:lineRule="auto"/>
        <w:jc w:val="both"/>
        <w:rPr>
          <w:rFonts w:ascii="Times New Roman" w:hAnsi="Times New Roman"/>
          <w:b/>
          <w:i/>
        </w:rPr>
      </w:pPr>
      <w:r w:rsidRPr="00633A71">
        <w:rPr>
          <w:rFonts w:ascii="Times New Roman" w:hAnsi="Times New Roman"/>
        </w:rPr>
        <w:t>A fuller range of values (both social and ecological) can be taken into account by choosing appropriate institutions that allow these diverse values to be articulated in addition to utilitarian values,</w:t>
      </w:r>
      <w:r w:rsidRPr="00633A71">
        <w:rPr>
          <w:rStyle w:val="FootnoteReference"/>
          <w:rFonts w:ascii="Times New Roman" w:hAnsi="Times New Roman"/>
        </w:rPr>
        <w:footnoteReference w:id="90"/>
      </w:r>
      <w:r w:rsidRPr="00633A71">
        <w:rPr>
          <w:rFonts w:ascii="Times New Roman" w:hAnsi="Times New Roman"/>
        </w:rPr>
        <w:t xml:space="preserve"> and that ensure the inclusion of a precautionary approach.</w:t>
      </w:r>
      <w:r w:rsidRPr="00633A71">
        <w:rPr>
          <w:rStyle w:val="FootnoteReference"/>
          <w:rFonts w:ascii="Times New Roman" w:hAnsi="Times New Roman"/>
        </w:rPr>
        <w:footnoteReference w:id="91"/>
      </w:r>
      <w:r w:rsidRPr="00633A71">
        <w:rPr>
          <w:rFonts w:ascii="Times New Roman" w:hAnsi="Times New Roman"/>
        </w:rPr>
        <w:t xml:space="preserve"> Institutional arrangements can recognise the insurance and intrinsic values of biodiversity, for example by ensuring that these perspectives are taken into account in the management plans of national parks and indigenous</w:t>
      </w:r>
      <w:r w:rsidR="00564468" w:rsidRPr="00633A71">
        <w:rPr>
          <w:rFonts w:ascii="Times New Roman" w:hAnsi="Times New Roman"/>
        </w:rPr>
        <w:t xml:space="preserve"> peoples</w:t>
      </w:r>
      <w:r w:rsidRPr="00633A71">
        <w:rPr>
          <w:rFonts w:ascii="Times New Roman" w:hAnsi="Times New Roman"/>
        </w:rPr>
        <w:t xml:space="preserve"> and </w:t>
      </w:r>
      <w:r w:rsidR="00564468" w:rsidRPr="00504B5E">
        <w:rPr>
          <w:rFonts w:ascii="Times New Roman" w:hAnsi="Times New Roman"/>
        </w:rPr>
        <w:t xml:space="preserve">local </w:t>
      </w:r>
      <w:r w:rsidRPr="00504B5E">
        <w:rPr>
          <w:rFonts w:ascii="Times New Roman" w:hAnsi="Times New Roman"/>
        </w:rPr>
        <w:t xml:space="preserve">community natural protected areas. These </w:t>
      </w:r>
      <w:proofErr w:type="gramStart"/>
      <w:r w:rsidRPr="00504B5E">
        <w:rPr>
          <w:rFonts w:ascii="Times New Roman" w:hAnsi="Times New Roman"/>
        </w:rPr>
        <w:t>can be seen as</w:t>
      </w:r>
      <w:proofErr w:type="gramEnd"/>
      <w:r w:rsidRPr="00504B5E">
        <w:rPr>
          <w:rFonts w:ascii="Times New Roman" w:hAnsi="Times New Roman"/>
        </w:rPr>
        <w:t xml:space="preserve"> substantive biodiversity safeguards. In contrast, institutional arrangements that allocate clear liabilities to compensate for infringements in nature reserves </w:t>
      </w:r>
      <w:proofErr w:type="gramStart"/>
      <w:r w:rsidRPr="00504B5E">
        <w:rPr>
          <w:rFonts w:ascii="Times New Roman" w:hAnsi="Times New Roman"/>
        </w:rPr>
        <w:t>can be seen as</w:t>
      </w:r>
      <w:proofErr w:type="gramEnd"/>
      <w:r w:rsidRPr="00504B5E">
        <w:rPr>
          <w:rFonts w:ascii="Times New Roman" w:hAnsi="Times New Roman"/>
        </w:rPr>
        <w:t xml:space="preserve"> procedural biodiversity safeguards.</w:t>
      </w:r>
    </w:p>
    <w:p w14:paraId="7C95A201" w14:textId="77777777" w:rsidR="00810C20" w:rsidRPr="00632DBC" w:rsidRDefault="00810C20" w:rsidP="00810C20">
      <w:pPr>
        <w:spacing w:after="0" w:line="240" w:lineRule="auto"/>
        <w:rPr>
          <w:rFonts w:ascii="Times New Roman" w:hAnsi="Times New Roman"/>
          <w:i/>
          <w:iCs/>
          <w:smallCaps/>
          <w:spacing w:val="5"/>
          <w:szCs w:val="26"/>
        </w:rPr>
      </w:pPr>
      <w:bookmarkStart w:id="63" w:name="_Toc336968694"/>
      <w:bookmarkStart w:id="64" w:name="_Toc337217551"/>
      <w:bookmarkStart w:id="65" w:name="_Toc337217932"/>
      <w:bookmarkStart w:id="66" w:name="_Toc342296084"/>
      <w:bookmarkStart w:id="67" w:name="_Toc336552532"/>
      <w:r w:rsidRPr="0038043D">
        <w:br w:type="page"/>
      </w:r>
    </w:p>
    <w:p w14:paraId="1374EB5D" w14:textId="6CFE7B87" w:rsidR="00810C20" w:rsidRPr="00632DBC" w:rsidRDefault="00810C20" w:rsidP="004A1238">
      <w:pPr>
        <w:pStyle w:val="Heading3"/>
      </w:pPr>
      <w:bookmarkStart w:id="68" w:name="_Toc263943514"/>
      <w:bookmarkStart w:id="69" w:name="_Toc382590307"/>
      <w:bookmarkStart w:id="70" w:name="_Toc529199432"/>
      <w:r w:rsidRPr="00632DBC">
        <w:lastRenderedPageBreak/>
        <w:t xml:space="preserve">5.2 People’s rights, </w:t>
      </w:r>
      <w:r w:rsidR="004A1238" w:rsidRPr="00632DBC">
        <w:t>responsibilities</w:t>
      </w:r>
      <w:r w:rsidR="00CB5D4D" w:rsidRPr="00632DBC">
        <w:t xml:space="preserve"> and effective participation</w:t>
      </w:r>
      <w:bookmarkEnd w:id="63"/>
      <w:bookmarkEnd w:id="64"/>
      <w:bookmarkEnd w:id="65"/>
      <w:bookmarkEnd w:id="66"/>
      <w:bookmarkEnd w:id="68"/>
      <w:bookmarkEnd w:id="69"/>
      <w:bookmarkEnd w:id="70"/>
    </w:p>
    <w:p w14:paraId="077610F3" w14:textId="3021AA89" w:rsidR="00810C20" w:rsidRPr="00632DBC" w:rsidRDefault="00810C20" w:rsidP="00810C20">
      <w:pPr>
        <w:pStyle w:val="Corps"/>
        <w:tabs>
          <w:tab w:val="left" w:pos="7998"/>
        </w:tabs>
        <w:spacing w:after="200"/>
        <w:ind w:left="567"/>
        <w:jc w:val="both"/>
        <w:rPr>
          <w:color w:val="auto"/>
          <w:lang w:val="en-GB"/>
        </w:rPr>
      </w:pPr>
    </w:p>
    <w:p w14:paraId="5774FCAA" w14:textId="2FFD11B4" w:rsidR="00810C20" w:rsidRPr="00633A71" w:rsidRDefault="00810C20" w:rsidP="0014184A">
      <w:pPr>
        <w:spacing w:line="240" w:lineRule="auto"/>
        <w:ind w:left="567" w:right="567"/>
        <w:jc w:val="both"/>
        <w:rPr>
          <w:rFonts w:ascii="Times New Roman" w:hAnsi="Times New Roman"/>
        </w:rPr>
      </w:pPr>
      <w:r w:rsidRPr="00633A71">
        <w:rPr>
          <w:rFonts w:ascii="Times New Roman" w:hAnsi="Times New Roman"/>
          <w:b/>
          <w:bCs/>
          <w:i/>
          <w:iCs/>
        </w:rPr>
        <w:t xml:space="preserve">Guideline </w:t>
      </w:r>
      <w:r w:rsidR="00997578" w:rsidRPr="00633A71">
        <w:rPr>
          <w:rFonts w:ascii="Times New Roman" w:hAnsi="Times New Roman"/>
          <w:b/>
          <w:bCs/>
          <w:i/>
          <w:iCs/>
        </w:rPr>
        <w:t>(b)</w:t>
      </w:r>
      <w:r w:rsidRPr="00633A71">
        <w:rPr>
          <w:rFonts w:ascii="Times New Roman" w:hAnsi="Times New Roman"/>
          <w:b/>
          <w:bCs/>
          <w:i/>
          <w:iCs/>
        </w:rPr>
        <w:t xml:space="preserve">.- Rights and </w:t>
      </w:r>
      <w:r w:rsidR="00997578" w:rsidRPr="00633A71">
        <w:rPr>
          <w:rFonts w:ascii="Times New Roman" w:hAnsi="Times New Roman"/>
          <w:b/>
          <w:bCs/>
          <w:i/>
          <w:iCs/>
        </w:rPr>
        <w:t xml:space="preserve">responsibilities of actors and stakeholders </w:t>
      </w:r>
      <w:r w:rsidRPr="00633A71">
        <w:rPr>
          <w:rFonts w:ascii="Times New Roman" w:hAnsi="Times New Roman"/>
          <w:b/>
          <w:bCs/>
          <w:i/>
          <w:iCs/>
        </w:rPr>
        <w:t xml:space="preserve">in </w:t>
      </w:r>
      <w:r w:rsidR="00997578" w:rsidRPr="00633A71">
        <w:rPr>
          <w:rFonts w:ascii="Times New Roman" w:hAnsi="Times New Roman"/>
          <w:b/>
          <w:bCs/>
          <w:i/>
          <w:iCs/>
        </w:rPr>
        <w:t xml:space="preserve">biodiversity </w:t>
      </w:r>
      <w:r w:rsidRPr="00633A71">
        <w:rPr>
          <w:rFonts w:ascii="Times New Roman" w:hAnsi="Times New Roman"/>
          <w:b/>
          <w:bCs/>
          <w:i/>
          <w:iCs/>
        </w:rPr>
        <w:t xml:space="preserve">financing mechanisms should be </w:t>
      </w:r>
      <w:r w:rsidR="003E7E25" w:rsidRPr="00633A71">
        <w:rPr>
          <w:rFonts w:ascii="Times New Roman" w:hAnsi="Times New Roman"/>
          <w:b/>
          <w:bCs/>
          <w:i/>
          <w:iCs/>
        </w:rPr>
        <w:t xml:space="preserve">carefully </w:t>
      </w:r>
      <w:r w:rsidRPr="00633A71">
        <w:rPr>
          <w:rFonts w:ascii="Times New Roman" w:hAnsi="Times New Roman"/>
          <w:b/>
          <w:bCs/>
          <w:i/>
          <w:iCs/>
        </w:rPr>
        <w:t xml:space="preserve">defined </w:t>
      </w:r>
      <w:r w:rsidR="003E7E25" w:rsidRPr="00633A71">
        <w:rPr>
          <w:rFonts w:ascii="Times New Roman" w:hAnsi="Times New Roman"/>
          <w:b/>
          <w:bCs/>
          <w:i/>
          <w:iCs/>
        </w:rPr>
        <w:t xml:space="preserve">at national level, </w:t>
      </w:r>
      <w:r w:rsidRPr="00633A71">
        <w:rPr>
          <w:rFonts w:ascii="Times New Roman" w:hAnsi="Times New Roman"/>
          <w:b/>
          <w:bCs/>
          <w:i/>
          <w:iCs/>
        </w:rPr>
        <w:t>in a fair and equitable manner, with the effective participation of all actors concerned</w:t>
      </w:r>
      <w:r w:rsidR="003E7E25" w:rsidRPr="00504B5E">
        <w:rPr>
          <w:rFonts w:ascii="Times New Roman" w:hAnsi="Times New Roman"/>
          <w:b/>
          <w:bCs/>
          <w:i/>
          <w:iCs/>
        </w:rPr>
        <w:t>, including</w:t>
      </w:r>
      <w:r w:rsidRPr="00504B5E">
        <w:rPr>
          <w:rFonts w:ascii="Times New Roman" w:hAnsi="Times New Roman"/>
          <w:b/>
          <w:bCs/>
          <w:i/>
          <w:iCs/>
        </w:rPr>
        <w:t xml:space="preserve"> the prior informed consent </w:t>
      </w:r>
      <w:r w:rsidR="003E7E25" w:rsidRPr="00504B5E">
        <w:rPr>
          <w:rFonts w:ascii="Times New Roman" w:hAnsi="Times New Roman"/>
          <w:b/>
          <w:bCs/>
          <w:i/>
          <w:iCs/>
        </w:rPr>
        <w:t xml:space="preserve">or approval and involvement </w:t>
      </w:r>
      <w:r w:rsidRPr="00504B5E">
        <w:rPr>
          <w:rFonts w:ascii="Times New Roman" w:hAnsi="Times New Roman"/>
          <w:b/>
          <w:bCs/>
          <w:i/>
          <w:iCs/>
        </w:rPr>
        <w:t>of indigenous</w:t>
      </w:r>
      <w:r w:rsidR="003E7E25" w:rsidRPr="00A3063C">
        <w:rPr>
          <w:rFonts w:ascii="Times New Roman" w:hAnsi="Times New Roman"/>
          <w:b/>
          <w:bCs/>
          <w:i/>
          <w:iCs/>
        </w:rPr>
        <w:t xml:space="preserve"> </w:t>
      </w:r>
      <w:r w:rsidRPr="0038043D">
        <w:rPr>
          <w:rFonts w:ascii="Times New Roman" w:hAnsi="Times New Roman"/>
          <w:b/>
          <w:bCs/>
          <w:i/>
          <w:iCs/>
        </w:rPr>
        <w:t>and local communities</w:t>
      </w:r>
      <w:r w:rsidR="003E7E25" w:rsidRPr="00632DBC">
        <w:rPr>
          <w:rFonts w:ascii="Times New Roman" w:hAnsi="Times New Roman"/>
          <w:b/>
          <w:bCs/>
          <w:i/>
          <w:iCs/>
        </w:rPr>
        <w:t>, taking into account</w:t>
      </w:r>
      <w:r w:rsidRPr="00632DBC">
        <w:rPr>
          <w:rFonts w:ascii="Times New Roman" w:hAnsi="Times New Roman"/>
          <w:b/>
          <w:bCs/>
          <w:i/>
          <w:iCs/>
        </w:rPr>
        <w:t xml:space="preserve"> </w:t>
      </w:r>
      <w:r w:rsidR="003E7E25" w:rsidRPr="00632DBC">
        <w:rPr>
          <w:rFonts w:ascii="Times New Roman" w:hAnsi="Times New Roman"/>
          <w:b/>
          <w:bCs/>
          <w:i/>
          <w:iCs/>
        </w:rPr>
        <w:t xml:space="preserve">the Convention on Biological Diversity and its relevant decisions, guidance and principles and, as appropriate, </w:t>
      </w:r>
      <w:r w:rsidRPr="00632DBC">
        <w:rPr>
          <w:rFonts w:ascii="Times New Roman" w:hAnsi="Times New Roman"/>
          <w:b/>
          <w:bCs/>
          <w:i/>
          <w:iCs/>
        </w:rPr>
        <w:t>the United Nations Declaration of the Rights of Indigenous Peoples (UNDRIP).</w:t>
      </w:r>
      <w:r w:rsidRPr="00633A71">
        <w:rPr>
          <w:rFonts w:ascii="Times New Roman" w:hAnsi="Times New Roman"/>
          <w:b/>
          <w:bCs/>
          <w:i/>
          <w:iCs/>
        </w:rPr>
        <w:t xml:space="preserve"> </w:t>
      </w:r>
    </w:p>
    <w:p w14:paraId="3E0DDD0D"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The justification and content of safeguards in biodiversity-relevant processes have so far tended to be defensive in nature, seeking primarily to ensure a smooth implementation of projects. Defensiv</w:t>
      </w:r>
      <w:r w:rsidRPr="00504B5E">
        <w:rPr>
          <w:rFonts w:ascii="Times New Roman" w:hAnsi="Times New Roman"/>
        </w:rPr>
        <w:t xml:space="preserve">e tools are not sufficient for enabling conditions for the well-being of peoples and communities that can potentially be affected by BFMs. A rights and duties-based approach could help overcome this limitation. </w:t>
      </w:r>
      <w:r w:rsidRPr="00A3063C">
        <w:rPr>
          <w:rFonts w:ascii="Times New Roman" w:hAnsi="Times New Roman"/>
          <w:iCs/>
        </w:rPr>
        <w:t>Certain stakeholders in scaling-up biodiversity financing have therefore calle</w:t>
      </w:r>
      <w:r w:rsidRPr="0038043D">
        <w:rPr>
          <w:rFonts w:ascii="Times New Roman" w:hAnsi="Times New Roman"/>
          <w:iCs/>
        </w:rPr>
        <w:t>d for rights, resources and people’s livelihoods as elements to be safeguarded.</w:t>
      </w:r>
      <w:r w:rsidRPr="00633A71">
        <w:rPr>
          <w:rStyle w:val="FootnoteReference"/>
          <w:rFonts w:ascii="Times New Roman" w:hAnsi="Times New Roman"/>
          <w:iCs/>
        </w:rPr>
        <w:footnoteReference w:id="92"/>
      </w:r>
      <w:r w:rsidRPr="00633A71">
        <w:rPr>
          <w:rFonts w:ascii="Times New Roman" w:hAnsi="Times New Roman"/>
          <w:iCs/>
        </w:rPr>
        <w:t xml:space="preserve"> </w:t>
      </w:r>
      <w:r w:rsidRPr="00633A71">
        <w:rPr>
          <w:rFonts w:ascii="Times New Roman" w:hAnsi="Times New Roman"/>
        </w:rPr>
        <w:t xml:space="preserve">Within </w:t>
      </w:r>
      <w:proofErr w:type="gramStart"/>
      <w:r w:rsidRPr="00633A71">
        <w:rPr>
          <w:rFonts w:ascii="Times New Roman" w:hAnsi="Times New Roman"/>
        </w:rPr>
        <w:t>a rights</w:t>
      </w:r>
      <w:proofErr w:type="gramEnd"/>
      <w:r w:rsidRPr="00633A71">
        <w:rPr>
          <w:rFonts w:ascii="Times New Roman" w:hAnsi="Times New Roman"/>
        </w:rPr>
        <w:t>- and duties-based approach, local people are not merely stakeholders whose views may (or may not) be taken into account by governmental and other agencies, but they are right-holders with statutory rights and obligations.</w:t>
      </w:r>
      <w:r w:rsidRPr="00633A71">
        <w:rPr>
          <w:rFonts w:ascii="Times New Roman" w:hAnsi="Times New Roman"/>
          <w:vertAlign w:val="superscript"/>
        </w:rPr>
        <w:footnoteReference w:id="93"/>
      </w:r>
      <w:r w:rsidRPr="00633A71">
        <w:rPr>
          <w:rFonts w:ascii="Times New Roman" w:hAnsi="Times New Roman"/>
        </w:rPr>
        <w:t xml:space="preserve"> </w:t>
      </w:r>
    </w:p>
    <w:p w14:paraId="34E606A7" w14:textId="28A60721" w:rsidR="00810C20" w:rsidRPr="00633A71" w:rsidRDefault="00810C20" w:rsidP="00810C20">
      <w:pPr>
        <w:spacing w:line="240" w:lineRule="auto"/>
        <w:jc w:val="both"/>
        <w:rPr>
          <w:rFonts w:ascii="Times New Roman" w:hAnsi="Times New Roman"/>
          <w:iCs/>
        </w:rPr>
      </w:pPr>
      <w:r w:rsidRPr="00633A71">
        <w:rPr>
          <w:rFonts w:ascii="Times New Roman" w:hAnsi="Times New Roman"/>
        </w:rPr>
        <w:t>L</w:t>
      </w:r>
      <w:r w:rsidRPr="00633A71">
        <w:rPr>
          <w:rFonts w:ascii="Times New Roman" w:hAnsi="Times New Roman"/>
          <w:iCs/>
        </w:rPr>
        <w:t>essons are being learned from case studies on PES and conservation incentive programs that show how important it is to “adopt a rights-based approach that re</w:t>
      </w:r>
      <w:r w:rsidRPr="00504B5E">
        <w:rPr>
          <w:rFonts w:ascii="Times New Roman" w:hAnsi="Times New Roman"/>
          <w:iCs/>
        </w:rPr>
        <w:t>spects internationally-agreed safeguards”.</w:t>
      </w:r>
      <w:r w:rsidRPr="00633A71">
        <w:rPr>
          <w:rStyle w:val="FootnoteReference"/>
          <w:rFonts w:ascii="Times New Roman" w:hAnsi="Times New Roman"/>
          <w:iCs/>
        </w:rPr>
        <w:footnoteReference w:id="94"/>
      </w:r>
      <w:r w:rsidR="009D5C15" w:rsidRPr="00633A71">
        <w:rPr>
          <w:rFonts w:ascii="Times New Roman" w:hAnsi="Times New Roman"/>
          <w:iCs/>
        </w:rPr>
        <w:t xml:space="preserve"> </w:t>
      </w:r>
      <w:r w:rsidRPr="00633A71">
        <w:rPr>
          <w:rFonts w:ascii="Times New Roman" w:hAnsi="Times New Roman"/>
        </w:rPr>
        <w:t xml:space="preserve">Rights-based approaches are not simply defensive demands of marginalised people, but constructive commitments to work towards consensus on the basis of mutual recognition of parties’ respective rights and duties on biodiversity issues. </w:t>
      </w:r>
      <w:proofErr w:type="gramStart"/>
      <w:r w:rsidRPr="00633A71">
        <w:rPr>
          <w:rFonts w:ascii="Times New Roman" w:hAnsi="Times New Roman"/>
          <w:iCs/>
        </w:rPr>
        <w:t>A rights</w:t>
      </w:r>
      <w:proofErr w:type="gramEnd"/>
      <w:r w:rsidRPr="00633A71">
        <w:rPr>
          <w:rFonts w:ascii="Times New Roman" w:hAnsi="Times New Roman"/>
          <w:iCs/>
        </w:rPr>
        <w:t xml:space="preserve">- and duties-based approach to safeguards in BFMs </w:t>
      </w:r>
      <w:r w:rsidRPr="00504B5E">
        <w:rPr>
          <w:rFonts w:ascii="Times New Roman" w:hAnsi="Times New Roman"/>
        </w:rPr>
        <w:t>would imply viewing safeguards as part of a broader institutional and legal framework that constructively seeks consensus in order to equitably allocate biocultural rights and duties among the parties involved, both in the choice of BFMs to develop and in their implementation.</w:t>
      </w:r>
      <w:r w:rsidRPr="00633A71">
        <w:rPr>
          <w:rStyle w:val="FootnoteReference"/>
          <w:rFonts w:ascii="Times New Roman" w:hAnsi="Times New Roman"/>
        </w:rPr>
        <w:footnoteReference w:id="95"/>
      </w:r>
      <w:r w:rsidRPr="00633A71">
        <w:rPr>
          <w:rFonts w:ascii="Times New Roman" w:hAnsi="Times New Roman"/>
        </w:rPr>
        <w:t xml:space="preserve"> </w:t>
      </w:r>
    </w:p>
    <w:bookmarkEnd w:id="67"/>
    <w:p w14:paraId="779A00B8"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Rights and duties defined in a fair manner include the way in which monetary and non-monetary benefits, costs and risks are distributed betw</w:t>
      </w:r>
      <w:r w:rsidRPr="00504B5E">
        <w:rPr>
          <w:rFonts w:ascii="Times New Roman" w:hAnsi="Times New Roman"/>
        </w:rPr>
        <w:t>een different stakeholders.</w:t>
      </w:r>
      <w:r w:rsidRPr="00633A71">
        <w:rPr>
          <w:rStyle w:val="FootnoteReference"/>
          <w:rFonts w:ascii="Times New Roman" w:hAnsi="Times New Roman"/>
        </w:rPr>
        <w:footnoteReference w:id="96"/>
      </w:r>
      <w:r w:rsidRPr="00633A71">
        <w:rPr>
          <w:rFonts w:ascii="Times New Roman" w:hAnsi="Times New Roman"/>
        </w:rPr>
        <w:t xml:space="preserve"> At the international level, consensus now exists on the importance of equity, so this is the reason why we frame it as a guiding guideline. The CBD and Human Rights instruments as well as national law influence the governance of BFMs as well as their distributional </w:t>
      </w:r>
      <w:proofErr w:type="gramStart"/>
      <w:r w:rsidRPr="00633A71">
        <w:rPr>
          <w:rFonts w:ascii="Times New Roman" w:hAnsi="Times New Roman"/>
        </w:rPr>
        <w:t>impacts, and</w:t>
      </w:r>
      <w:proofErr w:type="gramEnd"/>
      <w:r w:rsidRPr="00633A71">
        <w:rPr>
          <w:rFonts w:ascii="Times New Roman" w:hAnsi="Times New Roman"/>
        </w:rPr>
        <w:t xml:space="preserve"> can serve to interpret this guideline. Article 21 under the CBD refers to a mechanism for the provision of financial resources to developing country Parties and highlights “…the importance of burden-sharing among the contributing Parties”.</w:t>
      </w:r>
      <w:r w:rsidRPr="00633A71">
        <w:rPr>
          <w:rStyle w:val="FootnoteReference"/>
          <w:rFonts w:ascii="Times New Roman" w:hAnsi="Times New Roman"/>
        </w:rPr>
        <w:footnoteReference w:id="97"/>
      </w:r>
      <w:r w:rsidRPr="00633A71">
        <w:rPr>
          <w:rFonts w:ascii="Times New Roman" w:hAnsi="Times New Roman"/>
        </w:rPr>
        <w:t xml:space="preserve"> </w:t>
      </w:r>
    </w:p>
    <w:p w14:paraId="6A1A7AB1" w14:textId="7A82A6F8" w:rsidR="00810C20" w:rsidRPr="00633A71" w:rsidRDefault="00810C20" w:rsidP="00810C20">
      <w:pPr>
        <w:spacing w:line="240" w:lineRule="auto"/>
        <w:jc w:val="both"/>
        <w:rPr>
          <w:rFonts w:ascii="Times New Roman" w:hAnsi="Times New Roman"/>
        </w:rPr>
      </w:pPr>
      <w:r w:rsidRPr="00633A71">
        <w:rPr>
          <w:rFonts w:ascii="Times New Roman" w:hAnsi="Times New Roman"/>
        </w:rPr>
        <w:t xml:space="preserve">Besides international law, the legislation and policy decisions at the national level can serve to specify equitable benefit sharing in BFMs and make it responsive to local concerns particularly related to rights, </w:t>
      </w:r>
      <w:r w:rsidRPr="00633A71">
        <w:rPr>
          <w:rFonts w:ascii="Times New Roman" w:hAnsi="Times New Roman"/>
        </w:rPr>
        <w:lastRenderedPageBreak/>
        <w:t>live</w:t>
      </w:r>
      <w:r w:rsidRPr="00504B5E">
        <w:rPr>
          <w:rFonts w:ascii="Times New Roman" w:hAnsi="Times New Roman"/>
        </w:rPr>
        <w:t>lihoods and resources.</w:t>
      </w:r>
      <w:r w:rsidRPr="00633A71">
        <w:rPr>
          <w:rStyle w:val="FootnoteReference"/>
          <w:rFonts w:ascii="Times New Roman" w:hAnsi="Times New Roman"/>
        </w:rPr>
        <w:footnoteReference w:id="98"/>
      </w:r>
      <w:r w:rsidRPr="00633A71">
        <w:rPr>
          <w:rFonts w:ascii="Times New Roman" w:hAnsi="Times New Roman"/>
        </w:rPr>
        <w:t xml:space="preserve"> While the social scale of communities and the associated equity dimensions are addressed in both the CBD and the UNFCCC (e.g. see Article 8(j) under the CBD and the social safeguards in the Annex of UNFCCC COP 16 Decision (2010)), national law and policy as well as customary norms can give further meaning to both substantive rights such as property-related rights and procedural rights such as the right to prior informed consent. Box </w:t>
      </w:r>
      <w:r w:rsidR="00D64C02" w:rsidRPr="00633A71">
        <w:rPr>
          <w:rFonts w:ascii="Times New Roman" w:hAnsi="Times New Roman"/>
        </w:rPr>
        <w:t>9</w:t>
      </w:r>
      <w:r w:rsidRPr="00633A71">
        <w:rPr>
          <w:rFonts w:ascii="Times New Roman" w:hAnsi="Times New Roman"/>
        </w:rPr>
        <w:t xml:space="preserve"> illustrates that this guideline is already instit</w:t>
      </w:r>
      <w:r w:rsidRPr="00504B5E">
        <w:rPr>
          <w:rFonts w:ascii="Times New Roman" w:hAnsi="Times New Roman"/>
        </w:rPr>
        <w:t>utionalised in some national laws.</w:t>
      </w:r>
      <w:r w:rsidRPr="00633A71">
        <w:rPr>
          <w:rStyle w:val="FootnoteReference"/>
          <w:rFonts w:ascii="Times New Roman" w:hAnsi="Times New Roman"/>
        </w:rPr>
        <w:footnoteReference w:id="99"/>
      </w:r>
      <w:r w:rsidRPr="00633A71">
        <w:rPr>
          <w:rFonts w:ascii="Times New Roman" w:hAnsi="Times New Roman"/>
        </w:rPr>
        <w:t xml:space="preserve"> </w:t>
      </w:r>
    </w:p>
    <w:p w14:paraId="4F98B1E0" w14:textId="7F2F0E3B" w:rsidR="00633A71" w:rsidRDefault="00810C20" w:rsidP="00632DBC">
      <w:pPr>
        <w:spacing w:line="240" w:lineRule="auto"/>
        <w:jc w:val="both"/>
      </w:pPr>
      <w:r w:rsidRPr="00504B5E">
        <w:rPr>
          <w:rFonts w:ascii="Times New Roman" w:hAnsi="Times New Roman"/>
        </w:rPr>
        <w:t xml:space="preserve">In the panel “Safeguards and mechanisms” (The Third Meeting Of The Global Partnership For Business And Biodiversity in Montreal) and in the </w:t>
      </w:r>
      <w:r w:rsidR="009D5C15" w:rsidRPr="00A3063C">
        <w:rPr>
          <w:rFonts w:ascii="Times New Roman" w:hAnsi="Times New Roman"/>
        </w:rPr>
        <w:t xml:space="preserve">2013 </w:t>
      </w:r>
      <w:r w:rsidRPr="0038043D">
        <w:rPr>
          <w:rFonts w:ascii="Times New Roman" w:hAnsi="Times New Roman"/>
        </w:rPr>
        <w:t xml:space="preserve">Bonn workshop on Community Monitoring and Information Systems, some participants highlighted the importance </w:t>
      </w:r>
      <w:proofErr w:type="gramStart"/>
      <w:r w:rsidRPr="0038043D">
        <w:rPr>
          <w:rFonts w:ascii="Times New Roman" w:hAnsi="Times New Roman"/>
        </w:rPr>
        <w:t>of  “</w:t>
      </w:r>
      <w:proofErr w:type="gramEnd"/>
      <w:r w:rsidRPr="0038043D">
        <w:rPr>
          <w:rFonts w:ascii="Times New Roman" w:hAnsi="Times New Roman"/>
        </w:rPr>
        <w:t xml:space="preserve">free prior informed consent”. Certain national legislation (e.g. </w:t>
      </w:r>
      <w:r w:rsidRPr="00BA356A">
        <w:rPr>
          <w:rFonts w:ascii="Times New Roman" w:hAnsi="Times New Roman"/>
        </w:rPr>
        <w:t>Forest Law (LGDFS) Artic</w:t>
      </w:r>
      <w:r w:rsidRPr="00266AA4">
        <w:rPr>
          <w:rFonts w:ascii="Times New Roman" w:hAnsi="Times New Roman"/>
        </w:rPr>
        <w:t xml:space="preserve">le 134Bis in Mexico), international declarations such as the UNDRIP and Conventions such as Convention for the Safeguarding of the Intangible Cultural Heritage </w:t>
      </w:r>
      <w:r w:rsidR="009D5C15" w:rsidRPr="006D546D">
        <w:rPr>
          <w:rFonts w:ascii="Times New Roman" w:hAnsi="Times New Roman"/>
        </w:rPr>
        <w:t xml:space="preserve">also </w:t>
      </w:r>
      <w:r w:rsidRPr="006D546D">
        <w:rPr>
          <w:rFonts w:ascii="Times New Roman" w:hAnsi="Times New Roman"/>
        </w:rPr>
        <w:t xml:space="preserve">refer to this concept as FPIC. </w:t>
      </w:r>
      <w:r w:rsidR="00504B5E" w:rsidRPr="00002536">
        <w:rPr>
          <w:rFonts w:ascii="Times New Roman" w:hAnsi="Times New Roman"/>
        </w:rPr>
        <w:t xml:space="preserve"> </w:t>
      </w:r>
      <w:r w:rsidR="00633A71" w:rsidRPr="00002536">
        <w:rPr>
          <w:rFonts w:ascii="Times New Roman" w:hAnsi="Times New Roman"/>
        </w:rPr>
        <w:t xml:space="preserve">Current CBD language e.g. the Mo’otz </w:t>
      </w:r>
      <w:proofErr w:type="gramStart"/>
      <w:r w:rsidR="00633A71" w:rsidRPr="00002536">
        <w:rPr>
          <w:rFonts w:ascii="Times New Roman" w:hAnsi="Times New Roman"/>
        </w:rPr>
        <w:t>kuxtal  Voluntary</w:t>
      </w:r>
      <w:proofErr w:type="gramEnd"/>
      <w:r w:rsidR="00633A71" w:rsidRPr="00002536">
        <w:rPr>
          <w:rFonts w:ascii="Times New Roman" w:hAnsi="Times New Roman"/>
        </w:rPr>
        <w:t xml:space="preserve"> Guidelines refers to ensuring  “the </w:t>
      </w:r>
      <w:r w:rsidR="00BA356A" w:rsidRPr="00002536">
        <w:rPr>
          <w:rFonts w:ascii="Times New Roman" w:hAnsi="Times New Roman"/>
        </w:rPr>
        <w:t>‘</w:t>
      </w:r>
      <w:r w:rsidR="00633A71" w:rsidRPr="00002536">
        <w:rPr>
          <w:rFonts w:ascii="Times New Roman" w:hAnsi="Times New Roman"/>
        </w:rPr>
        <w:t>prior and informed consent</w:t>
      </w:r>
      <w:r w:rsidR="00BA356A" w:rsidRPr="00002536">
        <w:rPr>
          <w:rFonts w:ascii="Times New Roman" w:hAnsi="Times New Roman"/>
        </w:rPr>
        <w:t>’</w:t>
      </w:r>
      <w:r w:rsidR="00633A71" w:rsidRPr="00002536">
        <w:rPr>
          <w:rFonts w:ascii="Times New Roman" w:hAnsi="Times New Roman"/>
        </w:rPr>
        <w:t xml:space="preserve">, </w:t>
      </w:r>
      <w:r w:rsidR="00BA356A" w:rsidRPr="00002536">
        <w:rPr>
          <w:rFonts w:ascii="Times New Roman" w:hAnsi="Times New Roman"/>
        </w:rPr>
        <w:t>‘</w:t>
      </w:r>
      <w:r w:rsidR="00633A71" w:rsidRPr="00002536">
        <w:rPr>
          <w:rFonts w:ascii="Times New Roman" w:hAnsi="Times New Roman"/>
        </w:rPr>
        <w:t>free, prior and informed consent</w:t>
      </w:r>
      <w:r w:rsidR="00BA356A" w:rsidRPr="00002536">
        <w:rPr>
          <w:rFonts w:ascii="Times New Roman" w:hAnsi="Times New Roman"/>
        </w:rPr>
        <w:t>’</w:t>
      </w:r>
      <w:r w:rsidR="00633A71" w:rsidRPr="00002536">
        <w:rPr>
          <w:rFonts w:ascii="Times New Roman" w:hAnsi="Times New Roman"/>
        </w:rPr>
        <w:t xml:space="preserve"> or </w:t>
      </w:r>
      <w:r w:rsidR="00BA356A" w:rsidRPr="00002536">
        <w:rPr>
          <w:rFonts w:ascii="Times New Roman" w:hAnsi="Times New Roman"/>
        </w:rPr>
        <w:t>‘</w:t>
      </w:r>
      <w:r w:rsidR="00633A71" w:rsidRPr="00002536">
        <w:rPr>
          <w:rFonts w:ascii="Times New Roman" w:hAnsi="Times New Roman"/>
        </w:rPr>
        <w:t>approval and involvement</w:t>
      </w:r>
      <w:r w:rsidR="00BA356A" w:rsidRPr="00002536">
        <w:rPr>
          <w:rFonts w:ascii="Times New Roman" w:hAnsi="Times New Roman"/>
        </w:rPr>
        <w:t>’</w:t>
      </w:r>
      <w:r w:rsidR="00633A71" w:rsidRPr="00002536">
        <w:rPr>
          <w:rFonts w:ascii="Times New Roman" w:hAnsi="Times New Roman"/>
        </w:rPr>
        <w:t>, depending on national circumstances, of indigenous peoples and local communities”  (</w:t>
      </w:r>
      <w:r w:rsidR="00633A71" w:rsidRPr="00002536">
        <w:rPr>
          <w:rFonts w:ascii="Times New Roman" w:eastAsiaTheme="minorEastAsia" w:hAnsi="Times New Roman"/>
        </w:rPr>
        <w:t>CBD/COP/DEC/XIII/18)</w:t>
      </w:r>
      <w:r w:rsidR="00504B5E" w:rsidRPr="00002536">
        <w:rPr>
          <w:rFonts w:ascii="Times New Roman" w:eastAsiaTheme="minorEastAsia" w:hAnsi="Times New Roman"/>
        </w:rPr>
        <w:t>.</w:t>
      </w:r>
      <w:r w:rsidR="00504B5E">
        <w:rPr>
          <w:rStyle w:val="FootnoteReference"/>
          <w:rFonts w:eastAsiaTheme="minorEastAsia"/>
        </w:rPr>
        <w:footnoteReference w:id="100"/>
      </w:r>
    </w:p>
    <w:p w14:paraId="1B227CB8" w14:textId="6273C81B" w:rsidR="00810C20" w:rsidRPr="00504B5E" w:rsidRDefault="00504B5E" w:rsidP="00810C20">
      <w:pPr>
        <w:spacing w:line="240" w:lineRule="auto"/>
        <w:jc w:val="both"/>
        <w:rPr>
          <w:rFonts w:ascii="Times New Roman" w:hAnsi="Times New Roman"/>
        </w:rPr>
      </w:pPr>
      <w:r>
        <w:rPr>
          <w:rFonts w:ascii="Times New Roman" w:hAnsi="Times New Roman"/>
        </w:rPr>
        <w:t>C</w:t>
      </w:r>
      <w:r w:rsidR="00810C20" w:rsidRPr="00633A71">
        <w:rPr>
          <w:rFonts w:ascii="Times New Roman" w:hAnsi="Times New Roman"/>
        </w:rPr>
        <w:t>onsidering the inclusive approach of this discussion paper as well as the differences in national legislations, we have included both “prior informed consent” and “free prior informed consent”. Furthermore, this guideline recognises that States have the sovereign right over their own natural resources and the right of pursuing their own environmental policies in accordance with their national legislation.</w:t>
      </w:r>
    </w:p>
    <w:p w14:paraId="151764FB" w14:textId="34ECEFDD" w:rsidR="00810C20" w:rsidRPr="00504B5E" w:rsidRDefault="00810C20" w:rsidP="00632DBC">
      <w:pPr>
        <w:keepNext/>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i/>
          <w:sz w:val="18"/>
        </w:rPr>
      </w:pPr>
      <w:r w:rsidRPr="00504B5E">
        <w:rPr>
          <w:rFonts w:ascii="Arial" w:hAnsi="Arial"/>
          <w:i/>
          <w:sz w:val="18"/>
        </w:rPr>
        <w:t xml:space="preserve">Box </w:t>
      </w:r>
      <w:r w:rsidR="00D64C02" w:rsidRPr="00504B5E">
        <w:rPr>
          <w:rFonts w:ascii="Arial" w:hAnsi="Arial"/>
          <w:i/>
          <w:sz w:val="18"/>
          <w:szCs w:val="20"/>
        </w:rPr>
        <w:t>9</w:t>
      </w:r>
      <w:r w:rsidRPr="00504B5E">
        <w:rPr>
          <w:rFonts w:ascii="Arial" w:hAnsi="Arial"/>
          <w:i/>
          <w:sz w:val="18"/>
          <w:szCs w:val="20"/>
        </w:rPr>
        <w:t>.</w:t>
      </w:r>
      <w:r w:rsidRPr="00504B5E">
        <w:rPr>
          <w:rFonts w:ascii="Arial" w:hAnsi="Arial"/>
          <w:i/>
          <w:sz w:val="18"/>
        </w:rPr>
        <w:t xml:space="preserve"> Examples of access and benefit sharing </w:t>
      </w:r>
      <w:r w:rsidRPr="00504B5E">
        <w:rPr>
          <w:rFonts w:ascii="Arial" w:hAnsi="Arial"/>
          <w:i/>
          <w:sz w:val="18"/>
          <w:szCs w:val="20"/>
        </w:rPr>
        <w:t>in</w:t>
      </w:r>
      <w:r w:rsidRPr="00504B5E">
        <w:rPr>
          <w:rFonts w:ascii="Arial" w:hAnsi="Arial"/>
          <w:i/>
          <w:sz w:val="18"/>
        </w:rPr>
        <w:t xml:space="preserve"> national laws and policies</w:t>
      </w:r>
    </w:p>
    <w:p w14:paraId="3D89A542" w14:textId="77777777"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rPr>
      </w:pPr>
      <w:r w:rsidRPr="00A3063C">
        <w:rPr>
          <w:rFonts w:ascii="Arial" w:hAnsi="Arial"/>
          <w:sz w:val="18"/>
        </w:rPr>
        <w:t>The Peruvian “Law introducing a protection regime for in</w:t>
      </w:r>
      <w:r w:rsidRPr="0038043D">
        <w:rPr>
          <w:rFonts w:ascii="Arial" w:hAnsi="Arial"/>
          <w:sz w:val="18"/>
        </w:rPr>
        <w:t>digenous peoples’ collective knowledge associated with biological resources”, called Law 27811</w:t>
      </w:r>
      <w:r w:rsidRPr="00632DBC">
        <w:rPr>
          <w:rFonts w:ascii="Arial" w:hAnsi="Arial"/>
          <w:sz w:val="18"/>
          <w:szCs w:val="20"/>
        </w:rPr>
        <w:t>,</w:t>
      </w:r>
      <w:r w:rsidRPr="00632DBC">
        <w:rPr>
          <w:rFonts w:ascii="Arial" w:hAnsi="Arial"/>
          <w:sz w:val="18"/>
        </w:rPr>
        <w:t xml:space="preserve"> establishes a regime that includes license agreements</w:t>
      </w:r>
      <w:r w:rsidRPr="00632DBC">
        <w:rPr>
          <w:rFonts w:ascii="Arial" w:hAnsi="Arial"/>
          <w:sz w:val="18"/>
          <w:szCs w:val="20"/>
        </w:rPr>
        <w:t xml:space="preserve"> on the one hand</w:t>
      </w:r>
      <w:r w:rsidRPr="00632DBC">
        <w:rPr>
          <w:rFonts w:ascii="Arial" w:hAnsi="Arial"/>
          <w:sz w:val="18"/>
        </w:rPr>
        <w:t xml:space="preserve"> and public, confidential and local registers of knowledge, on the other. Peru was the first country with a large indigenous population to create such a regime.</w:t>
      </w:r>
      <w:r w:rsidRPr="00633A71">
        <w:rPr>
          <w:rFonts w:ascii="Times New Roman" w:hAnsi="Times New Roman"/>
          <w:vertAlign w:val="superscript"/>
        </w:rPr>
        <w:footnoteReference w:id="101"/>
      </w:r>
      <w:r w:rsidRPr="00633A71">
        <w:rPr>
          <w:rFonts w:ascii="Arial" w:hAnsi="Arial"/>
          <w:sz w:val="18"/>
        </w:rPr>
        <w:t xml:space="preserve"> Among the objectives of Law 27811 are: promoting the respect and protection of collective knowledge associated with biological resources, guaranteeing that </w:t>
      </w:r>
      <w:r w:rsidRPr="00633A71">
        <w:rPr>
          <w:rFonts w:ascii="Arial" w:hAnsi="Arial"/>
          <w:sz w:val="18"/>
          <w:szCs w:val="20"/>
        </w:rPr>
        <w:t>their</w:t>
      </w:r>
      <w:r w:rsidRPr="00633A71">
        <w:rPr>
          <w:rFonts w:ascii="Arial" w:hAnsi="Arial"/>
          <w:sz w:val="18"/>
        </w:rPr>
        <w:t xml:space="preserve"> use is made with the </w:t>
      </w:r>
      <w:r w:rsidRPr="00633A71">
        <w:rPr>
          <w:rFonts w:ascii="Arial" w:hAnsi="Arial"/>
          <w:b/>
          <w:sz w:val="18"/>
        </w:rPr>
        <w:t>prior informed consent</w:t>
      </w:r>
      <w:r w:rsidRPr="00633A71">
        <w:rPr>
          <w:rFonts w:ascii="Arial" w:hAnsi="Arial"/>
          <w:sz w:val="18"/>
        </w:rPr>
        <w:t xml:space="preserve"> of indigenous peoples, and promoting just and equitable </w:t>
      </w:r>
      <w:r w:rsidRPr="00633A71">
        <w:rPr>
          <w:rFonts w:ascii="Arial" w:hAnsi="Arial"/>
          <w:b/>
          <w:sz w:val="18"/>
        </w:rPr>
        <w:t>benefits sharing</w:t>
      </w:r>
      <w:r w:rsidRPr="00633A71">
        <w:rPr>
          <w:rFonts w:ascii="Arial" w:hAnsi="Arial"/>
          <w:sz w:val="18"/>
        </w:rPr>
        <w:t xml:space="preserve"> derived from the use of collective knowledge associated with biological</w:t>
      </w:r>
      <w:r w:rsidRPr="00504B5E">
        <w:rPr>
          <w:rFonts w:ascii="Arial" w:hAnsi="Arial"/>
          <w:sz w:val="18"/>
        </w:rPr>
        <w:t xml:space="preserve"> resources.</w:t>
      </w:r>
      <w:bookmarkStart w:id="71" w:name="_Toc195696303"/>
      <w:bookmarkStart w:id="72" w:name="_Toc195779683"/>
      <w:bookmarkStart w:id="73" w:name="_Toc196186794"/>
      <w:bookmarkStart w:id="74" w:name="_Toc196215514"/>
      <w:bookmarkStart w:id="75" w:name="_Toc196215592"/>
      <w:bookmarkStart w:id="76" w:name="_Toc196275319"/>
      <w:bookmarkStart w:id="77" w:name="_Toc196277108"/>
      <w:bookmarkStart w:id="78" w:name="_Toc196277163"/>
      <w:bookmarkStart w:id="79" w:name="_Toc196372005"/>
      <w:bookmarkStart w:id="80" w:name="_Toc196714524"/>
      <w:r w:rsidRPr="00633A71">
        <w:rPr>
          <w:rFonts w:ascii="Times New Roman" w:hAnsi="Times New Roman"/>
          <w:vertAlign w:val="superscript"/>
        </w:rPr>
        <w:footnoteReference w:id="102"/>
      </w:r>
      <w:bookmarkEnd w:id="71"/>
      <w:bookmarkEnd w:id="72"/>
      <w:bookmarkEnd w:id="73"/>
      <w:bookmarkEnd w:id="74"/>
      <w:bookmarkEnd w:id="75"/>
      <w:bookmarkEnd w:id="76"/>
      <w:bookmarkEnd w:id="77"/>
      <w:bookmarkEnd w:id="78"/>
      <w:bookmarkEnd w:id="79"/>
      <w:bookmarkEnd w:id="80"/>
      <w:r w:rsidRPr="00633A71">
        <w:rPr>
          <w:rFonts w:ascii="Arial" w:hAnsi="Arial"/>
          <w:sz w:val="18"/>
        </w:rPr>
        <w:t xml:space="preserve"> It is not only the substantive content of safeguards that is important but also the way in which they are implemented.</w:t>
      </w:r>
      <w:r w:rsidRPr="00633A71">
        <w:rPr>
          <w:rStyle w:val="FootnoteReference"/>
          <w:rFonts w:ascii="Times New Roman" w:hAnsi="Times New Roman"/>
        </w:rPr>
        <w:footnoteReference w:id="103"/>
      </w:r>
      <w:r w:rsidRPr="00633A71">
        <w:rPr>
          <w:rFonts w:ascii="Arial" w:hAnsi="Arial"/>
          <w:sz w:val="18"/>
        </w:rPr>
        <w:t xml:space="preserve"> In Law 27811, </w:t>
      </w:r>
      <w:r w:rsidRPr="00633A71">
        <w:rPr>
          <w:rFonts w:ascii="Arial" w:hAnsi="Arial"/>
          <w:sz w:val="18"/>
          <w:szCs w:val="20"/>
        </w:rPr>
        <w:t xml:space="preserve">under article 15, </w:t>
      </w:r>
      <w:r w:rsidRPr="00633A71">
        <w:rPr>
          <w:rFonts w:ascii="Arial" w:hAnsi="Arial"/>
          <w:sz w:val="18"/>
          <w:szCs w:val="20"/>
        </w:rPr>
        <w:lastRenderedPageBreak/>
        <w:t xml:space="preserve">an autonomous national public institution, the National Institute for the </w:t>
      </w:r>
      <w:proofErr w:type="spellStart"/>
      <w:r w:rsidRPr="00633A71">
        <w:rPr>
          <w:rFonts w:ascii="Arial" w:hAnsi="Arial"/>
          <w:sz w:val="18"/>
          <w:szCs w:val="20"/>
        </w:rPr>
        <w:t>Defense</w:t>
      </w:r>
      <w:proofErr w:type="spellEnd"/>
      <w:r w:rsidRPr="00633A71">
        <w:rPr>
          <w:rFonts w:ascii="Arial" w:hAnsi="Arial"/>
          <w:sz w:val="18"/>
          <w:szCs w:val="20"/>
        </w:rPr>
        <w:t xml:space="preserve"> of Competition and the Protection of Intellectual Property (</w:t>
      </w:r>
      <w:r w:rsidRPr="00504B5E">
        <w:rPr>
          <w:rFonts w:ascii="Arial" w:hAnsi="Arial"/>
          <w:sz w:val="18"/>
        </w:rPr>
        <w:t>INDECOPI</w:t>
      </w:r>
      <w:r w:rsidRPr="00504B5E">
        <w:rPr>
          <w:rFonts w:ascii="Arial" w:hAnsi="Arial"/>
          <w:sz w:val="18"/>
          <w:szCs w:val="20"/>
        </w:rPr>
        <w:t>)</w:t>
      </w:r>
      <w:r w:rsidRPr="00504B5E">
        <w:rPr>
          <w:rFonts w:ascii="Arial" w:hAnsi="Arial"/>
          <w:sz w:val="18"/>
        </w:rPr>
        <w:t xml:space="preserve"> is responsible for </w:t>
      </w:r>
      <w:r w:rsidRPr="00504B5E">
        <w:rPr>
          <w:rFonts w:ascii="Arial" w:hAnsi="Arial"/>
          <w:sz w:val="18"/>
          <w:szCs w:val="20"/>
        </w:rPr>
        <w:t xml:space="preserve">both </w:t>
      </w:r>
      <w:r w:rsidRPr="00504B5E">
        <w:rPr>
          <w:rFonts w:ascii="Arial" w:hAnsi="Arial"/>
          <w:sz w:val="18"/>
        </w:rPr>
        <w:t xml:space="preserve">the National Public Register and the National Confidential Register of Collective Knowledge of Indigenous People, including the associated responsibilities for diffusing the content of the law and the characteristics of </w:t>
      </w:r>
      <w:r w:rsidRPr="00A3063C">
        <w:rPr>
          <w:rFonts w:ascii="Arial" w:hAnsi="Arial"/>
          <w:sz w:val="18"/>
          <w:szCs w:val="20"/>
        </w:rPr>
        <w:t>these</w:t>
      </w:r>
      <w:r w:rsidRPr="0038043D">
        <w:rPr>
          <w:rFonts w:ascii="Arial" w:hAnsi="Arial"/>
          <w:sz w:val="18"/>
        </w:rPr>
        <w:t xml:space="preserve"> registers among collective knowled</w:t>
      </w:r>
      <w:r w:rsidRPr="00632DBC">
        <w:rPr>
          <w:rFonts w:ascii="Arial" w:hAnsi="Arial"/>
          <w:sz w:val="18"/>
        </w:rPr>
        <w:t xml:space="preserve">ge holders. </w:t>
      </w:r>
    </w:p>
    <w:p w14:paraId="6495B808"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rPr>
      </w:pPr>
      <w:r w:rsidRPr="00632DBC">
        <w:rPr>
          <w:rFonts w:ascii="Arial" w:hAnsi="Arial"/>
          <w:sz w:val="18"/>
        </w:rPr>
        <w:t xml:space="preserve">Australia’s 2000 Commonwealth Public Inquiry into Access to Biological Resources in Commonwealth Areas as well as the Legislative Assembly of the Northern Territory in Australia (2006) refers to the fairness of </w:t>
      </w:r>
      <w:r w:rsidRPr="00632DBC">
        <w:rPr>
          <w:rFonts w:ascii="Arial" w:hAnsi="Arial"/>
          <w:b/>
          <w:sz w:val="18"/>
        </w:rPr>
        <w:t>access and benefit sharing</w:t>
      </w:r>
      <w:r w:rsidRPr="00632DBC">
        <w:rPr>
          <w:rFonts w:ascii="Arial" w:hAnsi="Arial"/>
          <w:sz w:val="18"/>
        </w:rPr>
        <w:t xml:space="preserve"> agreements in bioprospecting activities in relation to </w:t>
      </w:r>
      <w:r w:rsidRPr="00632DBC">
        <w:rPr>
          <w:rFonts w:ascii="Arial" w:hAnsi="Arial"/>
          <w:b/>
          <w:sz w:val="18"/>
        </w:rPr>
        <w:t xml:space="preserve">informed consent </w:t>
      </w:r>
      <w:r w:rsidRPr="00632DBC">
        <w:rPr>
          <w:rFonts w:ascii="Arial" w:hAnsi="Arial"/>
          <w:sz w:val="18"/>
        </w:rPr>
        <w:t>and the possibility of indigenous communities to receive independent legal advice (emphasis added).</w:t>
      </w:r>
      <w:r w:rsidRPr="00633A71">
        <w:rPr>
          <w:rStyle w:val="FootnoteReference"/>
          <w:rFonts w:ascii="Times New Roman" w:hAnsi="Times New Roman"/>
        </w:rPr>
        <w:footnoteReference w:id="104"/>
      </w:r>
    </w:p>
    <w:p w14:paraId="5EC1E9B0"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In terms of applying the guideline of equitable allocation of rights and responsibilities to the local level, certain indigenous peoples and local communities view safeguards in BFMs with cautious optimism because they fear that safeguards will merely impose another layer of regulations and obligations on those who are developing and implementing projects.</w:t>
      </w:r>
      <w:r w:rsidRPr="00633A71">
        <w:rPr>
          <w:rStyle w:val="FootnoteReference"/>
          <w:rFonts w:ascii="Times New Roman" w:hAnsi="Times New Roman"/>
        </w:rPr>
        <w:footnoteReference w:id="105"/>
      </w:r>
      <w:r w:rsidRPr="00633A71">
        <w:rPr>
          <w:rFonts w:ascii="Times New Roman" w:hAnsi="Times New Roman"/>
        </w:rPr>
        <w:t xml:space="preserve"> They argue that these approaches focus on the user or project proponent, without taking into consideration how to empower other stakeholders within the framework. Hence, they call for ‘safeguards’ to be conceived with a more holistic approach. We discuss the implications of this more fully in the following section.</w:t>
      </w:r>
    </w:p>
    <w:p w14:paraId="502EFC86" w14:textId="77777777" w:rsidR="00810C20" w:rsidRPr="00504B5E" w:rsidRDefault="00810C20" w:rsidP="00810C20">
      <w:pPr>
        <w:spacing w:line="240" w:lineRule="auto"/>
        <w:jc w:val="both"/>
        <w:rPr>
          <w:rFonts w:ascii="Times New Roman"/>
        </w:rPr>
      </w:pPr>
      <w:r w:rsidRPr="00633A71">
        <w:rPr>
          <w:rFonts w:ascii="Times New Roman"/>
        </w:rPr>
        <w:t>Various stakeholders</w:t>
      </w:r>
      <w:r w:rsidRPr="00633A71">
        <w:rPr>
          <w:rStyle w:val="FootnoteReference"/>
          <w:rFonts w:ascii="Times New Roman"/>
        </w:rPr>
        <w:footnoteReference w:id="106"/>
      </w:r>
      <w:r w:rsidRPr="00633A71">
        <w:rPr>
          <w:rFonts w:ascii="Times New Roman"/>
        </w:rPr>
        <w:t xml:space="preserve"> have flagged the need for meaningful participation of concerned actors as a procedural safeguard for the proper design and implementation of BFMs, </w:t>
      </w:r>
      <w:proofErr w:type="gramStart"/>
      <w:r w:rsidRPr="00633A71">
        <w:rPr>
          <w:rFonts w:ascii="Times New Roman"/>
        </w:rPr>
        <w:t>in particular for</w:t>
      </w:r>
      <w:proofErr w:type="gramEnd"/>
      <w:r w:rsidRPr="00633A71">
        <w:rPr>
          <w:rFonts w:ascii="Times New Roman"/>
        </w:rPr>
        <w:t xml:space="preserve"> PES, biodiversity offsets and REDD+. In the focus group at the 2013 Trondheim Conference, participants specifically considered the need for balance between on one hand, policy measures that ensure that biodiversity and social objectives are reached in a timely manner and on the other hand, legitimacy of process that participatory safeguards aim to foster.</w:t>
      </w:r>
      <w:r w:rsidRPr="00633A71">
        <w:rPr>
          <w:rStyle w:val="FootnoteReference"/>
          <w:rFonts w:ascii="Times New Roman"/>
        </w:rPr>
        <w:footnoteReference w:id="107"/>
      </w:r>
      <w:r w:rsidRPr="00633A71">
        <w:rPr>
          <w:rFonts w:ascii="Times New Roman"/>
        </w:rPr>
        <w:t xml:space="preserve"> A contributor in this focus group noted that effective participation does not mean that all stakeholders </w:t>
      </w:r>
      <w:r w:rsidRPr="00633A71">
        <w:rPr>
          <w:rFonts w:ascii="Times New Roman" w:hAnsi="Times New Roman"/>
        </w:rPr>
        <w:t xml:space="preserve">get to express their views on everything, nor that </w:t>
      </w:r>
      <w:r w:rsidRPr="00633A71">
        <w:rPr>
          <w:rFonts w:ascii="Times New Roman"/>
        </w:rPr>
        <w:t xml:space="preserve">everyone is included in every single step taken for the design or implementation of a program or policy. Rather, to be effective, safeguards concerning </w:t>
      </w:r>
      <w:r w:rsidRPr="00633A71">
        <w:rPr>
          <w:rFonts w:ascii="Times New Roman" w:hAnsi="Times New Roman"/>
        </w:rPr>
        <w:t xml:space="preserve">participation need to be intertwined with decision-making as well as with broader national democratic processes, to ensure that those potentially affected can express their concerns and be sure of being heard. The costs and the time needed for engaging in these processes is an integral part of mechanisms such as PES, biodiversity offsets and REDD+.  </w:t>
      </w:r>
    </w:p>
    <w:p w14:paraId="359A76A0" w14:textId="49A52528" w:rsidR="00810C20" w:rsidRPr="00632DBC" w:rsidRDefault="00810C20" w:rsidP="00810C20">
      <w:pPr>
        <w:spacing w:line="240" w:lineRule="auto"/>
        <w:jc w:val="both"/>
        <w:rPr>
          <w:rFonts w:ascii="Times New Roman" w:hAnsi="Times New Roman"/>
        </w:rPr>
      </w:pPr>
      <w:r w:rsidRPr="00504B5E">
        <w:rPr>
          <w:rFonts w:ascii="Times New Roman"/>
        </w:rPr>
        <w:t xml:space="preserve">Risks for local communities and indigenous peoples stemming from innovative financing mechanisms and possible safeguards to address them were issues addressed in the </w:t>
      </w:r>
      <w:r w:rsidRPr="00504B5E">
        <w:rPr>
          <w:rFonts w:ascii="Times New Roman"/>
        </w:rPr>
        <w:t>“</w:t>
      </w:r>
      <w:r w:rsidRPr="00504B5E">
        <w:rPr>
          <w:rFonts w:ascii="Times New Roman"/>
        </w:rPr>
        <w:t>Safeguards and Mechanisms</w:t>
      </w:r>
      <w:r w:rsidRPr="00504B5E">
        <w:rPr>
          <w:rFonts w:ascii="Times New Roman"/>
        </w:rPr>
        <w:t>”</w:t>
      </w:r>
      <w:r w:rsidRPr="00504B5E">
        <w:rPr>
          <w:rFonts w:ascii="Times New Roman"/>
        </w:rPr>
        <w:t xml:space="preserve"> Panel of the Global Partnership Meeting on Business and Bio</w:t>
      </w:r>
      <w:r w:rsidRPr="00A3063C">
        <w:rPr>
          <w:rFonts w:ascii="Times New Roman"/>
        </w:rPr>
        <w:t>diversity. In terms of substantive safeguards, the panel highlighted the need for measures to address the risks that indigenous peoples lose access to their lands, including their sacred sites. One of the panellists considered that the implementation of RE</w:t>
      </w:r>
      <w:r w:rsidRPr="0038043D">
        <w:rPr>
          <w:rFonts w:ascii="Times New Roman"/>
        </w:rPr>
        <w:t>DD+, PES and offsets could generate fears and conflicts, leading to internal divisions within communities, while another panellist reminded that equitable benefit sharing is also one of the main concerns. Two of the speakers linked these substantive dimen</w:t>
      </w:r>
      <w:r w:rsidRPr="00632DBC">
        <w:rPr>
          <w:rFonts w:ascii="Times New Roman"/>
        </w:rPr>
        <w:t xml:space="preserve">sions to the need to implement procedural safeguards. The lack of participation and free, prior and informed consent (FPIC) of relevant right-holders such as indigenous peoples and local communities, both in the policy-forming discussions and in the decision-making processes, were identified as key reasons for the emergence of risks associated with land and tenure rights, among other concerns. Hence, implementing procedural safeguards (such as participation and FPIC) </w:t>
      </w:r>
      <w:r w:rsidRPr="00632DBC">
        <w:rPr>
          <w:rFonts w:ascii="Times New Roman" w:hAnsi="Times New Roman"/>
        </w:rPr>
        <w:t xml:space="preserve">in a timely and effective manner is a way to prevent various risks. </w:t>
      </w:r>
      <w:r w:rsidRPr="00632DBC">
        <w:rPr>
          <w:rFonts w:ascii="Times New Roman"/>
        </w:rPr>
        <w:t xml:space="preserve">Major challenges were identified in implementing FPIC in practice in biodiversity financing </w:t>
      </w:r>
      <w:r w:rsidRPr="00632DBC">
        <w:rPr>
          <w:rFonts w:ascii="Times New Roman"/>
        </w:rPr>
        <w:lastRenderedPageBreak/>
        <w:t xml:space="preserve">mechanisms such as REDD+, PES and biodiversity offsets; </w:t>
      </w:r>
      <w:proofErr w:type="gramStart"/>
      <w:r w:rsidRPr="00632DBC">
        <w:rPr>
          <w:rFonts w:ascii="Times New Roman"/>
        </w:rPr>
        <w:t>specifically</w:t>
      </w:r>
      <w:proofErr w:type="gramEnd"/>
      <w:r w:rsidRPr="00632DBC">
        <w:rPr>
          <w:rFonts w:ascii="Times New Roman"/>
        </w:rPr>
        <w:t xml:space="preserve"> that local communities and indigenous peoples are often unaware of the exact terms of the contracts or do not fully understand their implications. </w:t>
      </w:r>
      <w:r w:rsidRPr="00632DBC">
        <w:rPr>
          <w:rFonts w:ascii="Times New Roman" w:hAnsi="Times New Roman"/>
        </w:rPr>
        <w:t xml:space="preserve">Independent Legal Advice for indigenous peoples and local communities in BFMs is a procedural safeguard that could help tackle this challenge. Yet to operationalize this safeguard, there is thus a need to increase the number of lawyers with the proper inter-cultural skills and willingness to work as advisers for </w:t>
      </w:r>
      <w:r w:rsidR="00CB3074" w:rsidRPr="00632DBC">
        <w:rPr>
          <w:rFonts w:ascii="Times New Roman" w:hAnsi="Times New Roman"/>
        </w:rPr>
        <w:t>indigenous peoples</w:t>
      </w:r>
      <w:r w:rsidRPr="00632DBC">
        <w:rPr>
          <w:rFonts w:ascii="Times New Roman" w:hAnsi="Times New Roman"/>
        </w:rPr>
        <w:t xml:space="preserve">. </w:t>
      </w:r>
    </w:p>
    <w:p w14:paraId="01C598B8" w14:textId="2920BC02" w:rsidR="00810C20" w:rsidRPr="00632DBC" w:rsidRDefault="00810C20" w:rsidP="00810C20">
      <w:pPr>
        <w:pStyle w:val="Heading3"/>
        <w:rPr>
          <w:b/>
        </w:rPr>
      </w:pPr>
      <w:bookmarkStart w:id="81" w:name="_Toc263943515"/>
      <w:bookmarkStart w:id="82" w:name="_Toc382590308"/>
      <w:bookmarkStart w:id="83" w:name="_Toc529199433"/>
      <w:r w:rsidRPr="00632DBC">
        <w:t>5.3 Local and country-driven/specific processes linked to the international level</w:t>
      </w:r>
      <w:bookmarkEnd w:id="81"/>
      <w:bookmarkEnd w:id="82"/>
      <w:bookmarkEnd w:id="83"/>
    </w:p>
    <w:p w14:paraId="1E083DA9" w14:textId="4B41FBB9" w:rsidR="00810C20" w:rsidRPr="00632DBC" w:rsidRDefault="00810C20" w:rsidP="00632DBC">
      <w:pPr>
        <w:pStyle w:val="Default"/>
        <w:autoSpaceDE/>
        <w:autoSpaceDN/>
        <w:adjustRightInd/>
        <w:spacing w:line="240" w:lineRule="auto"/>
        <w:ind w:left="567" w:right="567"/>
        <w:jc w:val="both"/>
        <w:rPr>
          <w:color w:val="auto"/>
        </w:rPr>
      </w:pPr>
      <w:r w:rsidRPr="00632DBC">
        <w:rPr>
          <w:rFonts w:ascii="Times New Roman"/>
          <w:b/>
          <w:bCs/>
          <w:i/>
          <w:iCs/>
          <w:color w:val="auto"/>
          <w:lang w:val="en-GB"/>
        </w:rPr>
        <w:t xml:space="preserve">Guideline </w:t>
      </w:r>
      <w:r w:rsidR="005E3FEE" w:rsidRPr="00632DBC">
        <w:rPr>
          <w:rFonts w:ascii="Times New Roman"/>
          <w:b/>
          <w:bCs/>
          <w:i/>
          <w:iCs/>
          <w:color w:val="auto"/>
          <w:lang w:val="en-GB"/>
        </w:rPr>
        <w:t>(c)</w:t>
      </w:r>
      <w:r w:rsidRPr="00632DBC">
        <w:rPr>
          <w:rFonts w:ascii="Times New Roman"/>
          <w:b/>
          <w:bCs/>
          <w:i/>
          <w:iCs/>
          <w:color w:val="auto"/>
          <w:lang w:val="en-GB"/>
        </w:rPr>
        <w:t xml:space="preserve">.- </w:t>
      </w:r>
      <w:r w:rsidRPr="00632DBC">
        <w:rPr>
          <w:rFonts w:ascii="Times New Roman"/>
          <w:b/>
          <w:i/>
          <w:color w:val="auto"/>
          <w:lang w:val="en-GB"/>
        </w:rPr>
        <w:t xml:space="preserve">Safeguards in </w:t>
      </w:r>
      <w:r w:rsidR="005E3FEE" w:rsidRPr="00632DBC">
        <w:rPr>
          <w:rFonts w:ascii="Times New Roman"/>
          <w:b/>
          <w:i/>
          <w:color w:val="auto"/>
          <w:lang w:val="en-GB"/>
        </w:rPr>
        <w:t xml:space="preserve">biodiversity </w:t>
      </w:r>
      <w:r w:rsidRPr="00632DBC">
        <w:rPr>
          <w:rFonts w:ascii="Times New Roman"/>
          <w:b/>
          <w:i/>
          <w:color w:val="auto"/>
          <w:lang w:val="en-GB"/>
        </w:rPr>
        <w:t xml:space="preserve">financing mechanisms for biodiversity should be grounded in local </w:t>
      </w:r>
      <w:r w:rsidR="005E3FEE" w:rsidRPr="00632DBC">
        <w:rPr>
          <w:rFonts w:ascii="Times New Roman"/>
          <w:b/>
          <w:i/>
          <w:color w:val="auto"/>
          <w:lang w:val="en-GB"/>
        </w:rPr>
        <w:t xml:space="preserve">circumstances, be developed consistent with </w:t>
      </w:r>
      <w:r w:rsidRPr="00632DBC">
        <w:rPr>
          <w:rFonts w:ascii="Times New Roman"/>
          <w:b/>
          <w:i/>
          <w:color w:val="auto"/>
          <w:lang w:val="en-GB"/>
        </w:rPr>
        <w:t>country-driven</w:t>
      </w:r>
      <w:r w:rsidR="005E3FEE" w:rsidRPr="00632DBC">
        <w:rPr>
          <w:rFonts w:ascii="Times New Roman"/>
          <w:b/>
          <w:i/>
          <w:color w:val="auto"/>
          <w:lang w:val="en-GB"/>
        </w:rPr>
        <w:t>/</w:t>
      </w:r>
      <w:r w:rsidRPr="00632DBC">
        <w:rPr>
          <w:rFonts w:ascii="Times New Roman"/>
          <w:b/>
          <w:i/>
          <w:color w:val="auto"/>
          <w:lang w:val="en-GB"/>
        </w:rPr>
        <w:t>specific processes</w:t>
      </w:r>
      <w:r w:rsidR="001F4A98" w:rsidRPr="00632DBC">
        <w:rPr>
          <w:rFonts w:ascii="Times New Roman"/>
          <w:b/>
          <w:i/>
          <w:color w:val="auto"/>
          <w:lang w:val="en-GB"/>
        </w:rPr>
        <w:t xml:space="preserve"> as well as national legislation and priorities</w:t>
      </w:r>
      <w:r w:rsidRPr="00632DBC">
        <w:rPr>
          <w:rFonts w:ascii="Times New Roman"/>
          <w:b/>
          <w:i/>
          <w:color w:val="auto"/>
          <w:lang w:val="en-GB"/>
        </w:rPr>
        <w:t xml:space="preserve">, and </w:t>
      </w:r>
      <w:r w:rsidR="001F4A98" w:rsidRPr="00632DBC">
        <w:rPr>
          <w:rFonts w:ascii="Times New Roman"/>
          <w:b/>
          <w:i/>
          <w:color w:val="auto"/>
          <w:lang w:val="en-GB"/>
        </w:rPr>
        <w:t xml:space="preserve">take into account </w:t>
      </w:r>
      <w:r w:rsidRPr="00632DBC">
        <w:rPr>
          <w:rFonts w:ascii="Times New Roman"/>
          <w:b/>
          <w:i/>
          <w:color w:val="auto"/>
          <w:lang w:val="en-GB"/>
        </w:rPr>
        <w:t xml:space="preserve">relevant international </w:t>
      </w:r>
      <w:r w:rsidR="001F4A98" w:rsidRPr="00632DBC">
        <w:rPr>
          <w:rFonts w:ascii="Times New Roman"/>
          <w:b/>
          <w:i/>
          <w:color w:val="auto"/>
          <w:lang w:val="en-GB"/>
        </w:rPr>
        <w:t xml:space="preserve">agreements, declarations and guidance, developed under the Convention on Biological Diversity and as appropriate, </w:t>
      </w:r>
      <w:r w:rsidRPr="00632DBC">
        <w:rPr>
          <w:rFonts w:ascii="Times New Roman"/>
          <w:b/>
          <w:i/>
          <w:color w:val="auto"/>
          <w:lang w:val="en-GB"/>
        </w:rPr>
        <w:t xml:space="preserve">the </w:t>
      </w:r>
      <w:r w:rsidR="001F4A98" w:rsidRPr="00632DBC">
        <w:rPr>
          <w:rFonts w:ascii="Times New Roman"/>
          <w:b/>
          <w:i/>
          <w:color w:val="auto"/>
          <w:lang w:val="en-GB"/>
        </w:rPr>
        <w:t xml:space="preserve">United Nations Framework Convention on Climate Change, </w:t>
      </w:r>
      <w:r w:rsidRPr="00632DBC">
        <w:rPr>
          <w:rFonts w:ascii="Times New Roman"/>
          <w:b/>
          <w:i/>
          <w:color w:val="auto"/>
          <w:lang w:val="en-GB"/>
        </w:rPr>
        <w:t xml:space="preserve">international human rights treaties and </w:t>
      </w:r>
      <w:r w:rsidR="00E67E1D" w:rsidRPr="00632DBC">
        <w:rPr>
          <w:rFonts w:ascii="Times New Roman" w:eastAsiaTheme="minorEastAsia" w:hAnsi="Times New Roman"/>
          <w:b/>
          <w:i/>
          <w:color w:val="auto"/>
          <w:lang w:val="en-GB" w:eastAsia="sv-SE"/>
        </w:rPr>
        <w:t>United Nations Declaration of the Rights of Indigenous Peoples, among others</w:t>
      </w:r>
      <w:r w:rsidRPr="00632DBC">
        <w:rPr>
          <w:rFonts w:ascii="Times New Roman"/>
          <w:b/>
          <w:i/>
          <w:color w:val="auto"/>
          <w:lang w:val="en-GB"/>
        </w:rPr>
        <w:t>.</w:t>
      </w:r>
    </w:p>
    <w:p w14:paraId="3D323018"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 xml:space="preserve">Challenges and opportunities derived from financing mechanisms may vary from country to country depending on the distinctive socio-ecological conditions and local values. </w:t>
      </w:r>
      <w:r w:rsidRPr="00633A71">
        <w:t xml:space="preserve"> </w:t>
      </w:r>
      <w:r w:rsidRPr="00633A71">
        <w:rPr>
          <w:rFonts w:ascii="Times New Roman" w:hAnsi="Times New Roman"/>
        </w:rPr>
        <w:t>Likewise, national legal frameworks, play a critical role in mediating concerns about BFMs effects on local communities and social equity more generally within different country contexts; from the definition of fundamental constitutional rights and legislation related to certain natural resources (e.g. forests) and legal instruments concerning the implementation of mechanisms. For example, in Indonesia, certain Ministerial Decrees refer to the distribution of benefits and participation in REDD+ decision-making</w:t>
      </w:r>
      <w:r w:rsidRPr="00633A71">
        <w:footnoteReference w:id="108"/>
      </w:r>
      <w:r w:rsidRPr="00633A71">
        <w:rPr>
          <w:rStyle w:val="FootnoteReference"/>
          <w:iCs/>
        </w:rPr>
        <w:t xml:space="preserve"> </w:t>
      </w:r>
      <w:r w:rsidRPr="00633A71">
        <w:rPr>
          <w:rFonts w:ascii="Times New Roman" w:hAnsi="Times New Roman"/>
        </w:rPr>
        <w:t xml:space="preserve">and in Ecuador Ministerial Agreements regulate the Socio-Bosque Programme, articulating various national legal instruments in Ecuador (see Table 3). Therefore, in this guideline we refer to </w:t>
      </w:r>
      <w:r w:rsidRPr="00633A71">
        <w:rPr>
          <w:rFonts w:ascii="Times New Roman" w:hAnsi="Times New Roman"/>
          <w:b/>
        </w:rPr>
        <w:t>country specific processes</w:t>
      </w:r>
      <w:r w:rsidRPr="00633A71">
        <w:rPr>
          <w:rFonts w:ascii="Times New Roman" w:hAnsi="Times New Roman"/>
        </w:rPr>
        <w:t>.</w:t>
      </w:r>
    </w:p>
    <w:p w14:paraId="496BEF4C" w14:textId="783D230A" w:rsidR="00810C20" w:rsidRPr="00504B5E" w:rsidRDefault="00810C20" w:rsidP="00810C20">
      <w:pPr>
        <w:spacing w:line="240" w:lineRule="auto"/>
        <w:jc w:val="both"/>
        <w:rPr>
          <w:rFonts w:ascii="Times New Roman" w:hAnsi="Times New Roman"/>
        </w:rPr>
      </w:pPr>
      <w:proofErr w:type="gramStart"/>
      <w:r w:rsidRPr="00504B5E">
        <w:rPr>
          <w:rFonts w:ascii="Times New Roman" w:hAnsi="Times New Roman"/>
        </w:rPr>
        <w:t>In order to</w:t>
      </w:r>
      <w:proofErr w:type="gramEnd"/>
      <w:r w:rsidRPr="00504B5E">
        <w:rPr>
          <w:rFonts w:ascii="Times New Roman" w:hAnsi="Times New Roman"/>
        </w:rPr>
        <w:t xml:space="preserve"> respond the above-mentioned specific socio-ecological conditions and legal frameworks, </w:t>
      </w:r>
      <w:r w:rsidRPr="00504B5E">
        <w:rPr>
          <w:rFonts w:ascii="Times New Roman" w:hAnsi="Times New Roman"/>
          <w:b/>
        </w:rPr>
        <w:t>country-driven processes</w:t>
      </w:r>
      <w:r w:rsidRPr="00504B5E">
        <w:rPr>
          <w:rFonts w:ascii="Times New Roman" w:hAnsi="Times New Roman"/>
        </w:rPr>
        <w:t xml:space="preserve"> were highlighted as an important element in scaling-up biodiversity financing including safeguards. India’s submission in response to the initial version of this document emphasises the importance of natio</w:t>
      </w:r>
      <w:r w:rsidRPr="00A3063C">
        <w:rPr>
          <w:rFonts w:ascii="Times New Roman" w:hAnsi="Times New Roman"/>
        </w:rPr>
        <w:t xml:space="preserve">nally-driven </w:t>
      </w:r>
      <w:r w:rsidRPr="0038043D">
        <w:rPr>
          <w:rFonts w:ascii="Times New Roman"/>
        </w:rPr>
        <w:t xml:space="preserve">safeguards, </w:t>
      </w:r>
      <w:r w:rsidRPr="00632DBC">
        <w:rPr>
          <w:rFonts w:ascii="Times New Roman" w:hAnsi="Times New Roman"/>
        </w:rPr>
        <w:t>both</w:t>
      </w:r>
      <w:r w:rsidRPr="00632DBC">
        <w:rPr>
          <w:rFonts w:ascii="Times New Roman"/>
        </w:rPr>
        <w:t xml:space="preserve"> substantive and procedural. Where</w:t>
      </w:r>
      <w:r w:rsidRPr="00632DBC">
        <w:rPr>
          <w:rFonts w:ascii="Times New Roman" w:hAnsi="Times New Roman"/>
        </w:rPr>
        <w:t xml:space="preserve"> needed, these country processes can be complemented with technical assistance that supports them in developing safeguards </w:t>
      </w:r>
      <w:proofErr w:type="gramStart"/>
      <w:r w:rsidRPr="00632DBC">
        <w:rPr>
          <w:rFonts w:ascii="Times New Roman" w:hAnsi="Times New Roman"/>
        </w:rPr>
        <w:t>taking into account</w:t>
      </w:r>
      <w:proofErr w:type="gramEnd"/>
      <w:r w:rsidRPr="00632DBC">
        <w:rPr>
          <w:rFonts w:ascii="Times New Roman" w:hAnsi="Times New Roman"/>
        </w:rPr>
        <w:t xml:space="preserve"> their local situations. At the national level, the appropriateness and relevance of safeguards in BFMs will be influenced by the interaction of different legal regimes and institutions. Lessons can be learned from case studies e.g. on legal frameworks for PES and benefit sharing, in particular with regard to </w:t>
      </w:r>
      <w:r w:rsidRPr="00632DBC">
        <w:rPr>
          <w:rFonts w:ascii="Times New Roman" w:hAnsi="Times New Roman"/>
          <w:iCs/>
        </w:rPr>
        <w:t>the importance of the national and local contexts and institutions in implementing these frameworks.</w:t>
      </w:r>
      <w:r w:rsidRPr="00633A71">
        <w:rPr>
          <w:rStyle w:val="FootnoteReference"/>
          <w:rFonts w:ascii="Times New Roman" w:hAnsi="Times New Roman"/>
          <w:iCs/>
        </w:rPr>
        <w:footnoteReference w:id="109"/>
      </w:r>
      <w:r w:rsidRPr="00633A71">
        <w:rPr>
          <w:rFonts w:ascii="Times New Roman" w:hAnsi="Times New Roman"/>
          <w:iCs/>
        </w:rPr>
        <w:t xml:space="preserve"> </w:t>
      </w:r>
      <w:r w:rsidRPr="00633A71">
        <w:rPr>
          <w:rFonts w:ascii="Times New Roman" w:hAnsi="Times New Roman"/>
        </w:rPr>
        <w:t xml:space="preserve">The </w:t>
      </w:r>
      <w:r w:rsidR="004546E2" w:rsidRPr="00633A71">
        <w:rPr>
          <w:rFonts w:ascii="Times New Roman" w:hAnsi="Times New Roman"/>
        </w:rPr>
        <w:t>adopted guidelines</w:t>
      </w:r>
      <w:r w:rsidRPr="00633A71">
        <w:rPr>
          <w:rFonts w:ascii="Times New Roman" w:hAnsi="Times New Roman"/>
        </w:rPr>
        <w:t xml:space="preserve"> also recognise that according to Article 3 of the Convention on Biological Diversity and the Charter of the United Nations, States have the sovereign right over their own resources and the right of pursuing their own environmental policies.</w:t>
      </w:r>
    </w:p>
    <w:p w14:paraId="4CC803A3" w14:textId="3D62BFA6" w:rsidR="00810C20" w:rsidRPr="00633A71" w:rsidRDefault="00810C20" w:rsidP="00810C20">
      <w:pPr>
        <w:spacing w:line="240" w:lineRule="auto"/>
        <w:jc w:val="both"/>
        <w:rPr>
          <w:rFonts w:ascii="Times New Roman"/>
        </w:rPr>
      </w:pPr>
      <w:r w:rsidRPr="00504B5E">
        <w:rPr>
          <w:rFonts w:ascii="Times New Roman"/>
        </w:rPr>
        <w:t xml:space="preserve">Safeguards </w:t>
      </w:r>
      <w:r w:rsidRPr="00504B5E">
        <w:rPr>
          <w:rFonts w:ascii="Times New Roman"/>
          <w:b/>
        </w:rPr>
        <w:t>grounded in local realities</w:t>
      </w:r>
      <w:r w:rsidRPr="00504B5E">
        <w:rPr>
          <w:rFonts w:ascii="Times New Roman"/>
        </w:rPr>
        <w:t xml:space="preserve"> and participatory processes can more effectively assess and address the risks and opportunities associa</w:t>
      </w:r>
      <w:r w:rsidRPr="00A3063C">
        <w:rPr>
          <w:rFonts w:ascii="Times New Roman"/>
        </w:rPr>
        <w:t xml:space="preserve">ted with BFMs. In a focus group at the Trondheim Conference, a participant expressed the view that sometimes it may prove challenging for governments </w:t>
      </w:r>
      <w:r w:rsidRPr="00A3063C">
        <w:rPr>
          <w:rFonts w:ascii="Times New Roman"/>
        </w:rPr>
        <w:lastRenderedPageBreak/>
        <w:t>to identify potential risks and associated safeguards of new and innovative financial mechanism under Goal</w:t>
      </w:r>
      <w:r w:rsidRPr="0038043D">
        <w:rPr>
          <w:rFonts w:ascii="Times New Roman"/>
        </w:rPr>
        <w:t xml:space="preserve"> 4 of the strategy of resource mobilization. Another member of the group replied that the participation of potential affected stakeholders can contribute to the identification of such risks: </w:t>
      </w:r>
      <w:r w:rsidRPr="00632DBC">
        <w:rPr>
          <w:rFonts w:ascii="Times New Roman"/>
        </w:rPr>
        <w:t>“</w:t>
      </w:r>
      <w:r w:rsidRPr="00632DBC">
        <w:rPr>
          <w:rFonts w:ascii="Times New Roman" w:hAnsi="Times New Roman"/>
        </w:rPr>
        <w:t xml:space="preserve">Often the need for safeguards is raised by people who are affected by interventions, projects, new policies. They seem to be very </w:t>
      </w:r>
      <w:proofErr w:type="gramStart"/>
      <w:r w:rsidRPr="00632DBC">
        <w:rPr>
          <w:rFonts w:ascii="Times New Roman" w:hAnsi="Times New Roman"/>
        </w:rPr>
        <w:t>well aware</w:t>
      </w:r>
      <w:proofErr w:type="gramEnd"/>
      <w:r w:rsidRPr="00632DBC">
        <w:rPr>
          <w:rFonts w:ascii="Times New Roman" w:hAnsi="Times New Roman"/>
        </w:rPr>
        <w:t xml:space="preserve"> of the risks that is why they demand safeguards against potentially negative impacts. So that rather than from the top thinking what are the potential things that could go wrong and what can we do about it, is really to find out what are the concerns on the ground, or in the private sector or wherever it is</w:t>
      </w:r>
      <w:r w:rsidRPr="00632DBC">
        <w:rPr>
          <w:rFonts w:ascii="Times New Roman"/>
        </w:rPr>
        <w:t>”</w:t>
      </w:r>
      <w:r w:rsidRPr="00632DBC">
        <w:rPr>
          <w:rFonts w:ascii="Times New Roman"/>
        </w:rPr>
        <w:t>.</w:t>
      </w:r>
      <w:r w:rsidRPr="00633A71">
        <w:rPr>
          <w:rStyle w:val="FootnoteReference"/>
          <w:rFonts w:ascii="Times New Roman"/>
        </w:rPr>
        <w:footnoteReference w:id="110"/>
      </w:r>
      <w:r w:rsidRPr="00633A71">
        <w:rPr>
          <w:rFonts w:ascii="Times New Roman"/>
        </w:rPr>
        <w:t xml:space="preserve">  The need to go beyond a top-down approach was an aspect identified by interviewees from the private sector</w:t>
      </w:r>
      <w:r w:rsidRPr="00633A71">
        <w:rPr>
          <w:rStyle w:val="FootnoteReference"/>
          <w:rFonts w:ascii="Times New Roman"/>
        </w:rPr>
        <w:footnoteReference w:id="111"/>
      </w:r>
      <w:r w:rsidRPr="00633A71">
        <w:rPr>
          <w:rFonts w:ascii="Times New Roman"/>
        </w:rPr>
        <w:t xml:space="preserve"> and community organizations</w:t>
      </w:r>
      <w:r w:rsidRPr="00633A71">
        <w:rPr>
          <w:rStyle w:val="FootnoteReference"/>
          <w:rFonts w:ascii="Times New Roman"/>
        </w:rPr>
        <w:footnoteReference w:id="112"/>
      </w:r>
      <w:r w:rsidRPr="00633A71">
        <w:rPr>
          <w:rFonts w:ascii="Times New Roman"/>
        </w:rPr>
        <w:t xml:space="preserve"> as key for effective biodiversity policy-making including safeguards.</w:t>
      </w:r>
    </w:p>
    <w:p w14:paraId="30405391" w14:textId="77777777" w:rsidR="00810C20" w:rsidRPr="00632DBC" w:rsidRDefault="00810C20" w:rsidP="00810C20">
      <w:pPr>
        <w:spacing w:line="240" w:lineRule="auto"/>
        <w:jc w:val="both"/>
        <w:rPr>
          <w:rFonts w:ascii="Times New Roman" w:hAnsi="Times New Roman"/>
        </w:rPr>
      </w:pPr>
      <w:r w:rsidRPr="00633A71">
        <w:rPr>
          <w:rFonts w:ascii="Times New Roman" w:hAnsi="Times New Roman"/>
          <w:iCs/>
        </w:rPr>
        <w:t>At the local level, the complexity of customary law systems derived from traditional resource management may guide responsible use of resources in different landscapes.</w:t>
      </w:r>
      <w:r w:rsidRPr="00633A71">
        <w:rPr>
          <w:rStyle w:val="FootnoteReference"/>
          <w:rFonts w:ascii="Times New Roman" w:hAnsi="Times New Roman"/>
          <w:iCs/>
        </w:rPr>
        <w:footnoteReference w:id="113"/>
      </w:r>
      <w:r w:rsidRPr="00633A71">
        <w:rPr>
          <w:rFonts w:ascii="Times New Roman" w:hAnsi="Times New Roman"/>
          <w:iCs/>
        </w:rPr>
        <w:t xml:space="preserve">  Peru’s submission recognises the importance of indigenous and local community rights in mechanisms for biodiversity financing, including their role in the choice and design of mechan</w:t>
      </w:r>
      <w:r w:rsidRPr="00504B5E">
        <w:rPr>
          <w:rFonts w:ascii="Times New Roman" w:hAnsi="Times New Roman"/>
          <w:iCs/>
        </w:rPr>
        <w:t>isms, considering that indigenous people and local communities depend heavily on access to the locally provided ecosystem services (timber, fruits, wildlife) for their food security.</w:t>
      </w:r>
      <w:r w:rsidRPr="00504B5E">
        <w:rPr>
          <w:rStyle w:val="FootnoteReference"/>
          <w:rFonts w:ascii="Times New Roman" w:hAnsi="Times New Roman"/>
          <w:iCs/>
        </w:rPr>
        <w:footnoteReference w:id="114"/>
      </w:r>
      <w:r w:rsidRPr="00504B5E">
        <w:rPr>
          <w:rFonts w:ascii="Times New Roman" w:hAnsi="Times New Roman"/>
          <w:iCs/>
        </w:rPr>
        <w:t xml:space="preserve"> An interviewee at </w:t>
      </w:r>
      <w:r w:rsidRPr="00504B5E">
        <w:rPr>
          <w:rFonts w:ascii="Times New Roman" w:hAnsi="Times New Roman"/>
        </w:rPr>
        <w:t>the Global Expert Workshop on Community-based Monitoring &amp; Information Systems (CMIS), considered that safeguards in biodiversi</w:t>
      </w:r>
      <w:r w:rsidRPr="00A3063C">
        <w:rPr>
          <w:rFonts w:ascii="Times New Roman" w:hAnsi="Times New Roman"/>
        </w:rPr>
        <w:t xml:space="preserve">ty financing mechanisms should not try to re-invent but take into account all existing principles and instruments at the international level. An interviewee at this Global Expert Workshop </w:t>
      </w:r>
      <w:r w:rsidRPr="0038043D">
        <w:rPr>
          <w:rFonts w:ascii="Times New Roman" w:hAnsi="Times New Roman"/>
          <w:iCs/>
        </w:rPr>
        <w:t xml:space="preserve">considered that </w:t>
      </w:r>
      <w:r w:rsidRPr="00632DBC">
        <w:rPr>
          <w:rFonts w:ascii="Times New Roman" w:hAnsi="Times New Roman"/>
          <w:b/>
          <w:iCs/>
        </w:rPr>
        <w:t>s</w:t>
      </w:r>
      <w:r w:rsidRPr="00632DBC">
        <w:rPr>
          <w:rFonts w:ascii="Times New Roman" w:hAnsi="Times New Roman"/>
        </w:rPr>
        <w:t>ubstantive safeguards should not only focus on protecting biodiversity but also establish a clear link with the State’s human rights obligations, and set out clearly how those rights are going to be respected based on the principle of not causing harm, and remaining in line with the United Nations Declaration on the Rights of Indigenous People and other international agreements.</w:t>
      </w:r>
      <w:r w:rsidRPr="00632DBC">
        <w:rPr>
          <w:rStyle w:val="FootnoteReference"/>
          <w:rFonts w:ascii="Times New Roman" w:hAnsi="Times New Roman"/>
        </w:rPr>
        <w:footnoteReference w:id="115"/>
      </w:r>
      <w:r w:rsidRPr="00632DBC">
        <w:rPr>
          <w:rFonts w:ascii="Times New Roman" w:hAnsi="Times New Roman"/>
        </w:rPr>
        <w:t xml:space="preserve"> </w:t>
      </w:r>
    </w:p>
    <w:p w14:paraId="2ED2A2DD" w14:textId="77777777" w:rsidR="00810C20" w:rsidRPr="00633A71" w:rsidRDefault="00810C20" w:rsidP="00810C20">
      <w:pPr>
        <w:spacing w:line="240" w:lineRule="auto"/>
        <w:jc w:val="both"/>
        <w:rPr>
          <w:rFonts w:ascii="Times New Roman" w:hAnsi="Times New Roman"/>
        </w:rPr>
      </w:pPr>
      <w:r w:rsidRPr="00632DBC">
        <w:rPr>
          <w:rFonts w:ascii="Times New Roman" w:hAnsi="Times New Roman"/>
        </w:rPr>
        <w:t xml:space="preserve">An integral interpretation of the guideline of country-driven processes in BFMs implies seeing it in synergy with the </w:t>
      </w:r>
      <w:r w:rsidRPr="00632DBC">
        <w:rPr>
          <w:rFonts w:ascii="Times New Roman" w:hAnsi="Times New Roman"/>
          <w:b/>
        </w:rPr>
        <w:t>international legal and policy frameworks</w:t>
      </w:r>
      <w:r w:rsidRPr="00632DBC">
        <w:rPr>
          <w:rFonts w:ascii="Times New Roman" w:hAnsi="Times New Roman"/>
        </w:rPr>
        <w:t xml:space="preserve"> such as the ones mentioned in Table 1 and 2. One dimension of a multiple level approach to safeguards, that explicitly includes the both the local level and international level, is that safeguarding efforts can be linked to human rights and be in line with international processes such as Rio +20.</w:t>
      </w:r>
      <w:r w:rsidRPr="00632DBC">
        <w:rPr>
          <w:rStyle w:val="FootnoteReference"/>
          <w:rFonts w:ascii="Times New Roman" w:hAnsi="Times New Roman"/>
        </w:rPr>
        <w:footnoteReference w:id="116"/>
      </w:r>
      <w:r w:rsidRPr="00632DBC">
        <w:rPr>
          <w:rFonts w:ascii="Times New Roman" w:hAnsi="Times New Roman"/>
        </w:rPr>
        <w:t xml:space="preserve"> In 2012, African countries signed the Gaborone Declaration that reaffirms their commitment to the Africa consensus statement to Rio+20 and agree on safeguards-related issues to go along side with the implementation of the System for Environmental-Economic Accounts (SEEA). These safeguards-related issues include social-substantive aspects (eradication of poverty, equity concerns), as well as environmental substantive (promoting ecological health, protecting natural resources from overexploitation) and procedural ones (communication and inclusion of stakeholders to protect them and mitigate environmental risks</w:t>
      </w:r>
      <w:r w:rsidRPr="00632DBC">
        <w:t xml:space="preserve">). </w:t>
      </w:r>
      <w:r w:rsidRPr="00632DBC">
        <w:rPr>
          <w:rStyle w:val="FootnoteReference"/>
          <w:rFonts w:ascii="Times New Roman" w:hAnsi="Times New Roman"/>
        </w:rPr>
        <w:footnoteReference w:id="117"/>
      </w:r>
      <w:r w:rsidRPr="00632DBC">
        <w:rPr>
          <w:rFonts w:ascii="Times New Roman" w:hAnsi="Times New Roman"/>
        </w:rPr>
        <w:t xml:space="preserve"> Current regional agreements such as UN Economic Commission for Europe Aarhus Convention</w:t>
      </w:r>
      <w:r w:rsidRPr="00632DBC">
        <w:rPr>
          <w:rFonts w:ascii="Arial" w:hAnsi="Arial" w:cs="Arial"/>
          <w:sz w:val="17"/>
          <w:szCs w:val="17"/>
        </w:rPr>
        <w:t xml:space="preserve"> </w:t>
      </w:r>
      <w:r w:rsidRPr="00633A71">
        <w:rPr>
          <w:rFonts w:ascii="Times New Roman" w:hAnsi="Times New Roman"/>
        </w:rPr>
        <w:t xml:space="preserve">link, on the one hand, environmental rights and human rights and, on the other hand, government accountability and </w:t>
      </w:r>
      <w:r w:rsidRPr="00633A71">
        <w:rPr>
          <w:rFonts w:ascii="Times New Roman" w:hAnsi="Times New Roman"/>
        </w:rPr>
        <w:lastRenderedPageBreak/>
        <w:t>environmental protection by focusing on interactions between civil society and public authorities in a democratic context.</w:t>
      </w:r>
      <w:r w:rsidRPr="00633A71">
        <w:rPr>
          <w:rStyle w:val="FootnoteReference"/>
          <w:rFonts w:ascii="Times New Roman" w:hAnsi="Times New Roman"/>
        </w:rPr>
        <w:footnoteReference w:id="118"/>
      </w:r>
    </w:p>
    <w:p w14:paraId="61BED32C" w14:textId="77777777" w:rsidR="00810C20" w:rsidRPr="00632DBC" w:rsidRDefault="00810C20" w:rsidP="00810C20">
      <w:pPr>
        <w:spacing w:line="240" w:lineRule="auto"/>
        <w:jc w:val="both"/>
        <w:rPr>
          <w:rFonts w:ascii="Times New Roman" w:hAnsi="Times New Roman"/>
        </w:rPr>
      </w:pPr>
      <w:r w:rsidRPr="00633A71">
        <w:rPr>
          <w:rFonts w:ascii="Times New Roman" w:hAnsi="Times New Roman"/>
        </w:rPr>
        <w:t>Country specific and country-driven processes do not imply a disconnection from global processes.</w:t>
      </w:r>
      <w:r w:rsidRPr="00633A71" w:rsidDel="00A20706">
        <w:rPr>
          <w:rFonts w:ascii="Times New Roman" w:hAnsi="Times New Roman"/>
        </w:rPr>
        <w:t xml:space="preserve"> </w:t>
      </w:r>
      <w:r w:rsidRPr="00504B5E">
        <w:rPr>
          <w:rFonts w:ascii="Times New Roman" w:hAnsi="Times New Roman"/>
        </w:rPr>
        <w:t xml:space="preserve">For example, the Nagoya Protocol recognises the importance of national legislation (Article 15 and 16) </w:t>
      </w:r>
      <w:proofErr w:type="gramStart"/>
      <w:r w:rsidRPr="00504B5E">
        <w:rPr>
          <w:rFonts w:ascii="Times New Roman" w:hAnsi="Times New Roman"/>
        </w:rPr>
        <w:t>and also</w:t>
      </w:r>
      <w:proofErr w:type="gramEnd"/>
      <w:r w:rsidRPr="00504B5E">
        <w:rPr>
          <w:rFonts w:ascii="Times New Roman" w:hAnsi="Times New Roman"/>
        </w:rPr>
        <w:t xml:space="preserve"> aims to promote transboundary cooperation (Article 11). Another example is the Convention on Intangible Cultural Heritage, which recognises that cooperation at the bilateral, sub-regional, regional and international levels constitutes a means for safeguarding heritage of general interest to humanity (Article 19(2)). International cooperation can play an important role in enabling institutional conditions for safeguards in BFMs to be effective </w:t>
      </w:r>
      <w:proofErr w:type="gramStart"/>
      <w:r w:rsidRPr="00504B5E">
        <w:rPr>
          <w:rFonts w:ascii="Times New Roman" w:hAnsi="Times New Roman"/>
        </w:rPr>
        <w:t>provided that</w:t>
      </w:r>
      <w:proofErr w:type="gramEnd"/>
      <w:r w:rsidRPr="00504B5E">
        <w:rPr>
          <w:rFonts w:ascii="Times New Roman" w:hAnsi="Times New Roman"/>
        </w:rPr>
        <w:t xml:space="preserve"> they respect national and local-driven safeguarding efforts. Here too, lessons can be learned from the development and implementation of different sta</w:t>
      </w:r>
      <w:r w:rsidRPr="00A3063C">
        <w:rPr>
          <w:rFonts w:ascii="Times New Roman" w:hAnsi="Times New Roman"/>
        </w:rPr>
        <w:t xml:space="preserve">ndards and guidelines related to REDD+ and their use by national governments. For instance, the UN-REDD Programme developed the Social and Environmental Principles and Criteria (SEPC) in collaboration with UNEP-WCMC as a guiding framework but also </w:t>
      </w:r>
      <w:proofErr w:type="gramStart"/>
      <w:r w:rsidRPr="00A3063C">
        <w:rPr>
          <w:rFonts w:ascii="Times New Roman" w:hAnsi="Times New Roman"/>
        </w:rPr>
        <w:t>as a mea</w:t>
      </w:r>
      <w:r w:rsidRPr="0038043D">
        <w:rPr>
          <w:rFonts w:ascii="Times New Roman" w:hAnsi="Times New Roman"/>
        </w:rPr>
        <w:t>ns to</w:t>
      </w:r>
      <w:proofErr w:type="gramEnd"/>
      <w:r w:rsidRPr="0038043D">
        <w:rPr>
          <w:rFonts w:ascii="Times New Roman" w:hAnsi="Times New Roman"/>
        </w:rPr>
        <w:t xml:space="preserve"> support countries in developing national approaches to social and environmental safeguards</w:t>
      </w:r>
      <w:r w:rsidRPr="00632DBC">
        <w:t>.</w:t>
      </w:r>
      <w:r w:rsidRPr="00632DBC">
        <w:rPr>
          <w:rStyle w:val="FootnoteReference"/>
          <w:rFonts w:ascii="Times New Roman" w:hAnsi="Times New Roman"/>
        </w:rPr>
        <w:footnoteReference w:id="119"/>
      </w:r>
      <w:r w:rsidRPr="00632DBC">
        <w:rPr>
          <w:rFonts w:ascii="Times New Roman" w:hAnsi="Times New Roman"/>
        </w:rPr>
        <w:t xml:space="preserve"> </w:t>
      </w:r>
    </w:p>
    <w:p w14:paraId="70B8257C" w14:textId="77777777" w:rsidR="00810C20" w:rsidRPr="00632DBC" w:rsidRDefault="00810C20" w:rsidP="00810C20">
      <w:pPr>
        <w:spacing w:line="240" w:lineRule="auto"/>
        <w:jc w:val="both"/>
      </w:pPr>
      <w:r w:rsidRPr="00632DBC">
        <w:rPr>
          <w:rFonts w:ascii="Times New Roman" w:hAnsi="Times New Roman"/>
        </w:rPr>
        <w:t xml:space="preserve">Similarly, applying the guideline of country-driven processes implies an awareness that common biodiversity concerns, such as the conservation of species and ecosystems, are often located in more than one country. There is also </w:t>
      </w:r>
      <w:proofErr w:type="gramStart"/>
      <w:r w:rsidRPr="00632DBC">
        <w:rPr>
          <w:rFonts w:ascii="Times New Roman" w:hAnsi="Times New Roman"/>
        </w:rPr>
        <w:t>need</w:t>
      </w:r>
      <w:proofErr w:type="gramEnd"/>
      <w:r w:rsidRPr="00632DBC">
        <w:rPr>
          <w:rFonts w:ascii="Times New Roman" w:hAnsi="Times New Roman"/>
        </w:rPr>
        <w:t xml:space="preserve"> to recognise the potential alliances in biodiversity-related projects between indigenous peoples, who in some cases inhabit more than one country.</w:t>
      </w:r>
      <w:r w:rsidRPr="00632DBC">
        <w:rPr>
          <w:rStyle w:val="FootnoteReference"/>
          <w:rFonts w:ascii="Times New Roman" w:hAnsi="Times New Roman"/>
        </w:rPr>
        <w:footnoteReference w:id="120"/>
      </w:r>
      <w:bookmarkStart w:id="84" w:name="_Toc336968696"/>
      <w:bookmarkStart w:id="85" w:name="_Toc337217553"/>
      <w:bookmarkStart w:id="86" w:name="_Toc337217934"/>
      <w:bookmarkStart w:id="87" w:name="_Toc342296086"/>
    </w:p>
    <w:p w14:paraId="6382F277" w14:textId="16F9A083" w:rsidR="00810C20" w:rsidRPr="00632DBC" w:rsidRDefault="00810C20" w:rsidP="00810C20">
      <w:pPr>
        <w:pStyle w:val="Heading3"/>
      </w:pPr>
      <w:bookmarkStart w:id="88" w:name="_Toc263943516"/>
      <w:bookmarkStart w:id="89" w:name="_Toc382590309"/>
      <w:bookmarkStart w:id="90" w:name="_Toc529199434"/>
      <w:r w:rsidRPr="00632DBC">
        <w:t>5.4 Governance, institutional frameworks</w:t>
      </w:r>
      <w:r w:rsidR="0018568F" w:rsidRPr="00632DBC">
        <w:t>, transparency,</w:t>
      </w:r>
      <w:r w:rsidRPr="00632DBC">
        <w:t xml:space="preserve"> accountability</w:t>
      </w:r>
      <w:bookmarkEnd w:id="84"/>
      <w:bookmarkEnd w:id="85"/>
      <w:bookmarkEnd w:id="86"/>
      <w:bookmarkEnd w:id="87"/>
      <w:bookmarkEnd w:id="88"/>
      <w:bookmarkEnd w:id="89"/>
      <w:r w:rsidR="0018568F" w:rsidRPr="00632DBC">
        <w:t xml:space="preserve"> and compliance</w:t>
      </w:r>
      <w:bookmarkEnd w:id="90"/>
    </w:p>
    <w:p w14:paraId="1F6D5AED" w14:textId="77777777" w:rsidR="0018568F" w:rsidRPr="00632DBC" w:rsidRDefault="0018568F" w:rsidP="00810C20">
      <w:pPr>
        <w:pStyle w:val="Corps"/>
        <w:ind w:left="567"/>
        <w:jc w:val="both"/>
        <w:rPr>
          <w:b/>
          <w:bCs/>
          <w:iCs/>
          <w:color w:val="auto"/>
          <w:lang w:val="en-GB"/>
        </w:rPr>
      </w:pPr>
    </w:p>
    <w:p w14:paraId="319CB924" w14:textId="105F1C2C" w:rsidR="00810C20" w:rsidRPr="00632DBC" w:rsidRDefault="00810C20" w:rsidP="00810C20">
      <w:pPr>
        <w:pStyle w:val="Corps"/>
        <w:ind w:left="567"/>
        <w:jc w:val="both"/>
        <w:rPr>
          <w:rFonts w:ascii="Times New Roman" w:eastAsia="Times New Roman" w:hAnsi="Times New Roman" w:cs="Times New Roman"/>
          <w:b/>
          <w:i/>
          <w:color w:val="auto"/>
          <w:lang w:val="en-GB"/>
        </w:rPr>
      </w:pPr>
      <w:r w:rsidRPr="00632DBC">
        <w:rPr>
          <w:rFonts w:ascii="Times New Roman"/>
          <w:b/>
          <w:bCs/>
          <w:i/>
          <w:iCs/>
          <w:color w:val="auto"/>
          <w:lang w:val="en-GB"/>
        </w:rPr>
        <w:t>Guideline</w:t>
      </w:r>
      <w:r w:rsidR="009C0D6F" w:rsidRPr="00632DBC">
        <w:rPr>
          <w:rFonts w:ascii="Times New Roman"/>
          <w:b/>
          <w:bCs/>
          <w:i/>
          <w:iCs/>
          <w:color w:val="auto"/>
          <w:lang w:val="en-GB"/>
        </w:rPr>
        <w:t xml:space="preserve"> (d</w:t>
      </w:r>
      <w:proofErr w:type="gramStart"/>
      <w:r w:rsidR="009C0D6F" w:rsidRPr="00632DBC">
        <w:rPr>
          <w:rFonts w:ascii="Times New Roman"/>
          <w:b/>
          <w:bCs/>
          <w:i/>
          <w:iCs/>
          <w:color w:val="auto"/>
          <w:lang w:val="en-GB"/>
        </w:rPr>
        <w:t>)</w:t>
      </w:r>
      <w:r w:rsidRPr="00632DBC">
        <w:rPr>
          <w:rFonts w:ascii="Times New Roman"/>
          <w:b/>
          <w:bCs/>
          <w:i/>
          <w:iCs/>
          <w:color w:val="auto"/>
          <w:lang w:val="en-GB"/>
        </w:rPr>
        <w:t>.-</w:t>
      </w:r>
      <w:proofErr w:type="gramEnd"/>
      <w:r w:rsidRPr="00632DBC">
        <w:rPr>
          <w:rFonts w:ascii="Times New Roman"/>
          <w:b/>
          <w:bCs/>
          <w:i/>
          <w:iCs/>
          <w:color w:val="auto"/>
          <w:lang w:val="en-GB"/>
        </w:rPr>
        <w:t xml:space="preserve"> </w:t>
      </w:r>
      <w:r w:rsidRPr="00632DBC">
        <w:rPr>
          <w:rFonts w:ascii="Times New Roman"/>
          <w:b/>
          <w:i/>
          <w:color w:val="auto"/>
          <w:lang w:val="en-GB"/>
        </w:rPr>
        <w:t>Appropriate institutional frameworks</w:t>
      </w:r>
      <w:r w:rsidR="0086121B" w:rsidRPr="00632DBC">
        <w:rPr>
          <w:rFonts w:ascii="Times New Roman"/>
          <w:b/>
          <w:i/>
          <w:color w:val="auto"/>
          <w:lang w:val="en-GB"/>
        </w:rPr>
        <w:t xml:space="preserve"> are of utmost importance for safeguards to be operational and should be put in place, including enforcement and evaluation mechanisms that will ensure </w:t>
      </w:r>
      <w:r w:rsidRPr="00632DBC">
        <w:rPr>
          <w:rFonts w:ascii="Times New Roman"/>
          <w:b/>
          <w:i/>
          <w:color w:val="auto"/>
          <w:lang w:val="en-GB"/>
        </w:rPr>
        <w:t>transparency</w:t>
      </w:r>
      <w:r w:rsidR="0086121B" w:rsidRPr="00632DBC">
        <w:rPr>
          <w:rFonts w:ascii="Times New Roman"/>
          <w:b/>
          <w:i/>
          <w:color w:val="auto"/>
          <w:lang w:val="en-GB"/>
        </w:rPr>
        <w:t xml:space="preserve"> and</w:t>
      </w:r>
      <w:r w:rsidRPr="00632DBC">
        <w:rPr>
          <w:rFonts w:ascii="Times New Roman"/>
          <w:b/>
          <w:i/>
          <w:color w:val="auto"/>
          <w:lang w:val="en-GB"/>
        </w:rPr>
        <w:t xml:space="preserve"> accountability, </w:t>
      </w:r>
      <w:r w:rsidR="0086121B" w:rsidRPr="00632DBC">
        <w:rPr>
          <w:rFonts w:ascii="Times New Roman"/>
          <w:b/>
          <w:i/>
          <w:color w:val="auto"/>
          <w:lang w:val="en-GB"/>
        </w:rPr>
        <w:t xml:space="preserve">as well as </w:t>
      </w:r>
      <w:r w:rsidRPr="00632DBC">
        <w:rPr>
          <w:rFonts w:ascii="Times New Roman"/>
          <w:b/>
          <w:i/>
          <w:color w:val="auto"/>
          <w:lang w:val="en-GB"/>
        </w:rPr>
        <w:t xml:space="preserve">compliance with </w:t>
      </w:r>
      <w:r w:rsidR="0086121B" w:rsidRPr="00632DBC">
        <w:rPr>
          <w:rFonts w:ascii="Times New Roman"/>
          <w:b/>
          <w:i/>
          <w:color w:val="auto"/>
          <w:lang w:val="en-GB"/>
        </w:rPr>
        <w:t>relevant safeguards</w:t>
      </w:r>
      <w:r w:rsidRPr="00632DBC">
        <w:rPr>
          <w:rFonts w:ascii="Times New Roman"/>
          <w:b/>
          <w:i/>
          <w:iCs/>
          <w:color w:val="auto"/>
          <w:lang w:val="en-GB"/>
        </w:rPr>
        <w:t>.</w:t>
      </w:r>
    </w:p>
    <w:p w14:paraId="647761DC" w14:textId="77777777" w:rsidR="00810C20" w:rsidRPr="00632DBC" w:rsidRDefault="00810C20" w:rsidP="00810C20">
      <w:pPr>
        <w:pStyle w:val="Corps"/>
        <w:spacing w:after="200"/>
        <w:ind w:left="567"/>
        <w:jc w:val="both"/>
        <w:rPr>
          <w:color w:val="auto"/>
          <w:lang w:val="en-GB"/>
        </w:rPr>
      </w:pPr>
    </w:p>
    <w:p w14:paraId="52F20F36"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 xml:space="preserve">Institutional frameworks—necessary for all safeguards to function—influence countries’ ability to choose and develop appropriate safeguards in BFMs and to implement them accordingly. While some countries may have the institutional capacity (including available personnel and economic resources) to develop and implement their own standards including safeguards, other countries may lack this capacity. In the latter case, international standards become particularly relevant, but assessing the </w:t>
      </w:r>
      <w:proofErr w:type="gramStart"/>
      <w:r w:rsidRPr="00633A71">
        <w:rPr>
          <w:rFonts w:ascii="Times New Roman" w:hAnsi="Times New Roman"/>
        </w:rPr>
        <w:t>particular needs</w:t>
      </w:r>
      <w:proofErr w:type="gramEnd"/>
      <w:r w:rsidRPr="00633A71">
        <w:rPr>
          <w:rFonts w:ascii="Times New Roman" w:hAnsi="Times New Roman"/>
        </w:rPr>
        <w:t xml:space="preserve"> of countries and communities also plays an important role. </w:t>
      </w:r>
    </w:p>
    <w:p w14:paraId="2B3E5FBD" w14:textId="77777777" w:rsidR="00810C20" w:rsidRPr="00632DBC" w:rsidRDefault="00810C20" w:rsidP="00810C20">
      <w:pPr>
        <w:spacing w:line="240" w:lineRule="auto"/>
        <w:jc w:val="both"/>
        <w:rPr>
          <w:rFonts w:ascii="Times New Roman" w:hAnsi="Times New Roman"/>
        </w:rPr>
      </w:pPr>
      <w:r w:rsidRPr="00504B5E">
        <w:rPr>
          <w:rFonts w:ascii="Times New Roman" w:hAnsi="Times New Roman"/>
        </w:rPr>
        <w:t>Environmental law, more than any other field of law, requires means for ensuring accountability and the compliance with safeguards because biodiversity and its different components cannot voice their own interests.</w:t>
      </w:r>
      <w:r w:rsidRPr="00504B5E">
        <w:rPr>
          <w:rFonts w:ascii="Times New Roman" w:hAnsi="Times New Roman"/>
          <w:vertAlign w:val="superscript"/>
        </w:rPr>
        <w:footnoteReference w:id="121"/>
      </w:r>
      <w:r w:rsidRPr="00504B5E">
        <w:rPr>
          <w:rFonts w:ascii="Times New Roman" w:hAnsi="Times New Roman"/>
        </w:rPr>
        <w:t xml:space="preserve"> Likewise, judicial remedies are important since many biodiversity-rich areas are located in isolated places, inhabited by communities in a politically</w:t>
      </w:r>
      <w:r w:rsidRPr="00A3063C">
        <w:rPr>
          <w:rFonts w:ascii="Times New Roman" w:hAnsi="Times New Roman"/>
        </w:rPr>
        <w:t xml:space="preserve"> and economically marginalised position with limited capacity to defend their rights and needs against well-funded project developers. Specific challenges often arise in the implementation of compliance mechanisms when local people are claimants. For examp</w:t>
      </w:r>
      <w:r w:rsidRPr="0038043D">
        <w:rPr>
          <w:rFonts w:ascii="Times New Roman" w:hAnsi="Times New Roman"/>
        </w:rPr>
        <w:t>le, a concern for fairness requires that the burden of proof does not fall entirely on the claimant, who tends to have far less capacity in legal issues than the governmental institutions and the business sector. BFMs are only a part of a broader institut</w:t>
      </w:r>
      <w:r w:rsidRPr="00632DBC">
        <w:rPr>
          <w:rFonts w:ascii="Times New Roman" w:hAnsi="Times New Roman"/>
        </w:rPr>
        <w:t xml:space="preserve">ional and economic framework of drivers </w:t>
      </w:r>
      <w:r w:rsidRPr="00632DBC">
        <w:rPr>
          <w:rFonts w:ascii="Times New Roman" w:hAnsi="Times New Roman"/>
        </w:rPr>
        <w:lastRenderedPageBreak/>
        <w:t>of biodiversity loss. These drivers, and underlying perverse incentives, need to be addressed (see section on PES and Fiscal Reform below).</w:t>
      </w:r>
    </w:p>
    <w:p w14:paraId="12EB9654" w14:textId="77777777" w:rsidR="00810C20" w:rsidRPr="00632DBC" w:rsidRDefault="00810C20" w:rsidP="00810C20">
      <w:pPr>
        <w:spacing w:line="240" w:lineRule="auto"/>
        <w:jc w:val="both"/>
        <w:rPr>
          <w:rFonts w:ascii="Times New Roman" w:hAnsi="Times New Roman"/>
        </w:rPr>
      </w:pPr>
      <w:r w:rsidRPr="00632DBC">
        <w:rPr>
          <w:rFonts w:ascii="Times New Roman" w:hAnsi="Times New Roman"/>
          <w:iCs/>
        </w:rPr>
        <w:t xml:space="preserve">At </w:t>
      </w:r>
      <w:r w:rsidRPr="00632DBC">
        <w:rPr>
          <w:rFonts w:ascii="Times New Roman" w:hAnsi="Times New Roman"/>
        </w:rPr>
        <w:t xml:space="preserve">the Global Expert Workshop on Community-based Monitoring &amp; Information Systems (CMIS), a participant considered that often governmental institutions are the ones receiving the economic resources associated with environmental financing while biodiversity-holders and those conducting sustainable use of natural resources do not have direct access to economic resources. Hence, it was suggested that biodiversity holders of knowledge and of bio-cultural resources rights have direct access to monetary and non-monetary resources derived from biodiversity financing mechanisms. In its submission, Peru mentions the need to have proper institutional frameworks with low transaction </w:t>
      </w:r>
      <w:proofErr w:type="gramStart"/>
      <w:r w:rsidRPr="00632DBC">
        <w:rPr>
          <w:rFonts w:ascii="Times New Roman" w:hAnsi="Times New Roman"/>
        </w:rPr>
        <w:t>costs</w:t>
      </w:r>
      <w:proofErr w:type="gramEnd"/>
      <w:r w:rsidRPr="00632DBC">
        <w:rPr>
          <w:rFonts w:ascii="Times New Roman" w:hAnsi="Times New Roman"/>
        </w:rPr>
        <w:t xml:space="preserve"> so the distribution of benefits reaches indigenous and local communities.</w:t>
      </w:r>
    </w:p>
    <w:p w14:paraId="72F2BE9F" w14:textId="1429FF92" w:rsidR="00810C20" w:rsidRPr="00632DBC" w:rsidRDefault="00810C20" w:rsidP="00810C20">
      <w:pPr>
        <w:spacing w:line="240" w:lineRule="auto"/>
        <w:jc w:val="both"/>
        <w:rPr>
          <w:rFonts w:ascii="Times New Roman" w:hAnsi="Times New Roman"/>
        </w:rPr>
      </w:pPr>
      <w:r w:rsidRPr="00632DBC">
        <w:rPr>
          <w:rFonts w:ascii="Times New Roman" w:hAnsi="Times New Roman"/>
        </w:rPr>
        <w:t xml:space="preserve">Certain institutional requirements for follow-up and monitoring are necessary for safeguards in BFMs to be effective. In terms of operationalizing accountability measures, guidance can be </w:t>
      </w:r>
      <w:proofErr w:type="gramStart"/>
      <w:r w:rsidRPr="00632DBC">
        <w:rPr>
          <w:rFonts w:ascii="Times New Roman" w:hAnsi="Times New Roman"/>
        </w:rPr>
        <w:t>drawn</w:t>
      </w:r>
      <w:proofErr w:type="gramEnd"/>
      <w:r w:rsidRPr="00632DBC">
        <w:rPr>
          <w:rFonts w:ascii="Times New Roman" w:hAnsi="Times New Roman"/>
        </w:rPr>
        <w:t xml:space="preserve"> and lessons learned from the Aarhus Convention on Access to Information, Public Participation in Decision-making and Access to Justice in Environmental Matters. The Aarhus Convention is also relevant when discussing safeguards at the national and regional level. For example, Article 9(3) states that: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r w:rsidR="00F36DF7" w:rsidRPr="00632DBC">
        <w:rPr>
          <w:rFonts w:ascii="Times New Roman" w:hAnsi="Times New Roman"/>
        </w:rPr>
        <w:t>”.</w:t>
      </w:r>
      <w:r w:rsidRPr="00632DBC">
        <w:rPr>
          <w:rStyle w:val="FootnoteReference"/>
          <w:rFonts w:ascii="Times New Roman" w:hAnsi="Times New Roman"/>
        </w:rPr>
        <w:t xml:space="preserve"> </w:t>
      </w:r>
      <w:r w:rsidRPr="00632DBC">
        <w:rPr>
          <w:rStyle w:val="FootnoteReference"/>
          <w:rFonts w:ascii="Times New Roman" w:hAnsi="Times New Roman"/>
        </w:rPr>
        <w:footnoteReference w:id="122"/>
      </w:r>
      <w:r w:rsidRPr="00632DBC">
        <w:rPr>
          <w:rFonts w:ascii="Times New Roman" w:hAnsi="Times New Roman"/>
        </w:rPr>
        <w:t xml:space="preserve"> At the regional level, an example of legal developments in regulation relevant for compliance mechanisms in BFMs are the European Union Directives on Environmental Impact Assessment mentioned earlier.</w:t>
      </w:r>
      <w:r w:rsidRPr="00632DBC">
        <w:rPr>
          <w:rFonts w:ascii="Times New Roman" w:hAnsi="Times New Roman"/>
          <w:vertAlign w:val="superscript"/>
        </w:rPr>
        <w:footnoteReference w:id="123"/>
      </w:r>
    </w:p>
    <w:p w14:paraId="6587DD1C" w14:textId="2A3E3E7C" w:rsidR="00810C20" w:rsidRPr="00632DBC" w:rsidRDefault="00810C20" w:rsidP="00810C20">
      <w:pPr>
        <w:spacing w:line="240" w:lineRule="auto"/>
        <w:jc w:val="both"/>
        <w:rPr>
          <w:rFonts w:ascii="Times New Roman" w:hAnsi="Times New Roman"/>
        </w:rPr>
      </w:pPr>
      <w:r w:rsidRPr="00632DBC">
        <w:rPr>
          <w:rFonts w:ascii="Times New Roman" w:hAnsi="Times New Roman"/>
        </w:rPr>
        <w:t>The REDD+ experience has already demonstrated that certain countries may not have the institutional capacity and economic resources to comply with requirements for developing Safeguards Information Systems, MRV and carbon accounting systems. In some cases, requirements intended to promote equity and accountability within national contexts can be fostering inequity at the global level, where it is not the countries in most need that receive resources but those that have the institutional capacity to comply with the requirements. An interviewee considered that while a demand to observe accountability, transparency and efficiency in BFMs is necessary, it is also important to be aware of the existing conditions in the country where safeguards are</w:t>
      </w:r>
      <w:r w:rsidR="0014184A" w:rsidRPr="00632DBC">
        <w:rPr>
          <w:rFonts w:ascii="Times New Roman" w:hAnsi="Times New Roman"/>
        </w:rPr>
        <w:t xml:space="preserve"> </w:t>
      </w:r>
      <w:r w:rsidRPr="00632DBC">
        <w:rPr>
          <w:rFonts w:ascii="Times New Roman" w:hAnsi="Times New Roman"/>
        </w:rPr>
        <w:t>intended to be applied. Too high requirements in the application of such guidelines risks leaving worse off the people who are intended to benefit from the safeguards and underlying principles.</w:t>
      </w:r>
      <w:r w:rsidRPr="00632DBC">
        <w:rPr>
          <w:rStyle w:val="FootnoteReference"/>
          <w:rFonts w:ascii="Times New Roman" w:hAnsi="Times New Roman"/>
        </w:rPr>
        <w:footnoteReference w:id="124"/>
      </w:r>
      <w:r w:rsidRPr="00632DBC">
        <w:rPr>
          <w:rFonts w:ascii="Times New Roman" w:hAnsi="Times New Roman"/>
        </w:rPr>
        <w:t xml:space="preserve"> While this risk is broadly recognised in many areas of international development cooperation (aid projects), it applies even more to PES schemes such as REDD+ which have complicated and highly technical MRV systems and complex institutional and legal frameworks. In this context, capacity building remains an important challenge.</w:t>
      </w:r>
      <w:r w:rsidRPr="00632DBC">
        <w:rPr>
          <w:rStyle w:val="FootnoteReference"/>
          <w:rFonts w:ascii="Times New Roman" w:hAnsi="Times New Roman"/>
        </w:rPr>
        <w:footnoteReference w:id="125"/>
      </w:r>
    </w:p>
    <w:p w14:paraId="283A650C" w14:textId="2BC887CC" w:rsidR="00810C20" w:rsidRPr="00632DBC" w:rsidRDefault="00810C20" w:rsidP="00810C20">
      <w:pPr>
        <w:spacing w:line="240" w:lineRule="auto"/>
        <w:jc w:val="both"/>
        <w:rPr>
          <w:rFonts w:ascii="Times New Roman" w:hAnsi="Times New Roman"/>
        </w:rPr>
      </w:pPr>
      <w:r w:rsidRPr="00632DBC">
        <w:rPr>
          <w:rFonts w:ascii="Times New Roman" w:hAnsi="Times New Roman"/>
        </w:rPr>
        <w:t xml:space="preserve">The importance of capacity-building was highlighted in the submissions by Switzerland, India, </w:t>
      </w:r>
      <w:r w:rsidR="00A06283" w:rsidRPr="00632DBC">
        <w:rPr>
          <w:rFonts w:ascii="Times New Roman" w:hAnsi="Times New Roman"/>
        </w:rPr>
        <w:t>and Peru</w:t>
      </w:r>
      <w:r w:rsidRPr="00632DBC">
        <w:rPr>
          <w:rFonts w:ascii="Times New Roman" w:hAnsi="Times New Roman"/>
        </w:rPr>
        <w:t xml:space="preserve"> as well as by participants in the Quito II Seminar Dialogue. In the “Governance, safeguards and equity” working group at Quito II Seminar Dialogue, participants suggested the development of a “toolkit” consisting of “a catalogue of lessons learned by countries in applying safeguards related to biodiversity financing, and strategies to strengthen national capacity in articulating the CBD provisions and COP Decisions on resource mobilisation with national legal systems and customary norms”.</w:t>
      </w:r>
      <w:r w:rsidRPr="00632DBC">
        <w:rPr>
          <w:rStyle w:val="FootnoteReference"/>
          <w:rFonts w:ascii="Times New Roman" w:hAnsi="Times New Roman"/>
        </w:rPr>
        <w:footnoteReference w:id="126"/>
      </w:r>
      <w:r w:rsidRPr="00632DBC">
        <w:rPr>
          <w:rFonts w:ascii="Times New Roman" w:hAnsi="Times New Roman"/>
        </w:rPr>
        <w:t xml:space="preserve"> There is also scope for systematising experience on safeguards associated with climate financing including REDD+ </w:t>
      </w:r>
      <w:r w:rsidRPr="00632DBC">
        <w:rPr>
          <w:rFonts w:ascii="Times New Roman" w:hAnsi="Times New Roman"/>
        </w:rPr>
        <w:lastRenderedPageBreak/>
        <w:t>under UNFCCC and voluntary standards. Potential synergies exist for BFMs with the SCBD and the International Development Law Organisation Initiative on Legal Preparedness for achieving the Aichi Targets. Beyond funding options, an interviewee at the Quito II Dialogue Seminar considered that the SCBD should increase its role in facilitating the exchange of expertise and lessons learned between distinct countries and regions (such as between Asia and Latin America).</w:t>
      </w:r>
    </w:p>
    <w:p w14:paraId="63434A16" w14:textId="77777777" w:rsidR="00810C20" w:rsidRPr="00633A71" w:rsidRDefault="00810C20" w:rsidP="00810C20">
      <w:pPr>
        <w:spacing w:line="240" w:lineRule="auto"/>
        <w:jc w:val="both"/>
        <w:rPr>
          <w:rFonts w:ascii="Times New Roman" w:hAnsi="Times New Roman"/>
        </w:rPr>
      </w:pPr>
      <w:r w:rsidRPr="00632DBC">
        <w:rPr>
          <w:rFonts w:ascii="Times New Roman" w:hAnsi="Times New Roman"/>
        </w:rPr>
        <w:t>Beyond judiciary recourses, compliance mechanisms can also take a non-adversarial and non-judicial form, such as an ombudsman. Depending on the kind of ombudsman, the complaint procedure may have mandatory outcomes or not. An example at the international level is the International Ombudsman Centre for the Environment and Development (</w:t>
      </w:r>
      <w:proofErr w:type="spellStart"/>
      <w:r w:rsidRPr="00632DBC">
        <w:rPr>
          <w:rFonts w:ascii="Times New Roman" w:hAnsi="Times New Roman"/>
        </w:rPr>
        <w:t>OmCED</w:t>
      </w:r>
      <w:proofErr w:type="spellEnd"/>
      <w:r w:rsidRPr="00632DBC">
        <w:rPr>
          <w:rFonts w:ascii="Times New Roman" w:hAnsi="Times New Roman"/>
        </w:rPr>
        <w:t>) established by a Memorandum of Agreement between the World Conservation Union (IUCN) and the Earth Council Foundation. This ombudsman aims to deal authoritatively to address potential and actual conflictive issues concerning environmental and sustainable development.</w:t>
      </w:r>
      <w:r w:rsidRPr="00633A71">
        <w:rPr>
          <w:rFonts w:ascii="Times New Roman" w:hAnsi="Times New Roman"/>
          <w:vertAlign w:val="superscript"/>
        </w:rPr>
        <w:footnoteReference w:id="127"/>
      </w:r>
      <w:r w:rsidRPr="00633A71">
        <w:rPr>
          <w:rFonts w:ascii="Times New Roman" w:hAnsi="Times New Roman"/>
        </w:rPr>
        <w:t xml:space="preserve"> Lessons learned from these mechanisms can be relevant for ensuring compliance of safeguards in BFMs.</w:t>
      </w:r>
    </w:p>
    <w:p w14:paraId="277E07D5" w14:textId="77777777" w:rsidR="00810C20" w:rsidRPr="0038043D" w:rsidRDefault="00810C20" w:rsidP="00810C20">
      <w:pPr>
        <w:spacing w:line="240" w:lineRule="auto"/>
        <w:jc w:val="both"/>
        <w:rPr>
          <w:rFonts w:ascii="Times New Roman" w:hAnsi="Times New Roman"/>
        </w:rPr>
      </w:pPr>
      <w:r w:rsidRPr="00504B5E">
        <w:rPr>
          <w:rFonts w:ascii="Times New Roman" w:hAnsi="Times New Roman"/>
        </w:rPr>
        <w:t>Another compliance mechanism relevant for safeguards in BFMs is the World Bank Inspection Panel. The World Bank refers to it as an accountability and recourse mechanism that aims to investigate and determine whether the Bank has complied with its operational policies and procedures (including social and environmental safeguards), as well as address related issues of harm in projects financed by the Bank for Reconstruction and Development and the International Development Association.</w:t>
      </w:r>
      <w:r w:rsidRPr="00504B5E">
        <w:rPr>
          <w:rFonts w:ascii="Times New Roman" w:hAnsi="Times New Roman"/>
          <w:vertAlign w:val="superscript"/>
        </w:rPr>
        <w:footnoteReference w:id="128"/>
      </w:r>
      <w:r w:rsidRPr="00504B5E">
        <w:rPr>
          <w:rFonts w:ascii="Times New Roman" w:hAnsi="Times New Roman"/>
        </w:rPr>
        <w:t xml:space="preserve"> Its </w:t>
      </w:r>
      <w:r w:rsidRPr="00A3063C">
        <w:rPr>
          <w:rFonts w:ascii="Times New Roman" w:hAnsi="Times New Roman"/>
        </w:rPr>
        <w:t>Operational Policy 4.0 on Environmental Assessment aims to evaluate a project's potential environmental risks and impacts in its area of influence. Environmental Assessments should include biodiversity dimensions (which are framed as a transboundary and gl</w:t>
      </w:r>
      <w:r w:rsidRPr="0038043D">
        <w:rPr>
          <w:rFonts w:ascii="Times New Roman" w:hAnsi="Times New Roman"/>
        </w:rPr>
        <w:t xml:space="preserve">obal environmental issues) as well as social dimensions. </w:t>
      </w:r>
    </w:p>
    <w:p w14:paraId="28FF480D" w14:textId="77777777" w:rsidR="00810C20" w:rsidRPr="00632DBC" w:rsidRDefault="00810C20" w:rsidP="00810C20">
      <w:pPr>
        <w:spacing w:line="240" w:lineRule="auto"/>
        <w:jc w:val="both"/>
        <w:rPr>
          <w:rFonts w:eastAsia="Arial Unicode MS" w:hAnsi="Arial Unicode MS" w:cs="Arial Unicode MS"/>
          <w:u w:color="000000"/>
          <w:bdr w:val="nil"/>
          <w:lang w:eastAsia="sv-SE" w:bidi="ar-SA"/>
        </w:rPr>
      </w:pPr>
      <w:r w:rsidRPr="00632DBC">
        <w:rPr>
          <w:rFonts w:ascii="Times New Roman" w:hAnsi="Times New Roman"/>
        </w:rPr>
        <w:t xml:space="preserve">One interviewee considered that a key lesson from the implementation of the World Bank safeguards to BFMs is that in order to achieve inclusive sustainable outcomes, the emphasis should be on the </w:t>
      </w:r>
      <w:r w:rsidRPr="00632DBC">
        <w:rPr>
          <w:rFonts w:ascii="Times New Roman" w:hAnsi="Times New Roman"/>
          <w:i/>
        </w:rPr>
        <w:t>output</w:t>
      </w:r>
      <w:r w:rsidRPr="00632DBC">
        <w:rPr>
          <w:rFonts w:ascii="Times New Roman" w:hAnsi="Times New Roman"/>
        </w:rPr>
        <w:t>, not the input of safeguarding processes.</w:t>
      </w:r>
      <w:r w:rsidRPr="00632DBC">
        <w:rPr>
          <w:rStyle w:val="FootnoteReference"/>
          <w:rFonts w:ascii="Times New Roman" w:hAnsi="Times New Roman"/>
        </w:rPr>
        <w:footnoteReference w:id="129"/>
      </w:r>
      <w:r w:rsidRPr="00632DBC">
        <w:rPr>
          <w:rFonts w:ascii="Times New Roman" w:hAnsi="Times New Roman"/>
        </w:rPr>
        <w:t xml:space="preserve"> A transactional approach that focuses on the inputs (e.g. whether or not a consultation meeting was adequately developed and recorded, or an EIA conducted) tend to be cheaper and easier to conduct. Yet it is more important that the process or project did in fact promote integral development conservation with actual benefits to the stakeholders.</w:t>
      </w:r>
      <w:r w:rsidRPr="00632DBC">
        <w:rPr>
          <w:rFonts w:eastAsia="Arial Unicode MS" w:hAnsi="Arial Unicode MS" w:cs="Arial Unicode MS"/>
          <w:u w:color="000000"/>
          <w:bdr w:val="nil"/>
          <w:lang w:eastAsia="sv-SE" w:bidi="ar-SA"/>
        </w:rPr>
        <w:t xml:space="preserve"> </w:t>
      </w:r>
    </w:p>
    <w:p w14:paraId="647BF41C" w14:textId="77777777" w:rsidR="00810C20" w:rsidRPr="00504B5E" w:rsidRDefault="00810C20" w:rsidP="00810C20">
      <w:pPr>
        <w:spacing w:line="240" w:lineRule="auto"/>
        <w:jc w:val="both"/>
        <w:rPr>
          <w:rFonts w:ascii="Times New Roman" w:hAnsi="Times New Roman"/>
        </w:rPr>
      </w:pPr>
      <w:r w:rsidRPr="00633A71">
        <w:rPr>
          <w:rFonts w:ascii="Times New Roman" w:hAnsi="Times New Roman"/>
        </w:rPr>
        <w:t>An interviewee at the Global Expert Workshop on Community-based Monitoring &amp; Information Systems (CMIS) mentioned that safeguards should be supported by compliance mechanisms and that the establishment of an inspection panel or body for BFMs that could act as a mediator to solve possible conflicts should be considered. In addition, the interviewee noted that a problem-solving approach with an emphasis in the local level institutions can help identify the issues that need to be addressed and the optimal ways to finance them according to the issue that stake and the available resources.</w:t>
      </w:r>
    </w:p>
    <w:p w14:paraId="0250CAC4" w14:textId="3932BEBC" w:rsidR="00810C20" w:rsidRPr="00632DBC" w:rsidRDefault="00810C20" w:rsidP="003966BA">
      <w:pPr>
        <w:pStyle w:val="Heading2"/>
        <w:numPr>
          <w:ilvl w:val="0"/>
          <w:numId w:val="5"/>
        </w:numPr>
        <w:rPr>
          <w:lang w:val="en-GB"/>
        </w:rPr>
      </w:pPr>
      <w:bookmarkStart w:id="91" w:name="_Toc336968697"/>
      <w:bookmarkStart w:id="92" w:name="_Toc337217554"/>
      <w:bookmarkStart w:id="93" w:name="_Toc337217935"/>
      <w:bookmarkStart w:id="94" w:name="_Toc342296087"/>
      <w:bookmarkStart w:id="95" w:name="_Toc263943517"/>
      <w:bookmarkStart w:id="96" w:name="_Toc382590310"/>
      <w:bookmarkStart w:id="97" w:name="_Toc529199435"/>
      <w:r w:rsidRPr="00504B5E">
        <w:rPr>
          <w:rStyle w:val="Heading1Char"/>
          <w:smallCaps/>
          <w:sz w:val="22"/>
          <w:szCs w:val="22"/>
          <w:lang w:val="en-GB"/>
        </w:rPr>
        <w:t>Safeguards</w:t>
      </w:r>
      <w:r w:rsidR="00761CCF" w:rsidRPr="00504B5E">
        <w:rPr>
          <w:rStyle w:val="Heading1Char"/>
          <w:smallCaps/>
          <w:sz w:val="22"/>
          <w:szCs w:val="22"/>
          <w:lang w:val="en-GB"/>
        </w:rPr>
        <w:t>,</w:t>
      </w:r>
      <w:r w:rsidRPr="00504B5E">
        <w:rPr>
          <w:rStyle w:val="Heading1Char"/>
          <w:smallCaps/>
          <w:sz w:val="22"/>
          <w:szCs w:val="22"/>
          <w:lang w:val="en-GB"/>
        </w:rPr>
        <w:t xml:space="preserve"> different types of BFMs</w:t>
      </w:r>
      <w:bookmarkEnd w:id="91"/>
      <w:bookmarkEnd w:id="92"/>
      <w:bookmarkEnd w:id="93"/>
      <w:bookmarkEnd w:id="94"/>
      <w:bookmarkEnd w:id="95"/>
      <w:bookmarkEnd w:id="96"/>
      <w:r w:rsidR="00761CCF" w:rsidRPr="00A3063C">
        <w:rPr>
          <w:rStyle w:val="Heading1Char"/>
          <w:smallCaps/>
          <w:sz w:val="22"/>
          <w:szCs w:val="22"/>
          <w:lang w:val="en-GB"/>
        </w:rPr>
        <w:t xml:space="preserve"> </w:t>
      </w:r>
      <w:r w:rsidR="00761CCF" w:rsidRPr="0038043D">
        <w:rPr>
          <w:rStyle w:val="Heading1Char"/>
          <w:smallCaps/>
          <w:sz w:val="22"/>
          <w:szCs w:val="22"/>
          <w:lang w:val="en-GB"/>
        </w:rPr>
        <w:t>and cases</w:t>
      </w:r>
      <w:bookmarkEnd w:id="97"/>
    </w:p>
    <w:p w14:paraId="707F6697" w14:textId="77777777" w:rsidR="00810C20" w:rsidRPr="00632DBC" w:rsidRDefault="00810C20" w:rsidP="00810C20">
      <w:pPr>
        <w:shd w:val="clear" w:color="auto" w:fill="FFFFFF"/>
        <w:spacing w:after="80" w:line="240" w:lineRule="auto"/>
        <w:jc w:val="both"/>
        <w:rPr>
          <w:rFonts w:ascii="Times New Roman" w:hAnsi="Times New Roman"/>
        </w:rPr>
      </w:pPr>
      <w:r w:rsidRPr="00632DBC">
        <w:rPr>
          <w:rFonts w:ascii="Times New Roman" w:hAnsi="Times New Roman"/>
        </w:rPr>
        <w:t xml:space="preserve">Goal 4 of </w:t>
      </w:r>
      <w:r w:rsidRPr="00632DBC">
        <w:rPr>
          <w:rFonts w:ascii="Times New Roman" w:hAnsi="Times New Roman"/>
          <w:bCs/>
        </w:rPr>
        <w:t xml:space="preserve">Decision IX/11 </w:t>
      </w:r>
      <w:r w:rsidRPr="00632DBC">
        <w:rPr>
          <w:rFonts w:ascii="Times New Roman" w:hAnsi="Times New Roman"/>
        </w:rPr>
        <w:t xml:space="preserve">refers to the general category of IFMs some of which include important elements for safeguards. For example: </w:t>
      </w:r>
    </w:p>
    <w:p w14:paraId="628FA132" w14:textId="77777777" w:rsidR="00810C20" w:rsidRPr="00632DBC" w:rsidRDefault="00810C20" w:rsidP="00810C20">
      <w:pPr>
        <w:shd w:val="clear" w:color="auto" w:fill="FFFFFF"/>
        <w:spacing w:after="80" w:line="240" w:lineRule="auto"/>
        <w:ind w:left="567" w:right="567"/>
        <w:jc w:val="both"/>
        <w:rPr>
          <w:rFonts w:ascii="Times New Roman" w:hAnsi="Times New Roman"/>
        </w:rPr>
      </w:pPr>
      <w:r w:rsidRPr="00632DBC">
        <w:rPr>
          <w:rFonts w:ascii="Times New Roman" w:hAnsi="Times New Roman"/>
        </w:rPr>
        <w:t xml:space="preserve">“4.1. To promote, where applicable, schemes for payment for ecosystem services, </w:t>
      </w:r>
      <w:r w:rsidRPr="00632DBC">
        <w:rPr>
          <w:rFonts w:ascii="Times New Roman" w:hAnsi="Times New Roman"/>
          <w:b/>
        </w:rPr>
        <w:t>consistent and in harmony with the Convention and other relevant international obligations</w:t>
      </w:r>
      <w:r w:rsidRPr="00632DBC">
        <w:rPr>
          <w:rFonts w:ascii="Times New Roman" w:hAnsi="Times New Roman"/>
        </w:rPr>
        <w:t xml:space="preserve">. </w:t>
      </w:r>
    </w:p>
    <w:p w14:paraId="3B27F320" w14:textId="77777777" w:rsidR="00810C20" w:rsidRPr="00633A71" w:rsidRDefault="00810C20" w:rsidP="00810C20">
      <w:pPr>
        <w:shd w:val="clear" w:color="auto" w:fill="FFFFFF"/>
        <w:spacing w:after="80" w:line="240" w:lineRule="auto"/>
        <w:ind w:left="567" w:right="567"/>
        <w:jc w:val="both"/>
        <w:rPr>
          <w:rFonts w:ascii="Times New Roman" w:hAnsi="Times New Roman"/>
          <w:bCs/>
          <w:i/>
        </w:rPr>
      </w:pPr>
      <w:r w:rsidRPr="00632DBC">
        <w:rPr>
          <w:rFonts w:ascii="Times New Roman" w:hAnsi="Times New Roman"/>
        </w:rPr>
        <w:lastRenderedPageBreak/>
        <w:t xml:space="preserve">4.2. To consider biodiversity offset mechanisms where relevant and appropriate while </w:t>
      </w:r>
      <w:r w:rsidRPr="00632DBC">
        <w:rPr>
          <w:rFonts w:ascii="Times New Roman" w:hAnsi="Times New Roman"/>
          <w:b/>
        </w:rPr>
        <w:t>ensuring that they are not used to undermine unique components of biodiversity</w:t>
      </w:r>
      <w:r w:rsidRPr="00632DBC">
        <w:rPr>
          <w:rFonts w:ascii="Times New Roman" w:hAnsi="Times New Roman"/>
        </w:rPr>
        <w:t>” (emphasis added).</w:t>
      </w:r>
      <w:r w:rsidRPr="00633A71">
        <w:rPr>
          <w:rStyle w:val="FootnoteReference"/>
          <w:rFonts w:ascii="Times New Roman" w:hAnsi="Times New Roman"/>
        </w:rPr>
        <w:footnoteReference w:id="130"/>
      </w:r>
    </w:p>
    <w:p w14:paraId="06A6E50D" w14:textId="77777777" w:rsidR="00810C20" w:rsidRPr="00633A71" w:rsidRDefault="00810C20" w:rsidP="00810C20">
      <w:pPr>
        <w:spacing w:line="240" w:lineRule="auto"/>
        <w:jc w:val="both"/>
        <w:rPr>
          <w:rFonts w:ascii="Times New Roman" w:hAnsi="Times New Roman"/>
        </w:rPr>
      </w:pPr>
    </w:p>
    <w:p w14:paraId="4BADCFB5" w14:textId="77777777" w:rsidR="00810C20" w:rsidRPr="00504B5E" w:rsidRDefault="00810C20" w:rsidP="00810C20">
      <w:pPr>
        <w:spacing w:line="240" w:lineRule="auto"/>
        <w:jc w:val="both"/>
        <w:rPr>
          <w:rFonts w:ascii="Times New Roman" w:hAnsi="Times New Roman"/>
        </w:rPr>
      </w:pPr>
      <w:r w:rsidRPr="00633A71" w:rsidDel="00021734">
        <w:rPr>
          <w:rFonts w:ascii="Times New Roman" w:hAnsi="Times New Roman"/>
        </w:rPr>
        <w:t xml:space="preserve">In the following section we give examples of potential safeguards </w:t>
      </w:r>
      <w:r w:rsidRPr="00633A71">
        <w:rPr>
          <w:rFonts w:ascii="Times New Roman" w:hAnsi="Times New Roman"/>
        </w:rPr>
        <w:t>for</w:t>
      </w:r>
      <w:r w:rsidRPr="00633A71" w:rsidDel="00021734">
        <w:rPr>
          <w:rFonts w:ascii="Times New Roman" w:hAnsi="Times New Roman"/>
        </w:rPr>
        <w:t xml:space="preserve"> specific mechanisms</w:t>
      </w:r>
      <w:r w:rsidRPr="00633A71">
        <w:rPr>
          <w:rFonts w:ascii="Times New Roman" w:hAnsi="Times New Roman"/>
        </w:rPr>
        <w:t xml:space="preserve"> mentioned in Goal 4 of CBD </w:t>
      </w:r>
      <w:r w:rsidRPr="00504B5E">
        <w:rPr>
          <w:rFonts w:ascii="Times New Roman" w:hAnsi="Times New Roman"/>
          <w:bCs/>
        </w:rPr>
        <w:t xml:space="preserve">Decision IX/11. </w:t>
      </w:r>
    </w:p>
    <w:p w14:paraId="66061E21" w14:textId="08ECE3EA" w:rsidR="00810C20" w:rsidRPr="00504B5E" w:rsidRDefault="00810C20" w:rsidP="00810C20">
      <w:pPr>
        <w:pStyle w:val="Heading3"/>
      </w:pPr>
      <w:bookmarkStart w:id="98" w:name="_Toc382590311"/>
      <w:bookmarkStart w:id="99" w:name="_Toc529199436"/>
      <w:bookmarkStart w:id="100" w:name="_Toc336968698"/>
      <w:bookmarkStart w:id="101" w:name="_Toc337217555"/>
      <w:bookmarkStart w:id="102" w:name="_Toc337217936"/>
      <w:bookmarkStart w:id="103" w:name="_Toc342296088"/>
      <w:bookmarkStart w:id="104" w:name="_Toc263943518"/>
      <w:r w:rsidRPr="00504B5E">
        <w:t>6.1 Payments for ecosystems services</w:t>
      </w:r>
      <w:bookmarkEnd w:id="98"/>
      <w:bookmarkEnd w:id="99"/>
      <w:r w:rsidRPr="00504B5E">
        <w:t xml:space="preserve"> </w:t>
      </w:r>
      <w:bookmarkEnd w:id="100"/>
      <w:bookmarkEnd w:id="101"/>
      <w:bookmarkEnd w:id="102"/>
      <w:bookmarkEnd w:id="103"/>
      <w:bookmarkEnd w:id="104"/>
    </w:p>
    <w:p w14:paraId="13BECDDA" w14:textId="77777777" w:rsidR="00810C20" w:rsidRPr="00633A71" w:rsidRDefault="00810C20" w:rsidP="00810C20">
      <w:pPr>
        <w:spacing w:line="240" w:lineRule="auto"/>
        <w:jc w:val="both"/>
        <w:rPr>
          <w:rFonts w:ascii="Times New Roman" w:hAnsi="Times New Roman"/>
        </w:rPr>
      </w:pPr>
      <w:r w:rsidRPr="00504B5E">
        <w:rPr>
          <w:rFonts w:ascii="Times New Roman" w:hAnsi="Times New Roman"/>
        </w:rPr>
        <w:t>PES are positive incentives which have conditionality as a method for influencing environmentally-sound behaviour.</w:t>
      </w:r>
      <w:r w:rsidRPr="00633A71">
        <w:rPr>
          <w:rStyle w:val="FootnoteReference"/>
          <w:rFonts w:ascii="Times New Roman" w:hAnsi="Times New Roman"/>
        </w:rPr>
        <w:footnoteReference w:id="131"/>
      </w:r>
      <w:r w:rsidRPr="00633A71">
        <w:rPr>
          <w:rFonts w:ascii="Times New Roman" w:hAnsi="Times New Roman"/>
        </w:rPr>
        <w:t xml:space="preserve"> PES include payments or compensations to landowners for a specific land use that is considered to enhance biodiversity and ecosystem services. Institutional arrangements in PES may involve conditionality of payments on performance</w:t>
      </w:r>
      <w:r w:rsidRPr="00633A71">
        <w:t>.</w:t>
      </w:r>
      <w:r w:rsidRPr="00633A71">
        <w:rPr>
          <w:rStyle w:val="FootnoteReference"/>
          <w:rFonts w:ascii="Times New Roman" w:hAnsi="Times New Roman"/>
        </w:rPr>
        <w:footnoteReference w:id="132"/>
      </w:r>
      <w:r w:rsidRPr="00633A71">
        <w:t xml:space="preserve"> </w:t>
      </w:r>
      <w:r w:rsidRPr="00633A71">
        <w:rPr>
          <w:rFonts w:ascii="Times New Roman" w:hAnsi="Times New Roman"/>
        </w:rPr>
        <w:t>Currently, governments and governmental organisations finance 97-99% of PES globally.</w:t>
      </w:r>
      <w:r w:rsidRPr="00633A71">
        <w:rPr>
          <w:rStyle w:val="FootnoteReference"/>
          <w:rFonts w:ascii="Times New Roman" w:hAnsi="Times New Roman"/>
          <w:szCs w:val="18"/>
        </w:rPr>
        <w:footnoteReference w:id="133"/>
      </w:r>
      <w:r w:rsidRPr="00633A71">
        <w:rPr>
          <w:rFonts w:ascii="Times New Roman" w:hAnsi="Times New Roman"/>
        </w:rPr>
        <w:t xml:space="preserve"> PES is an example of using the market mechanism (price signal), but it needs not be based on or rely on monetary valuation. </w:t>
      </w:r>
    </w:p>
    <w:p w14:paraId="19EBF352" w14:textId="68B375E8" w:rsidR="00810C20" w:rsidRPr="00633A71" w:rsidRDefault="00810C20" w:rsidP="00810C20">
      <w:pPr>
        <w:spacing w:line="240" w:lineRule="auto"/>
        <w:jc w:val="both"/>
        <w:rPr>
          <w:rFonts w:ascii="Times New Roman" w:hAnsi="Times New Roman"/>
        </w:rPr>
      </w:pPr>
      <w:r w:rsidRPr="00633A71">
        <w:rPr>
          <w:rFonts w:ascii="Times New Roman" w:hAnsi="Times New Roman"/>
        </w:rPr>
        <w:t>For example, in Costa Rica the level of PES to landowners for sustaining forestry is not based on an estimation of the monetary value of the targeted biodiversity and ecosystem services. Instead, the level is based on an estimation of the opportunity cost of conservation (here, sustaina</w:t>
      </w:r>
      <w:r w:rsidRPr="00504B5E">
        <w:rPr>
          <w:rFonts w:ascii="Times New Roman" w:hAnsi="Times New Roman"/>
        </w:rPr>
        <w:t>ble forestry), i.e. the net income forgone from commercial forestry. The Costa Rican government controls the “market</w:t>
      </w:r>
      <w:proofErr w:type="gramStart"/>
      <w:r w:rsidRPr="00504B5E">
        <w:rPr>
          <w:rFonts w:ascii="Times New Roman" w:hAnsi="Times New Roman"/>
        </w:rPr>
        <w:t>”, and</w:t>
      </w:r>
      <w:proofErr w:type="gramEnd"/>
      <w:r w:rsidRPr="00504B5E">
        <w:rPr>
          <w:rFonts w:ascii="Times New Roman" w:hAnsi="Times New Roman"/>
        </w:rPr>
        <w:t xml:space="preserve"> has increased the annual payment from US$ 42/ha to US$ 78/ha during the first ten years of operation to motivate a sufficient number of forest owners to protect their forests. In this way, the government recognises the right of the forest owners to commercial forestry and compensates them for turning to conservation practices.</w:t>
      </w:r>
      <w:r w:rsidR="003D626C" w:rsidRPr="00633A71">
        <w:rPr>
          <w:rStyle w:val="FootnoteReference"/>
          <w:rFonts w:ascii="Times New Roman" w:hAnsi="Times New Roman"/>
        </w:rPr>
        <w:footnoteReference w:id="134"/>
      </w:r>
      <w:r w:rsidRPr="00633A71">
        <w:rPr>
          <w:rFonts w:ascii="Times New Roman" w:hAnsi="Times New Roman"/>
        </w:rPr>
        <w:t xml:space="preserve"> This PES scheme covers 11% of Costa Rica’s land </w:t>
      </w:r>
      <w:proofErr w:type="gramStart"/>
      <w:r w:rsidRPr="00633A71">
        <w:rPr>
          <w:rFonts w:ascii="Times New Roman" w:hAnsi="Times New Roman"/>
        </w:rPr>
        <w:t>area, and</w:t>
      </w:r>
      <w:proofErr w:type="gramEnd"/>
      <w:r w:rsidRPr="00633A71">
        <w:rPr>
          <w:rFonts w:ascii="Times New Roman" w:hAnsi="Times New Roman"/>
        </w:rPr>
        <w:t xml:space="preserve"> was enabled by the 1996 Forest Law which banned land conversion but not sustainable use. The PES program has become the most important revenue stream for several indigenous communities. An advantage of the Costa Rican example of PES is that property rights are defined in the process. Provisions of the Forest Law and other institutions are safeguards that allow them to use their forests sustainably. However, it took a prolonged period of trust-building before landowners overcame their suspicion that the PES p</w:t>
      </w:r>
      <w:r w:rsidRPr="00504B5E">
        <w:rPr>
          <w:rFonts w:ascii="Times New Roman" w:hAnsi="Times New Roman"/>
        </w:rPr>
        <w:t>rogram would be a cheap way for the government to take ownership of the land resources from them.</w:t>
      </w:r>
      <w:r w:rsidRPr="00633A71">
        <w:rPr>
          <w:rStyle w:val="FootnoteReference"/>
          <w:rFonts w:ascii="Times New Roman" w:hAnsi="Times New Roman"/>
        </w:rPr>
        <w:footnoteReference w:id="135"/>
      </w:r>
      <w:r w:rsidRPr="00633A71">
        <w:rPr>
          <w:rFonts w:ascii="Times New Roman" w:hAnsi="Times New Roman"/>
        </w:rPr>
        <w:t xml:space="preserve"> </w:t>
      </w:r>
    </w:p>
    <w:p w14:paraId="0BE26370" w14:textId="77777777" w:rsidR="00810C20" w:rsidRPr="00633A71" w:rsidRDefault="00810C20" w:rsidP="00810C20">
      <w:pPr>
        <w:spacing w:line="240" w:lineRule="auto"/>
        <w:jc w:val="both"/>
        <w:rPr>
          <w:rFonts w:ascii="Times New Roman" w:hAnsi="Times New Roman"/>
        </w:rPr>
      </w:pPr>
      <w:proofErr w:type="gramStart"/>
      <w:r w:rsidRPr="00633A71">
        <w:rPr>
          <w:rFonts w:ascii="Times New Roman" w:hAnsi="Times New Roman"/>
          <w:lang w:eastAsia="en-GB" w:bidi="ar-SA"/>
        </w:rPr>
        <w:t>Similarly</w:t>
      </w:r>
      <w:proofErr w:type="gramEnd"/>
      <w:r w:rsidRPr="00633A71">
        <w:rPr>
          <w:rFonts w:ascii="Times New Roman" w:hAnsi="Times New Roman"/>
          <w:lang w:eastAsia="en-GB" w:bidi="ar-SA"/>
        </w:rPr>
        <w:t xml:space="preserve"> to Costa Rica, Mexico has been among the first countries to introduce PES schemes. In terms of social safeguards, </w:t>
      </w:r>
      <w:r w:rsidRPr="00504B5E">
        <w:rPr>
          <w:rFonts w:ascii="Times New Roman" w:hAnsi="Times New Roman"/>
        </w:rPr>
        <w:t>Mexico has made certain progress in developing associated supportive legal and policy frameworks. For instance, Mexico’s</w:t>
      </w:r>
      <w:r w:rsidRPr="00504B5E">
        <w:rPr>
          <w:rFonts w:ascii="Times New Roman" w:hAnsi="Times New Roman"/>
          <w:lang w:eastAsia="en-GB" w:bidi="ar-SA"/>
        </w:rPr>
        <w:t xml:space="preserve"> Payments for Forest Environmental Services Program</w:t>
      </w:r>
      <w:r w:rsidRPr="00504B5E">
        <w:rPr>
          <w:rFonts w:ascii="Times New Roman" w:hAnsi="Times New Roman"/>
        </w:rPr>
        <w:t xml:space="preserve"> has gradually increased its focus on poverty reduction, and the National Forestry Commission (CONAFOR) has Technical</w:t>
      </w:r>
      <w:r w:rsidRPr="00A3063C">
        <w:rPr>
          <w:rFonts w:ascii="Times New Roman" w:hAnsi="Times New Roman"/>
          <w:lang w:eastAsia="en-GB" w:bidi="ar-SA"/>
        </w:rPr>
        <w:t xml:space="preserve"> Advisory Cou</w:t>
      </w:r>
      <w:r w:rsidRPr="0038043D">
        <w:rPr>
          <w:rFonts w:ascii="Times New Roman" w:hAnsi="Times New Roman"/>
          <w:lang w:eastAsia="en-GB" w:bidi="ar-SA"/>
        </w:rPr>
        <w:t>ncil that aims to facilitate continued involvement of civil society</w:t>
      </w:r>
      <w:r w:rsidRPr="00632DBC">
        <w:rPr>
          <w:rFonts w:ascii="Times New Roman" w:hAnsi="Times New Roman"/>
        </w:rPr>
        <w:t>.</w:t>
      </w:r>
      <w:r w:rsidRPr="00633A71">
        <w:rPr>
          <w:rStyle w:val="FootnoteReference"/>
          <w:rFonts w:ascii="Times New Roman" w:hAnsi="Times New Roman"/>
        </w:rPr>
        <w:footnoteReference w:id="136"/>
      </w:r>
      <w:r w:rsidRPr="00633A71">
        <w:rPr>
          <w:rFonts w:ascii="Times New Roman" w:hAnsi="Times New Roman"/>
        </w:rPr>
        <w:t xml:space="preserve"> </w:t>
      </w:r>
      <w:r w:rsidRPr="00633A71">
        <w:rPr>
          <w:rFonts w:ascii="Times New Roman" w:hAnsi="Times New Roman"/>
        </w:rPr>
        <w:lastRenderedPageBreak/>
        <w:t>Important challenges, however, remain, including reaching out to the poorest segments of society.</w:t>
      </w:r>
      <w:r w:rsidRPr="00633A71">
        <w:rPr>
          <w:rStyle w:val="FootnoteReference"/>
          <w:rFonts w:ascii="Times New Roman" w:hAnsi="Times New Roman"/>
        </w:rPr>
        <w:footnoteReference w:id="137"/>
      </w:r>
      <w:r w:rsidRPr="00633A71">
        <w:rPr>
          <w:rFonts w:ascii="Times New Roman" w:hAnsi="Times New Roman"/>
        </w:rPr>
        <w:t xml:space="preserve"> Not all communities support PES schemes. Some perceive it as back-door privatisation of resources such as water, and as an imposition of conditions on land-use which would be unsustainable and lead to displacement. An example of a community sceptical to PES is the </w:t>
      </w:r>
      <w:proofErr w:type="spellStart"/>
      <w:r w:rsidRPr="00633A71">
        <w:rPr>
          <w:rFonts w:ascii="Times New Roman" w:hAnsi="Times New Roman"/>
        </w:rPr>
        <w:t>Lachiguiri</w:t>
      </w:r>
      <w:proofErr w:type="spellEnd"/>
      <w:r w:rsidRPr="00633A71">
        <w:rPr>
          <w:rFonts w:ascii="Times New Roman" w:hAnsi="Times New Roman"/>
        </w:rPr>
        <w:t xml:space="preserve"> community in Oaxaca, Southern Mexico. This community has practiced sustainable agroforestry for centuries, planting corn and organic coffee within the forest. The community entered into forest conservation contracts with local government that they did not fully understand. They discovered too late that they could no longer use the land for agroforestry systems as they had done before. While the community received cash for the protection of ecosystem services, the unintended consequences of the project included alterations in their traditional resource manageme</w:t>
      </w:r>
      <w:r w:rsidRPr="00504B5E">
        <w:rPr>
          <w:rFonts w:ascii="Times New Roman" w:hAnsi="Times New Roman"/>
        </w:rPr>
        <w:t xml:space="preserve">nt. In </w:t>
      </w:r>
      <w:proofErr w:type="spellStart"/>
      <w:r w:rsidRPr="00504B5E">
        <w:rPr>
          <w:rFonts w:ascii="Times New Roman" w:hAnsi="Times New Roman"/>
        </w:rPr>
        <w:t>Lachiguiri</w:t>
      </w:r>
      <w:proofErr w:type="spellEnd"/>
      <w:r w:rsidRPr="00504B5E">
        <w:rPr>
          <w:rFonts w:ascii="Times New Roman" w:hAnsi="Times New Roman"/>
        </w:rPr>
        <w:t>, over 200 families now consider that they have lost their livelihood possibilities.</w:t>
      </w:r>
      <w:r w:rsidRPr="00633A71">
        <w:rPr>
          <w:rStyle w:val="FootnoteReference"/>
          <w:rFonts w:ascii="Times New Roman" w:hAnsi="Times New Roman"/>
        </w:rPr>
        <w:footnoteReference w:id="138"/>
      </w:r>
      <w:r w:rsidRPr="00633A71">
        <w:rPr>
          <w:rStyle w:val="FootnoteReference"/>
          <w:rFonts w:ascii="Times New Roman" w:hAnsi="Times New Roman"/>
        </w:rPr>
        <w:t xml:space="preserve"> </w:t>
      </w:r>
      <w:r w:rsidRPr="00633A71">
        <w:rPr>
          <w:rFonts w:ascii="Times New Roman" w:hAnsi="Times New Roman"/>
        </w:rPr>
        <w:t>Such strict conservation measures in PES, including restrictions to villagers using their ancestral agricultural land can lead to a loss in agrobiodiversity and ecological knowledge.</w:t>
      </w:r>
      <w:r w:rsidRPr="00633A71">
        <w:rPr>
          <w:rStyle w:val="FootnoteReference"/>
          <w:rFonts w:ascii="Times New Roman" w:hAnsi="Times New Roman"/>
        </w:rPr>
        <w:footnoteReference w:id="139"/>
      </w:r>
    </w:p>
    <w:p w14:paraId="070D8094"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 xml:space="preserve">These examples from Costa Rica and the </w:t>
      </w:r>
      <w:proofErr w:type="spellStart"/>
      <w:r w:rsidRPr="00633A71">
        <w:rPr>
          <w:rFonts w:ascii="Times New Roman" w:hAnsi="Times New Roman"/>
        </w:rPr>
        <w:t>Lachiguiri</w:t>
      </w:r>
      <w:proofErr w:type="spellEnd"/>
      <w:r w:rsidRPr="00633A71">
        <w:rPr>
          <w:rFonts w:ascii="Times New Roman" w:hAnsi="Times New Roman"/>
        </w:rPr>
        <w:t xml:space="preserve"> community illustrate the role of safeguards as part of broader institutional frameworks. The “direct” safeguards differed in that the contracts in Costa Rica allowed sustainab</w:t>
      </w:r>
      <w:r w:rsidRPr="00504B5E">
        <w:rPr>
          <w:rFonts w:ascii="Times New Roman" w:hAnsi="Times New Roman"/>
        </w:rPr>
        <w:t>le forestry. The “indirect” safeguards in Costa Rican Forest Law and other regulations focused its efforts not on regulating indigenous peoples but on changing perverse incentives and thereby tackling drivers of biodiversity loss.</w:t>
      </w:r>
      <w:r w:rsidRPr="00633A71">
        <w:rPr>
          <w:rStyle w:val="FootnoteReference"/>
          <w:rFonts w:ascii="Times New Roman" w:hAnsi="Times New Roman"/>
        </w:rPr>
        <w:footnoteReference w:id="140"/>
      </w:r>
      <w:r w:rsidRPr="00633A71">
        <w:rPr>
          <w:rFonts w:ascii="Times New Roman" w:hAnsi="Times New Roman"/>
        </w:rPr>
        <w:t xml:space="preserve"> </w:t>
      </w:r>
    </w:p>
    <w:p w14:paraId="6E2684B1" w14:textId="75EC564E" w:rsidR="008B016B" w:rsidRPr="00002536" w:rsidRDefault="008B016B" w:rsidP="00002536">
      <w:pPr>
        <w:keepNext/>
        <w:autoSpaceDE w:val="0"/>
        <w:autoSpaceDN w:val="0"/>
        <w:adjustRightInd w:val="0"/>
        <w:spacing w:after="0" w:line="240" w:lineRule="auto"/>
        <w:rPr>
          <w:rFonts w:ascii="Times New Roman" w:hAnsi="Times New Roman"/>
          <w:b/>
          <w:sz w:val="24"/>
          <w:szCs w:val="24"/>
        </w:rPr>
      </w:pPr>
      <w:bookmarkStart w:id="105" w:name="_Toc529190577"/>
      <w:r w:rsidRPr="00002536">
        <w:rPr>
          <w:rFonts w:ascii="Times New Roman" w:hAnsi="Times New Roman"/>
          <w:b/>
          <w:sz w:val="24"/>
          <w:szCs w:val="24"/>
        </w:rPr>
        <w:t xml:space="preserve">Case study </w:t>
      </w:r>
      <w:r w:rsidRPr="00002536">
        <w:rPr>
          <w:rFonts w:ascii="Times New Roman" w:hAnsi="Times New Roman"/>
          <w:b/>
          <w:sz w:val="24"/>
          <w:szCs w:val="24"/>
        </w:rPr>
        <w:fldChar w:fldCharType="begin"/>
      </w:r>
      <w:r w:rsidRPr="00002536">
        <w:rPr>
          <w:rFonts w:ascii="Times New Roman" w:hAnsi="Times New Roman"/>
          <w:b/>
          <w:sz w:val="24"/>
          <w:szCs w:val="24"/>
        </w:rPr>
        <w:instrText xml:space="preserve"> SEQ Case_study \* ROMAN </w:instrText>
      </w:r>
      <w:r w:rsidRPr="00002536">
        <w:rPr>
          <w:rFonts w:ascii="Times New Roman" w:hAnsi="Times New Roman"/>
          <w:b/>
          <w:sz w:val="24"/>
          <w:szCs w:val="24"/>
        </w:rPr>
        <w:fldChar w:fldCharType="separate"/>
      </w:r>
      <w:r w:rsidRPr="00002536">
        <w:rPr>
          <w:rFonts w:ascii="Times New Roman" w:hAnsi="Times New Roman"/>
          <w:b/>
          <w:noProof/>
          <w:sz w:val="24"/>
          <w:szCs w:val="24"/>
        </w:rPr>
        <w:t>I</w:t>
      </w:r>
      <w:r w:rsidRPr="00002536">
        <w:rPr>
          <w:rFonts w:ascii="Times New Roman" w:hAnsi="Times New Roman"/>
          <w:b/>
          <w:sz w:val="24"/>
          <w:szCs w:val="24"/>
        </w:rPr>
        <w:fldChar w:fldCharType="end"/>
      </w:r>
      <w:r w:rsidRPr="00002536">
        <w:rPr>
          <w:rFonts w:ascii="Times New Roman" w:hAnsi="Times New Roman"/>
          <w:b/>
          <w:sz w:val="24"/>
          <w:szCs w:val="24"/>
        </w:rPr>
        <w:t xml:space="preserve">. </w:t>
      </w:r>
      <w:r w:rsidRPr="0004651A">
        <w:rPr>
          <w:rFonts w:ascii="Times New Roman" w:eastAsiaTheme="minorEastAsia" w:hAnsi="Times New Roman"/>
          <w:b/>
          <w:bCs/>
          <w:color w:val="000000"/>
          <w:sz w:val="24"/>
          <w:szCs w:val="24"/>
          <w:lang w:eastAsia="sv-SE" w:bidi="ar-SA"/>
        </w:rPr>
        <w:t>Lessons learned from safeguard-related legal provisions in Ecuador</w:t>
      </w:r>
      <w:bookmarkEnd w:id="105"/>
    </w:p>
    <w:p w14:paraId="2C0A6CC8" w14:textId="2348EF64" w:rsidR="00810C20" w:rsidRPr="00504B5E" w:rsidRDefault="00810C20" w:rsidP="00810C20">
      <w:pPr>
        <w:spacing w:line="240" w:lineRule="auto"/>
        <w:jc w:val="both"/>
        <w:rPr>
          <w:rFonts w:ascii="Times New Roman" w:hAnsi="Times New Roman"/>
        </w:rPr>
      </w:pPr>
      <w:r w:rsidRPr="00504B5E">
        <w:rPr>
          <w:rFonts w:ascii="Times New Roman" w:hAnsi="Times New Roman"/>
        </w:rPr>
        <w:t xml:space="preserve">Another scheme that aims at providing incentives for the conversation and sustainable use, is the </w:t>
      </w:r>
      <w:r w:rsidRPr="00504B5E">
        <w:rPr>
          <w:rFonts w:ascii="Times New Roman" w:hAnsi="Times New Roman"/>
          <w:i/>
        </w:rPr>
        <w:t>Proyecto Socio Bosque</w:t>
      </w:r>
      <w:r w:rsidRPr="00504B5E">
        <w:rPr>
          <w:rFonts w:ascii="Times New Roman" w:hAnsi="Times New Roman"/>
        </w:rPr>
        <w:t xml:space="preserve"> (PSB), an initiative of the Ecuadorian Ministry of the Environment (MAE).</w:t>
      </w:r>
      <w:r w:rsidRPr="00633A71">
        <w:rPr>
          <w:rFonts w:ascii="Times New Roman" w:hAnsi="Times New Roman"/>
          <w:vertAlign w:val="superscript"/>
        </w:rPr>
        <w:footnoteReference w:id="141"/>
      </w:r>
      <w:r w:rsidRPr="00633A71">
        <w:rPr>
          <w:rFonts w:ascii="Times New Roman" w:hAnsi="Times New Roman"/>
        </w:rPr>
        <w:t xml:space="preserve"> Launched in 2008, it combines ecosystem services preservation and poverty alleviation through three main goals: protecting 3,600,000 hectares of native ecosystems – </w:t>
      </w:r>
      <w:r w:rsidRPr="00633A71">
        <w:rPr>
          <w:rFonts w:ascii="Times New Roman" w:hAnsi="Times New Roman"/>
          <w:i/>
          <w:iCs/>
        </w:rPr>
        <w:t xml:space="preserve">inter alia </w:t>
      </w:r>
      <w:r w:rsidRPr="00633A71">
        <w:rPr>
          <w:rFonts w:ascii="Times New Roman" w:hAnsi="Times New Roman"/>
        </w:rPr>
        <w:t>forests, paramos – and their values; reducing deforestation and greenhouse ga</w:t>
      </w:r>
      <w:r w:rsidRPr="00504B5E">
        <w:rPr>
          <w:rFonts w:ascii="Times New Roman" w:hAnsi="Times New Roman"/>
        </w:rPr>
        <w:t xml:space="preserve">s emissions; and improving the livelihood of local population. In the table below (Table 3) we select certain legal provisions relevant to substantive and procedural safeguards applicable to financing mechanisms and then explore lessons learned from the </w:t>
      </w:r>
      <w:r w:rsidRPr="00504B5E">
        <w:rPr>
          <w:rFonts w:ascii="Times New Roman" w:hAnsi="Times New Roman"/>
          <w:i/>
        </w:rPr>
        <w:t>Socio Bosque</w:t>
      </w:r>
      <w:r w:rsidRPr="00504B5E">
        <w:rPr>
          <w:rFonts w:ascii="Times New Roman" w:hAnsi="Times New Roman"/>
        </w:rPr>
        <w:t xml:space="preserve"> scheme. PSB is a financing mechanism that combines different BFM </w:t>
      </w:r>
      <w:proofErr w:type="gramStart"/>
      <w:r w:rsidRPr="00504B5E">
        <w:rPr>
          <w:rFonts w:ascii="Times New Roman" w:hAnsi="Times New Roman"/>
        </w:rPr>
        <w:t>in order to</w:t>
      </w:r>
      <w:proofErr w:type="gramEnd"/>
      <w:r w:rsidRPr="00504B5E">
        <w:rPr>
          <w:rFonts w:ascii="Times New Roman" w:hAnsi="Times New Roman"/>
        </w:rPr>
        <w:t xml:space="preserve"> scale up its “compensation for ecosystem services” scheme. For instance, to enhance the attractiveness of the program and its positive social impacts (poverty alleviation), it includes environmental fiscal incentives by exempting the areas under PSB of the local and</w:t>
      </w:r>
      <w:r w:rsidRPr="00A3063C">
        <w:rPr>
          <w:rFonts w:ascii="Times New Roman" w:hAnsi="Times New Roman"/>
        </w:rPr>
        <w:t xml:space="preserve"> national land-based taxes.</w:t>
      </w:r>
      <w:r w:rsidRPr="00633A71">
        <w:rPr>
          <w:rFonts w:ascii="Times New Roman" w:hAnsi="Times New Roman"/>
          <w:vertAlign w:val="superscript"/>
        </w:rPr>
        <w:footnoteReference w:id="142"/>
      </w:r>
      <w:r w:rsidRPr="00633A71">
        <w:rPr>
          <w:rFonts w:ascii="Times New Roman" w:hAnsi="Times New Roman"/>
        </w:rPr>
        <w:t xml:space="preserve"> Currently, the government is looking for alternative funding streams from certificates</w:t>
      </w:r>
      <w:r w:rsidRPr="00633A71">
        <w:rPr>
          <w:rFonts w:ascii="Times New Roman" w:hAnsi="Times New Roman"/>
          <w:vertAlign w:val="superscript"/>
        </w:rPr>
        <w:footnoteReference w:id="143"/>
      </w:r>
      <w:r w:rsidRPr="00633A71">
        <w:rPr>
          <w:rFonts w:ascii="Times New Roman" w:hAnsi="Times New Roman"/>
        </w:rPr>
        <w:t xml:space="preserve"> (agreements with companies that commit to support PSB), new green taxes</w:t>
      </w:r>
      <w:r w:rsidRPr="00633A71">
        <w:rPr>
          <w:rFonts w:ascii="Times New Roman" w:hAnsi="Times New Roman"/>
          <w:vertAlign w:val="superscript"/>
        </w:rPr>
        <w:footnoteReference w:id="144"/>
      </w:r>
      <w:r w:rsidRPr="00633A71">
        <w:rPr>
          <w:rFonts w:ascii="Times New Roman" w:hAnsi="Times New Roman"/>
        </w:rPr>
        <w:t xml:space="preserve"> (environmental fiscal reform), international cooperation with the German government and its Cooperation Bank KFW (ODA mechanism) and </w:t>
      </w:r>
      <w:r w:rsidRPr="00633A71">
        <w:rPr>
          <w:rFonts w:ascii="Times New Roman" w:hAnsi="Times New Roman"/>
        </w:rPr>
        <w:lastRenderedPageBreak/>
        <w:t>potentially a REDD+ carbon scheme (climate financing with biodiversity co-benefits). Such funding flows could contribute to PSB financial viability and provide an example of distinct BFMs can be linked in practice.</w:t>
      </w:r>
    </w:p>
    <w:p w14:paraId="26FC0548" w14:textId="623A82AE" w:rsidR="00810C20" w:rsidRPr="00632DBC" w:rsidRDefault="00810C20" w:rsidP="00810C20">
      <w:pPr>
        <w:spacing w:line="240" w:lineRule="auto"/>
        <w:jc w:val="both"/>
        <w:rPr>
          <w:rFonts w:ascii="Times New Roman" w:hAnsi="Times New Roman"/>
        </w:rPr>
      </w:pPr>
      <w:r w:rsidRPr="00504B5E">
        <w:rPr>
          <w:rFonts w:ascii="Times New Roman" w:hAnsi="Times New Roman"/>
        </w:rPr>
        <w:t xml:space="preserve">The private sector has been involved in certain PES schemes. For example, in France, Vittel (Nestlé Waters) faced a risk of nitrate contamination that would damage its mineral water bottling business. To address this risk, it developed a PES scheme to finance farmers and to allow them to change their agricultural practices </w:t>
      </w:r>
      <w:proofErr w:type="gramStart"/>
      <w:r w:rsidRPr="00504B5E">
        <w:rPr>
          <w:rFonts w:ascii="Times New Roman" w:hAnsi="Times New Roman"/>
        </w:rPr>
        <w:t>in order to</w:t>
      </w:r>
      <w:proofErr w:type="gramEnd"/>
      <w:r w:rsidRPr="00504B5E">
        <w:rPr>
          <w:rFonts w:ascii="Times New Roman" w:hAnsi="Times New Roman"/>
        </w:rPr>
        <w:t xml:space="preserve"> decrease the nitrates. According to Perrot-Maître (2006) the Vittel PES scheme shows that the positive outcomes of the Vittel PES depended on safegua</w:t>
      </w:r>
      <w:r w:rsidRPr="00A3063C">
        <w:rPr>
          <w:rFonts w:ascii="Times New Roman" w:hAnsi="Times New Roman"/>
        </w:rPr>
        <w:t>rd-related elements such as drafting the contracts through a collaborative process, communication, technical assistance and economic remuneration.</w:t>
      </w:r>
      <w:r w:rsidRPr="0038043D">
        <w:rPr>
          <w:rFonts w:ascii="Times New Roman" w:eastAsia="Times New Roman Bold" w:hAnsi="Times New Roman"/>
          <w:vertAlign w:val="superscript"/>
        </w:rPr>
        <w:footnoteReference w:id="145"/>
      </w:r>
      <w:r w:rsidRPr="00632DBC">
        <w:rPr>
          <w:rFonts w:ascii="Times New Roman" w:hAnsi="Times New Roman"/>
        </w:rPr>
        <w:t xml:space="preserve"> The authors also recognize that the significant investments on time, communication and economic resources required for this PES might not be affordable by all firms.</w:t>
      </w:r>
      <w:r w:rsidR="00266AA4">
        <w:rPr>
          <w:rFonts w:ascii="Times New Roman" w:hAnsi="Times New Roman"/>
        </w:rPr>
        <w:t xml:space="preserve"> </w:t>
      </w:r>
    </w:p>
    <w:p w14:paraId="585BD109" w14:textId="77777777" w:rsidR="00810C20" w:rsidRPr="00632DBC" w:rsidRDefault="00810C20" w:rsidP="00810C20">
      <w:pPr>
        <w:spacing w:after="0" w:line="240" w:lineRule="auto"/>
        <w:rPr>
          <w:rFonts w:ascii="Times New Roman" w:hAnsi="Times New Roman"/>
          <w:b/>
        </w:rPr>
      </w:pPr>
    </w:p>
    <w:p w14:paraId="220296B5" w14:textId="6D3A3DDC" w:rsidR="00DF4010" w:rsidRPr="00632DBC" w:rsidRDefault="00DF4010" w:rsidP="00DF2423">
      <w:pPr>
        <w:pStyle w:val="Caption"/>
      </w:pPr>
      <w:bookmarkStart w:id="106" w:name="_Toc398935607"/>
      <w:bookmarkStart w:id="107" w:name="_Toc398936072"/>
      <w:bookmarkStart w:id="108" w:name="_Toc529192212"/>
      <w:r w:rsidRPr="00632DBC">
        <w:t xml:space="preserve">Table </w:t>
      </w:r>
      <w:r w:rsidR="00A262C9" w:rsidRPr="00632DBC">
        <w:rPr>
          <w:noProof/>
        </w:rPr>
        <w:fldChar w:fldCharType="begin"/>
      </w:r>
      <w:r w:rsidR="00A262C9" w:rsidRPr="00632DBC">
        <w:rPr>
          <w:noProof/>
        </w:rPr>
        <w:instrText xml:space="preserve"> SEQ Table \* ARABIC </w:instrText>
      </w:r>
      <w:r w:rsidR="00A262C9" w:rsidRPr="00632DBC">
        <w:rPr>
          <w:noProof/>
        </w:rPr>
        <w:fldChar w:fldCharType="separate"/>
      </w:r>
      <w:r w:rsidR="00251833" w:rsidRPr="00632DBC">
        <w:rPr>
          <w:noProof/>
        </w:rPr>
        <w:t>3</w:t>
      </w:r>
      <w:r w:rsidR="00A262C9" w:rsidRPr="00632DBC">
        <w:rPr>
          <w:noProof/>
        </w:rPr>
        <w:fldChar w:fldCharType="end"/>
      </w:r>
      <w:r w:rsidRPr="00632DBC">
        <w:t xml:space="preserve">. Lessons learned from safeguard-related legal provisions in Ecuador and from their operationalization in </w:t>
      </w:r>
      <w:r w:rsidRPr="00632DBC">
        <w:rPr>
          <w:i/>
        </w:rPr>
        <w:t>Proyecto Socio Bosque</w:t>
      </w:r>
      <w:r w:rsidRPr="00632DBC">
        <w:rPr>
          <w:rStyle w:val="FootnoteReference"/>
        </w:rPr>
        <w:footnoteReference w:id="146"/>
      </w:r>
      <w:bookmarkEnd w:id="106"/>
      <w:bookmarkEnd w:id="107"/>
      <w:bookmarkEnd w:id="108"/>
    </w:p>
    <w:tbl>
      <w:tblPr>
        <w:tblW w:w="511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8"/>
        <w:gridCol w:w="1116"/>
        <w:gridCol w:w="3615"/>
        <w:gridCol w:w="3336"/>
      </w:tblGrid>
      <w:tr w:rsidR="00633A71" w:rsidRPr="00632DBC" w14:paraId="5B0E7948" w14:textId="77777777" w:rsidTr="00DF4010">
        <w:trPr>
          <w:trHeight w:val="478"/>
        </w:trPr>
        <w:tc>
          <w:tcPr>
            <w:tcW w:w="1245" w:type="pct"/>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6F3324" w14:textId="77777777" w:rsidR="00810C20" w:rsidRPr="00632DBC" w:rsidRDefault="00810C20" w:rsidP="00CF7E8B">
            <w:pPr>
              <w:pStyle w:val="Styledetableau5A"/>
              <w:suppressAutoHyphens/>
              <w:contextualSpacing/>
              <w:jc w:val="center"/>
              <w:rPr>
                <w:rFonts w:ascii="Arial" w:hAnsi="Arial" w:cs="Arial"/>
                <w:color w:val="auto"/>
                <w:sz w:val="14"/>
                <w:szCs w:val="14"/>
                <w:lang w:val="en-GB"/>
              </w:rPr>
            </w:pPr>
            <w:r w:rsidRPr="00632DBC">
              <w:rPr>
                <w:rFonts w:ascii="Arial" w:hAnsi="Arial" w:cs="Arial"/>
                <w:color w:val="auto"/>
                <w:sz w:val="14"/>
                <w:szCs w:val="14"/>
                <w:lang w:val="en-GB"/>
              </w:rPr>
              <w:t>Types of provisions</w:t>
            </w:r>
          </w:p>
          <w:p w14:paraId="2609C2FF" w14:textId="77777777" w:rsidR="00810C20" w:rsidRPr="00632DBC" w:rsidRDefault="00810C20" w:rsidP="00CF7E8B">
            <w:pPr>
              <w:pStyle w:val="Styledetableau5A"/>
              <w:suppressAutoHyphens/>
              <w:spacing w:after="200" w:line="276" w:lineRule="auto"/>
              <w:contextualSpacing/>
              <w:jc w:val="center"/>
              <w:rPr>
                <w:rFonts w:ascii="Arial" w:hAnsi="Arial" w:cs="Arial"/>
                <w:color w:val="auto"/>
                <w:sz w:val="14"/>
                <w:szCs w:val="14"/>
                <w:lang w:val="en-GB"/>
              </w:rPr>
            </w:pPr>
          </w:p>
        </w:tc>
        <w:tc>
          <w:tcPr>
            <w:tcW w:w="195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8A7F16" w14:textId="77777777" w:rsidR="00810C20" w:rsidRPr="00632DBC" w:rsidRDefault="00810C20" w:rsidP="00CF7E8B">
            <w:pPr>
              <w:pStyle w:val="Styledetableau5A"/>
              <w:suppressAutoHyphens/>
              <w:spacing w:after="200" w:line="276" w:lineRule="auto"/>
              <w:contextualSpacing/>
              <w:jc w:val="center"/>
              <w:outlineLvl w:val="7"/>
              <w:rPr>
                <w:rFonts w:ascii="Arial" w:hAnsi="Arial" w:cs="Arial"/>
                <w:color w:val="auto"/>
                <w:sz w:val="14"/>
                <w:szCs w:val="14"/>
                <w:lang w:val="en-GB"/>
              </w:rPr>
            </w:pPr>
            <w:r w:rsidRPr="00632DBC">
              <w:rPr>
                <w:rFonts w:ascii="Arial" w:hAnsi="Arial" w:cs="Arial"/>
                <w:color w:val="auto"/>
                <w:sz w:val="14"/>
                <w:szCs w:val="14"/>
                <w:lang w:val="en-GB"/>
              </w:rPr>
              <w:t>Selected safeguard-related legal provisions</w:t>
            </w:r>
            <w:r w:rsidRPr="00632DBC">
              <w:rPr>
                <w:rFonts w:ascii="Times New Roman" w:hAnsi="Times New Roman" w:cs="Times New Roman"/>
                <w:b w:val="0"/>
                <w:color w:val="auto"/>
                <w:sz w:val="14"/>
                <w:szCs w:val="14"/>
                <w:vertAlign w:val="superscript"/>
                <w:lang w:val="en-GB"/>
              </w:rPr>
              <w:footnoteReference w:id="147"/>
            </w:r>
          </w:p>
        </w:tc>
        <w:tc>
          <w:tcPr>
            <w:tcW w:w="1802"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3A4FA6" w14:textId="77777777" w:rsidR="00810C20" w:rsidRPr="00632DBC" w:rsidRDefault="00810C20" w:rsidP="00CF7E8B">
            <w:pPr>
              <w:pStyle w:val="Styledetableau5A"/>
              <w:suppressAutoHyphens/>
              <w:spacing w:after="200" w:line="276" w:lineRule="auto"/>
              <w:contextualSpacing/>
              <w:jc w:val="center"/>
              <w:outlineLvl w:val="7"/>
              <w:rPr>
                <w:rFonts w:ascii="Arial" w:hAnsi="Arial" w:cs="Arial"/>
                <w:color w:val="auto"/>
                <w:sz w:val="14"/>
                <w:szCs w:val="14"/>
                <w:lang w:val="en-GB"/>
              </w:rPr>
            </w:pPr>
            <w:r w:rsidRPr="00632DBC">
              <w:rPr>
                <w:rFonts w:ascii="Arial" w:hAnsi="Arial" w:cs="Arial"/>
                <w:color w:val="auto"/>
                <w:sz w:val="14"/>
                <w:szCs w:val="14"/>
                <w:lang w:val="en-GB"/>
              </w:rPr>
              <w:t xml:space="preserve">Lessons learned from the </w:t>
            </w:r>
            <w:r w:rsidRPr="00632DBC">
              <w:rPr>
                <w:rFonts w:ascii="Arial" w:hAnsi="Arial" w:cs="Arial"/>
                <w:i/>
                <w:color w:val="auto"/>
                <w:sz w:val="14"/>
                <w:szCs w:val="14"/>
                <w:lang w:val="en-GB"/>
              </w:rPr>
              <w:t>Socio Bosque</w:t>
            </w:r>
            <w:r w:rsidRPr="00632DBC">
              <w:rPr>
                <w:rFonts w:ascii="Arial" w:hAnsi="Arial" w:cs="Arial"/>
                <w:color w:val="auto"/>
                <w:sz w:val="14"/>
                <w:szCs w:val="14"/>
                <w:lang w:val="en-GB"/>
              </w:rPr>
              <w:t xml:space="preserve"> scheme </w:t>
            </w:r>
          </w:p>
        </w:tc>
      </w:tr>
      <w:tr w:rsidR="00633A71" w:rsidRPr="00632DBC" w14:paraId="431CBAAE" w14:textId="77777777" w:rsidTr="00DF4010">
        <w:trPr>
          <w:trHeight w:val="1515"/>
        </w:trPr>
        <w:tc>
          <w:tcPr>
            <w:tcW w:w="642" w:type="pct"/>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4FA129" w14:textId="77777777" w:rsidR="00810C20" w:rsidRPr="00632DBC" w:rsidRDefault="00810C20" w:rsidP="00CF7E8B">
            <w:pPr>
              <w:pStyle w:val="Styledetableau5A"/>
              <w:suppressAutoHyphens/>
              <w:spacing w:after="200" w:line="276" w:lineRule="auto"/>
              <w:contextualSpacing/>
              <w:jc w:val="center"/>
              <w:rPr>
                <w:rFonts w:ascii="Arial" w:hAnsi="Arial" w:cs="Arial"/>
                <w:color w:val="auto"/>
                <w:sz w:val="14"/>
                <w:szCs w:val="14"/>
                <w:lang w:val="en-GB" w:bidi="en-US"/>
              </w:rPr>
            </w:pPr>
            <w:r w:rsidRPr="00632DBC">
              <w:rPr>
                <w:rFonts w:ascii="Arial" w:hAnsi="Arial" w:cs="Arial"/>
                <w:color w:val="auto"/>
                <w:sz w:val="14"/>
                <w:szCs w:val="14"/>
                <w:lang w:val="en-GB"/>
              </w:rPr>
              <w:t>Biodiversity</w:t>
            </w:r>
          </w:p>
        </w:tc>
        <w:tc>
          <w:tcPr>
            <w:tcW w:w="60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E69236" w14:textId="77777777" w:rsidR="00810C20" w:rsidRPr="00632DBC" w:rsidRDefault="00810C20" w:rsidP="00CF7E8B">
            <w:pPr>
              <w:pStyle w:val="Styledetableau5A"/>
              <w:suppressAutoHyphens/>
              <w:spacing w:after="200" w:line="276" w:lineRule="auto"/>
              <w:contextualSpacing/>
              <w:jc w:val="center"/>
              <w:rPr>
                <w:rFonts w:ascii="Arial" w:hAnsi="Arial" w:cs="Arial"/>
                <w:color w:val="auto"/>
                <w:sz w:val="14"/>
                <w:szCs w:val="14"/>
                <w:lang w:val="en-GB"/>
              </w:rPr>
            </w:pPr>
            <w:r w:rsidRPr="00632DBC">
              <w:rPr>
                <w:rFonts w:ascii="Arial" w:hAnsi="Arial" w:cs="Arial"/>
                <w:color w:val="auto"/>
                <w:sz w:val="14"/>
                <w:szCs w:val="14"/>
                <w:lang w:val="en-GB"/>
              </w:rPr>
              <w:t>Substantive</w:t>
            </w:r>
          </w:p>
        </w:tc>
        <w:tc>
          <w:tcPr>
            <w:tcW w:w="1953"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2A84062C" w14:textId="77777777" w:rsidR="00810C20" w:rsidRPr="00632DBC" w:rsidRDefault="00810C20" w:rsidP="003966BA">
            <w:pPr>
              <w:pStyle w:val="Styledetableau2A"/>
              <w:numPr>
                <w:ilvl w:val="0"/>
                <w:numId w:val="8"/>
              </w:numPr>
              <w:tabs>
                <w:tab w:val="num" w:pos="144"/>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 xml:space="preserve">Rights recognized to “Mother Nature” (Art. 71.; 72. Ecuadorian Constitution) and duties attributed to the State (Art. 3-7.; 395-1 Ecuadorian Constitution). </w:t>
            </w:r>
          </w:p>
          <w:p w14:paraId="25ED96D5" w14:textId="77777777" w:rsidR="00810C20" w:rsidRPr="00632DBC" w:rsidRDefault="00810C20" w:rsidP="003966BA">
            <w:pPr>
              <w:pStyle w:val="Styledetableau2A"/>
              <w:numPr>
                <w:ilvl w:val="0"/>
                <w:numId w:val="8"/>
              </w:numPr>
              <w:tabs>
                <w:tab w:val="num" w:pos="144"/>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State policies to enhance biodiversity conservation and sustainable use (Art. 5.-b. Forest Law).</w:t>
            </w:r>
          </w:p>
          <w:p w14:paraId="26C042D8" w14:textId="77777777" w:rsidR="00810C20" w:rsidRPr="00632DBC" w:rsidRDefault="00810C20" w:rsidP="003966BA">
            <w:pPr>
              <w:pStyle w:val="Styledetableau2A"/>
              <w:numPr>
                <w:ilvl w:val="0"/>
                <w:numId w:val="28"/>
              </w:numPr>
              <w:tabs>
                <w:tab w:val="left" w:pos="160"/>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Measures to avoid, prevent, mitigate and repair environmental damage (Art. 72.; 396. Ecuadorian Constitution).</w:t>
            </w:r>
          </w:p>
        </w:tc>
        <w:tc>
          <w:tcPr>
            <w:tcW w:w="1802"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38D12DAA" w14:textId="77777777" w:rsidR="00810C20" w:rsidRPr="00633A71" w:rsidRDefault="00810C20" w:rsidP="00632DBC">
            <w:pPr>
              <w:pStyle w:val="Styledetableau2A"/>
              <w:numPr>
                <w:ilvl w:val="0"/>
                <w:numId w:val="10"/>
              </w:numPr>
              <w:tabs>
                <w:tab w:val="left" w:pos="196"/>
              </w:tabs>
              <w:suppressAutoHyphens/>
              <w:spacing w:after="120" w:line="276" w:lineRule="auto"/>
              <w:ind w:left="164" w:hanging="164"/>
              <w:outlineLvl w:val="7"/>
              <w:rPr>
                <w:rFonts w:ascii="Arial" w:hAnsi="Arial" w:cs="Arial"/>
                <w:i/>
                <w:iCs/>
                <w:smallCaps/>
                <w:color w:val="auto"/>
                <w:spacing w:val="5"/>
                <w:sz w:val="14"/>
                <w:szCs w:val="14"/>
                <w:lang w:val="en-GB" w:bidi="en-US"/>
              </w:rPr>
            </w:pPr>
            <w:r w:rsidRPr="00632DBC">
              <w:rPr>
                <w:rFonts w:ascii="Arial" w:hAnsi="Arial" w:cs="Arial"/>
                <w:color w:val="auto"/>
                <w:sz w:val="14"/>
                <w:szCs w:val="14"/>
                <w:lang w:val="en-GB"/>
              </w:rPr>
              <w:t>Land tenure issues</w:t>
            </w:r>
            <w:r w:rsidRPr="00633A71">
              <w:rPr>
                <w:rStyle w:val="FootnoteReference"/>
                <w:rFonts w:ascii="Times New Roman" w:hAnsi="Times New Roman"/>
                <w:color w:val="auto"/>
                <w:sz w:val="14"/>
                <w:szCs w:val="14"/>
                <w:lang w:val="en-GB"/>
              </w:rPr>
              <w:footnoteReference w:id="148"/>
            </w:r>
            <w:r w:rsidRPr="00632DBC">
              <w:rPr>
                <w:rFonts w:ascii="Times New Roman" w:hAnsi="Times New Roman" w:cs="Times New Roman"/>
                <w:color w:val="auto"/>
                <w:sz w:val="14"/>
                <w:szCs w:val="14"/>
                <w:lang w:val="en-GB"/>
              </w:rPr>
              <w:t xml:space="preserve"> </w:t>
            </w:r>
            <w:r w:rsidRPr="00633A71">
              <w:rPr>
                <w:rFonts w:ascii="Arial" w:hAnsi="Arial" w:cs="Arial"/>
                <w:color w:val="auto"/>
                <w:sz w:val="14"/>
                <w:szCs w:val="14"/>
                <w:lang w:val="en-GB"/>
              </w:rPr>
              <w:t>may limit participation and create disruptions within Socio Bosque</w:t>
            </w:r>
            <w:r w:rsidRPr="00633A71">
              <w:rPr>
                <w:rStyle w:val="FootnoteReference"/>
                <w:rFonts w:ascii="Times New Roman" w:hAnsi="Times New Roman"/>
                <w:color w:val="auto"/>
                <w:sz w:val="14"/>
                <w:szCs w:val="14"/>
                <w:lang w:val="en-GB"/>
              </w:rPr>
              <w:footnoteReference w:id="149"/>
            </w:r>
            <w:r w:rsidRPr="00633A71">
              <w:rPr>
                <w:rFonts w:ascii="Times New Roman" w:hAnsi="Times New Roman" w:cs="Times New Roman"/>
                <w:color w:val="auto"/>
                <w:sz w:val="14"/>
                <w:szCs w:val="14"/>
                <w:vertAlign w:val="superscript"/>
                <w:lang w:val="en-GB"/>
              </w:rPr>
              <w:t xml:space="preserve">, </w:t>
            </w:r>
            <w:r w:rsidRPr="00633A71">
              <w:rPr>
                <w:rStyle w:val="FootnoteReference"/>
                <w:rFonts w:ascii="Times New Roman" w:hAnsi="Times New Roman"/>
                <w:color w:val="auto"/>
                <w:sz w:val="14"/>
                <w:szCs w:val="14"/>
                <w:lang w:val="en-GB"/>
              </w:rPr>
              <w:footnoteReference w:id="150"/>
            </w:r>
            <w:r w:rsidRPr="00633A71">
              <w:rPr>
                <w:rFonts w:ascii="Times New Roman" w:hAnsi="Times New Roman" w:cs="Times New Roman"/>
                <w:color w:val="auto"/>
                <w:sz w:val="14"/>
                <w:szCs w:val="14"/>
                <w:vertAlign w:val="superscript"/>
                <w:lang w:val="en-GB"/>
              </w:rPr>
              <w:t xml:space="preserve">  </w:t>
            </w:r>
            <w:r w:rsidRPr="00633A71">
              <w:rPr>
                <w:rFonts w:ascii="Arial" w:hAnsi="Arial" w:cs="Arial"/>
                <w:color w:val="auto"/>
                <w:sz w:val="14"/>
                <w:szCs w:val="14"/>
                <w:lang w:val="en-GB"/>
              </w:rPr>
              <w:t xml:space="preserve">that makes government’s efforts to address land-related issues very relevant. </w:t>
            </w:r>
          </w:p>
          <w:p w14:paraId="4BD19A64" w14:textId="77777777" w:rsidR="00810C20" w:rsidRPr="00504B5E" w:rsidRDefault="00810C20" w:rsidP="00632DBC">
            <w:pPr>
              <w:pStyle w:val="Styledetableau2A"/>
              <w:numPr>
                <w:ilvl w:val="0"/>
                <w:numId w:val="11"/>
              </w:numPr>
              <w:tabs>
                <w:tab w:val="left" w:pos="196"/>
              </w:tabs>
              <w:suppressAutoHyphens/>
              <w:spacing w:after="120" w:line="276" w:lineRule="auto"/>
              <w:ind w:left="164" w:hanging="164"/>
              <w:rPr>
                <w:rFonts w:ascii="Arial" w:hAnsi="Arial" w:cs="Arial"/>
                <w:i/>
                <w:iCs/>
                <w:smallCaps/>
                <w:color w:val="auto"/>
                <w:spacing w:val="5"/>
                <w:sz w:val="14"/>
                <w:szCs w:val="14"/>
                <w:lang w:val="en-GB" w:bidi="en-US"/>
              </w:rPr>
            </w:pPr>
            <w:r w:rsidRPr="00633A71">
              <w:rPr>
                <w:rFonts w:ascii="Arial" w:hAnsi="Arial" w:cs="Arial"/>
                <w:color w:val="auto"/>
                <w:sz w:val="14"/>
                <w:szCs w:val="14"/>
                <w:lang w:val="en-GB"/>
              </w:rPr>
              <w:t xml:space="preserve">Need of safeguards that protect areas under the </w:t>
            </w:r>
            <w:r w:rsidRPr="00504B5E">
              <w:rPr>
                <w:rFonts w:ascii="Arial" w:hAnsi="Arial" w:cs="Arial"/>
                <w:i/>
                <w:color w:val="auto"/>
                <w:sz w:val="14"/>
                <w:szCs w:val="14"/>
                <w:lang w:val="en-GB"/>
              </w:rPr>
              <w:t>Proyecto Socio Bosque</w:t>
            </w:r>
            <w:r w:rsidRPr="00504B5E">
              <w:rPr>
                <w:rFonts w:ascii="Arial" w:hAnsi="Arial" w:cs="Arial"/>
                <w:color w:val="auto"/>
                <w:sz w:val="14"/>
                <w:szCs w:val="14"/>
                <w:lang w:val="en-GB"/>
              </w:rPr>
              <w:t xml:space="preserve"> (PSB) from exploitation projects.</w:t>
            </w:r>
          </w:p>
        </w:tc>
      </w:tr>
      <w:tr w:rsidR="00633A71" w:rsidRPr="00632DBC" w14:paraId="73372FA3" w14:textId="77777777" w:rsidTr="00DF4010">
        <w:trPr>
          <w:trHeight w:val="2102"/>
        </w:trPr>
        <w:tc>
          <w:tcPr>
            <w:tcW w:w="642" w:type="pct"/>
            <w:vMerge/>
            <w:tcBorders>
              <w:top w:val="single" w:sz="6" w:space="0" w:color="000000"/>
              <w:left w:val="single" w:sz="6" w:space="0" w:color="000000"/>
              <w:bottom w:val="single" w:sz="6" w:space="0" w:color="000000"/>
              <w:right w:val="single" w:sz="6" w:space="0" w:color="000000"/>
            </w:tcBorders>
            <w:shd w:val="clear" w:color="auto" w:fill="auto"/>
          </w:tcPr>
          <w:p w14:paraId="40328292" w14:textId="77777777" w:rsidR="00810C20" w:rsidRPr="00632DBC" w:rsidRDefault="00810C20" w:rsidP="00CF7E8B">
            <w:pPr>
              <w:spacing w:after="0" w:line="240" w:lineRule="auto"/>
              <w:contextualSpacing/>
              <w:jc w:val="center"/>
              <w:rPr>
                <w:rFonts w:ascii="Arial" w:hAnsi="Arial" w:cs="Arial"/>
                <w:sz w:val="14"/>
                <w:szCs w:val="14"/>
              </w:rPr>
            </w:pPr>
          </w:p>
        </w:tc>
        <w:tc>
          <w:tcPr>
            <w:tcW w:w="60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C80150" w14:textId="77777777" w:rsidR="00810C20" w:rsidRPr="00632DBC" w:rsidRDefault="00810C20" w:rsidP="00CF7E8B">
            <w:pPr>
              <w:pStyle w:val="Styledetableau5A"/>
              <w:suppressAutoHyphens/>
              <w:spacing w:after="200" w:line="276" w:lineRule="auto"/>
              <w:contextualSpacing/>
              <w:jc w:val="center"/>
              <w:rPr>
                <w:rFonts w:ascii="Arial" w:hAnsi="Arial" w:cs="Arial"/>
                <w:color w:val="auto"/>
                <w:sz w:val="14"/>
                <w:szCs w:val="14"/>
                <w:lang w:val="en-GB"/>
              </w:rPr>
            </w:pPr>
            <w:r w:rsidRPr="00632DBC">
              <w:rPr>
                <w:rFonts w:ascii="Arial" w:hAnsi="Arial" w:cs="Arial"/>
                <w:color w:val="auto"/>
                <w:sz w:val="14"/>
                <w:szCs w:val="14"/>
                <w:lang w:val="en-GB"/>
              </w:rPr>
              <w:t>Procedural</w:t>
            </w:r>
          </w:p>
        </w:tc>
        <w:tc>
          <w:tcPr>
            <w:tcW w:w="1953"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4FE757F1" w14:textId="77777777" w:rsidR="00810C20" w:rsidRPr="00632DBC" w:rsidRDefault="00810C20" w:rsidP="003966BA">
            <w:pPr>
              <w:pStyle w:val="Styledetableau2A"/>
              <w:numPr>
                <w:ilvl w:val="0"/>
                <w:numId w:val="29"/>
              </w:numPr>
              <w:tabs>
                <w:tab w:val="left" w:pos="160"/>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Exclusive jurisdiction of the State over natural resources (Art 261-7.; 261-8. Constitution of Ecuador) support effective sustainable use processes.</w:t>
            </w:r>
          </w:p>
          <w:p w14:paraId="79259862" w14:textId="5F9AE9E7" w:rsidR="00810C20" w:rsidRPr="00632DBC" w:rsidRDefault="00810C20" w:rsidP="003966BA">
            <w:pPr>
              <w:pStyle w:val="Styledetableau2A"/>
              <w:numPr>
                <w:ilvl w:val="0"/>
                <w:numId w:val="29"/>
              </w:numPr>
              <w:tabs>
                <w:tab w:val="left" w:pos="160"/>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Incentives including economic incentives (Art. 3</w:t>
            </w:r>
            <w:r w:rsidR="005B5E96" w:rsidRPr="00632DBC">
              <w:rPr>
                <w:rFonts w:ascii="Arial" w:hAnsi="Arial" w:cs="Arial"/>
                <w:color w:val="auto"/>
                <w:sz w:val="14"/>
                <w:szCs w:val="14"/>
                <w:lang w:val="en-GB"/>
              </w:rPr>
              <w:t>4. Environmental Management Law</w:t>
            </w:r>
            <w:r w:rsidRPr="00632DBC">
              <w:rPr>
                <w:rFonts w:ascii="Arial" w:hAnsi="Arial" w:cs="Arial"/>
                <w:color w:val="auto"/>
                <w:sz w:val="14"/>
                <w:szCs w:val="14"/>
                <w:lang w:val="en-GB"/>
              </w:rPr>
              <w:t xml:space="preserve">), appropriate measures and sanctions if environmental damages </w:t>
            </w:r>
            <w:proofErr w:type="gramStart"/>
            <w:r w:rsidRPr="00632DBC">
              <w:rPr>
                <w:rFonts w:ascii="Arial" w:hAnsi="Arial" w:cs="Arial"/>
                <w:color w:val="auto"/>
                <w:sz w:val="14"/>
                <w:szCs w:val="14"/>
                <w:lang w:val="en-GB"/>
              </w:rPr>
              <w:t>in order to</w:t>
            </w:r>
            <w:proofErr w:type="gramEnd"/>
            <w:r w:rsidRPr="00632DBC">
              <w:rPr>
                <w:rFonts w:ascii="Arial" w:hAnsi="Arial" w:cs="Arial"/>
                <w:color w:val="auto"/>
                <w:sz w:val="14"/>
                <w:szCs w:val="14"/>
                <w:lang w:val="en-GB"/>
              </w:rPr>
              <w:t xml:space="preserve"> protect biodiversity (Art. 65.; 437.-H.; 580. Penal Code). </w:t>
            </w:r>
          </w:p>
          <w:p w14:paraId="3253CDA8" w14:textId="77777777" w:rsidR="00810C20" w:rsidRPr="00632DBC" w:rsidRDefault="00810C20" w:rsidP="003966BA">
            <w:pPr>
              <w:pStyle w:val="Styledetableau2A"/>
              <w:numPr>
                <w:ilvl w:val="0"/>
                <w:numId w:val="29"/>
              </w:numPr>
              <w:tabs>
                <w:tab w:val="left" w:pos="160"/>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Processes to reach environmental goals (Ministerial Agreement N°169, 2008; Unified Manual of Socio Bosque, 2012).</w:t>
            </w:r>
          </w:p>
        </w:tc>
        <w:tc>
          <w:tcPr>
            <w:tcW w:w="1802"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540568CB" w14:textId="77777777" w:rsidR="00810C20" w:rsidRPr="00632DBC" w:rsidRDefault="00810C20" w:rsidP="00632DBC">
            <w:pPr>
              <w:pStyle w:val="Styledetableau2A"/>
              <w:numPr>
                <w:ilvl w:val="0"/>
                <w:numId w:val="14"/>
              </w:numPr>
              <w:tabs>
                <w:tab w:val="left" w:pos="196"/>
              </w:tabs>
              <w:suppressAutoHyphens/>
              <w:spacing w:after="120" w:line="276" w:lineRule="auto"/>
              <w:ind w:left="164" w:hanging="164"/>
              <w:outlineLvl w:val="7"/>
              <w:rPr>
                <w:rFonts w:ascii="Arial" w:hAnsi="Arial" w:cs="Arial"/>
                <w:i/>
                <w:iCs/>
                <w:smallCaps/>
                <w:color w:val="auto"/>
                <w:spacing w:val="5"/>
                <w:sz w:val="14"/>
                <w:szCs w:val="14"/>
                <w:lang w:val="en-GB" w:bidi="en-US"/>
              </w:rPr>
            </w:pPr>
            <w:r w:rsidRPr="00632DBC">
              <w:rPr>
                <w:rFonts w:ascii="Arial" w:hAnsi="Arial" w:cs="Arial"/>
                <w:color w:val="auto"/>
                <w:sz w:val="14"/>
                <w:szCs w:val="14"/>
                <w:lang w:val="en-GB"/>
              </w:rPr>
              <w:t>Need for grievance mechanisms prompting the State to follow its duties accordingly.</w:t>
            </w:r>
          </w:p>
          <w:p w14:paraId="6E920783" w14:textId="77777777" w:rsidR="00810C20" w:rsidRPr="00632DBC" w:rsidRDefault="00810C20" w:rsidP="00632DBC">
            <w:pPr>
              <w:pStyle w:val="Styledetableau2A"/>
              <w:numPr>
                <w:ilvl w:val="0"/>
                <w:numId w:val="15"/>
              </w:numPr>
              <w:tabs>
                <w:tab w:val="left" w:pos="196"/>
              </w:tabs>
              <w:suppressAutoHyphens/>
              <w:spacing w:after="120" w:line="276" w:lineRule="auto"/>
              <w:ind w:left="162" w:hanging="162"/>
              <w:outlineLvl w:val="7"/>
              <w:rPr>
                <w:rFonts w:ascii="Arial" w:hAnsi="Arial" w:cs="Arial"/>
                <w:i/>
                <w:iCs/>
                <w:smallCaps/>
                <w:color w:val="auto"/>
                <w:spacing w:val="5"/>
                <w:sz w:val="14"/>
                <w:szCs w:val="14"/>
                <w:lang w:val="en-GB" w:bidi="en-US"/>
              </w:rPr>
            </w:pPr>
            <w:r w:rsidRPr="00632DBC">
              <w:rPr>
                <w:rFonts w:ascii="Arial" w:hAnsi="Arial" w:cs="Arial"/>
                <w:color w:val="auto"/>
                <w:sz w:val="14"/>
                <w:szCs w:val="14"/>
                <w:lang w:val="en-GB"/>
              </w:rPr>
              <w:t xml:space="preserve">Financial sustainability of PSB is key </w:t>
            </w:r>
            <w:proofErr w:type="gramStart"/>
            <w:r w:rsidRPr="00632DBC">
              <w:rPr>
                <w:rFonts w:ascii="Arial" w:hAnsi="Arial" w:cs="Arial"/>
                <w:color w:val="auto"/>
                <w:sz w:val="14"/>
                <w:szCs w:val="14"/>
                <w:lang w:val="en-GB"/>
              </w:rPr>
              <w:t>in order to</w:t>
            </w:r>
            <w:proofErr w:type="gramEnd"/>
            <w:r w:rsidRPr="00632DBC">
              <w:rPr>
                <w:rFonts w:ascii="Arial" w:hAnsi="Arial" w:cs="Arial"/>
                <w:color w:val="auto"/>
                <w:sz w:val="14"/>
                <w:szCs w:val="14"/>
                <w:lang w:val="en-GB"/>
              </w:rPr>
              <w:t xml:space="preserve"> make the scheme sustainable and reach the environmental goals.</w:t>
            </w:r>
            <w:r w:rsidRPr="00632DBC">
              <w:rPr>
                <w:rFonts w:ascii="Arial" w:hAnsi="Arial" w:cs="Arial"/>
                <w:color w:val="auto"/>
                <w:sz w:val="14"/>
                <w:szCs w:val="14"/>
                <w:vertAlign w:val="superscript"/>
                <w:lang w:val="en-GB"/>
              </w:rPr>
              <w:t xml:space="preserve"> </w:t>
            </w:r>
          </w:p>
        </w:tc>
      </w:tr>
      <w:tr w:rsidR="00633A71" w:rsidRPr="00632DBC" w14:paraId="5E2DF837" w14:textId="77777777" w:rsidTr="00DF4010">
        <w:trPr>
          <w:trHeight w:val="1711"/>
        </w:trPr>
        <w:tc>
          <w:tcPr>
            <w:tcW w:w="642" w:type="pct"/>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72B7495" w14:textId="77777777" w:rsidR="00810C20" w:rsidRPr="00632DBC" w:rsidRDefault="00810C20" w:rsidP="00CF7E8B">
            <w:pPr>
              <w:pStyle w:val="Styledetableau5A"/>
              <w:suppressAutoHyphens/>
              <w:spacing w:after="200" w:line="276" w:lineRule="auto"/>
              <w:contextualSpacing/>
              <w:jc w:val="center"/>
              <w:rPr>
                <w:rFonts w:ascii="Arial" w:hAnsi="Arial" w:cs="Arial"/>
                <w:color w:val="auto"/>
                <w:sz w:val="14"/>
                <w:szCs w:val="14"/>
                <w:lang w:val="en-GB"/>
              </w:rPr>
            </w:pPr>
            <w:r w:rsidRPr="00632DBC">
              <w:rPr>
                <w:rFonts w:ascii="Arial" w:hAnsi="Arial" w:cs="Arial"/>
                <w:color w:val="auto"/>
                <w:sz w:val="14"/>
                <w:szCs w:val="14"/>
                <w:lang w:val="en-GB"/>
              </w:rPr>
              <w:lastRenderedPageBreak/>
              <w:t>Social</w:t>
            </w:r>
          </w:p>
        </w:tc>
        <w:tc>
          <w:tcPr>
            <w:tcW w:w="60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9242F0D" w14:textId="77777777" w:rsidR="00810C20" w:rsidRPr="00632DBC" w:rsidRDefault="00810C20" w:rsidP="00CF7E8B">
            <w:pPr>
              <w:pStyle w:val="Styledetableau5A"/>
              <w:suppressAutoHyphens/>
              <w:spacing w:after="200" w:line="276" w:lineRule="auto"/>
              <w:contextualSpacing/>
              <w:jc w:val="center"/>
              <w:rPr>
                <w:rFonts w:ascii="Arial" w:hAnsi="Arial" w:cs="Arial"/>
                <w:color w:val="auto"/>
                <w:sz w:val="14"/>
                <w:szCs w:val="14"/>
                <w:lang w:val="en-GB"/>
              </w:rPr>
            </w:pPr>
            <w:r w:rsidRPr="00632DBC">
              <w:rPr>
                <w:rFonts w:ascii="Arial" w:hAnsi="Arial" w:cs="Arial"/>
                <w:color w:val="auto"/>
                <w:sz w:val="14"/>
                <w:szCs w:val="14"/>
                <w:lang w:val="en-GB"/>
              </w:rPr>
              <w:t>Substantive</w:t>
            </w:r>
          </w:p>
        </w:tc>
        <w:tc>
          <w:tcPr>
            <w:tcW w:w="1953"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0C2DE509" w14:textId="4CB3C2FB" w:rsidR="00810C20" w:rsidRPr="00632DBC" w:rsidRDefault="00810C20" w:rsidP="003966BA">
            <w:pPr>
              <w:pStyle w:val="Styledetableau2A"/>
              <w:numPr>
                <w:ilvl w:val="0"/>
                <w:numId w:val="16"/>
              </w:numPr>
              <w:tabs>
                <w:tab w:val="num" w:pos="144"/>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Rights of citizens and indigenous peoples to benefit from natural resources that ensure them a good living (Art. 74. Constitution of Ecuador) and to participate in environmental management (Art. 28.</w:t>
            </w:r>
            <w:r w:rsidR="00A06283">
              <w:rPr>
                <w:rFonts w:ascii="Arial" w:hAnsi="Arial" w:cs="Arial"/>
                <w:color w:val="auto"/>
                <w:sz w:val="14"/>
                <w:szCs w:val="14"/>
                <w:lang w:val="en-GB"/>
              </w:rPr>
              <w:t xml:space="preserve"> </w:t>
            </w:r>
            <w:r w:rsidRPr="00632DBC">
              <w:rPr>
                <w:rFonts w:ascii="Arial" w:hAnsi="Arial" w:cs="Arial"/>
                <w:color w:val="auto"/>
                <w:sz w:val="14"/>
                <w:szCs w:val="14"/>
                <w:lang w:val="en-GB"/>
              </w:rPr>
              <w:t>Environmental Management Law).</w:t>
            </w:r>
          </w:p>
          <w:p w14:paraId="57B83F8B" w14:textId="77777777" w:rsidR="00810C20" w:rsidRPr="00632DBC" w:rsidRDefault="00810C20" w:rsidP="00632DBC">
            <w:pPr>
              <w:pStyle w:val="Styledetableau2A"/>
              <w:numPr>
                <w:ilvl w:val="0"/>
                <w:numId w:val="17"/>
              </w:numPr>
              <w:tabs>
                <w:tab w:val="left" w:pos="196"/>
              </w:tabs>
              <w:suppressAutoHyphens/>
              <w:spacing w:after="120" w:line="276" w:lineRule="auto"/>
              <w:ind w:left="162" w:hanging="162"/>
              <w:outlineLvl w:val="7"/>
              <w:rPr>
                <w:rFonts w:ascii="Arial" w:hAnsi="Arial" w:cs="Arial"/>
                <w:i/>
                <w:iCs/>
                <w:smallCaps/>
                <w:color w:val="auto"/>
                <w:spacing w:val="5"/>
                <w:sz w:val="14"/>
                <w:szCs w:val="14"/>
                <w:lang w:val="en-GB" w:bidi="en-US"/>
              </w:rPr>
            </w:pPr>
            <w:r w:rsidRPr="00632DBC">
              <w:rPr>
                <w:rFonts w:ascii="Arial" w:hAnsi="Arial" w:cs="Arial"/>
                <w:color w:val="auto"/>
                <w:sz w:val="14"/>
                <w:szCs w:val="14"/>
                <w:lang w:val="en-GB"/>
              </w:rPr>
              <w:t xml:space="preserve">Incentives </w:t>
            </w:r>
            <w:proofErr w:type="gramStart"/>
            <w:r w:rsidRPr="00632DBC">
              <w:rPr>
                <w:rFonts w:ascii="Arial" w:hAnsi="Arial" w:cs="Arial"/>
                <w:color w:val="auto"/>
                <w:sz w:val="14"/>
                <w:szCs w:val="14"/>
                <w:lang w:val="en-GB"/>
              </w:rPr>
              <w:t>in order to</w:t>
            </w:r>
            <w:proofErr w:type="gramEnd"/>
            <w:r w:rsidRPr="00632DBC">
              <w:rPr>
                <w:rFonts w:ascii="Arial" w:hAnsi="Arial" w:cs="Arial"/>
                <w:color w:val="auto"/>
                <w:sz w:val="14"/>
                <w:szCs w:val="14"/>
                <w:lang w:val="en-GB"/>
              </w:rPr>
              <w:t xml:space="preserve"> alleviate poverty and implement biodiversity conservation processes (Art. 71. Constitution of Ecuador; Ministerial Agreement N°169, 2008; Unified Manual of Socio Bosque, 2012).</w:t>
            </w:r>
          </w:p>
        </w:tc>
        <w:tc>
          <w:tcPr>
            <w:tcW w:w="1802"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526A96F4" w14:textId="64FF0C75" w:rsidR="00810C20" w:rsidRPr="00633A71" w:rsidRDefault="00810C20" w:rsidP="00632DBC">
            <w:pPr>
              <w:pStyle w:val="Styledetableau2A"/>
              <w:numPr>
                <w:ilvl w:val="0"/>
                <w:numId w:val="18"/>
              </w:numPr>
              <w:tabs>
                <w:tab w:val="left" w:pos="196"/>
              </w:tabs>
              <w:suppressAutoHyphens/>
              <w:spacing w:after="120" w:line="276" w:lineRule="auto"/>
              <w:ind w:left="162" w:hanging="162"/>
              <w:rPr>
                <w:rFonts w:ascii="Arial" w:hAnsi="Arial" w:cs="Arial"/>
                <w:i/>
                <w:iCs/>
                <w:smallCaps/>
                <w:color w:val="auto"/>
                <w:spacing w:val="5"/>
                <w:sz w:val="14"/>
                <w:szCs w:val="14"/>
                <w:lang w:val="en-GB" w:bidi="en-US"/>
              </w:rPr>
            </w:pPr>
            <w:r w:rsidRPr="00632DBC">
              <w:rPr>
                <w:rFonts w:ascii="Arial" w:hAnsi="Arial" w:cs="Arial"/>
                <w:color w:val="auto"/>
                <w:sz w:val="14"/>
                <w:szCs w:val="14"/>
                <w:lang w:val="en-GB"/>
              </w:rPr>
              <w:t>The program could gain from specifying rights of indigenous peoples</w:t>
            </w:r>
            <w:r w:rsidR="00281C03" w:rsidRPr="00632DBC">
              <w:rPr>
                <w:rFonts w:ascii="Arial" w:hAnsi="Arial" w:cs="Arial"/>
                <w:color w:val="auto"/>
                <w:sz w:val="14"/>
                <w:szCs w:val="14"/>
                <w:lang w:val="en-GB"/>
              </w:rPr>
              <w:t>, local communities</w:t>
            </w:r>
            <w:r w:rsidRPr="00632DBC">
              <w:rPr>
                <w:rFonts w:ascii="Arial" w:hAnsi="Arial" w:cs="Arial"/>
                <w:color w:val="auto"/>
                <w:sz w:val="14"/>
                <w:szCs w:val="14"/>
                <w:lang w:val="en-GB"/>
              </w:rPr>
              <w:t xml:space="preserve"> and landowners</w:t>
            </w:r>
            <w:r w:rsidRPr="00633A71">
              <w:rPr>
                <w:rStyle w:val="FootnoteReference"/>
                <w:rFonts w:ascii="Times New Roman" w:hAnsi="Times New Roman"/>
                <w:color w:val="auto"/>
                <w:sz w:val="14"/>
                <w:szCs w:val="14"/>
                <w:lang w:val="en-GB"/>
              </w:rPr>
              <w:footnoteReference w:id="151"/>
            </w:r>
            <w:r w:rsidRPr="00633A71">
              <w:rPr>
                <w:rFonts w:ascii="Arial" w:hAnsi="Arial" w:cs="Arial"/>
                <w:color w:val="auto"/>
                <w:sz w:val="14"/>
                <w:szCs w:val="14"/>
                <w:lang w:val="en-GB"/>
              </w:rPr>
              <w:t xml:space="preserve"> over natural resources in PSB contracts.</w:t>
            </w:r>
          </w:p>
        </w:tc>
      </w:tr>
      <w:tr w:rsidR="00633A71" w:rsidRPr="00632DBC" w14:paraId="4866AEC1" w14:textId="77777777" w:rsidTr="00DF4010">
        <w:trPr>
          <w:trHeight w:val="612"/>
        </w:trPr>
        <w:tc>
          <w:tcPr>
            <w:tcW w:w="642" w:type="pct"/>
            <w:vMerge/>
            <w:tcBorders>
              <w:top w:val="single" w:sz="6" w:space="0" w:color="000000"/>
              <w:left w:val="single" w:sz="6" w:space="0" w:color="000000"/>
              <w:bottom w:val="single" w:sz="6" w:space="0" w:color="000000"/>
              <w:right w:val="single" w:sz="6" w:space="0" w:color="000000"/>
            </w:tcBorders>
            <w:shd w:val="clear" w:color="auto" w:fill="auto"/>
          </w:tcPr>
          <w:p w14:paraId="24982D33" w14:textId="77777777" w:rsidR="00810C20" w:rsidRPr="00632DBC" w:rsidRDefault="00810C20" w:rsidP="00CF7E8B">
            <w:pPr>
              <w:spacing w:after="0" w:line="240" w:lineRule="auto"/>
              <w:contextualSpacing/>
              <w:jc w:val="center"/>
              <w:rPr>
                <w:rFonts w:ascii="Arial" w:hAnsi="Arial" w:cs="Arial"/>
                <w:sz w:val="14"/>
                <w:szCs w:val="14"/>
              </w:rPr>
            </w:pPr>
          </w:p>
        </w:tc>
        <w:tc>
          <w:tcPr>
            <w:tcW w:w="603"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0AC17C" w14:textId="77777777" w:rsidR="00810C20" w:rsidRPr="00632DBC" w:rsidRDefault="00810C20" w:rsidP="00CF7E8B">
            <w:pPr>
              <w:pStyle w:val="Styledetableau5A"/>
              <w:suppressAutoHyphens/>
              <w:spacing w:after="200" w:line="276" w:lineRule="auto"/>
              <w:contextualSpacing/>
              <w:jc w:val="center"/>
              <w:rPr>
                <w:rFonts w:ascii="Arial" w:hAnsi="Arial" w:cs="Arial"/>
                <w:color w:val="auto"/>
                <w:sz w:val="14"/>
                <w:szCs w:val="14"/>
                <w:lang w:val="en-GB"/>
              </w:rPr>
            </w:pPr>
            <w:r w:rsidRPr="00632DBC">
              <w:rPr>
                <w:rFonts w:ascii="Arial" w:hAnsi="Arial" w:cs="Arial"/>
                <w:color w:val="auto"/>
                <w:sz w:val="14"/>
                <w:szCs w:val="14"/>
                <w:lang w:val="en-GB"/>
              </w:rPr>
              <w:t>Procedural</w:t>
            </w:r>
          </w:p>
        </w:tc>
        <w:tc>
          <w:tcPr>
            <w:tcW w:w="1953"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20ADA896" w14:textId="77777777" w:rsidR="00810C20" w:rsidRPr="00632DBC" w:rsidRDefault="00810C20" w:rsidP="003966BA">
            <w:pPr>
              <w:pStyle w:val="Styledetableau2A"/>
              <w:numPr>
                <w:ilvl w:val="0"/>
                <w:numId w:val="19"/>
              </w:numPr>
              <w:tabs>
                <w:tab w:val="num" w:pos="144"/>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Participation of citizens in the decision-making process recognized and valued (Art. 57.-17. Constitution of Ecuador; Art. 81.; 82.; 83. Organic Law of Citizen Participation).</w:t>
            </w:r>
          </w:p>
          <w:p w14:paraId="412943C1" w14:textId="274BFA17" w:rsidR="00810C20" w:rsidRPr="00632DBC" w:rsidRDefault="00810C20" w:rsidP="00632DBC">
            <w:pPr>
              <w:pStyle w:val="Styledetableau2A"/>
              <w:numPr>
                <w:ilvl w:val="0"/>
                <w:numId w:val="20"/>
              </w:numPr>
              <w:tabs>
                <w:tab w:val="left" w:pos="196"/>
              </w:tabs>
              <w:suppressAutoHyphens/>
              <w:spacing w:after="120" w:line="276" w:lineRule="auto"/>
              <w:ind w:left="162" w:hanging="162"/>
              <w:rPr>
                <w:rFonts w:ascii="Arial" w:hAnsi="Arial" w:cs="Arial"/>
                <w:i/>
                <w:iCs/>
                <w:smallCaps/>
                <w:color w:val="auto"/>
                <w:spacing w:val="5"/>
                <w:sz w:val="14"/>
                <w:szCs w:val="14"/>
                <w:lang w:val="en-GB" w:bidi="en-US"/>
              </w:rPr>
            </w:pPr>
            <w:r w:rsidRPr="00632DBC">
              <w:rPr>
                <w:rFonts w:ascii="Arial" w:hAnsi="Arial" w:cs="Arial"/>
                <w:color w:val="auto"/>
                <w:sz w:val="14"/>
                <w:szCs w:val="14"/>
                <w:lang w:val="en-GB"/>
              </w:rPr>
              <w:t>Procedures to reach free prior informed consent in PSB (Ministerial Agreement N°169, 2008) and duty of the State to take answers into account granted by legal provisions (Art. 20.</w:t>
            </w:r>
            <w:r w:rsidR="00A06283">
              <w:rPr>
                <w:rFonts w:ascii="Arial" w:hAnsi="Arial" w:cs="Arial"/>
                <w:color w:val="auto"/>
                <w:sz w:val="14"/>
                <w:szCs w:val="14"/>
                <w:lang w:val="en-GB"/>
              </w:rPr>
              <w:t xml:space="preserve"> </w:t>
            </w:r>
            <w:r w:rsidRPr="00632DBC">
              <w:rPr>
                <w:rFonts w:ascii="Arial" w:hAnsi="Arial" w:cs="Arial"/>
                <w:color w:val="auto"/>
                <w:sz w:val="14"/>
                <w:szCs w:val="14"/>
                <w:lang w:val="en-GB"/>
              </w:rPr>
              <w:t>Unified Text of Secondary Environmental Legislation).</w:t>
            </w:r>
          </w:p>
        </w:tc>
        <w:tc>
          <w:tcPr>
            <w:tcW w:w="1802" w:type="pct"/>
            <w:tcBorders>
              <w:top w:val="single" w:sz="6" w:space="0" w:color="000000"/>
              <w:left w:val="single" w:sz="6" w:space="0" w:color="000000"/>
              <w:bottom w:val="single" w:sz="6" w:space="0" w:color="000000"/>
              <w:right w:val="single" w:sz="6" w:space="0" w:color="000000"/>
            </w:tcBorders>
            <w:shd w:val="clear" w:color="auto" w:fill="auto"/>
            <w:tcMar>
              <w:top w:w="80" w:type="dxa"/>
              <w:left w:w="98" w:type="dxa"/>
              <w:bottom w:w="80" w:type="dxa"/>
              <w:right w:w="80" w:type="dxa"/>
            </w:tcMar>
            <w:vAlign w:val="center"/>
          </w:tcPr>
          <w:p w14:paraId="671924F8" w14:textId="77777777" w:rsidR="00810C20" w:rsidRPr="00632DBC" w:rsidRDefault="00810C20" w:rsidP="003966BA">
            <w:pPr>
              <w:pStyle w:val="Styledetableau2A"/>
              <w:numPr>
                <w:ilvl w:val="0"/>
                <w:numId w:val="21"/>
              </w:numPr>
              <w:tabs>
                <w:tab w:val="num" w:pos="144"/>
                <w:tab w:val="left" w:pos="196"/>
              </w:tabs>
              <w:suppressAutoHyphens/>
              <w:spacing w:after="120" w:line="276" w:lineRule="auto"/>
              <w:ind w:left="162" w:hanging="162"/>
              <w:outlineLvl w:val="7"/>
              <w:rPr>
                <w:rFonts w:ascii="Arial" w:hAnsi="Arial" w:cs="Arial"/>
                <w:color w:val="auto"/>
                <w:sz w:val="14"/>
                <w:szCs w:val="14"/>
                <w:lang w:val="en-GB"/>
              </w:rPr>
            </w:pPr>
            <w:r w:rsidRPr="00632DBC">
              <w:rPr>
                <w:rFonts w:ascii="Arial" w:hAnsi="Arial" w:cs="Arial"/>
                <w:color w:val="auto"/>
                <w:sz w:val="14"/>
                <w:szCs w:val="14"/>
                <w:lang w:val="en-GB"/>
              </w:rPr>
              <w:t xml:space="preserve">Effective mechanisms for both free prior informed consent and consultation </w:t>
            </w:r>
            <w:proofErr w:type="gramStart"/>
            <w:r w:rsidRPr="00632DBC">
              <w:rPr>
                <w:rFonts w:ascii="Arial" w:hAnsi="Arial" w:cs="Arial"/>
                <w:color w:val="auto"/>
                <w:sz w:val="14"/>
                <w:szCs w:val="14"/>
                <w:lang w:val="en-GB"/>
              </w:rPr>
              <w:t>in order to</w:t>
            </w:r>
            <w:proofErr w:type="gramEnd"/>
            <w:r w:rsidRPr="00632DBC">
              <w:rPr>
                <w:rFonts w:ascii="Arial" w:hAnsi="Arial" w:cs="Arial"/>
                <w:color w:val="auto"/>
                <w:sz w:val="14"/>
                <w:szCs w:val="14"/>
                <w:lang w:val="en-GB"/>
              </w:rPr>
              <w:t xml:space="preserve"> address some stakeholders’ concerns. </w:t>
            </w:r>
            <w:proofErr w:type="gramStart"/>
            <w:r w:rsidRPr="00632DBC">
              <w:rPr>
                <w:rFonts w:ascii="Arial" w:hAnsi="Arial" w:cs="Arial"/>
                <w:color w:val="auto"/>
                <w:sz w:val="14"/>
                <w:szCs w:val="14"/>
                <w:lang w:val="en-GB"/>
              </w:rPr>
              <w:t>In particular that</w:t>
            </w:r>
            <w:proofErr w:type="gramEnd"/>
            <w:r w:rsidRPr="00632DBC">
              <w:rPr>
                <w:rFonts w:ascii="Arial" w:hAnsi="Arial" w:cs="Arial"/>
                <w:color w:val="auto"/>
                <w:sz w:val="14"/>
                <w:szCs w:val="14"/>
                <w:lang w:val="en-GB"/>
              </w:rPr>
              <w:t xml:space="preserve"> some provisions such as Art. 22 and 83 Organic Law of Citizen Participation can limit these rights.</w:t>
            </w:r>
          </w:p>
          <w:p w14:paraId="4AAC2079" w14:textId="77777777" w:rsidR="00810C20" w:rsidRPr="00633A71" w:rsidRDefault="00810C20" w:rsidP="00632DBC">
            <w:pPr>
              <w:pStyle w:val="Styledetableau2A"/>
              <w:numPr>
                <w:ilvl w:val="0"/>
                <w:numId w:val="22"/>
              </w:numPr>
              <w:tabs>
                <w:tab w:val="left" w:pos="196"/>
              </w:tabs>
              <w:suppressAutoHyphens/>
              <w:spacing w:after="120" w:line="276" w:lineRule="auto"/>
              <w:ind w:left="162" w:hanging="162"/>
              <w:rPr>
                <w:rFonts w:ascii="Arial" w:hAnsi="Arial" w:cs="Arial"/>
                <w:i/>
                <w:iCs/>
                <w:smallCaps/>
                <w:color w:val="auto"/>
                <w:spacing w:val="5"/>
                <w:sz w:val="14"/>
                <w:szCs w:val="14"/>
                <w:lang w:val="en-GB" w:bidi="en-US"/>
              </w:rPr>
            </w:pPr>
            <w:r w:rsidRPr="00632DBC">
              <w:rPr>
                <w:rFonts w:ascii="Arial" w:hAnsi="Arial" w:cs="Arial"/>
                <w:color w:val="auto"/>
                <w:sz w:val="14"/>
                <w:szCs w:val="14"/>
                <w:lang w:val="en-GB"/>
              </w:rPr>
              <w:t>Measures to prevent inequities that could arise between stakeholders involved in PSB.</w:t>
            </w:r>
            <w:r w:rsidRPr="00632DBC">
              <w:rPr>
                <w:rStyle w:val="FootnoteReference"/>
                <w:rFonts w:ascii="Times New Roman" w:hAnsi="Times New Roman"/>
                <w:color w:val="auto"/>
                <w:sz w:val="14"/>
                <w:szCs w:val="14"/>
                <w:lang w:val="en-GB"/>
              </w:rPr>
              <w:footnoteReference w:id="152"/>
            </w:r>
          </w:p>
        </w:tc>
      </w:tr>
    </w:tbl>
    <w:p w14:paraId="264AF210" w14:textId="77777777" w:rsidR="00810C20" w:rsidRPr="00633A71" w:rsidRDefault="00810C20" w:rsidP="00810C20">
      <w:pPr>
        <w:spacing w:line="240" w:lineRule="auto"/>
        <w:jc w:val="both"/>
        <w:rPr>
          <w:rFonts w:ascii="Times New Roman" w:hAnsi="Times New Roman"/>
        </w:rPr>
      </w:pPr>
    </w:p>
    <w:p w14:paraId="01EE6D25" w14:textId="40148E6B" w:rsidR="008D54B6" w:rsidRPr="00632DBC" w:rsidRDefault="008D54B6" w:rsidP="008D54B6">
      <w:pPr>
        <w:pStyle w:val="Caption"/>
        <w:jc w:val="left"/>
        <w:rPr>
          <w:sz w:val="24"/>
          <w:szCs w:val="24"/>
        </w:rPr>
      </w:pPr>
      <w:bookmarkStart w:id="109" w:name="_Toc398938286"/>
      <w:bookmarkStart w:id="110" w:name="_Toc529190578"/>
      <w:bookmarkStart w:id="111" w:name="OLE_LINK1"/>
      <w:bookmarkStart w:id="112" w:name="OLE_LINK2"/>
      <w:r w:rsidRPr="00632DBC">
        <w:rPr>
          <w:sz w:val="24"/>
          <w:szCs w:val="24"/>
        </w:rPr>
        <w:t xml:space="preserve">Case study </w:t>
      </w:r>
      <w:r w:rsidR="008B016B">
        <w:rPr>
          <w:sz w:val="24"/>
          <w:szCs w:val="24"/>
        </w:rPr>
        <w:fldChar w:fldCharType="begin"/>
      </w:r>
      <w:r w:rsidR="008B016B">
        <w:rPr>
          <w:sz w:val="24"/>
          <w:szCs w:val="24"/>
        </w:rPr>
        <w:instrText xml:space="preserve"> SEQ Case_study \* ROMAN </w:instrText>
      </w:r>
      <w:r w:rsidR="008B016B">
        <w:rPr>
          <w:sz w:val="24"/>
          <w:szCs w:val="24"/>
        </w:rPr>
        <w:fldChar w:fldCharType="separate"/>
      </w:r>
      <w:r w:rsidR="008B016B">
        <w:rPr>
          <w:noProof/>
          <w:sz w:val="24"/>
          <w:szCs w:val="24"/>
        </w:rPr>
        <w:t>II</w:t>
      </w:r>
      <w:r w:rsidR="008B016B">
        <w:rPr>
          <w:sz w:val="24"/>
          <w:szCs w:val="24"/>
        </w:rPr>
        <w:fldChar w:fldCharType="end"/>
      </w:r>
      <w:r w:rsidRPr="00632DBC">
        <w:rPr>
          <w:sz w:val="24"/>
          <w:szCs w:val="24"/>
        </w:rPr>
        <w:t xml:space="preserve">. PES in the </w:t>
      </w:r>
      <w:proofErr w:type="spellStart"/>
      <w:r w:rsidRPr="00632DBC">
        <w:rPr>
          <w:sz w:val="24"/>
          <w:szCs w:val="24"/>
        </w:rPr>
        <w:t>Maasai</w:t>
      </w:r>
      <w:proofErr w:type="spellEnd"/>
      <w:r w:rsidRPr="00632DBC">
        <w:rPr>
          <w:sz w:val="24"/>
          <w:szCs w:val="24"/>
        </w:rPr>
        <w:t xml:space="preserve"> Mara region, Kenya</w:t>
      </w:r>
      <w:bookmarkEnd w:id="109"/>
      <w:bookmarkEnd w:id="110"/>
    </w:p>
    <w:p w14:paraId="287DE617" w14:textId="77777777" w:rsidR="00221E81" w:rsidRPr="00632DBC" w:rsidRDefault="00221E81" w:rsidP="00221E81">
      <w:pPr>
        <w:spacing w:line="240" w:lineRule="auto"/>
      </w:pPr>
      <w:r w:rsidRPr="00632DBC">
        <w:rPr>
          <w:rFonts w:ascii="Times New Roman" w:hAnsi="Times New Roman"/>
          <w:sz w:val="16"/>
          <w:szCs w:val="16"/>
        </w:rPr>
        <w:t xml:space="preserve">The present analysis was developed by Rodrigo Martínez-Peña and Claudia Ituarte-Lima, authors in this report, based on extensive scientific research carried out by Phillip </w:t>
      </w:r>
      <w:proofErr w:type="spellStart"/>
      <w:r w:rsidRPr="00632DBC">
        <w:rPr>
          <w:rFonts w:ascii="Times New Roman" w:hAnsi="Times New Roman"/>
          <w:sz w:val="16"/>
          <w:szCs w:val="16"/>
        </w:rPr>
        <w:t>Osano</w:t>
      </w:r>
      <w:proofErr w:type="spellEnd"/>
      <w:r w:rsidRPr="00632DBC">
        <w:rPr>
          <w:rFonts w:ascii="Times New Roman" w:hAnsi="Times New Roman"/>
          <w:sz w:val="16"/>
          <w:szCs w:val="16"/>
        </w:rPr>
        <w:t xml:space="preserve"> and his team in the </w:t>
      </w:r>
      <w:proofErr w:type="spellStart"/>
      <w:r w:rsidRPr="00632DBC">
        <w:rPr>
          <w:rFonts w:ascii="Times New Roman" w:hAnsi="Times New Roman"/>
          <w:sz w:val="16"/>
          <w:szCs w:val="16"/>
        </w:rPr>
        <w:t>Maasai</w:t>
      </w:r>
      <w:proofErr w:type="spellEnd"/>
      <w:r w:rsidRPr="00632DBC">
        <w:rPr>
          <w:rFonts w:ascii="Times New Roman" w:hAnsi="Times New Roman"/>
          <w:sz w:val="16"/>
          <w:szCs w:val="16"/>
        </w:rPr>
        <w:t xml:space="preserve"> Mara region.</w:t>
      </w:r>
      <w:r w:rsidRPr="00632DBC">
        <w:rPr>
          <w:rStyle w:val="FootnoteReference"/>
          <w:rFonts w:ascii="Times New Roman" w:hAnsi="Times New Roman"/>
        </w:rPr>
        <w:t xml:space="preserve"> </w:t>
      </w:r>
      <w:r w:rsidRPr="00632DBC">
        <w:rPr>
          <w:rStyle w:val="FootnoteReference"/>
          <w:rFonts w:ascii="Times New Roman" w:hAnsi="Times New Roman"/>
        </w:rPr>
        <w:footnoteReference w:id="153"/>
      </w:r>
      <w:r w:rsidRPr="00632DBC">
        <w:rPr>
          <w:rFonts w:ascii="Times New Roman" w:hAnsi="Times New Roman"/>
          <w:vertAlign w:val="superscript"/>
        </w:rPr>
        <w:t>,</w:t>
      </w:r>
      <w:r w:rsidRPr="00632DBC">
        <w:rPr>
          <w:rFonts w:ascii="Times New Roman" w:hAnsi="Times New Roman"/>
        </w:rPr>
        <w:t xml:space="preserve"> </w:t>
      </w:r>
      <w:r w:rsidRPr="00632DBC">
        <w:rPr>
          <w:rStyle w:val="FootnoteReference"/>
          <w:rFonts w:ascii="Times New Roman" w:hAnsi="Times New Roman"/>
        </w:rPr>
        <w:footnoteReference w:id="154"/>
      </w:r>
    </w:p>
    <w:p w14:paraId="45E629DC" w14:textId="2A83E599" w:rsidR="003B5268" w:rsidRPr="00632DBC" w:rsidRDefault="003B5268" w:rsidP="0071383C">
      <w:pPr>
        <w:spacing w:line="240" w:lineRule="auto"/>
        <w:ind w:right="50"/>
        <w:jc w:val="both"/>
        <w:rPr>
          <w:rFonts w:ascii="Times New Roman" w:hAnsi="Times New Roman"/>
        </w:rPr>
      </w:pPr>
      <w:r w:rsidRPr="00632DBC">
        <w:rPr>
          <w:rFonts w:ascii="Times New Roman" w:hAnsi="Times New Roman"/>
        </w:rPr>
        <w:t xml:space="preserve">This case is an example of how CBD guidelines </w:t>
      </w:r>
      <w:r w:rsidR="005523D4" w:rsidRPr="00632DBC">
        <w:rPr>
          <w:rFonts w:ascii="Times New Roman" w:hAnsi="Times New Roman"/>
        </w:rPr>
        <w:t xml:space="preserve">for safeguards in BFM </w:t>
      </w:r>
      <w:r w:rsidRPr="00632DBC">
        <w:rPr>
          <w:rFonts w:ascii="Times New Roman" w:hAnsi="Times New Roman"/>
        </w:rPr>
        <w:t xml:space="preserve">can be used as a lens to identify </w:t>
      </w:r>
      <w:r w:rsidR="005924C3" w:rsidRPr="00632DBC">
        <w:rPr>
          <w:rFonts w:ascii="Times New Roman" w:hAnsi="Times New Roman"/>
        </w:rPr>
        <w:t xml:space="preserve">procedural and substantive </w:t>
      </w:r>
      <w:r w:rsidR="00AE5AFF" w:rsidRPr="00632DBC">
        <w:rPr>
          <w:rFonts w:ascii="Times New Roman" w:hAnsi="Times New Roman"/>
        </w:rPr>
        <w:t xml:space="preserve">safeguarding </w:t>
      </w:r>
      <w:r w:rsidR="00821AB8" w:rsidRPr="00632DBC">
        <w:rPr>
          <w:rFonts w:ascii="Times New Roman" w:hAnsi="Times New Roman"/>
        </w:rPr>
        <w:t>strategies</w:t>
      </w:r>
      <w:r w:rsidR="00AE5AFF" w:rsidRPr="00632DBC">
        <w:rPr>
          <w:rFonts w:ascii="Times New Roman" w:hAnsi="Times New Roman"/>
        </w:rPr>
        <w:t xml:space="preserve"> </w:t>
      </w:r>
      <w:r w:rsidR="005523D4" w:rsidRPr="00632DBC">
        <w:rPr>
          <w:rFonts w:ascii="Times New Roman" w:hAnsi="Times New Roman"/>
        </w:rPr>
        <w:t>in the implementation of</w:t>
      </w:r>
      <w:r w:rsidR="00AE5AFF" w:rsidRPr="00632DBC">
        <w:rPr>
          <w:rFonts w:ascii="Times New Roman" w:hAnsi="Times New Roman"/>
        </w:rPr>
        <w:t xml:space="preserve"> </w:t>
      </w:r>
      <w:r w:rsidR="005523D4" w:rsidRPr="00632DBC">
        <w:rPr>
          <w:rFonts w:ascii="Times New Roman" w:hAnsi="Times New Roman"/>
        </w:rPr>
        <w:t>Payment for Ecosystem S</w:t>
      </w:r>
      <w:r w:rsidR="00AE5AFF" w:rsidRPr="00632DBC">
        <w:rPr>
          <w:rFonts w:ascii="Times New Roman" w:hAnsi="Times New Roman"/>
        </w:rPr>
        <w:t xml:space="preserve">ervices </w:t>
      </w:r>
      <w:r w:rsidR="005523D4" w:rsidRPr="00632DBC">
        <w:rPr>
          <w:rFonts w:ascii="Times New Roman" w:hAnsi="Times New Roman"/>
        </w:rPr>
        <w:t>(</w:t>
      </w:r>
      <w:r w:rsidR="00AE5AFF" w:rsidRPr="00632DBC">
        <w:rPr>
          <w:rFonts w:ascii="Times New Roman" w:hAnsi="Times New Roman"/>
        </w:rPr>
        <w:t>PES</w:t>
      </w:r>
      <w:r w:rsidR="005523D4" w:rsidRPr="00632DBC">
        <w:rPr>
          <w:rFonts w:ascii="Times New Roman" w:hAnsi="Times New Roman"/>
        </w:rPr>
        <w:t xml:space="preserve">). Furthermore, this analysis shows that the </w:t>
      </w:r>
      <w:proofErr w:type="gramStart"/>
      <w:r w:rsidR="005523D4" w:rsidRPr="00632DBC">
        <w:rPr>
          <w:rFonts w:ascii="Times New Roman" w:hAnsi="Times New Roman"/>
        </w:rPr>
        <w:t>above mentioned</w:t>
      </w:r>
      <w:proofErr w:type="gramEnd"/>
      <w:r w:rsidR="005523D4" w:rsidRPr="00632DBC">
        <w:rPr>
          <w:rFonts w:ascii="Times New Roman" w:hAnsi="Times New Roman"/>
        </w:rPr>
        <w:t xml:space="preserve"> guidelines are </w:t>
      </w:r>
      <w:r w:rsidR="00307EA3" w:rsidRPr="00632DBC">
        <w:rPr>
          <w:rFonts w:ascii="Times New Roman" w:hAnsi="Times New Roman"/>
        </w:rPr>
        <w:t xml:space="preserve">useful </w:t>
      </w:r>
      <w:r w:rsidR="006B07DA" w:rsidRPr="00632DBC">
        <w:rPr>
          <w:rFonts w:ascii="Times New Roman" w:hAnsi="Times New Roman"/>
        </w:rPr>
        <w:t xml:space="preserve">to </w:t>
      </w:r>
      <w:r w:rsidR="00307EA3" w:rsidRPr="00632DBC">
        <w:rPr>
          <w:rFonts w:ascii="Times New Roman" w:hAnsi="Times New Roman"/>
        </w:rPr>
        <w:t xml:space="preserve">identify </w:t>
      </w:r>
      <w:r w:rsidR="006B07DA" w:rsidRPr="00632DBC">
        <w:rPr>
          <w:rFonts w:ascii="Times New Roman" w:hAnsi="Times New Roman"/>
        </w:rPr>
        <w:t>elements of PES where safegu</w:t>
      </w:r>
      <w:r w:rsidR="00916E47" w:rsidRPr="00632DBC">
        <w:rPr>
          <w:rFonts w:ascii="Times New Roman" w:hAnsi="Times New Roman"/>
        </w:rPr>
        <w:t>arding strategies are necessary. T</w:t>
      </w:r>
      <w:r w:rsidR="001B43F1" w:rsidRPr="00632DBC">
        <w:rPr>
          <w:rFonts w:ascii="Times New Roman" w:hAnsi="Times New Roman"/>
        </w:rPr>
        <w:t>hese guidelines can serve as principles for the development of concrete</w:t>
      </w:r>
      <w:r w:rsidR="006B07DA" w:rsidRPr="00632DBC">
        <w:rPr>
          <w:rFonts w:ascii="Times New Roman" w:hAnsi="Times New Roman"/>
        </w:rPr>
        <w:t xml:space="preserve"> measures</w:t>
      </w:r>
      <w:r w:rsidR="001B43F1" w:rsidRPr="00632DBC">
        <w:rPr>
          <w:rFonts w:ascii="Times New Roman" w:hAnsi="Times New Roman"/>
        </w:rPr>
        <w:t xml:space="preserve"> that respond to the specific challenges of the case</w:t>
      </w:r>
      <w:r w:rsidR="00715FC0" w:rsidRPr="00632DBC">
        <w:rPr>
          <w:rFonts w:ascii="Times New Roman" w:hAnsi="Times New Roman"/>
        </w:rPr>
        <w:t xml:space="preserve"> because</w:t>
      </w:r>
      <w:r w:rsidR="00F17128" w:rsidRPr="00632DBC">
        <w:rPr>
          <w:rFonts w:ascii="Times New Roman" w:hAnsi="Times New Roman"/>
        </w:rPr>
        <w:t xml:space="preserve"> they reflect standards in international law</w:t>
      </w:r>
      <w:r w:rsidRPr="00632DBC">
        <w:rPr>
          <w:rFonts w:ascii="Times New Roman" w:hAnsi="Times New Roman"/>
        </w:rPr>
        <w:t>.</w:t>
      </w:r>
      <w:r w:rsidR="002B08D7" w:rsidRPr="00632DBC">
        <w:rPr>
          <w:rFonts w:ascii="Times New Roman" w:hAnsi="Times New Roman"/>
        </w:rPr>
        <w:t xml:space="preserve"> </w:t>
      </w:r>
    </w:p>
    <w:p w14:paraId="2B745829" w14:textId="210BEC96" w:rsidR="003B5268" w:rsidRPr="00632DBC" w:rsidRDefault="003B5268" w:rsidP="0071383C">
      <w:pPr>
        <w:spacing w:line="240" w:lineRule="auto"/>
        <w:ind w:right="50"/>
        <w:jc w:val="both"/>
        <w:rPr>
          <w:rFonts w:ascii="Times New Roman" w:hAnsi="Times New Roman"/>
        </w:rPr>
      </w:pPr>
      <w:r w:rsidRPr="00632DBC">
        <w:rPr>
          <w:rFonts w:ascii="Times New Roman" w:hAnsi="Times New Roman"/>
        </w:rPr>
        <w:t xml:space="preserve">The </w:t>
      </w:r>
      <w:proofErr w:type="spellStart"/>
      <w:r w:rsidRPr="00632DBC">
        <w:rPr>
          <w:rFonts w:ascii="Times New Roman" w:hAnsi="Times New Roman"/>
        </w:rPr>
        <w:t>Maasai</w:t>
      </w:r>
      <w:proofErr w:type="spellEnd"/>
      <w:r w:rsidRPr="00632DBC">
        <w:rPr>
          <w:rFonts w:ascii="Times New Roman" w:hAnsi="Times New Roman"/>
        </w:rPr>
        <w:t xml:space="preserve"> Mara ecosystem comprises </w:t>
      </w:r>
      <w:r w:rsidRPr="00632DBC">
        <w:rPr>
          <w:rFonts w:ascii="Times New Roman" w:hAnsi="Times New Roman"/>
          <w:shd w:val="clear" w:color="auto" w:fill="FFFFFF"/>
        </w:rPr>
        <w:t>arid and semi-arid lands that</w:t>
      </w:r>
      <w:r w:rsidRPr="00632DBC">
        <w:rPr>
          <w:rFonts w:ascii="Times New Roman" w:hAnsi="Times New Roman"/>
        </w:rPr>
        <w:t xml:space="preserve"> annually receive the great migration of wildebeest travelling from the Serengeti National Park in Tanzania. This natural phenomenon is a major tourism attraction that accounts for 18% of all annual tourist visits in Kenya and propels a thriving wildlife tourism industry. The </w:t>
      </w:r>
      <w:proofErr w:type="spellStart"/>
      <w:r w:rsidRPr="00632DBC">
        <w:rPr>
          <w:rFonts w:ascii="Times New Roman" w:hAnsi="Times New Roman"/>
        </w:rPr>
        <w:t>Maasai</w:t>
      </w:r>
      <w:proofErr w:type="spellEnd"/>
      <w:r w:rsidRPr="00632DBC">
        <w:rPr>
          <w:rFonts w:ascii="Times New Roman" w:hAnsi="Times New Roman"/>
        </w:rPr>
        <w:t xml:space="preserve"> people have historically occupied this territory and relied on this ecosystem for their livelihood as pastoralists. More recently, agriculture and tourism have played a more </w:t>
      </w:r>
      <w:r w:rsidR="006B07DA" w:rsidRPr="00632DBC">
        <w:rPr>
          <w:rFonts w:ascii="Times New Roman" w:hAnsi="Times New Roman"/>
        </w:rPr>
        <w:t>central</w:t>
      </w:r>
      <w:r w:rsidRPr="00632DBC">
        <w:rPr>
          <w:rFonts w:ascii="Times New Roman" w:hAnsi="Times New Roman"/>
        </w:rPr>
        <w:t xml:space="preserve"> role in local livelihoods. In the late 1990’s, national policies started a process of dividing large parcels under collective tenure into small parcels under individual or corporate tenure. Conservancies emerged as a strategy to derive benefits from wildlife tourism both from communal lands and individually owned lands. In both cases, institutional arrangements in the form of PES have been adopted to promote land uses compatible with provision of ecosystem services </w:t>
      </w:r>
      <w:r w:rsidR="006F35C3" w:rsidRPr="00632DBC">
        <w:rPr>
          <w:rFonts w:ascii="Times New Roman" w:hAnsi="Times New Roman"/>
        </w:rPr>
        <w:t xml:space="preserve">that support </w:t>
      </w:r>
      <w:r w:rsidRPr="00632DBC">
        <w:rPr>
          <w:rFonts w:ascii="Times New Roman" w:hAnsi="Times New Roman"/>
        </w:rPr>
        <w:t xml:space="preserve">wildlife tourism.  </w:t>
      </w:r>
    </w:p>
    <w:p w14:paraId="6E003CDF" w14:textId="4ABDB8B9" w:rsidR="003B5268" w:rsidRPr="00632DBC" w:rsidRDefault="003B5268" w:rsidP="0071383C">
      <w:pPr>
        <w:spacing w:line="240" w:lineRule="auto"/>
        <w:ind w:right="50"/>
        <w:jc w:val="both"/>
        <w:rPr>
          <w:rFonts w:ascii="Times New Roman" w:hAnsi="Times New Roman"/>
        </w:rPr>
      </w:pPr>
      <w:r w:rsidRPr="00632DBC">
        <w:rPr>
          <w:rFonts w:ascii="Times New Roman" w:hAnsi="Times New Roman"/>
        </w:rPr>
        <w:t>Th</w:t>
      </w:r>
      <w:r w:rsidR="00F20386" w:rsidRPr="00632DBC">
        <w:rPr>
          <w:rFonts w:ascii="Times New Roman" w:hAnsi="Times New Roman"/>
        </w:rPr>
        <w:t>is study focuses in the case of th</w:t>
      </w:r>
      <w:r w:rsidRPr="00632DBC">
        <w:rPr>
          <w:rFonts w:ascii="Times New Roman" w:hAnsi="Times New Roman"/>
        </w:rPr>
        <w:t xml:space="preserve">e </w:t>
      </w:r>
      <w:proofErr w:type="spellStart"/>
      <w:r w:rsidRPr="00632DBC">
        <w:rPr>
          <w:rFonts w:ascii="Times New Roman" w:hAnsi="Times New Roman"/>
        </w:rPr>
        <w:t>Olare</w:t>
      </w:r>
      <w:proofErr w:type="spellEnd"/>
      <w:r w:rsidRPr="00632DBC">
        <w:rPr>
          <w:rFonts w:ascii="Times New Roman" w:hAnsi="Times New Roman"/>
        </w:rPr>
        <w:t xml:space="preserve"> </w:t>
      </w:r>
      <w:proofErr w:type="spellStart"/>
      <w:r w:rsidRPr="00632DBC">
        <w:rPr>
          <w:rFonts w:ascii="Times New Roman" w:hAnsi="Times New Roman"/>
        </w:rPr>
        <w:t>Orok</w:t>
      </w:r>
      <w:proofErr w:type="spellEnd"/>
      <w:r w:rsidRPr="00632DBC">
        <w:rPr>
          <w:rFonts w:ascii="Times New Roman" w:hAnsi="Times New Roman"/>
        </w:rPr>
        <w:t xml:space="preserve"> Conservancy (OOC</w:t>
      </w:r>
      <w:r w:rsidR="00F20386" w:rsidRPr="00632DBC">
        <w:rPr>
          <w:rFonts w:ascii="Times New Roman" w:hAnsi="Times New Roman"/>
        </w:rPr>
        <w:t>), whose</w:t>
      </w:r>
      <w:r w:rsidRPr="00632DBC">
        <w:rPr>
          <w:rFonts w:ascii="Times New Roman" w:hAnsi="Times New Roman"/>
        </w:rPr>
        <w:t xml:space="preserve"> </w:t>
      </w:r>
      <w:r w:rsidR="00F20386" w:rsidRPr="00632DBC">
        <w:rPr>
          <w:rFonts w:ascii="Times New Roman" w:hAnsi="Times New Roman"/>
        </w:rPr>
        <w:t>territory</w:t>
      </w:r>
      <w:r w:rsidRPr="00632DBC">
        <w:rPr>
          <w:rFonts w:ascii="Times New Roman" w:hAnsi="Times New Roman"/>
        </w:rPr>
        <w:t xml:space="preserve"> comprises 227 individually</w:t>
      </w:r>
      <w:r w:rsidR="00F20386" w:rsidRPr="00632DBC">
        <w:rPr>
          <w:rFonts w:ascii="Times New Roman" w:hAnsi="Times New Roman"/>
        </w:rPr>
        <w:t xml:space="preserve"> owned plots that together add up to</w:t>
      </w:r>
      <w:r w:rsidR="006F35C3" w:rsidRPr="00632DBC">
        <w:rPr>
          <w:rFonts w:ascii="Times New Roman" w:hAnsi="Times New Roman"/>
        </w:rPr>
        <w:t xml:space="preserve"> 10,040</w:t>
      </w:r>
      <w:r w:rsidR="0014184A" w:rsidRPr="00632DBC">
        <w:rPr>
          <w:rFonts w:ascii="Times New Roman" w:hAnsi="Times New Roman"/>
        </w:rPr>
        <w:t xml:space="preserve"> </w:t>
      </w:r>
      <w:r w:rsidRPr="00632DBC">
        <w:rPr>
          <w:rFonts w:ascii="Times New Roman" w:hAnsi="Times New Roman"/>
        </w:rPr>
        <w:t>ha</w:t>
      </w:r>
      <w:r w:rsidR="006F35C3" w:rsidRPr="00632DBC">
        <w:rPr>
          <w:rFonts w:ascii="Times New Roman" w:hAnsi="Times New Roman"/>
        </w:rPr>
        <w:t xml:space="preserve"> and </w:t>
      </w:r>
      <w:proofErr w:type="gramStart"/>
      <w:r w:rsidR="00F20386" w:rsidRPr="00632DBC">
        <w:rPr>
          <w:rFonts w:ascii="Times New Roman" w:hAnsi="Times New Roman"/>
        </w:rPr>
        <w:t>are located in</w:t>
      </w:r>
      <w:proofErr w:type="gramEnd"/>
      <w:r w:rsidR="00F20386" w:rsidRPr="00632DBC">
        <w:rPr>
          <w:rFonts w:ascii="Times New Roman" w:hAnsi="Times New Roman"/>
        </w:rPr>
        <w:t xml:space="preserve"> northern part of the </w:t>
      </w:r>
      <w:proofErr w:type="spellStart"/>
      <w:r w:rsidR="00F20386" w:rsidRPr="00632DBC">
        <w:rPr>
          <w:rFonts w:ascii="Times New Roman" w:hAnsi="Times New Roman"/>
        </w:rPr>
        <w:t>Maasai</w:t>
      </w:r>
      <w:proofErr w:type="spellEnd"/>
      <w:r w:rsidR="00F20386" w:rsidRPr="00632DBC">
        <w:rPr>
          <w:rFonts w:ascii="Times New Roman" w:hAnsi="Times New Roman"/>
        </w:rPr>
        <w:t xml:space="preserve"> </w:t>
      </w:r>
      <w:r w:rsidR="00F20386" w:rsidRPr="00632DBC">
        <w:rPr>
          <w:rFonts w:ascii="Times New Roman" w:hAnsi="Times New Roman"/>
        </w:rPr>
        <w:lastRenderedPageBreak/>
        <w:t>Mara National Reserve</w:t>
      </w:r>
      <w:r w:rsidR="006F35C3" w:rsidRPr="00632DBC">
        <w:rPr>
          <w:rFonts w:ascii="Times New Roman" w:hAnsi="Times New Roman"/>
        </w:rPr>
        <w:t xml:space="preserve">. </w:t>
      </w:r>
      <w:r w:rsidRPr="00632DBC">
        <w:rPr>
          <w:rFonts w:ascii="Times New Roman" w:hAnsi="Times New Roman"/>
        </w:rPr>
        <w:t xml:space="preserve">After assembling the conservancy, landowners </w:t>
      </w:r>
      <w:r w:rsidR="00A65D67" w:rsidRPr="00632DBC">
        <w:rPr>
          <w:rFonts w:ascii="Times New Roman" w:hAnsi="Times New Roman"/>
        </w:rPr>
        <w:t xml:space="preserve">whose main livelihood was agriculture and herding, </w:t>
      </w:r>
      <w:r w:rsidRPr="00632DBC">
        <w:rPr>
          <w:rFonts w:ascii="Times New Roman" w:hAnsi="Times New Roman"/>
        </w:rPr>
        <w:t>broker</w:t>
      </w:r>
      <w:r w:rsidR="00921DDE" w:rsidRPr="00632DBC">
        <w:rPr>
          <w:rFonts w:ascii="Times New Roman" w:hAnsi="Times New Roman"/>
        </w:rPr>
        <w:t xml:space="preserve">ed land lease agreements in </w:t>
      </w:r>
      <w:r w:rsidRPr="00632DBC">
        <w:rPr>
          <w:rFonts w:ascii="Times New Roman" w:hAnsi="Times New Roman"/>
        </w:rPr>
        <w:t xml:space="preserve">coalition </w:t>
      </w:r>
      <w:r w:rsidR="00921DDE" w:rsidRPr="00632DBC">
        <w:rPr>
          <w:rFonts w:ascii="Times New Roman" w:hAnsi="Times New Roman"/>
        </w:rPr>
        <w:t xml:space="preserve">with </w:t>
      </w:r>
      <w:r w:rsidRPr="00632DBC">
        <w:rPr>
          <w:rFonts w:ascii="Times New Roman" w:hAnsi="Times New Roman"/>
        </w:rPr>
        <w:t xml:space="preserve">tourism operators. The agreement adopted the form of a PES scheme between private parties.  In this PES </w:t>
      </w:r>
      <w:r w:rsidR="005803C1" w:rsidRPr="00632DBC">
        <w:rPr>
          <w:rFonts w:ascii="Times New Roman" w:hAnsi="Times New Roman"/>
        </w:rPr>
        <w:t>arrangement,</w:t>
      </w:r>
      <w:r w:rsidRPr="00632DBC">
        <w:rPr>
          <w:rFonts w:ascii="Times New Roman" w:hAnsi="Times New Roman"/>
        </w:rPr>
        <w:t xml:space="preserve"> each landholder receives a direct payment based on the amount of individually owned land </w:t>
      </w:r>
      <w:r w:rsidR="005803C1" w:rsidRPr="00632DBC">
        <w:rPr>
          <w:rFonts w:ascii="Times New Roman" w:hAnsi="Times New Roman"/>
        </w:rPr>
        <w:t>with</w:t>
      </w:r>
      <w:r w:rsidRPr="00632DBC">
        <w:rPr>
          <w:rFonts w:ascii="Times New Roman" w:hAnsi="Times New Roman"/>
        </w:rPr>
        <w:t>in the conservancy</w:t>
      </w:r>
      <w:r w:rsidR="005803C1" w:rsidRPr="00632DBC">
        <w:rPr>
          <w:rFonts w:ascii="Times New Roman" w:hAnsi="Times New Roman"/>
        </w:rPr>
        <w:t>,</w:t>
      </w:r>
      <w:r w:rsidRPr="00632DBC">
        <w:rPr>
          <w:rFonts w:ascii="Times New Roman" w:hAnsi="Times New Roman"/>
        </w:rPr>
        <w:t xml:space="preserve"> irrespective </w:t>
      </w:r>
      <w:r w:rsidR="0014184A" w:rsidRPr="00632DBC">
        <w:rPr>
          <w:rFonts w:ascii="Times New Roman" w:hAnsi="Times New Roman"/>
        </w:rPr>
        <w:t xml:space="preserve">of </w:t>
      </w:r>
      <w:r w:rsidRPr="00632DBC">
        <w:rPr>
          <w:rFonts w:ascii="Times New Roman" w:hAnsi="Times New Roman"/>
        </w:rPr>
        <w:t>the number of visitors.</w:t>
      </w:r>
      <w:r w:rsidR="00B70707" w:rsidRPr="00632DBC">
        <w:rPr>
          <w:rFonts w:ascii="Times New Roman" w:hAnsi="Times New Roman"/>
        </w:rPr>
        <w:t xml:space="preserve"> In exchange, landowners agree to</w:t>
      </w:r>
      <w:r w:rsidR="005803C1" w:rsidRPr="00632DBC">
        <w:rPr>
          <w:rFonts w:ascii="Times New Roman" w:hAnsi="Times New Roman"/>
        </w:rPr>
        <w:t>:</w:t>
      </w:r>
      <w:r w:rsidRPr="00632DBC">
        <w:rPr>
          <w:rFonts w:ascii="Times New Roman" w:hAnsi="Times New Roman"/>
        </w:rPr>
        <w:t xml:space="preserve"> </w:t>
      </w:r>
      <w:r w:rsidR="005803C1" w:rsidRPr="00632DBC">
        <w:rPr>
          <w:rFonts w:ascii="Times New Roman" w:hAnsi="Times New Roman"/>
        </w:rPr>
        <w:t xml:space="preserve">a) </w:t>
      </w:r>
      <w:r w:rsidR="00B70707" w:rsidRPr="00632DBC">
        <w:rPr>
          <w:rFonts w:ascii="Times New Roman" w:hAnsi="Times New Roman"/>
        </w:rPr>
        <w:t>move</w:t>
      </w:r>
      <w:r w:rsidRPr="00632DBC">
        <w:rPr>
          <w:rFonts w:ascii="Times New Roman" w:hAnsi="Times New Roman"/>
        </w:rPr>
        <w:t xml:space="preserve"> out of the conservancy, </w:t>
      </w:r>
      <w:r w:rsidR="005803C1" w:rsidRPr="00632DBC">
        <w:rPr>
          <w:rFonts w:ascii="Times New Roman" w:hAnsi="Times New Roman"/>
        </w:rPr>
        <w:t xml:space="preserve">b) </w:t>
      </w:r>
      <w:r w:rsidRPr="00632DBC">
        <w:rPr>
          <w:rFonts w:ascii="Times New Roman" w:hAnsi="Times New Roman"/>
        </w:rPr>
        <w:t>no</w:t>
      </w:r>
      <w:r w:rsidR="00B70707" w:rsidRPr="00632DBC">
        <w:rPr>
          <w:rFonts w:ascii="Times New Roman" w:hAnsi="Times New Roman"/>
        </w:rPr>
        <w:t>t sell</w:t>
      </w:r>
      <w:r w:rsidRPr="00632DBC">
        <w:rPr>
          <w:rFonts w:ascii="Times New Roman" w:hAnsi="Times New Roman"/>
        </w:rPr>
        <w:t xml:space="preserve"> their lands, and </w:t>
      </w:r>
      <w:r w:rsidR="005803C1" w:rsidRPr="00632DBC">
        <w:rPr>
          <w:rFonts w:ascii="Times New Roman" w:hAnsi="Times New Roman"/>
        </w:rPr>
        <w:t xml:space="preserve">c) </w:t>
      </w:r>
      <w:r w:rsidR="00B70707" w:rsidRPr="00632DBC">
        <w:rPr>
          <w:rFonts w:ascii="Times New Roman" w:hAnsi="Times New Roman"/>
        </w:rPr>
        <w:t>exclude</w:t>
      </w:r>
      <w:r w:rsidRPr="00632DBC">
        <w:rPr>
          <w:rFonts w:ascii="Times New Roman" w:hAnsi="Times New Roman"/>
        </w:rPr>
        <w:t xml:space="preserve"> activities considered non-compatible with wildlife such as growing crops, fencing and herding. The agreement was first signed in 2006 for two and a half years, it was renewed for five more years, and in 2010 tourism </w:t>
      </w:r>
      <w:r w:rsidR="006F35C3" w:rsidRPr="00632DBC">
        <w:rPr>
          <w:rFonts w:ascii="Times New Roman" w:hAnsi="Times New Roman"/>
        </w:rPr>
        <w:t>operators offered a 15-year</w:t>
      </w:r>
      <w:r w:rsidRPr="00632DBC">
        <w:rPr>
          <w:rFonts w:ascii="Times New Roman" w:hAnsi="Times New Roman"/>
        </w:rPr>
        <w:t xml:space="preserve"> extension. Every time the contract was renewed, a new and higher payment rate was negotiated. For landholders in this conservancy, PES has constituted a secure and stable source of income during droughts</w:t>
      </w:r>
      <w:r w:rsidR="000941D4" w:rsidRPr="00632DBC">
        <w:rPr>
          <w:rFonts w:ascii="Times New Roman" w:hAnsi="Times New Roman"/>
        </w:rPr>
        <w:t>,</w:t>
      </w:r>
      <w:r w:rsidRPr="00632DBC">
        <w:rPr>
          <w:rFonts w:ascii="Times New Roman" w:hAnsi="Times New Roman"/>
        </w:rPr>
        <w:t xml:space="preserve"> when income from herding </w:t>
      </w:r>
      <w:r w:rsidR="000941D4" w:rsidRPr="00632DBC">
        <w:rPr>
          <w:rFonts w:ascii="Times New Roman" w:hAnsi="Times New Roman"/>
        </w:rPr>
        <w:t xml:space="preserve">can </w:t>
      </w:r>
      <w:r w:rsidRPr="00632DBC">
        <w:rPr>
          <w:rFonts w:ascii="Times New Roman" w:hAnsi="Times New Roman"/>
        </w:rPr>
        <w:t xml:space="preserve">drop below the official Kenyan poverty line. </w:t>
      </w:r>
      <w:r w:rsidR="000D03D2" w:rsidRPr="00632DBC">
        <w:rPr>
          <w:rFonts w:ascii="Times New Roman" w:hAnsi="Times New Roman"/>
        </w:rPr>
        <w:t>Yet, increasing resilience of income does not necessarily mean increasing r</w:t>
      </w:r>
      <w:r w:rsidR="0030039F" w:rsidRPr="00632DBC">
        <w:rPr>
          <w:rFonts w:ascii="Times New Roman" w:hAnsi="Times New Roman"/>
        </w:rPr>
        <w:t>esilience of livelihoods. Therefore</w:t>
      </w:r>
      <w:r w:rsidR="000D03D2" w:rsidRPr="00632DBC">
        <w:rPr>
          <w:rFonts w:ascii="Times New Roman" w:hAnsi="Times New Roman"/>
        </w:rPr>
        <w:t xml:space="preserve">, measures are needed to assess </w:t>
      </w:r>
      <w:r w:rsidR="003C4FD3" w:rsidRPr="00632DBC">
        <w:rPr>
          <w:rFonts w:ascii="Times New Roman" w:hAnsi="Times New Roman"/>
        </w:rPr>
        <w:t>how policy instruments such as PES can affect the access to</w:t>
      </w:r>
      <w:r w:rsidR="000D03D2" w:rsidRPr="00632DBC">
        <w:rPr>
          <w:rFonts w:ascii="Times New Roman" w:hAnsi="Times New Roman"/>
        </w:rPr>
        <w:t xml:space="preserve"> ecosystem services upon which people depend </w:t>
      </w:r>
      <w:r w:rsidR="003C4FD3" w:rsidRPr="00632DBC">
        <w:rPr>
          <w:rFonts w:ascii="Times New Roman" w:hAnsi="Times New Roman"/>
        </w:rPr>
        <w:t>for their livelihoods and</w:t>
      </w:r>
      <w:r w:rsidR="0030039F" w:rsidRPr="00632DBC">
        <w:rPr>
          <w:rFonts w:ascii="Times New Roman" w:hAnsi="Times New Roman"/>
        </w:rPr>
        <w:t xml:space="preserve"> subsequently</w:t>
      </w:r>
      <w:r w:rsidR="003C4FD3" w:rsidRPr="00632DBC">
        <w:rPr>
          <w:rFonts w:ascii="Times New Roman" w:hAnsi="Times New Roman"/>
        </w:rPr>
        <w:t xml:space="preserve"> tailor policy instruments</w:t>
      </w:r>
      <w:r w:rsidR="00F17128" w:rsidRPr="00632DBC">
        <w:rPr>
          <w:rFonts w:ascii="Times New Roman" w:hAnsi="Times New Roman"/>
        </w:rPr>
        <w:t xml:space="preserve"> to respond the associated risks and opportunities</w:t>
      </w:r>
      <w:r w:rsidR="000D03D2" w:rsidRPr="00632DBC">
        <w:rPr>
          <w:rFonts w:ascii="Times New Roman" w:hAnsi="Times New Roman"/>
        </w:rPr>
        <w:t xml:space="preserve">. </w:t>
      </w:r>
      <w:r w:rsidRPr="00632DBC">
        <w:rPr>
          <w:rFonts w:ascii="Times New Roman" w:hAnsi="Times New Roman"/>
        </w:rPr>
        <w:t>When analysing this case through the CBD guidelines for BFM, several lessons can be drawn</w:t>
      </w:r>
      <w:r w:rsidR="00A34429" w:rsidRPr="00632DBC">
        <w:rPr>
          <w:rFonts w:ascii="Times New Roman" w:hAnsi="Times New Roman"/>
        </w:rPr>
        <w:t xml:space="preserve"> (see Table 4 for a summary)</w:t>
      </w:r>
      <w:r w:rsidRPr="00632DBC">
        <w:rPr>
          <w:rFonts w:ascii="Times New Roman" w:hAnsi="Times New Roman"/>
        </w:rPr>
        <w:t>.</w:t>
      </w:r>
    </w:p>
    <w:p w14:paraId="70185946" w14:textId="37FB2C3B" w:rsidR="00671853" w:rsidRPr="00632DBC" w:rsidRDefault="003B5268" w:rsidP="00950EDF">
      <w:pPr>
        <w:ind w:right="50"/>
        <w:jc w:val="both"/>
        <w:rPr>
          <w:rFonts w:ascii="Times New Roman" w:hAnsi="Times New Roman"/>
          <w:b/>
        </w:rPr>
      </w:pPr>
      <w:r w:rsidRPr="00632DBC">
        <w:rPr>
          <w:rFonts w:ascii="Times New Roman" w:hAnsi="Times New Roman"/>
          <w:b/>
        </w:rPr>
        <w:t xml:space="preserve">Lessons </w:t>
      </w:r>
      <w:r w:rsidR="007452C8" w:rsidRPr="00632DBC">
        <w:rPr>
          <w:rFonts w:ascii="Times New Roman" w:hAnsi="Times New Roman"/>
          <w:b/>
        </w:rPr>
        <w:t>learned</w:t>
      </w:r>
      <w:r w:rsidRPr="00632DBC">
        <w:rPr>
          <w:rFonts w:ascii="Times New Roman" w:hAnsi="Times New Roman"/>
          <w:b/>
        </w:rPr>
        <w:t xml:space="preserve"> from looking at </w:t>
      </w:r>
      <w:r w:rsidR="0071383C" w:rsidRPr="00632DBC">
        <w:rPr>
          <w:rFonts w:ascii="Times New Roman" w:hAnsi="Times New Roman"/>
          <w:b/>
        </w:rPr>
        <w:t>PES</w:t>
      </w:r>
      <w:r w:rsidR="00350328" w:rsidRPr="00632DBC">
        <w:rPr>
          <w:rFonts w:ascii="Times New Roman" w:hAnsi="Times New Roman"/>
          <w:b/>
        </w:rPr>
        <w:t xml:space="preserve"> focusing on</w:t>
      </w:r>
      <w:r w:rsidR="0071383C" w:rsidRPr="00632DBC">
        <w:rPr>
          <w:rFonts w:ascii="Times New Roman" w:hAnsi="Times New Roman"/>
          <w:b/>
        </w:rPr>
        <w:t xml:space="preserve"> the </w:t>
      </w:r>
      <w:proofErr w:type="spellStart"/>
      <w:r w:rsidRPr="00632DBC">
        <w:rPr>
          <w:rFonts w:ascii="Times New Roman" w:hAnsi="Times New Roman"/>
          <w:b/>
        </w:rPr>
        <w:t>Olare</w:t>
      </w:r>
      <w:proofErr w:type="spellEnd"/>
      <w:r w:rsidRPr="00632DBC">
        <w:rPr>
          <w:rFonts w:ascii="Times New Roman" w:hAnsi="Times New Roman"/>
          <w:b/>
        </w:rPr>
        <w:t xml:space="preserve"> </w:t>
      </w:r>
      <w:proofErr w:type="spellStart"/>
      <w:r w:rsidRPr="00632DBC">
        <w:rPr>
          <w:rFonts w:ascii="Times New Roman" w:hAnsi="Times New Roman"/>
          <w:b/>
        </w:rPr>
        <w:t>Orok</w:t>
      </w:r>
      <w:proofErr w:type="spellEnd"/>
      <w:r w:rsidRPr="00632DBC">
        <w:rPr>
          <w:rFonts w:ascii="Times New Roman" w:hAnsi="Times New Roman"/>
          <w:b/>
        </w:rPr>
        <w:t xml:space="preserve"> Conservancy</w:t>
      </w:r>
      <w:r w:rsidR="00611B27" w:rsidRPr="00632DBC">
        <w:rPr>
          <w:rFonts w:ascii="Times New Roman" w:hAnsi="Times New Roman"/>
          <w:b/>
        </w:rPr>
        <w:t xml:space="preserve"> through the lens of </w:t>
      </w:r>
      <w:r w:rsidR="00835475" w:rsidRPr="00632DBC">
        <w:rPr>
          <w:rFonts w:ascii="Times New Roman" w:hAnsi="Times New Roman"/>
          <w:b/>
        </w:rPr>
        <w:t>guideline (</w:t>
      </w:r>
      <w:r w:rsidR="00835475" w:rsidRPr="00632DBC">
        <w:rPr>
          <w:rFonts w:ascii="Times New Roman" w:hAnsi="Times New Roman"/>
          <w:b/>
          <w:i/>
        </w:rPr>
        <w:t>a</w:t>
      </w:r>
      <w:r w:rsidR="00835475" w:rsidRPr="00632DBC">
        <w:rPr>
          <w:rFonts w:ascii="Times New Roman" w:hAnsi="Times New Roman"/>
          <w:b/>
        </w:rPr>
        <w:t>)</w:t>
      </w:r>
      <w:r w:rsidR="00B04D8C" w:rsidRPr="00632DBC">
        <w:rPr>
          <w:rFonts w:ascii="Times New Roman" w:hAnsi="Times New Roman"/>
          <w:b/>
        </w:rPr>
        <w:t>.</w:t>
      </w:r>
      <w:r w:rsidRPr="00632DBC">
        <w:rPr>
          <w:rFonts w:ascii="Times New Roman" w:hAnsi="Times New Roman"/>
          <w:b/>
        </w:rPr>
        <w:t xml:space="preserve"> </w:t>
      </w:r>
      <w:r w:rsidRPr="00632DBC">
        <w:rPr>
          <w:rFonts w:ascii="Times New Roman" w:hAnsi="Times New Roman"/>
          <w:b/>
          <w:i/>
        </w:rPr>
        <w:t>Biodiversity underpins local livelihoods and resilience</w:t>
      </w:r>
    </w:p>
    <w:p w14:paraId="080D3FEF" w14:textId="733B2A5C" w:rsidR="003B5268" w:rsidRPr="00632DBC" w:rsidRDefault="00685667" w:rsidP="007C5C2D">
      <w:pPr>
        <w:pStyle w:val="ListParagraph"/>
        <w:numPr>
          <w:ilvl w:val="0"/>
          <w:numId w:val="41"/>
        </w:numPr>
        <w:ind w:right="50"/>
        <w:jc w:val="both"/>
        <w:rPr>
          <w:sz w:val="22"/>
          <w:szCs w:val="22"/>
          <w:lang w:val="en-GB"/>
        </w:rPr>
      </w:pPr>
      <w:r w:rsidRPr="00632DBC">
        <w:rPr>
          <w:b/>
          <w:i/>
          <w:sz w:val="22"/>
          <w:szCs w:val="22"/>
          <w:lang w:val="en-GB"/>
        </w:rPr>
        <w:t>Increasing r</w:t>
      </w:r>
      <w:r w:rsidR="003B5268" w:rsidRPr="00632DBC">
        <w:rPr>
          <w:b/>
          <w:i/>
          <w:sz w:val="22"/>
          <w:szCs w:val="22"/>
          <w:lang w:val="en-GB"/>
        </w:rPr>
        <w:t xml:space="preserve">esilience of livelihoods </w:t>
      </w:r>
      <w:r w:rsidR="00B04D8C" w:rsidRPr="00632DBC">
        <w:rPr>
          <w:b/>
          <w:i/>
          <w:sz w:val="22"/>
          <w:szCs w:val="22"/>
          <w:lang w:val="en-GB"/>
        </w:rPr>
        <w:t xml:space="preserve">and not </w:t>
      </w:r>
      <w:r w:rsidR="00CB7DC1" w:rsidRPr="00632DBC">
        <w:rPr>
          <w:b/>
          <w:i/>
          <w:sz w:val="22"/>
          <w:szCs w:val="22"/>
          <w:lang w:val="en-GB"/>
        </w:rPr>
        <w:t xml:space="preserve">only </w:t>
      </w:r>
      <w:r w:rsidR="004453B6" w:rsidRPr="00632DBC">
        <w:rPr>
          <w:b/>
          <w:i/>
          <w:sz w:val="22"/>
          <w:szCs w:val="22"/>
          <w:lang w:val="en-GB"/>
        </w:rPr>
        <w:t xml:space="preserve">resilience </w:t>
      </w:r>
      <w:r w:rsidR="00B04D8C" w:rsidRPr="00632DBC">
        <w:rPr>
          <w:b/>
          <w:i/>
          <w:sz w:val="22"/>
          <w:szCs w:val="22"/>
          <w:lang w:val="en-GB"/>
        </w:rPr>
        <w:t xml:space="preserve">of </w:t>
      </w:r>
      <w:r w:rsidR="008B417D" w:rsidRPr="00632DBC">
        <w:rPr>
          <w:b/>
          <w:i/>
          <w:sz w:val="22"/>
          <w:szCs w:val="22"/>
          <w:lang w:val="en-GB"/>
        </w:rPr>
        <w:t>income</w:t>
      </w:r>
      <w:r w:rsidR="003B5268" w:rsidRPr="00632DBC">
        <w:rPr>
          <w:i/>
          <w:sz w:val="22"/>
          <w:szCs w:val="22"/>
          <w:lang w:val="en-GB"/>
        </w:rPr>
        <w:t>.</w:t>
      </w:r>
      <w:r w:rsidR="003B5268" w:rsidRPr="00632DBC">
        <w:rPr>
          <w:sz w:val="22"/>
          <w:szCs w:val="22"/>
          <w:lang w:val="en-GB"/>
        </w:rPr>
        <w:t xml:space="preserve"> As </w:t>
      </w:r>
      <w:r w:rsidRPr="00632DBC">
        <w:rPr>
          <w:sz w:val="22"/>
          <w:szCs w:val="22"/>
          <w:lang w:val="en-GB"/>
        </w:rPr>
        <w:t>landowners secured</w:t>
      </w:r>
      <w:r w:rsidR="003B5268" w:rsidRPr="00632DBC">
        <w:rPr>
          <w:sz w:val="22"/>
          <w:szCs w:val="22"/>
          <w:lang w:val="en-GB"/>
        </w:rPr>
        <w:t xml:space="preserve"> </w:t>
      </w:r>
      <w:r w:rsidRPr="00632DBC">
        <w:rPr>
          <w:sz w:val="22"/>
          <w:szCs w:val="22"/>
          <w:lang w:val="en-GB"/>
        </w:rPr>
        <w:t>a</w:t>
      </w:r>
      <w:r w:rsidR="003B5268" w:rsidRPr="00632DBC">
        <w:rPr>
          <w:sz w:val="22"/>
          <w:szCs w:val="22"/>
          <w:lang w:val="en-GB"/>
        </w:rPr>
        <w:t xml:space="preserve"> stable source of income during droughts</w:t>
      </w:r>
      <w:r w:rsidRPr="00632DBC">
        <w:rPr>
          <w:sz w:val="22"/>
          <w:szCs w:val="22"/>
          <w:lang w:val="en-GB"/>
        </w:rPr>
        <w:t>,</w:t>
      </w:r>
      <w:r w:rsidR="003B5268" w:rsidRPr="00632DBC">
        <w:rPr>
          <w:sz w:val="22"/>
          <w:szCs w:val="22"/>
          <w:lang w:val="en-GB"/>
        </w:rPr>
        <w:t xml:space="preserve"> they </w:t>
      </w:r>
      <w:r w:rsidRPr="00632DBC">
        <w:rPr>
          <w:sz w:val="22"/>
          <w:szCs w:val="22"/>
          <w:lang w:val="en-GB"/>
        </w:rPr>
        <w:t>managed to overco</w:t>
      </w:r>
      <w:r w:rsidR="003B5268" w:rsidRPr="00632DBC">
        <w:rPr>
          <w:sz w:val="22"/>
          <w:szCs w:val="22"/>
          <w:lang w:val="en-GB"/>
        </w:rPr>
        <w:t>me crises without dropping out of the PES scheme.</w:t>
      </w:r>
      <w:r w:rsidR="0097136C" w:rsidRPr="00632DBC">
        <w:rPr>
          <w:sz w:val="22"/>
          <w:szCs w:val="22"/>
          <w:lang w:val="en-GB"/>
        </w:rPr>
        <w:t xml:space="preserve"> Nonetheless</w:t>
      </w:r>
      <w:r w:rsidR="003B5268" w:rsidRPr="00632DBC">
        <w:rPr>
          <w:sz w:val="22"/>
          <w:szCs w:val="22"/>
          <w:lang w:val="en-GB"/>
        </w:rPr>
        <w:t>,</w:t>
      </w:r>
      <w:r w:rsidR="00ED6BE9" w:rsidRPr="00632DBC">
        <w:rPr>
          <w:sz w:val="22"/>
          <w:szCs w:val="22"/>
          <w:lang w:val="en-GB"/>
        </w:rPr>
        <w:t xml:space="preserve"> the</w:t>
      </w:r>
      <w:r w:rsidR="003B5268" w:rsidRPr="00632DBC">
        <w:rPr>
          <w:sz w:val="22"/>
          <w:szCs w:val="22"/>
          <w:lang w:val="en-GB"/>
        </w:rPr>
        <w:t xml:space="preserve"> </w:t>
      </w:r>
      <w:r w:rsidR="0097136C" w:rsidRPr="00632DBC">
        <w:rPr>
          <w:sz w:val="22"/>
          <w:szCs w:val="22"/>
          <w:lang w:val="en-GB"/>
        </w:rPr>
        <w:t>herd</w:t>
      </w:r>
      <w:r w:rsidR="00ED6BE9" w:rsidRPr="00632DBC">
        <w:rPr>
          <w:sz w:val="22"/>
          <w:szCs w:val="22"/>
          <w:lang w:val="en-GB"/>
        </w:rPr>
        <w:t>ers’ access to pasture lands was</w:t>
      </w:r>
      <w:r w:rsidR="008B417D" w:rsidRPr="00632DBC">
        <w:rPr>
          <w:sz w:val="22"/>
          <w:szCs w:val="22"/>
          <w:lang w:val="en-GB"/>
        </w:rPr>
        <w:t xml:space="preserve"> reduced and </w:t>
      </w:r>
      <w:r w:rsidR="0097136C" w:rsidRPr="00632DBC">
        <w:rPr>
          <w:sz w:val="22"/>
          <w:szCs w:val="22"/>
          <w:lang w:val="en-GB"/>
        </w:rPr>
        <w:t xml:space="preserve">therefore, </w:t>
      </w:r>
      <w:r w:rsidR="003B5268" w:rsidRPr="00632DBC">
        <w:rPr>
          <w:sz w:val="22"/>
          <w:szCs w:val="22"/>
          <w:lang w:val="en-GB"/>
        </w:rPr>
        <w:t xml:space="preserve">resources that </w:t>
      </w:r>
      <w:r w:rsidR="008B417D" w:rsidRPr="00632DBC">
        <w:rPr>
          <w:sz w:val="22"/>
          <w:szCs w:val="22"/>
          <w:lang w:val="en-GB"/>
        </w:rPr>
        <w:t>were</w:t>
      </w:r>
      <w:r w:rsidR="003B5268" w:rsidRPr="00632DBC">
        <w:rPr>
          <w:sz w:val="22"/>
          <w:szCs w:val="22"/>
          <w:lang w:val="en-GB"/>
        </w:rPr>
        <w:t xml:space="preserve"> </w:t>
      </w:r>
      <w:r w:rsidR="00B04D8C" w:rsidRPr="00632DBC">
        <w:rPr>
          <w:sz w:val="22"/>
          <w:szCs w:val="22"/>
          <w:lang w:val="en-GB"/>
        </w:rPr>
        <w:t>crucial</w:t>
      </w:r>
      <w:r w:rsidR="003B5268" w:rsidRPr="00632DBC">
        <w:rPr>
          <w:sz w:val="22"/>
          <w:szCs w:val="22"/>
          <w:lang w:val="en-GB"/>
        </w:rPr>
        <w:t xml:space="preserve"> to deal with severe or extreme droughts </w:t>
      </w:r>
      <w:r w:rsidR="0097136C" w:rsidRPr="00632DBC">
        <w:rPr>
          <w:sz w:val="22"/>
          <w:szCs w:val="22"/>
          <w:lang w:val="en-GB"/>
        </w:rPr>
        <w:t>were</w:t>
      </w:r>
      <w:r w:rsidR="003B5268" w:rsidRPr="00632DBC">
        <w:rPr>
          <w:sz w:val="22"/>
          <w:szCs w:val="22"/>
          <w:lang w:val="en-GB"/>
        </w:rPr>
        <w:t xml:space="preserve"> not </w:t>
      </w:r>
      <w:r w:rsidR="00C94F69" w:rsidRPr="00632DBC">
        <w:rPr>
          <w:sz w:val="22"/>
          <w:szCs w:val="22"/>
          <w:lang w:val="en-GB"/>
        </w:rPr>
        <w:t>available. This</w:t>
      </w:r>
      <w:r w:rsidR="0097136C" w:rsidRPr="00632DBC">
        <w:rPr>
          <w:sz w:val="22"/>
          <w:szCs w:val="22"/>
          <w:lang w:val="en-GB"/>
        </w:rPr>
        <w:t xml:space="preserve"> reduced the herds’ ability to recover and </w:t>
      </w:r>
      <w:r w:rsidR="00C94F69" w:rsidRPr="00632DBC">
        <w:rPr>
          <w:sz w:val="22"/>
          <w:szCs w:val="22"/>
          <w:lang w:val="en-GB"/>
        </w:rPr>
        <w:t>as a result the</w:t>
      </w:r>
      <w:r w:rsidR="0097136C" w:rsidRPr="00632DBC">
        <w:rPr>
          <w:sz w:val="22"/>
          <w:szCs w:val="22"/>
          <w:lang w:val="en-GB"/>
        </w:rPr>
        <w:t xml:space="preserve"> resilience of herders’ livelihood</w:t>
      </w:r>
      <w:r w:rsidR="008B417D" w:rsidRPr="00632DBC">
        <w:rPr>
          <w:sz w:val="22"/>
          <w:szCs w:val="22"/>
          <w:lang w:val="en-GB"/>
        </w:rPr>
        <w:t xml:space="preserve"> cri</w:t>
      </w:r>
      <w:r w:rsidR="00B04D8C" w:rsidRPr="00632DBC">
        <w:rPr>
          <w:sz w:val="22"/>
          <w:szCs w:val="22"/>
          <w:lang w:val="en-GB"/>
        </w:rPr>
        <w:t>ti</w:t>
      </w:r>
      <w:r w:rsidR="008B417D" w:rsidRPr="00632DBC">
        <w:rPr>
          <w:sz w:val="22"/>
          <w:szCs w:val="22"/>
          <w:lang w:val="en-GB"/>
        </w:rPr>
        <w:t>cally decreased</w:t>
      </w:r>
      <w:r w:rsidR="003B5268" w:rsidRPr="00632DBC">
        <w:rPr>
          <w:sz w:val="22"/>
          <w:szCs w:val="22"/>
          <w:lang w:val="en-GB"/>
        </w:rPr>
        <w:t>. In</w:t>
      </w:r>
      <w:r w:rsidR="00C94F69" w:rsidRPr="00632DBC">
        <w:rPr>
          <w:sz w:val="22"/>
          <w:szCs w:val="22"/>
          <w:lang w:val="en-GB"/>
        </w:rPr>
        <w:t xml:space="preserve"> the </w:t>
      </w:r>
      <w:proofErr w:type="spellStart"/>
      <w:r w:rsidR="00C94F69" w:rsidRPr="00632DBC">
        <w:rPr>
          <w:sz w:val="22"/>
          <w:szCs w:val="22"/>
          <w:lang w:val="en-GB"/>
        </w:rPr>
        <w:t>Ol</w:t>
      </w:r>
      <w:proofErr w:type="spellEnd"/>
      <w:r w:rsidR="00C94F69" w:rsidRPr="00632DBC">
        <w:rPr>
          <w:sz w:val="22"/>
          <w:szCs w:val="22"/>
          <w:lang w:val="en-GB"/>
        </w:rPr>
        <w:t xml:space="preserve"> </w:t>
      </w:r>
      <w:proofErr w:type="spellStart"/>
      <w:r w:rsidR="00C94F69" w:rsidRPr="00632DBC">
        <w:rPr>
          <w:sz w:val="22"/>
          <w:szCs w:val="22"/>
          <w:lang w:val="en-GB"/>
        </w:rPr>
        <w:t>Kiramatian</w:t>
      </w:r>
      <w:proofErr w:type="spellEnd"/>
      <w:r w:rsidR="00C94F69" w:rsidRPr="00632DBC">
        <w:rPr>
          <w:sz w:val="22"/>
          <w:szCs w:val="22"/>
          <w:lang w:val="en-GB"/>
        </w:rPr>
        <w:t xml:space="preserve"> conservancy (</w:t>
      </w:r>
      <w:r w:rsidR="008B417D" w:rsidRPr="00632DBC">
        <w:rPr>
          <w:sz w:val="22"/>
          <w:szCs w:val="22"/>
          <w:lang w:val="en-GB"/>
        </w:rPr>
        <w:t xml:space="preserve">also </w:t>
      </w:r>
      <w:r w:rsidR="003B5268" w:rsidRPr="00632DBC">
        <w:rPr>
          <w:sz w:val="22"/>
          <w:szCs w:val="22"/>
          <w:lang w:val="en-GB"/>
        </w:rPr>
        <w:t>lo</w:t>
      </w:r>
      <w:r w:rsidR="00C94F69" w:rsidRPr="00632DBC">
        <w:rPr>
          <w:sz w:val="22"/>
          <w:szCs w:val="22"/>
          <w:lang w:val="en-GB"/>
        </w:rPr>
        <w:t xml:space="preserve">cated in the </w:t>
      </w:r>
      <w:proofErr w:type="spellStart"/>
      <w:r w:rsidR="00C94F69" w:rsidRPr="00632DBC">
        <w:rPr>
          <w:sz w:val="22"/>
          <w:szCs w:val="22"/>
          <w:lang w:val="en-GB"/>
        </w:rPr>
        <w:t>Maasai</w:t>
      </w:r>
      <w:proofErr w:type="spellEnd"/>
      <w:r w:rsidR="00C94F69" w:rsidRPr="00632DBC">
        <w:rPr>
          <w:sz w:val="22"/>
          <w:szCs w:val="22"/>
          <w:lang w:val="en-GB"/>
        </w:rPr>
        <w:t xml:space="preserve"> Mara region),</w:t>
      </w:r>
      <w:r w:rsidR="003B5268" w:rsidRPr="00632DBC">
        <w:rPr>
          <w:sz w:val="22"/>
          <w:szCs w:val="22"/>
          <w:lang w:val="en-GB"/>
        </w:rPr>
        <w:t xml:space="preserve"> the government of Kenya along with the Global Environmental Facility (GEF) entered </w:t>
      </w:r>
      <w:r w:rsidR="008B417D" w:rsidRPr="00632DBC">
        <w:rPr>
          <w:sz w:val="22"/>
          <w:szCs w:val="22"/>
          <w:lang w:val="en-GB"/>
        </w:rPr>
        <w:t xml:space="preserve">into </w:t>
      </w:r>
      <w:r w:rsidR="003B5268" w:rsidRPr="00632DBC">
        <w:rPr>
          <w:sz w:val="22"/>
          <w:szCs w:val="22"/>
          <w:lang w:val="en-GB"/>
        </w:rPr>
        <w:t xml:space="preserve">a PES agreement with a community whose land </w:t>
      </w:r>
      <w:r w:rsidR="00EC5305" w:rsidRPr="00632DBC">
        <w:rPr>
          <w:sz w:val="22"/>
          <w:szCs w:val="22"/>
          <w:lang w:val="en-GB"/>
        </w:rPr>
        <w:t>was</w:t>
      </w:r>
      <w:r w:rsidR="003B5268" w:rsidRPr="00632DBC">
        <w:rPr>
          <w:sz w:val="22"/>
          <w:szCs w:val="22"/>
          <w:lang w:val="en-GB"/>
        </w:rPr>
        <w:t xml:space="preserve"> under collective </w:t>
      </w:r>
      <w:r w:rsidR="00EC5305" w:rsidRPr="00632DBC">
        <w:rPr>
          <w:sz w:val="22"/>
          <w:szCs w:val="22"/>
          <w:lang w:val="en-GB"/>
        </w:rPr>
        <w:t>property</w:t>
      </w:r>
      <w:r w:rsidR="003B5268" w:rsidRPr="00632DBC">
        <w:rPr>
          <w:sz w:val="22"/>
          <w:szCs w:val="22"/>
          <w:lang w:val="en-GB"/>
        </w:rPr>
        <w:t>. In that agreement</w:t>
      </w:r>
      <w:r w:rsidR="002C03BD" w:rsidRPr="00632DBC">
        <w:rPr>
          <w:sz w:val="22"/>
          <w:szCs w:val="22"/>
          <w:lang w:val="en-GB"/>
        </w:rPr>
        <w:t>,</w:t>
      </w:r>
      <w:r w:rsidR="003B5268" w:rsidRPr="00632DBC">
        <w:rPr>
          <w:sz w:val="22"/>
          <w:szCs w:val="22"/>
          <w:lang w:val="en-GB"/>
        </w:rPr>
        <w:t xml:space="preserve"> </w:t>
      </w:r>
      <w:r w:rsidR="002C03BD" w:rsidRPr="00632DBC">
        <w:rPr>
          <w:sz w:val="22"/>
          <w:szCs w:val="22"/>
          <w:lang w:val="en-GB"/>
        </w:rPr>
        <w:t>herders</w:t>
      </w:r>
      <w:r w:rsidR="003B5268" w:rsidRPr="00632DBC">
        <w:rPr>
          <w:sz w:val="22"/>
          <w:szCs w:val="22"/>
          <w:lang w:val="en-GB"/>
        </w:rPr>
        <w:t xml:space="preserve"> </w:t>
      </w:r>
      <w:proofErr w:type="gramStart"/>
      <w:r w:rsidR="00EC5305" w:rsidRPr="00632DBC">
        <w:rPr>
          <w:sz w:val="22"/>
          <w:szCs w:val="22"/>
          <w:lang w:val="en-GB"/>
        </w:rPr>
        <w:t>were</w:t>
      </w:r>
      <w:r w:rsidR="003B5268" w:rsidRPr="00632DBC">
        <w:rPr>
          <w:sz w:val="22"/>
          <w:szCs w:val="22"/>
          <w:lang w:val="en-GB"/>
        </w:rPr>
        <w:t xml:space="preserve"> allowed to</w:t>
      </w:r>
      <w:proofErr w:type="gramEnd"/>
      <w:r w:rsidR="003B5268" w:rsidRPr="00632DBC">
        <w:rPr>
          <w:sz w:val="22"/>
          <w:szCs w:val="22"/>
          <w:lang w:val="en-GB"/>
        </w:rPr>
        <w:t xml:space="preserve"> use the conservancy as a drought refuge during severe and extreme</w:t>
      </w:r>
      <w:r w:rsidR="00BC112C" w:rsidRPr="00632DBC">
        <w:rPr>
          <w:sz w:val="22"/>
          <w:szCs w:val="22"/>
          <w:lang w:val="en-GB"/>
        </w:rPr>
        <w:t xml:space="preserve"> droughts. This measure prevented</w:t>
      </w:r>
      <w:r w:rsidR="003B5268" w:rsidRPr="00632DBC">
        <w:rPr>
          <w:sz w:val="22"/>
          <w:szCs w:val="22"/>
          <w:lang w:val="en-GB"/>
        </w:rPr>
        <w:t xml:space="preserve"> herders </w:t>
      </w:r>
      <w:r w:rsidR="001A43C5" w:rsidRPr="00632DBC">
        <w:rPr>
          <w:sz w:val="22"/>
          <w:szCs w:val="22"/>
          <w:lang w:val="en-GB"/>
        </w:rPr>
        <w:t>from</w:t>
      </w:r>
      <w:r w:rsidR="003D2F1B" w:rsidRPr="00632DBC">
        <w:rPr>
          <w:sz w:val="22"/>
          <w:szCs w:val="22"/>
          <w:lang w:val="en-GB"/>
        </w:rPr>
        <w:t xml:space="preserve"> </w:t>
      </w:r>
      <w:r w:rsidR="00694D8C" w:rsidRPr="00632DBC">
        <w:rPr>
          <w:sz w:val="22"/>
          <w:szCs w:val="22"/>
          <w:lang w:val="en-GB"/>
        </w:rPr>
        <w:t xml:space="preserve">critically </w:t>
      </w:r>
      <w:r w:rsidR="003E2184" w:rsidRPr="00632DBC">
        <w:rPr>
          <w:sz w:val="22"/>
          <w:szCs w:val="22"/>
          <w:lang w:val="en-GB"/>
        </w:rPr>
        <w:t>losing</w:t>
      </w:r>
      <w:r w:rsidR="00C94F69" w:rsidRPr="00632DBC">
        <w:rPr>
          <w:sz w:val="22"/>
          <w:szCs w:val="22"/>
          <w:lang w:val="en-GB"/>
        </w:rPr>
        <w:t xml:space="preserve"> livestock, which </w:t>
      </w:r>
      <w:proofErr w:type="gramStart"/>
      <w:r w:rsidR="00C94F69" w:rsidRPr="00632DBC">
        <w:rPr>
          <w:sz w:val="22"/>
          <w:szCs w:val="22"/>
          <w:lang w:val="en-GB"/>
        </w:rPr>
        <w:t>as a</w:t>
      </w:r>
      <w:r w:rsidR="003D2F1B" w:rsidRPr="00632DBC">
        <w:rPr>
          <w:sz w:val="22"/>
          <w:szCs w:val="22"/>
          <w:lang w:val="en-GB"/>
        </w:rPr>
        <w:t xml:space="preserve"> consequence</w:t>
      </w:r>
      <w:proofErr w:type="gramEnd"/>
      <w:r w:rsidR="001A43C5" w:rsidRPr="00632DBC">
        <w:rPr>
          <w:sz w:val="22"/>
          <w:szCs w:val="22"/>
          <w:lang w:val="en-GB"/>
        </w:rPr>
        <w:t>,</w:t>
      </w:r>
      <w:r w:rsidR="003B5268" w:rsidRPr="00632DBC">
        <w:rPr>
          <w:sz w:val="22"/>
          <w:szCs w:val="22"/>
          <w:lang w:val="en-GB"/>
        </w:rPr>
        <w:t xml:space="preserve"> </w:t>
      </w:r>
      <w:r w:rsidR="001A43C5" w:rsidRPr="00632DBC">
        <w:rPr>
          <w:sz w:val="22"/>
          <w:szCs w:val="22"/>
          <w:lang w:val="en-GB"/>
        </w:rPr>
        <w:t>increased</w:t>
      </w:r>
      <w:r w:rsidR="003B5268" w:rsidRPr="00632DBC">
        <w:rPr>
          <w:sz w:val="22"/>
          <w:szCs w:val="22"/>
          <w:lang w:val="en-GB"/>
        </w:rPr>
        <w:t xml:space="preserve"> their </w:t>
      </w:r>
      <w:r w:rsidR="002C03BD" w:rsidRPr="00632DBC">
        <w:rPr>
          <w:sz w:val="22"/>
          <w:szCs w:val="22"/>
          <w:lang w:val="en-GB"/>
        </w:rPr>
        <w:t xml:space="preserve">livelihood’s </w:t>
      </w:r>
      <w:r w:rsidR="003B5268" w:rsidRPr="00632DBC">
        <w:rPr>
          <w:sz w:val="22"/>
          <w:szCs w:val="22"/>
          <w:lang w:val="en-GB"/>
        </w:rPr>
        <w:t>r</w:t>
      </w:r>
      <w:r w:rsidR="001A43C5" w:rsidRPr="00632DBC">
        <w:rPr>
          <w:sz w:val="22"/>
          <w:szCs w:val="22"/>
          <w:lang w:val="en-GB"/>
        </w:rPr>
        <w:t>esilience</w:t>
      </w:r>
      <w:r w:rsidR="003B5268" w:rsidRPr="00632DBC">
        <w:rPr>
          <w:sz w:val="22"/>
          <w:szCs w:val="22"/>
          <w:lang w:val="en-GB"/>
        </w:rPr>
        <w:t xml:space="preserve">. </w:t>
      </w:r>
      <w:r w:rsidR="00694D8C" w:rsidRPr="00632DBC">
        <w:rPr>
          <w:sz w:val="22"/>
          <w:szCs w:val="22"/>
          <w:lang w:val="en-GB"/>
        </w:rPr>
        <w:t xml:space="preserve">Under this more flexible </w:t>
      </w:r>
      <w:r w:rsidR="00B04D8C" w:rsidRPr="00632DBC">
        <w:rPr>
          <w:sz w:val="22"/>
          <w:szCs w:val="22"/>
          <w:lang w:val="en-GB"/>
        </w:rPr>
        <w:t>arrangement,</w:t>
      </w:r>
      <w:r w:rsidR="00694D8C" w:rsidRPr="00632DBC">
        <w:rPr>
          <w:sz w:val="22"/>
          <w:szCs w:val="22"/>
          <w:lang w:val="en-GB"/>
        </w:rPr>
        <w:t xml:space="preserve"> PES</w:t>
      </w:r>
      <w:r w:rsidR="003B5268" w:rsidRPr="00632DBC">
        <w:rPr>
          <w:sz w:val="22"/>
          <w:szCs w:val="22"/>
          <w:lang w:val="en-GB"/>
        </w:rPr>
        <w:t xml:space="preserve"> </w:t>
      </w:r>
      <w:r w:rsidR="00694D8C" w:rsidRPr="00632DBC">
        <w:rPr>
          <w:sz w:val="22"/>
          <w:szCs w:val="22"/>
          <w:lang w:val="en-GB"/>
        </w:rPr>
        <w:t>can serve as</w:t>
      </w:r>
      <w:r w:rsidR="001A43C5" w:rsidRPr="00632DBC">
        <w:rPr>
          <w:sz w:val="22"/>
          <w:szCs w:val="22"/>
          <w:lang w:val="en-GB"/>
        </w:rPr>
        <w:t xml:space="preserve"> a</w:t>
      </w:r>
      <w:r w:rsidR="003B5268" w:rsidRPr="00632DBC">
        <w:rPr>
          <w:sz w:val="22"/>
          <w:szCs w:val="22"/>
          <w:lang w:val="en-GB"/>
        </w:rPr>
        <w:t xml:space="preserve"> climate change adaptation tool </w:t>
      </w:r>
      <w:r w:rsidR="00C94F69" w:rsidRPr="00632DBC">
        <w:rPr>
          <w:sz w:val="22"/>
          <w:szCs w:val="22"/>
          <w:lang w:val="en-GB"/>
        </w:rPr>
        <w:t xml:space="preserve">that is </w:t>
      </w:r>
      <w:r w:rsidR="003B5268" w:rsidRPr="00632DBC">
        <w:rPr>
          <w:sz w:val="22"/>
          <w:szCs w:val="22"/>
          <w:lang w:val="en-GB"/>
        </w:rPr>
        <w:t>relevant in the Kenyan context</w:t>
      </w:r>
      <w:r w:rsidR="00694D8C" w:rsidRPr="00632DBC">
        <w:rPr>
          <w:sz w:val="22"/>
          <w:szCs w:val="22"/>
          <w:lang w:val="en-GB"/>
        </w:rPr>
        <w:t>,</w:t>
      </w:r>
      <w:r w:rsidR="003B5268" w:rsidRPr="00632DBC">
        <w:rPr>
          <w:sz w:val="22"/>
          <w:szCs w:val="22"/>
          <w:lang w:val="en-GB"/>
        </w:rPr>
        <w:t xml:space="preserve"> where intense and frequent droughts </w:t>
      </w:r>
      <w:r w:rsidR="00AD0E77" w:rsidRPr="00632DBC">
        <w:rPr>
          <w:sz w:val="22"/>
          <w:szCs w:val="22"/>
          <w:lang w:val="en-GB"/>
        </w:rPr>
        <w:t>form part of</w:t>
      </w:r>
      <w:r w:rsidR="003B5268" w:rsidRPr="00632DBC">
        <w:rPr>
          <w:sz w:val="22"/>
          <w:szCs w:val="22"/>
          <w:lang w:val="en-GB"/>
        </w:rPr>
        <w:t xml:space="preserve"> a likely </w:t>
      </w:r>
      <w:r w:rsidR="001A43C5" w:rsidRPr="00632DBC">
        <w:rPr>
          <w:sz w:val="22"/>
          <w:szCs w:val="22"/>
          <w:lang w:val="en-GB"/>
        </w:rPr>
        <w:t xml:space="preserve">future </w:t>
      </w:r>
      <w:r w:rsidR="003B5268" w:rsidRPr="00632DBC">
        <w:rPr>
          <w:sz w:val="22"/>
          <w:szCs w:val="22"/>
          <w:lang w:val="en-GB"/>
        </w:rPr>
        <w:t>scenario.</w:t>
      </w:r>
    </w:p>
    <w:p w14:paraId="7F5A7A1A" w14:textId="77777777" w:rsidR="003B5268" w:rsidRPr="00632DBC" w:rsidRDefault="003B5268" w:rsidP="008038BC">
      <w:pPr>
        <w:pStyle w:val="ListParagraph"/>
        <w:ind w:right="50"/>
        <w:jc w:val="both"/>
        <w:rPr>
          <w:sz w:val="22"/>
          <w:szCs w:val="22"/>
          <w:lang w:val="en-GB"/>
        </w:rPr>
      </w:pPr>
    </w:p>
    <w:p w14:paraId="39999F8A" w14:textId="69689379" w:rsidR="009E31C1" w:rsidRPr="00632DBC" w:rsidRDefault="00931C39" w:rsidP="007C5C2D">
      <w:pPr>
        <w:pStyle w:val="ListParagraph"/>
        <w:numPr>
          <w:ilvl w:val="0"/>
          <w:numId w:val="41"/>
        </w:numPr>
        <w:ind w:right="-233"/>
        <w:jc w:val="both"/>
        <w:rPr>
          <w:sz w:val="22"/>
          <w:szCs w:val="22"/>
          <w:lang w:val="en-GB"/>
        </w:rPr>
      </w:pPr>
      <w:r w:rsidRPr="00632DBC">
        <w:rPr>
          <w:b/>
          <w:i/>
          <w:sz w:val="22"/>
          <w:szCs w:val="22"/>
          <w:lang w:val="en-GB"/>
        </w:rPr>
        <w:t>Creating funds to</w:t>
      </w:r>
      <w:r w:rsidR="00AC7F8D" w:rsidRPr="00632DBC">
        <w:rPr>
          <w:b/>
          <w:i/>
          <w:sz w:val="22"/>
          <w:szCs w:val="22"/>
          <w:lang w:val="en-GB"/>
        </w:rPr>
        <w:t xml:space="preserve"> </w:t>
      </w:r>
      <w:r w:rsidRPr="00632DBC">
        <w:rPr>
          <w:b/>
          <w:i/>
          <w:sz w:val="22"/>
          <w:szCs w:val="22"/>
          <w:lang w:val="en-GB"/>
        </w:rPr>
        <w:t>safeguard</w:t>
      </w:r>
      <w:r w:rsidR="0044066C" w:rsidRPr="00632DBC">
        <w:rPr>
          <w:b/>
          <w:i/>
          <w:sz w:val="22"/>
          <w:szCs w:val="22"/>
          <w:lang w:val="en-GB"/>
        </w:rPr>
        <w:t xml:space="preserve"> long term </w:t>
      </w:r>
      <w:r w:rsidR="00AC7F8D" w:rsidRPr="00632DBC">
        <w:rPr>
          <w:b/>
          <w:i/>
          <w:sz w:val="22"/>
          <w:szCs w:val="22"/>
          <w:lang w:val="en-GB"/>
        </w:rPr>
        <w:t>PES arrangement</w:t>
      </w:r>
      <w:r w:rsidR="0044066C" w:rsidRPr="00632DBC">
        <w:rPr>
          <w:b/>
          <w:i/>
          <w:sz w:val="22"/>
          <w:szCs w:val="22"/>
          <w:lang w:val="en-GB"/>
        </w:rPr>
        <w:t>s</w:t>
      </w:r>
      <w:r w:rsidR="003B5268" w:rsidRPr="00632DBC">
        <w:rPr>
          <w:sz w:val="22"/>
          <w:szCs w:val="22"/>
          <w:lang w:val="en-GB"/>
        </w:rPr>
        <w:t xml:space="preserve">. In the </w:t>
      </w:r>
      <w:proofErr w:type="spellStart"/>
      <w:r w:rsidR="003B5268" w:rsidRPr="00632DBC">
        <w:rPr>
          <w:sz w:val="22"/>
          <w:szCs w:val="22"/>
          <w:lang w:val="en-GB"/>
        </w:rPr>
        <w:t>Olare</w:t>
      </w:r>
      <w:proofErr w:type="spellEnd"/>
      <w:r w:rsidR="003B5268" w:rsidRPr="00632DBC">
        <w:rPr>
          <w:sz w:val="22"/>
          <w:szCs w:val="22"/>
          <w:lang w:val="en-GB"/>
        </w:rPr>
        <w:t xml:space="preserve"> </w:t>
      </w:r>
      <w:proofErr w:type="spellStart"/>
      <w:r w:rsidR="003B5268" w:rsidRPr="00632DBC">
        <w:rPr>
          <w:sz w:val="22"/>
          <w:szCs w:val="22"/>
          <w:lang w:val="en-GB"/>
        </w:rPr>
        <w:t>Orok</w:t>
      </w:r>
      <w:proofErr w:type="spellEnd"/>
      <w:r w:rsidR="003B5268" w:rsidRPr="00632DBC">
        <w:rPr>
          <w:sz w:val="22"/>
          <w:szCs w:val="22"/>
          <w:lang w:val="en-GB"/>
        </w:rPr>
        <w:t xml:space="preserve"> Conservancy, tourism operators created a contingency fund that enabled them to </w:t>
      </w:r>
      <w:r w:rsidR="00422BEA" w:rsidRPr="00632DBC">
        <w:rPr>
          <w:sz w:val="22"/>
          <w:szCs w:val="22"/>
          <w:lang w:val="en-GB"/>
        </w:rPr>
        <w:t xml:space="preserve">make payments </w:t>
      </w:r>
      <w:r w:rsidR="003B5268" w:rsidRPr="00632DBC">
        <w:rPr>
          <w:sz w:val="22"/>
          <w:szCs w:val="22"/>
          <w:lang w:val="en-GB"/>
        </w:rPr>
        <w:t xml:space="preserve">to landowners </w:t>
      </w:r>
      <w:r w:rsidR="00950EDF" w:rsidRPr="00632DBC">
        <w:rPr>
          <w:sz w:val="22"/>
          <w:szCs w:val="22"/>
          <w:lang w:val="en-GB"/>
        </w:rPr>
        <w:t xml:space="preserve">regardless of </w:t>
      </w:r>
      <w:r w:rsidR="00B858E7" w:rsidRPr="00632DBC">
        <w:rPr>
          <w:sz w:val="22"/>
          <w:szCs w:val="22"/>
          <w:lang w:val="en-GB"/>
        </w:rPr>
        <w:t xml:space="preserve">the number of visitors. This was </w:t>
      </w:r>
      <w:r w:rsidR="00AC7F8D" w:rsidRPr="00632DBC">
        <w:rPr>
          <w:sz w:val="22"/>
          <w:szCs w:val="22"/>
          <w:lang w:val="en-GB"/>
        </w:rPr>
        <w:t xml:space="preserve">key </w:t>
      </w:r>
      <w:r w:rsidR="00AC2AF3" w:rsidRPr="00632DBC">
        <w:rPr>
          <w:sz w:val="22"/>
          <w:szCs w:val="22"/>
          <w:lang w:val="en-GB"/>
        </w:rPr>
        <w:t>to maintain</w:t>
      </w:r>
      <w:r w:rsidR="00B858E7" w:rsidRPr="00632DBC">
        <w:rPr>
          <w:sz w:val="22"/>
          <w:szCs w:val="22"/>
          <w:lang w:val="en-GB"/>
        </w:rPr>
        <w:t>ing</w:t>
      </w:r>
      <w:r w:rsidR="00AC2AF3" w:rsidRPr="00632DBC">
        <w:rPr>
          <w:sz w:val="22"/>
          <w:szCs w:val="22"/>
          <w:lang w:val="en-GB"/>
        </w:rPr>
        <w:t xml:space="preserve"> the conservancy </w:t>
      </w:r>
      <w:r w:rsidR="003B5268" w:rsidRPr="00632DBC">
        <w:rPr>
          <w:sz w:val="22"/>
          <w:szCs w:val="22"/>
          <w:lang w:val="en-GB"/>
        </w:rPr>
        <w:t>during the tourism industry crisis in 2007/2008 following post-election</w:t>
      </w:r>
      <w:r w:rsidR="0087499B" w:rsidRPr="00632DBC">
        <w:rPr>
          <w:sz w:val="22"/>
          <w:szCs w:val="22"/>
          <w:lang w:val="en-GB"/>
        </w:rPr>
        <w:t>s</w:t>
      </w:r>
      <w:r w:rsidR="003B5268" w:rsidRPr="00632DBC">
        <w:rPr>
          <w:sz w:val="22"/>
          <w:szCs w:val="22"/>
          <w:lang w:val="en-GB"/>
        </w:rPr>
        <w:t xml:space="preserve"> violence. </w:t>
      </w:r>
      <w:r w:rsidR="00932C85" w:rsidRPr="00632DBC">
        <w:rPr>
          <w:sz w:val="22"/>
          <w:szCs w:val="22"/>
          <w:lang w:val="en-GB"/>
        </w:rPr>
        <w:t>Securing</w:t>
      </w:r>
      <w:r w:rsidR="003B5268" w:rsidRPr="00632DBC">
        <w:rPr>
          <w:sz w:val="22"/>
          <w:szCs w:val="22"/>
          <w:lang w:val="en-GB"/>
        </w:rPr>
        <w:t xml:space="preserve"> landowners’ </w:t>
      </w:r>
      <w:r w:rsidR="0087499B" w:rsidRPr="00632DBC">
        <w:rPr>
          <w:sz w:val="22"/>
          <w:szCs w:val="22"/>
          <w:lang w:val="en-GB"/>
        </w:rPr>
        <w:t>income</w:t>
      </w:r>
      <w:r w:rsidR="00932C85" w:rsidRPr="00632DBC">
        <w:rPr>
          <w:sz w:val="22"/>
          <w:szCs w:val="22"/>
          <w:lang w:val="en-GB"/>
        </w:rPr>
        <w:t xml:space="preserve"> reduced </w:t>
      </w:r>
      <w:r w:rsidR="003B5268" w:rsidRPr="00632DBC">
        <w:rPr>
          <w:sz w:val="22"/>
          <w:szCs w:val="22"/>
          <w:lang w:val="en-GB"/>
        </w:rPr>
        <w:t xml:space="preserve">the </w:t>
      </w:r>
      <w:r w:rsidR="0087499B" w:rsidRPr="00632DBC">
        <w:rPr>
          <w:sz w:val="22"/>
          <w:szCs w:val="22"/>
          <w:lang w:val="en-GB"/>
        </w:rPr>
        <w:t>likelihood</w:t>
      </w:r>
      <w:r w:rsidR="003B5268" w:rsidRPr="00632DBC">
        <w:rPr>
          <w:sz w:val="22"/>
          <w:szCs w:val="22"/>
          <w:lang w:val="en-GB"/>
        </w:rPr>
        <w:t xml:space="preserve"> of them dropping off from the conservancy project</w:t>
      </w:r>
      <w:r w:rsidR="00932C85" w:rsidRPr="00632DBC">
        <w:rPr>
          <w:sz w:val="22"/>
          <w:szCs w:val="22"/>
          <w:lang w:val="en-GB"/>
        </w:rPr>
        <w:t>, which could have resulted in the</w:t>
      </w:r>
      <w:r w:rsidR="003B5268" w:rsidRPr="00632DBC">
        <w:rPr>
          <w:sz w:val="22"/>
          <w:szCs w:val="22"/>
          <w:lang w:val="en-GB"/>
        </w:rPr>
        <w:t xml:space="preserve"> disassembling</w:t>
      </w:r>
      <w:r w:rsidR="00932C85" w:rsidRPr="00632DBC">
        <w:rPr>
          <w:sz w:val="22"/>
          <w:szCs w:val="22"/>
          <w:lang w:val="en-GB"/>
        </w:rPr>
        <w:t xml:space="preserve"> of</w:t>
      </w:r>
      <w:r w:rsidR="003B5268" w:rsidRPr="00632DBC">
        <w:rPr>
          <w:sz w:val="22"/>
          <w:szCs w:val="22"/>
          <w:lang w:val="en-GB"/>
        </w:rPr>
        <w:t xml:space="preserve"> the territory </w:t>
      </w:r>
      <w:r w:rsidR="00932C85" w:rsidRPr="00632DBC">
        <w:rPr>
          <w:sz w:val="22"/>
          <w:szCs w:val="22"/>
          <w:lang w:val="en-GB"/>
        </w:rPr>
        <w:t xml:space="preserve">that </w:t>
      </w:r>
      <w:r w:rsidR="003B5268" w:rsidRPr="00632DBC">
        <w:rPr>
          <w:sz w:val="22"/>
          <w:szCs w:val="22"/>
          <w:lang w:val="en-GB"/>
        </w:rPr>
        <w:t>the conservancy is based</w:t>
      </w:r>
      <w:r w:rsidR="0087499B" w:rsidRPr="00632DBC">
        <w:rPr>
          <w:sz w:val="22"/>
          <w:szCs w:val="22"/>
          <w:lang w:val="en-GB"/>
        </w:rPr>
        <w:t xml:space="preserve"> on</w:t>
      </w:r>
      <w:r w:rsidR="003B5268" w:rsidRPr="00632DBC">
        <w:rPr>
          <w:sz w:val="22"/>
          <w:szCs w:val="22"/>
          <w:lang w:val="en-GB"/>
        </w:rPr>
        <w:t xml:space="preserve">. The conservancy fund acted as an instrument that safeguarded </w:t>
      </w:r>
      <w:r w:rsidR="0087499B" w:rsidRPr="00632DBC">
        <w:rPr>
          <w:sz w:val="22"/>
          <w:szCs w:val="22"/>
          <w:lang w:val="en-GB"/>
        </w:rPr>
        <w:t>landowners’ income</w:t>
      </w:r>
      <w:r w:rsidR="003B5268" w:rsidRPr="00632DBC">
        <w:rPr>
          <w:sz w:val="22"/>
          <w:szCs w:val="22"/>
          <w:lang w:val="en-GB"/>
        </w:rPr>
        <w:t xml:space="preserve"> and </w:t>
      </w:r>
      <w:r w:rsidR="0087499B" w:rsidRPr="00632DBC">
        <w:rPr>
          <w:sz w:val="22"/>
          <w:szCs w:val="22"/>
          <w:lang w:val="en-GB"/>
        </w:rPr>
        <w:t xml:space="preserve">indirectly </w:t>
      </w:r>
      <w:r w:rsidR="003B5268" w:rsidRPr="00632DBC">
        <w:rPr>
          <w:sz w:val="22"/>
          <w:szCs w:val="22"/>
          <w:lang w:val="en-GB"/>
        </w:rPr>
        <w:t xml:space="preserve">increased </w:t>
      </w:r>
      <w:r w:rsidR="0087499B" w:rsidRPr="00632DBC">
        <w:rPr>
          <w:sz w:val="22"/>
          <w:szCs w:val="22"/>
          <w:lang w:val="en-GB"/>
        </w:rPr>
        <w:t xml:space="preserve">the </w:t>
      </w:r>
      <w:r w:rsidR="003B5268" w:rsidRPr="00632DBC">
        <w:rPr>
          <w:sz w:val="22"/>
          <w:szCs w:val="22"/>
          <w:lang w:val="en-GB"/>
        </w:rPr>
        <w:t xml:space="preserve">resilience of the PES </w:t>
      </w:r>
      <w:r w:rsidR="0044066C" w:rsidRPr="00632DBC">
        <w:rPr>
          <w:sz w:val="22"/>
          <w:szCs w:val="22"/>
          <w:lang w:val="en-GB"/>
        </w:rPr>
        <w:t>system</w:t>
      </w:r>
      <w:r w:rsidR="0087499B" w:rsidRPr="00632DBC">
        <w:rPr>
          <w:sz w:val="22"/>
          <w:szCs w:val="22"/>
          <w:lang w:val="en-GB"/>
        </w:rPr>
        <w:t xml:space="preserve"> t</w:t>
      </w:r>
      <w:r w:rsidR="00115BE3" w:rsidRPr="00632DBC">
        <w:rPr>
          <w:sz w:val="22"/>
          <w:szCs w:val="22"/>
          <w:lang w:val="en-GB"/>
        </w:rPr>
        <w:t>o political shocks. This</w:t>
      </w:r>
      <w:r w:rsidR="00671853" w:rsidRPr="00632DBC">
        <w:rPr>
          <w:sz w:val="22"/>
          <w:szCs w:val="22"/>
          <w:lang w:val="en-GB"/>
        </w:rPr>
        <w:t xml:space="preserve"> </w:t>
      </w:r>
      <w:r w:rsidR="0044066C" w:rsidRPr="00632DBC">
        <w:rPr>
          <w:sz w:val="22"/>
          <w:szCs w:val="22"/>
          <w:lang w:val="en-GB"/>
        </w:rPr>
        <w:t>has led</w:t>
      </w:r>
      <w:r w:rsidR="0087499B" w:rsidRPr="00632DBC">
        <w:rPr>
          <w:sz w:val="22"/>
          <w:szCs w:val="22"/>
          <w:lang w:val="en-GB"/>
        </w:rPr>
        <w:t xml:space="preserve"> to maintain</w:t>
      </w:r>
      <w:r w:rsidR="007F6403" w:rsidRPr="00632DBC">
        <w:rPr>
          <w:sz w:val="22"/>
          <w:szCs w:val="22"/>
          <w:lang w:val="en-GB"/>
        </w:rPr>
        <w:t>ing</w:t>
      </w:r>
      <w:r w:rsidR="0087499B" w:rsidRPr="00632DBC">
        <w:rPr>
          <w:sz w:val="22"/>
          <w:szCs w:val="22"/>
          <w:lang w:val="en-GB"/>
        </w:rPr>
        <w:t xml:space="preserve"> the conservancy</w:t>
      </w:r>
      <w:r w:rsidR="00115BE3" w:rsidRPr="00632DBC">
        <w:rPr>
          <w:sz w:val="22"/>
          <w:szCs w:val="22"/>
          <w:lang w:val="en-GB"/>
        </w:rPr>
        <w:t xml:space="preserve"> which is </w:t>
      </w:r>
      <w:r w:rsidR="0087499B" w:rsidRPr="00632DBC">
        <w:rPr>
          <w:sz w:val="22"/>
          <w:szCs w:val="22"/>
          <w:lang w:val="en-GB"/>
        </w:rPr>
        <w:t xml:space="preserve">a </w:t>
      </w:r>
      <w:r w:rsidR="00921B88" w:rsidRPr="00632DBC">
        <w:rPr>
          <w:sz w:val="22"/>
          <w:szCs w:val="22"/>
          <w:lang w:val="en-GB"/>
        </w:rPr>
        <w:t>biodiversity safeguarding strategy.</w:t>
      </w:r>
    </w:p>
    <w:p w14:paraId="7A139563" w14:textId="77777777" w:rsidR="009E31C1" w:rsidRPr="00632DBC" w:rsidRDefault="009E31C1" w:rsidP="008038BC">
      <w:pPr>
        <w:pStyle w:val="ListParagraph"/>
        <w:ind w:right="-233"/>
        <w:jc w:val="both"/>
        <w:rPr>
          <w:sz w:val="22"/>
          <w:szCs w:val="22"/>
          <w:lang w:val="en-GB"/>
        </w:rPr>
      </w:pPr>
    </w:p>
    <w:p w14:paraId="6FF1EADE" w14:textId="08FA9C55" w:rsidR="003B5268" w:rsidRPr="00632DBC" w:rsidRDefault="003B5268" w:rsidP="007C5C2D">
      <w:pPr>
        <w:pStyle w:val="ListParagraph"/>
        <w:numPr>
          <w:ilvl w:val="0"/>
          <w:numId w:val="41"/>
        </w:numPr>
        <w:ind w:right="-233"/>
        <w:jc w:val="both"/>
        <w:rPr>
          <w:sz w:val="22"/>
          <w:szCs w:val="22"/>
          <w:lang w:val="en-GB"/>
        </w:rPr>
      </w:pPr>
      <w:r w:rsidRPr="00632DBC">
        <w:rPr>
          <w:b/>
          <w:i/>
          <w:sz w:val="22"/>
          <w:szCs w:val="22"/>
          <w:lang w:val="en-GB"/>
        </w:rPr>
        <w:t>Creating partnerships to fund PES related to public goods at larger scales</w:t>
      </w:r>
      <w:r w:rsidRPr="00632DBC">
        <w:rPr>
          <w:sz w:val="22"/>
          <w:szCs w:val="22"/>
          <w:lang w:val="en-GB"/>
        </w:rPr>
        <w:t xml:space="preserve">. Besides the direct benefit that local tourism operators obtain from wildlife-related ecosystem services in the OOC, this conservancy contributes to safeguard the larger </w:t>
      </w:r>
      <w:proofErr w:type="spellStart"/>
      <w:r w:rsidRPr="00632DBC">
        <w:rPr>
          <w:sz w:val="22"/>
          <w:szCs w:val="22"/>
          <w:lang w:val="en-GB"/>
        </w:rPr>
        <w:t>Maasai</w:t>
      </w:r>
      <w:proofErr w:type="spellEnd"/>
      <w:r w:rsidRPr="00632DBC">
        <w:rPr>
          <w:sz w:val="22"/>
          <w:szCs w:val="22"/>
          <w:lang w:val="en-GB"/>
        </w:rPr>
        <w:t xml:space="preserve"> biodiversity, which </w:t>
      </w:r>
      <w:r w:rsidR="00CB7DC1" w:rsidRPr="00632DBC">
        <w:rPr>
          <w:sz w:val="22"/>
          <w:szCs w:val="22"/>
          <w:lang w:val="en-GB"/>
        </w:rPr>
        <w:t>in turn</w:t>
      </w:r>
      <w:r w:rsidRPr="00632DBC">
        <w:rPr>
          <w:sz w:val="22"/>
          <w:szCs w:val="22"/>
          <w:lang w:val="en-GB"/>
        </w:rPr>
        <w:t xml:space="preserve"> supports the regional wildlife tourism industry. In recognition of this production</w:t>
      </w:r>
      <w:r w:rsidR="00CB7DC1" w:rsidRPr="00632DBC">
        <w:rPr>
          <w:sz w:val="22"/>
          <w:szCs w:val="22"/>
          <w:lang w:val="en-GB"/>
        </w:rPr>
        <w:t xml:space="preserve"> of a public good</w:t>
      </w:r>
      <w:r w:rsidRPr="00632DBC">
        <w:rPr>
          <w:sz w:val="22"/>
          <w:szCs w:val="22"/>
          <w:lang w:val="en-GB"/>
        </w:rPr>
        <w:t>, state actors could contribute to fund the PES scheme, which would increase its long-term viability and secure land</w:t>
      </w:r>
      <w:r w:rsidR="00CB7DC1" w:rsidRPr="00632DBC">
        <w:rPr>
          <w:sz w:val="22"/>
          <w:szCs w:val="22"/>
          <w:lang w:val="en-GB"/>
        </w:rPr>
        <w:t>owners</w:t>
      </w:r>
      <w:r w:rsidRPr="00632DBC">
        <w:rPr>
          <w:sz w:val="22"/>
          <w:szCs w:val="22"/>
          <w:lang w:val="en-GB"/>
        </w:rPr>
        <w:t>’ livelihoods.</w:t>
      </w:r>
    </w:p>
    <w:p w14:paraId="2ECC3312" w14:textId="77777777" w:rsidR="003B5268" w:rsidRPr="00632DBC" w:rsidRDefault="003B5268" w:rsidP="008038BC">
      <w:pPr>
        <w:ind w:left="360" w:right="50"/>
        <w:jc w:val="both"/>
        <w:rPr>
          <w:rFonts w:ascii="Times New Roman" w:hAnsi="Times New Roman"/>
        </w:rPr>
      </w:pPr>
    </w:p>
    <w:p w14:paraId="4A92CCC6" w14:textId="6D3DE729" w:rsidR="003B5268" w:rsidRPr="00632DBC" w:rsidRDefault="0071383C" w:rsidP="008038BC">
      <w:pPr>
        <w:ind w:left="360" w:right="50"/>
        <w:jc w:val="both"/>
        <w:rPr>
          <w:rFonts w:ascii="Times New Roman" w:hAnsi="Times New Roman"/>
          <w:b/>
        </w:rPr>
      </w:pPr>
      <w:r w:rsidRPr="00632DBC">
        <w:rPr>
          <w:rFonts w:ascii="Times New Roman" w:hAnsi="Times New Roman"/>
          <w:b/>
        </w:rPr>
        <w:lastRenderedPageBreak/>
        <w:t xml:space="preserve">Lessons learned from looking at PES in the </w:t>
      </w:r>
      <w:proofErr w:type="spellStart"/>
      <w:r w:rsidRPr="00632DBC">
        <w:rPr>
          <w:rFonts w:ascii="Times New Roman" w:hAnsi="Times New Roman"/>
          <w:b/>
        </w:rPr>
        <w:t>Olare</w:t>
      </w:r>
      <w:proofErr w:type="spellEnd"/>
      <w:r w:rsidRPr="00632DBC">
        <w:rPr>
          <w:rFonts w:ascii="Times New Roman" w:hAnsi="Times New Roman"/>
          <w:b/>
        </w:rPr>
        <w:t xml:space="preserve"> </w:t>
      </w:r>
      <w:proofErr w:type="spellStart"/>
      <w:r w:rsidRPr="00632DBC">
        <w:rPr>
          <w:rFonts w:ascii="Times New Roman" w:hAnsi="Times New Roman"/>
          <w:b/>
        </w:rPr>
        <w:t>Orok</w:t>
      </w:r>
      <w:proofErr w:type="spellEnd"/>
      <w:r w:rsidRPr="00632DBC">
        <w:rPr>
          <w:rFonts w:ascii="Times New Roman" w:hAnsi="Times New Roman"/>
          <w:b/>
        </w:rPr>
        <w:t xml:space="preserve"> Conservancy through the lens of </w:t>
      </w:r>
      <w:r w:rsidR="00835475" w:rsidRPr="00632DBC">
        <w:rPr>
          <w:rFonts w:ascii="Times New Roman" w:hAnsi="Times New Roman"/>
          <w:b/>
        </w:rPr>
        <w:t>guideline (</w:t>
      </w:r>
      <w:r w:rsidR="00835475" w:rsidRPr="00632DBC">
        <w:rPr>
          <w:rFonts w:ascii="Times New Roman" w:hAnsi="Times New Roman"/>
          <w:b/>
          <w:i/>
        </w:rPr>
        <w:t>b</w:t>
      </w:r>
      <w:r w:rsidR="00835475" w:rsidRPr="00632DBC">
        <w:rPr>
          <w:rFonts w:ascii="Times New Roman" w:hAnsi="Times New Roman"/>
          <w:b/>
        </w:rPr>
        <w:t>)</w:t>
      </w:r>
      <w:r w:rsidR="003B5268" w:rsidRPr="00632DBC">
        <w:rPr>
          <w:rFonts w:ascii="Times New Roman" w:hAnsi="Times New Roman"/>
          <w:b/>
        </w:rPr>
        <w:t xml:space="preserve"> </w:t>
      </w:r>
      <w:r w:rsidR="003B5268" w:rsidRPr="00632DBC">
        <w:rPr>
          <w:rFonts w:ascii="Times New Roman" w:hAnsi="Times New Roman"/>
          <w:b/>
          <w:i/>
        </w:rPr>
        <w:t>People’s rights, responsibilities and effective participation</w:t>
      </w:r>
      <w:r w:rsidR="003B5268" w:rsidRPr="00632DBC">
        <w:rPr>
          <w:rFonts w:ascii="Times New Roman" w:hAnsi="Times New Roman"/>
          <w:b/>
        </w:rPr>
        <w:t xml:space="preserve"> </w:t>
      </w:r>
    </w:p>
    <w:p w14:paraId="177AF54D" w14:textId="0FED7D70" w:rsidR="00671853" w:rsidRPr="00632DBC" w:rsidRDefault="00CB7DC1" w:rsidP="007C5C2D">
      <w:pPr>
        <w:pStyle w:val="ListParagraph"/>
        <w:numPr>
          <w:ilvl w:val="0"/>
          <w:numId w:val="41"/>
        </w:numPr>
        <w:ind w:right="50"/>
        <w:jc w:val="both"/>
        <w:rPr>
          <w:sz w:val="22"/>
          <w:szCs w:val="22"/>
          <w:lang w:val="en-GB"/>
        </w:rPr>
      </w:pPr>
      <w:r w:rsidRPr="00632DBC">
        <w:rPr>
          <w:b/>
          <w:i/>
          <w:sz w:val="22"/>
          <w:szCs w:val="22"/>
          <w:lang w:val="en-GB"/>
        </w:rPr>
        <w:t>Considering non-economic costs and benefits of PES</w:t>
      </w:r>
      <w:r w:rsidR="00671853" w:rsidRPr="00632DBC">
        <w:rPr>
          <w:b/>
          <w:sz w:val="22"/>
          <w:szCs w:val="22"/>
          <w:lang w:val="en-GB"/>
        </w:rPr>
        <w:t>.</w:t>
      </w:r>
      <w:r w:rsidR="00875900" w:rsidRPr="00632DBC">
        <w:rPr>
          <w:sz w:val="22"/>
          <w:szCs w:val="22"/>
          <w:lang w:val="en-GB"/>
        </w:rPr>
        <w:t xml:space="preserve"> In the OOC case, t</w:t>
      </w:r>
      <w:r w:rsidR="00671853" w:rsidRPr="00632DBC">
        <w:rPr>
          <w:sz w:val="22"/>
          <w:szCs w:val="22"/>
          <w:lang w:val="en-GB"/>
        </w:rPr>
        <w:t xml:space="preserve">he benefit that landowners obtained from </w:t>
      </w:r>
      <w:proofErr w:type="gramStart"/>
      <w:r w:rsidR="00671853" w:rsidRPr="00632DBC">
        <w:rPr>
          <w:sz w:val="22"/>
          <w:szCs w:val="22"/>
          <w:lang w:val="en-GB"/>
        </w:rPr>
        <w:t>entering into</w:t>
      </w:r>
      <w:proofErr w:type="gramEnd"/>
      <w:r w:rsidR="00671853" w:rsidRPr="00632DBC">
        <w:rPr>
          <w:sz w:val="22"/>
          <w:szCs w:val="22"/>
          <w:lang w:val="en-GB"/>
        </w:rPr>
        <w:t xml:space="preserve"> a PES scheme was a partial substitution of income from herding and agriculture. </w:t>
      </w:r>
      <w:r w:rsidR="00875900" w:rsidRPr="00632DBC">
        <w:rPr>
          <w:sz w:val="22"/>
          <w:szCs w:val="22"/>
          <w:lang w:val="en-GB"/>
        </w:rPr>
        <w:t>Moreover</w:t>
      </w:r>
      <w:r w:rsidR="00671853" w:rsidRPr="00632DBC">
        <w:rPr>
          <w:sz w:val="22"/>
          <w:szCs w:val="22"/>
          <w:lang w:val="en-GB"/>
        </w:rPr>
        <w:t xml:space="preserve">, PES constituted a secure source of income </w:t>
      </w:r>
      <w:proofErr w:type="gramStart"/>
      <w:r w:rsidR="00671853" w:rsidRPr="00632DBC">
        <w:rPr>
          <w:sz w:val="22"/>
          <w:szCs w:val="22"/>
          <w:lang w:val="en-GB"/>
        </w:rPr>
        <w:t>in spite of</w:t>
      </w:r>
      <w:proofErr w:type="gramEnd"/>
      <w:r w:rsidR="00671853" w:rsidRPr="00632DBC">
        <w:rPr>
          <w:sz w:val="22"/>
          <w:szCs w:val="22"/>
          <w:lang w:val="en-GB"/>
        </w:rPr>
        <w:t xml:space="preserve"> droughts and political unrest that otherwise would have brought landowners under the Kenyan official poverty line. Additionally, tourism operators assumed the costs of moving landowne</w:t>
      </w:r>
      <w:r w:rsidR="00D11FCF" w:rsidRPr="00632DBC">
        <w:rPr>
          <w:sz w:val="22"/>
          <w:szCs w:val="22"/>
          <w:lang w:val="en-GB"/>
        </w:rPr>
        <w:t>rs out of the conservancy area.</w:t>
      </w:r>
      <w:r w:rsidR="00671853" w:rsidRPr="00632DBC">
        <w:rPr>
          <w:sz w:val="22"/>
          <w:szCs w:val="22"/>
          <w:lang w:val="en-GB"/>
        </w:rPr>
        <w:t xml:space="preserve"> The notion of PES as a benefit that exceeds the opportunity costs of </w:t>
      </w:r>
      <w:r w:rsidR="00875900" w:rsidRPr="00632DBC">
        <w:rPr>
          <w:sz w:val="22"/>
          <w:szCs w:val="22"/>
          <w:lang w:val="en-GB"/>
        </w:rPr>
        <w:t>not entering into a</w:t>
      </w:r>
      <w:r w:rsidR="00671853" w:rsidRPr="00632DBC">
        <w:rPr>
          <w:sz w:val="22"/>
          <w:szCs w:val="22"/>
          <w:lang w:val="en-GB"/>
        </w:rPr>
        <w:t xml:space="preserve"> PES </w:t>
      </w:r>
      <w:r w:rsidR="00875900" w:rsidRPr="00632DBC">
        <w:rPr>
          <w:sz w:val="22"/>
          <w:szCs w:val="22"/>
          <w:lang w:val="en-GB"/>
        </w:rPr>
        <w:t xml:space="preserve">agreement </w:t>
      </w:r>
      <w:r w:rsidR="00671853" w:rsidRPr="00632DBC">
        <w:rPr>
          <w:sz w:val="22"/>
          <w:szCs w:val="22"/>
          <w:lang w:val="en-GB"/>
        </w:rPr>
        <w:t>can be used as an initial criterion to sa</w:t>
      </w:r>
      <w:r w:rsidR="002605C4" w:rsidRPr="00632DBC">
        <w:rPr>
          <w:sz w:val="22"/>
          <w:szCs w:val="22"/>
          <w:lang w:val="en-GB"/>
        </w:rPr>
        <w:t>feguard the right to livelihood. H</w:t>
      </w:r>
      <w:r w:rsidR="00671853" w:rsidRPr="00632DBC">
        <w:rPr>
          <w:sz w:val="22"/>
          <w:szCs w:val="22"/>
          <w:lang w:val="en-GB"/>
        </w:rPr>
        <w:t xml:space="preserve">owever, non-economic costs should be </w:t>
      </w:r>
      <w:proofErr w:type="gramStart"/>
      <w:r w:rsidR="00671853" w:rsidRPr="00632DBC">
        <w:rPr>
          <w:sz w:val="22"/>
          <w:szCs w:val="22"/>
          <w:lang w:val="en-GB"/>
        </w:rPr>
        <w:t>taken into account</w:t>
      </w:r>
      <w:proofErr w:type="gramEnd"/>
      <w:r w:rsidR="00671853" w:rsidRPr="00632DBC">
        <w:rPr>
          <w:sz w:val="22"/>
          <w:szCs w:val="22"/>
          <w:lang w:val="en-GB"/>
        </w:rPr>
        <w:t xml:space="preserve">. </w:t>
      </w:r>
      <w:r w:rsidR="003C4FD3" w:rsidRPr="00632DBC">
        <w:rPr>
          <w:sz w:val="22"/>
          <w:szCs w:val="22"/>
          <w:lang w:val="en-GB"/>
        </w:rPr>
        <w:t>Complementary to FPIC mentioned below, a</w:t>
      </w:r>
      <w:r w:rsidR="00671853" w:rsidRPr="00632DBC">
        <w:rPr>
          <w:sz w:val="22"/>
          <w:szCs w:val="22"/>
          <w:lang w:val="en-GB"/>
        </w:rPr>
        <w:t xml:space="preserve"> procedural </w:t>
      </w:r>
      <w:r w:rsidR="006E0853" w:rsidRPr="00632DBC">
        <w:rPr>
          <w:sz w:val="22"/>
          <w:szCs w:val="22"/>
          <w:lang w:val="en-GB"/>
        </w:rPr>
        <w:t xml:space="preserve">safeguard </w:t>
      </w:r>
      <w:r w:rsidR="002605C4" w:rsidRPr="00632DBC">
        <w:rPr>
          <w:sz w:val="22"/>
          <w:szCs w:val="22"/>
          <w:lang w:val="en-GB"/>
        </w:rPr>
        <w:t>to</w:t>
      </w:r>
      <w:r w:rsidR="00671853" w:rsidRPr="00632DBC">
        <w:rPr>
          <w:sz w:val="22"/>
          <w:szCs w:val="22"/>
          <w:lang w:val="en-GB"/>
        </w:rPr>
        <w:t xml:space="preserve"> bring this idea into practice is</w:t>
      </w:r>
      <w:r w:rsidR="006E0853" w:rsidRPr="00632DBC">
        <w:rPr>
          <w:sz w:val="22"/>
          <w:szCs w:val="22"/>
          <w:lang w:val="en-GB"/>
        </w:rPr>
        <w:t xml:space="preserve"> to secure</w:t>
      </w:r>
      <w:r w:rsidR="00671853" w:rsidRPr="00632DBC">
        <w:rPr>
          <w:sz w:val="22"/>
          <w:szCs w:val="22"/>
          <w:lang w:val="en-GB"/>
        </w:rPr>
        <w:t xml:space="preserve"> that landowners have access to negotiate payment conditions (e.g. payment rates and times) - as indicated below.</w:t>
      </w:r>
      <w:r w:rsidR="001E549D" w:rsidRPr="00632DBC">
        <w:rPr>
          <w:sz w:val="22"/>
          <w:szCs w:val="22"/>
          <w:lang w:val="en-GB"/>
        </w:rPr>
        <w:t xml:space="preserve"> Landowners </w:t>
      </w:r>
      <w:r w:rsidR="001B6BEB" w:rsidRPr="00632DBC">
        <w:rPr>
          <w:sz w:val="22"/>
          <w:szCs w:val="22"/>
          <w:lang w:val="en-GB"/>
        </w:rPr>
        <w:t>have their own experience</w:t>
      </w:r>
      <w:r w:rsidR="001E549D" w:rsidRPr="00632DBC">
        <w:rPr>
          <w:sz w:val="22"/>
          <w:szCs w:val="22"/>
          <w:lang w:val="en-GB"/>
        </w:rPr>
        <w:t xml:space="preserve"> and therefore will be able to identify some of the non-economic costs and benefits of entering in a PES scheme. States or NGO´s interested in enhancing this safeguarding strategy could help to identify other non-economic costs and benefits.</w:t>
      </w:r>
    </w:p>
    <w:p w14:paraId="2A0EDE82" w14:textId="77777777" w:rsidR="00671853" w:rsidRPr="00632DBC" w:rsidRDefault="00671853" w:rsidP="00671853">
      <w:pPr>
        <w:pStyle w:val="ListParagraph"/>
        <w:ind w:right="50"/>
        <w:jc w:val="both"/>
        <w:rPr>
          <w:sz w:val="22"/>
          <w:szCs w:val="22"/>
          <w:lang w:val="en-GB"/>
        </w:rPr>
      </w:pPr>
    </w:p>
    <w:p w14:paraId="7CC6A25D" w14:textId="0D01EFBB" w:rsidR="003B5268" w:rsidRPr="00632DBC" w:rsidRDefault="003B5268" w:rsidP="007C5C2D">
      <w:pPr>
        <w:pStyle w:val="ListParagraph"/>
        <w:numPr>
          <w:ilvl w:val="0"/>
          <w:numId w:val="41"/>
        </w:numPr>
        <w:ind w:right="50"/>
        <w:jc w:val="both"/>
        <w:rPr>
          <w:sz w:val="22"/>
          <w:szCs w:val="22"/>
          <w:lang w:val="en-GB"/>
        </w:rPr>
      </w:pPr>
      <w:r w:rsidRPr="00632DBC">
        <w:rPr>
          <w:b/>
          <w:i/>
          <w:sz w:val="22"/>
          <w:szCs w:val="22"/>
          <w:lang w:val="en-GB"/>
        </w:rPr>
        <w:t>Access to negotiating payment rates</w:t>
      </w:r>
      <w:r w:rsidRPr="00632DBC">
        <w:rPr>
          <w:sz w:val="22"/>
          <w:szCs w:val="22"/>
          <w:lang w:val="en-GB"/>
        </w:rPr>
        <w:t>. In the OOC</w:t>
      </w:r>
      <w:r w:rsidR="00014AD2" w:rsidRPr="00632DBC">
        <w:rPr>
          <w:sz w:val="22"/>
          <w:szCs w:val="22"/>
          <w:lang w:val="en-GB"/>
        </w:rPr>
        <w:t>,</w:t>
      </w:r>
      <w:r w:rsidRPr="00632DBC">
        <w:rPr>
          <w:sz w:val="22"/>
          <w:szCs w:val="22"/>
          <w:lang w:val="en-GB"/>
        </w:rPr>
        <w:t xml:space="preserve"> the fact that landholders had access to negotiating payment rates every time a contract was signed</w:t>
      </w:r>
      <w:r w:rsidR="00014AD2" w:rsidRPr="00632DBC">
        <w:rPr>
          <w:sz w:val="22"/>
          <w:szCs w:val="22"/>
          <w:lang w:val="en-GB"/>
        </w:rPr>
        <w:t>,</w:t>
      </w:r>
      <w:r w:rsidRPr="00632DBC">
        <w:rPr>
          <w:sz w:val="22"/>
          <w:szCs w:val="22"/>
          <w:lang w:val="en-GB"/>
        </w:rPr>
        <w:t xml:space="preserve"> allowed for payment rates</w:t>
      </w:r>
      <w:r w:rsidR="00014AD2" w:rsidRPr="00632DBC">
        <w:rPr>
          <w:sz w:val="22"/>
          <w:szCs w:val="22"/>
          <w:lang w:val="en-GB"/>
        </w:rPr>
        <w:t xml:space="preserve"> to be set</w:t>
      </w:r>
      <w:r w:rsidRPr="00632DBC">
        <w:rPr>
          <w:sz w:val="22"/>
          <w:szCs w:val="22"/>
          <w:lang w:val="en-GB"/>
        </w:rPr>
        <w:t xml:space="preserve"> t</w:t>
      </w:r>
      <w:r w:rsidR="00014AD2" w:rsidRPr="00632DBC">
        <w:rPr>
          <w:sz w:val="22"/>
          <w:szCs w:val="22"/>
          <w:lang w:val="en-GB"/>
        </w:rPr>
        <w:t>hat made sense to both parties. This</w:t>
      </w:r>
      <w:r w:rsidRPr="00632DBC">
        <w:rPr>
          <w:sz w:val="22"/>
          <w:szCs w:val="22"/>
          <w:lang w:val="en-GB"/>
        </w:rPr>
        <w:t xml:space="preserve"> has contributed to a </w:t>
      </w:r>
      <w:proofErr w:type="gramStart"/>
      <w:r w:rsidRPr="00632DBC">
        <w:rPr>
          <w:sz w:val="22"/>
          <w:szCs w:val="22"/>
          <w:lang w:val="en-GB"/>
        </w:rPr>
        <w:t>long lasting</w:t>
      </w:r>
      <w:proofErr w:type="gramEnd"/>
      <w:r w:rsidRPr="00632DBC">
        <w:rPr>
          <w:sz w:val="22"/>
          <w:szCs w:val="22"/>
          <w:lang w:val="en-GB"/>
        </w:rPr>
        <w:t xml:space="preserve"> agreement that protects biodiversity and livelihoods. This case shows that s</w:t>
      </w:r>
      <w:r w:rsidR="00014AD2" w:rsidRPr="00632DBC">
        <w:rPr>
          <w:sz w:val="22"/>
          <w:szCs w:val="22"/>
          <w:lang w:val="en-GB"/>
        </w:rPr>
        <w:t>ecuring participation and</w:t>
      </w:r>
      <w:r w:rsidRPr="00632DBC">
        <w:rPr>
          <w:sz w:val="22"/>
          <w:szCs w:val="22"/>
          <w:lang w:val="en-GB"/>
        </w:rPr>
        <w:t xml:space="preserve"> establishing payment rates acts as a procedural safeguard.</w:t>
      </w:r>
    </w:p>
    <w:p w14:paraId="6B4FD334" w14:textId="77777777" w:rsidR="003B5268" w:rsidRPr="00632DBC" w:rsidRDefault="003B5268" w:rsidP="008038BC">
      <w:pPr>
        <w:pStyle w:val="ListParagraph"/>
        <w:ind w:right="50"/>
        <w:jc w:val="both"/>
        <w:rPr>
          <w:sz w:val="22"/>
          <w:szCs w:val="22"/>
          <w:lang w:val="en-GB"/>
        </w:rPr>
      </w:pPr>
    </w:p>
    <w:p w14:paraId="20378DE3" w14:textId="7A387F99" w:rsidR="003B5268" w:rsidRPr="00632DBC" w:rsidRDefault="003B5268" w:rsidP="007C5C2D">
      <w:pPr>
        <w:pStyle w:val="ListParagraph"/>
        <w:numPr>
          <w:ilvl w:val="0"/>
          <w:numId w:val="40"/>
        </w:numPr>
        <w:ind w:right="50"/>
        <w:jc w:val="both"/>
        <w:rPr>
          <w:sz w:val="22"/>
          <w:szCs w:val="22"/>
          <w:lang w:val="en-GB"/>
        </w:rPr>
      </w:pPr>
      <w:r w:rsidRPr="00632DBC">
        <w:rPr>
          <w:b/>
          <w:i/>
          <w:sz w:val="22"/>
          <w:szCs w:val="22"/>
          <w:lang w:val="en-GB"/>
        </w:rPr>
        <w:t xml:space="preserve">Complying with </w:t>
      </w:r>
      <w:r w:rsidR="003C4FD3" w:rsidRPr="00632DBC">
        <w:rPr>
          <w:b/>
          <w:i/>
          <w:sz w:val="22"/>
          <w:szCs w:val="22"/>
          <w:lang w:val="en-GB"/>
        </w:rPr>
        <w:t>free</w:t>
      </w:r>
      <w:r w:rsidRPr="00632DBC">
        <w:rPr>
          <w:b/>
          <w:i/>
          <w:sz w:val="22"/>
          <w:szCs w:val="22"/>
          <w:lang w:val="en-GB"/>
        </w:rPr>
        <w:t xml:space="preserve"> prior informed consent</w:t>
      </w:r>
      <w:r w:rsidRPr="00632DBC">
        <w:rPr>
          <w:b/>
          <w:sz w:val="22"/>
          <w:szCs w:val="22"/>
          <w:lang w:val="en-GB"/>
        </w:rPr>
        <w:t>.</w:t>
      </w:r>
      <w:r w:rsidR="007036A2" w:rsidRPr="00632DBC">
        <w:rPr>
          <w:sz w:val="22"/>
          <w:szCs w:val="22"/>
          <w:lang w:val="en-GB"/>
        </w:rPr>
        <w:t xml:space="preserve"> Although in the </w:t>
      </w:r>
      <w:proofErr w:type="spellStart"/>
      <w:r w:rsidR="007036A2" w:rsidRPr="00632DBC">
        <w:rPr>
          <w:sz w:val="22"/>
          <w:szCs w:val="22"/>
          <w:lang w:val="en-GB"/>
        </w:rPr>
        <w:t>Olare</w:t>
      </w:r>
      <w:proofErr w:type="spellEnd"/>
      <w:r w:rsidR="007036A2" w:rsidRPr="00632DBC">
        <w:rPr>
          <w:sz w:val="22"/>
          <w:szCs w:val="22"/>
          <w:lang w:val="en-GB"/>
        </w:rPr>
        <w:t xml:space="preserve"> </w:t>
      </w:r>
      <w:proofErr w:type="spellStart"/>
      <w:r w:rsidR="007036A2" w:rsidRPr="00632DBC">
        <w:rPr>
          <w:sz w:val="22"/>
          <w:szCs w:val="22"/>
          <w:lang w:val="en-GB"/>
        </w:rPr>
        <w:t>Orok</w:t>
      </w:r>
      <w:proofErr w:type="spellEnd"/>
      <w:r w:rsidR="007036A2" w:rsidRPr="00632DBC">
        <w:rPr>
          <w:sz w:val="22"/>
          <w:szCs w:val="22"/>
          <w:lang w:val="en-GB"/>
        </w:rPr>
        <w:t xml:space="preserve"> C</w:t>
      </w:r>
      <w:r w:rsidRPr="00632DBC">
        <w:rPr>
          <w:sz w:val="22"/>
          <w:szCs w:val="22"/>
          <w:lang w:val="en-GB"/>
        </w:rPr>
        <w:t>onservancy PES was agreed freely between landowners and tourism operators, it is unclear whether landowners had access to relevant information</w:t>
      </w:r>
      <w:r w:rsidR="001E549D" w:rsidRPr="00632DBC">
        <w:rPr>
          <w:sz w:val="22"/>
          <w:szCs w:val="22"/>
          <w:lang w:val="en-GB"/>
        </w:rPr>
        <w:t xml:space="preserve"> that could enhance their</w:t>
      </w:r>
      <w:r w:rsidRPr="00632DBC">
        <w:rPr>
          <w:sz w:val="22"/>
          <w:szCs w:val="22"/>
          <w:lang w:val="en-GB"/>
        </w:rPr>
        <w:t xml:space="preserve"> bargaining position in the negotiation process. Legal and financial information might be unavailable </w:t>
      </w:r>
      <w:r w:rsidR="001E549D" w:rsidRPr="00632DBC">
        <w:rPr>
          <w:sz w:val="22"/>
          <w:szCs w:val="22"/>
          <w:lang w:val="en-GB"/>
        </w:rPr>
        <w:t>to</w:t>
      </w:r>
      <w:r w:rsidRPr="00632DBC">
        <w:rPr>
          <w:sz w:val="22"/>
          <w:szCs w:val="22"/>
          <w:lang w:val="en-GB"/>
        </w:rPr>
        <w:t xml:space="preserve"> landowners. A mechanism to make effective PES as a procedural safeguard is to provide legal and f</w:t>
      </w:r>
      <w:r w:rsidR="007C5C2D" w:rsidRPr="00632DBC">
        <w:rPr>
          <w:sz w:val="22"/>
          <w:szCs w:val="22"/>
          <w:lang w:val="en-GB"/>
        </w:rPr>
        <w:t xml:space="preserve">inancial advice to landholders. This </w:t>
      </w:r>
      <w:r w:rsidRPr="00632DBC">
        <w:rPr>
          <w:sz w:val="22"/>
          <w:szCs w:val="22"/>
          <w:lang w:val="en-GB"/>
        </w:rPr>
        <w:t>might come either from government agencies or non-government actors.</w:t>
      </w:r>
    </w:p>
    <w:p w14:paraId="3FD98404" w14:textId="77777777" w:rsidR="009E31C1" w:rsidRPr="00632DBC" w:rsidRDefault="009E31C1" w:rsidP="008038BC">
      <w:pPr>
        <w:pStyle w:val="ListParagraph"/>
        <w:ind w:right="50"/>
        <w:jc w:val="both"/>
        <w:rPr>
          <w:sz w:val="22"/>
          <w:szCs w:val="22"/>
          <w:lang w:val="en-GB"/>
        </w:rPr>
      </w:pPr>
    </w:p>
    <w:p w14:paraId="14F7B164" w14:textId="7B9B0463" w:rsidR="002F2CBA" w:rsidRPr="00632DBC" w:rsidRDefault="003B5268" w:rsidP="007C5C2D">
      <w:pPr>
        <w:pStyle w:val="ListParagraph"/>
        <w:numPr>
          <w:ilvl w:val="0"/>
          <w:numId w:val="40"/>
        </w:numPr>
        <w:ind w:right="50"/>
        <w:jc w:val="both"/>
        <w:rPr>
          <w:sz w:val="22"/>
          <w:szCs w:val="22"/>
          <w:lang w:val="en-GB"/>
        </w:rPr>
      </w:pPr>
      <w:r w:rsidRPr="00632DBC">
        <w:rPr>
          <w:b/>
          <w:i/>
          <w:sz w:val="22"/>
          <w:szCs w:val="22"/>
          <w:lang w:val="en-GB"/>
        </w:rPr>
        <w:t>Considering costs and benefits of all landholders</w:t>
      </w:r>
      <w:r w:rsidRPr="00632DBC">
        <w:rPr>
          <w:i/>
          <w:sz w:val="22"/>
          <w:szCs w:val="22"/>
          <w:lang w:val="en-GB"/>
        </w:rPr>
        <w:t>.</w:t>
      </w:r>
      <w:r w:rsidRPr="00632DBC">
        <w:rPr>
          <w:sz w:val="22"/>
          <w:szCs w:val="22"/>
          <w:lang w:val="en-GB"/>
        </w:rPr>
        <w:t xml:space="preserve"> </w:t>
      </w:r>
      <w:r w:rsidR="007C5C2D" w:rsidRPr="00632DBC">
        <w:rPr>
          <w:sz w:val="22"/>
          <w:szCs w:val="22"/>
          <w:lang w:val="en-GB"/>
        </w:rPr>
        <w:t>In</w:t>
      </w:r>
      <w:r w:rsidRPr="00632DBC">
        <w:rPr>
          <w:sz w:val="22"/>
          <w:szCs w:val="22"/>
          <w:lang w:val="en-GB"/>
        </w:rPr>
        <w:t xml:space="preserve"> this type of PES</w:t>
      </w:r>
      <w:r w:rsidR="007C5C2D" w:rsidRPr="00632DBC">
        <w:rPr>
          <w:sz w:val="22"/>
          <w:szCs w:val="22"/>
          <w:lang w:val="en-GB"/>
        </w:rPr>
        <w:t>,</w:t>
      </w:r>
      <w:r w:rsidRPr="00632DBC">
        <w:rPr>
          <w:sz w:val="22"/>
          <w:szCs w:val="22"/>
          <w:lang w:val="en-GB"/>
        </w:rPr>
        <w:t xml:space="preserve"> </w:t>
      </w:r>
      <w:r w:rsidR="006A0961" w:rsidRPr="00632DBC">
        <w:rPr>
          <w:sz w:val="22"/>
          <w:szCs w:val="22"/>
          <w:lang w:val="en-GB"/>
        </w:rPr>
        <w:t xml:space="preserve">where </w:t>
      </w:r>
      <w:r w:rsidRPr="00632DBC">
        <w:rPr>
          <w:sz w:val="22"/>
          <w:szCs w:val="22"/>
          <w:lang w:val="en-GB"/>
        </w:rPr>
        <w:t xml:space="preserve">the benefit of landowners </w:t>
      </w:r>
      <w:r w:rsidR="001E549D" w:rsidRPr="00632DBC">
        <w:rPr>
          <w:sz w:val="22"/>
          <w:szCs w:val="22"/>
          <w:lang w:val="en-GB"/>
        </w:rPr>
        <w:t>depends on the</w:t>
      </w:r>
      <w:r w:rsidRPr="00632DBC">
        <w:rPr>
          <w:sz w:val="22"/>
          <w:szCs w:val="22"/>
          <w:lang w:val="en-GB"/>
        </w:rPr>
        <w:t xml:space="preserve"> amount of individually owned land, it is possible that households owning smaller</w:t>
      </w:r>
      <w:r w:rsidR="007C5C2D" w:rsidRPr="00632DBC">
        <w:rPr>
          <w:sz w:val="22"/>
          <w:szCs w:val="22"/>
          <w:lang w:val="en-GB"/>
        </w:rPr>
        <w:t xml:space="preserve"> lands do not obtain a benefit that exceeds</w:t>
      </w:r>
      <w:r w:rsidRPr="00632DBC">
        <w:rPr>
          <w:sz w:val="22"/>
          <w:szCs w:val="22"/>
          <w:lang w:val="en-GB"/>
        </w:rPr>
        <w:t xml:space="preserve"> the opportunity cost of not joining the PES scheme. Furthermore, it is possible that they accepted to enter into PES agreement due to peer pressure, coercion, and need for immediate cash income. These situations may push poor households to join </w:t>
      </w:r>
      <w:proofErr w:type="gramStart"/>
      <w:r w:rsidR="001E549D" w:rsidRPr="00632DBC">
        <w:rPr>
          <w:sz w:val="22"/>
          <w:szCs w:val="22"/>
          <w:lang w:val="en-GB"/>
        </w:rPr>
        <w:t>in order to</w:t>
      </w:r>
      <w:proofErr w:type="gramEnd"/>
      <w:r w:rsidRPr="00632DBC">
        <w:rPr>
          <w:sz w:val="22"/>
          <w:szCs w:val="22"/>
          <w:lang w:val="en-GB"/>
        </w:rPr>
        <w:t xml:space="preserve"> meet short-term needs at the expense of their long-term</w:t>
      </w:r>
      <w:r w:rsidR="008038BC" w:rsidRPr="00632DBC">
        <w:rPr>
          <w:sz w:val="22"/>
          <w:szCs w:val="22"/>
          <w:lang w:val="en-GB"/>
        </w:rPr>
        <w:t xml:space="preserve"> well</w:t>
      </w:r>
      <w:r w:rsidRPr="00632DBC">
        <w:rPr>
          <w:sz w:val="22"/>
          <w:szCs w:val="22"/>
          <w:lang w:val="en-GB"/>
        </w:rPr>
        <w:t xml:space="preserve">being, including giving up critical pasturelands. Neglecting the cost/benefit ratio of these </w:t>
      </w:r>
      <w:r w:rsidR="001E549D" w:rsidRPr="00632DBC">
        <w:rPr>
          <w:sz w:val="22"/>
          <w:szCs w:val="22"/>
          <w:lang w:val="en-GB"/>
        </w:rPr>
        <w:t>group</w:t>
      </w:r>
      <w:r w:rsidR="006A0961" w:rsidRPr="00632DBC">
        <w:rPr>
          <w:sz w:val="22"/>
          <w:szCs w:val="22"/>
          <w:lang w:val="en-GB"/>
        </w:rPr>
        <w:t>s</w:t>
      </w:r>
      <w:r w:rsidRPr="00632DBC">
        <w:rPr>
          <w:sz w:val="22"/>
          <w:szCs w:val="22"/>
          <w:lang w:val="en-GB"/>
        </w:rPr>
        <w:t xml:space="preserve"> entails </w:t>
      </w:r>
      <w:r w:rsidR="002F2CBA" w:rsidRPr="00632DBC">
        <w:rPr>
          <w:sz w:val="22"/>
          <w:szCs w:val="22"/>
          <w:lang w:val="en-GB"/>
        </w:rPr>
        <w:t>a violation to</w:t>
      </w:r>
      <w:r w:rsidRPr="00632DBC">
        <w:rPr>
          <w:sz w:val="22"/>
          <w:szCs w:val="22"/>
          <w:lang w:val="en-GB"/>
        </w:rPr>
        <w:t xml:space="preserve"> </w:t>
      </w:r>
      <w:r w:rsidR="00F17128" w:rsidRPr="00632DBC">
        <w:rPr>
          <w:sz w:val="22"/>
          <w:szCs w:val="22"/>
          <w:lang w:val="en-GB"/>
        </w:rPr>
        <w:t>tenure</w:t>
      </w:r>
      <w:r w:rsidRPr="00632DBC">
        <w:rPr>
          <w:sz w:val="22"/>
          <w:szCs w:val="22"/>
          <w:lang w:val="en-GB"/>
        </w:rPr>
        <w:t xml:space="preserve"> right</w:t>
      </w:r>
      <w:r w:rsidR="00F17128" w:rsidRPr="00632DBC">
        <w:rPr>
          <w:sz w:val="22"/>
          <w:szCs w:val="22"/>
          <w:lang w:val="en-GB"/>
        </w:rPr>
        <w:t>s</w:t>
      </w:r>
      <w:r w:rsidRPr="00632DBC">
        <w:rPr>
          <w:sz w:val="22"/>
          <w:szCs w:val="22"/>
          <w:lang w:val="en-GB"/>
        </w:rPr>
        <w:t xml:space="preserve">. Additionally, it might </w:t>
      </w:r>
      <w:r w:rsidR="007C5C2D" w:rsidRPr="00632DBC">
        <w:rPr>
          <w:sz w:val="22"/>
          <w:szCs w:val="22"/>
          <w:lang w:val="en-GB"/>
        </w:rPr>
        <w:t>precipitate</w:t>
      </w:r>
      <w:r w:rsidRPr="00632DBC">
        <w:rPr>
          <w:sz w:val="22"/>
          <w:szCs w:val="22"/>
          <w:lang w:val="en-GB"/>
        </w:rPr>
        <w:t xml:space="preserve"> conditions that lead to non-compliance with the land us</w:t>
      </w:r>
      <w:r w:rsidR="007C5C2D" w:rsidRPr="00632DBC">
        <w:rPr>
          <w:sz w:val="22"/>
          <w:szCs w:val="22"/>
          <w:lang w:val="en-GB"/>
        </w:rPr>
        <w:t xml:space="preserve">e agreed in the PES arrangement. This </w:t>
      </w:r>
      <w:r w:rsidRPr="00632DBC">
        <w:rPr>
          <w:sz w:val="22"/>
          <w:szCs w:val="22"/>
          <w:lang w:val="en-GB"/>
        </w:rPr>
        <w:t xml:space="preserve">would reduce the conservancies’ effectiveness. </w:t>
      </w:r>
      <w:r w:rsidR="002F2CBA" w:rsidRPr="00632DBC">
        <w:rPr>
          <w:sz w:val="22"/>
          <w:szCs w:val="22"/>
          <w:lang w:val="en-GB"/>
        </w:rPr>
        <w:t xml:space="preserve">A strategy for safeguarding both livelihoods and effectiveness of the PES schemes could be </w:t>
      </w:r>
      <w:r w:rsidR="007C5C2D" w:rsidRPr="00632DBC">
        <w:rPr>
          <w:sz w:val="22"/>
          <w:szCs w:val="22"/>
          <w:lang w:val="en-GB"/>
        </w:rPr>
        <w:t xml:space="preserve">to </w:t>
      </w:r>
      <w:r w:rsidR="002F2CBA" w:rsidRPr="00632DBC">
        <w:rPr>
          <w:sz w:val="22"/>
          <w:szCs w:val="22"/>
          <w:lang w:val="en-GB"/>
        </w:rPr>
        <w:t>implement</w:t>
      </w:r>
      <w:r w:rsidRPr="00632DBC">
        <w:rPr>
          <w:sz w:val="22"/>
          <w:szCs w:val="22"/>
          <w:lang w:val="en-GB"/>
        </w:rPr>
        <w:t xml:space="preserve"> exceptional payment rates for disadvantaged groups</w:t>
      </w:r>
      <w:r w:rsidR="007C5C2D" w:rsidRPr="00632DBC">
        <w:rPr>
          <w:sz w:val="22"/>
          <w:szCs w:val="22"/>
          <w:lang w:val="en-GB"/>
        </w:rPr>
        <w:t xml:space="preserve"> in a way that would help them to be</w:t>
      </w:r>
      <w:r w:rsidR="002F2CBA" w:rsidRPr="00632DBC">
        <w:rPr>
          <w:sz w:val="22"/>
          <w:szCs w:val="22"/>
          <w:lang w:val="en-GB"/>
        </w:rPr>
        <w:t xml:space="preserve"> better off.</w:t>
      </w:r>
    </w:p>
    <w:p w14:paraId="371AA9FA" w14:textId="77777777" w:rsidR="002F2CBA" w:rsidRPr="00632DBC" w:rsidRDefault="002F2CBA" w:rsidP="002F2CBA">
      <w:pPr>
        <w:pStyle w:val="ListParagraph"/>
        <w:ind w:right="50"/>
        <w:jc w:val="both"/>
        <w:rPr>
          <w:sz w:val="22"/>
          <w:szCs w:val="22"/>
          <w:lang w:val="en-GB"/>
        </w:rPr>
      </w:pPr>
    </w:p>
    <w:p w14:paraId="2D5FC888" w14:textId="05043198" w:rsidR="002F1E19" w:rsidRPr="00632DBC" w:rsidRDefault="002468AE" w:rsidP="008038BC">
      <w:pPr>
        <w:ind w:left="360" w:right="50"/>
        <w:jc w:val="both"/>
        <w:rPr>
          <w:rFonts w:ascii="Times New Roman" w:hAnsi="Times New Roman"/>
          <w:b/>
        </w:rPr>
      </w:pPr>
      <w:r w:rsidRPr="00632DBC">
        <w:rPr>
          <w:rFonts w:ascii="Times New Roman" w:hAnsi="Times New Roman"/>
          <w:b/>
        </w:rPr>
        <w:t xml:space="preserve">Lessons learned from looking at PES in the </w:t>
      </w:r>
      <w:proofErr w:type="spellStart"/>
      <w:r w:rsidRPr="00632DBC">
        <w:rPr>
          <w:rFonts w:ascii="Times New Roman" w:hAnsi="Times New Roman"/>
          <w:b/>
        </w:rPr>
        <w:t>Olare</w:t>
      </w:r>
      <w:proofErr w:type="spellEnd"/>
      <w:r w:rsidRPr="00632DBC">
        <w:rPr>
          <w:rFonts w:ascii="Times New Roman" w:hAnsi="Times New Roman"/>
          <w:b/>
        </w:rPr>
        <w:t xml:space="preserve"> </w:t>
      </w:r>
      <w:proofErr w:type="spellStart"/>
      <w:r w:rsidRPr="00632DBC">
        <w:rPr>
          <w:rFonts w:ascii="Times New Roman" w:hAnsi="Times New Roman"/>
          <w:b/>
        </w:rPr>
        <w:t>Orok</w:t>
      </w:r>
      <w:proofErr w:type="spellEnd"/>
      <w:r w:rsidRPr="00632DBC">
        <w:rPr>
          <w:rFonts w:ascii="Times New Roman" w:hAnsi="Times New Roman"/>
          <w:b/>
        </w:rPr>
        <w:t xml:space="preserve"> Conservancy through the lens of </w:t>
      </w:r>
      <w:r w:rsidR="00835475" w:rsidRPr="00632DBC">
        <w:rPr>
          <w:rFonts w:ascii="Times New Roman" w:hAnsi="Times New Roman"/>
          <w:b/>
        </w:rPr>
        <w:t>guideline (</w:t>
      </w:r>
      <w:r w:rsidR="00835475" w:rsidRPr="00632DBC">
        <w:rPr>
          <w:rFonts w:ascii="Times New Roman" w:hAnsi="Times New Roman"/>
          <w:b/>
          <w:i/>
        </w:rPr>
        <w:t>c</w:t>
      </w:r>
      <w:r w:rsidR="00835475" w:rsidRPr="00632DBC">
        <w:rPr>
          <w:rFonts w:ascii="Times New Roman" w:hAnsi="Times New Roman"/>
          <w:b/>
        </w:rPr>
        <w:t>)</w:t>
      </w:r>
      <w:r w:rsidR="003B5268" w:rsidRPr="00632DBC">
        <w:rPr>
          <w:rFonts w:ascii="Times New Roman" w:hAnsi="Times New Roman"/>
          <w:b/>
        </w:rPr>
        <w:t xml:space="preserve"> </w:t>
      </w:r>
      <w:r w:rsidR="003B5268" w:rsidRPr="00632DBC">
        <w:rPr>
          <w:rFonts w:ascii="Times New Roman" w:hAnsi="Times New Roman"/>
          <w:b/>
          <w:i/>
          <w:spacing w:val="-4"/>
        </w:rPr>
        <w:t>Lo</w:t>
      </w:r>
      <w:r w:rsidR="003B5268" w:rsidRPr="00632DBC">
        <w:rPr>
          <w:rFonts w:ascii="Times New Roman" w:hAnsi="Times New Roman"/>
          <w:b/>
          <w:i/>
          <w:spacing w:val="-3"/>
        </w:rPr>
        <w:t xml:space="preserve">cal </w:t>
      </w:r>
      <w:r w:rsidR="003B5268" w:rsidRPr="00632DBC">
        <w:rPr>
          <w:rFonts w:ascii="Times New Roman" w:hAnsi="Times New Roman"/>
          <w:b/>
          <w:i/>
          <w:spacing w:val="-4"/>
        </w:rPr>
        <w:t>and</w:t>
      </w:r>
      <w:r w:rsidR="003B5268" w:rsidRPr="00632DBC">
        <w:rPr>
          <w:rFonts w:ascii="Times New Roman" w:hAnsi="Times New Roman"/>
          <w:b/>
          <w:i/>
          <w:spacing w:val="-3"/>
        </w:rPr>
        <w:t xml:space="preserve"> </w:t>
      </w:r>
      <w:r w:rsidR="003B5268" w:rsidRPr="00632DBC">
        <w:rPr>
          <w:rFonts w:ascii="Times New Roman" w:hAnsi="Times New Roman"/>
          <w:b/>
          <w:i/>
          <w:spacing w:val="-6"/>
        </w:rPr>
        <w:t>co</w:t>
      </w:r>
      <w:r w:rsidR="003B5268" w:rsidRPr="00632DBC">
        <w:rPr>
          <w:rFonts w:ascii="Times New Roman" w:hAnsi="Times New Roman"/>
          <w:b/>
          <w:i/>
          <w:spacing w:val="-5"/>
        </w:rPr>
        <w:t>unt</w:t>
      </w:r>
      <w:r w:rsidR="003B5268" w:rsidRPr="00632DBC">
        <w:rPr>
          <w:rFonts w:ascii="Times New Roman" w:hAnsi="Times New Roman"/>
          <w:b/>
          <w:i/>
          <w:spacing w:val="-6"/>
        </w:rPr>
        <w:t>ry</w:t>
      </w:r>
      <w:r w:rsidR="003B5268" w:rsidRPr="00632DBC">
        <w:rPr>
          <w:rFonts w:ascii="Times New Roman" w:hAnsi="Times New Roman"/>
          <w:b/>
          <w:i/>
          <w:spacing w:val="-5"/>
        </w:rPr>
        <w:t>-dri</w:t>
      </w:r>
      <w:r w:rsidR="003B5268" w:rsidRPr="00632DBC">
        <w:rPr>
          <w:rFonts w:ascii="Times New Roman" w:hAnsi="Times New Roman"/>
          <w:b/>
          <w:i/>
          <w:spacing w:val="-6"/>
        </w:rPr>
        <w:t>ve</w:t>
      </w:r>
      <w:r w:rsidR="003B5268" w:rsidRPr="00632DBC">
        <w:rPr>
          <w:rFonts w:ascii="Times New Roman" w:hAnsi="Times New Roman"/>
          <w:b/>
          <w:i/>
          <w:spacing w:val="-5"/>
        </w:rPr>
        <w:t>n/sp</w:t>
      </w:r>
      <w:r w:rsidR="003B5268" w:rsidRPr="00632DBC">
        <w:rPr>
          <w:rFonts w:ascii="Times New Roman" w:hAnsi="Times New Roman"/>
          <w:b/>
          <w:i/>
          <w:spacing w:val="-6"/>
        </w:rPr>
        <w:t>ec</w:t>
      </w:r>
      <w:r w:rsidR="003B5268" w:rsidRPr="00632DBC">
        <w:rPr>
          <w:rFonts w:ascii="Times New Roman" w:hAnsi="Times New Roman"/>
          <w:b/>
          <w:i/>
          <w:spacing w:val="-5"/>
        </w:rPr>
        <w:t>ifi</w:t>
      </w:r>
      <w:r w:rsidR="003B5268" w:rsidRPr="00632DBC">
        <w:rPr>
          <w:rFonts w:ascii="Times New Roman" w:hAnsi="Times New Roman"/>
          <w:b/>
          <w:i/>
          <w:spacing w:val="-6"/>
        </w:rPr>
        <w:t>c</w:t>
      </w:r>
      <w:r w:rsidR="003B5268" w:rsidRPr="00632DBC">
        <w:rPr>
          <w:rFonts w:ascii="Times New Roman" w:hAnsi="Times New Roman"/>
          <w:b/>
          <w:i/>
          <w:spacing w:val="-3"/>
        </w:rPr>
        <w:t xml:space="preserve"> </w:t>
      </w:r>
      <w:r w:rsidR="003B5268" w:rsidRPr="00632DBC">
        <w:rPr>
          <w:rFonts w:ascii="Times New Roman" w:hAnsi="Times New Roman"/>
          <w:b/>
          <w:i/>
          <w:spacing w:val="-4"/>
        </w:rPr>
        <w:t>p</w:t>
      </w:r>
      <w:r w:rsidR="003B5268" w:rsidRPr="00632DBC">
        <w:rPr>
          <w:rFonts w:ascii="Times New Roman" w:hAnsi="Times New Roman"/>
          <w:b/>
          <w:i/>
          <w:spacing w:val="-5"/>
        </w:rPr>
        <w:t>roce</w:t>
      </w:r>
      <w:r w:rsidR="003B5268" w:rsidRPr="00632DBC">
        <w:rPr>
          <w:rFonts w:ascii="Times New Roman" w:hAnsi="Times New Roman"/>
          <w:b/>
          <w:i/>
          <w:spacing w:val="-4"/>
        </w:rPr>
        <w:t>ss</w:t>
      </w:r>
      <w:r w:rsidR="003B5268" w:rsidRPr="00632DBC">
        <w:rPr>
          <w:rFonts w:ascii="Times New Roman" w:hAnsi="Times New Roman"/>
          <w:b/>
          <w:i/>
          <w:spacing w:val="-5"/>
        </w:rPr>
        <w:t>e</w:t>
      </w:r>
      <w:r w:rsidR="003B5268" w:rsidRPr="00632DBC">
        <w:rPr>
          <w:rFonts w:ascii="Times New Roman" w:hAnsi="Times New Roman"/>
          <w:b/>
          <w:i/>
          <w:spacing w:val="-4"/>
        </w:rPr>
        <w:t>s</w:t>
      </w:r>
      <w:r w:rsidR="003B5268" w:rsidRPr="00632DBC">
        <w:rPr>
          <w:rFonts w:ascii="Times New Roman" w:hAnsi="Times New Roman"/>
          <w:b/>
          <w:i/>
          <w:spacing w:val="-3"/>
        </w:rPr>
        <w:t xml:space="preserve"> </w:t>
      </w:r>
      <w:r w:rsidR="003B5268" w:rsidRPr="00632DBC">
        <w:rPr>
          <w:rFonts w:ascii="Times New Roman" w:hAnsi="Times New Roman"/>
          <w:b/>
          <w:i/>
          <w:spacing w:val="-6"/>
        </w:rPr>
        <w:t>lin</w:t>
      </w:r>
      <w:r w:rsidR="003B5268" w:rsidRPr="00632DBC">
        <w:rPr>
          <w:rFonts w:ascii="Times New Roman" w:hAnsi="Times New Roman"/>
          <w:b/>
          <w:i/>
          <w:spacing w:val="-7"/>
        </w:rPr>
        <w:t>ke</w:t>
      </w:r>
      <w:r w:rsidR="003B5268" w:rsidRPr="00632DBC">
        <w:rPr>
          <w:rFonts w:ascii="Times New Roman" w:hAnsi="Times New Roman"/>
          <w:b/>
          <w:i/>
          <w:spacing w:val="-6"/>
        </w:rPr>
        <w:t>d</w:t>
      </w:r>
      <w:r w:rsidR="003B5268" w:rsidRPr="00632DBC">
        <w:rPr>
          <w:rFonts w:ascii="Times New Roman" w:hAnsi="Times New Roman"/>
          <w:b/>
          <w:i/>
          <w:spacing w:val="-3"/>
        </w:rPr>
        <w:t xml:space="preserve"> t</w:t>
      </w:r>
      <w:r w:rsidR="003B5268" w:rsidRPr="00632DBC">
        <w:rPr>
          <w:rFonts w:ascii="Times New Roman" w:hAnsi="Times New Roman"/>
          <w:b/>
          <w:i/>
          <w:spacing w:val="-4"/>
        </w:rPr>
        <w:t>o</w:t>
      </w:r>
      <w:r w:rsidR="003B5268" w:rsidRPr="00632DBC">
        <w:rPr>
          <w:rFonts w:ascii="Times New Roman" w:hAnsi="Times New Roman"/>
          <w:b/>
          <w:i/>
          <w:spacing w:val="-3"/>
        </w:rPr>
        <w:t xml:space="preserve"> </w:t>
      </w:r>
      <w:r w:rsidR="003B5268" w:rsidRPr="00632DBC">
        <w:rPr>
          <w:rFonts w:ascii="Times New Roman" w:hAnsi="Times New Roman"/>
          <w:b/>
          <w:i/>
          <w:spacing w:val="-4"/>
        </w:rPr>
        <w:t>the</w:t>
      </w:r>
      <w:r w:rsidR="003B5268" w:rsidRPr="00632DBC">
        <w:rPr>
          <w:rFonts w:ascii="Times New Roman" w:hAnsi="Times New Roman"/>
          <w:b/>
          <w:i/>
          <w:spacing w:val="-3"/>
        </w:rPr>
        <w:t xml:space="preserve"> </w:t>
      </w:r>
      <w:r w:rsidR="003B5268" w:rsidRPr="00632DBC">
        <w:rPr>
          <w:rFonts w:ascii="Times New Roman" w:hAnsi="Times New Roman"/>
          <w:b/>
          <w:i/>
          <w:spacing w:val="-6"/>
        </w:rPr>
        <w:t>int</w:t>
      </w:r>
      <w:r w:rsidR="003B5268" w:rsidRPr="00632DBC">
        <w:rPr>
          <w:rFonts w:ascii="Times New Roman" w:hAnsi="Times New Roman"/>
          <w:b/>
          <w:i/>
          <w:spacing w:val="-7"/>
        </w:rPr>
        <w:t>e</w:t>
      </w:r>
      <w:r w:rsidR="003B5268" w:rsidRPr="00632DBC">
        <w:rPr>
          <w:rFonts w:ascii="Times New Roman" w:hAnsi="Times New Roman"/>
          <w:b/>
          <w:i/>
          <w:spacing w:val="-6"/>
        </w:rPr>
        <w:t>rnational</w:t>
      </w:r>
      <w:r w:rsidR="003B5268" w:rsidRPr="00632DBC">
        <w:rPr>
          <w:rFonts w:ascii="Times New Roman" w:hAnsi="Times New Roman"/>
          <w:b/>
          <w:i/>
          <w:spacing w:val="-3"/>
        </w:rPr>
        <w:t xml:space="preserve"> </w:t>
      </w:r>
      <w:r w:rsidR="003B5268" w:rsidRPr="00632DBC">
        <w:rPr>
          <w:rFonts w:ascii="Times New Roman" w:hAnsi="Times New Roman"/>
          <w:b/>
          <w:i/>
          <w:spacing w:val="-4"/>
        </w:rPr>
        <w:t>l</w:t>
      </w:r>
      <w:r w:rsidR="003B5268" w:rsidRPr="00632DBC">
        <w:rPr>
          <w:rFonts w:ascii="Times New Roman" w:hAnsi="Times New Roman"/>
          <w:b/>
          <w:i/>
          <w:spacing w:val="-5"/>
        </w:rPr>
        <w:t>eve</w:t>
      </w:r>
      <w:r w:rsidR="003B5268" w:rsidRPr="00632DBC">
        <w:rPr>
          <w:rFonts w:ascii="Times New Roman" w:hAnsi="Times New Roman"/>
          <w:b/>
          <w:i/>
          <w:spacing w:val="-4"/>
        </w:rPr>
        <w:t>l</w:t>
      </w:r>
      <w:r w:rsidR="003B5268" w:rsidRPr="00632DBC">
        <w:rPr>
          <w:rFonts w:ascii="Times New Roman" w:hAnsi="Times New Roman"/>
          <w:b/>
          <w:spacing w:val="-4"/>
        </w:rPr>
        <w:t xml:space="preserve"> </w:t>
      </w:r>
      <w:r w:rsidR="007416D7" w:rsidRPr="00632DBC">
        <w:rPr>
          <w:rFonts w:ascii="Times New Roman" w:hAnsi="Times New Roman"/>
          <w:b/>
        </w:rPr>
        <w:t xml:space="preserve">and </w:t>
      </w:r>
      <w:r w:rsidR="007416D7" w:rsidRPr="00632DBC">
        <w:rPr>
          <w:rFonts w:ascii="Times New Roman" w:hAnsi="Times New Roman"/>
          <w:b/>
          <w:i/>
          <w:spacing w:val="-6"/>
        </w:rPr>
        <w:t>(d)</w:t>
      </w:r>
      <w:r w:rsidR="003B5268" w:rsidRPr="00632DBC">
        <w:rPr>
          <w:rFonts w:ascii="Times New Roman" w:hAnsi="Times New Roman"/>
          <w:b/>
        </w:rPr>
        <w:t xml:space="preserve"> </w:t>
      </w:r>
      <w:r w:rsidR="003B5268" w:rsidRPr="00632DBC">
        <w:rPr>
          <w:rFonts w:ascii="Times New Roman" w:hAnsi="Times New Roman"/>
          <w:b/>
          <w:i/>
        </w:rPr>
        <w:t>Governance, institutional frameworks, transparency, accountability and compliance</w:t>
      </w:r>
      <w:r w:rsidR="002F1E19" w:rsidRPr="00632DBC">
        <w:rPr>
          <w:rFonts w:ascii="Times New Roman" w:hAnsi="Times New Roman"/>
          <w:b/>
          <w:i/>
        </w:rPr>
        <w:t>.</w:t>
      </w:r>
    </w:p>
    <w:p w14:paraId="44DE5269" w14:textId="53D4BB5E" w:rsidR="003B5268" w:rsidRPr="00632DBC" w:rsidRDefault="003B5268" w:rsidP="008038BC">
      <w:pPr>
        <w:ind w:left="360" w:right="50"/>
        <w:jc w:val="both"/>
        <w:rPr>
          <w:rFonts w:ascii="Times New Roman" w:hAnsi="Times New Roman"/>
        </w:rPr>
      </w:pPr>
      <w:r w:rsidRPr="00632DBC">
        <w:rPr>
          <w:rFonts w:ascii="Times New Roman" w:hAnsi="Times New Roman"/>
        </w:rPr>
        <w:t xml:space="preserve">As lessons drawn from these guidelines are closely related to each other they </w:t>
      </w:r>
      <w:r w:rsidR="005E3161" w:rsidRPr="00632DBC">
        <w:rPr>
          <w:rFonts w:ascii="Times New Roman" w:hAnsi="Times New Roman"/>
        </w:rPr>
        <w:t>can be collated into a single section.</w:t>
      </w:r>
    </w:p>
    <w:p w14:paraId="161E7479" w14:textId="6D3BD7C3" w:rsidR="003B5268" w:rsidRPr="00632DBC" w:rsidRDefault="003B5268" w:rsidP="00632DBC">
      <w:pPr>
        <w:pStyle w:val="ListParagraph"/>
        <w:numPr>
          <w:ilvl w:val="0"/>
          <w:numId w:val="40"/>
        </w:numPr>
        <w:ind w:right="50"/>
        <w:jc w:val="both"/>
        <w:rPr>
          <w:sz w:val="22"/>
          <w:szCs w:val="22"/>
          <w:lang w:val="en-GB"/>
        </w:rPr>
      </w:pPr>
      <w:r w:rsidRPr="00632DBC">
        <w:rPr>
          <w:b/>
          <w:i/>
          <w:sz w:val="22"/>
          <w:szCs w:val="22"/>
          <w:lang w:val="en-GB"/>
        </w:rPr>
        <w:lastRenderedPageBreak/>
        <w:t xml:space="preserve">Coordinating policies for </w:t>
      </w:r>
      <w:r w:rsidR="000475E7" w:rsidRPr="00632DBC">
        <w:rPr>
          <w:b/>
          <w:i/>
          <w:sz w:val="22"/>
          <w:szCs w:val="22"/>
          <w:lang w:val="en-GB"/>
        </w:rPr>
        <w:t xml:space="preserve">protecting the rights of </w:t>
      </w:r>
      <w:r w:rsidRPr="00632DBC">
        <w:rPr>
          <w:b/>
          <w:i/>
          <w:sz w:val="22"/>
          <w:szCs w:val="22"/>
          <w:lang w:val="en-GB"/>
        </w:rPr>
        <w:t>disadvantaged groups</w:t>
      </w:r>
      <w:r w:rsidRPr="00632DBC">
        <w:rPr>
          <w:b/>
          <w:sz w:val="22"/>
          <w:szCs w:val="22"/>
          <w:lang w:val="en-GB"/>
        </w:rPr>
        <w:t>.</w:t>
      </w:r>
      <w:r w:rsidRPr="00632DBC">
        <w:rPr>
          <w:sz w:val="22"/>
          <w:szCs w:val="22"/>
          <w:lang w:val="en-GB"/>
        </w:rPr>
        <w:t xml:space="preserve"> Landless households in the area currently occupied by the OOC conservancy were involuntarily displaced </w:t>
      </w:r>
      <w:proofErr w:type="gramStart"/>
      <w:r w:rsidRPr="00632DBC">
        <w:rPr>
          <w:sz w:val="22"/>
          <w:szCs w:val="22"/>
          <w:lang w:val="en-GB"/>
        </w:rPr>
        <w:t>as a consequence of</w:t>
      </w:r>
      <w:proofErr w:type="gramEnd"/>
      <w:r w:rsidRPr="00632DBC">
        <w:rPr>
          <w:sz w:val="22"/>
          <w:szCs w:val="22"/>
          <w:lang w:val="en-GB"/>
        </w:rPr>
        <w:t xml:space="preserve"> the PES. </w:t>
      </w:r>
      <w:r w:rsidR="00504B5E" w:rsidRPr="00504B5E">
        <w:rPr>
          <w:sz w:val="22"/>
          <w:szCs w:val="22"/>
          <w:lang w:val="en-GB"/>
        </w:rPr>
        <w:t xml:space="preserve">The disadvantage of not owning land is often related to other conditions of inequality </w:t>
      </w:r>
      <w:r w:rsidRPr="00632DBC">
        <w:rPr>
          <w:sz w:val="22"/>
          <w:szCs w:val="22"/>
          <w:lang w:val="en-GB"/>
        </w:rPr>
        <w:t xml:space="preserve">to other conditions of inequality such as gender, age and migratory status. </w:t>
      </w:r>
      <w:r w:rsidR="00504B5E" w:rsidRPr="00504B5E">
        <w:rPr>
          <w:sz w:val="22"/>
          <w:szCs w:val="22"/>
          <w:lang w:val="en-GB"/>
        </w:rPr>
        <w:t xml:space="preserve">  </w:t>
      </w:r>
      <w:r w:rsidRPr="00632DBC">
        <w:rPr>
          <w:sz w:val="22"/>
          <w:szCs w:val="22"/>
          <w:lang w:val="en-GB"/>
        </w:rPr>
        <w:t xml:space="preserve">Groups facing this situation have little negotiating power to </w:t>
      </w:r>
      <w:r w:rsidR="000D3AEF" w:rsidRPr="00632DBC">
        <w:rPr>
          <w:sz w:val="22"/>
          <w:szCs w:val="22"/>
          <w:lang w:val="en-GB"/>
        </w:rPr>
        <w:t>influence</w:t>
      </w:r>
      <w:r w:rsidRPr="00632DBC">
        <w:rPr>
          <w:sz w:val="22"/>
          <w:szCs w:val="22"/>
          <w:lang w:val="en-GB"/>
        </w:rPr>
        <w:t xml:space="preserve"> their condition</w:t>
      </w:r>
      <w:r w:rsidR="00BD77E2" w:rsidRPr="00632DBC">
        <w:rPr>
          <w:sz w:val="22"/>
          <w:szCs w:val="22"/>
          <w:lang w:val="en-GB"/>
        </w:rPr>
        <w:t>s</w:t>
      </w:r>
      <w:r w:rsidRPr="00632DBC">
        <w:rPr>
          <w:sz w:val="22"/>
          <w:szCs w:val="22"/>
          <w:lang w:val="en-GB"/>
        </w:rPr>
        <w:t xml:space="preserve">. Additionally, they might risk entering in an even more disadvantaged situation after being displaced. </w:t>
      </w:r>
      <w:proofErr w:type="gramStart"/>
      <w:r w:rsidRPr="00632DBC">
        <w:rPr>
          <w:sz w:val="22"/>
          <w:szCs w:val="22"/>
          <w:lang w:val="en-GB"/>
        </w:rPr>
        <w:t>In order to</w:t>
      </w:r>
      <w:proofErr w:type="gramEnd"/>
      <w:r w:rsidRPr="00632DBC">
        <w:rPr>
          <w:sz w:val="22"/>
          <w:szCs w:val="22"/>
          <w:lang w:val="en-GB"/>
        </w:rPr>
        <w:t xml:space="preserve"> safeguard the rights of these </w:t>
      </w:r>
      <w:r w:rsidR="00774EB9" w:rsidRPr="00632DBC">
        <w:rPr>
          <w:sz w:val="22"/>
          <w:szCs w:val="22"/>
          <w:lang w:val="en-GB"/>
        </w:rPr>
        <w:t>groups, adequate</w:t>
      </w:r>
      <w:r w:rsidR="00350328" w:rsidRPr="00632DBC">
        <w:rPr>
          <w:sz w:val="22"/>
          <w:szCs w:val="22"/>
          <w:lang w:val="en-GB"/>
        </w:rPr>
        <w:t xml:space="preserve"> </w:t>
      </w:r>
      <w:r w:rsidRPr="00632DBC">
        <w:rPr>
          <w:sz w:val="22"/>
          <w:szCs w:val="22"/>
          <w:lang w:val="en-GB"/>
        </w:rPr>
        <w:t>policies</w:t>
      </w:r>
      <w:r w:rsidR="00350328" w:rsidRPr="00632DBC">
        <w:rPr>
          <w:sz w:val="22"/>
          <w:szCs w:val="22"/>
          <w:lang w:val="en-GB"/>
        </w:rPr>
        <w:t xml:space="preserve"> need to be in </w:t>
      </w:r>
      <w:r w:rsidR="00774EB9" w:rsidRPr="00632DBC">
        <w:rPr>
          <w:sz w:val="22"/>
          <w:szCs w:val="22"/>
          <w:lang w:val="en-GB"/>
        </w:rPr>
        <w:t>place and</w:t>
      </w:r>
      <w:r w:rsidRPr="00632DBC">
        <w:rPr>
          <w:sz w:val="22"/>
          <w:szCs w:val="22"/>
          <w:lang w:val="en-GB"/>
        </w:rPr>
        <w:t xml:space="preserve"> implemented </w:t>
      </w:r>
      <w:r w:rsidR="00BD77E2" w:rsidRPr="00632DBC">
        <w:rPr>
          <w:sz w:val="22"/>
          <w:szCs w:val="22"/>
          <w:lang w:val="en-GB"/>
        </w:rPr>
        <w:t>promptly before</w:t>
      </w:r>
      <w:r w:rsidRPr="00632DBC">
        <w:rPr>
          <w:sz w:val="22"/>
          <w:szCs w:val="22"/>
          <w:lang w:val="en-GB"/>
        </w:rPr>
        <w:t xml:space="preserve"> </w:t>
      </w:r>
      <w:r w:rsidR="00350328" w:rsidRPr="00632DBC">
        <w:rPr>
          <w:sz w:val="22"/>
          <w:szCs w:val="22"/>
          <w:lang w:val="en-GB"/>
        </w:rPr>
        <w:t xml:space="preserve">these types of </w:t>
      </w:r>
      <w:r w:rsidRPr="00632DBC">
        <w:rPr>
          <w:sz w:val="22"/>
          <w:szCs w:val="22"/>
          <w:lang w:val="en-GB"/>
        </w:rPr>
        <w:t>vulnerabilit</w:t>
      </w:r>
      <w:r w:rsidR="00350328" w:rsidRPr="00632DBC">
        <w:rPr>
          <w:sz w:val="22"/>
          <w:szCs w:val="22"/>
          <w:lang w:val="en-GB"/>
        </w:rPr>
        <w:t>ies are</w:t>
      </w:r>
      <w:r w:rsidRPr="00632DBC">
        <w:rPr>
          <w:sz w:val="22"/>
          <w:szCs w:val="22"/>
          <w:lang w:val="en-GB"/>
        </w:rPr>
        <w:t xml:space="preserve"> r</w:t>
      </w:r>
      <w:r w:rsidR="00BD77E2" w:rsidRPr="00632DBC">
        <w:rPr>
          <w:sz w:val="22"/>
          <w:szCs w:val="22"/>
          <w:lang w:val="en-GB"/>
        </w:rPr>
        <w:t xml:space="preserve">einforced. </w:t>
      </w:r>
    </w:p>
    <w:p w14:paraId="5517F0A3" w14:textId="33738862" w:rsidR="002F1E19" w:rsidRPr="00632DBC" w:rsidRDefault="003B5268" w:rsidP="007C5C2D">
      <w:pPr>
        <w:pStyle w:val="ListParagraph"/>
        <w:numPr>
          <w:ilvl w:val="0"/>
          <w:numId w:val="40"/>
        </w:numPr>
        <w:ind w:right="50"/>
        <w:jc w:val="both"/>
        <w:rPr>
          <w:sz w:val="22"/>
          <w:szCs w:val="22"/>
          <w:lang w:val="en-GB"/>
        </w:rPr>
      </w:pPr>
      <w:r w:rsidRPr="00632DBC">
        <w:rPr>
          <w:b/>
          <w:i/>
          <w:sz w:val="22"/>
          <w:szCs w:val="22"/>
          <w:lang w:val="en-GB"/>
        </w:rPr>
        <w:t xml:space="preserve">Addressing causes of inequality </w:t>
      </w:r>
      <w:proofErr w:type="gramStart"/>
      <w:r w:rsidRPr="00632DBC">
        <w:rPr>
          <w:b/>
          <w:i/>
          <w:sz w:val="22"/>
          <w:szCs w:val="22"/>
          <w:lang w:val="en-GB"/>
        </w:rPr>
        <w:t>previous to</w:t>
      </w:r>
      <w:proofErr w:type="gramEnd"/>
      <w:r w:rsidRPr="00632DBC">
        <w:rPr>
          <w:b/>
          <w:i/>
          <w:sz w:val="22"/>
          <w:szCs w:val="22"/>
          <w:lang w:val="en-GB"/>
        </w:rPr>
        <w:t xml:space="preserve"> the adoption of PES</w:t>
      </w:r>
      <w:r w:rsidRPr="00632DBC">
        <w:rPr>
          <w:b/>
          <w:sz w:val="22"/>
          <w:szCs w:val="22"/>
          <w:lang w:val="en-GB"/>
        </w:rPr>
        <w:t>.</w:t>
      </w:r>
      <w:r w:rsidRPr="00632DBC">
        <w:rPr>
          <w:sz w:val="22"/>
          <w:szCs w:val="22"/>
          <w:lang w:val="en-GB"/>
        </w:rPr>
        <w:t xml:space="preserve"> The amount of individually owned land determined the income that each household obtained from joining the PES scheme. Therefore, land distribution</w:t>
      </w:r>
      <w:r w:rsidR="006A0961" w:rsidRPr="00632DBC">
        <w:rPr>
          <w:sz w:val="22"/>
          <w:szCs w:val="22"/>
          <w:lang w:val="en-GB"/>
        </w:rPr>
        <w:t xml:space="preserve"> </w:t>
      </w:r>
      <w:r w:rsidR="000D3AEF" w:rsidRPr="00632DBC">
        <w:rPr>
          <w:sz w:val="22"/>
          <w:szCs w:val="22"/>
          <w:lang w:val="en-GB"/>
        </w:rPr>
        <w:t>– i.e. who</w:t>
      </w:r>
      <w:r w:rsidRPr="00632DBC">
        <w:rPr>
          <w:sz w:val="22"/>
          <w:szCs w:val="22"/>
          <w:lang w:val="en-GB"/>
        </w:rPr>
        <w:t xml:space="preserve"> among the inhabitants of the region and </w:t>
      </w:r>
      <w:r w:rsidR="000D3AEF" w:rsidRPr="00632DBC">
        <w:rPr>
          <w:sz w:val="22"/>
          <w:szCs w:val="22"/>
          <w:lang w:val="en-GB"/>
        </w:rPr>
        <w:t>with</w:t>
      </w:r>
      <w:r w:rsidRPr="00632DBC">
        <w:rPr>
          <w:sz w:val="22"/>
          <w:szCs w:val="22"/>
          <w:lang w:val="en-GB"/>
        </w:rPr>
        <w:t>in the household</w:t>
      </w:r>
      <w:r w:rsidR="00955EFD" w:rsidRPr="00632DBC">
        <w:rPr>
          <w:sz w:val="22"/>
          <w:szCs w:val="22"/>
          <w:lang w:val="en-GB"/>
        </w:rPr>
        <w:t xml:space="preserve"> owned land</w:t>
      </w:r>
      <w:r w:rsidRPr="00632DBC">
        <w:rPr>
          <w:sz w:val="22"/>
          <w:szCs w:val="22"/>
          <w:lang w:val="en-GB"/>
        </w:rPr>
        <w:t xml:space="preserve"> - </w:t>
      </w:r>
      <w:r w:rsidR="006A0961" w:rsidRPr="00632DBC">
        <w:rPr>
          <w:sz w:val="22"/>
          <w:szCs w:val="22"/>
          <w:lang w:val="en-GB"/>
        </w:rPr>
        <w:t xml:space="preserve">determined who received the benefits from PES </w:t>
      </w:r>
      <w:r w:rsidRPr="00632DBC">
        <w:rPr>
          <w:sz w:val="22"/>
          <w:szCs w:val="22"/>
          <w:lang w:val="en-GB"/>
        </w:rPr>
        <w:t>and how unequal these benefits became. Finding mechanisms to allocate property land rights in equitable way</w:t>
      </w:r>
      <w:r w:rsidR="00350328" w:rsidRPr="00632DBC">
        <w:rPr>
          <w:sz w:val="22"/>
          <w:szCs w:val="22"/>
          <w:lang w:val="en-GB"/>
        </w:rPr>
        <w:t>s</w:t>
      </w:r>
      <w:r w:rsidRPr="00632DBC">
        <w:rPr>
          <w:sz w:val="22"/>
          <w:szCs w:val="22"/>
          <w:lang w:val="en-GB"/>
        </w:rPr>
        <w:t xml:space="preserve"> would </w:t>
      </w:r>
      <w:r w:rsidR="00350328" w:rsidRPr="00632DBC">
        <w:rPr>
          <w:sz w:val="22"/>
          <w:szCs w:val="22"/>
          <w:lang w:val="en-GB"/>
        </w:rPr>
        <w:t xml:space="preserve">significantly </w:t>
      </w:r>
      <w:r w:rsidR="00955EFD" w:rsidRPr="00632DBC">
        <w:rPr>
          <w:sz w:val="22"/>
          <w:szCs w:val="22"/>
          <w:lang w:val="en-GB"/>
        </w:rPr>
        <w:t>decrease inequality in</w:t>
      </w:r>
      <w:r w:rsidRPr="00632DBC">
        <w:rPr>
          <w:sz w:val="22"/>
          <w:szCs w:val="22"/>
          <w:lang w:val="en-GB"/>
        </w:rPr>
        <w:t xml:space="preserve"> receiving the benefits of the PES scheme. </w:t>
      </w:r>
    </w:p>
    <w:p w14:paraId="33D70ABF" w14:textId="77777777" w:rsidR="000C3D05" w:rsidRPr="00632DBC" w:rsidRDefault="000C3D05" w:rsidP="008038BC">
      <w:pPr>
        <w:pStyle w:val="ListParagraph"/>
        <w:ind w:right="50"/>
        <w:jc w:val="both"/>
        <w:rPr>
          <w:sz w:val="22"/>
          <w:szCs w:val="22"/>
          <w:lang w:val="en-GB"/>
        </w:rPr>
      </w:pPr>
    </w:p>
    <w:p w14:paraId="6FA2F4C4" w14:textId="4EA03776" w:rsidR="00F265DB" w:rsidRPr="00632DBC" w:rsidRDefault="00350328" w:rsidP="007C5C2D">
      <w:pPr>
        <w:pStyle w:val="ListParagraph"/>
        <w:numPr>
          <w:ilvl w:val="0"/>
          <w:numId w:val="40"/>
        </w:numPr>
        <w:ind w:right="50"/>
        <w:jc w:val="both"/>
        <w:rPr>
          <w:sz w:val="22"/>
          <w:szCs w:val="22"/>
          <w:lang w:val="en-GB"/>
        </w:rPr>
      </w:pPr>
      <w:r w:rsidRPr="00632DBC">
        <w:rPr>
          <w:b/>
          <w:i/>
          <w:sz w:val="22"/>
          <w:szCs w:val="22"/>
          <w:lang w:val="en-GB"/>
        </w:rPr>
        <w:t>Sustainable management</w:t>
      </w:r>
      <w:r w:rsidR="003B5268" w:rsidRPr="00632DBC">
        <w:rPr>
          <w:b/>
          <w:i/>
          <w:sz w:val="22"/>
          <w:szCs w:val="22"/>
          <w:lang w:val="en-GB"/>
        </w:rPr>
        <w:t xml:space="preserve"> considering regional carrying capacity for herding</w:t>
      </w:r>
      <w:r w:rsidR="003B5268" w:rsidRPr="00632DBC">
        <w:rPr>
          <w:sz w:val="22"/>
          <w:szCs w:val="22"/>
          <w:lang w:val="en-GB"/>
        </w:rPr>
        <w:t xml:space="preserve">. </w:t>
      </w:r>
      <w:proofErr w:type="gramStart"/>
      <w:r w:rsidR="003B5268" w:rsidRPr="00632DBC">
        <w:rPr>
          <w:sz w:val="22"/>
          <w:szCs w:val="22"/>
          <w:lang w:val="en-GB"/>
        </w:rPr>
        <w:t>As a consequence of</w:t>
      </w:r>
      <w:proofErr w:type="gramEnd"/>
      <w:r w:rsidR="003B5268" w:rsidRPr="00632DBC">
        <w:rPr>
          <w:sz w:val="22"/>
          <w:szCs w:val="22"/>
          <w:lang w:val="en-GB"/>
        </w:rPr>
        <w:t xml:space="preserve"> the PES agreement, herders moved outside the conservancy, which increased</w:t>
      </w:r>
      <w:r w:rsidR="0007189A" w:rsidRPr="00632DBC">
        <w:rPr>
          <w:sz w:val="22"/>
          <w:szCs w:val="22"/>
          <w:lang w:val="en-GB"/>
        </w:rPr>
        <w:t xml:space="preserve"> the</w:t>
      </w:r>
      <w:r w:rsidR="003B5268" w:rsidRPr="00632DBC">
        <w:rPr>
          <w:sz w:val="22"/>
          <w:szCs w:val="22"/>
          <w:lang w:val="en-GB"/>
        </w:rPr>
        <w:t xml:space="preserve"> chances of overgrazing </w:t>
      </w:r>
      <w:r w:rsidR="0007189A" w:rsidRPr="00632DBC">
        <w:rPr>
          <w:sz w:val="22"/>
          <w:szCs w:val="22"/>
          <w:lang w:val="en-GB"/>
        </w:rPr>
        <w:t>in the remaining pasturelands. In addition</w:t>
      </w:r>
      <w:r w:rsidR="003B5268" w:rsidRPr="00632DBC">
        <w:rPr>
          <w:sz w:val="22"/>
          <w:szCs w:val="22"/>
          <w:lang w:val="en-GB"/>
        </w:rPr>
        <w:t>, hum</w:t>
      </w:r>
      <w:r w:rsidR="000D3AEF" w:rsidRPr="00632DBC">
        <w:rPr>
          <w:sz w:val="22"/>
          <w:szCs w:val="22"/>
          <w:lang w:val="en-GB"/>
        </w:rPr>
        <w:t>an population growth intensified</w:t>
      </w:r>
      <w:r w:rsidR="003B5268" w:rsidRPr="00632DBC">
        <w:rPr>
          <w:sz w:val="22"/>
          <w:szCs w:val="22"/>
          <w:lang w:val="en-GB"/>
        </w:rPr>
        <w:t xml:space="preserve"> pressure over this resource resulting in a process of worsening</w:t>
      </w:r>
      <w:r w:rsidRPr="00632DBC">
        <w:rPr>
          <w:sz w:val="22"/>
          <w:szCs w:val="22"/>
          <w:lang w:val="en-GB"/>
        </w:rPr>
        <w:t xml:space="preserve"> </w:t>
      </w:r>
      <w:r w:rsidR="003B5268" w:rsidRPr="00632DBC">
        <w:rPr>
          <w:sz w:val="22"/>
          <w:szCs w:val="22"/>
          <w:lang w:val="en-GB"/>
        </w:rPr>
        <w:t xml:space="preserve">degradation of pastoral commons. Under this scenario, the sustainability of the conservancy </w:t>
      </w:r>
      <w:r w:rsidR="000D3AEF" w:rsidRPr="00632DBC">
        <w:rPr>
          <w:sz w:val="22"/>
          <w:szCs w:val="22"/>
          <w:lang w:val="en-GB"/>
        </w:rPr>
        <w:t>constitutes a trade-off with the vulnerability of</w:t>
      </w:r>
      <w:r w:rsidR="003B5268" w:rsidRPr="00632DBC">
        <w:rPr>
          <w:sz w:val="22"/>
          <w:szCs w:val="22"/>
          <w:lang w:val="en-GB"/>
        </w:rPr>
        <w:t xml:space="preserve"> the livelihoods of herders at regional level, which in </w:t>
      </w:r>
      <w:r w:rsidR="004839E9" w:rsidRPr="00632DBC">
        <w:rPr>
          <w:sz w:val="22"/>
          <w:szCs w:val="22"/>
          <w:lang w:val="en-GB"/>
        </w:rPr>
        <w:t xml:space="preserve">the medium-long term </w:t>
      </w:r>
      <w:r w:rsidR="003B5268" w:rsidRPr="00632DBC">
        <w:rPr>
          <w:sz w:val="22"/>
          <w:szCs w:val="22"/>
          <w:lang w:val="en-GB"/>
        </w:rPr>
        <w:t xml:space="preserve">poses a high risk over the </w:t>
      </w:r>
      <w:r w:rsidR="004839E9" w:rsidRPr="00632DBC">
        <w:rPr>
          <w:sz w:val="22"/>
          <w:szCs w:val="22"/>
          <w:lang w:val="en-GB"/>
        </w:rPr>
        <w:t>feasibility</w:t>
      </w:r>
      <w:r w:rsidR="003B5268" w:rsidRPr="00632DBC">
        <w:rPr>
          <w:sz w:val="22"/>
          <w:szCs w:val="22"/>
          <w:lang w:val="en-GB"/>
        </w:rPr>
        <w:t xml:space="preserve"> of the conservancy</w:t>
      </w:r>
      <w:r w:rsidR="004839E9" w:rsidRPr="00632DBC">
        <w:rPr>
          <w:sz w:val="22"/>
          <w:szCs w:val="22"/>
          <w:lang w:val="en-GB"/>
        </w:rPr>
        <w:t xml:space="preserve"> and PES scheme</w:t>
      </w:r>
      <w:r w:rsidR="003B5268" w:rsidRPr="00632DBC">
        <w:rPr>
          <w:sz w:val="22"/>
          <w:szCs w:val="22"/>
          <w:lang w:val="en-GB"/>
        </w:rPr>
        <w:t xml:space="preserve">. Maintaining the sustainability of the region require tailored policies </w:t>
      </w:r>
      <w:r w:rsidR="0007189A" w:rsidRPr="00632DBC">
        <w:rPr>
          <w:sz w:val="22"/>
          <w:szCs w:val="22"/>
          <w:lang w:val="en-GB"/>
        </w:rPr>
        <w:t>that</w:t>
      </w:r>
      <w:r w:rsidR="003B5268" w:rsidRPr="00632DBC">
        <w:rPr>
          <w:sz w:val="22"/>
          <w:szCs w:val="22"/>
          <w:lang w:val="en-GB"/>
        </w:rPr>
        <w:t xml:space="preserve"> carefully consider the carrying capacity of the region</w:t>
      </w:r>
      <w:r w:rsidR="000475E7" w:rsidRPr="00632DBC">
        <w:rPr>
          <w:sz w:val="22"/>
          <w:szCs w:val="22"/>
          <w:lang w:val="en-GB"/>
        </w:rPr>
        <w:t xml:space="preserve"> and rights considerations mentioned earlier</w:t>
      </w:r>
      <w:r w:rsidR="0007189A" w:rsidRPr="00632DBC">
        <w:rPr>
          <w:sz w:val="22"/>
          <w:szCs w:val="22"/>
          <w:lang w:val="en-GB"/>
        </w:rPr>
        <w:t xml:space="preserve">. </w:t>
      </w:r>
      <w:r w:rsidR="003B5268" w:rsidRPr="00632DBC">
        <w:rPr>
          <w:sz w:val="22"/>
          <w:szCs w:val="22"/>
          <w:lang w:val="en-GB"/>
        </w:rPr>
        <w:t xml:space="preserve">International assistance could </w:t>
      </w:r>
      <w:r w:rsidR="004839E9" w:rsidRPr="00632DBC">
        <w:rPr>
          <w:sz w:val="22"/>
          <w:szCs w:val="22"/>
          <w:lang w:val="en-GB"/>
        </w:rPr>
        <w:t>contribute to</w:t>
      </w:r>
      <w:r w:rsidR="000475E7" w:rsidRPr="00632DBC">
        <w:rPr>
          <w:sz w:val="22"/>
          <w:szCs w:val="22"/>
          <w:lang w:val="en-GB"/>
        </w:rPr>
        <w:t xml:space="preserve"> support tailored regional management practices</w:t>
      </w:r>
      <w:r w:rsidR="003B5268" w:rsidRPr="00632DBC">
        <w:rPr>
          <w:sz w:val="22"/>
          <w:szCs w:val="22"/>
          <w:lang w:val="en-GB"/>
        </w:rPr>
        <w:t>.</w:t>
      </w:r>
      <w:bookmarkEnd w:id="111"/>
      <w:bookmarkEnd w:id="112"/>
    </w:p>
    <w:p w14:paraId="5994FACA" w14:textId="77777777" w:rsidR="00F265DB" w:rsidRPr="00632DBC" w:rsidRDefault="00F265DB" w:rsidP="009E31C1">
      <w:pPr>
        <w:ind w:right="50"/>
        <w:rPr>
          <w:rFonts w:ascii="Times New Roman" w:hAnsi="Times New Roman"/>
        </w:rPr>
      </w:pPr>
    </w:p>
    <w:p w14:paraId="7FD72F7F" w14:textId="0A4BD36A" w:rsidR="00DF4010" w:rsidRPr="00632DBC" w:rsidRDefault="00DF4010" w:rsidP="00DF2423">
      <w:pPr>
        <w:pStyle w:val="Caption"/>
      </w:pPr>
      <w:bookmarkStart w:id="113" w:name="_Toc398935608"/>
      <w:bookmarkStart w:id="114" w:name="_Toc398936073"/>
      <w:bookmarkStart w:id="115" w:name="_Toc529192213"/>
      <w:r w:rsidRPr="00632DBC">
        <w:t xml:space="preserve">Table </w:t>
      </w:r>
      <w:r w:rsidRPr="00632DBC">
        <w:fldChar w:fldCharType="begin"/>
      </w:r>
      <w:r w:rsidRPr="00632DBC">
        <w:instrText xml:space="preserve"> SEQ Table \* ARABIC </w:instrText>
      </w:r>
      <w:r w:rsidRPr="00632DBC">
        <w:fldChar w:fldCharType="separate"/>
      </w:r>
      <w:r w:rsidR="00251833" w:rsidRPr="00632DBC">
        <w:rPr>
          <w:noProof/>
        </w:rPr>
        <w:t>4</w:t>
      </w:r>
      <w:r w:rsidRPr="00632DBC">
        <w:fldChar w:fldCharType="end"/>
      </w:r>
      <w:r w:rsidRPr="00632DBC">
        <w:t xml:space="preserve">. Strategies for implementing the CBD guidelines for safeguards and corresponding lessons learned from the case of Payment for Ecosystem Services in the </w:t>
      </w:r>
      <w:proofErr w:type="spellStart"/>
      <w:r w:rsidRPr="00632DBC">
        <w:t>Olare</w:t>
      </w:r>
      <w:proofErr w:type="spellEnd"/>
      <w:r w:rsidRPr="00632DBC">
        <w:t xml:space="preserve"> </w:t>
      </w:r>
      <w:proofErr w:type="spellStart"/>
      <w:r w:rsidRPr="00632DBC">
        <w:t>Orok</w:t>
      </w:r>
      <w:proofErr w:type="spellEnd"/>
      <w:r w:rsidRPr="00632DBC">
        <w:t xml:space="preserve"> conservancy in Kenya.</w:t>
      </w:r>
      <w:bookmarkEnd w:id="113"/>
      <w:bookmarkEnd w:id="114"/>
      <w:bookmarkEnd w:id="115"/>
    </w:p>
    <w:tbl>
      <w:tblPr>
        <w:tblStyle w:val="TableGrid"/>
        <w:tblW w:w="10632" w:type="dxa"/>
        <w:tblInd w:w="-318" w:type="dxa"/>
        <w:tblLook w:val="04A0" w:firstRow="1" w:lastRow="0" w:firstColumn="1" w:lastColumn="0" w:noHBand="0" w:noVBand="1"/>
      </w:tblPr>
      <w:tblGrid>
        <w:gridCol w:w="1702"/>
        <w:gridCol w:w="1843"/>
        <w:gridCol w:w="2268"/>
        <w:gridCol w:w="2268"/>
        <w:gridCol w:w="2551"/>
      </w:tblGrid>
      <w:tr w:rsidR="00633A71" w:rsidRPr="00632DBC" w14:paraId="2887F4EC" w14:textId="77777777" w:rsidTr="00EB5473">
        <w:trPr>
          <w:trHeight w:val="1081"/>
        </w:trPr>
        <w:tc>
          <w:tcPr>
            <w:tcW w:w="1702" w:type="dxa"/>
          </w:tcPr>
          <w:p w14:paraId="4F9425EF" w14:textId="728D1E70" w:rsidR="00821AB8" w:rsidRPr="00632DBC" w:rsidRDefault="00821AB8" w:rsidP="00821AB8">
            <w:pPr>
              <w:rPr>
                <w:rFonts w:ascii="Calibri" w:hAnsi="Calibri"/>
                <w:b/>
                <w:sz w:val="18"/>
                <w:szCs w:val="18"/>
              </w:rPr>
            </w:pPr>
            <w:r w:rsidRPr="00632DBC">
              <w:rPr>
                <w:rFonts w:ascii="Calibri" w:hAnsi="Calibri"/>
                <w:b/>
                <w:sz w:val="18"/>
                <w:szCs w:val="18"/>
              </w:rPr>
              <w:t>CBD Guidelines for safeguards in Biodiversity Financing Mechanisms</w:t>
            </w:r>
          </w:p>
        </w:tc>
        <w:tc>
          <w:tcPr>
            <w:tcW w:w="1843" w:type="dxa"/>
          </w:tcPr>
          <w:p w14:paraId="0180246F" w14:textId="23BC994F" w:rsidR="00504B5E" w:rsidRPr="00632DBC" w:rsidRDefault="00504B5E" w:rsidP="00CA0F09">
            <w:pPr>
              <w:pStyle w:val="ListParagraph"/>
              <w:numPr>
                <w:ilvl w:val="0"/>
                <w:numId w:val="44"/>
              </w:numPr>
              <w:rPr>
                <w:rFonts w:ascii="Calibri" w:hAnsi="Calibri"/>
                <w:b/>
                <w:sz w:val="18"/>
                <w:szCs w:val="18"/>
                <w:lang w:val="en-US"/>
              </w:rPr>
            </w:pPr>
            <w:r w:rsidRPr="00632DBC">
              <w:rPr>
                <w:rFonts w:ascii="Calibri" w:hAnsi="Calibri"/>
                <w:b/>
                <w:sz w:val="18"/>
                <w:szCs w:val="18"/>
                <w:lang w:val="en-GB" w:eastAsia="en-US" w:bidi="en-US"/>
              </w:rPr>
              <w:t>Biodiversity underpins local livelihoods and resilience</w:t>
            </w:r>
          </w:p>
        </w:tc>
        <w:tc>
          <w:tcPr>
            <w:tcW w:w="2268" w:type="dxa"/>
          </w:tcPr>
          <w:p w14:paraId="2C026B4D" w14:textId="01815472" w:rsidR="00821AB8" w:rsidRPr="00A06283" w:rsidRDefault="00821AB8" w:rsidP="00A06283">
            <w:pPr>
              <w:rPr>
                <w:rFonts w:ascii="Calibri" w:hAnsi="Calibri"/>
                <w:b/>
                <w:sz w:val="18"/>
                <w:szCs w:val="18"/>
              </w:rPr>
            </w:pPr>
            <w:r w:rsidRPr="00A06283">
              <w:rPr>
                <w:rFonts w:ascii="Calibri" w:hAnsi="Calibri"/>
                <w:b/>
                <w:sz w:val="18"/>
                <w:szCs w:val="18"/>
              </w:rPr>
              <w:t xml:space="preserve">b) </w:t>
            </w:r>
            <w:r w:rsidR="00504B5E" w:rsidRPr="00A06283">
              <w:rPr>
                <w:rFonts w:ascii="Calibri" w:hAnsi="Calibri"/>
                <w:b/>
                <w:sz w:val="18"/>
                <w:szCs w:val="18"/>
              </w:rPr>
              <w:t>People’s rights, responsibilities and effective participation</w:t>
            </w:r>
          </w:p>
        </w:tc>
        <w:tc>
          <w:tcPr>
            <w:tcW w:w="2268" w:type="dxa"/>
          </w:tcPr>
          <w:p w14:paraId="73DB2C8E" w14:textId="3B638364" w:rsidR="00821AB8" w:rsidRPr="00A06283" w:rsidRDefault="00821AB8" w:rsidP="00821AB8">
            <w:pPr>
              <w:rPr>
                <w:rFonts w:ascii="Calibri" w:hAnsi="Calibri"/>
                <w:b/>
                <w:sz w:val="18"/>
                <w:szCs w:val="18"/>
              </w:rPr>
            </w:pPr>
            <w:r w:rsidRPr="00A06283">
              <w:rPr>
                <w:rFonts w:ascii="Calibri" w:hAnsi="Calibri"/>
                <w:b/>
                <w:sz w:val="18"/>
                <w:szCs w:val="18"/>
              </w:rPr>
              <w:t>c) Local and country-driven/specific processes linked to the international level</w:t>
            </w:r>
          </w:p>
        </w:tc>
        <w:tc>
          <w:tcPr>
            <w:tcW w:w="2551" w:type="dxa"/>
          </w:tcPr>
          <w:p w14:paraId="3A494925" w14:textId="59914685" w:rsidR="00821AB8" w:rsidRPr="00A06283" w:rsidRDefault="00821AB8" w:rsidP="00A06283">
            <w:pPr>
              <w:rPr>
                <w:rFonts w:ascii="Calibri" w:hAnsi="Calibri"/>
                <w:b/>
                <w:sz w:val="18"/>
                <w:szCs w:val="18"/>
              </w:rPr>
            </w:pPr>
            <w:r w:rsidRPr="00A06283">
              <w:rPr>
                <w:rFonts w:ascii="Calibri" w:hAnsi="Calibri"/>
                <w:b/>
                <w:sz w:val="18"/>
                <w:szCs w:val="18"/>
              </w:rPr>
              <w:t xml:space="preserve">d) </w:t>
            </w:r>
            <w:r w:rsidR="00504B5E" w:rsidRPr="00A06283">
              <w:rPr>
                <w:rFonts w:ascii="Calibri" w:hAnsi="Calibri"/>
                <w:b/>
                <w:sz w:val="18"/>
                <w:szCs w:val="18"/>
              </w:rPr>
              <w:t>Governance, institutional frameworks, transparency, accountability and compliance</w:t>
            </w:r>
          </w:p>
        </w:tc>
      </w:tr>
      <w:tr w:rsidR="00633A71" w:rsidRPr="00632DBC" w14:paraId="3AA39948" w14:textId="77777777" w:rsidTr="00EB5473">
        <w:tc>
          <w:tcPr>
            <w:tcW w:w="1702" w:type="dxa"/>
            <w:vAlign w:val="center"/>
          </w:tcPr>
          <w:p w14:paraId="02CBCB78" w14:textId="77777777" w:rsidR="003B5268" w:rsidRPr="00632DBC" w:rsidRDefault="003B5268" w:rsidP="00EB5473">
            <w:pPr>
              <w:rPr>
                <w:rFonts w:ascii="Calibri" w:hAnsi="Calibri"/>
                <w:sz w:val="18"/>
                <w:szCs w:val="18"/>
              </w:rPr>
            </w:pPr>
            <w:r w:rsidRPr="00632DBC">
              <w:rPr>
                <w:rFonts w:ascii="Calibri" w:hAnsi="Calibri"/>
                <w:sz w:val="18"/>
                <w:szCs w:val="18"/>
              </w:rPr>
              <w:t xml:space="preserve">Strategies </w:t>
            </w:r>
          </w:p>
        </w:tc>
        <w:tc>
          <w:tcPr>
            <w:tcW w:w="1843" w:type="dxa"/>
          </w:tcPr>
          <w:p w14:paraId="1D898BCE" w14:textId="37D21C2B" w:rsidR="003B5268" w:rsidRPr="00632DBC" w:rsidRDefault="003B5268" w:rsidP="00393057">
            <w:pPr>
              <w:spacing w:line="240" w:lineRule="auto"/>
              <w:rPr>
                <w:rFonts w:ascii="Calibri" w:hAnsi="Calibri"/>
                <w:sz w:val="17"/>
                <w:szCs w:val="17"/>
              </w:rPr>
            </w:pPr>
            <w:r w:rsidRPr="00632DBC">
              <w:rPr>
                <w:rFonts w:ascii="Calibri" w:hAnsi="Calibri"/>
                <w:sz w:val="17"/>
                <w:szCs w:val="17"/>
              </w:rPr>
              <w:t>PES should exceed opportunity costs.</w:t>
            </w:r>
          </w:p>
          <w:p w14:paraId="40C518E1" w14:textId="77777777" w:rsidR="003B5268" w:rsidRPr="00632DBC" w:rsidRDefault="003B5268" w:rsidP="00393057">
            <w:pPr>
              <w:spacing w:line="240" w:lineRule="auto"/>
              <w:rPr>
                <w:rFonts w:ascii="Calibri" w:hAnsi="Calibri"/>
                <w:sz w:val="17"/>
                <w:szCs w:val="17"/>
              </w:rPr>
            </w:pPr>
            <w:r w:rsidRPr="00632DBC">
              <w:rPr>
                <w:rFonts w:ascii="Calibri" w:hAnsi="Calibri"/>
                <w:sz w:val="17"/>
                <w:szCs w:val="17"/>
              </w:rPr>
              <w:t>Ensuring payments in-spite of economic and environmental fluctuations provided resilience to the PES programme.</w:t>
            </w:r>
          </w:p>
        </w:tc>
        <w:tc>
          <w:tcPr>
            <w:tcW w:w="2268" w:type="dxa"/>
          </w:tcPr>
          <w:p w14:paraId="64584EAC" w14:textId="77777777" w:rsidR="003B5268" w:rsidRPr="00632DBC" w:rsidRDefault="003B5268" w:rsidP="00393057">
            <w:pPr>
              <w:spacing w:line="240" w:lineRule="auto"/>
              <w:rPr>
                <w:rFonts w:ascii="Calibri" w:hAnsi="Calibri"/>
                <w:sz w:val="17"/>
                <w:szCs w:val="17"/>
              </w:rPr>
            </w:pPr>
            <w:r w:rsidRPr="00632DBC">
              <w:rPr>
                <w:rFonts w:ascii="Calibri" w:hAnsi="Calibri"/>
                <w:sz w:val="17"/>
                <w:szCs w:val="17"/>
              </w:rPr>
              <w:t>Giving access to negotiating PES payment rates contributes to long lasting agreements.</w:t>
            </w:r>
          </w:p>
        </w:tc>
        <w:tc>
          <w:tcPr>
            <w:tcW w:w="2268" w:type="dxa"/>
          </w:tcPr>
          <w:p w14:paraId="2ACEFBA5" w14:textId="354B437F" w:rsidR="003B5268" w:rsidRPr="00632DBC" w:rsidRDefault="003B5268" w:rsidP="00A06283">
            <w:pPr>
              <w:spacing w:line="240" w:lineRule="auto"/>
              <w:rPr>
                <w:rFonts w:ascii="Calibri" w:hAnsi="Calibri" w:cs="‡≠nVˇ"/>
                <w:sz w:val="17"/>
                <w:szCs w:val="17"/>
              </w:rPr>
            </w:pPr>
            <w:r w:rsidRPr="00632DBC">
              <w:rPr>
                <w:rFonts w:ascii="Calibri" w:hAnsi="Calibri" w:cs="‡≠nVˇ"/>
                <w:sz w:val="17"/>
                <w:szCs w:val="17"/>
              </w:rPr>
              <w:t xml:space="preserve">Conservancies and PES </w:t>
            </w:r>
            <w:r w:rsidR="000475E7" w:rsidRPr="00632DBC">
              <w:rPr>
                <w:rFonts w:ascii="Calibri" w:hAnsi="Calibri" w:cs="‡≠nVˇ"/>
                <w:sz w:val="17"/>
                <w:szCs w:val="17"/>
              </w:rPr>
              <w:t xml:space="preserve">can </w:t>
            </w:r>
            <w:r w:rsidRPr="00632DBC">
              <w:rPr>
                <w:rFonts w:ascii="Calibri" w:hAnsi="Calibri" w:cs="‡≠nVˇ"/>
                <w:sz w:val="17"/>
                <w:szCs w:val="17"/>
              </w:rPr>
              <w:t>contribute to conservation of transboundary moving fauna</w:t>
            </w:r>
            <w:r w:rsidR="000475E7" w:rsidRPr="00632DBC">
              <w:rPr>
                <w:rFonts w:ascii="Calibri" w:hAnsi="Calibri" w:cs="‡≠nVˇ"/>
                <w:sz w:val="17"/>
                <w:szCs w:val="17"/>
              </w:rPr>
              <w:t>. Yet, they may foster</w:t>
            </w:r>
            <w:r w:rsidRPr="00632DBC">
              <w:rPr>
                <w:rFonts w:ascii="Calibri" w:hAnsi="Calibri" w:cs="‡≠nVˇ"/>
                <w:sz w:val="17"/>
                <w:szCs w:val="17"/>
              </w:rPr>
              <w:t xml:space="preserve"> migration to cities in a context of sustained population growth that poses pressure over common pastures.</w:t>
            </w:r>
          </w:p>
        </w:tc>
        <w:tc>
          <w:tcPr>
            <w:tcW w:w="2551" w:type="dxa"/>
          </w:tcPr>
          <w:p w14:paraId="6198B6A4" w14:textId="2629D41A" w:rsidR="003B5268" w:rsidRPr="00632DBC" w:rsidRDefault="00AF4DB1" w:rsidP="00EE5371">
            <w:pPr>
              <w:spacing w:line="240" w:lineRule="auto"/>
              <w:rPr>
                <w:rFonts w:ascii="Calibri" w:hAnsi="Calibri"/>
                <w:sz w:val="17"/>
                <w:szCs w:val="17"/>
              </w:rPr>
            </w:pPr>
            <w:r w:rsidRPr="00632DBC">
              <w:rPr>
                <w:rFonts w:ascii="Calibri" w:hAnsi="Calibri" w:cs="‡≠nVˇ"/>
                <w:sz w:val="17"/>
                <w:szCs w:val="17"/>
              </w:rPr>
              <w:t>Implementation of laws and policies for protecting the rights of disadvantaged groups</w:t>
            </w:r>
            <w:r w:rsidR="006B3B08" w:rsidRPr="00632DBC">
              <w:rPr>
                <w:rFonts w:ascii="Calibri" w:hAnsi="Calibri" w:cs="‡≠nVˇ"/>
                <w:sz w:val="17"/>
                <w:szCs w:val="17"/>
              </w:rPr>
              <w:t xml:space="preserve"> is</w:t>
            </w:r>
            <w:r w:rsidRPr="00632DBC">
              <w:rPr>
                <w:rFonts w:ascii="Calibri" w:hAnsi="Calibri" w:cs="‡≠nVˇ"/>
                <w:sz w:val="17"/>
                <w:szCs w:val="17"/>
              </w:rPr>
              <w:t xml:space="preserve"> vital in PES processes.</w:t>
            </w:r>
            <w:r w:rsidRPr="00632DBC" w:rsidDel="000475E7">
              <w:rPr>
                <w:rFonts w:ascii="Calibri" w:hAnsi="Calibri"/>
                <w:sz w:val="17"/>
                <w:szCs w:val="17"/>
              </w:rPr>
              <w:t xml:space="preserve"> </w:t>
            </w:r>
          </w:p>
        </w:tc>
      </w:tr>
      <w:tr w:rsidR="00633A71" w:rsidRPr="00632DBC" w14:paraId="22DB664A" w14:textId="77777777" w:rsidTr="00EB5473">
        <w:tc>
          <w:tcPr>
            <w:tcW w:w="1702" w:type="dxa"/>
            <w:vAlign w:val="center"/>
          </w:tcPr>
          <w:p w14:paraId="313C219E" w14:textId="77777777" w:rsidR="003B5268" w:rsidRPr="00632DBC" w:rsidRDefault="003B5268" w:rsidP="00EB5473">
            <w:pPr>
              <w:rPr>
                <w:rFonts w:ascii="Calibri" w:hAnsi="Calibri"/>
                <w:sz w:val="18"/>
                <w:szCs w:val="18"/>
              </w:rPr>
            </w:pPr>
            <w:r w:rsidRPr="00632DBC">
              <w:rPr>
                <w:rFonts w:ascii="Calibri" w:hAnsi="Calibri"/>
                <w:sz w:val="18"/>
                <w:szCs w:val="18"/>
              </w:rPr>
              <w:t xml:space="preserve">Lessons of the case </w:t>
            </w:r>
          </w:p>
        </w:tc>
        <w:tc>
          <w:tcPr>
            <w:tcW w:w="1843" w:type="dxa"/>
          </w:tcPr>
          <w:p w14:paraId="0FA18234" w14:textId="128F68B4" w:rsidR="003B5268" w:rsidRPr="00632DBC" w:rsidRDefault="003B5268" w:rsidP="00393057">
            <w:pPr>
              <w:spacing w:line="240" w:lineRule="auto"/>
              <w:rPr>
                <w:rFonts w:ascii="Calibri" w:hAnsi="Calibri" w:cs="Myriad Pro"/>
                <w:sz w:val="17"/>
                <w:szCs w:val="17"/>
              </w:rPr>
            </w:pPr>
            <w:r w:rsidRPr="00632DBC">
              <w:rPr>
                <w:rFonts w:ascii="Calibri" w:hAnsi="Calibri" w:cs="Myriad Pro"/>
                <w:sz w:val="17"/>
                <w:szCs w:val="17"/>
              </w:rPr>
              <w:t xml:space="preserve">Non-economic costs should be </w:t>
            </w:r>
            <w:proofErr w:type="gramStart"/>
            <w:r w:rsidRPr="00632DBC">
              <w:rPr>
                <w:rFonts w:ascii="Calibri" w:hAnsi="Calibri" w:cs="Myriad Pro"/>
                <w:sz w:val="17"/>
                <w:szCs w:val="17"/>
              </w:rPr>
              <w:t>taken into account</w:t>
            </w:r>
            <w:proofErr w:type="gramEnd"/>
            <w:r w:rsidRPr="00632DBC">
              <w:rPr>
                <w:rFonts w:ascii="Calibri" w:hAnsi="Calibri" w:cs="Myriad Pro"/>
                <w:sz w:val="17"/>
                <w:szCs w:val="17"/>
              </w:rPr>
              <w:t>.</w:t>
            </w:r>
          </w:p>
          <w:p w14:paraId="420CD165" w14:textId="47B636D7" w:rsidR="003B5268" w:rsidRPr="00632DBC" w:rsidRDefault="003B5268" w:rsidP="00393057">
            <w:pPr>
              <w:spacing w:line="240" w:lineRule="auto"/>
              <w:rPr>
                <w:rFonts w:ascii="Calibri" w:hAnsi="Calibri" w:cs="Myriad Pro"/>
                <w:sz w:val="17"/>
                <w:szCs w:val="17"/>
              </w:rPr>
            </w:pPr>
            <w:r w:rsidRPr="00632DBC">
              <w:rPr>
                <w:rFonts w:ascii="Calibri" w:hAnsi="Calibri" w:cs="Myriad Pro"/>
                <w:sz w:val="17"/>
                <w:szCs w:val="17"/>
              </w:rPr>
              <w:t xml:space="preserve">Benefits at higher scales in public goods can be </w:t>
            </w:r>
            <w:proofErr w:type="gramStart"/>
            <w:r w:rsidRPr="00632DBC">
              <w:rPr>
                <w:rFonts w:ascii="Calibri" w:hAnsi="Calibri" w:cs="Myriad Pro"/>
                <w:sz w:val="17"/>
                <w:szCs w:val="17"/>
              </w:rPr>
              <w:t>taken into accou</w:t>
            </w:r>
            <w:r w:rsidR="006B3B08" w:rsidRPr="00632DBC">
              <w:rPr>
                <w:rFonts w:ascii="Calibri" w:hAnsi="Calibri" w:cs="Myriad Pro"/>
                <w:sz w:val="17"/>
                <w:szCs w:val="17"/>
              </w:rPr>
              <w:t>nt</w:t>
            </w:r>
            <w:proofErr w:type="gramEnd"/>
            <w:r w:rsidR="006B3B08" w:rsidRPr="00632DBC">
              <w:rPr>
                <w:rFonts w:ascii="Calibri" w:hAnsi="Calibri" w:cs="Myriad Pro"/>
                <w:sz w:val="17"/>
                <w:szCs w:val="17"/>
              </w:rPr>
              <w:t xml:space="preserve"> for creating partnerships to</w:t>
            </w:r>
            <w:r w:rsidRPr="00632DBC">
              <w:rPr>
                <w:rFonts w:ascii="Calibri" w:hAnsi="Calibri" w:cs="Myriad Pro"/>
                <w:sz w:val="17"/>
                <w:szCs w:val="17"/>
              </w:rPr>
              <w:t xml:space="preserve"> increase funding of PES</w:t>
            </w:r>
          </w:p>
        </w:tc>
        <w:tc>
          <w:tcPr>
            <w:tcW w:w="2268" w:type="dxa"/>
          </w:tcPr>
          <w:p w14:paraId="59EEDC29" w14:textId="594FE6C0" w:rsidR="003B5268" w:rsidRPr="00632DBC" w:rsidRDefault="003B5268" w:rsidP="00393057">
            <w:pPr>
              <w:spacing w:line="240" w:lineRule="auto"/>
              <w:rPr>
                <w:rFonts w:ascii="Calibri" w:hAnsi="Calibri"/>
                <w:sz w:val="17"/>
                <w:szCs w:val="17"/>
              </w:rPr>
            </w:pPr>
            <w:r w:rsidRPr="00632DBC">
              <w:rPr>
                <w:rFonts w:ascii="Calibri" w:hAnsi="Calibri"/>
                <w:sz w:val="17"/>
                <w:szCs w:val="17"/>
              </w:rPr>
              <w:t>Providing legal and financial information to landowners</w:t>
            </w:r>
            <w:r w:rsidR="000475E7" w:rsidRPr="00632DBC">
              <w:rPr>
                <w:rFonts w:ascii="Calibri" w:hAnsi="Calibri"/>
                <w:sz w:val="17"/>
                <w:szCs w:val="17"/>
              </w:rPr>
              <w:t xml:space="preserve"> is part of the implementation of FPIC</w:t>
            </w:r>
            <w:r w:rsidRPr="00632DBC">
              <w:rPr>
                <w:rFonts w:ascii="Calibri" w:hAnsi="Calibri"/>
                <w:sz w:val="17"/>
                <w:szCs w:val="17"/>
              </w:rPr>
              <w:t>.</w:t>
            </w:r>
          </w:p>
          <w:p w14:paraId="3B80E929" w14:textId="695431B5" w:rsidR="003B5268" w:rsidRPr="00632DBC" w:rsidRDefault="003B5268" w:rsidP="00EE5371">
            <w:pPr>
              <w:spacing w:line="240" w:lineRule="auto"/>
              <w:rPr>
                <w:rFonts w:ascii="Calibri" w:hAnsi="Calibri"/>
                <w:sz w:val="17"/>
                <w:szCs w:val="17"/>
              </w:rPr>
            </w:pPr>
            <w:r w:rsidRPr="00632DBC">
              <w:rPr>
                <w:rFonts w:ascii="Calibri" w:hAnsi="Calibri"/>
                <w:sz w:val="17"/>
                <w:szCs w:val="17"/>
              </w:rPr>
              <w:t>Ne</w:t>
            </w:r>
            <w:r w:rsidR="00700297" w:rsidRPr="00632DBC">
              <w:rPr>
                <w:rFonts w:ascii="Calibri" w:hAnsi="Calibri"/>
                <w:sz w:val="17"/>
                <w:szCs w:val="17"/>
              </w:rPr>
              <w:t>glecting the cost/benefit ratio of joining the PES</w:t>
            </w:r>
            <w:r w:rsidRPr="00632DBC">
              <w:rPr>
                <w:rFonts w:ascii="Calibri" w:hAnsi="Calibri"/>
                <w:sz w:val="17"/>
                <w:szCs w:val="17"/>
              </w:rPr>
              <w:t xml:space="preserve"> for the most disadvantaged </w:t>
            </w:r>
            <w:r w:rsidR="00700297" w:rsidRPr="00632DBC">
              <w:rPr>
                <w:rFonts w:ascii="Calibri" w:hAnsi="Calibri"/>
                <w:sz w:val="17"/>
                <w:szCs w:val="17"/>
              </w:rPr>
              <w:t>propitiates violation of</w:t>
            </w:r>
            <w:r w:rsidRPr="00632DBC">
              <w:rPr>
                <w:rFonts w:ascii="Calibri" w:hAnsi="Calibri"/>
                <w:sz w:val="17"/>
                <w:szCs w:val="17"/>
              </w:rPr>
              <w:t xml:space="preserve"> their rights.</w:t>
            </w:r>
          </w:p>
        </w:tc>
        <w:tc>
          <w:tcPr>
            <w:tcW w:w="2268" w:type="dxa"/>
          </w:tcPr>
          <w:p w14:paraId="5B7DAE26" w14:textId="0F538D46" w:rsidR="003B5268" w:rsidRPr="00632DBC" w:rsidRDefault="003B5268">
            <w:pPr>
              <w:spacing w:line="240" w:lineRule="auto"/>
              <w:rPr>
                <w:rFonts w:ascii="Calibri" w:hAnsi="Calibri"/>
                <w:sz w:val="17"/>
                <w:szCs w:val="17"/>
              </w:rPr>
            </w:pPr>
            <w:r w:rsidRPr="00632DBC">
              <w:rPr>
                <w:rFonts w:ascii="Calibri" w:hAnsi="Calibri"/>
                <w:sz w:val="17"/>
                <w:szCs w:val="17"/>
              </w:rPr>
              <w:t>International assistan</w:t>
            </w:r>
            <w:r w:rsidR="000475E7" w:rsidRPr="00632DBC">
              <w:rPr>
                <w:rFonts w:ascii="Calibri" w:hAnsi="Calibri"/>
                <w:sz w:val="17"/>
                <w:szCs w:val="17"/>
              </w:rPr>
              <w:t>ce</w:t>
            </w:r>
            <w:r w:rsidRPr="00632DBC">
              <w:rPr>
                <w:rFonts w:ascii="Calibri" w:hAnsi="Calibri"/>
                <w:sz w:val="17"/>
                <w:szCs w:val="17"/>
              </w:rPr>
              <w:t xml:space="preserve"> could help to tailor strategies to regional sustainability</w:t>
            </w:r>
            <w:r w:rsidR="000475E7" w:rsidRPr="00632DBC">
              <w:rPr>
                <w:rFonts w:ascii="Calibri" w:hAnsi="Calibri"/>
                <w:sz w:val="17"/>
                <w:szCs w:val="17"/>
              </w:rPr>
              <w:t xml:space="preserve"> planning and management</w:t>
            </w:r>
            <w:r w:rsidRPr="00632DBC">
              <w:rPr>
                <w:rFonts w:ascii="Calibri" w:hAnsi="Calibri"/>
                <w:sz w:val="17"/>
                <w:szCs w:val="17"/>
              </w:rPr>
              <w:t>.</w:t>
            </w:r>
          </w:p>
        </w:tc>
        <w:tc>
          <w:tcPr>
            <w:tcW w:w="2551" w:type="dxa"/>
          </w:tcPr>
          <w:p w14:paraId="7F8EC2FD" w14:textId="77777777" w:rsidR="003B5268" w:rsidRPr="00633A71" w:rsidRDefault="003B5268" w:rsidP="00393057">
            <w:pPr>
              <w:spacing w:line="240" w:lineRule="auto"/>
              <w:rPr>
                <w:rFonts w:ascii="Calibri" w:hAnsi="Calibri"/>
                <w:sz w:val="17"/>
                <w:szCs w:val="17"/>
              </w:rPr>
            </w:pPr>
            <w:r w:rsidRPr="00632DBC">
              <w:rPr>
                <w:rFonts w:ascii="Calibri" w:hAnsi="Calibri"/>
                <w:sz w:val="17"/>
                <w:szCs w:val="17"/>
              </w:rPr>
              <w:t>Without governmental intervention, internal inequalities risk being reinforced. Timely and tailored policies are needed</w:t>
            </w:r>
            <w:r w:rsidRPr="00633A71">
              <w:rPr>
                <w:rFonts w:ascii="Calibri" w:hAnsi="Calibri"/>
                <w:sz w:val="17"/>
                <w:szCs w:val="17"/>
              </w:rPr>
              <w:t xml:space="preserve"> </w:t>
            </w:r>
          </w:p>
        </w:tc>
      </w:tr>
    </w:tbl>
    <w:p w14:paraId="55EFDA75" w14:textId="77777777" w:rsidR="003B5268" w:rsidRPr="00632DBC" w:rsidRDefault="003B5268" w:rsidP="003B5268">
      <w:pPr>
        <w:rPr>
          <w:rFonts w:ascii="Calibri" w:hAnsi="Calibri"/>
        </w:rPr>
      </w:pPr>
    </w:p>
    <w:p w14:paraId="6D9C8F78" w14:textId="77777777" w:rsidR="003B5268" w:rsidRPr="00632DBC" w:rsidRDefault="003B5268" w:rsidP="003B5268">
      <w:pPr>
        <w:rPr>
          <w:rFonts w:ascii="Calibri" w:hAnsi="Calibri"/>
        </w:rPr>
      </w:pPr>
    </w:p>
    <w:p w14:paraId="31DE55FF" w14:textId="77777777" w:rsidR="003B5268" w:rsidRPr="00632DBC" w:rsidRDefault="003B5268" w:rsidP="00810C20">
      <w:pPr>
        <w:spacing w:line="240" w:lineRule="auto"/>
        <w:jc w:val="both"/>
        <w:rPr>
          <w:rFonts w:ascii="Times New Roman" w:hAnsi="Times New Roman"/>
        </w:rPr>
      </w:pPr>
    </w:p>
    <w:p w14:paraId="24352263" w14:textId="3CA212B3" w:rsidR="00810C20" w:rsidRPr="00632DBC" w:rsidRDefault="00810C20" w:rsidP="00810C20">
      <w:pPr>
        <w:pStyle w:val="Heading3"/>
      </w:pPr>
      <w:bookmarkStart w:id="116" w:name="_Toc336968699"/>
      <w:bookmarkStart w:id="117" w:name="_Toc337217556"/>
      <w:bookmarkStart w:id="118" w:name="_Toc337217937"/>
      <w:bookmarkStart w:id="119" w:name="_Toc342296089"/>
      <w:bookmarkStart w:id="120" w:name="_Toc263943519"/>
      <w:bookmarkStart w:id="121" w:name="_Toc382590312"/>
      <w:bookmarkStart w:id="122" w:name="_Toc529199437"/>
      <w:r w:rsidRPr="00632DBC">
        <w:t>6.2 Biodiversity offsets</w:t>
      </w:r>
      <w:bookmarkEnd w:id="116"/>
      <w:bookmarkEnd w:id="117"/>
      <w:bookmarkEnd w:id="118"/>
      <w:bookmarkEnd w:id="119"/>
      <w:bookmarkEnd w:id="120"/>
      <w:bookmarkEnd w:id="121"/>
      <w:bookmarkEnd w:id="122"/>
      <w:r w:rsidRPr="00632DBC">
        <w:t xml:space="preserve"> </w:t>
      </w:r>
    </w:p>
    <w:p w14:paraId="2574E9E3" w14:textId="77777777" w:rsidR="00810C20" w:rsidRPr="00633A71" w:rsidRDefault="00810C20" w:rsidP="00810C20">
      <w:pPr>
        <w:spacing w:line="240" w:lineRule="auto"/>
        <w:jc w:val="both"/>
        <w:rPr>
          <w:rFonts w:ascii="Times New Roman" w:hAnsi="Times New Roman"/>
        </w:rPr>
      </w:pPr>
      <w:r w:rsidRPr="00632DBC">
        <w:rPr>
          <w:rFonts w:ascii="Times New Roman" w:hAnsi="Times New Roman"/>
        </w:rPr>
        <w:t>Biodiversity offsets are mechanisms based on the understanding that the land converters ought to compensate for the negative impact they impose on biodiversity.</w:t>
      </w:r>
      <w:r w:rsidRPr="00633A71">
        <w:rPr>
          <w:rStyle w:val="FootnoteReference"/>
          <w:rFonts w:ascii="Times New Roman" w:hAnsi="Times New Roman"/>
        </w:rPr>
        <w:footnoteReference w:id="155"/>
      </w:r>
      <w:r w:rsidRPr="00633A71">
        <w:rPr>
          <w:rFonts w:ascii="Times New Roman" w:hAnsi="Times New Roman"/>
        </w:rPr>
        <w:t xml:space="preserve"> Biodiversity offsets adhere to the already well-recognised polluter pays principle, which is supported by both international and national legal and policy frameworks.</w:t>
      </w:r>
      <w:r w:rsidRPr="00633A71">
        <w:rPr>
          <w:rStyle w:val="FootnoteReference"/>
          <w:rFonts w:ascii="Times New Roman" w:hAnsi="Times New Roman"/>
        </w:rPr>
        <w:footnoteReference w:id="156"/>
      </w:r>
      <w:r w:rsidRPr="00633A71">
        <w:rPr>
          <w:rFonts w:ascii="Times New Roman" w:hAnsi="Times New Roman"/>
        </w:rPr>
        <w:t xml:space="preserve"> The development of safeguards for biodiversity offsets could build on initiatives such as the Business and Biodiversity Offsets Programme (BBOP) Principles on Biodiversity Offsets, which states that the goal of these mechanisms is to achieve no net loss and preferably a net gain in biodiversity, through compensating “for significant residual adverse biodiversity impacts arising from project development after appropriate prevention and mitigation measures have been taken”.</w:t>
      </w:r>
      <w:r w:rsidRPr="00633A71">
        <w:rPr>
          <w:rStyle w:val="FootnoteReference"/>
          <w:rFonts w:ascii="Times New Roman" w:hAnsi="Times New Roman"/>
        </w:rPr>
        <w:footnoteReference w:id="157"/>
      </w:r>
      <w:r w:rsidRPr="00633A71">
        <w:rPr>
          <w:rFonts w:ascii="Times New Roman" w:hAnsi="Times New Roman"/>
        </w:rPr>
        <w:t xml:space="preserve"> </w:t>
      </w:r>
    </w:p>
    <w:p w14:paraId="113D6C9B"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In most discussions on biodiversity offsets and ecological compensation (these concepts are often used synonymously)</w:t>
      </w:r>
      <w:r w:rsidRPr="00633A71">
        <w:rPr>
          <w:rStyle w:val="FootnoteReference"/>
          <w:rFonts w:ascii="Times New Roman" w:hAnsi="Times New Roman"/>
        </w:rPr>
        <w:footnoteReference w:id="158"/>
      </w:r>
      <w:r w:rsidRPr="00633A71">
        <w:rPr>
          <w:rFonts w:ascii="Times New Roman" w:hAnsi="Times New Roman"/>
        </w:rPr>
        <w:t xml:space="preserve"> there is a reference to the mitigation hierarchy. Degradation should, according to the mitigation hierarchy, first be </w:t>
      </w:r>
      <w:r w:rsidRPr="00633A71">
        <w:rPr>
          <w:rFonts w:ascii="Times New Roman" w:hAnsi="Times New Roman"/>
          <w:i/>
        </w:rPr>
        <w:t>avoided</w:t>
      </w:r>
      <w:r w:rsidRPr="00633A71">
        <w:rPr>
          <w:rFonts w:ascii="Times New Roman" w:hAnsi="Times New Roman"/>
        </w:rPr>
        <w:t xml:space="preserve"> by choosing a less valuable site for the development project. Once a site has been approved for exploitation, degradation (negative impacts) should be </w:t>
      </w:r>
      <w:r w:rsidRPr="00633A71">
        <w:rPr>
          <w:rFonts w:ascii="Times New Roman" w:hAnsi="Times New Roman"/>
          <w:i/>
        </w:rPr>
        <w:t>minimised</w:t>
      </w:r>
      <w:r w:rsidRPr="00633A71">
        <w:rPr>
          <w:rFonts w:ascii="Times New Roman" w:hAnsi="Times New Roman"/>
        </w:rPr>
        <w:t xml:space="preserve">. The third step of the mitigation hierarchy is that the developer takes </w:t>
      </w:r>
      <w:r w:rsidRPr="00504B5E">
        <w:rPr>
          <w:rFonts w:ascii="Times New Roman" w:hAnsi="Times New Roman"/>
          <w:i/>
        </w:rPr>
        <w:t>rehabilitation or restoration measures</w:t>
      </w:r>
      <w:r w:rsidRPr="00504B5E">
        <w:rPr>
          <w:rFonts w:ascii="Times New Roman" w:hAnsi="Times New Roman"/>
        </w:rPr>
        <w:t xml:space="preserve"> on the ecosystems impacted, and the final step consists of off-site </w:t>
      </w:r>
      <w:r w:rsidRPr="00504B5E">
        <w:rPr>
          <w:rFonts w:ascii="Times New Roman" w:hAnsi="Times New Roman"/>
          <w:i/>
        </w:rPr>
        <w:t>offset measures</w:t>
      </w:r>
      <w:r w:rsidRPr="00504B5E">
        <w:rPr>
          <w:rFonts w:ascii="Times New Roman" w:hAnsi="Times New Roman"/>
        </w:rPr>
        <w:t xml:space="preserve"> to compensate for significant adverse residual impacts.</w:t>
      </w:r>
      <w:r w:rsidRPr="00633A71">
        <w:rPr>
          <w:rStyle w:val="FootnoteReference"/>
          <w:rFonts w:ascii="Times New Roman" w:hAnsi="Times New Roman"/>
        </w:rPr>
        <w:footnoteReference w:id="159"/>
      </w:r>
    </w:p>
    <w:p w14:paraId="7C7C2031" w14:textId="155DC292" w:rsidR="00810C20" w:rsidRPr="00633A71" w:rsidRDefault="00810C20" w:rsidP="00810C20">
      <w:pPr>
        <w:spacing w:line="240" w:lineRule="auto"/>
        <w:jc w:val="both"/>
        <w:rPr>
          <w:rFonts w:ascii="Times New Roman" w:hAnsi="Times New Roman"/>
        </w:rPr>
      </w:pPr>
      <w:r w:rsidRPr="00633A71">
        <w:rPr>
          <w:rFonts w:ascii="Times New Roman" w:hAnsi="Times New Roman"/>
        </w:rPr>
        <w:t>As the last step of the mitigation hierarchy, it has been questioned whether biodiversity offsetting is indeed a biodiversity financing mechanism (BFM). At the Quito II Dialogue Seminar in April 2014, it was argued that ideally biodiversity offsets are part of development/exploitation projects that have no net effects on biodiversity (if the offset is perfect), but in practice exploitation often results in biodiversity degradation</w:t>
      </w:r>
      <w:r w:rsidR="003519CA" w:rsidRPr="00633A71">
        <w:rPr>
          <w:rFonts w:ascii="Times New Roman" w:hAnsi="Times New Roman"/>
        </w:rPr>
        <w:t xml:space="preserve"> </w:t>
      </w:r>
      <w:r w:rsidR="003519CA" w:rsidRPr="00632DBC">
        <w:rPr>
          <w:rFonts w:ascii="Times New Roman" w:hAnsi="Times New Roman"/>
        </w:rPr>
        <w:t>in spite of offsetting</w:t>
      </w:r>
      <w:r w:rsidRPr="00633A71">
        <w:rPr>
          <w:rFonts w:ascii="Times New Roman" w:hAnsi="Times New Roman"/>
        </w:rPr>
        <w:t>.</w:t>
      </w:r>
      <w:r w:rsidRPr="00633A71">
        <w:rPr>
          <w:rStyle w:val="FootnoteReference"/>
          <w:rFonts w:ascii="Times New Roman" w:hAnsi="Times New Roman"/>
        </w:rPr>
        <w:footnoteReference w:id="160"/>
      </w:r>
      <w:r w:rsidRPr="00633A71">
        <w:rPr>
          <w:rFonts w:ascii="Times New Roman" w:hAnsi="Times New Roman"/>
        </w:rPr>
        <w:t xml:space="preserve"> It was also argued that, considering that this exploitation would take place anyway, compensation by offsetting is better than no compensation at all. In this debate there is a strong concern that policies for biodiversity offsets would result in less emphasis on the legal trial for planning permissions for exploitation projects. The risk is that such projects are accepted </w:t>
      </w:r>
      <w:proofErr w:type="gramStart"/>
      <w:r w:rsidRPr="00633A71">
        <w:rPr>
          <w:rFonts w:ascii="Times New Roman" w:hAnsi="Times New Roman"/>
        </w:rPr>
        <w:t>to a larger extent than</w:t>
      </w:r>
      <w:proofErr w:type="gramEnd"/>
      <w:r w:rsidRPr="00633A71">
        <w:rPr>
          <w:rFonts w:ascii="Times New Roman" w:hAnsi="Times New Roman"/>
        </w:rPr>
        <w:t xml:space="preserve"> presently, due to the expectation that “the damage will be compensated for anyway”. For example, Hough and Robertson (2009) argue</w:t>
      </w:r>
      <w:r w:rsidRPr="00633A71">
        <w:t xml:space="preserve"> that </w:t>
      </w:r>
      <w:r w:rsidRPr="00633A71">
        <w:rPr>
          <w:rFonts w:ascii="Times New Roman" w:hAnsi="Times New Roman"/>
        </w:rPr>
        <w:t>the US wetland mitigation has focused too much on the compensation part and neglected the earlier stages of the mitigation hierarchy.</w:t>
      </w:r>
      <w:r w:rsidRPr="00633A71">
        <w:rPr>
          <w:rStyle w:val="FootnoteReference"/>
          <w:rFonts w:ascii="Times New Roman" w:hAnsi="Times New Roman"/>
        </w:rPr>
        <w:footnoteReference w:id="161"/>
      </w:r>
      <w:r w:rsidRPr="00633A71">
        <w:rPr>
          <w:rFonts w:ascii="Times New Roman" w:hAnsi="Times New Roman"/>
        </w:rPr>
        <w:t xml:space="preserve"> The Swedish Environmental Court has made similar arguments, and used the compensation (offset) to justify that the national interest for nature conservation and recreation did not have to be </w:t>
      </w:r>
      <w:r w:rsidRPr="00633A71">
        <w:rPr>
          <w:rFonts w:ascii="Times New Roman" w:hAnsi="Times New Roman"/>
        </w:rPr>
        <w:lastRenderedPageBreak/>
        <w:t>weighed against the national interest for mining because other land areas would be restored which were thought to ensure that the value for nature conservation would remain the same.</w:t>
      </w:r>
      <w:r w:rsidRPr="00633A71">
        <w:rPr>
          <w:rStyle w:val="FootnoteReference"/>
          <w:rFonts w:ascii="Times New Roman" w:hAnsi="Times New Roman"/>
        </w:rPr>
        <w:footnoteReference w:id="162"/>
      </w:r>
      <w:r w:rsidRPr="00633A71">
        <w:rPr>
          <w:rFonts w:ascii="Times New Roman" w:hAnsi="Times New Roman"/>
        </w:rPr>
        <w:t xml:space="preserve"> </w:t>
      </w:r>
    </w:p>
    <w:p w14:paraId="40EBE63F" w14:textId="77777777" w:rsidR="00810C20" w:rsidRPr="00504B5E" w:rsidRDefault="00810C20" w:rsidP="00810C20">
      <w:pPr>
        <w:spacing w:line="240" w:lineRule="auto"/>
        <w:jc w:val="both"/>
        <w:rPr>
          <w:rFonts w:ascii="Times New Roman" w:hAnsi="Times New Roman"/>
        </w:rPr>
      </w:pPr>
      <w:r w:rsidRPr="00633A71">
        <w:rPr>
          <w:rFonts w:ascii="Times New Roman" w:hAnsi="Times New Roman"/>
        </w:rPr>
        <w:t xml:space="preserve">A </w:t>
      </w:r>
      <w:r w:rsidRPr="00633A71">
        <w:rPr>
          <w:rFonts w:ascii="Times New Roman" w:hAnsi="Times New Roman"/>
          <w:b/>
        </w:rPr>
        <w:t>substantive</w:t>
      </w:r>
      <w:r w:rsidRPr="00633A71">
        <w:rPr>
          <w:rFonts w:ascii="Times New Roman" w:hAnsi="Times New Roman"/>
        </w:rPr>
        <w:t xml:space="preserve"> </w:t>
      </w:r>
      <w:r w:rsidRPr="00633A71">
        <w:rPr>
          <w:rFonts w:ascii="Times New Roman" w:hAnsi="Times New Roman"/>
          <w:b/>
        </w:rPr>
        <w:t>safeguard</w:t>
      </w:r>
      <w:r w:rsidRPr="00633A71">
        <w:rPr>
          <w:rFonts w:ascii="Times New Roman" w:hAnsi="Times New Roman"/>
        </w:rPr>
        <w:t xml:space="preserve"> against this risk is to apply the mitigation hierarchy in a strict sense by separating the process of planning permission (weighing competing interests according to environmental legislation, identifying “no-g</w:t>
      </w:r>
      <w:r w:rsidRPr="00504B5E">
        <w:rPr>
          <w:rFonts w:ascii="Times New Roman" w:hAnsi="Times New Roman"/>
        </w:rPr>
        <w:t xml:space="preserve">o areas” and searching for how the damage could be avoided by exploiting a less valuable area) from the process of determining an appropriate compensation, if and only if the exploitation project is approved. </w:t>
      </w:r>
    </w:p>
    <w:p w14:paraId="34ECCED6" w14:textId="10E73746" w:rsidR="00810C20" w:rsidRPr="00633A71" w:rsidRDefault="00810C20" w:rsidP="00810C20">
      <w:pPr>
        <w:spacing w:line="240" w:lineRule="auto"/>
        <w:jc w:val="both"/>
        <w:rPr>
          <w:rFonts w:ascii="Times New Roman" w:hAnsi="Times New Roman"/>
        </w:rPr>
      </w:pPr>
      <w:r w:rsidRPr="00504B5E">
        <w:rPr>
          <w:rFonts w:ascii="Times New Roman" w:hAnsi="Times New Roman"/>
        </w:rPr>
        <w:t xml:space="preserve">Biodiversity offsets can function with or without a market, i.e. the weighing between the degraded ecosystem values and the restored values can be done by </w:t>
      </w:r>
      <w:r w:rsidRPr="00504B5E">
        <w:rPr>
          <w:rFonts w:ascii="Times New Roman" w:hAnsi="Times New Roman"/>
          <w:shd w:val="clear" w:color="auto" w:fill="FFFFFF"/>
        </w:rPr>
        <w:t xml:space="preserve">municipalities and multi-stakeholder agencies </w:t>
      </w:r>
      <w:r w:rsidRPr="00504B5E">
        <w:rPr>
          <w:rFonts w:ascii="Times New Roman" w:hAnsi="Times New Roman"/>
        </w:rPr>
        <w:t>or by trading conservation credits (issued by these agencies). Except for the US habitat banking, almost all mandatory schemes for ecological compensation are determined by agencies; the most advanced examples in Europe are the German Compensation Pools.</w:t>
      </w:r>
      <w:r w:rsidRPr="00633A71">
        <w:rPr>
          <w:rStyle w:val="FootnoteReference"/>
          <w:rFonts w:ascii="Times New Roman" w:hAnsi="Times New Roman"/>
        </w:rPr>
        <w:footnoteReference w:id="163"/>
      </w:r>
      <w:r w:rsidRPr="00633A71">
        <w:rPr>
          <w:rFonts w:ascii="Times New Roman" w:hAnsi="Times New Roman"/>
        </w:rPr>
        <w:t xml:space="preserve"> German compensation pools can be regarded as a form of habitat banking, but unlike US habitat banks the exchange of land is done by agencies or municipalities, not by a market of land exploiters and landowners. The advantage of a pool (“bank”), compared to case-by-case compensation, is that the agencies can choose compensation land to create green corridors in the larger landscapes and seascapes. This advantage is lost if market actors choose the site for compensation. In addition to mandatory programmes, a number of private sector industries have committed to </w:t>
      </w:r>
      <w:r w:rsidRPr="00504B5E">
        <w:rPr>
          <w:rFonts w:ascii="Times New Roman" w:hAnsi="Times New Roman"/>
        </w:rPr>
        <w:t>no net loss, or net gain policies</w:t>
      </w:r>
      <w:r w:rsidR="004E351A" w:rsidRPr="00504B5E">
        <w:rPr>
          <w:rFonts w:ascii="Times New Roman" w:hAnsi="Times New Roman"/>
        </w:rPr>
        <w:t>.</w:t>
      </w:r>
      <w:r w:rsidRPr="00633A71">
        <w:rPr>
          <w:rStyle w:val="FootnoteReference"/>
          <w:rFonts w:ascii="Times New Roman" w:hAnsi="Times New Roman"/>
        </w:rPr>
        <w:footnoteReference w:id="164"/>
      </w:r>
      <w:r w:rsidRPr="00633A71">
        <w:rPr>
          <w:rFonts w:ascii="Times New Roman" w:hAnsi="Times New Roman"/>
        </w:rPr>
        <w:t xml:space="preserve"> </w:t>
      </w:r>
      <w:r w:rsidR="004E351A" w:rsidRPr="00633A71">
        <w:rPr>
          <w:rFonts w:ascii="Times New Roman" w:hAnsi="Times New Roman"/>
        </w:rPr>
        <w:t xml:space="preserve">The actual outcomes of these commitments would </w:t>
      </w:r>
      <w:proofErr w:type="gramStart"/>
      <w:r w:rsidR="004E351A" w:rsidRPr="00633A71">
        <w:rPr>
          <w:rFonts w:ascii="Times New Roman" w:hAnsi="Times New Roman"/>
        </w:rPr>
        <w:t>needs</w:t>
      </w:r>
      <w:proofErr w:type="gramEnd"/>
      <w:r w:rsidR="004E351A" w:rsidRPr="00633A71">
        <w:rPr>
          <w:rFonts w:ascii="Times New Roman" w:hAnsi="Times New Roman"/>
        </w:rPr>
        <w:t xml:space="preserve"> to be assessed. </w:t>
      </w:r>
      <w:r w:rsidRPr="00633A71">
        <w:rPr>
          <w:rFonts w:ascii="Times New Roman" w:hAnsi="Times New Roman"/>
        </w:rPr>
        <w:t>Financial institutions such as the International Finance Corporation (IFC) Performance Standards 6 (PS6) guidelines and the Asian Development Bank have</w:t>
      </w:r>
      <w:r w:rsidRPr="00504B5E">
        <w:rPr>
          <w:rFonts w:ascii="Times New Roman" w:hAnsi="Times New Roman"/>
        </w:rPr>
        <w:t xml:space="preserve"> also developed environmental safeguards systems that include biodiversity offsets. For instance, the Asian Development Bank has developed the Safeguards Policy Document in 2009 that proposes to use biodiversity offsets as a “last resort” and also refers to the mitigation hierarchy.</w:t>
      </w:r>
      <w:r w:rsidRPr="00633A71">
        <w:rPr>
          <w:rStyle w:val="FootnoteReference"/>
          <w:rFonts w:ascii="Times New Roman" w:hAnsi="Times New Roman"/>
        </w:rPr>
        <w:footnoteReference w:id="165"/>
      </w:r>
      <w:r w:rsidRPr="00633A71">
        <w:rPr>
          <w:rFonts w:ascii="Times New Roman" w:hAnsi="Times New Roman"/>
        </w:rPr>
        <w:t xml:space="preserve"> Safeguards and guidance designed by financial institutions such as the IFC</w:t>
      </w:r>
      <w:r w:rsidRPr="00633A71">
        <w:rPr>
          <w:rFonts w:ascii="Times New Roman Bold" w:eastAsia="Times New Roman Bold" w:hAnsi="Times New Roman Bold" w:cs="Times New Roman Bold"/>
        </w:rPr>
        <w:t xml:space="preserve"> </w:t>
      </w:r>
      <w:r w:rsidRPr="00633A71">
        <w:rPr>
          <w:rFonts w:ascii="Times New Roman" w:hAnsi="Times New Roman"/>
        </w:rPr>
        <w:t>include rankings for biodiversity conservation which are drawn from existing conservation planning tools and approaches, including the IUCN Red List, Key Biodiversity Areas, and international bank environmental safeguard policies.</w:t>
      </w:r>
      <w:r w:rsidRPr="00633A71">
        <w:rPr>
          <w:rFonts w:ascii="Times New Roman" w:hAnsi="Times New Roman"/>
          <w:vertAlign w:val="superscript"/>
        </w:rPr>
        <w:footnoteReference w:id="166"/>
      </w:r>
    </w:p>
    <w:p w14:paraId="7BC7BA4F" w14:textId="6CD166DD" w:rsidR="00810C20" w:rsidRPr="00504B5E" w:rsidRDefault="00810C20" w:rsidP="00810C20">
      <w:pPr>
        <w:spacing w:line="240" w:lineRule="auto"/>
        <w:jc w:val="both"/>
        <w:rPr>
          <w:rFonts w:ascii="Times New Roman" w:hAnsi="Times New Roman"/>
          <w:bCs/>
        </w:rPr>
      </w:pPr>
      <w:r w:rsidRPr="00633A71">
        <w:rPr>
          <w:rFonts w:ascii="Times New Roman" w:hAnsi="Times New Roman"/>
        </w:rPr>
        <w:t xml:space="preserve">While some of the interviewees </w:t>
      </w:r>
      <w:r w:rsidR="00504B5E" w:rsidRPr="00504B5E">
        <w:rPr>
          <w:rFonts w:ascii="Times New Roman" w:hAnsi="Times New Roman"/>
        </w:rPr>
        <w:t xml:space="preserve">who informed this </w:t>
      </w:r>
      <w:proofErr w:type="gramStart"/>
      <w:r w:rsidR="00504B5E" w:rsidRPr="00504B5E">
        <w:rPr>
          <w:rFonts w:ascii="Times New Roman" w:hAnsi="Times New Roman"/>
        </w:rPr>
        <w:t>policy</w:t>
      </w:r>
      <w:proofErr w:type="gramEnd"/>
      <w:r w:rsidR="00504B5E" w:rsidRPr="00504B5E">
        <w:rPr>
          <w:rFonts w:ascii="Times New Roman" w:hAnsi="Times New Roman"/>
        </w:rPr>
        <w:t xml:space="preserve"> paper have highlighted</w:t>
      </w:r>
      <w:r w:rsidR="00504B5E" w:rsidRPr="00504B5E" w:rsidDel="00504B5E">
        <w:rPr>
          <w:rFonts w:ascii="Times New Roman" w:hAnsi="Times New Roman"/>
        </w:rPr>
        <w:t xml:space="preserve"> </w:t>
      </w:r>
      <w:r w:rsidRPr="00633A71">
        <w:rPr>
          <w:rFonts w:ascii="Times New Roman" w:hAnsi="Times New Roman"/>
        </w:rPr>
        <w:t xml:space="preserve">that safeguards should be developed and implemented in this BFM, others considered that biodiversity offset mechanisms should not be developed as such, on the grounds of the biodiversity loss and social risks they pose and their lack of synchrony with the CBD’s objectives. One risk is that the offset mechanism would result in more permissions being approved, exemplified above with the US wetland banking. In terms of biodiversity risks, impacts in one area of an ecosystem may disturb the whole system and may affect its resilience. </w:t>
      </w:r>
      <w:proofErr w:type="gramStart"/>
      <w:r w:rsidRPr="00633A71">
        <w:rPr>
          <w:rFonts w:ascii="Times New Roman" w:hAnsi="Times New Roman"/>
        </w:rPr>
        <w:t>Moreover</w:t>
      </w:r>
      <w:proofErr w:type="gramEnd"/>
      <w:r w:rsidRPr="00633A71">
        <w:rPr>
          <w:rFonts w:ascii="Times New Roman" w:hAnsi="Times New Roman"/>
        </w:rPr>
        <w:t xml:space="preserve"> there is the risk of negative effects on unique ecosystems and species. Ecosystems </w:t>
      </w:r>
      <w:r w:rsidRPr="00504B5E">
        <w:rPr>
          <w:rFonts w:ascii="Times New Roman" w:hAnsi="Times New Roman"/>
        </w:rPr>
        <w:t xml:space="preserve">and their functions including the livelihood opportunities that they offer are not fully replaceable in a strict sense. Likewise, biodiversity offsets risk not accounting for the non-use and </w:t>
      </w:r>
      <w:r w:rsidRPr="00504B5E">
        <w:rPr>
          <w:rFonts w:ascii="Times New Roman" w:hAnsi="Times New Roman"/>
          <w:bCs/>
        </w:rPr>
        <w:t>intrinsic values of biological diversity.</w:t>
      </w:r>
    </w:p>
    <w:p w14:paraId="38436F59" w14:textId="77777777" w:rsidR="00810C20" w:rsidRPr="00633A71" w:rsidRDefault="00810C20" w:rsidP="00810C20">
      <w:pPr>
        <w:spacing w:line="240" w:lineRule="auto"/>
        <w:jc w:val="both"/>
        <w:rPr>
          <w:rFonts w:ascii="Times New Roman" w:hAnsi="Times New Roman"/>
        </w:rPr>
      </w:pPr>
      <w:r w:rsidRPr="00504B5E">
        <w:rPr>
          <w:rFonts w:ascii="Times New Roman" w:hAnsi="Times New Roman"/>
        </w:rPr>
        <w:t xml:space="preserve">Concerning social risks at the community level, local people in one region normally depend on the biodiversity and ecosystem services in that area for their livelihoods. It is there where their traditional knowledge is produced and constantly developed. This problem has been raised by actors such as Forest </w:t>
      </w:r>
      <w:r w:rsidRPr="00504B5E">
        <w:rPr>
          <w:rFonts w:ascii="Times New Roman" w:hAnsi="Times New Roman"/>
        </w:rPr>
        <w:lastRenderedPageBreak/>
        <w:t>Peoples Programme.</w:t>
      </w:r>
      <w:r w:rsidRPr="00633A71">
        <w:rPr>
          <w:rStyle w:val="FootnoteReference"/>
          <w:rFonts w:ascii="Times New Roman" w:hAnsi="Times New Roman"/>
          <w:bCs/>
        </w:rPr>
        <w:footnoteReference w:id="167"/>
      </w:r>
      <w:r w:rsidRPr="00633A71">
        <w:rPr>
          <w:rStyle w:val="FootnoteReference"/>
          <w:bCs/>
        </w:rPr>
        <w:t xml:space="preserve"> </w:t>
      </w:r>
      <w:r w:rsidRPr="00633A71">
        <w:rPr>
          <w:rFonts w:ascii="Times New Roman" w:hAnsi="Times New Roman"/>
        </w:rPr>
        <w:t>If policies for biodiversity offsets result in approval of land exploitation that would otherwise not have been approved, the wellbeing of local communities will be compromised.</w:t>
      </w:r>
      <w:r w:rsidRPr="00633A71">
        <w:rPr>
          <w:rStyle w:val="FootnoteReference"/>
          <w:rFonts w:ascii="Times New Roman" w:hAnsi="Times New Roman"/>
          <w:bCs/>
        </w:rPr>
        <w:t xml:space="preserve"> </w:t>
      </w:r>
      <w:r w:rsidRPr="00633A71">
        <w:rPr>
          <w:rStyle w:val="FootnoteReference"/>
          <w:rFonts w:ascii="Times New Roman" w:hAnsi="Times New Roman"/>
          <w:bCs/>
        </w:rPr>
        <w:footnoteReference w:id="168"/>
      </w:r>
    </w:p>
    <w:p w14:paraId="0E136C8C" w14:textId="6BCCF234" w:rsidR="00810C20" w:rsidRPr="00633A71" w:rsidRDefault="00810C20" w:rsidP="00810C20">
      <w:pPr>
        <w:spacing w:line="240" w:lineRule="auto"/>
        <w:jc w:val="both"/>
        <w:rPr>
          <w:rFonts w:ascii="Times New Roman" w:hAnsi="Times New Roman"/>
        </w:rPr>
      </w:pPr>
      <w:r w:rsidRPr="00633A71">
        <w:rPr>
          <w:rFonts w:ascii="Times New Roman" w:hAnsi="Times New Roman"/>
        </w:rPr>
        <w:t>The biodiversity and social risks associated with offset schemes will therefore differ depending on the design, scale and place where these mechanisms are applied. Much of the debate at various conferences</w:t>
      </w:r>
      <w:r w:rsidRPr="00633A71">
        <w:rPr>
          <w:rFonts w:ascii="Times New Roman" w:hAnsi="Times New Roman"/>
          <w:vertAlign w:val="superscript"/>
        </w:rPr>
        <w:footnoteReference w:id="169"/>
      </w:r>
      <w:r w:rsidRPr="00633A71">
        <w:rPr>
          <w:rFonts w:ascii="Times New Roman" w:hAnsi="Times New Roman"/>
        </w:rPr>
        <w:t xml:space="preserve"> about IFMs and BBOP have stressed that offsets should only be applied on a national and local level (see examples of national offsetting policies in Box </w:t>
      </w:r>
      <w:r w:rsidR="00D64C02" w:rsidRPr="00633A71">
        <w:rPr>
          <w:rFonts w:ascii="Times New Roman" w:hAnsi="Times New Roman"/>
        </w:rPr>
        <w:t>10</w:t>
      </w:r>
      <w:r w:rsidRPr="00633A71">
        <w:rPr>
          <w:rFonts w:ascii="Times New Roman" w:hAnsi="Times New Roman"/>
        </w:rPr>
        <w:t>). According to the BBOP Principles on Biodiversity Offsets, biodiversity safeguarding measures need to be taken so that offsets “achieve conservation outcomes above and beyond results that would have occurred if the offset had not taken place. Offset design and implementation should avoid displacing activities harmful to biodiversity to other locations”.</w:t>
      </w:r>
      <w:r w:rsidRPr="00633A71">
        <w:rPr>
          <w:rStyle w:val="FootnoteReference"/>
          <w:rFonts w:ascii="Times New Roman" w:hAnsi="Times New Roman"/>
        </w:rPr>
        <w:footnoteReference w:id="170"/>
      </w:r>
      <w:r w:rsidRPr="00633A71">
        <w:rPr>
          <w:rFonts w:ascii="Times New Roman" w:hAnsi="Times New Roman"/>
        </w:rPr>
        <w:t xml:space="preserve"> Keeping offset mechanisms within a country is considered to minimise the risks of displacement.</w:t>
      </w:r>
    </w:p>
    <w:p w14:paraId="1A37E7B7" w14:textId="307499D2" w:rsidR="00810C20" w:rsidRPr="00504B5E" w:rsidRDefault="00810C20" w:rsidP="00810C20">
      <w:pPr>
        <w:keepNext/>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i/>
          <w:sz w:val="18"/>
        </w:rPr>
      </w:pPr>
      <w:r w:rsidRPr="00504B5E">
        <w:rPr>
          <w:rFonts w:ascii="Arial" w:hAnsi="Arial"/>
          <w:i/>
          <w:sz w:val="18"/>
        </w:rPr>
        <w:t xml:space="preserve">Box </w:t>
      </w:r>
      <w:r w:rsidR="00D64C02" w:rsidRPr="00504B5E">
        <w:rPr>
          <w:rFonts w:ascii="Arial" w:hAnsi="Arial"/>
          <w:i/>
          <w:sz w:val="18"/>
          <w:szCs w:val="20"/>
        </w:rPr>
        <w:t>10</w:t>
      </w:r>
      <w:r w:rsidRPr="00504B5E">
        <w:rPr>
          <w:rFonts w:ascii="Arial" w:hAnsi="Arial"/>
          <w:i/>
          <w:sz w:val="18"/>
          <w:szCs w:val="20"/>
        </w:rPr>
        <w:t>.</w:t>
      </w:r>
      <w:r w:rsidRPr="00504B5E">
        <w:rPr>
          <w:rFonts w:ascii="Arial" w:hAnsi="Arial"/>
          <w:i/>
          <w:sz w:val="18"/>
        </w:rPr>
        <w:t xml:space="preserve"> Examples of biodiversity offsetting policies </w:t>
      </w:r>
    </w:p>
    <w:p w14:paraId="6DC11B70" w14:textId="38642299" w:rsidR="00810C20" w:rsidRPr="00504B5E"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rPr>
      </w:pPr>
      <w:r w:rsidRPr="00504B5E">
        <w:rPr>
          <w:rFonts w:ascii="Arial" w:hAnsi="Arial"/>
          <w:sz w:val="18"/>
          <w:szCs w:val="20"/>
        </w:rPr>
        <w:t xml:space="preserve">Since 2005, the UK Government has implemented a biodiversity </w:t>
      </w:r>
      <w:r w:rsidRPr="00504B5E">
        <w:rPr>
          <w:rFonts w:ascii="Arial" w:hAnsi="Arial"/>
          <w:sz w:val="18"/>
        </w:rPr>
        <w:t>offsetting policy</w:t>
      </w:r>
      <w:r w:rsidRPr="00504B5E">
        <w:rPr>
          <w:rFonts w:ascii="Arial" w:hAnsi="Arial"/>
          <w:sz w:val="18"/>
          <w:szCs w:val="20"/>
        </w:rPr>
        <w:t xml:space="preserve"> introduced in </w:t>
      </w:r>
      <w:r w:rsidRPr="00504B5E">
        <w:rPr>
          <w:rFonts w:ascii="Arial" w:hAnsi="Arial"/>
          <w:sz w:val="18"/>
        </w:rPr>
        <w:t xml:space="preserve">Planning Policy Statement </w:t>
      </w:r>
      <w:r w:rsidRPr="00504B5E">
        <w:rPr>
          <w:rFonts w:ascii="Arial" w:hAnsi="Arial"/>
          <w:sz w:val="18"/>
          <w:szCs w:val="20"/>
        </w:rPr>
        <w:t>PPS</w:t>
      </w:r>
      <w:r w:rsidRPr="00504B5E">
        <w:rPr>
          <w:rFonts w:ascii="Arial" w:hAnsi="Arial"/>
          <w:sz w:val="18"/>
        </w:rPr>
        <w:t xml:space="preserve">9 on Biodiversity and Geological Conservation </w:t>
      </w:r>
      <w:r w:rsidRPr="00504B5E">
        <w:rPr>
          <w:rFonts w:ascii="Arial" w:hAnsi="Arial"/>
          <w:sz w:val="18"/>
          <w:szCs w:val="20"/>
        </w:rPr>
        <w:t>and now superseded by the 2012 National Planning Policy Framework (NPPF).</w:t>
      </w:r>
      <w:r w:rsidRPr="00633A71">
        <w:rPr>
          <w:rStyle w:val="FootnoteReference"/>
          <w:rFonts w:ascii="Times New Roman" w:hAnsi="Times New Roman"/>
        </w:rPr>
        <w:footnoteReference w:id="171"/>
      </w:r>
      <w:r w:rsidRPr="00633A71">
        <w:rPr>
          <w:rFonts w:ascii="Times New Roman" w:hAnsi="Times New Roman"/>
          <w:szCs w:val="20"/>
        </w:rPr>
        <w:t xml:space="preserve"> </w:t>
      </w:r>
      <w:r w:rsidRPr="00633A71">
        <w:rPr>
          <w:rFonts w:ascii="Arial" w:hAnsi="Arial"/>
          <w:sz w:val="18"/>
          <w:szCs w:val="20"/>
        </w:rPr>
        <w:t xml:space="preserve">The NPPF states: “When determining </w:t>
      </w:r>
      <w:r w:rsidRPr="00633A71">
        <w:rPr>
          <w:rFonts w:ascii="Arial" w:hAnsi="Arial"/>
          <w:sz w:val="18"/>
        </w:rPr>
        <w:t xml:space="preserve">planning </w:t>
      </w:r>
      <w:r w:rsidRPr="00633A71">
        <w:rPr>
          <w:rFonts w:ascii="Arial" w:hAnsi="Arial"/>
          <w:sz w:val="18"/>
          <w:szCs w:val="20"/>
        </w:rPr>
        <w:t xml:space="preserve">applications, local planning authorities should aim </w:t>
      </w:r>
      <w:r w:rsidRPr="00633A71">
        <w:rPr>
          <w:rFonts w:ascii="Arial" w:hAnsi="Arial"/>
          <w:sz w:val="18"/>
        </w:rPr>
        <w:t xml:space="preserve">to </w:t>
      </w:r>
      <w:r w:rsidRPr="00633A71">
        <w:rPr>
          <w:rFonts w:ascii="Arial" w:hAnsi="Arial"/>
          <w:sz w:val="18"/>
          <w:szCs w:val="20"/>
        </w:rPr>
        <w:t xml:space="preserve">conserve and enhance </w:t>
      </w:r>
      <w:r w:rsidRPr="00633A71">
        <w:rPr>
          <w:rFonts w:ascii="Arial" w:hAnsi="Arial"/>
          <w:sz w:val="18"/>
        </w:rPr>
        <w:t xml:space="preserve">biodiversity </w:t>
      </w:r>
      <w:r w:rsidRPr="00633A71">
        <w:rPr>
          <w:rFonts w:ascii="Arial" w:hAnsi="Arial"/>
          <w:sz w:val="18"/>
          <w:szCs w:val="20"/>
        </w:rPr>
        <w:t>by applying the following principles: if significant harm resulting from a development</w:t>
      </w:r>
      <w:r w:rsidRPr="00504B5E">
        <w:rPr>
          <w:rFonts w:ascii="Arial" w:hAnsi="Arial"/>
          <w:sz w:val="18"/>
        </w:rPr>
        <w:t xml:space="preserve"> cannot be </w:t>
      </w:r>
      <w:r w:rsidRPr="00504B5E">
        <w:rPr>
          <w:rFonts w:ascii="Arial" w:hAnsi="Arial"/>
          <w:sz w:val="18"/>
          <w:szCs w:val="20"/>
        </w:rPr>
        <w:t>avoided (through locating on an alternative site with less harmful impacts),</w:t>
      </w:r>
      <w:r w:rsidRPr="00504B5E">
        <w:rPr>
          <w:rFonts w:ascii="Arial" w:hAnsi="Arial"/>
          <w:sz w:val="18"/>
        </w:rPr>
        <w:t xml:space="preserve"> adequately mitigated</w:t>
      </w:r>
      <w:r w:rsidRPr="00504B5E">
        <w:rPr>
          <w:rFonts w:ascii="Arial" w:hAnsi="Arial"/>
          <w:sz w:val="18"/>
          <w:szCs w:val="20"/>
        </w:rPr>
        <w:t>, or, as a last resort,</w:t>
      </w:r>
      <w:r w:rsidRPr="00504B5E">
        <w:rPr>
          <w:rFonts w:ascii="Arial" w:hAnsi="Arial"/>
          <w:sz w:val="18"/>
        </w:rPr>
        <w:t xml:space="preserve"> compensated for, then planning permission should be refused</w:t>
      </w:r>
      <w:r w:rsidR="00F36DF7" w:rsidRPr="00504B5E">
        <w:rPr>
          <w:rFonts w:ascii="Arial" w:hAnsi="Arial"/>
          <w:sz w:val="18"/>
        </w:rPr>
        <w:t>”.</w:t>
      </w:r>
      <w:r w:rsidRPr="00504B5E">
        <w:rPr>
          <w:rFonts w:ascii="Arial" w:hAnsi="Arial"/>
          <w:sz w:val="18"/>
        </w:rPr>
        <w:t xml:space="preserve"> </w:t>
      </w:r>
    </w:p>
    <w:p w14:paraId="24468E3A"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autoSpaceDE w:val="0"/>
        <w:autoSpaceDN w:val="0"/>
        <w:adjustRightInd w:val="0"/>
        <w:spacing w:line="240" w:lineRule="auto"/>
        <w:jc w:val="both"/>
        <w:rPr>
          <w:rFonts w:ascii="Arial" w:hAnsi="Arial"/>
          <w:sz w:val="18"/>
        </w:rPr>
      </w:pPr>
      <w:r w:rsidRPr="00504B5E">
        <w:rPr>
          <w:rFonts w:ascii="Arial" w:hAnsi="Arial"/>
          <w:sz w:val="18"/>
        </w:rPr>
        <w:t>Brazilian regulation includes an offsetting policy. On each property larger than 50 hectares in the eastern, central-west and southern regions, the Brazilian Forest Code of 1965 (Law 4771) requires at least 20% of the native vegetation to be preserved as a Legal Forest Reserve and permits only sustainable forestry practices in these areas. If the landowner does not want to preserve the respective proportion of the land within the property, the landowner must buy similar land in a nearby area where the environmental restricti</w:t>
      </w:r>
      <w:r w:rsidRPr="00A3063C">
        <w:rPr>
          <w:rFonts w:ascii="Arial" w:hAnsi="Arial"/>
          <w:sz w:val="18"/>
        </w:rPr>
        <w:t xml:space="preserve">ons would apply. </w:t>
      </w:r>
      <w:proofErr w:type="gramStart"/>
      <w:r w:rsidRPr="00A3063C">
        <w:rPr>
          <w:rFonts w:ascii="Arial" w:hAnsi="Arial"/>
          <w:sz w:val="18"/>
        </w:rPr>
        <w:t xml:space="preserve">In </w:t>
      </w:r>
      <w:r w:rsidRPr="00A3063C">
        <w:rPr>
          <w:rFonts w:ascii="Arial" w:hAnsi="Arial"/>
          <w:sz w:val="18"/>
          <w:szCs w:val="20"/>
        </w:rPr>
        <w:t>the event that</w:t>
      </w:r>
      <w:proofErr w:type="gramEnd"/>
      <w:r w:rsidRPr="00A3063C">
        <w:rPr>
          <w:rFonts w:ascii="Arial" w:hAnsi="Arial"/>
          <w:sz w:val="18"/>
        </w:rPr>
        <w:t xml:space="preserve"> the offset area is outside the original “microregion” or “hydrographic basin”, the </w:t>
      </w:r>
      <w:r w:rsidRPr="0038043D">
        <w:rPr>
          <w:rFonts w:ascii="Arial" w:hAnsi="Arial"/>
          <w:sz w:val="18"/>
          <w:szCs w:val="20"/>
        </w:rPr>
        <w:t xml:space="preserve">compensatory </w:t>
      </w:r>
      <w:r w:rsidRPr="00632DBC">
        <w:rPr>
          <w:rFonts w:ascii="Arial" w:hAnsi="Arial"/>
          <w:sz w:val="18"/>
        </w:rPr>
        <w:t>area that the landowner must acquire increases. In these cases, State</w:t>
      </w:r>
      <w:r w:rsidRPr="00632DBC">
        <w:rPr>
          <w:rFonts w:ascii="Arial" w:hAnsi="Arial"/>
          <w:sz w:val="18"/>
          <w:szCs w:val="20"/>
        </w:rPr>
        <w:t>-</w:t>
      </w:r>
      <w:r w:rsidRPr="00632DBC">
        <w:rPr>
          <w:rFonts w:ascii="Arial" w:hAnsi="Arial"/>
          <w:sz w:val="18"/>
        </w:rPr>
        <w:t>level provisions encourage landowners to establish vegetation corridors.</w:t>
      </w:r>
      <w:r w:rsidRPr="00633A71">
        <w:rPr>
          <w:rStyle w:val="FootnoteReference"/>
          <w:rFonts w:ascii="Times New Roman" w:hAnsi="Times New Roman"/>
        </w:rPr>
        <w:footnoteReference w:id="172"/>
      </w:r>
    </w:p>
    <w:p w14:paraId="41CB0855"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Possible social safeguards for offset policies include ensuring equity in the design and implementation of safeguards. In the BBOP Principles, this means “sharing rights and responsibilities, risks and rewards associated with a project and offset in a fair and balanced way, respecting legal and customary arrangements. Special consideration should be given to respecting both internationally and nationally recognised rights of indigenous peoples and local communities”.</w:t>
      </w:r>
      <w:r w:rsidRPr="00633A71">
        <w:rPr>
          <w:rStyle w:val="FootnoteReference"/>
          <w:rFonts w:ascii="Times New Roman" w:hAnsi="Times New Roman"/>
        </w:rPr>
        <w:footnoteReference w:id="173"/>
      </w:r>
      <w:r w:rsidRPr="00633A71">
        <w:rPr>
          <w:rFonts w:ascii="Times New Roman" w:hAnsi="Times New Roman"/>
        </w:rPr>
        <w:t xml:space="preserve"> </w:t>
      </w:r>
    </w:p>
    <w:p w14:paraId="23DCD965" w14:textId="236922A6" w:rsidR="00C9771D" w:rsidRPr="00632DBC" w:rsidRDefault="004C4F63" w:rsidP="00272283">
      <w:pPr>
        <w:pStyle w:val="Caption"/>
        <w:rPr>
          <w:sz w:val="24"/>
          <w:szCs w:val="24"/>
        </w:rPr>
      </w:pPr>
      <w:bookmarkStart w:id="123" w:name="_Toc398938287"/>
      <w:bookmarkStart w:id="124" w:name="_Toc529190579"/>
      <w:bookmarkStart w:id="125" w:name="_Toc420357477"/>
      <w:r w:rsidRPr="00632DBC">
        <w:rPr>
          <w:sz w:val="24"/>
          <w:szCs w:val="24"/>
        </w:rPr>
        <w:t xml:space="preserve">Case study </w:t>
      </w:r>
      <w:r w:rsidR="008B016B">
        <w:rPr>
          <w:sz w:val="24"/>
          <w:szCs w:val="24"/>
        </w:rPr>
        <w:fldChar w:fldCharType="begin"/>
      </w:r>
      <w:r w:rsidR="008B016B">
        <w:rPr>
          <w:sz w:val="24"/>
          <w:szCs w:val="24"/>
        </w:rPr>
        <w:instrText xml:space="preserve"> SEQ Case_study \* ROMAN </w:instrText>
      </w:r>
      <w:r w:rsidR="008B016B">
        <w:rPr>
          <w:sz w:val="24"/>
          <w:szCs w:val="24"/>
        </w:rPr>
        <w:fldChar w:fldCharType="separate"/>
      </w:r>
      <w:r w:rsidR="008B016B">
        <w:rPr>
          <w:noProof/>
          <w:sz w:val="24"/>
          <w:szCs w:val="24"/>
        </w:rPr>
        <w:t>II</w:t>
      </w:r>
      <w:r w:rsidR="008B016B">
        <w:rPr>
          <w:sz w:val="24"/>
          <w:szCs w:val="24"/>
        </w:rPr>
        <w:fldChar w:fldCharType="end"/>
      </w:r>
      <w:r w:rsidRPr="00632DBC">
        <w:rPr>
          <w:sz w:val="24"/>
          <w:szCs w:val="24"/>
        </w:rPr>
        <w:t>. Ecological compensation in Sweden, synchronizing bio</w:t>
      </w:r>
      <w:r w:rsidR="0003608B" w:rsidRPr="00632DBC">
        <w:rPr>
          <w:sz w:val="24"/>
          <w:szCs w:val="24"/>
        </w:rPr>
        <w:t>diversity and social safeguards</w:t>
      </w:r>
      <w:bookmarkEnd w:id="123"/>
      <w:bookmarkEnd w:id="124"/>
    </w:p>
    <w:p w14:paraId="7F9C05D8" w14:textId="13630709" w:rsidR="005A45AA" w:rsidRPr="00632DBC" w:rsidRDefault="005A45AA" w:rsidP="005A45AA">
      <w:pPr>
        <w:spacing w:line="240" w:lineRule="auto"/>
      </w:pPr>
      <w:r w:rsidRPr="00632DBC">
        <w:rPr>
          <w:rFonts w:ascii="Times New Roman" w:hAnsi="Times New Roman"/>
          <w:sz w:val="16"/>
          <w:szCs w:val="16"/>
        </w:rPr>
        <w:t>The present analysis</w:t>
      </w:r>
      <w:r w:rsidR="00FF79F3" w:rsidRPr="00632DBC">
        <w:rPr>
          <w:rFonts w:ascii="Times New Roman" w:hAnsi="Times New Roman"/>
          <w:sz w:val="16"/>
          <w:szCs w:val="16"/>
        </w:rPr>
        <w:t xml:space="preserve"> is a synthesis of</w:t>
      </w:r>
      <w:r w:rsidRPr="00632DBC">
        <w:rPr>
          <w:rFonts w:ascii="Times New Roman" w:hAnsi="Times New Roman"/>
          <w:sz w:val="16"/>
          <w:szCs w:val="16"/>
        </w:rPr>
        <w:t xml:space="preserve"> </w:t>
      </w:r>
      <w:r w:rsidR="00FF79F3" w:rsidRPr="00632DBC">
        <w:rPr>
          <w:rFonts w:ascii="Times New Roman" w:hAnsi="Times New Roman"/>
          <w:sz w:val="16"/>
        </w:rPr>
        <w:t>Koh, N. S., Hahn, T., Ituarte-Lima, C. 2017. Safeguards for enhancing ecological compensation in Sweden. Land Use Policy, Volume 64, May 2017, Pages 186–199</w:t>
      </w:r>
    </w:p>
    <w:p w14:paraId="6A8CBE1F" w14:textId="2B2E1C61" w:rsidR="00C9771D" w:rsidRPr="00632DBC" w:rsidRDefault="00C9771D" w:rsidP="004C4F63">
      <w:pPr>
        <w:tabs>
          <w:tab w:val="left" w:pos="2560"/>
        </w:tabs>
        <w:spacing w:line="240" w:lineRule="auto"/>
        <w:jc w:val="both"/>
        <w:rPr>
          <w:rFonts w:ascii="Times New Roman" w:hAnsi="Times New Roman"/>
        </w:rPr>
      </w:pPr>
      <w:r w:rsidRPr="00632DBC">
        <w:rPr>
          <w:rFonts w:ascii="Times New Roman" w:hAnsi="Times New Roman"/>
        </w:rPr>
        <w:lastRenderedPageBreak/>
        <w:t xml:space="preserve">Ecological compensation (EC), also known as biodiversity offsetting, involves compensating for the biodiversity losses that occur from economic activities in one place by conserving similar biodiversity values someplace else. This relocation of biodiversity values may affect the provision </w:t>
      </w:r>
      <w:r w:rsidR="00CF0BB7" w:rsidRPr="00632DBC">
        <w:rPr>
          <w:rFonts w:ascii="Times New Roman" w:hAnsi="Times New Roman"/>
        </w:rPr>
        <w:t>of cultural ecosystems services</w:t>
      </w:r>
      <w:r w:rsidRPr="00632DBC">
        <w:rPr>
          <w:rFonts w:ascii="Times New Roman" w:hAnsi="Times New Roman"/>
        </w:rPr>
        <w:t xml:space="preserve"> </w:t>
      </w:r>
      <w:r w:rsidR="00CF0BB7" w:rsidRPr="00632DBC">
        <w:rPr>
          <w:rFonts w:ascii="Times New Roman" w:hAnsi="Times New Roman"/>
        </w:rPr>
        <w:t>and thereby impact</w:t>
      </w:r>
      <w:r w:rsidRPr="00632DBC">
        <w:rPr>
          <w:rFonts w:ascii="Times New Roman" w:hAnsi="Times New Roman"/>
        </w:rPr>
        <w:t xml:space="preserve"> the wellbeing and rights of distinct individuals and groups. The voluntary CBD guidelines for safeguard</w:t>
      </w:r>
      <w:r w:rsidR="00F97807" w:rsidRPr="00632DBC">
        <w:rPr>
          <w:rFonts w:ascii="Times New Roman" w:hAnsi="Times New Roman"/>
        </w:rPr>
        <w:t>s in BFMs (summarised in Table 5</w:t>
      </w:r>
      <w:r w:rsidRPr="00632DBC">
        <w:rPr>
          <w:rFonts w:ascii="Times New Roman" w:hAnsi="Times New Roman"/>
        </w:rPr>
        <w:t>) are useful for synchronising biodiversity and social safeguards to promote resilience of social-ecological systems.</w:t>
      </w:r>
      <w:r w:rsidR="00504B5E">
        <w:rPr>
          <w:rFonts w:ascii="Times New Roman" w:hAnsi="Times New Roman"/>
        </w:rPr>
        <w:t xml:space="preserve"> This case study </w:t>
      </w:r>
      <w:r w:rsidRPr="00632DBC">
        <w:rPr>
          <w:rFonts w:ascii="Times New Roman" w:hAnsi="Times New Roman"/>
        </w:rPr>
        <w:t>find</w:t>
      </w:r>
      <w:r w:rsidR="00504B5E">
        <w:rPr>
          <w:rFonts w:ascii="Times New Roman" w:hAnsi="Times New Roman"/>
        </w:rPr>
        <w:t>s</w:t>
      </w:r>
      <w:r w:rsidRPr="00632DBC">
        <w:rPr>
          <w:rFonts w:ascii="Times New Roman" w:hAnsi="Times New Roman"/>
        </w:rPr>
        <w:t xml:space="preserve"> that safeguards specific to EC, which are embedded in national legislation, are key for operationalising social and ecological goa</w:t>
      </w:r>
      <w:r w:rsidR="00F97807" w:rsidRPr="00632DBC">
        <w:rPr>
          <w:rFonts w:ascii="Times New Roman" w:hAnsi="Times New Roman"/>
        </w:rPr>
        <w:t>ls associated with BFMs. Table 5</w:t>
      </w:r>
      <w:r w:rsidR="00181D88" w:rsidRPr="00632DBC">
        <w:rPr>
          <w:rFonts w:ascii="Times New Roman" w:hAnsi="Times New Roman"/>
        </w:rPr>
        <w:t xml:space="preserve"> demonstrates how the </w:t>
      </w:r>
      <w:r w:rsidRPr="00632DBC">
        <w:rPr>
          <w:rFonts w:ascii="Times New Roman" w:hAnsi="Times New Roman"/>
        </w:rPr>
        <w:t xml:space="preserve">two selected case studies in Sweden revealed important lessons learned and challenges that emerged in the implementation of BFM safeguards. </w:t>
      </w:r>
    </w:p>
    <w:p w14:paraId="3466A193" w14:textId="7B3C6F98" w:rsidR="00C9771D" w:rsidRPr="00632DBC" w:rsidRDefault="00C9771D" w:rsidP="004C4F63">
      <w:pPr>
        <w:spacing w:line="240" w:lineRule="auto"/>
        <w:jc w:val="both"/>
        <w:rPr>
          <w:rFonts w:ascii="Times New Roman" w:hAnsi="Times New Roman"/>
        </w:rPr>
      </w:pPr>
      <w:r w:rsidRPr="00632DBC">
        <w:rPr>
          <w:rFonts w:ascii="Times New Roman" w:hAnsi="Times New Roman"/>
        </w:rPr>
        <w:t>Despite the three CBD objectives that integrate social and ecological concerns, compensation projects in Sweden have so far focused on biodiversity values rather than social values.</w:t>
      </w:r>
      <w:r w:rsidRPr="00632DBC">
        <w:rPr>
          <w:rStyle w:val="FootnoteReference"/>
          <w:rFonts w:ascii="Times New Roman" w:hAnsi="Times New Roman"/>
        </w:rPr>
        <w:footnoteReference w:id="174"/>
      </w:r>
      <w:r w:rsidRPr="00632DBC">
        <w:rPr>
          <w:rFonts w:ascii="Times New Roman" w:hAnsi="Times New Roman"/>
        </w:rPr>
        <w:t xml:space="preserve"> There have been few cases where the courts have required compensation for impacts on social or cultural values.</w:t>
      </w:r>
      <w:r w:rsidRPr="00632DBC">
        <w:rPr>
          <w:rStyle w:val="FootnoteReference"/>
          <w:rFonts w:ascii="Times New Roman" w:hAnsi="Times New Roman"/>
        </w:rPr>
        <w:footnoteReference w:id="175"/>
      </w:r>
      <w:r w:rsidRPr="00632DBC">
        <w:rPr>
          <w:rFonts w:ascii="Times New Roman" w:hAnsi="Times New Roman"/>
        </w:rPr>
        <w:t xml:space="preserve"> The E</w:t>
      </w:r>
      <w:r w:rsidR="00181D88" w:rsidRPr="00632DBC">
        <w:rPr>
          <w:rFonts w:ascii="Times New Roman" w:hAnsi="Times New Roman"/>
        </w:rPr>
        <w:t xml:space="preserve">cosystem </w:t>
      </w:r>
      <w:r w:rsidRPr="00632DBC">
        <w:rPr>
          <w:rFonts w:ascii="Times New Roman" w:hAnsi="Times New Roman"/>
        </w:rPr>
        <w:t>I</w:t>
      </w:r>
      <w:r w:rsidR="00181D88" w:rsidRPr="00632DBC">
        <w:rPr>
          <w:rFonts w:ascii="Times New Roman" w:hAnsi="Times New Roman"/>
        </w:rPr>
        <w:t xml:space="preserve">mpact </w:t>
      </w:r>
      <w:r w:rsidRPr="00632DBC">
        <w:rPr>
          <w:rFonts w:ascii="Times New Roman" w:hAnsi="Times New Roman"/>
        </w:rPr>
        <w:t>A</w:t>
      </w:r>
      <w:r w:rsidR="00181D88" w:rsidRPr="00632DBC">
        <w:rPr>
          <w:rFonts w:ascii="Times New Roman" w:hAnsi="Times New Roman"/>
        </w:rPr>
        <w:t>ssessment (EIA)</w:t>
      </w:r>
      <w:r w:rsidRPr="00632DBC">
        <w:rPr>
          <w:rFonts w:ascii="Times New Roman" w:hAnsi="Times New Roman"/>
        </w:rPr>
        <w:t xml:space="preserve"> serves as a preliminary platform for considering social values. A social impact assessment could be integrated with the EIA to assess what actors use both the ecosystems to be impacted and the compensation sites. </w:t>
      </w:r>
      <w:r w:rsidR="00A3063C">
        <w:rPr>
          <w:rFonts w:ascii="Times New Roman" w:hAnsi="Times New Roman"/>
        </w:rPr>
        <w:t xml:space="preserve"> </w:t>
      </w:r>
      <w:r w:rsidR="00A3063C" w:rsidRPr="00A3063C">
        <w:rPr>
          <w:rFonts w:ascii="Times New Roman" w:hAnsi="Times New Roman"/>
        </w:rPr>
        <w:t>Two cases from Sweden, dealing with transport infrastructure and mining, show how integrating biodiv</w:t>
      </w:r>
      <w:r w:rsidR="00A3063C">
        <w:rPr>
          <w:rFonts w:ascii="Times New Roman" w:hAnsi="Times New Roman"/>
        </w:rPr>
        <w:t xml:space="preserve">ersity and social safeguards </w:t>
      </w:r>
      <w:r w:rsidRPr="00632DBC">
        <w:rPr>
          <w:rFonts w:ascii="Times New Roman" w:hAnsi="Times New Roman"/>
        </w:rPr>
        <w:t>is especially important when selecting the compensation site and appropriate restoration measures.</w:t>
      </w:r>
    </w:p>
    <w:p w14:paraId="605156F9" w14:textId="5892201D" w:rsidR="00C9771D" w:rsidRPr="00632DBC" w:rsidRDefault="00C9771D" w:rsidP="004C4F63">
      <w:pPr>
        <w:spacing w:line="240" w:lineRule="auto"/>
        <w:jc w:val="both"/>
        <w:rPr>
          <w:rFonts w:ascii="Times New Roman" w:hAnsi="Times New Roman"/>
          <w:iCs/>
        </w:rPr>
      </w:pPr>
      <w:r w:rsidRPr="00632DBC">
        <w:rPr>
          <w:rFonts w:ascii="Times New Roman" w:hAnsi="Times New Roman"/>
          <w:iCs/>
        </w:rPr>
        <w:t>The</w:t>
      </w:r>
      <w:r w:rsidRPr="00632DBC">
        <w:rPr>
          <w:rFonts w:ascii="Times New Roman" w:hAnsi="Times New Roman"/>
          <w:i/>
          <w:iCs/>
        </w:rPr>
        <w:t xml:space="preserve"> </w:t>
      </w:r>
      <w:r w:rsidRPr="00632DBC">
        <w:rPr>
          <w:rFonts w:ascii="Times New Roman" w:hAnsi="Times New Roman"/>
          <w:iCs/>
        </w:rPr>
        <w:t xml:space="preserve">case studies show that biodiversity and social safeguards are intertwined with human rights, such as cultural rights, and rights over natural resources. </w:t>
      </w:r>
      <w:r w:rsidRPr="00632DBC">
        <w:rPr>
          <w:rFonts w:ascii="Times New Roman" w:hAnsi="Times New Roman"/>
        </w:rPr>
        <w:t xml:space="preserve">Transparency in the measurements of biodiversity values and ecosystem functions used in EC, as well as how public participation is considered in decision-making is a part of integrating safeguards into this process. </w:t>
      </w:r>
      <w:r w:rsidRPr="00632DBC">
        <w:rPr>
          <w:rFonts w:ascii="Times New Roman" w:hAnsi="Times New Roman"/>
          <w:iCs/>
        </w:rPr>
        <w:t xml:space="preserve">In creating an environment for exercising these rights, it is important to consider the impacts of loss and degradation of biodiversity in society, especially the effects on people in disadvantaged positions or with differentiated individual and collective rights. </w:t>
      </w:r>
      <w:r w:rsidRPr="00632DBC">
        <w:rPr>
          <w:rFonts w:ascii="Times New Roman" w:hAnsi="Times New Roman"/>
        </w:rPr>
        <w:t>The means to safeguard social equity and socio-ecological related human rights, including rights of the Sami people, should be further developed in Sweden both in the legislation and implementation of E</w:t>
      </w:r>
      <w:r w:rsidR="00181D88" w:rsidRPr="00632DBC">
        <w:rPr>
          <w:rFonts w:ascii="Times New Roman" w:hAnsi="Times New Roman"/>
        </w:rPr>
        <w:t>C.</w:t>
      </w:r>
    </w:p>
    <w:p w14:paraId="2B826EBE" w14:textId="77777777" w:rsidR="00C9771D" w:rsidRPr="00632DBC" w:rsidRDefault="00C9771D" w:rsidP="00C9771D">
      <w:pPr>
        <w:spacing w:line="240" w:lineRule="auto"/>
        <w:jc w:val="both"/>
        <w:rPr>
          <w:rFonts w:ascii="Times New Roman" w:hAnsi="Times New Roman"/>
          <w:i/>
          <w:iCs/>
        </w:rPr>
      </w:pPr>
      <w:r w:rsidRPr="00632DBC">
        <w:rPr>
          <w:rFonts w:ascii="Times New Roman" w:hAnsi="Times New Roman"/>
          <w:i/>
          <w:iCs/>
        </w:rPr>
        <w:t>E12 highway: Safeguarding people’s wellbeing through access to recreation</w:t>
      </w:r>
    </w:p>
    <w:p w14:paraId="45DF3229" w14:textId="78E6E926" w:rsidR="00C9771D" w:rsidRPr="00632DBC" w:rsidRDefault="00C9771D" w:rsidP="004C4F63">
      <w:pPr>
        <w:spacing w:line="240" w:lineRule="auto"/>
        <w:jc w:val="both"/>
        <w:rPr>
          <w:rFonts w:ascii="Times New Roman" w:hAnsi="Times New Roman"/>
        </w:rPr>
      </w:pPr>
      <w:r w:rsidRPr="00632DBC">
        <w:rPr>
          <w:rFonts w:ascii="Times New Roman" w:hAnsi="Times New Roman"/>
        </w:rPr>
        <w:t>According to Chapter 14 of the Swedish Road Law, road projects must be announced in advance and made</w:t>
      </w:r>
      <w:r w:rsidR="00463DB6" w:rsidRPr="00632DBC">
        <w:rPr>
          <w:rFonts w:ascii="Times New Roman" w:hAnsi="Times New Roman"/>
        </w:rPr>
        <w:t xml:space="preserve"> available for public appeal. Since</w:t>
      </w:r>
      <w:r w:rsidRPr="00632DBC">
        <w:rPr>
          <w:rFonts w:ascii="Times New Roman" w:hAnsi="Times New Roman"/>
        </w:rPr>
        <w:t xml:space="preserve"> the proposed highway would compromise recreational values for the neighbouring community, the project ensured that reasonable access to recreation is maintained through on-site measures. Overall, the impact site community maintains reasonable access to recreation, while the compensation site community gains an improved recreational site. There is no ambition from the municipality to present the compensation project as a substitute for the impact site’s loss of recreational values, nor the expectation that the impact site community will travel the five km distance to use the compensation site. The compensation mainly serves the purpose of helping to finance the restoration of a site located within the municipality’s green infrastructure planning. </w:t>
      </w:r>
    </w:p>
    <w:p w14:paraId="1E941F25" w14:textId="77777777" w:rsidR="00C9771D" w:rsidRPr="00632DBC" w:rsidRDefault="00C9771D" w:rsidP="00C9771D">
      <w:pPr>
        <w:spacing w:line="240" w:lineRule="auto"/>
        <w:jc w:val="both"/>
        <w:rPr>
          <w:rFonts w:ascii="Times New Roman" w:hAnsi="Times New Roman"/>
          <w:i/>
          <w:iCs/>
        </w:rPr>
      </w:pPr>
      <w:proofErr w:type="spellStart"/>
      <w:r w:rsidRPr="00632DBC">
        <w:rPr>
          <w:rFonts w:ascii="Times New Roman" w:hAnsi="Times New Roman"/>
          <w:i/>
          <w:iCs/>
        </w:rPr>
        <w:t>Mertainen</w:t>
      </w:r>
      <w:proofErr w:type="spellEnd"/>
      <w:r w:rsidRPr="00632DBC">
        <w:rPr>
          <w:rFonts w:ascii="Times New Roman" w:hAnsi="Times New Roman"/>
          <w:i/>
          <w:iCs/>
        </w:rPr>
        <w:t xml:space="preserve"> mine: Safeguarding cultural rights and rights over natural resources</w:t>
      </w:r>
    </w:p>
    <w:p w14:paraId="337B9686" w14:textId="2AD90B96" w:rsidR="00C9771D" w:rsidRPr="00632DBC" w:rsidRDefault="00C9771D" w:rsidP="00C9771D">
      <w:pPr>
        <w:spacing w:line="240" w:lineRule="auto"/>
        <w:ind w:firstLine="720"/>
        <w:jc w:val="both"/>
        <w:rPr>
          <w:rFonts w:ascii="Times New Roman" w:hAnsi="Times New Roman"/>
        </w:rPr>
      </w:pPr>
      <w:r w:rsidRPr="00632DBC">
        <w:rPr>
          <w:rFonts w:ascii="Times New Roman" w:hAnsi="Times New Roman"/>
        </w:rPr>
        <w:t xml:space="preserve">The right to herd reindeer is an important part of the indigenous Sami people traditions and essential to their livelihoods; as acknowledged in Chapter 1§2 of the Swedish constitution. However, </w:t>
      </w:r>
      <w:r w:rsidRPr="00632DBC">
        <w:rPr>
          <w:rFonts w:ascii="Times New Roman" w:hAnsi="Times New Roman"/>
        </w:rPr>
        <w:lastRenderedPageBreak/>
        <w:t>the International Convention on Civil and Political Rights (ICCPR)</w:t>
      </w:r>
      <w:r w:rsidRPr="00632DBC">
        <w:rPr>
          <w:rStyle w:val="FootnoteReference"/>
          <w:rFonts w:ascii="Times New Roman" w:hAnsi="Times New Roman"/>
        </w:rPr>
        <w:footnoteReference w:id="176"/>
      </w:r>
      <w:r w:rsidRPr="00632DBC">
        <w:rPr>
          <w:rFonts w:ascii="Times New Roman" w:hAnsi="Times New Roman"/>
        </w:rPr>
        <w:t xml:space="preserve"> Committee</w:t>
      </w:r>
      <w:r w:rsidRPr="00632DBC">
        <w:rPr>
          <w:rStyle w:val="FootnoteReference"/>
          <w:rFonts w:ascii="Times New Roman" w:hAnsi="Times New Roman"/>
        </w:rPr>
        <w:footnoteReference w:id="177"/>
      </w:r>
      <w:r w:rsidRPr="00632DBC">
        <w:rPr>
          <w:rFonts w:ascii="Times New Roman" w:hAnsi="Times New Roman"/>
        </w:rPr>
        <w:t xml:space="preserve"> and the United Nations Human Rights Council’s Report</w:t>
      </w:r>
      <w:r w:rsidRPr="00632DBC">
        <w:rPr>
          <w:rStyle w:val="FootnoteReference"/>
          <w:rFonts w:ascii="Times New Roman" w:hAnsi="Times New Roman"/>
        </w:rPr>
        <w:footnoteReference w:id="178"/>
      </w:r>
      <w:r w:rsidRPr="00632DBC">
        <w:rPr>
          <w:rFonts w:ascii="Times New Roman" w:hAnsi="Times New Roman"/>
        </w:rPr>
        <w:t xml:space="preserve"> of the Special Rapporteur on indigenous peoples</w:t>
      </w:r>
      <w:r w:rsidR="00463DB6" w:rsidRPr="00632DBC">
        <w:rPr>
          <w:rFonts w:ascii="Times New Roman" w:hAnsi="Times New Roman"/>
        </w:rPr>
        <w:t>,</w:t>
      </w:r>
      <w:r w:rsidRPr="00632DBC">
        <w:rPr>
          <w:rFonts w:ascii="Times New Roman" w:hAnsi="Times New Roman"/>
        </w:rPr>
        <w:t xml:space="preserve"> have recommended </w:t>
      </w:r>
      <w:r w:rsidR="00463DB6" w:rsidRPr="00632DBC">
        <w:rPr>
          <w:rFonts w:ascii="Times New Roman" w:hAnsi="Times New Roman"/>
        </w:rPr>
        <w:t>that Sweden take further measures to adequately define and recognize</w:t>
      </w:r>
      <w:r w:rsidRPr="00632DBC">
        <w:rPr>
          <w:rFonts w:ascii="Times New Roman" w:hAnsi="Times New Roman"/>
        </w:rPr>
        <w:t xml:space="preserve"> the Sami peoples’ cultural rights and rights over natural resources. For instance, the Special Rapporteur on the rights of indigenous peoples</w:t>
      </w:r>
      <w:r w:rsidR="00FD3AFE" w:rsidRPr="00632DBC">
        <w:rPr>
          <w:rFonts w:ascii="Times New Roman" w:hAnsi="Times New Roman"/>
        </w:rPr>
        <w:t>,</w:t>
      </w:r>
      <w:r w:rsidRPr="00632DBC">
        <w:rPr>
          <w:rFonts w:ascii="Times New Roman" w:hAnsi="Times New Roman"/>
        </w:rPr>
        <w:t xml:space="preserve"> in its mission report on the human rights situation of the Sami people</w:t>
      </w:r>
      <w:r w:rsidR="00EF1D4C" w:rsidRPr="00632DBC">
        <w:rPr>
          <w:rFonts w:ascii="Times New Roman" w:hAnsi="Times New Roman"/>
        </w:rPr>
        <w:t>,</w:t>
      </w:r>
      <w:r w:rsidRPr="00632DBC">
        <w:rPr>
          <w:rFonts w:ascii="Times New Roman" w:hAnsi="Times New Roman"/>
        </w:rPr>
        <w:t xml:space="preserve"> </w:t>
      </w:r>
      <w:r w:rsidR="00EF1D4C" w:rsidRPr="00632DBC">
        <w:rPr>
          <w:rFonts w:ascii="Times New Roman" w:hAnsi="Times New Roman"/>
        </w:rPr>
        <w:t>notes</w:t>
      </w:r>
      <w:r w:rsidRPr="00632DBC">
        <w:rPr>
          <w:rFonts w:ascii="Times New Roman" w:hAnsi="Times New Roman"/>
        </w:rPr>
        <w:t xml:space="preserve"> </w:t>
      </w:r>
      <w:r w:rsidR="00EF1D4C" w:rsidRPr="00632DBC">
        <w:rPr>
          <w:rFonts w:ascii="Times New Roman" w:hAnsi="Times New Roman"/>
        </w:rPr>
        <w:t xml:space="preserve">that </w:t>
      </w:r>
      <w:r w:rsidRPr="00632DBC">
        <w:rPr>
          <w:rFonts w:ascii="Times New Roman" w:hAnsi="Times New Roman"/>
        </w:rPr>
        <w:t>“Unlike its Finnish and Norwegian counterparts, the Minerals Act does not include any explicit references to Sami rights”.</w:t>
      </w:r>
      <w:r w:rsidRPr="00632DBC">
        <w:rPr>
          <w:rStyle w:val="FootnoteReference"/>
          <w:rFonts w:ascii="Times New Roman" w:hAnsi="Times New Roman"/>
        </w:rPr>
        <w:footnoteReference w:id="179"/>
      </w:r>
      <w:r w:rsidRPr="00632DBC">
        <w:rPr>
          <w:rFonts w:ascii="Times New Roman" w:hAnsi="Times New Roman"/>
        </w:rPr>
        <w:t xml:space="preserve"> The recommendations to Sweden by the special Rapporteur includes a revision of its Minerals Act to ensure it is in compliance with international human rights standards and refers to adequate consultations with affected indigenous communities, mitigation measures, compensation</w:t>
      </w:r>
      <w:r w:rsidR="00A56D1D" w:rsidRPr="00632DBC">
        <w:rPr>
          <w:rFonts w:ascii="Times New Roman" w:hAnsi="Times New Roman"/>
        </w:rPr>
        <w:t>,</w:t>
      </w:r>
      <w:r w:rsidRPr="00632DBC">
        <w:rPr>
          <w:rFonts w:ascii="Times New Roman" w:hAnsi="Times New Roman"/>
        </w:rPr>
        <w:t xml:space="preserve"> </w:t>
      </w:r>
      <w:r w:rsidR="00A56D1D" w:rsidRPr="00632DBC">
        <w:rPr>
          <w:rFonts w:ascii="Times New Roman" w:hAnsi="Times New Roman"/>
        </w:rPr>
        <w:t xml:space="preserve">and </w:t>
      </w:r>
      <w:r w:rsidRPr="00632DBC">
        <w:rPr>
          <w:rFonts w:ascii="Times New Roman" w:hAnsi="Times New Roman"/>
        </w:rPr>
        <w:t xml:space="preserve">fair and equitable benefit-sharing. </w:t>
      </w:r>
    </w:p>
    <w:p w14:paraId="274A627B" w14:textId="0AA87573" w:rsidR="00C9771D" w:rsidRPr="00632DBC" w:rsidRDefault="00C9771D" w:rsidP="00C9771D">
      <w:pPr>
        <w:spacing w:line="240" w:lineRule="auto"/>
        <w:ind w:firstLine="720"/>
        <w:jc w:val="both"/>
        <w:rPr>
          <w:rFonts w:ascii="Times New Roman" w:hAnsi="Times New Roman"/>
        </w:rPr>
      </w:pPr>
      <w:r w:rsidRPr="00632DBC">
        <w:rPr>
          <w:rFonts w:ascii="Times New Roman" w:hAnsi="Times New Roman"/>
        </w:rPr>
        <w:t xml:space="preserve">In 2012, the state-owned mining company LKAB signed a major agreement with the two Sami communities affected by the mine. The agreement represents a commitment by the mining company to compensate for reindeer husbandry losses caused by mining activities. For each intrusion into reindeer husbandry, LKAB committed to collaborate with the Sami communities in monthly consultations to reach a solution that </w:t>
      </w:r>
      <w:r w:rsidR="001A43C5" w:rsidRPr="00632DBC">
        <w:rPr>
          <w:rFonts w:ascii="Times New Roman" w:hAnsi="Times New Roman"/>
        </w:rPr>
        <w:t>minimizes</w:t>
      </w:r>
      <w:r w:rsidRPr="00632DBC">
        <w:rPr>
          <w:rFonts w:ascii="Times New Roman" w:hAnsi="Times New Roman"/>
        </w:rPr>
        <w:t xml:space="preserve"> interference. The agreement influenced mitigation issues such as the location of operations, a wildlife passage and monetary compensation for additional costs incurred such as feeding. Despite the agreement and monetary compensation, the mining project will still result in further losses of grazing land and physical obstacles. Even if the additional costs are paid for by LKAB, this cannot substitute for the cumulative losses of land endured by the Sami communities. A lesson from </w:t>
      </w:r>
      <w:proofErr w:type="spellStart"/>
      <w:r w:rsidRPr="00632DBC">
        <w:rPr>
          <w:rFonts w:ascii="Times New Roman" w:hAnsi="Times New Roman"/>
        </w:rPr>
        <w:t>Mertainen</w:t>
      </w:r>
      <w:proofErr w:type="spellEnd"/>
      <w:r w:rsidRPr="00632DBC">
        <w:rPr>
          <w:rFonts w:ascii="Times New Roman" w:hAnsi="Times New Roman"/>
        </w:rPr>
        <w:t xml:space="preserve"> mine is that when complex property rights and equity issues are at stake, an in-depth investigation for operationalizing social safeguards including socio-ecological related human rights and compensation of social values should be required.</w:t>
      </w:r>
    </w:p>
    <w:p w14:paraId="6BB0CD51" w14:textId="77777777" w:rsidR="00C9771D" w:rsidRPr="00632DBC" w:rsidRDefault="00C9771D" w:rsidP="00C9771D">
      <w:r w:rsidRPr="00632DBC">
        <w:br w:type="page"/>
      </w:r>
    </w:p>
    <w:p w14:paraId="78C184F3" w14:textId="77777777" w:rsidR="00C9771D" w:rsidRPr="00632DBC" w:rsidRDefault="00C9771D" w:rsidP="00C9771D">
      <w:pPr>
        <w:spacing w:line="240" w:lineRule="auto"/>
        <w:ind w:firstLine="720"/>
        <w:jc w:val="both"/>
        <w:rPr>
          <w:rFonts w:ascii="Times New Roman" w:hAnsi="Times New Roman"/>
        </w:rPr>
      </w:pPr>
    </w:p>
    <w:p w14:paraId="29284625" w14:textId="722EF099" w:rsidR="000E71BA" w:rsidRPr="00632DBC" w:rsidRDefault="000E71BA" w:rsidP="00DF2423">
      <w:pPr>
        <w:pStyle w:val="Caption"/>
      </w:pPr>
      <w:bookmarkStart w:id="126" w:name="_Toc398935609"/>
      <w:bookmarkStart w:id="127" w:name="_Toc398936074"/>
      <w:bookmarkStart w:id="128" w:name="_Toc529192214"/>
      <w:r w:rsidRPr="00632DBC">
        <w:t xml:space="preserve">Table </w:t>
      </w:r>
      <w:r w:rsidRPr="00632DBC">
        <w:fldChar w:fldCharType="begin"/>
      </w:r>
      <w:r w:rsidRPr="00632DBC">
        <w:instrText xml:space="preserve"> SEQ Table \* ARABIC </w:instrText>
      </w:r>
      <w:r w:rsidRPr="00632DBC">
        <w:fldChar w:fldCharType="separate"/>
      </w:r>
      <w:r w:rsidR="00251833" w:rsidRPr="00632DBC">
        <w:rPr>
          <w:noProof/>
        </w:rPr>
        <w:t>5</w:t>
      </w:r>
      <w:r w:rsidRPr="00632DBC">
        <w:fldChar w:fldCharType="end"/>
      </w:r>
      <w:r w:rsidRPr="00632DBC">
        <w:t xml:space="preserve">. The CBD guidelines for </w:t>
      </w:r>
      <w:r w:rsidR="00DC2D83">
        <w:t xml:space="preserve">safeguards in </w:t>
      </w:r>
      <w:r w:rsidRPr="00632DBC">
        <w:t xml:space="preserve">BFM and lessons learned from the operationalisation of safeguards </w:t>
      </w:r>
      <w:r w:rsidR="00ED67DE">
        <w:t>in</w:t>
      </w:r>
      <w:r w:rsidR="00ED67DE" w:rsidRPr="00632DBC">
        <w:t xml:space="preserve"> </w:t>
      </w:r>
      <w:r w:rsidRPr="00632DBC">
        <w:t>ecological compensation in Sweden.</w:t>
      </w:r>
      <w:bookmarkEnd w:id="126"/>
      <w:bookmarkEnd w:id="127"/>
      <w:bookmarkEnd w:id="128"/>
    </w:p>
    <w:tbl>
      <w:tblPr>
        <w:tblStyle w:val="TableGrid"/>
        <w:tblW w:w="0" w:type="auto"/>
        <w:tblLook w:val="04A0" w:firstRow="1" w:lastRow="0" w:firstColumn="1" w:lastColumn="0" w:noHBand="0" w:noVBand="1"/>
      </w:tblPr>
      <w:tblGrid>
        <w:gridCol w:w="1580"/>
        <w:gridCol w:w="1639"/>
        <w:gridCol w:w="1667"/>
        <w:gridCol w:w="2134"/>
        <w:gridCol w:w="2042"/>
      </w:tblGrid>
      <w:tr w:rsidR="00633A71" w:rsidRPr="00632DBC" w14:paraId="2BA84F45" w14:textId="77777777" w:rsidTr="00097753">
        <w:tc>
          <w:tcPr>
            <w:tcW w:w="0" w:type="auto"/>
          </w:tcPr>
          <w:p w14:paraId="78B28EC7" w14:textId="77777777" w:rsidR="00C9771D" w:rsidRPr="00632DBC" w:rsidRDefault="00C9771D" w:rsidP="00097753">
            <w:pPr>
              <w:keepNext/>
              <w:keepLines/>
              <w:spacing w:line="240" w:lineRule="auto"/>
              <w:outlineLvl w:val="7"/>
              <w:rPr>
                <w:rFonts w:asciiTheme="majorHAnsi" w:hAnsiTheme="majorHAnsi"/>
                <w:b/>
                <w:sz w:val="20"/>
                <w:szCs w:val="20"/>
              </w:rPr>
            </w:pPr>
            <w:r w:rsidRPr="00632DBC">
              <w:rPr>
                <w:rFonts w:asciiTheme="majorHAnsi" w:hAnsiTheme="majorHAnsi"/>
                <w:b/>
                <w:sz w:val="20"/>
                <w:szCs w:val="20"/>
              </w:rPr>
              <w:t>CBD (2014</w:t>
            </w:r>
            <w:proofErr w:type="gramStart"/>
            <w:r w:rsidRPr="00632DBC">
              <w:rPr>
                <w:rFonts w:asciiTheme="majorHAnsi" w:hAnsiTheme="majorHAnsi"/>
                <w:b/>
                <w:sz w:val="20"/>
                <w:szCs w:val="20"/>
              </w:rPr>
              <w:t>)  Guidelines</w:t>
            </w:r>
            <w:proofErr w:type="gramEnd"/>
            <w:r w:rsidRPr="00632DBC">
              <w:rPr>
                <w:rFonts w:asciiTheme="majorHAnsi" w:hAnsiTheme="majorHAnsi"/>
                <w:b/>
                <w:sz w:val="20"/>
                <w:szCs w:val="20"/>
              </w:rPr>
              <w:t xml:space="preserve"> for safeguards in Biodiversity Financing Mechanisms </w:t>
            </w:r>
          </w:p>
        </w:tc>
        <w:tc>
          <w:tcPr>
            <w:tcW w:w="0" w:type="auto"/>
          </w:tcPr>
          <w:p w14:paraId="751C5C6E" w14:textId="77777777" w:rsidR="00C9771D" w:rsidRPr="00632DBC" w:rsidRDefault="00C9771D" w:rsidP="00097753">
            <w:pPr>
              <w:keepNext/>
              <w:keepLines/>
              <w:spacing w:line="240" w:lineRule="auto"/>
              <w:outlineLvl w:val="7"/>
              <w:rPr>
                <w:rFonts w:asciiTheme="majorHAnsi" w:hAnsiTheme="majorHAnsi"/>
                <w:b/>
                <w:sz w:val="20"/>
                <w:szCs w:val="20"/>
              </w:rPr>
            </w:pPr>
            <w:r w:rsidRPr="00632DBC">
              <w:rPr>
                <w:rFonts w:asciiTheme="majorHAnsi" w:hAnsiTheme="majorHAnsi"/>
                <w:b/>
                <w:sz w:val="20"/>
                <w:szCs w:val="20"/>
              </w:rPr>
              <w:t>a) Biodiversity values and ecosystem functions</w:t>
            </w:r>
          </w:p>
        </w:tc>
        <w:tc>
          <w:tcPr>
            <w:tcW w:w="0" w:type="auto"/>
          </w:tcPr>
          <w:p w14:paraId="5C12D6C7" w14:textId="77777777" w:rsidR="00C9771D" w:rsidRPr="00632DBC" w:rsidRDefault="00C9771D" w:rsidP="00097753">
            <w:pPr>
              <w:keepNext/>
              <w:keepLines/>
              <w:spacing w:line="240" w:lineRule="auto"/>
              <w:outlineLvl w:val="7"/>
              <w:rPr>
                <w:rFonts w:asciiTheme="majorHAnsi" w:hAnsiTheme="majorHAnsi"/>
                <w:b/>
                <w:sz w:val="20"/>
                <w:szCs w:val="20"/>
              </w:rPr>
            </w:pPr>
            <w:r w:rsidRPr="00632DBC">
              <w:rPr>
                <w:rFonts w:asciiTheme="majorHAnsi" w:hAnsiTheme="majorHAnsi"/>
                <w:b/>
                <w:sz w:val="20"/>
                <w:szCs w:val="20"/>
              </w:rPr>
              <w:t>b) People’s rights, access to resources, and livelihoods</w:t>
            </w:r>
          </w:p>
        </w:tc>
        <w:tc>
          <w:tcPr>
            <w:tcW w:w="0" w:type="auto"/>
          </w:tcPr>
          <w:p w14:paraId="59C68302" w14:textId="77777777" w:rsidR="00C9771D" w:rsidRPr="00632DBC" w:rsidRDefault="00C9771D" w:rsidP="00097753">
            <w:pPr>
              <w:keepNext/>
              <w:keepLines/>
              <w:spacing w:line="240" w:lineRule="auto"/>
              <w:outlineLvl w:val="7"/>
              <w:rPr>
                <w:rFonts w:asciiTheme="majorHAnsi" w:hAnsiTheme="majorHAnsi"/>
                <w:b/>
                <w:sz w:val="20"/>
                <w:szCs w:val="20"/>
              </w:rPr>
            </w:pPr>
            <w:r w:rsidRPr="00632DBC">
              <w:rPr>
                <w:rFonts w:asciiTheme="majorHAnsi" w:hAnsiTheme="majorHAnsi"/>
                <w:b/>
                <w:iCs/>
                <w:kern w:val="20"/>
                <w:sz w:val="20"/>
                <w:szCs w:val="20"/>
              </w:rPr>
              <w:t>c) Local and country-driven/specific processes linked to the international level</w:t>
            </w:r>
          </w:p>
        </w:tc>
        <w:tc>
          <w:tcPr>
            <w:tcW w:w="0" w:type="auto"/>
          </w:tcPr>
          <w:p w14:paraId="2F9CC117" w14:textId="77777777" w:rsidR="00C9771D" w:rsidRPr="00632DBC" w:rsidRDefault="00C9771D" w:rsidP="00097753">
            <w:pPr>
              <w:keepNext/>
              <w:keepLines/>
              <w:spacing w:line="240" w:lineRule="auto"/>
              <w:outlineLvl w:val="7"/>
              <w:rPr>
                <w:rFonts w:asciiTheme="majorHAnsi" w:hAnsiTheme="majorHAnsi"/>
                <w:b/>
                <w:sz w:val="20"/>
                <w:szCs w:val="20"/>
              </w:rPr>
            </w:pPr>
            <w:r w:rsidRPr="00632DBC">
              <w:rPr>
                <w:rFonts w:asciiTheme="majorHAnsi" w:hAnsiTheme="majorHAnsi"/>
                <w:b/>
                <w:sz w:val="20"/>
                <w:szCs w:val="20"/>
              </w:rPr>
              <w:t>d) Governance, enforcement and accountability</w:t>
            </w:r>
          </w:p>
        </w:tc>
      </w:tr>
      <w:tr w:rsidR="00633A71" w:rsidRPr="00632DBC" w14:paraId="15A867F3" w14:textId="77777777" w:rsidTr="00097753">
        <w:tc>
          <w:tcPr>
            <w:tcW w:w="0" w:type="auto"/>
          </w:tcPr>
          <w:p w14:paraId="72F5E194" w14:textId="77777777" w:rsidR="00C9771D" w:rsidRPr="00632DBC" w:rsidRDefault="00C9771D" w:rsidP="00097753">
            <w:pPr>
              <w:autoSpaceDE w:val="0"/>
              <w:autoSpaceDN w:val="0"/>
              <w:adjustRightInd w:val="0"/>
              <w:spacing w:line="240" w:lineRule="auto"/>
              <w:rPr>
                <w:rFonts w:asciiTheme="majorHAnsi" w:hAnsiTheme="majorHAnsi"/>
                <w:b/>
                <w:sz w:val="20"/>
                <w:szCs w:val="20"/>
              </w:rPr>
            </w:pPr>
            <w:r w:rsidRPr="00632DBC">
              <w:rPr>
                <w:rFonts w:asciiTheme="majorHAnsi" w:hAnsiTheme="majorHAnsi"/>
                <w:b/>
                <w:sz w:val="20"/>
                <w:szCs w:val="20"/>
              </w:rPr>
              <w:t xml:space="preserve">Examples of legal instruments applicable in Sweden </w:t>
            </w:r>
          </w:p>
          <w:p w14:paraId="5DDBF0F6" w14:textId="77777777" w:rsidR="00C9771D" w:rsidRPr="00632DBC" w:rsidRDefault="00C9771D" w:rsidP="00097753">
            <w:pPr>
              <w:autoSpaceDE w:val="0"/>
              <w:autoSpaceDN w:val="0"/>
              <w:adjustRightInd w:val="0"/>
              <w:spacing w:line="240" w:lineRule="auto"/>
              <w:rPr>
                <w:rFonts w:asciiTheme="majorHAnsi" w:hAnsiTheme="majorHAnsi"/>
                <w:b/>
                <w:sz w:val="20"/>
                <w:szCs w:val="20"/>
              </w:rPr>
            </w:pPr>
          </w:p>
        </w:tc>
        <w:tc>
          <w:tcPr>
            <w:tcW w:w="0" w:type="auto"/>
          </w:tcPr>
          <w:p w14:paraId="59B7F37E" w14:textId="77777777" w:rsidR="00C9771D" w:rsidRPr="00632DBC" w:rsidRDefault="00C9771D" w:rsidP="00097753">
            <w:pPr>
              <w:autoSpaceDE w:val="0"/>
              <w:autoSpaceDN w:val="0"/>
              <w:adjustRightInd w:val="0"/>
              <w:spacing w:line="240" w:lineRule="auto"/>
              <w:rPr>
                <w:rFonts w:asciiTheme="majorHAnsi" w:hAnsiTheme="majorHAnsi"/>
                <w:sz w:val="17"/>
                <w:szCs w:val="17"/>
              </w:rPr>
            </w:pPr>
            <w:r w:rsidRPr="00632DBC">
              <w:rPr>
                <w:rFonts w:asciiTheme="majorHAnsi" w:hAnsiTheme="majorHAnsi"/>
                <w:sz w:val="17"/>
                <w:szCs w:val="17"/>
              </w:rPr>
              <w:t>Mitigation hierarchy:  a specific biodiversity safeguard for EC (Chapter 2§6 and 2§7 of the Environmental Code).</w:t>
            </w:r>
          </w:p>
        </w:tc>
        <w:tc>
          <w:tcPr>
            <w:tcW w:w="0" w:type="auto"/>
          </w:tcPr>
          <w:p w14:paraId="010518B8" w14:textId="77777777" w:rsidR="00C9771D" w:rsidRPr="00632DBC" w:rsidRDefault="00C9771D" w:rsidP="00097753">
            <w:pPr>
              <w:autoSpaceDE w:val="0"/>
              <w:autoSpaceDN w:val="0"/>
              <w:adjustRightInd w:val="0"/>
              <w:spacing w:line="240" w:lineRule="auto"/>
              <w:rPr>
                <w:rFonts w:asciiTheme="majorHAnsi" w:hAnsiTheme="majorHAnsi"/>
                <w:sz w:val="17"/>
                <w:szCs w:val="17"/>
              </w:rPr>
            </w:pPr>
            <w:r w:rsidRPr="00632DBC">
              <w:rPr>
                <w:rFonts w:asciiTheme="majorHAnsi" w:hAnsiTheme="majorHAnsi"/>
                <w:sz w:val="17"/>
                <w:szCs w:val="17"/>
              </w:rPr>
              <w:t>Participation rights and heightened protection of Sami people’s and other ethnic minorities’ cultural rights (Swedish Constitution Chapter 1§2).</w:t>
            </w:r>
          </w:p>
        </w:tc>
        <w:tc>
          <w:tcPr>
            <w:tcW w:w="0" w:type="auto"/>
          </w:tcPr>
          <w:p w14:paraId="3B920C8E" w14:textId="77777777" w:rsidR="00C9771D" w:rsidRPr="00632DBC" w:rsidRDefault="00C9771D" w:rsidP="00097753">
            <w:pPr>
              <w:keepNext/>
              <w:keepLines/>
              <w:spacing w:line="240" w:lineRule="auto"/>
              <w:outlineLvl w:val="7"/>
              <w:rPr>
                <w:rFonts w:asciiTheme="majorHAnsi" w:hAnsiTheme="majorHAnsi"/>
                <w:iCs/>
                <w:kern w:val="20"/>
                <w:sz w:val="17"/>
                <w:szCs w:val="17"/>
              </w:rPr>
            </w:pPr>
            <w:r w:rsidRPr="00632DBC">
              <w:rPr>
                <w:rFonts w:asciiTheme="majorHAnsi" w:hAnsiTheme="majorHAnsi"/>
                <w:iCs/>
                <w:kern w:val="20"/>
                <w:sz w:val="17"/>
                <w:szCs w:val="17"/>
              </w:rPr>
              <w:t>Need to articulate the Environmental Code, e.g. Chapter 16§9, with the Swedish Constitution and international instruments, e.g. CBD Guidelines, human rights law including UNDRIP.</w:t>
            </w:r>
          </w:p>
        </w:tc>
        <w:tc>
          <w:tcPr>
            <w:tcW w:w="0" w:type="auto"/>
          </w:tcPr>
          <w:p w14:paraId="6CF888E3" w14:textId="77777777" w:rsidR="00C9771D" w:rsidRPr="00632DBC" w:rsidRDefault="00C9771D" w:rsidP="00097753">
            <w:pPr>
              <w:keepNext/>
              <w:keepLines/>
              <w:spacing w:line="240" w:lineRule="auto"/>
              <w:outlineLvl w:val="7"/>
              <w:rPr>
                <w:rFonts w:asciiTheme="majorHAnsi" w:hAnsiTheme="majorHAnsi"/>
                <w:sz w:val="17"/>
                <w:szCs w:val="17"/>
              </w:rPr>
            </w:pPr>
            <w:r w:rsidRPr="00632DBC">
              <w:rPr>
                <w:rFonts w:asciiTheme="majorHAnsi" w:hAnsiTheme="majorHAnsi"/>
                <w:sz w:val="17"/>
                <w:szCs w:val="17"/>
              </w:rPr>
              <w:t xml:space="preserve">Developer obliged to conduct an EIA. If the permit is approved, the mitigation hierarchy and its enforcement is required (Chapter 16§9 and 26 of the Environmental Code). </w:t>
            </w:r>
          </w:p>
        </w:tc>
      </w:tr>
      <w:tr w:rsidR="00633A71" w:rsidRPr="00632DBC" w14:paraId="052B5584" w14:textId="77777777" w:rsidTr="00097753">
        <w:tc>
          <w:tcPr>
            <w:tcW w:w="0" w:type="auto"/>
          </w:tcPr>
          <w:p w14:paraId="78A895F0" w14:textId="77777777" w:rsidR="00C9771D" w:rsidRPr="00632DBC" w:rsidRDefault="00C9771D" w:rsidP="00097753">
            <w:pPr>
              <w:autoSpaceDE w:val="0"/>
              <w:autoSpaceDN w:val="0"/>
              <w:adjustRightInd w:val="0"/>
              <w:spacing w:line="240" w:lineRule="auto"/>
              <w:rPr>
                <w:rFonts w:asciiTheme="majorHAnsi" w:hAnsiTheme="majorHAnsi"/>
                <w:b/>
                <w:sz w:val="20"/>
                <w:szCs w:val="20"/>
              </w:rPr>
            </w:pPr>
            <w:r w:rsidRPr="00632DBC">
              <w:rPr>
                <w:rFonts w:asciiTheme="majorHAnsi" w:hAnsiTheme="majorHAnsi"/>
                <w:b/>
                <w:sz w:val="20"/>
                <w:szCs w:val="20"/>
              </w:rPr>
              <w:t>Lessons learned concerning safeguards in E12 highway case</w:t>
            </w:r>
          </w:p>
        </w:tc>
        <w:tc>
          <w:tcPr>
            <w:tcW w:w="0" w:type="auto"/>
          </w:tcPr>
          <w:p w14:paraId="768D0F05" w14:textId="77777777" w:rsidR="00C9771D" w:rsidRPr="00632DBC" w:rsidRDefault="00C9771D" w:rsidP="00097753">
            <w:pPr>
              <w:autoSpaceDE w:val="0"/>
              <w:autoSpaceDN w:val="0"/>
              <w:adjustRightInd w:val="0"/>
              <w:spacing w:line="240" w:lineRule="auto"/>
              <w:rPr>
                <w:rFonts w:asciiTheme="majorHAnsi" w:hAnsiTheme="majorHAnsi"/>
                <w:sz w:val="17"/>
                <w:szCs w:val="17"/>
              </w:rPr>
            </w:pPr>
            <w:r w:rsidRPr="00632DBC">
              <w:rPr>
                <w:rFonts w:asciiTheme="majorHAnsi" w:hAnsiTheme="majorHAnsi"/>
                <w:sz w:val="17"/>
                <w:szCs w:val="17"/>
              </w:rPr>
              <w:t>Swedish Road Law</w:t>
            </w:r>
            <w:r w:rsidRPr="00632DBC">
              <w:rPr>
                <w:rStyle w:val="FootnoteReference"/>
                <w:rFonts w:asciiTheme="majorHAnsi" w:hAnsiTheme="majorHAnsi"/>
                <w:sz w:val="17"/>
                <w:szCs w:val="17"/>
              </w:rPr>
              <w:footnoteReference w:id="180"/>
            </w:r>
            <w:r w:rsidRPr="00632DBC">
              <w:rPr>
                <w:rFonts w:asciiTheme="majorHAnsi" w:hAnsiTheme="majorHAnsi"/>
                <w:sz w:val="17"/>
                <w:szCs w:val="17"/>
              </w:rPr>
              <w:t xml:space="preserve"> lacks EC legal provisions unless development occurs in protected areas.</w:t>
            </w:r>
          </w:p>
        </w:tc>
        <w:tc>
          <w:tcPr>
            <w:tcW w:w="0" w:type="auto"/>
          </w:tcPr>
          <w:p w14:paraId="1C863651" w14:textId="77777777" w:rsidR="00C9771D" w:rsidRPr="00632DBC" w:rsidRDefault="00C9771D" w:rsidP="00097753">
            <w:pPr>
              <w:autoSpaceDE w:val="0"/>
              <w:autoSpaceDN w:val="0"/>
              <w:adjustRightInd w:val="0"/>
              <w:spacing w:line="240" w:lineRule="auto"/>
              <w:rPr>
                <w:rFonts w:asciiTheme="majorHAnsi" w:hAnsiTheme="majorHAnsi"/>
                <w:sz w:val="17"/>
                <w:szCs w:val="17"/>
              </w:rPr>
            </w:pPr>
            <w:r w:rsidRPr="00632DBC">
              <w:rPr>
                <w:rFonts w:asciiTheme="majorHAnsi" w:hAnsiTheme="majorHAnsi"/>
                <w:sz w:val="17"/>
                <w:szCs w:val="17"/>
              </w:rPr>
              <w:t xml:space="preserve">Public consultation and EIA (Swedish Road Law §14) should be done early in the planning process. </w:t>
            </w:r>
          </w:p>
        </w:tc>
        <w:tc>
          <w:tcPr>
            <w:tcW w:w="0" w:type="auto"/>
          </w:tcPr>
          <w:p w14:paraId="63DE92DF" w14:textId="77777777" w:rsidR="00C9771D" w:rsidRPr="00632DBC" w:rsidRDefault="00C9771D" w:rsidP="00097753">
            <w:pPr>
              <w:autoSpaceDE w:val="0"/>
              <w:autoSpaceDN w:val="0"/>
              <w:adjustRightInd w:val="0"/>
              <w:spacing w:line="240" w:lineRule="auto"/>
              <w:rPr>
                <w:rFonts w:asciiTheme="majorHAnsi" w:hAnsiTheme="majorHAnsi"/>
                <w:iCs/>
                <w:kern w:val="20"/>
                <w:sz w:val="17"/>
                <w:szCs w:val="17"/>
              </w:rPr>
            </w:pPr>
            <w:r w:rsidRPr="00632DBC">
              <w:rPr>
                <w:rFonts w:asciiTheme="majorHAnsi" w:hAnsiTheme="majorHAnsi"/>
                <w:sz w:val="17"/>
                <w:szCs w:val="17"/>
              </w:rPr>
              <w:t xml:space="preserve">EC for impacts in protected areas, e.g. Natura 2000, could support financing the municipality’s green infrastructure.  </w:t>
            </w:r>
          </w:p>
        </w:tc>
        <w:tc>
          <w:tcPr>
            <w:tcW w:w="0" w:type="auto"/>
          </w:tcPr>
          <w:p w14:paraId="6CB55FDB" w14:textId="77777777" w:rsidR="00C9771D" w:rsidRPr="00632DBC" w:rsidRDefault="00C9771D" w:rsidP="00097753">
            <w:pPr>
              <w:keepNext/>
              <w:keepLines/>
              <w:spacing w:line="240" w:lineRule="auto"/>
              <w:outlineLvl w:val="7"/>
              <w:rPr>
                <w:rFonts w:asciiTheme="majorHAnsi" w:hAnsiTheme="majorHAnsi"/>
                <w:sz w:val="17"/>
                <w:szCs w:val="17"/>
              </w:rPr>
            </w:pPr>
            <w:r w:rsidRPr="00632DBC">
              <w:rPr>
                <w:rFonts w:asciiTheme="majorHAnsi" w:hAnsiTheme="majorHAnsi"/>
                <w:sz w:val="17"/>
                <w:szCs w:val="17"/>
              </w:rPr>
              <w:t>EC exemptions to the development of roads limit enforceability of safeguards.</w:t>
            </w:r>
          </w:p>
        </w:tc>
      </w:tr>
      <w:tr w:rsidR="00C9771D" w:rsidRPr="00632DBC" w14:paraId="2BD7CFCA" w14:textId="77777777" w:rsidTr="00097753">
        <w:tc>
          <w:tcPr>
            <w:tcW w:w="0" w:type="auto"/>
          </w:tcPr>
          <w:p w14:paraId="6A7C4D4B" w14:textId="77777777" w:rsidR="00C9771D" w:rsidRPr="00632DBC" w:rsidRDefault="00C9771D" w:rsidP="00097753">
            <w:pPr>
              <w:autoSpaceDE w:val="0"/>
              <w:autoSpaceDN w:val="0"/>
              <w:adjustRightInd w:val="0"/>
              <w:spacing w:line="240" w:lineRule="auto"/>
              <w:rPr>
                <w:rFonts w:asciiTheme="majorHAnsi" w:hAnsiTheme="majorHAnsi"/>
                <w:b/>
                <w:sz w:val="20"/>
                <w:szCs w:val="20"/>
              </w:rPr>
            </w:pPr>
            <w:r w:rsidRPr="00632DBC">
              <w:rPr>
                <w:rFonts w:asciiTheme="majorHAnsi" w:hAnsiTheme="majorHAnsi"/>
                <w:b/>
                <w:sz w:val="20"/>
                <w:szCs w:val="20"/>
              </w:rPr>
              <w:t xml:space="preserve">Lessons learned concerning safeguards in the </w:t>
            </w:r>
            <w:proofErr w:type="spellStart"/>
            <w:r w:rsidRPr="00632DBC">
              <w:rPr>
                <w:rFonts w:asciiTheme="majorHAnsi" w:hAnsiTheme="majorHAnsi"/>
                <w:b/>
                <w:sz w:val="20"/>
                <w:szCs w:val="20"/>
              </w:rPr>
              <w:t>Mertainen</w:t>
            </w:r>
            <w:proofErr w:type="spellEnd"/>
            <w:r w:rsidRPr="00632DBC">
              <w:rPr>
                <w:rFonts w:asciiTheme="majorHAnsi" w:hAnsiTheme="majorHAnsi"/>
                <w:b/>
                <w:sz w:val="20"/>
                <w:szCs w:val="20"/>
              </w:rPr>
              <w:t xml:space="preserve"> mine case</w:t>
            </w:r>
          </w:p>
        </w:tc>
        <w:tc>
          <w:tcPr>
            <w:tcW w:w="0" w:type="auto"/>
          </w:tcPr>
          <w:p w14:paraId="3DAE13C2" w14:textId="639E453E" w:rsidR="00C9771D" w:rsidRPr="00632DBC" w:rsidRDefault="00C9771D" w:rsidP="00097753">
            <w:pPr>
              <w:autoSpaceDE w:val="0"/>
              <w:autoSpaceDN w:val="0"/>
              <w:adjustRightInd w:val="0"/>
              <w:spacing w:line="240" w:lineRule="auto"/>
              <w:rPr>
                <w:rFonts w:asciiTheme="majorHAnsi" w:hAnsiTheme="majorHAnsi"/>
                <w:sz w:val="17"/>
                <w:szCs w:val="17"/>
              </w:rPr>
            </w:pPr>
            <w:r w:rsidRPr="00632DBC">
              <w:rPr>
                <w:rFonts w:asciiTheme="majorHAnsi" w:hAnsiTheme="majorHAnsi"/>
                <w:sz w:val="17"/>
                <w:szCs w:val="17"/>
              </w:rPr>
              <w:t>High conservation values in tension with mining extraction; both are legally considered “national interest</w:t>
            </w:r>
            <w:r w:rsidR="00F36DF7" w:rsidRPr="00632DBC">
              <w:rPr>
                <w:rFonts w:asciiTheme="majorHAnsi" w:hAnsiTheme="majorHAnsi"/>
                <w:sz w:val="17"/>
                <w:szCs w:val="17"/>
              </w:rPr>
              <w:t>”.</w:t>
            </w:r>
          </w:p>
        </w:tc>
        <w:tc>
          <w:tcPr>
            <w:tcW w:w="0" w:type="auto"/>
          </w:tcPr>
          <w:p w14:paraId="5A38C753" w14:textId="77777777" w:rsidR="00C9771D" w:rsidRPr="00632DBC" w:rsidRDefault="00C9771D" w:rsidP="00097753">
            <w:pPr>
              <w:keepNext/>
              <w:keepLines/>
              <w:spacing w:line="240" w:lineRule="auto"/>
              <w:outlineLvl w:val="7"/>
              <w:rPr>
                <w:rFonts w:asciiTheme="majorHAnsi" w:hAnsiTheme="majorHAnsi"/>
                <w:iCs/>
                <w:kern w:val="20"/>
                <w:sz w:val="17"/>
                <w:szCs w:val="17"/>
              </w:rPr>
            </w:pPr>
            <w:r w:rsidRPr="00632DBC">
              <w:rPr>
                <w:rFonts w:asciiTheme="majorHAnsi" w:hAnsiTheme="majorHAnsi"/>
                <w:iCs/>
                <w:kern w:val="20"/>
                <w:sz w:val="17"/>
                <w:szCs w:val="17"/>
              </w:rPr>
              <w:t xml:space="preserve">Rights of local landowners are strong. </w:t>
            </w:r>
          </w:p>
          <w:p w14:paraId="4F43B0CA" w14:textId="77777777" w:rsidR="00C9771D" w:rsidRPr="00632DBC" w:rsidRDefault="00C9771D" w:rsidP="00097753">
            <w:pPr>
              <w:keepNext/>
              <w:keepLines/>
              <w:spacing w:line="240" w:lineRule="auto"/>
              <w:outlineLvl w:val="7"/>
              <w:rPr>
                <w:rFonts w:asciiTheme="majorHAnsi" w:hAnsiTheme="majorHAnsi"/>
                <w:iCs/>
                <w:kern w:val="20"/>
                <w:sz w:val="17"/>
                <w:szCs w:val="17"/>
              </w:rPr>
            </w:pPr>
            <w:r w:rsidRPr="00632DBC">
              <w:rPr>
                <w:rFonts w:asciiTheme="majorHAnsi" w:hAnsiTheme="majorHAnsi"/>
                <w:iCs/>
                <w:kern w:val="20"/>
                <w:sz w:val="17"/>
                <w:szCs w:val="17"/>
              </w:rPr>
              <w:t>Lack of explicit reference to Sami rights in the Minerals Act.</w:t>
            </w:r>
          </w:p>
        </w:tc>
        <w:tc>
          <w:tcPr>
            <w:tcW w:w="0" w:type="auto"/>
          </w:tcPr>
          <w:p w14:paraId="72E215F6" w14:textId="5574FC33" w:rsidR="00C9771D" w:rsidRPr="00632DBC" w:rsidRDefault="00C9771D" w:rsidP="00097753">
            <w:pPr>
              <w:keepNext/>
              <w:keepLines/>
              <w:spacing w:line="240" w:lineRule="auto"/>
              <w:outlineLvl w:val="7"/>
              <w:rPr>
                <w:rFonts w:asciiTheme="majorHAnsi" w:hAnsiTheme="majorHAnsi"/>
                <w:iCs/>
                <w:kern w:val="20"/>
                <w:sz w:val="17"/>
                <w:szCs w:val="17"/>
              </w:rPr>
            </w:pPr>
            <w:r w:rsidRPr="00632DBC">
              <w:rPr>
                <w:rFonts w:asciiTheme="majorHAnsi" w:hAnsiTheme="majorHAnsi"/>
                <w:iCs/>
                <w:kern w:val="20"/>
                <w:sz w:val="17"/>
                <w:szCs w:val="17"/>
              </w:rPr>
              <w:t xml:space="preserve">In </w:t>
            </w:r>
            <w:r w:rsidR="00EF1D4C" w:rsidRPr="00632DBC">
              <w:rPr>
                <w:rFonts w:asciiTheme="majorHAnsi" w:hAnsiTheme="majorHAnsi"/>
                <w:iCs/>
                <w:kern w:val="20"/>
                <w:sz w:val="17"/>
                <w:szCs w:val="17"/>
              </w:rPr>
              <w:t>operationalizing</w:t>
            </w:r>
            <w:r w:rsidRPr="00632DBC">
              <w:rPr>
                <w:rFonts w:asciiTheme="majorHAnsi" w:hAnsiTheme="majorHAnsi"/>
                <w:iCs/>
                <w:kern w:val="20"/>
                <w:sz w:val="17"/>
                <w:szCs w:val="17"/>
              </w:rPr>
              <w:t xml:space="preserve"> CBD and the </w:t>
            </w:r>
            <w:r w:rsidR="001A43C5" w:rsidRPr="00632DBC">
              <w:rPr>
                <w:rFonts w:asciiTheme="majorHAnsi" w:hAnsiTheme="majorHAnsi"/>
                <w:iCs/>
                <w:kern w:val="20"/>
                <w:sz w:val="17"/>
                <w:szCs w:val="17"/>
              </w:rPr>
              <w:t xml:space="preserve">EU’s </w:t>
            </w:r>
            <w:r w:rsidR="001A43C5" w:rsidRPr="00632DBC">
              <w:rPr>
                <w:rFonts w:asciiTheme="majorHAnsi" w:hAnsiTheme="majorHAnsi"/>
                <w:i/>
                <w:iCs/>
                <w:kern w:val="20"/>
                <w:sz w:val="17"/>
                <w:szCs w:val="17"/>
              </w:rPr>
              <w:t>no net loss</w:t>
            </w:r>
            <w:r w:rsidRPr="00632DBC">
              <w:rPr>
                <w:rFonts w:asciiTheme="majorHAnsi" w:hAnsiTheme="majorHAnsi"/>
                <w:iCs/>
                <w:kern w:val="20"/>
                <w:sz w:val="17"/>
                <w:szCs w:val="17"/>
              </w:rPr>
              <w:t xml:space="preserve"> initiative, risks of biodiversity leakage arise.</w:t>
            </w:r>
          </w:p>
        </w:tc>
        <w:tc>
          <w:tcPr>
            <w:tcW w:w="0" w:type="auto"/>
          </w:tcPr>
          <w:p w14:paraId="667183BD" w14:textId="40FE5323" w:rsidR="00C9771D" w:rsidRPr="00633A71" w:rsidRDefault="00C9771D" w:rsidP="001A43C5">
            <w:pPr>
              <w:keepNext/>
              <w:keepLines/>
              <w:spacing w:line="240" w:lineRule="auto"/>
              <w:outlineLvl w:val="7"/>
              <w:rPr>
                <w:rFonts w:asciiTheme="majorHAnsi" w:hAnsiTheme="majorHAnsi"/>
                <w:sz w:val="17"/>
                <w:szCs w:val="17"/>
                <w:lang w:bidi="ne-IN"/>
              </w:rPr>
            </w:pPr>
            <w:r w:rsidRPr="00632DBC">
              <w:rPr>
                <w:rFonts w:asciiTheme="majorHAnsi" w:hAnsiTheme="majorHAnsi"/>
                <w:sz w:val="17"/>
                <w:szCs w:val="17"/>
              </w:rPr>
              <w:t xml:space="preserve">Chapter 16§9 does not require full compensation (i.e. </w:t>
            </w:r>
            <w:r w:rsidR="001A43C5" w:rsidRPr="00632DBC">
              <w:rPr>
                <w:rFonts w:asciiTheme="majorHAnsi" w:hAnsiTheme="majorHAnsi"/>
                <w:sz w:val="17"/>
                <w:szCs w:val="17"/>
              </w:rPr>
              <w:t>no net loss</w:t>
            </w:r>
            <w:r w:rsidRPr="00632DBC">
              <w:rPr>
                <w:rFonts w:asciiTheme="majorHAnsi" w:hAnsiTheme="majorHAnsi"/>
                <w:sz w:val="17"/>
                <w:szCs w:val="17"/>
              </w:rPr>
              <w:t xml:space="preserve">) and additionality is unclear. Social safeguards exist but were not sufficiently </w:t>
            </w:r>
            <w:r w:rsidR="00EF1D4C" w:rsidRPr="00632DBC">
              <w:rPr>
                <w:rFonts w:asciiTheme="majorHAnsi" w:hAnsiTheme="majorHAnsi"/>
                <w:sz w:val="17"/>
                <w:szCs w:val="17"/>
              </w:rPr>
              <w:t>operationalized</w:t>
            </w:r>
            <w:r w:rsidRPr="00632DBC">
              <w:rPr>
                <w:rFonts w:asciiTheme="majorHAnsi" w:hAnsiTheme="majorHAnsi"/>
                <w:sz w:val="17"/>
                <w:szCs w:val="17"/>
              </w:rPr>
              <w:t>.</w:t>
            </w:r>
          </w:p>
        </w:tc>
      </w:tr>
      <w:bookmarkEnd w:id="125"/>
    </w:tbl>
    <w:p w14:paraId="129359A6" w14:textId="77777777" w:rsidR="00ED06D4" w:rsidRPr="00632DBC" w:rsidRDefault="00ED06D4" w:rsidP="00DF2423">
      <w:pPr>
        <w:spacing w:line="240" w:lineRule="auto"/>
        <w:jc w:val="both"/>
        <w:rPr>
          <w:rFonts w:ascii="Times New Roman" w:hAnsi="Times New Roman"/>
        </w:rPr>
      </w:pPr>
    </w:p>
    <w:p w14:paraId="250B86BD" w14:textId="04ADBC9C" w:rsidR="00810C20" w:rsidRPr="00632DBC" w:rsidRDefault="00810C20" w:rsidP="00810C20">
      <w:pPr>
        <w:pStyle w:val="Heading3"/>
      </w:pPr>
      <w:bookmarkStart w:id="129" w:name="_Toc336968700"/>
      <w:bookmarkStart w:id="130" w:name="_Toc337217557"/>
      <w:bookmarkStart w:id="131" w:name="_Toc337217938"/>
      <w:bookmarkStart w:id="132" w:name="_Toc342296090"/>
      <w:bookmarkStart w:id="133" w:name="_Toc263943520"/>
      <w:bookmarkStart w:id="134" w:name="_Toc382590313"/>
      <w:bookmarkStart w:id="135" w:name="_Toc529199438"/>
      <w:r w:rsidRPr="00632DBC">
        <w:t>6.3 Environmental fiscal reform</w:t>
      </w:r>
      <w:bookmarkEnd w:id="129"/>
      <w:bookmarkEnd w:id="130"/>
      <w:bookmarkEnd w:id="131"/>
      <w:bookmarkEnd w:id="132"/>
      <w:bookmarkEnd w:id="133"/>
      <w:bookmarkEnd w:id="134"/>
      <w:bookmarkEnd w:id="135"/>
    </w:p>
    <w:p w14:paraId="463CBCAD" w14:textId="77777777" w:rsidR="00810C20" w:rsidRPr="00633A71" w:rsidRDefault="00810C20" w:rsidP="00810C20">
      <w:pPr>
        <w:spacing w:line="240" w:lineRule="auto"/>
        <w:jc w:val="both"/>
        <w:rPr>
          <w:rFonts w:ascii="Times New Roman" w:hAnsi="Times New Roman"/>
        </w:rPr>
      </w:pPr>
      <w:r w:rsidRPr="00632DBC">
        <w:rPr>
          <w:rFonts w:ascii="Times New Roman" w:hAnsi="Times New Roman"/>
        </w:rPr>
        <w:t>Environmental fiscal reform can be defined as “a range of taxation or pricing instruments that can raise revenue, while simultaneously furthering environmental goals. This can be achieved by providing economic incentives to correct market failure in the management of natural resources and the control of pollution”.</w:t>
      </w:r>
      <w:r w:rsidRPr="00633A71">
        <w:rPr>
          <w:rStyle w:val="FootnoteReference"/>
          <w:rFonts w:ascii="Times New Roman" w:hAnsi="Times New Roman"/>
        </w:rPr>
        <w:footnoteReference w:id="181"/>
      </w:r>
      <w:r w:rsidRPr="00633A71">
        <w:rPr>
          <w:rFonts w:ascii="Times New Roman" w:hAnsi="Times New Roman"/>
        </w:rPr>
        <w:t xml:space="preserve"> The emphasis is on the simultaneous revenue raising and reduction of incentives to use the environment in an unsustainable way. Reducing perverse incentives, i.e. subsidies to unsustainable practices, are of course the most efficient way of raising revenues but this often involves challenging </w:t>
      </w:r>
      <w:r w:rsidRPr="00633A71">
        <w:rPr>
          <w:rFonts w:ascii="Times New Roman" w:hAnsi="Times New Roman"/>
        </w:rPr>
        <w:lastRenderedPageBreak/>
        <w:t>strong political-economic interests. Hence removing the most harmful subsidies makes economic sense but may be very hard politically.</w:t>
      </w:r>
      <w:r w:rsidRPr="00633A71">
        <w:rPr>
          <w:rStyle w:val="FootnoteReference"/>
          <w:rFonts w:ascii="Times New Roman" w:hAnsi="Times New Roman"/>
        </w:rPr>
        <w:footnoteReference w:id="182"/>
      </w:r>
    </w:p>
    <w:p w14:paraId="231F25A5" w14:textId="77777777" w:rsidR="00810C20" w:rsidRPr="00504B5E" w:rsidRDefault="00810C20" w:rsidP="00810C20">
      <w:pPr>
        <w:spacing w:line="240" w:lineRule="auto"/>
        <w:jc w:val="both"/>
        <w:rPr>
          <w:rFonts w:ascii="Times New Roman" w:hAnsi="Times New Roman"/>
        </w:rPr>
      </w:pPr>
      <w:r w:rsidRPr="00633A71">
        <w:rPr>
          <w:rFonts w:ascii="Times New Roman" w:hAnsi="Times New Roman"/>
        </w:rPr>
        <w:t>Environmental fiscal reforms often include increased tax on fossil fuels and reducing other taxes such as labour taxes or earmarking the tax revenue for specific uses, like creating “green jobs”.</w:t>
      </w:r>
      <w:r w:rsidRPr="00633A71">
        <w:rPr>
          <w:rStyle w:val="FootnoteReference"/>
          <w:rFonts w:ascii="Times New Roman" w:hAnsi="Times New Roman"/>
        </w:rPr>
        <w:footnoteReference w:id="183"/>
      </w:r>
      <w:r w:rsidRPr="00633A71">
        <w:rPr>
          <w:rFonts w:ascii="Times New Roman" w:hAnsi="Times New Roman"/>
        </w:rPr>
        <w:t xml:space="preserve"> In reality, there is rarely a clear match between taxes and subsidies in an environmental fiscal reform. For example, in countries like Costa Rica, Ecuador and Sweden, the largest revenues in their fiscal reforms have been fossil fuel and mining and these revenues have been used for a variety of purposes including PES schemes and labour tax reductions. </w:t>
      </w:r>
    </w:p>
    <w:p w14:paraId="7CF3FAE3" w14:textId="77777777" w:rsidR="00810C20" w:rsidRPr="00633A71" w:rsidRDefault="00810C20" w:rsidP="00810C20">
      <w:pPr>
        <w:spacing w:line="240" w:lineRule="auto"/>
        <w:jc w:val="both"/>
        <w:rPr>
          <w:rFonts w:ascii="Times New Roman" w:hAnsi="Times New Roman"/>
        </w:rPr>
      </w:pPr>
      <w:r w:rsidRPr="00504B5E">
        <w:rPr>
          <w:rFonts w:ascii="Times New Roman" w:hAnsi="Times New Roman"/>
        </w:rPr>
        <w:t xml:space="preserve">In South Africa, creating green jobs </w:t>
      </w:r>
      <w:proofErr w:type="gramStart"/>
      <w:r w:rsidRPr="00504B5E">
        <w:rPr>
          <w:rFonts w:ascii="Times New Roman" w:hAnsi="Times New Roman"/>
        </w:rPr>
        <w:t>in order to</w:t>
      </w:r>
      <w:proofErr w:type="gramEnd"/>
      <w:r w:rsidRPr="00504B5E">
        <w:rPr>
          <w:rFonts w:ascii="Times New Roman" w:hAnsi="Times New Roman"/>
        </w:rPr>
        <w:t xml:space="preserve"> deal with poverty and particularly attract young people into the new jobs created is part of the social dimensions of their fiscal reform. Recognizing that poverty is a big challenge in South Africa, the interviewee mentioned that one of the key priorities of the government is in terms of job creation and equitable sharing of benefits, which is embedded in the environmental sector as well as other sectors’ resource mobilization.</w:t>
      </w:r>
      <w:r w:rsidRPr="00633A71">
        <w:rPr>
          <w:rStyle w:val="FootnoteReference"/>
          <w:rFonts w:ascii="Times New Roman" w:hAnsi="Times New Roman"/>
        </w:rPr>
        <w:footnoteReference w:id="184"/>
      </w:r>
    </w:p>
    <w:p w14:paraId="36ECCF66" w14:textId="576164B2" w:rsidR="00810C20" w:rsidRPr="00633A71" w:rsidRDefault="00810C20" w:rsidP="00810C20">
      <w:pPr>
        <w:spacing w:line="240" w:lineRule="auto"/>
        <w:jc w:val="both"/>
        <w:rPr>
          <w:rFonts w:ascii="Times New Roman" w:hAnsi="Times New Roman"/>
        </w:rPr>
      </w:pPr>
      <w:r w:rsidRPr="00633A71">
        <w:rPr>
          <w:rFonts w:ascii="Times New Roman" w:hAnsi="Times New Roman"/>
        </w:rPr>
        <w:t>At the international level, sources for international innovative finances include new international taxes such as international airline taxes and international environmental footprint taxes. A</w:t>
      </w:r>
      <w:r w:rsidR="00CC195A" w:rsidRPr="00504B5E">
        <w:rPr>
          <w:rFonts w:ascii="Times New Roman" w:hAnsi="Times New Roman"/>
        </w:rPr>
        <w:t xml:space="preserve"> financial transaction tax</w:t>
      </w:r>
      <w:r w:rsidRPr="00504B5E">
        <w:rPr>
          <w:rFonts w:ascii="Times New Roman" w:hAnsi="Times New Roman"/>
        </w:rPr>
        <w:t xml:space="preserve"> on the sale of financial assets, such as stock, bonds or futures, was proposed by the EU at the G20 summit in France in November 2011, </w:t>
      </w:r>
      <w:proofErr w:type="gramStart"/>
      <w:r w:rsidRPr="00504B5E">
        <w:rPr>
          <w:rFonts w:ascii="Times New Roman" w:hAnsi="Times New Roman"/>
        </w:rPr>
        <w:t>as a way to</w:t>
      </w:r>
      <w:proofErr w:type="gramEnd"/>
      <w:r w:rsidRPr="00504B5E">
        <w:rPr>
          <w:rFonts w:ascii="Times New Roman" w:hAnsi="Times New Roman"/>
        </w:rPr>
        <w:t xml:space="preserve"> increase funding for developing countries. An alternative is a currency-transaction tax (Tobin tax).</w:t>
      </w:r>
      <w:r w:rsidRPr="00633A71">
        <w:rPr>
          <w:rStyle w:val="FootnoteReference"/>
          <w:rFonts w:ascii="Times New Roman" w:hAnsi="Times New Roman"/>
        </w:rPr>
        <w:footnoteReference w:id="185"/>
      </w:r>
    </w:p>
    <w:p w14:paraId="35DD5C7D" w14:textId="53205A25" w:rsidR="00810C20" w:rsidRPr="00504B5E" w:rsidRDefault="00810C20" w:rsidP="00810C20">
      <w:pPr>
        <w:pStyle w:val="Heading3"/>
      </w:pPr>
      <w:bookmarkStart w:id="136" w:name="_Toc336968701"/>
      <w:bookmarkStart w:id="137" w:name="_Toc337217558"/>
      <w:bookmarkStart w:id="138" w:name="_Toc337217939"/>
      <w:bookmarkStart w:id="139" w:name="_Toc342296091"/>
      <w:bookmarkStart w:id="140" w:name="_Toc263943521"/>
      <w:bookmarkStart w:id="141" w:name="_Toc382590314"/>
      <w:bookmarkStart w:id="142" w:name="_Toc529199439"/>
      <w:r w:rsidRPr="00633A71">
        <w:t>6.4 International development finance and official development assistance</w:t>
      </w:r>
      <w:bookmarkEnd w:id="136"/>
      <w:bookmarkEnd w:id="137"/>
      <w:bookmarkEnd w:id="138"/>
      <w:bookmarkEnd w:id="139"/>
      <w:bookmarkEnd w:id="140"/>
      <w:bookmarkEnd w:id="141"/>
      <w:bookmarkEnd w:id="142"/>
    </w:p>
    <w:p w14:paraId="0831F87C" w14:textId="7BBFAFBF" w:rsidR="00810C20" w:rsidRPr="00504B5E" w:rsidRDefault="00810C20" w:rsidP="00810C20">
      <w:pPr>
        <w:spacing w:line="240" w:lineRule="auto"/>
        <w:rPr>
          <w:rFonts w:ascii="Times New Roman" w:hAnsi="Times New Roman"/>
        </w:rPr>
      </w:pPr>
      <w:r w:rsidRPr="00504B5E">
        <w:rPr>
          <w:rFonts w:ascii="Times New Roman" w:hAnsi="Times New Roman"/>
        </w:rPr>
        <w:t xml:space="preserve">International development finance is the subject under the above-mentioned Goal 4.5: “To integrate biological diversity and its associated ecosystem services in the development of new and innovative sources of international development finance, </w:t>
      </w:r>
      <w:proofErr w:type="gramStart"/>
      <w:r w:rsidRPr="00504B5E">
        <w:rPr>
          <w:rFonts w:ascii="Times New Roman" w:hAnsi="Times New Roman"/>
        </w:rPr>
        <w:t>taking into account</w:t>
      </w:r>
      <w:proofErr w:type="gramEnd"/>
      <w:r w:rsidRPr="00504B5E">
        <w:rPr>
          <w:rFonts w:ascii="Times New Roman" w:hAnsi="Times New Roman"/>
        </w:rPr>
        <w:t xml:space="preserve"> conservation costs</w:t>
      </w:r>
      <w:r w:rsidR="00F36DF7" w:rsidRPr="00504B5E">
        <w:rPr>
          <w:rFonts w:ascii="Times New Roman" w:hAnsi="Times New Roman"/>
        </w:rPr>
        <w:t>”.</w:t>
      </w:r>
    </w:p>
    <w:p w14:paraId="0016750F" w14:textId="77777777" w:rsidR="00810C20" w:rsidRPr="00633A71" w:rsidRDefault="00810C20" w:rsidP="00810C20">
      <w:pPr>
        <w:spacing w:line="240" w:lineRule="auto"/>
        <w:jc w:val="both"/>
        <w:rPr>
          <w:rFonts w:ascii="Times New Roman" w:hAnsi="Times New Roman"/>
        </w:rPr>
      </w:pPr>
      <w:r w:rsidRPr="00504B5E">
        <w:rPr>
          <w:rFonts w:ascii="Times New Roman" w:hAnsi="Times New Roman"/>
        </w:rPr>
        <w:t>At the Bonn meeting on IFMs held in 2009, options for financial innovations for biodiversity and ecosystem services within the international flows of funds for development were discussed. International flows of funds for development is a broad topic understood to include for example migrant workers’ remittances and Foreign Direct Investment. The outcomes of the meeting’s discussions can be clustered into three focal areas: first, innovative approaches for the use of funds; second, innovative approaches to the sources of funds and third, innovative international finance mechanisms.</w:t>
      </w:r>
      <w:r w:rsidRPr="00633A71">
        <w:rPr>
          <w:rStyle w:val="FootnoteReference"/>
          <w:rFonts w:ascii="Times New Roman" w:hAnsi="Times New Roman"/>
        </w:rPr>
        <w:footnoteReference w:id="186"/>
      </w:r>
    </w:p>
    <w:p w14:paraId="789562EA" w14:textId="55308188" w:rsidR="00810C20" w:rsidRPr="00504B5E" w:rsidRDefault="00A3063C" w:rsidP="00810C20">
      <w:pPr>
        <w:spacing w:line="240" w:lineRule="auto"/>
        <w:jc w:val="both"/>
        <w:rPr>
          <w:rFonts w:ascii="Times New Roman" w:hAnsi="Times New Roman"/>
        </w:rPr>
      </w:pPr>
      <w:r>
        <w:rPr>
          <w:rFonts w:ascii="Times New Roman" w:hAnsi="Times New Roman"/>
        </w:rPr>
        <w:lastRenderedPageBreak/>
        <w:t>Official Development Assistance</w:t>
      </w:r>
      <w:r w:rsidRPr="00A3063C">
        <w:rPr>
          <w:rFonts w:ascii="Times New Roman" w:hAnsi="Times New Roman"/>
        </w:rPr>
        <w:t xml:space="preserve"> </w:t>
      </w:r>
      <w:r>
        <w:rPr>
          <w:rFonts w:ascii="Times New Roman" w:hAnsi="Times New Roman"/>
        </w:rPr>
        <w:t>(</w:t>
      </w:r>
      <w:r w:rsidR="00810C20" w:rsidRPr="00633A71">
        <w:rPr>
          <w:rFonts w:ascii="Times New Roman" w:hAnsi="Times New Roman"/>
        </w:rPr>
        <w:t>ODA</w:t>
      </w:r>
      <w:r>
        <w:rPr>
          <w:rFonts w:ascii="Times New Roman" w:hAnsi="Times New Roman"/>
        </w:rPr>
        <w:t>)</w:t>
      </w:r>
      <w:r w:rsidR="00810C20" w:rsidRPr="00633A71">
        <w:rPr>
          <w:rFonts w:ascii="Times New Roman" w:hAnsi="Times New Roman"/>
        </w:rPr>
        <w:t xml:space="preserve"> is dealt with under Goals 3</w:t>
      </w:r>
      <w:r w:rsidR="00810C20" w:rsidRPr="00633A71">
        <w:rPr>
          <w:rStyle w:val="FootnoteReference"/>
          <w:rFonts w:ascii="Times New Roman" w:hAnsi="Times New Roman"/>
        </w:rPr>
        <w:footnoteReference w:id="187"/>
      </w:r>
      <w:r w:rsidR="00810C20" w:rsidRPr="00633A71">
        <w:rPr>
          <w:rFonts w:ascii="Times New Roman" w:hAnsi="Times New Roman"/>
        </w:rPr>
        <w:t xml:space="preserve"> and 5</w:t>
      </w:r>
      <w:r w:rsidR="00810C20" w:rsidRPr="00633A71">
        <w:rPr>
          <w:rStyle w:val="FootnoteReference"/>
          <w:rFonts w:ascii="Times New Roman" w:hAnsi="Times New Roman"/>
        </w:rPr>
        <w:footnoteReference w:id="188"/>
      </w:r>
      <w:r w:rsidR="00810C20" w:rsidRPr="00633A71">
        <w:rPr>
          <w:rFonts w:ascii="Times New Roman" w:hAnsi="Times New Roman"/>
        </w:rPr>
        <w:t xml:space="preserve"> of the Strategy for Resource Mobilization which relates to the increase of ODA associated with biological diversity and poverty </w:t>
      </w:r>
      <w:proofErr w:type="gramStart"/>
      <w:r w:rsidR="00810C20" w:rsidRPr="00633A71">
        <w:rPr>
          <w:rFonts w:ascii="Times New Roman" w:hAnsi="Times New Roman"/>
        </w:rPr>
        <w:t>alleviation, and</w:t>
      </w:r>
      <w:proofErr w:type="gramEnd"/>
      <w:r w:rsidR="00810C20" w:rsidRPr="00633A71">
        <w:rPr>
          <w:rFonts w:ascii="Times New Roman" w:hAnsi="Times New Roman"/>
        </w:rPr>
        <w:t xml:space="preserve"> mainstreaming biological diversity and its associated ecosystem services in development cooperation plans and priorities. These include the linkages between the CBD</w:t>
      </w:r>
      <w:r w:rsidR="00810C20" w:rsidRPr="00633A71">
        <w:rPr>
          <w:rFonts w:ascii="Times New Roman" w:hAnsi="Times New Roman"/>
          <w:bCs/>
        </w:rPr>
        <w:t>'s work programmes and Mille</w:t>
      </w:r>
      <w:r w:rsidR="00810C20" w:rsidRPr="00504B5E">
        <w:rPr>
          <w:rFonts w:ascii="Times New Roman" w:hAnsi="Times New Roman"/>
          <w:bCs/>
        </w:rPr>
        <w:t>nnium Development Goals</w:t>
      </w:r>
      <w:r w:rsidR="00810C20" w:rsidRPr="00504B5E">
        <w:rPr>
          <w:rFonts w:ascii="Times New Roman" w:hAnsi="Times New Roman"/>
        </w:rPr>
        <w:t xml:space="preserve"> as well as the Paris Declaration on Aid Effectiveness</w:t>
      </w:r>
      <w:r w:rsidR="00810C20" w:rsidRPr="00632DBC">
        <w:rPr>
          <w:rFonts w:ascii="Times New Roman" w:hAnsi="Times New Roman"/>
          <w:vertAlign w:val="superscript"/>
        </w:rPr>
        <w:footnoteReference w:id="189"/>
      </w:r>
      <w:r w:rsidR="00810C20" w:rsidRPr="00633A71">
        <w:rPr>
          <w:rFonts w:ascii="Times New Roman" w:hAnsi="Times New Roman"/>
        </w:rPr>
        <w:t xml:space="preserve">, as well as the four common principles for ODA adopted at the fourth High Level Forum on Aid Effectiveness in Busan 2011 which are 1) Ownership, 2) Results based, 3) Inclusive partnerships, and 4) Transparency and responsibility. In this context, safeguards in biodiversity-related ODA are linked to biodiversity for human well-being and poverty reduction, for example measures to ensure the sustainable use of biodiversity in productive landscapes such as </w:t>
      </w:r>
      <w:proofErr w:type="spellStart"/>
      <w:r w:rsidR="008038BC" w:rsidRPr="00504B5E">
        <w:rPr>
          <w:rFonts w:ascii="Times New Roman" w:hAnsi="Times New Roman"/>
        </w:rPr>
        <w:t>agro</w:t>
      </w:r>
      <w:proofErr w:type="spellEnd"/>
      <w:r w:rsidR="008038BC" w:rsidRPr="00504B5E">
        <w:rPr>
          <w:rFonts w:ascii="Times New Roman" w:hAnsi="Times New Roman"/>
        </w:rPr>
        <w:t xml:space="preserve"> ecological</w:t>
      </w:r>
      <w:r w:rsidR="00810C20" w:rsidRPr="00504B5E">
        <w:rPr>
          <w:rFonts w:ascii="Times New Roman" w:hAnsi="Times New Roman"/>
        </w:rPr>
        <w:t xml:space="preserve"> systems, forested areas, and inland and seascapes. </w:t>
      </w:r>
    </w:p>
    <w:p w14:paraId="16009A21" w14:textId="5D89D6C5" w:rsidR="00810C20" w:rsidRPr="00504B5E" w:rsidRDefault="00810C20" w:rsidP="00810C20">
      <w:pPr>
        <w:spacing w:line="240" w:lineRule="auto"/>
        <w:jc w:val="both"/>
        <w:rPr>
          <w:rFonts w:ascii="Times New Roman" w:hAnsi="Times New Roman"/>
        </w:rPr>
      </w:pPr>
      <w:r w:rsidRPr="00504B5E">
        <w:rPr>
          <w:rFonts w:ascii="Times New Roman" w:hAnsi="Times New Roman"/>
        </w:rPr>
        <w:t xml:space="preserve">BFM is considered to be other financing than ODA, but ODA can provide seed money, and BFMs could provide tools under ODA. When elaborating on safeguards in new and innovative sources of international development finance there is a need to learn from ODA e.g. regarding transparency, harmonization, alignment, efficiency, ownership, participatory approaches, rights issues and understanding of tenure and user rights, socio-cultural understanding, and the importance of gender issues in development. To safeguard these aspects, impact assessments are performed (see </w:t>
      </w:r>
      <w:r w:rsidR="00FD1B09" w:rsidRPr="00504B5E">
        <w:rPr>
          <w:rFonts w:ascii="Times New Roman" w:hAnsi="Times New Roman"/>
        </w:rPr>
        <w:t>chapter</w:t>
      </w:r>
      <w:r w:rsidR="007F1302" w:rsidRPr="00504B5E">
        <w:rPr>
          <w:rFonts w:ascii="Times New Roman" w:hAnsi="Times New Roman"/>
        </w:rPr>
        <w:t xml:space="preserve"> 7</w:t>
      </w:r>
      <w:r w:rsidRPr="00504B5E">
        <w:rPr>
          <w:rFonts w:ascii="Times New Roman" w:hAnsi="Times New Roman"/>
        </w:rPr>
        <w:t xml:space="preserve">). It is also important to recognise the development of policy coherence, notably between trade, environment and development cooperation, in safeguarding both social and environmental results. </w:t>
      </w:r>
    </w:p>
    <w:p w14:paraId="3025B37D" w14:textId="0C0125BA" w:rsidR="00810C20" w:rsidRPr="00A3063C" w:rsidRDefault="00810C20" w:rsidP="00810C20">
      <w:pPr>
        <w:keepNext/>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i/>
          <w:sz w:val="18"/>
        </w:rPr>
      </w:pPr>
      <w:r w:rsidRPr="00A3063C">
        <w:rPr>
          <w:rFonts w:ascii="Arial" w:hAnsi="Arial"/>
          <w:i/>
          <w:sz w:val="18"/>
        </w:rPr>
        <w:t xml:space="preserve">Box </w:t>
      </w:r>
      <w:r w:rsidRPr="00A3063C">
        <w:rPr>
          <w:rFonts w:ascii="Arial" w:hAnsi="Arial"/>
          <w:i/>
          <w:sz w:val="18"/>
          <w:szCs w:val="20"/>
        </w:rPr>
        <w:t>1</w:t>
      </w:r>
      <w:r w:rsidR="00A14CC2" w:rsidRPr="00A3063C">
        <w:rPr>
          <w:rFonts w:ascii="Arial" w:hAnsi="Arial"/>
          <w:i/>
          <w:sz w:val="18"/>
          <w:szCs w:val="20"/>
        </w:rPr>
        <w:t>1</w:t>
      </w:r>
      <w:r w:rsidRPr="00A3063C">
        <w:rPr>
          <w:rFonts w:ascii="Arial" w:hAnsi="Arial"/>
          <w:i/>
          <w:sz w:val="18"/>
          <w:szCs w:val="20"/>
        </w:rPr>
        <w:t>.</w:t>
      </w:r>
      <w:r w:rsidRPr="00A3063C">
        <w:rPr>
          <w:rFonts w:ascii="Arial" w:hAnsi="Arial"/>
          <w:i/>
          <w:sz w:val="18"/>
        </w:rPr>
        <w:t xml:space="preserve"> Plan Vivo System</w:t>
      </w:r>
    </w:p>
    <w:p w14:paraId="31639189" w14:textId="77777777" w:rsidR="00810C20" w:rsidRPr="00633A71"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rPr>
      </w:pPr>
      <w:r w:rsidRPr="0038043D">
        <w:rPr>
          <w:rFonts w:ascii="Arial" w:hAnsi="Arial"/>
          <w:sz w:val="18"/>
        </w:rPr>
        <w:t>In addressing safeguards in relation to ODA and biodiversity, it is critical to understand how ODA can ensure positive outcomes in terms of biodiversity, peoples’ well-being and biocultural herit</w:t>
      </w:r>
      <w:r w:rsidRPr="00632DBC">
        <w:rPr>
          <w:rFonts w:ascii="Arial" w:hAnsi="Arial"/>
          <w:sz w:val="18"/>
        </w:rPr>
        <w:t xml:space="preserve">age. One initiative that has tried to address these issues is the Plan Vivo system. </w:t>
      </w:r>
      <w:r w:rsidRPr="00632DBC">
        <w:rPr>
          <w:rFonts w:ascii="Arial" w:hAnsi="Arial"/>
          <w:sz w:val="18"/>
          <w:szCs w:val="20"/>
        </w:rPr>
        <w:t>It</w:t>
      </w:r>
      <w:r w:rsidRPr="00632DBC">
        <w:rPr>
          <w:rFonts w:ascii="Arial" w:hAnsi="Arial"/>
          <w:sz w:val="18"/>
        </w:rPr>
        <w:t xml:space="preserve"> was first conceived and developed as part of a UK Department for International Development (DFID)-funded research project in the Chiapas region of Southern Mexico in 1994. Subsequently it transformed itself into a Foundation. The Plan Vivo Foundation now governs and oversees the process of project design and registration all around the world, and it aims to ensure that producers in developing countries receive fair payments for </w:t>
      </w:r>
      <w:r w:rsidRPr="00632DBC">
        <w:rPr>
          <w:rFonts w:ascii="Arial" w:hAnsi="Arial"/>
          <w:sz w:val="18"/>
          <w:szCs w:val="20"/>
        </w:rPr>
        <w:t xml:space="preserve">the </w:t>
      </w:r>
      <w:r w:rsidRPr="00632DBC">
        <w:rPr>
          <w:rFonts w:ascii="Arial" w:hAnsi="Arial"/>
          <w:sz w:val="18"/>
        </w:rPr>
        <w:t>ecosystem services they deliver through their Plan Vivo.</w:t>
      </w:r>
      <w:r w:rsidRPr="00633A71">
        <w:rPr>
          <w:rFonts w:ascii="Times New Roman" w:hAnsi="Times New Roman"/>
          <w:vertAlign w:val="superscript"/>
        </w:rPr>
        <w:footnoteReference w:id="190"/>
      </w:r>
      <w:r w:rsidRPr="00633A71">
        <w:rPr>
          <w:rFonts w:ascii="Times New Roman" w:hAnsi="Times New Roman"/>
        </w:rPr>
        <w:t xml:space="preserve"> </w:t>
      </w:r>
      <w:r w:rsidRPr="00633A71">
        <w:rPr>
          <w:rFonts w:ascii="Arial" w:hAnsi="Arial"/>
          <w:sz w:val="18"/>
        </w:rPr>
        <w:t xml:space="preserve">The Plan Vivo System includes a set of standards, administrative processes, tools and guidance, which can be applied. </w:t>
      </w:r>
    </w:p>
    <w:p w14:paraId="53D3076A" w14:textId="5F7BD5BC" w:rsidR="00810C20" w:rsidRPr="00632DBC"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sz w:val="18"/>
          <w:lang w:val="en-US"/>
        </w:rPr>
      </w:pPr>
      <w:r w:rsidRPr="00504B5E">
        <w:rPr>
          <w:rFonts w:ascii="Arial" w:hAnsi="Arial"/>
          <w:sz w:val="18"/>
        </w:rPr>
        <w:t xml:space="preserve">Community-based land-use projects under revision by the Plan Vivo system include the project “Much </w:t>
      </w:r>
      <w:proofErr w:type="spellStart"/>
      <w:r w:rsidRPr="00504B5E">
        <w:rPr>
          <w:rFonts w:ascii="Arial" w:hAnsi="Arial"/>
          <w:sz w:val="18"/>
        </w:rPr>
        <w:t>KananK´aax</w:t>
      </w:r>
      <w:proofErr w:type="spellEnd"/>
      <w:r w:rsidRPr="00504B5E">
        <w:rPr>
          <w:rFonts w:ascii="Arial" w:hAnsi="Arial"/>
          <w:sz w:val="18"/>
        </w:rPr>
        <w:t xml:space="preserve">, Carbon Offset Project” located in the Yucatan Peninsula in Mexico, an ecologically and culturally significant </w:t>
      </w:r>
      <w:r w:rsidRPr="00504B5E">
        <w:rPr>
          <w:rFonts w:ascii="Arial" w:hAnsi="Arial"/>
          <w:sz w:val="18"/>
          <w:szCs w:val="20"/>
        </w:rPr>
        <w:t xml:space="preserve">area </w:t>
      </w:r>
      <w:r w:rsidRPr="00504B5E">
        <w:rPr>
          <w:rFonts w:ascii="Arial" w:hAnsi="Arial"/>
          <w:sz w:val="18"/>
        </w:rPr>
        <w:t>with important carbon storage potential which is also highly vulnerable. Part of the project includes Maya traditional sustainable uses of forest resources, conservation and restoration activities.</w:t>
      </w:r>
      <w:r w:rsidRPr="00633A71">
        <w:rPr>
          <w:rFonts w:ascii="Times New Roman" w:hAnsi="Times New Roman"/>
          <w:vertAlign w:val="superscript"/>
        </w:rPr>
        <w:footnoteReference w:id="191"/>
      </w:r>
      <w:r w:rsidRPr="00633A71">
        <w:rPr>
          <w:rFonts w:ascii="Times New Roman" w:hAnsi="Times New Roman"/>
        </w:rPr>
        <w:t xml:space="preserve"> </w:t>
      </w:r>
      <w:r w:rsidRPr="00632DBC">
        <w:rPr>
          <w:rFonts w:ascii="Arial" w:hAnsi="Arial"/>
          <w:sz w:val="18"/>
          <w:lang w:val="en-US"/>
        </w:rPr>
        <w:t>Another example of a project in culturally and biologically rich areas is the project: “</w:t>
      </w:r>
      <w:r w:rsidR="00A3063C" w:rsidRPr="00632DBC">
        <w:rPr>
          <w:rFonts w:ascii="Arial" w:hAnsi="Arial"/>
          <w:sz w:val="18"/>
          <w:lang w:val="en-US"/>
        </w:rPr>
        <w:t xml:space="preserve">REDD in the Tambopata National Reserve and the </w:t>
      </w:r>
      <w:proofErr w:type="spellStart"/>
      <w:r w:rsidR="00A3063C" w:rsidRPr="00632DBC">
        <w:rPr>
          <w:rFonts w:ascii="Arial" w:hAnsi="Arial"/>
          <w:sz w:val="18"/>
          <w:lang w:val="en-US"/>
        </w:rPr>
        <w:t>Bahuaja-Sonene</w:t>
      </w:r>
      <w:proofErr w:type="spellEnd"/>
      <w:r w:rsidR="00A3063C" w:rsidRPr="00632DBC">
        <w:rPr>
          <w:rFonts w:ascii="Arial" w:hAnsi="Arial"/>
          <w:sz w:val="18"/>
          <w:lang w:val="en-US"/>
        </w:rPr>
        <w:t xml:space="preserve"> National Park in the Madre de Dios region, Peru</w:t>
      </w:r>
      <w:r w:rsidRPr="00632DBC">
        <w:rPr>
          <w:rFonts w:ascii="Arial" w:hAnsi="Arial"/>
          <w:sz w:val="18"/>
          <w:lang w:val="en-US"/>
        </w:rPr>
        <w:t>”.</w:t>
      </w:r>
      <w:r w:rsidRPr="00633A71">
        <w:rPr>
          <w:rFonts w:ascii="Times New Roman" w:hAnsi="Times New Roman"/>
          <w:vertAlign w:val="superscript"/>
        </w:rPr>
        <w:footnoteReference w:id="192"/>
      </w:r>
      <w:r w:rsidRPr="00632DBC">
        <w:rPr>
          <w:rFonts w:ascii="Times New Roman" w:hAnsi="Times New Roman"/>
          <w:lang w:val="en-US"/>
        </w:rPr>
        <w:t xml:space="preserve"> </w:t>
      </w:r>
    </w:p>
    <w:p w14:paraId="10507BDC" w14:textId="77777777" w:rsidR="00810C20" w:rsidRPr="00633A71" w:rsidRDefault="00810C20" w:rsidP="00810C20">
      <w:pPr>
        <w:pStyle w:val="Heading3"/>
      </w:pPr>
      <w:bookmarkStart w:id="143" w:name="_Toc263943522"/>
      <w:bookmarkStart w:id="144" w:name="_Toc382590315"/>
      <w:bookmarkStart w:id="145" w:name="_Toc529199440"/>
      <w:bookmarkStart w:id="146" w:name="_Toc336552533"/>
      <w:bookmarkStart w:id="147" w:name="_Toc336968702"/>
      <w:bookmarkStart w:id="148" w:name="_Toc337217559"/>
      <w:bookmarkStart w:id="149" w:name="_Toc337217940"/>
      <w:bookmarkStart w:id="150" w:name="_Toc342296092"/>
      <w:r w:rsidRPr="00633A71">
        <w:t>6.5 Markets for green products</w:t>
      </w:r>
      <w:bookmarkEnd w:id="143"/>
      <w:bookmarkEnd w:id="144"/>
      <w:bookmarkEnd w:id="145"/>
      <w:r w:rsidRPr="00633A71">
        <w:t xml:space="preserve"> </w:t>
      </w:r>
    </w:p>
    <w:p w14:paraId="7AAC512E" w14:textId="77777777" w:rsidR="00810C20" w:rsidRPr="00633A71" w:rsidRDefault="00810C20" w:rsidP="00810C20">
      <w:pPr>
        <w:spacing w:line="240" w:lineRule="auto"/>
        <w:jc w:val="both"/>
        <w:rPr>
          <w:rFonts w:ascii="Times New Roman" w:hAnsi="Times New Roman"/>
        </w:rPr>
      </w:pPr>
      <w:r w:rsidRPr="00633A71">
        <w:rPr>
          <w:rFonts w:ascii="Times New Roman" w:hAnsi="Times New Roman"/>
        </w:rPr>
        <w:t>There is a large and growing array of certification and labelling schemes that have developed environmental and social performance standards for “green products”. These initiatives cov</w:t>
      </w:r>
      <w:r w:rsidRPr="00504B5E">
        <w:rPr>
          <w:rFonts w:ascii="Times New Roman" w:hAnsi="Times New Roman"/>
        </w:rPr>
        <w:t xml:space="preserve">er a wide </w:t>
      </w:r>
      <w:r w:rsidRPr="00504B5E">
        <w:rPr>
          <w:rFonts w:ascii="Times New Roman" w:hAnsi="Times New Roman"/>
        </w:rPr>
        <w:lastRenderedPageBreak/>
        <w:t>range of sectors, from the certification of biodiversity offsets (e.g. in New South Wales)</w:t>
      </w:r>
      <w:r w:rsidRPr="00633A71">
        <w:rPr>
          <w:rStyle w:val="FootnoteReference"/>
          <w:rFonts w:ascii="Times New Roman" w:hAnsi="Times New Roman"/>
        </w:rPr>
        <w:footnoteReference w:id="193"/>
      </w:r>
      <w:r w:rsidRPr="00633A71">
        <w:rPr>
          <w:rFonts w:ascii="Times New Roman" w:hAnsi="Times New Roman"/>
        </w:rPr>
        <w:t>, to standards for carbon, timber, agricultural commodities and tourism, among others. As just one indication of the scale of this market, the Ecolabel Index currently tracks ecolabels in 25 industry sectors, in 197 countries.</w:t>
      </w:r>
      <w:r w:rsidRPr="00633A71">
        <w:rPr>
          <w:rStyle w:val="FootnoteReference"/>
          <w:rFonts w:ascii="Times New Roman" w:hAnsi="Times New Roman"/>
        </w:rPr>
        <w:footnoteReference w:id="194"/>
      </w:r>
      <w:r w:rsidRPr="00633A71">
        <w:rPr>
          <w:rFonts w:ascii="Times New Roman" w:hAnsi="Times New Roman"/>
        </w:rPr>
        <w:t xml:space="preserve"> Schemes may be national or global, and they may be supported by governments, civil society movements, and the private sector; several are partnerships among these actors. </w:t>
      </w:r>
    </w:p>
    <w:p w14:paraId="3FB33CA2" w14:textId="77777777" w:rsidR="00810C20" w:rsidRPr="00504B5E" w:rsidRDefault="00810C20" w:rsidP="00810C20">
      <w:pPr>
        <w:spacing w:line="240" w:lineRule="auto"/>
        <w:jc w:val="both"/>
        <w:rPr>
          <w:rFonts w:ascii="Times New Roman" w:hAnsi="Times New Roman"/>
        </w:rPr>
      </w:pPr>
      <w:r w:rsidRPr="00633A71">
        <w:rPr>
          <w:rFonts w:ascii="Times New Roman" w:hAnsi="Times New Roman"/>
        </w:rPr>
        <w:t>The substantive priorities of these schemes vary considerably, including their degree of convergence with the guidelines put forward in this paper. For example, schemes such as Fair Trade or Social Accountability International prioritize social benefits, although the</w:t>
      </w:r>
      <w:r w:rsidRPr="00504B5E">
        <w:rPr>
          <w:rFonts w:ascii="Times New Roman" w:hAnsi="Times New Roman"/>
        </w:rPr>
        <w:t xml:space="preserve">y may also include a few environmental standards. In contrast, other schemes may enforce prescriptive standards for biodiversity conservation but have relatively few and/or flexible standards on social equity. </w:t>
      </w:r>
    </w:p>
    <w:p w14:paraId="5A29F47B" w14:textId="77777777" w:rsidR="00810C20" w:rsidRPr="00633A71" w:rsidRDefault="00810C20" w:rsidP="00810C20">
      <w:pPr>
        <w:spacing w:line="240" w:lineRule="auto"/>
        <w:jc w:val="both"/>
        <w:rPr>
          <w:rFonts w:ascii="Times New Roman" w:hAnsi="Times New Roman"/>
        </w:rPr>
      </w:pPr>
      <w:r w:rsidRPr="00504B5E">
        <w:rPr>
          <w:rFonts w:ascii="Times New Roman" w:hAnsi="Times New Roman"/>
        </w:rPr>
        <w:t xml:space="preserve">As witnessed by the wide body of research </w:t>
      </w:r>
      <w:proofErr w:type="gramStart"/>
      <w:r w:rsidRPr="00504B5E">
        <w:rPr>
          <w:rFonts w:ascii="Times New Roman" w:hAnsi="Times New Roman"/>
        </w:rPr>
        <w:t>comparing and contrasting</w:t>
      </w:r>
      <w:proofErr w:type="gramEnd"/>
      <w:r w:rsidRPr="00504B5E">
        <w:rPr>
          <w:rFonts w:ascii="Times New Roman" w:hAnsi="Times New Roman"/>
        </w:rPr>
        <w:t xml:space="preserve"> existing certification schemes and their impacts, there is both considerable potential to use certification as a means to assess and verify the application of safeguards, and a great need for ongoing research and communication to ensure transparency regarding the social and environmental claims they entail.</w:t>
      </w:r>
      <w:r w:rsidRPr="00633A71">
        <w:rPr>
          <w:rStyle w:val="FootnoteReference"/>
          <w:rFonts w:ascii="Times New Roman" w:hAnsi="Times New Roman"/>
        </w:rPr>
        <w:footnoteReference w:id="195"/>
      </w:r>
    </w:p>
    <w:p w14:paraId="16950687" w14:textId="77777777" w:rsidR="00810C20" w:rsidRPr="00633A71" w:rsidRDefault="00810C20" w:rsidP="00810C20">
      <w:pPr>
        <w:spacing w:line="240" w:lineRule="auto"/>
        <w:jc w:val="both"/>
        <w:rPr>
          <w:rFonts w:ascii="Times New Roman" w:hAnsi="Times New Roman"/>
        </w:rPr>
      </w:pPr>
    </w:p>
    <w:p w14:paraId="6E281579" w14:textId="2311021A" w:rsidR="00810C20" w:rsidRPr="00504B5E"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cs="Arial"/>
          <w:i/>
          <w:sz w:val="18"/>
          <w:szCs w:val="18"/>
        </w:rPr>
      </w:pPr>
      <w:r w:rsidRPr="00633A71">
        <w:rPr>
          <w:rFonts w:ascii="Arial" w:hAnsi="Arial" w:cs="Arial"/>
          <w:i/>
          <w:sz w:val="18"/>
          <w:szCs w:val="18"/>
        </w:rPr>
        <w:t>Box 1</w:t>
      </w:r>
      <w:r w:rsidR="00A14CC2" w:rsidRPr="00504B5E">
        <w:rPr>
          <w:rFonts w:ascii="Arial" w:hAnsi="Arial" w:cs="Arial"/>
          <w:i/>
          <w:sz w:val="18"/>
          <w:szCs w:val="18"/>
        </w:rPr>
        <w:t>2</w:t>
      </w:r>
      <w:r w:rsidRPr="00504B5E">
        <w:rPr>
          <w:rFonts w:ascii="Arial" w:hAnsi="Arial" w:cs="Arial"/>
          <w:i/>
          <w:sz w:val="18"/>
          <w:szCs w:val="18"/>
        </w:rPr>
        <w:t>: Label IP-Suisse - System and criteria for biodiversity</w:t>
      </w:r>
    </w:p>
    <w:p w14:paraId="12CCB826" w14:textId="2CC37C58" w:rsidR="00810C20" w:rsidRPr="00504B5E"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Arial" w:hAnsi="Arial" w:cs="Arial"/>
          <w:sz w:val="18"/>
          <w:szCs w:val="18"/>
        </w:rPr>
      </w:pPr>
      <w:r w:rsidRPr="00504B5E">
        <w:rPr>
          <w:rFonts w:ascii="Arial" w:hAnsi="Arial" w:cs="Arial"/>
          <w:sz w:val="18"/>
          <w:szCs w:val="18"/>
        </w:rPr>
        <w:t xml:space="preserve">IP-Suisse is a farmer association-led </w:t>
      </w:r>
      <w:r w:rsidR="00A06283" w:rsidRPr="00504B5E">
        <w:rPr>
          <w:rFonts w:ascii="Arial" w:hAnsi="Arial" w:cs="Arial"/>
          <w:sz w:val="18"/>
          <w:szCs w:val="18"/>
        </w:rPr>
        <w:t>labelling</w:t>
      </w:r>
      <w:r w:rsidRPr="00504B5E">
        <w:rPr>
          <w:rFonts w:ascii="Arial" w:hAnsi="Arial" w:cs="Arial"/>
          <w:sz w:val="18"/>
          <w:szCs w:val="18"/>
        </w:rPr>
        <w:t xml:space="preserve"> scheme for food products. This label bases its image on “nature- and environment-friendly production” and on “biodiversity”. The participating farms are obliged to </w:t>
      </w:r>
      <w:proofErr w:type="spellStart"/>
      <w:r w:rsidRPr="00504B5E">
        <w:rPr>
          <w:rFonts w:ascii="Arial" w:hAnsi="Arial" w:cs="Arial"/>
          <w:sz w:val="18"/>
          <w:szCs w:val="18"/>
        </w:rPr>
        <w:t>fulfill</w:t>
      </w:r>
      <w:proofErr w:type="spellEnd"/>
      <w:r w:rsidRPr="00504B5E">
        <w:rPr>
          <w:rFonts w:ascii="Arial" w:hAnsi="Arial" w:cs="Arial"/>
          <w:sz w:val="18"/>
          <w:szCs w:val="18"/>
        </w:rPr>
        <w:t xml:space="preserve"> increasingly ambitious criteria concerning quantity and quality of ecolo</w:t>
      </w:r>
      <w:r w:rsidR="00097753" w:rsidRPr="00504B5E">
        <w:rPr>
          <w:rFonts w:ascii="Arial" w:hAnsi="Arial" w:cs="Arial"/>
          <w:sz w:val="18"/>
          <w:szCs w:val="18"/>
        </w:rPr>
        <w:t>gical compensation areas (ECAs)</w:t>
      </w:r>
      <w:r w:rsidRPr="00504B5E">
        <w:rPr>
          <w:rFonts w:ascii="Arial" w:hAnsi="Arial" w:cs="Arial"/>
          <w:sz w:val="18"/>
          <w:szCs w:val="18"/>
        </w:rPr>
        <w:t xml:space="preserve">. Each ECA is rated according to criteria considering type, size and position of the area. The farm </w:t>
      </w:r>
      <w:proofErr w:type="gramStart"/>
      <w:r w:rsidRPr="00504B5E">
        <w:rPr>
          <w:rFonts w:ascii="Arial" w:hAnsi="Arial" w:cs="Arial"/>
          <w:sz w:val="18"/>
          <w:szCs w:val="18"/>
        </w:rPr>
        <w:t>has to</w:t>
      </w:r>
      <w:proofErr w:type="gramEnd"/>
      <w:r w:rsidRPr="00504B5E">
        <w:rPr>
          <w:rFonts w:ascii="Arial" w:hAnsi="Arial" w:cs="Arial"/>
          <w:sz w:val="18"/>
          <w:szCs w:val="18"/>
        </w:rPr>
        <w:t xml:space="preserve"> reach a minimal score which has been continuously increased during the past few years. The aim is to reach a network of ECAs all over the farm to ensure a minimal biodiversity standard on each farm. Furthermore, the farms </w:t>
      </w:r>
      <w:proofErr w:type="gramStart"/>
      <w:r w:rsidRPr="00504B5E">
        <w:rPr>
          <w:rFonts w:ascii="Arial" w:hAnsi="Arial" w:cs="Arial"/>
          <w:sz w:val="18"/>
          <w:szCs w:val="18"/>
        </w:rPr>
        <w:t>have to</w:t>
      </w:r>
      <w:proofErr w:type="gramEnd"/>
      <w:r w:rsidRPr="00504B5E">
        <w:rPr>
          <w:rFonts w:ascii="Arial" w:hAnsi="Arial" w:cs="Arial"/>
          <w:sz w:val="18"/>
          <w:szCs w:val="18"/>
        </w:rPr>
        <w:t xml:space="preserve"> accept specific limitations using fertilizers and pesticides beyond the general level of Cross Compliance (e.g. no herbicides in potatoes, no fungicides or insecticides in cereals). Scientific evaluation has shown a clear positive correlation between score and abundance and diversity of plant, insect and bird species. </w:t>
      </w:r>
    </w:p>
    <w:p w14:paraId="52C14094" w14:textId="77777777" w:rsidR="00810C20" w:rsidRPr="00A3063C" w:rsidRDefault="00810C20" w:rsidP="00810C20">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Times New Roman" w:hAnsi="Times New Roman"/>
        </w:rPr>
      </w:pPr>
      <w:r w:rsidRPr="00504B5E">
        <w:rPr>
          <w:rFonts w:ascii="Arial" w:hAnsi="Arial" w:cs="Arial"/>
          <w:sz w:val="18"/>
          <w:szCs w:val="18"/>
        </w:rPr>
        <w:t>Source: Federal Department of the Environment, Transport, Energy and Communications (DETEC), Switzerland’s submission with comments on Discussion Paper on ‘safeguards for scaling-up biodiversity finance and possible guiding principles’ (UNEP/CBD/COP/11/INF/7).</w:t>
      </w:r>
    </w:p>
    <w:p w14:paraId="2AF1AD3C" w14:textId="77777777" w:rsidR="001B1491" w:rsidRPr="00A3063C" w:rsidRDefault="001B1491" w:rsidP="001B1491">
      <w:bookmarkStart w:id="151" w:name="_Toc263943523"/>
      <w:bookmarkStart w:id="152" w:name="_Toc382590316"/>
    </w:p>
    <w:p w14:paraId="61BE58F0" w14:textId="6285F6C9" w:rsidR="00056F8F" w:rsidRPr="00632DBC" w:rsidRDefault="00056F8F" w:rsidP="00056F8F">
      <w:pPr>
        <w:pStyle w:val="Caption"/>
        <w:jc w:val="left"/>
        <w:rPr>
          <w:sz w:val="24"/>
          <w:szCs w:val="24"/>
        </w:rPr>
      </w:pPr>
      <w:bookmarkStart w:id="153" w:name="_Toc398938288"/>
      <w:bookmarkStart w:id="154" w:name="_Toc529190580"/>
      <w:r w:rsidRPr="00632DBC">
        <w:rPr>
          <w:sz w:val="24"/>
          <w:szCs w:val="24"/>
        </w:rPr>
        <w:t xml:space="preserve">Case study </w:t>
      </w:r>
      <w:r w:rsidR="008B016B">
        <w:rPr>
          <w:sz w:val="24"/>
          <w:szCs w:val="24"/>
        </w:rPr>
        <w:fldChar w:fldCharType="begin"/>
      </w:r>
      <w:r w:rsidR="008B016B">
        <w:rPr>
          <w:sz w:val="24"/>
          <w:szCs w:val="24"/>
        </w:rPr>
        <w:instrText xml:space="preserve"> SEQ Case_study \* ROMAN </w:instrText>
      </w:r>
      <w:r w:rsidR="008B016B">
        <w:rPr>
          <w:sz w:val="24"/>
          <w:szCs w:val="24"/>
        </w:rPr>
        <w:fldChar w:fldCharType="separate"/>
      </w:r>
      <w:r w:rsidR="008B016B">
        <w:rPr>
          <w:noProof/>
          <w:sz w:val="24"/>
          <w:szCs w:val="24"/>
        </w:rPr>
        <w:t>III</w:t>
      </w:r>
      <w:r w:rsidR="008B016B">
        <w:rPr>
          <w:sz w:val="24"/>
          <w:szCs w:val="24"/>
        </w:rPr>
        <w:fldChar w:fldCharType="end"/>
      </w:r>
      <w:r w:rsidRPr="00632DBC">
        <w:rPr>
          <w:sz w:val="24"/>
          <w:szCs w:val="24"/>
        </w:rPr>
        <w:t>. Responding to agricultural disease in biodiversity hotspots</w:t>
      </w:r>
      <w:bookmarkEnd w:id="153"/>
      <w:bookmarkEnd w:id="154"/>
    </w:p>
    <w:p w14:paraId="455E748B" w14:textId="7FB0630D" w:rsidR="0008009B" w:rsidRPr="00632DBC" w:rsidRDefault="004F2303" w:rsidP="00EC2212">
      <w:pPr>
        <w:rPr>
          <w:rFonts w:ascii="Times New Roman" w:hAnsi="Times New Roman"/>
          <w:b/>
          <w:sz w:val="16"/>
          <w:szCs w:val="16"/>
        </w:rPr>
      </w:pPr>
      <w:r w:rsidRPr="00632DBC">
        <w:rPr>
          <w:rFonts w:ascii="Times New Roman" w:hAnsi="Times New Roman"/>
          <w:sz w:val="16"/>
          <w:szCs w:val="16"/>
        </w:rPr>
        <w:t xml:space="preserve">This case is based on research performed by Antoine </w:t>
      </w:r>
      <w:proofErr w:type="spellStart"/>
      <w:r w:rsidRPr="00632DBC">
        <w:rPr>
          <w:rFonts w:ascii="Times New Roman" w:hAnsi="Times New Roman"/>
          <w:sz w:val="16"/>
          <w:szCs w:val="16"/>
        </w:rPr>
        <w:t>Libert</w:t>
      </w:r>
      <w:proofErr w:type="spellEnd"/>
      <w:r w:rsidRPr="00632DBC">
        <w:rPr>
          <w:rFonts w:ascii="Times New Roman" w:hAnsi="Times New Roman"/>
          <w:sz w:val="16"/>
          <w:szCs w:val="16"/>
        </w:rPr>
        <w:t xml:space="preserve"> Amico who has been closely involved in research and the partnerships between universities, communities and </w:t>
      </w:r>
      <w:proofErr w:type="spellStart"/>
      <w:r w:rsidRPr="00632DBC">
        <w:rPr>
          <w:rFonts w:ascii="Times New Roman" w:hAnsi="Times New Roman"/>
          <w:i/>
          <w:sz w:val="16"/>
          <w:szCs w:val="16"/>
        </w:rPr>
        <w:t>Progr</w:t>
      </w:r>
      <w:r w:rsidR="0046018F" w:rsidRPr="00632DBC">
        <w:rPr>
          <w:rFonts w:ascii="Times New Roman" w:hAnsi="Times New Roman"/>
          <w:i/>
          <w:sz w:val="16"/>
          <w:szCs w:val="16"/>
        </w:rPr>
        <w:t>ama</w:t>
      </w:r>
      <w:proofErr w:type="spellEnd"/>
      <w:r w:rsidR="0046018F" w:rsidRPr="00632DBC">
        <w:rPr>
          <w:rFonts w:ascii="Times New Roman" w:hAnsi="Times New Roman"/>
          <w:i/>
          <w:sz w:val="16"/>
          <w:szCs w:val="16"/>
        </w:rPr>
        <w:t xml:space="preserve"> </w:t>
      </w:r>
      <w:proofErr w:type="spellStart"/>
      <w:r w:rsidR="0046018F" w:rsidRPr="00632DBC">
        <w:rPr>
          <w:rFonts w:ascii="Times New Roman" w:hAnsi="Times New Roman"/>
          <w:i/>
          <w:sz w:val="16"/>
          <w:szCs w:val="16"/>
        </w:rPr>
        <w:t>Mex</w:t>
      </w:r>
      <w:r w:rsidRPr="00632DBC">
        <w:rPr>
          <w:rFonts w:ascii="Times New Roman" w:hAnsi="Times New Roman"/>
          <w:i/>
          <w:sz w:val="16"/>
          <w:szCs w:val="16"/>
        </w:rPr>
        <w:t>i</w:t>
      </w:r>
      <w:r w:rsidR="0046018F" w:rsidRPr="00632DBC">
        <w:rPr>
          <w:rFonts w:ascii="Times New Roman" w:hAnsi="Times New Roman"/>
          <w:i/>
          <w:sz w:val="16"/>
          <w:szCs w:val="16"/>
        </w:rPr>
        <w:t>c</w:t>
      </w:r>
      <w:r w:rsidRPr="00632DBC">
        <w:rPr>
          <w:rFonts w:ascii="Times New Roman" w:hAnsi="Times New Roman"/>
          <w:i/>
          <w:sz w:val="16"/>
          <w:szCs w:val="16"/>
        </w:rPr>
        <w:t>ano</w:t>
      </w:r>
      <w:proofErr w:type="spellEnd"/>
      <w:r w:rsidRPr="00632DBC">
        <w:rPr>
          <w:rFonts w:ascii="Times New Roman" w:hAnsi="Times New Roman"/>
          <w:i/>
          <w:sz w:val="16"/>
          <w:szCs w:val="16"/>
        </w:rPr>
        <w:t xml:space="preserve"> del </w:t>
      </w:r>
      <w:proofErr w:type="spellStart"/>
      <w:r w:rsidRPr="00632DBC">
        <w:rPr>
          <w:rFonts w:ascii="Times New Roman" w:hAnsi="Times New Roman"/>
          <w:i/>
          <w:sz w:val="16"/>
          <w:szCs w:val="16"/>
        </w:rPr>
        <w:t>Carbono</w:t>
      </w:r>
      <w:proofErr w:type="spellEnd"/>
      <w:r w:rsidRPr="00632DBC">
        <w:rPr>
          <w:rFonts w:ascii="Times New Roman" w:hAnsi="Times New Roman"/>
          <w:sz w:val="16"/>
          <w:szCs w:val="16"/>
        </w:rPr>
        <w:t>.</w:t>
      </w:r>
    </w:p>
    <w:p w14:paraId="7AF799F9" w14:textId="77777777" w:rsidR="0046018F" w:rsidRPr="00632DBC" w:rsidRDefault="0046018F" w:rsidP="00AC695C">
      <w:pPr>
        <w:spacing w:before="60" w:after="0" w:line="240" w:lineRule="auto"/>
        <w:rPr>
          <w:rFonts w:ascii="Times New Roman" w:hAnsi="Times New Roman"/>
          <w:i/>
          <w:sz w:val="16"/>
          <w:szCs w:val="16"/>
        </w:rPr>
      </w:pPr>
    </w:p>
    <w:p w14:paraId="4829569E" w14:textId="48596D69" w:rsidR="0086368F" w:rsidRPr="00632DBC" w:rsidRDefault="0086368F" w:rsidP="0086368F">
      <w:pPr>
        <w:spacing w:line="240" w:lineRule="auto"/>
        <w:jc w:val="both"/>
        <w:rPr>
          <w:rFonts w:ascii="Times New Roman" w:hAnsi="Times New Roman"/>
        </w:rPr>
      </w:pPr>
      <w:r w:rsidRPr="00632DBC">
        <w:rPr>
          <w:rFonts w:ascii="Times New Roman" w:hAnsi="Times New Roman"/>
        </w:rPr>
        <w:t xml:space="preserve">Shade-grown </w:t>
      </w:r>
      <w:r w:rsidRPr="00632DBC">
        <w:rPr>
          <w:rFonts w:ascii="Times New Roman" w:hAnsi="Times New Roman"/>
          <w:i/>
        </w:rPr>
        <w:t>arabica</w:t>
      </w:r>
      <w:r w:rsidRPr="00632DBC">
        <w:rPr>
          <w:rFonts w:ascii="Times New Roman" w:hAnsi="Times New Roman"/>
        </w:rPr>
        <w:t xml:space="preserve"> coffee is the main source of income for millions of smallholders throughout Mexico and Latin America. Coffee plantations grown under the shade of diverse endemic species provide crucial ecosystem services (biodiversity, carbon stocks, </w:t>
      </w:r>
      <w:r w:rsidR="00A06283" w:rsidRPr="00632DBC">
        <w:rPr>
          <w:rFonts w:ascii="Times New Roman" w:hAnsi="Times New Roman"/>
        </w:rPr>
        <w:t>and hydrological</w:t>
      </w:r>
      <w:r w:rsidRPr="00632DBC">
        <w:rPr>
          <w:rFonts w:ascii="Times New Roman" w:hAnsi="Times New Roman"/>
        </w:rPr>
        <w:t xml:space="preserve"> services) to coffee producing families and the general population, in a strident example of agrobiodiversity. </w:t>
      </w:r>
    </w:p>
    <w:p w14:paraId="74ECD053" w14:textId="3D575233" w:rsidR="0086368F" w:rsidRPr="00632DBC" w:rsidRDefault="0086368F" w:rsidP="0086368F">
      <w:pPr>
        <w:spacing w:line="240" w:lineRule="auto"/>
        <w:jc w:val="both"/>
        <w:rPr>
          <w:rFonts w:ascii="Times New Roman" w:hAnsi="Times New Roman"/>
        </w:rPr>
      </w:pPr>
      <w:r w:rsidRPr="00632DBC">
        <w:rPr>
          <w:rFonts w:ascii="Times New Roman" w:hAnsi="Times New Roman"/>
        </w:rPr>
        <w:t xml:space="preserve">Sierra Madre of Chiapas in </w:t>
      </w:r>
      <w:r w:rsidR="005C2189" w:rsidRPr="00632DBC">
        <w:rPr>
          <w:rFonts w:ascii="Times New Roman" w:hAnsi="Times New Roman"/>
        </w:rPr>
        <w:t>south eastern</w:t>
      </w:r>
      <w:r w:rsidRPr="00632DBC">
        <w:rPr>
          <w:rFonts w:ascii="Times New Roman" w:hAnsi="Times New Roman"/>
        </w:rPr>
        <w:t xml:space="preserve"> Mexico is a biodiversity hotspot with a tradition of smallholder shade-grown coffee production within and around protected areas and Biosphere reserves. The Chiapas Sierra Madre ecological region spans approximately one million hectares, of which 47% c</w:t>
      </w:r>
      <w:r w:rsidR="005C2189" w:rsidRPr="00632DBC">
        <w:rPr>
          <w:rFonts w:ascii="Times New Roman" w:hAnsi="Times New Roman"/>
        </w:rPr>
        <w:t xml:space="preserve">orresponds to </w:t>
      </w:r>
      <w:r w:rsidR="005C2189" w:rsidRPr="00632DBC">
        <w:rPr>
          <w:rFonts w:ascii="Times New Roman" w:hAnsi="Times New Roman"/>
        </w:rPr>
        <w:lastRenderedPageBreak/>
        <w:t>protected areas (</w:t>
      </w:r>
      <w:r w:rsidRPr="00632DBC">
        <w:rPr>
          <w:rFonts w:ascii="Times New Roman" w:hAnsi="Times New Roman"/>
        </w:rPr>
        <w:t>incl</w:t>
      </w:r>
      <w:r w:rsidR="005C2189" w:rsidRPr="00632DBC">
        <w:rPr>
          <w:rFonts w:ascii="Times New Roman" w:hAnsi="Times New Roman"/>
        </w:rPr>
        <w:t>uding three Biosphere Reserves)</w:t>
      </w:r>
      <w:r w:rsidRPr="00632DBC">
        <w:rPr>
          <w:rFonts w:ascii="Times New Roman" w:hAnsi="Times New Roman"/>
        </w:rPr>
        <w:t xml:space="preserve"> managed by the federal government.</w:t>
      </w:r>
      <w:r w:rsidRPr="00632DBC">
        <w:rPr>
          <w:rStyle w:val="FootnoteReference"/>
          <w:rFonts w:ascii="Times New Roman" w:hAnsi="Times New Roman"/>
        </w:rPr>
        <w:footnoteReference w:id="196"/>
      </w:r>
      <w:r w:rsidR="005C2189" w:rsidRPr="00632DBC">
        <w:rPr>
          <w:rFonts w:ascii="Times New Roman" w:hAnsi="Times New Roman"/>
        </w:rPr>
        <w:t xml:space="preserve"> A</w:t>
      </w:r>
      <w:r w:rsidRPr="00632DBC">
        <w:rPr>
          <w:rFonts w:ascii="Times New Roman" w:hAnsi="Times New Roman"/>
        </w:rPr>
        <w:t xml:space="preserve">pproximately 14% of the region is covered in coffee plantations, ranging from sun-grown </w:t>
      </w:r>
      <w:proofErr w:type="spellStart"/>
      <w:r w:rsidRPr="00632DBC">
        <w:rPr>
          <w:rFonts w:ascii="Times New Roman" w:hAnsi="Times New Roman"/>
          <w:i/>
        </w:rPr>
        <w:t>robusta</w:t>
      </w:r>
      <w:proofErr w:type="spellEnd"/>
      <w:r w:rsidRPr="00632DBC">
        <w:rPr>
          <w:rFonts w:ascii="Times New Roman" w:hAnsi="Times New Roman"/>
        </w:rPr>
        <w:t xml:space="preserve"> coffee monocultures in the lower regions, to diversified shade-grown agroforestry systems in and around cloud forests.</w:t>
      </w:r>
      <w:r w:rsidRPr="00632DBC">
        <w:rPr>
          <w:rStyle w:val="FootnoteReference"/>
          <w:rFonts w:ascii="Times New Roman" w:hAnsi="Times New Roman"/>
        </w:rPr>
        <w:footnoteReference w:id="197"/>
      </w:r>
      <w:r w:rsidRPr="00632DBC">
        <w:rPr>
          <w:rFonts w:ascii="Times New Roman" w:hAnsi="Times New Roman"/>
        </w:rPr>
        <w:t xml:space="preserve"> </w:t>
      </w:r>
      <w:r w:rsidR="005C2189" w:rsidRPr="00632DBC">
        <w:rPr>
          <w:rFonts w:ascii="Times New Roman" w:hAnsi="Times New Roman"/>
        </w:rPr>
        <w:t>Coffee</w:t>
      </w:r>
      <w:r w:rsidRPr="00632DBC">
        <w:rPr>
          <w:rFonts w:ascii="Times New Roman" w:hAnsi="Times New Roman"/>
        </w:rPr>
        <w:t xml:space="preserve"> agroforestry systems increase connectivity between protected areas and biodiversity hotspots.</w:t>
      </w:r>
    </w:p>
    <w:p w14:paraId="3C00F3B1" w14:textId="59F954BA" w:rsidR="0086368F" w:rsidRPr="00632DBC" w:rsidRDefault="0086368F" w:rsidP="0086368F">
      <w:pPr>
        <w:spacing w:line="240" w:lineRule="auto"/>
        <w:jc w:val="both"/>
        <w:rPr>
          <w:rFonts w:ascii="Times New Roman" w:hAnsi="Times New Roman"/>
        </w:rPr>
      </w:pPr>
      <w:r w:rsidRPr="00632DBC">
        <w:rPr>
          <w:rFonts w:ascii="Times New Roman" w:hAnsi="Times New Roman"/>
        </w:rPr>
        <w:t xml:space="preserve">As of 2011 in Central America, and 2012 in Mexico, </w:t>
      </w:r>
      <w:r w:rsidRPr="00632DBC">
        <w:rPr>
          <w:rFonts w:ascii="Times New Roman" w:hAnsi="Times New Roman"/>
          <w:i/>
        </w:rPr>
        <w:t>arabica</w:t>
      </w:r>
      <w:r w:rsidRPr="00632DBC">
        <w:rPr>
          <w:rFonts w:ascii="Times New Roman" w:hAnsi="Times New Roman"/>
        </w:rPr>
        <w:t xml:space="preserve"> coffee production has been devastated by a series of atypical outbreaks of coffee rust, in an epidemic which has been associated with global environmental change.</w:t>
      </w:r>
      <w:r w:rsidRPr="00632DBC">
        <w:rPr>
          <w:rStyle w:val="FootnoteReference"/>
          <w:rFonts w:ascii="Times New Roman" w:hAnsi="Times New Roman"/>
        </w:rPr>
        <w:footnoteReference w:id="198"/>
      </w:r>
    </w:p>
    <w:p w14:paraId="0B91AABD" w14:textId="6C8004A3" w:rsidR="0086368F" w:rsidRPr="00632DBC" w:rsidRDefault="0086368F" w:rsidP="0086368F">
      <w:pPr>
        <w:spacing w:line="240" w:lineRule="auto"/>
        <w:jc w:val="both"/>
        <w:rPr>
          <w:rFonts w:ascii="Times New Roman" w:hAnsi="Times New Roman"/>
        </w:rPr>
      </w:pPr>
      <w:r w:rsidRPr="00632DBC">
        <w:rPr>
          <w:rFonts w:ascii="Times New Roman" w:hAnsi="Times New Roman"/>
        </w:rPr>
        <w:t>Agricultural institutes and coffee companies have sought to avoid further losses in coffee production by promoting rust-tolerant coffee varieties through aggressive plantation renovation campaigns.</w:t>
      </w:r>
      <w:r w:rsidRPr="00632DBC">
        <w:rPr>
          <w:rStyle w:val="FootnoteReference"/>
          <w:rFonts w:ascii="Times New Roman" w:hAnsi="Times New Roman"/>
        </w:rPr>
        <w:footnoteReference w:id="199"/>
      </w:r>
      <w:r w:rsidRPr="00632DBC">
        <w:rPr>
          <w:rFonts w:ascii="Times New Roman" w:hAnsi="Times New Roman"/>
        </w:rPr>
        <w:t xml:space="preserve"> These coffee renovation campaigns have been acc</w:t>
      </w:r>
      <w:r w:rsidR="005B4418" w:rsidRPr="00632DBC">
        <w:rPr>
          <w:rFonts w:ascii="Times New Roman" w:hAnsi="Times New Roman"/>
        </w:rPr>
        <w:t>ompanied with recommendations for</w:t>
      </w:r>
      <w:r w:rsidRPr="00632DBC">
        <w:rPr>
          <w:rFonts w:ascii="Times New Roman" w:hAnsi="Times New Roman"/>
        </w:rPr>
        <w:t xml:space="preserve"> producers to reduce shade cover, since many </w:t>
      </w:r>
      <w:r w:rsidR="005B4418" w:rsidRPr="00632DBC">
        <w:rPr>
          <w:rFonts w:ascii="Times New Roman" w:hAnsi="Times New Roman"/>
        </w:rPr>
        <w:t xml:space="preserve">favoured </w:t>
      </w:r>
      <w:r w:rsidRPr="00632DBC">
        <w:rPr>
          <w:rFonts w:ascii="Times New Roman" w:hAnsi="Times New Roman"/>
        </w:rPr>
        <w:t>varieties are vulnerable to other diseases when grown under shade at high altitudes.</w:t>
      </w:r>
    </w:p>
    <w:p w14:paraId="6E4FDB8A" w14:textId="43AFF1D0" w:rsidR="0086368F" w:rsidRPr="00632DBC" w:rsidRDefault="0086368F" w:rsidP="0086368F">
      <w:pPr>
        <w:spacing w:line="240" w:lineRule="auto"/>
        <w:jc w:val="both"/>
        <w:rPr>
          <w:rFonts w:ascii="Times New Roman" w:hAnsi="Times New Roman"/>
        </w:rPr>
      </w:pPr>
      <w:r w:rsidRPr="00632DBC">
        <w:rPr>
          <w:rFonts w:ascii="Times New Roman" w:hAnsi="Times New Roman"/>
        </w:rPr>
        <w:t xml:space="preserve">This response has </w:t>
      </w:r>
      <w:r w:rsidR="005B4418" w:rsidRPr="00632DBC">
        <w:rPr>
          <w:rFonts w:ascii="Times New Roman" w:hAnsi="Times New Roman"/>
        </w:rPr>
        <w:t>encouraged</w:t>
      </w:r>
      <w:r w:rsidRPr="00632DBC">
        <w:rPr>
          <w:rFonts w:ascii="Times New Roman" w:hAnsi="Times New Roman"/>
        </w:rPr>
        <w:t xml:space="preserve"> the region’s coffee</w:t>
      </w:r>
      <w:r w:rsidR="005B4418" w:rsidRPr="00632DBC">
        <w:rPr>
          <w:rFonts w:ascii="Times New Roman" w:hAnsi="Times New Roman"/>
        </w:rPr>
        <w:t xml:space="preserve"> producing systems to undergo </w:t>
      </w:r>
      <w:r w:rsidRPr="00632DBC">
        <w:rPr>
          <w:rFonts w:ascii="Times New Roman" w:hAnsi="Times New Roman"/>
        </w:rPr>
        <w:t>a transition from rustic diverse crops mixed with endemic species of old growth and secondary for</w:t>
      </w:r>
      <w:r w:rsidR="005B4418" w:rsidRPr="00632DBC">
        <w:rPr>
          <w:rFonts w:ascii="Times New Roman" w:hAnsi="Times New Roman"/>
        </w:rPr>
        <w:t>est as shade</w:t>
      </w:r>
      <w:r w:rsidRPr="00632DBC">
        <w:rPr>
          <w:rFonts w:ascii="Times New Roman" w:hAnsi="Times New Roman"/>
        </w:rPr>
        <w:t xml:space="preserve"> to</w:t>
      </w:r>
      <w:r w:rsidR="005B4418" w:rsidRPr="00632DBC">
        <w:rPr>
          <w:rFonts w:ascii="Times New Roman" w:hAnsi="Times New Roman"/>
        </w:rPr>
        <w:t>,</w:t>
      </w:r>
      <w:r w:rsidRPr="00632DBC">
        <w:rPr>
          <w:rFonts w:ascii="Times New Roman" w:hAnsi="Times New Roman"/>
        </w:rPr>
        <w:t xml:space="preserve"> commercial sun-grown monocultures of rust-tolerant coffee varieties that have constrained the diversity of shade cover.</w:t>
      </w:r>
      <w:r w:rsidRPr="00632DBC">
        <w:rPr>
          <w:rStyle w:val="FootnoteReference"/>
          <w:rFonts w:ascii="Times New Roman" w:hAnsi="Times New Roman"/>
        </w:rPr>
        <w:footnoteReference w:id="200"/>
      </w:r>
      <w:r w:rsidR="005B4418" w:rsidRPr="00632DBC">
        <w:rPr>
          <w:rFonts w:ascii="Times New Roman" w:hAnsi="Times New Roman"/>
        </w:rPr>
        <w:t xml:space="preserve"> The latter </w:t>
      </w:r>
      <w:r w:rsidRPr="00632DBC">
        <w:rPr>
          <w:rFonts w:ascii="Times New Roman" w:hAnsi="Times New Roman"/>
        </w:rPr>
        <w:t xml:space="preserve">type of coffee plantations has fostered a transition from low intensity organic management to a high intensity management </w:t>
      </w:r>
      <w:r w:rsidR="005B4418" w:rsidRPr="00632DBC">
        <w:rPr>
          <w:rFonts w:ascii="Times New Roman" w:hAnsi="Times New Roman"/>
        </w:rPr>
        <w:t xml:space="preserve">that is </w:t>
      </w:r>
      <w:r w:rsidRPr="00632DBC">
        <w:rPr>
          <w:rFonts w:ascii="Times New Roman" w:hAnsi="Times New Roman"/>
        </w:rPr>
        <w:t xml:space="preserve">increasingly dependent on </w:t>
      </w:r>
      <w:proofErr w:type="spellStart"/>
      <w:r w:rsidRPr="00632DBC">
        <w:rPr>
          <w:rFonts w:ascii="Times New Roman" w:hAnsi="Times New Roman"/>
        </w:rPr>
        <w:t>agro</w:t>
      </w:r>
      <w:proofErr w:type="spellEnd"/>
      <w:r w:rsidRPr="00632DBC">
        <w:rPr>
          <w:rFonts w:ascii="Times New Roman" w:hAnsi="Times New Roman"/>
        </w:rPr>
        <w:t xml:space="preserve">-chemical inputs. </w:t>
      </w:r>
      <w:r w:rsidR="005B4418" w:rsidRPr="00632DBC">
        <w:rPr>
          <w:rFonts w:ascii="Times New Roman" w:hAnsi="Times New Roman"/>
        </w:rPr>
        <w:t>In this region, t</w:t>
      </w:r>
      <w:r w:rsidRPr="00632DBC">
        <w:rPr>
          <w:rFonts w:ascii="Times New Roman" w:hAnsi="Times New Roman"/>
        </w:rPr>
        <w:t>he overall outcome has been land-use change, forest degradation, biodiversity loss, fragmentation in the continuum of certain species, and deepening of producers’ dependency on extern</w:t>
      </w:r>
      <w:r w:rsidR="005B4418" w:rsidRPr="00632DBC">
        <w:rPr>
          <w:rFonts w:ascii="Times New Roman" w:hAnsi="Times New Roman"/>
        </w:rPr>
        <w:t>al inputs. At the same time,</w:t>
      </w:r>
      <w:r w:rsidRPr="00632DBC">
        <w:rPr>
          <w:rFonts w:ascii="Times New Roman" w:hAnsi="Times New Roman"/>
        </w:rPr>
        <w:t xml:space="preserve"> new rust-resistant varieties have been questioned by the coffee industry for their limited storage capacity and lower cup quality.</w:t>
      </w:r>
      <w:r w:rsidRPr="00632DBC">
        <w:rPr>
          <w:rStyle w:val="FootnoteReference"/>
          <w:rFonts w:ascii="Times New Roman" w:hAnsi="Times New Roman"/>
        </w:rPr>
        <w:footnoteReference w:id="201"/>
      </w:r>
      <w:r w:rsidRPr="00632DBC">
        <w:rPr>
          <w:rFonts w:ascii="Times New Roman" w:hAnsi="Times New Roman"/>
        </w:rPr>
        <w:t xml:space="preserve">  </w:t>
      </w:r>
    </w:p>
    <w:p w14:paraId="500C7E79" w14:textId="6E555654" w:rsidR="00BC2CB2" w:rsidRPr="00632DBC" w:rsidRDefault="00BC2CB2" w:rsidP="0086368F">
      <w:pPr>
        <w:spacing w:line="240" w:lineRule="auto"/>
        <w:jc w:val="both"/>
        <w:rPr>
          <w:rFonts w:ascii="Times New Roman" w:hAnsi="Times New Roman"/>
        </w:rPr>
      </w:pPr>
      <w:r w:rsidRPr="00632DBC">
        <w:rPr>
          <w:rFonts w:ascii="Times New Roman" w:hAnsi="Times New Roman"/>
        </w:rPr>
        <w:t>This drastic change represents a setback for</w:t>
      </w:r>
      <w:r w:rsidR="0086368F" w:rsidRPr="00632DBC">
        <w:rPr>
          <w:rFonts w:ascii="Times New Roman" w:hAnsi="Times New Roman"/>
        </w:rPr>
        <w:t xml:space="preserve"> the fulfilment of international commitments </w:t>
      </w:r>
      <w:proofErr w:type="gramStart"/>
      <w:r w:rsidR="0086368F" w:rsidRPr="00632DBC">
        <w:rPr>
          <w:rFonts w:ascii="Times New Roman" w:hAnsi="Times New Roman"/>
        </w:rPr>
        <w:t>in light of</w:t>
      </w:r>
      <w:proofErr w:type="gramEnd"/>
      <w:r w:rsidR="0086368F" w:rsidRPr="00632DBC">
        <w:rPr>
          <w:rFonts w:ascii="Times New Roman" w:hAnsi="Times New Roman"/>
        </w:rPr>
        <w:t xml:space="preserve"> global envi</w:t>
      </w:r>
      <w:r w:rsidRPr="00632DBC">
        <w:rPr>
          <w:rFonts w:ascii="Times New Roman" w:hAnsi="Times New Roman"/>
        </w:rPr>
        <w:t>ronmental change. This</w:t>
      </w:r>
      <w:r w:rsidR="0086368F" w:rsidRPr="00632DBC">
        <w:rPr>
          <w:rFonts w:ascii="Times New Roman" w:hAnsi="Times New Roman"/>
        </w:rPr>
        <w:t xml:space="preserve"> include</w:t>
      </w:r>
      <w:r w:rsidRPr="00632DBC">
        <w:rPr>
          <w:rFonts w:ascii="Times New Roman" w:hAnsi="Times New Roman"/>
        </w:rPr>
        <w:t>s</w:t>
      </w:r>
      <w:r w:rsidR="0086368F" w:rsidRPr="00632DBC">
        <w:rPr>
          <w:rFonts w:ascii="Times New Roman" w:hAnsi="Times New Roman"/>
        </w:rPr>
        <w:t xml:space="preserve"> the CBD’s Aichi Biodiversity Targets, which discuss enhancing biodiversity and ecosystems services through sustainable management of agricultural areas, while recognizing the role of agricultural biodiversity in addressing pests and diseas</w:t>
      </w:r>
      <w:r w:rsidRPr="00632DBC">
        <w:rPr>
          <w:rFonts w:ascii="Times New Roman" w:hAnsi="Times New Roman"/>
        </w:rPr>
        <w:t>es (c.f. Targets 7, 13 and 14).</w:t>
      </w:r>
    </w:p>
    <w:p w14:paraId="6B94A91C" w14:textId="50B84DDC" w:rsidR="0086368F" w:rsidRPr="00632DBC" w:rsidRDefault="00BC2CB2" w:rsidP="0086368F">
      <w:pPr>
        <w:spacing w:line="240" w:lineRule="auto"/>
        <w:jc w:val="both"/>
        <w:rPr>
          <w:rFonts w:ascii="Times New Roman" w:hAnsi="Times New Roman"/>
        </w:rPr>
      </w:pPr>
      <w:r w:rsidRPr="00632DBC">
        <w:rPr>
          <w:rFonts w:ascii="Times New Roman" w:hAnsi="Times New Roman"/>
        </w:rPr>
        <w:t>S</w:t>
      </w:r>
      <w:r w:rsidR="0086368F" w:rsidRPr="00632DBC">
        <w:rPr>
          <w:rFonts w:ascii="Times New Roman" w:hAnsi="Times New Roman"/>
        </w:rPr>
        <w:t xml:space="preserve">ome coffee cooperatives have sought to promote alternative strategies in coffee leaf rust management. These include plantation renovation campaigns with high-quality coffee varieties, pest management strategies based on principles of agroecology, and producer training </w:t>
      </w:r>
      <w:proofErr w:type="gramStart"/>
      <w:r w:rsidR="0086368F" w:rsidRPr="00632DBC">
        <w:rPr>
          <w:rFonts w:ascii="Times New Roman" w:hAnsi="Times New Roman"/>
        </w:rPr>
        <w:t>in order to</w:t>
      </w:r>
      <w:proofErr w:type="gramEnd"/>
      <w:r w:rsidR="0086368F" w:rsidRPr="00632DBC">
        <w:rPr>
          <w:rFonts w:ascii="Times New Roman" w:hAnsi="Times New Roman"/>
        </w:rPr>
        <w:t xml:space="preserve"> strengthen pest management. </w:t>
      </w:r>
      <w:r w:rsidRPr="00632DBC">
        <w:rPr>
          <w:rFonts w:ascii="Times New Roman" w:hAnsi="Times New Roman"/>
        </w:rPr>
        <w:t>Though, most</w:t>
      </w:r>
      <w:r w:rsidR="0086368F" w:rsidRPr="00632DBC">
        <w:rPr>
          <w:rFonts w:ascii="Times New Roman" w:hAnsi="Times New Roman"/>
        </w:rPr>
        <w:t xml:space="preserve"> producers are pressured by economic losses to enter credit schemes</w:t>
      </w:r>
      <w:r w:rsidR="00A3063C">
        <w:rPr>
          <w:rFonts w:ascii="Times New Roman" w:hAnsi="Times New Roman"/>
        </w:rPr>
        <w:t xml:space="preserve"> that promote </w:t>
      </w:r>
      <w:r w:rsidR="0086368F" w:rsidRPr="00632DBC">
        <w:rPr>
          <w:rFonts w:ascii="Times New Roman" w:hAnsi="Times New Roman"/>
        </w:rPr>
        <w:t>low quality coffee varieties which require less shade cover and more agricultural inputs (mai</w:t>
      </w:r>
      <w:r w:rsidRPr="00632DBC">
        <w:rPr>
          <w:rFonts w:ascii="Times New Roman" w:hAnsi="Times New Roman"/>
        </w:rPr>
        <w:t>nly fertilizers and fungicides). T</w:t>
      </w:r>
      <w:r w:rsidR="0086368F" w:rsidRPr="00632DBC">
        <w:rPr>
          <w:rFonts w:ascii="Times New Roman" w:hAnsi="Times New Roman"/>
        </w:rPr>
        <w:t>hese coffee cooperatives are betting on maintaining coffee quality and traditional shade-grown varieties, rather than competing with large producers in terms of quantity.</w:t>
      </w:r>
    </w:p>
    <w:p w14:paraId="412880AC" w14:textId="11DA13DD" w:rsidR="0086368F" w:rsidRPr="00632DBC" w:rsidRDefault="0086368F" w:rsidP="0086368F">
      <w:pPr>
        <w:spacing w:line="240" w:lineRule="auto"/>
        <w:jc w:val="both"/>
        <w:rPr>
          <w:rFonts w:ascii="Times New Roman" w:hAnsi="Times New Roman"/>
        </w:rPr>
      </w:pPr>
      <w:r w:rsidRPr="00632DBC">
        <w:rPr>
          <w:rFonts w:ascii="Times New Roman" w:hAnsi="Times New Roman"/>
        </w:rPr>
        <w:lastRenderedPageBreak/>
        <w:t>In seeking</w:t>
      </w:r>
      <w:r w:rsidR="0030389D" w:rsidRPr="00632DBC">
        <w:rPr>
          <w:rFonts w:ascii="Times New Roman" w:hAnsi="Times New Roman"/>
        </w:rPr>
        <w:t xml:space="preserve"> to support local initiatives that favour</w:t>
      </w:r>
      <w:r w:rsidRPr="00632DBC">
        <w:rPr>
          <w:rFonts w:ascii="Times New Roman" w:hAnsi="Times New Roman"/>
        </w:rPr>
        <w:t xml:space="preserve"> shade-grown coffee producers and their ecosystems, the research centre </w:t>
      </w:r>
      <w:proofErr w:type="spellStart"/>
      <w:r w:rsidRPr="00632DBC">
        <w:rPr>
          <w:rFonts w:ascii="Times New Roman" w:hAnsi="Times New Roman"/>
          <w:i/>
        </w:rPr>
        <w:t>Programa</w:t>
      </w:r>
      <w:proofErr w:type="spellEnd"/>
      <w:r w:rsidRPr="00632DBC">
        <w:rPr>
          <w:rFonts w:ascii="Times New Roman" w:hAnsi="Times New Roman"/>
          <w:i/>
        </w:rPr>
        <w:t xml:space="preserve"> </w:t>
      </w:r>
      <w:proofErr w:type="spellStart"/>
      <w:r w:rsidRPr="00632DBC">
        <w:rPr>
          <w:rFonts w:ascii="Times New Roman" w:hAnsi="Times New Roman"/>
          <w:i/>
        </w:rPr>
        <w:t>Mexicano</w:t>
      </w:r>
      <w:proofErr w:type="spellEnd"/>
      <w:r w:rsidRPr="00632DBC">
        <w:rPr>
          <w:rFonts w:ascii="Times New Roman" w:hAnsi="Times New Roman"/>
          <w:i/>
        </w:rPr>
        <w:t xml:space="preserve"> del </w:t>
      </w:r>
      <w:proofErr w:type="spellStart"/>
      <w:r w:rsidRPr="00632DBC">
        <w:rPr>
          <w:rFonts w:ascii="Times New Roman" w:hAnsi="Times New Roman"/>
          <w:i/>
        </w:rPr>
        <w:t>Carbono</w:t>
      </w:r>
      <w:proofErr w:type="spellEnd"/>
      <w:r w:rsidRPr="00632DBC">
        <w:rPr>
          <w:rFonts w:ascii="Times New Roman" w:hAnsi="Times New Roman"/>
        </w:rPr>
        <w:t xml:space="preserve"> (Mexican Carbon Programme) has carried out a diagnostic of the environmental impacts of the coffee rus</w:t>
      </w:r>
      <w:r w:rsidR="00444556" w:rsidRPr="00632DBC">
        <w:rPr>
          <w:rFonts w:ascii="Times New Roman" w:hAnsi="Times New Roman"/>
        </w:rPr>
        <w:t xml:space="preserve">t epidemic. They also looked at </w:t>
      </w:r>
      <w:r w:rsidRPr="00632DBC">
        <w:rPr>
          <w:rFonts w:ascii="Times New Roman" w:hAnsi="Times New Roman"/>
        </w:rPr>
        <w:t>the</w:t>
      </w:r>
      <w:r w:rsidR="00444556" w:rsidRPr="00632DBC">
        <w:rPr>
          <w:rFonts w:ascii="Times New Roman" w:hAnsi="Times New Roman"/>
        </w:rPr>
        <w:t xml:space="preserve"> impacts of </w:t>
      </w:r>
      <w:r w:rsidRPr="00632DBC">
        <w:rPr>
          <w:rFonts w:ascii="Times New Roman" w:hAnsi="Times New Roman"/>
        </w:rPr>
        <w:t>corresponding land use change, on the region’s carbon stocks, floristic diversity, and soil nutrition. Results shed light on carbon emissions and biodiversity loss in</w:t>
      </w:r>
      <w:r w:rsidR="00C908A0" w:rsidRPr="00632DBC">
        <w:rPr>
          <w:rFonts w:ascii="Times New Roman" w:hAnsi="Times New Roman"/>
        </w:rPr>
        <w:t xml:space="preserve"> the</w:t>
      </w:r>
      <w:r w:rsidRPr="00632DBC">
        <w:rPr>
          <w:rFonts w:ascii="Times New Roman" w:hAnsi="Times New Roman"/>
        </w:rPr>
        <w:t xml:space="preserve"> transition from complex polycultures of shade-grown coffee to high-productivity landscapes of new coffee plantations with varieties produ</w:t>
      </w:r>
      <w:r w:rsidR="00C908A0" w:rsidRPr="00632DBC">
        <w:rPr>
          <w:rFonts w:ascii="Times New Roman" w:hAnsi="Times New Roman"/>
        </w:rPr>
        <w:t xml:space="preserve">ced for industrial management. </w:t>
      </w:r>
      <w:r w:rsidRPr="00632DBC">
        <w:rPr>
          <w:rFonts w:ascii="Times New Roman" w:hAnsi="Times New Roman"/>
        </w:rPr>
        <w:t>This social-ecological study is the basis for a series of proposed biodiversity financing mechanisms that favour carbon stocks and biodiversity in shade-grown coffee systems of the Chiapas Sierra Madre.</w:t>
      </w:r>
    </w:p>
    <w:p w14:paraId="49DD16BB" w14:textId="7A0097E7" w:rsidR="0086368F" w:rsidRPr="00632DBC" w:rsidRDefault="0086368F" w:rsidP="0086368F">
      <w:pPr>
        <w:spacing w:line="240" w:lineRule="auto"/>
        <w:jc w:val="both"/>
        <w:rPr>
          <w:rFonts w:ascii="Times New Roman" w:hAnsi="Times New Roman"/>
        </w:rPr>
      </w:pPr>
      <w:r w:rsidRPr="00632DBC">
        <w:rPr>
          <w:rFonts w:ascii="Times New Roman" w:hAnsi="Times New Roman"/>
        </w:rPr>
        <w:t>Proposed BFM include a certification currently under discussion with coffee cooperatives and fair-trade consumers, which would provide additional value to the carbon stocks and biodiversity in shade-grown coffee fields</w:t>
      </w:r>
      <w:r w:rsidR="00BA17A8" w:rsidRPr="00632DBC">
        <w:rPr>
          <w:rFonts w:ascii="Times New Roman" w:hAnsi="Times New Roman"/>
        </w:rPr>
        <w:t>.</w:t>
      </w:r>
      <w:r w:rsidR="008E0AD6" w:rsidRPr="00632DBC">
        <w:rPr>
          <w:rFonts w:ascii="Times New Roman" w:hAnsi="Times New Roman"/>
        </w:rPr>
        <w:t xml:space="preserve"> </w:t>
      </w:r>
      <w:r w:rsidRPr="00632DBC">
        <w:rPr>
          <w:rFonts w:ascii="Times New Roman" w:hAnsi="Times New Roman"/>
        </w:rPr>
        <w:t xml:space="preserve">Furthermore, the </w:t>
      </w:r>
      <w:proofErr w:type="spellStart"/>
      <w:r w:rsidRPr="00632DBC">
        <w:rPr>
          <w:rFonts w:ascii="Times New Roman" w:hAnsi="Times New Roman"/>
          <w:i/>
        </w:rPr>
        <w:t>Programa</w:t>
      </w:r>
      <w:proofErr w:type="spellEnd"/>
      <w:r w:rsidRPr="00632DBC">
        <w:rPr>
          <w:rFonts w:ascii="Times New Roman" w:hAnsi="Times New Roman"/>
          <w:i/>
        </w:rPr>
        <w:t xml:space="preserve"> </w:t>
      </w:r>
      <w:proofErr w:type="spellStart"/>
      <w:r w:rsidRPr="00632DBC">
        <w:rPr>
          <w:rFonts w:ascii="Times New Roman" w:hAnsi="Times New Roman"/>
          <w:i/>
        </w:rPr>
        <w:t>Mexicano</w:t>
      </w:r>
      <w:proofErr w:type="spellEnd"/>
      <w:r w:rsidRPr="00632DBC">
        <w:rPr>
          <w:rFonts w:ascii="Times New Roman" w:hAnsi="Times New Roman"/>
          <w:i/>
        </w:rPr>
        <w:t xml:space="preserve"> del </w:t>
      </w:r>
      <w:proofErr w:type="spellStart"/>
      <w:r w:rsidRPr="00632DBC">
        <w:rPr>
          <w:rFonts w:ascii="Times New Roman" w:hAnsi="Times New Roman"/>
          <w:i/>
        </w:rPr>
        <w:t>Carbono</w:t>
      </w:r>
      <w:proofErr w:type="spellEnd"/>
      <w:r w:rsidRPr="00632DBC">
        <w:rPr>
          <w:rFonts w:ascii="Times New Roman" w:hAnsi="Times New Roman"/>
        </w:rPr>
        <w:t xml:space="preserve"> is currently developing an insurance scheme to cover losses from coffee rust and avoid deforestation and habitat loss. </w:t>
      </w:r>
      <w:r w:rsidR="00BA17A8" w:rsidRPr="00632DBC">
        <w:rPr>
          <w:rFonts w:ascii="Times New Roman" w:hAnsi="Times New Roman"/>
        </w:rPr>
        <w:t xml:space="preserve">In 2018, environmental authorities published </w:t>
      </w:r>
      <w:r w:rsidRPr="00632DBC">
        <w:rPr>
          <w:rFonts w:ascii="Times New Roman" w:hAnsi="Times New Roman"/>
        </w:rPr>
        <w:t>a decree which seeks to regulate coffee renovation investments within the protected areas of this region so that they foment shade-grown agroforestry systems which are compatible with biodiversity conservation.</w:t>
      </w:r>
      <w:r w:rsidRPr="00632DBC">
        <w:rPr>
          <w:rStyle w:val="FootnoteReference"/>
          <w:rFonts w:ascii="Times New Roman" w:hAnsi="Times New Roman"/>
        </w:rPr>
        <w:footnoteReference w:id="202"/>
      </w:r>
      <w:r w:rsidRPr="00632DBC">
        <w:rPr>
          <w:rFonts w:ascii="Times New Roman" w:hAnsi="Times New Roman"/>
        </w:rPr>
        <w:t xml:space="preserve"> This decree was a product of a long process of multi-stakeholder meetings and discussions which brought together environmental authorities with research centres and civil society organizations.</w:t>
      </w:r>
    </w:p>
    <w:p w14:paraId="41BDF261" w14:textId="1EC21FE7" w:rsidR="0086368F" w:rsidRPr="00632DBC" w:rsidRDefault="0086368F" w:rsidP="0086368F">
      <w:pPr>
        <w:spacing w:line="240" w:lineRule="auto"/>
        <w:jc w:val="both"/>
        <w:rPr>
          <w:rFonts w:ascii="Times New Roman" w:hAnsi="Times New Roman"/>
        </w:rPr>
      </w:pPr>
      <w:r w:rsidRPr="00632DBC">
        <w:rPr>
          <w:rFonts w:ascii="Times New Roman" w:hAnsi="Times New Roman"/>
        </w:rPr>
        <w:t xml:space="preserve">These BFM are the result of a two-year collaborative research program which brings together universities, research institutes, producers organisations and community authorities to seek alternatives to the social-ecological crisis derived from the coffee leaf rust epidemic. </w:t>
      </w:r>
      <w:r w:rsidR="00A23F51" w:rsidRPr="00632DBC">
        <w:rPr>
          <w:rFonts w:ascii="Times New Roman" w:hAnsi="Times New Roman"/>
        </w:rPr>
        <w:t>This</w:t>
      </w:r>
      <w:r w:rsidRPr="00632DBC">
        <w:rPr>
          <w:rFonts w:ascii="Times New Roman" w:hAnsi="Times New Roman"/>
        </w:rPr>
        <w:t xml:space="preserve"> work has been promoted by a public</w:t>
      </w:r>
      <w:r w:rsidR="00A23F51" w:rsidRPr="00632DBC">
        <w:rPr>
          <w:rFonts w:ascii="Times New Roman" w:hAnsi="Times New Roman"/>
        </w:rPr>
        <w:t>ly funded research institute which has</w:t>
      </w:r>
      <w:r w:rsidRPr="00632DBC">
        <w:rPr>
          <w:rFonts w:ascii="Times New Roman" w:hAnsi="Times New Roman"/>
        </w:rPr>
        <w:t xml:space="preserve"> allowed for involved actors to dedicate </w:t>
      </w:r>
      <w:r w:rsidR="00A23F51" w:rsidRPr="00632DBC">
        <w:rPr>
          <w:rFonts w:ascii="Times New Roman" w:hAnsi="Times New Roman"/>
        </w:rPr>
        <w:t xml:space="preserve">the necessary time </w:t>
      </w:r>
      <w:proofErr w:type="gramStart"/>
      <w:r w:rsidR="00A23F51" w:rsidRPr="00632DBC">
        <w:rPr>
          <w:rFonts w:ascii="Times New Roman" w:hAnsi="Times New Roman"/>
        </w:rPr>
        <w:t>in order to</w:t>
      </w:r>
      <w:proofErr w:type="gramEnd"/>
      <w:r w:rsidR="00A23F51" w:rsidRPr="00632DBC">
        <w:rPr>
          <w:rFonts w:ascii="Times New Roman" w:hAnsi="Times New Roman"/>
        </w:rPr>
        <w:t xml:space="preserve"> e</w:t>
      </w:r>
      <w:r w:rsidRPr="00632DBC">
        <w:rPr>
          <w:rFonts w:ascii="Times New Roman" w:hAnsi="Times New Roman"/>
        </w:rPr>
        <w:t>nsu</w:t>
      </w:r>
      <w:r w:rsidR="00A23F51" w:rsidRPr="00632DBC">
        <w:rPr>
          <w:rFonts w:ascii="Times New Roman" w:hAnsi="Times New Roman"/>
        </w:rPr>
        <w:t>re transparency and build trust. Particularly</w:t>
      </w:r>
      <w:r w:rsidRPr="00632DBC">
        <w:rPr>
          <w:rFonts w:ascii="Times New Roman" w:hAnsi="Times New Roman"/>
        </w:rPr>
        <w:t xml:space="preserve"> between dedicated researchers in the field and coffee producers throughout the region. At the same time, collaboration agreements have been consolidated between research institutes, producers’ organisations and government institutions to foment multilevel governance arrangements and institutional accountability.</w:t>
      </w:r>
    </w:p>
    <w:p w14:paraId="1A08479F" w14:textId="47230F9F" w:rsidR="00A262C9" w:rsidRPr="00632DBC" w:rsidRDefault="00FF79F3" w:rsidP="0086368F">
      <w:pPr>
        <w:spacing w:line="240" w:lineRule="auto"/>
        <w:jc w:val="both"/>
        <w:rPr>
          <w:rFonts w:ascii="Times New Roman" w:hAnsi="Times New Roman"/>
        </w:rPr>
      </w:pPr>
      <w:r w:rsidRPr="00632DBC">
        <w:rPr>
          <w:rFonts w:ascii="Times New Roman" w:hAnsi="Times New Roman"/>
        </w:rPr>
        <w:t xml:space="preserve">Land tenure arrangements are a key issue in the governance of </w:t>
      </w:r>
      <w:r w:rsidR="00A23F51" w:rsidRPr="00632DBC">
        <w:rPr>
          <w:rFonts w:ascii="Times New Roman" w:hAnsi="Times New Roman"/>
        </w:rPr>
        <w:t xml:space="preserve">agriculturally </w:t>
      </w:r>
      <w:r w:rsidRPr="00632DBC">
        <w:rPr>
          <w:rFonts w:ascii="Times New Roman" w:hAnsi="Times New Roman"/>
        </w:rPr>
        <w:t>biodiverse systems</w:t>
      </w:r>
      <w:r w:rsidR="00E51919" w:rsidRPr="00632DBC">
        <w:rPr>
          <w:rFonts w:ascii="Times New Roman" w:hAnsi="Times New Roman"/>
        </w:rPr>
        <w:t xml:space="preserve"> (see Table 6)</w:t>
      </w:r>
      <w:r w:rsidRPr="00632DBC">
        <w:rPr>
          <w:rFonts w:ascii="Times New Roman" w:hAnsi="Times New Roman"/>
        </w:rPr>
        <w:t>.</w:t>
      </w:r>
      <w:r w:rsidR="00A23F51" w:rsidRPr="00632DBC">
        <w:rPr>
          <w:rFonts w:ascii="Times New Roman" w:hAnsi="Times New Roman"/>
        </w:rPr>
        <w:t xml:space="preserve"> For example, p</w:t>
      </w:r>
      <w:r w:rsidR="00A262C9" w:rsidRPr="00632DBC">
        <w:rPr>
          <w:rFonts w:ascii="Times New Roman" w:hAnsi="Times New Roman"/>
        </w:rPr>
        <w:t xml:space="preserve">rotected areas in Mexico tend to respect pre-existing land tenure, presenting the need for collaboration between conservation authorities and local inhabitants. The environmental authority CONANP (National Commission of Natural Protected Areas) is attributed to manage protected areas through management plans which </w:t>
      </w:r>
      <w:r w:rsidR="00A23F51" w:rsidRPr="00632DBC">
        <w:rPr>
          <w:rFonts w:ascii="Times New Roman" w:hAnsi="Times New Roman"/>
        </w:rPr>
        <w:t>regulate permitted activities. In 2018, after c</w:t>
      </w:r>
      <w:r w:rsidR="00A262C9" w:rsidRPr="00632DBC">
        <w:rPr>
          <w:rFonts w:ascii="Times New Roman" w:hAnsi="Times New Roman"/>
        </w:rPr>
        <w:t xml:space="preserve">onsidering the environmental impacts of the responses to the coffee rust epidemic within protected areas in the Sierra Madre, CONANP published a decree inviting investments in coffee plantation renovation to </w:t>
      </w:r>
      <w:r w:rsidR="00A23F51" w:rsidRPr="00632DBC">
        <w:rPr>
          <w:rFonts w:ascii="Times New Roman" w:hAnsi="Times New Roman"/>
        </w:rPr>
        <w:t xml:space="preserve">encourage </w:t>
      </w:r>
      <w:r w:rsidR="00A262C9" w:rsidRPr="00632DBC">
        <w:rPr>
          <w:rFonts w:ascii="Times New Roman" w:hAnsi="Times New Roman"/>
        </w:rPr>
        <w:t>sh</w:t>
      </w:r>
      <w:r w:rsidR="00A23F51" w:rsidRPr="00632DBC">
        <w:rPr>
          <w:rFonts w:ascii="Times New Roman" w:hAnsi="Times New Roman"/>
        </w:rPr>
        <w:t xml:space="preserve">ade-grown agroforestry systems that </w:t>
      </w:r>
      <w:r w:rsidR="00A262C9" w:rsidRPr="00632DBC">
        <w:rPr>
          <w:rFonts w:ascii="Times New Roman" w:hAnsi="Times New Roman"/>
        </w:rPr>
        <w:t>are compatible with biodiversity conservation</w:t>
      </w:r>
      <w:r w:rsidR="00A23F51" w:rsidRPr="00632DBC">
        <w:rPr>
          <w:rFonts w:ascii="Calibri" w:hAnsi="Calibri"/>
          <w:sz w:val="14"/>
        </w:rPr>
        <w:t xml:space="preserve">. </w:t>
      </w:r>
      <w:r w:rsidRPr="00632DBC">
        <w:rPr>
          <w:rFonts w:ascii="Times New Roman" w:hAnsi="Times New Roman"/>
        </w:rPr>
        <w:t>Despite prolonged timeframes, multi-stakeholder fora can contribute data-driven policy recommendations in favour of sustainable pathways, which combine sustainable production with biodiversity conservation. The challenge remains of converting decrees which favour BFM into implementation</w:t>
      </w:r>
      <w:r w:rsidR="00E77B5A" w:rsidRPr="00632DBC">
        <w:rPr>
          <w:rFonts w:ascii="Times New Roman" w:hAnsi="Times New Roman"/>
        </w:rPr>
        <w:t xml:space="preserve"> (see Table 7 for lessons learned from this case)</w:t>
      </w:r>
      <w:r w:rsidR="00E51919" w:rsidRPr="00632DBC">
        <w:rPr>
          <w:rFonts w:ascii="Times New Roman" w:hAnsi="Times New Roman"/>
        </w:rPr>
        <w:t>.</w:t>
      </w:r>
    </w:p>
    <w:p w14:paraId="38A6F0AA" w14:textId="1B4C211A" w:rsidR="00DF2423" w:rsidRPr="00632DBC" w:rsidRDefault="00DF2423" w:rsidP="00950401">
      <w:pPr>
        <w:pStyle w:val="Caption"/>
        <w:keepNext w:val="0"/>
      </w:pPr>
      <w:bookmarkStart w:id="155" w:name="_Toc398935610"/>
      <w:bookmarkStart w:id="156" w:name="_Toc398936075"/>
      <w:bookmarkStart w:id="157" w:name="_Toc529192215"/>
      <w:r w:rsidRPr="00632DBC">
        <w:t xml:space="preserve">Table </w:t>
      </w:r>
      <w:r w:rsidRPr="00632DBC">
        <w:fldChar w:fldCharType="begin"/>
      </w:r>
      <w:r w:rsidRPr="00632DBC">
        <w:instrText xml:space="preserve"> SEQ Table \* ARABIC </w:instrText>
      </w:r>
      <w:r w:rsidRPr="00632DBC">
        <w:fldChar w:fldCharType="separate"/>
      </w:r>
      <w:r w:rsidR="00251833" w:rsidRPr="00632DBC">
        <w:rPr>
          <w:noProof/>
        </w:rPr>
        <w:t>6</w:t>
      </w:r>
      <w:r w:rsidRPr="00632DBC">
        <w:fldChar w:fldCharType="end"/>
      </w:r>
      <w:r w:rsidR="00950401" w:rsidRPr="00632DBC">
        <w:t xml:space="preserve">. Lessons learned from safeguard-related provisions, both substantive and procedural, and their operationalization in </w:t>
      </w:r>
      <w:r w:rsidR="00FF79F3" w:rsidRPr="00632DBC">
        <w:t>agroforestry diverse systems</w:t>
      </w:r>
      <w:r w:rsidR="00950401" w:rsidRPr="00632DBC">
        <w:t>.</w:t>
      </w:r>
      <w:bookmarkEnd w:id="155"/>
      <w:bookmarkEnd w:id="156"/>
      <w:bookmarkEnd w:id="157"/>
    </w:p>
    <w:tbl>
      <w:tblPr>
        <w:tblStyle w:val="TableGrid"/>
        <w:tblW w:w="10632" w:type="dxa"/>
        <w:tblInd w:w="-318" w:type="dxa"/>
        <w:tblLayout w:type="fixed"/>
        <w:tblLook w:val="04A0" w:firstRow="1" w:lastRow="0" w:firstColumn="1" w:lastColumn="0" w:noHBand="0" w:noVBand="1"/>
      </w:tblPr>
      <w:tblGrid>
        <w:gridCol w:w="1183"/>
        <w:gridCol w:w="944"/>
        <w:gridCol w:w="4678"/>
        <w:gridCol w:w="3827"/>
      </w:tblGrid>
      <w:tr w:rsidR="00633A71" w:rsidRPr="00632DBC" w14:paraId="71706C73" w14:textId="77777777" w:rsidTr="005964EA">
        <w:tc>
          <w:tcPr>
            <w:tcW w:w="2127" w:type="dxa"/>
            <w:gridSpan w:val="2"/>
          </w:tcPr>
          <w:p w14:paraId="6B009B44" w14:textId="77777777" w:rsidR="0086368F" w:rsidRPr="00632DBC" w:rsidRDefault="0086368F" w:rsidP="005964EA">
            <w:pPr>
              <w:jc w:val="center"/>
              <w:rPr>
                <w:rFonts w:ascii="Calibri" w:hAnsi="Calibri"/>
                <w:b/>
              </w:rPr>
            </w:pPr>
            <w:r w:rsidRPr="00632DBC">
              <w:rPr>
                <w:rFonts w:ascii="Calibri" w:hAnsi="Calibri"/>
                <w:b/>
              </w:rPr>
              <w:t>Provisions</w:t>
            </w:r>
          </w:p>
        </w:tc>
        <w:tc>
          <w:tcPr>
            <w:tcW w:w="4678" w:type="dxa"/>
          </w:tcPr>
          <w:p w14:paraId="1151683B" w14:textId="77777777" w:rsidR="0086368F" w:rsidRPr="00632DBC" w:rsidRDefault="0086368F" w:rsidP="005964EA">
            <w:pPr>
              <w:jc w:val="center"/>
              <w:rPr>
                <w:rFonts w:ascii="Calibri" w:hAnsi="Calibri"/>
                <w:b/>
              </w:rPr>
            </w:pPr>
            <w:r w:rsidRPr="00632DBC">
              <w:rPr>
                <w:rFonts w:ascii="Calibri" w:hAnsi="Calibri"/>
                <w:b/>
              </w:rPr>
              <w:t>Selected safeguard-related governance strategy</w:t>
            </w:r>
          </w:p>
        </w:tc>
        <w:tc>
          <w:tcPr>
            <w:tcW w:w="3827" w:type="dxa"/>
          </w:tcPr>
          <w:p w14:paraId="7B1861E4" w14:textId="77777777" w:rsidR="0086368F" w:rsidRPr="00632DBC" w:rsidRDefault="0086368F" w:rsidP="005964EA">
            <w:pPr>
              <w:jc w:val="center"/>
              <w:rPr>
                <w:rFonts w:ascii="Calibri" w:hAnsi="Calibri"/>
                <w:b/>
              </w:rPr>
            </w:pPr>
            <w:r w:rsidRPr="00632DBC">
              <w:rPr>
                <w:rFonts w:ascii="Calibri" w:hAnsi="Calibri"/>
                <w:b/>
              </w:rPr>
              <w:t xml:space="preserve">Lessons learned </w:t>
            </w:r>
          </w:p>
        </w:tc>
      </w:tr>
      <w:tr w:rsidR="00633A71" w:rsidRPr="00632DBC" w14:paraId="14E9D581" w14:textId="77777777" w:rsidTr="005964EA">
        <w:tc>
          <w:tcPr>
            <w:tcW w:w="1183" w:type="dxa"/>
            <w:vMerge w:val="restart"/>
          </w:tcPr>
          <w:p w14:paraId="00FD651A" w14:textId="77777777" w:rsidR="0086368F" w:rsidRPr="00632DBC" w:rsidRDefault="0086368F" w:rsidP="005964EA">
            <w:pPr>
              <w:rPr>
                <w:rFonts w:ascii="Calibri" w:hAnsi="Calibri"/>
                <w:sz w:val="20"/>
                <w:szCs w:val="20"/>
              </w:rPr>
            </w:pPr>
            <w:r w:rsidRPr="00632DBC">
              <w:rPr>
                <w:rFonts w:ascii="Calibri" w:hAnsi="Calibri"/>
                <w:sz w:val="20"/>
                <w:szCs w:val="20"/>
              </w:rPr>
              <w:t>Biodiversity</w:t>
            </w:r>
          </w:p>
        </w:tc>
        <w:tc>
          <w:tcPr>
            <w:tcW w:w="944" w:type="dxa"/>
          </w:tcPr>
          <w:p w14:paraId="141C4A86" w14:textId="77777777" w:rsidR="0086368F" w:rsidRPr="00632DBC" w:rsidRDefault="0086368F" w:rsidP="005964EA">
            <w:pPr>
              <w:rPr>
                <w:rFonts w:ascii="Calibri" w:hAnsi="Calibri"/>
                <w:sz w:val="14"/>
                <w:szCs w:val="14"/>
              </w:rPr>
            </w:pPr>
            <w:r w:rsidRPr="00632DBC">
              <w:rPr>
                <w:rFonts w:ascii="Calibri" w:hAnsi="Calibri"/>
                <w:sz w:val="14"/>
                <w:szCs w:val="14"/>
              </w:rPr>
              <w:t>Substantive</w:t>
            </w:r>
          </w:p>
        </w:tc>
        <w:tc>
          <w:tcPr>
            <w:tcW w:w="4678" w:type="dxa"/>
          </w:tcPr>
          <w:p w14:paraId="1C63B360" w14:textId="578A9C6F" w:rsidR="0086368F" w:rsidRPr="00632DBC" w:rsidRDefault="0086368F" w:rsidP="005964EA">
            <w:pPr>
              <w:spacing w:after="0" w:line="240" w:lineRule="auto"/>
              <w:rPr>
                <w:rFonts w:ascii="Calibri" w:hAnsi="Calibri"/>
                <w:sz w:val="14"/>
                <w:szCs w:val="14"/>
              </w:rPr>
            </w:pPr>
            <w:r w:rsidRPr="00632DBC">
              <w:rPr>
                <w:rFonts w:ascii="Calibri" w:hAnsi="Calibri"/>
                <w:sz w:val="14"/>
                <w:szCs w:val="14"/>
              </w:rPr>
              <w:t xml:space="preserve">Program </w:t>
            </w:r>
            <w:proofErr w:type="spellStart"/>
            <w:r w:rsidRPr="00632DBC">
              <w:rPr>
                <w:rFonts w:ascii="Calibri" w:hAnsi="Calibri"/>
                <w:i/>
                <w:sz w:val="14"/>
                <w:szCs w:val="14"/>
              </w:rPr>
              <w:t>Reglas</w:t>
            </w:r>
            <w:proofErr w:type="spellEnd"/>
            <w:r w:rsidRPr="00632DBC">
              <w:rPr>
                <w:rFonts w:ascii="Calibri" w:hAnsi="Calibri"/>
                <w:i/>
                <w:sz w:val="14"/>
                <w:szCs w:val="14"/>
              </w:rPr>
              <w:t xml:space="preserve"> de </w:t>
            </w:r>
            <w:proofErr w:type="spellStart"/>
            <w:r w:rsidRPr="00632DBC">
              <w:rPr>
                <w:rFonts w:ascii="Calibri" w:hAnsi="Calibri"/>
                <w:i/>
                <w:sz w:val="14"/>
                <w:szCs w:val="14"/>
              </w:rPr>
              <w:t>operación</w:t>
            </w:r>
            <w:proofErr w:type="spellEnd"/>
            <w:r w:rsidR="00F60E69" w:rsidRPr="00632DBC">
              <w:rPr>
                <w:rFonts w:ascii="Calibri" w:hAnsi="Calibri"/>
                <w:sz w:val="14"/>
                <w:szCs w:val="14"/>
              </w:rPr>
              <w:t xml:space="preserve"> (operation rules) has</w:t>
            </w:r>
            <w:r w:rsidRPr="00632DBC">
              <w:rPr>
                <w:rFonts w:ascii="Calibri" w:hAnsi="Calibri"/>
                <w:sz w:val="14"/>
                <w:szCs w:val="14"/>
              </w:rPr>
              <w:t xml:space="preserve"> been shaped through social pressure to include regional realities, such as in the case of the forestry min</w:t>
            </w:r>
            <w:r w:rsidR="00F60E69" w:rsidRPr="00632DBC">
              <w:rPr>
                <w:rFonts w:ascii="Calibri" w:hAnsi="Calibri"/>
                <w:sz w:val="14"/>
                <w:szCs w:val="14"/>
              </w:rPr>
              <w:t>istry (CONAFOR) programs like</w:t>
            </w:r>
            <w:r w:rsidRPr="00632DBC">
              <w:rPr>
                <w:rFonts w:ascii="Calibri" w:hAnsi="Calibri"/>
                <w:sz w:val="14"/>
                <w:szCs w:val="14"/>
              </w:rPr>
              <w:t xml:space="preserve"> PES (which have been able to include shade-grown coffee) and Reforestation activities (which have included reforestation within coffee areas as potential receptors of support). </w:t>
            </w:r>
          </w:p>
          <w:p w14:paraId="37E52DCC" w14:textId="77777777" w:rsidR="0086368F" w:rsidRPr="00632DBC" w:rsidRDefault="0086368F" w:rsidP="005964EA">
            <w:pPr>
              <w:spacing w:after="0" w:line="240" w:lineRule="auto"/>
              <w:rPr>
                <w:rFonts w:ascii="Calibri" w:hAnsi="Calibri"/>
                <w:sz w:val="14"/>
                <w:szCs w:val="14"/>
              </w:rPr>
            </w:pPr>
          </w:p>
        </w:tc>
        <w:tc>
          <w:tcPr>
            <w:tcW w:w="3827" w:type="dxa"/>
          </w:tcPr>
          <w:p w14:paraId="6E1ACAFA" w14:textId="77777777" w:rsidR="0086368F" w:rsidRPr="00632DBC" w:rsidRDefault="0086368F" w:rsidP="005964EA">
            <w:pPr>
              <w:tabs>
                <w:tab w:val="center" w:pos="1492"/>
              </w:tabs>
              <w:spacing w:after="0" w:line="240" w:lineRule="auto"/>
              <w:rPr>
                <w:rFonts w:ascii="Calibri" w:hAnsi="Calibri"/>
                <w:sz w:val="14"/>
                <w:szCs w:val="14"/>
              </w:rPr>
            </w:pPr>
            <w:r w:rsidRPr="00632DBC">
              <w:rPr>
                <w:rFonts w:ascii="Calibri" w:hAnsi="Calibri"/>
                <w:sz w:val="14"/>
                <w:szCs w:val="14"/>
              </w:rPr>
              <w:t>Regional intervention can promote innovation: although coffee fields have been known to be excluded from PES in other regions, PES schemes in the Sierra Madre region have included shade-grown coffee within supported areas. Scientific studies provide updated information on agroforestry systems’ contributions to ecosystem services.</w:t>
            </w:r>
          </w:p>
        </w:tc>
      </w:tr>
      <w:tr w:rsidR="00633A71" w:rsidRPr="00632DBC" w14:paraId="460D062E" w14:textId="77777777" w:rsidTr="005964EA">
        <w:tc>
          <w:tcPr>
            <w:tcW w:w="1183" w:type="dxa"/>
            <w:vMerge/>
          </w:tcPr>
          <w:p w14:paraId="69B072ED" w14:textId="77777777" w:rsidR="0086368F" w:rsidRPr="00632DBC" w:rsidRDefault="0086368F" w:rsidP="005964EA">
            <w:pPr>
              <w:rPr>
                <w:rFonts w:ascii="Calibri" w:hAnsi="Calibri"/>
              </w:rPr>
            </w:pPr>
          </w:p>
        </w:tc>
        <w:tc>
          <w:tcPr>
            <w:tcW w:w="944" w:type="dxa"/>
          </w:tcPr>
          <w:p w14:paraId="3135EFBA" w14:textId="77777777" w:rsidR="0086368F" w:rsidRPr="00632DBC" w:rsidRDefault="0086368F" w:rsidP="005964EA">
            <w:pPr>
              <w:rPr>
                <w:rFonts w:ascii="Calibri" w:hAnsi="Calibri"/>
                <w:sz w:val="14"/>
                <w:szCs w:val="14"/>
              </w:rPr>
            </w:pPr>
            <w:r w:rsidRPr="00632DBC">
              <w:rPr>
                <w:rFonts w:ascii="Calibri" w:hAnsi="Calibri"/>
                <w:sz w:val="14"/>
                <w:szCs w:val="14"/>
              </w:rPr>
              <w:t>Procedural</w:t>
            </w:r>
          </w:p>
        </w:tc>
        <w:tc>
          <w:tcPr>
            <w:tcW w:w="4678" w:type="dxa"/>
          </w:tcPr>
          <w:p w14:paraId="7D3A6F2F" w14:textId="77777777" w:rsidR="0086368F" w:rsidRPr="00632DBC" w:rsidRDefault="0086368F" w:rsidP="005964EA">
            <w:pPr>
              <w:spacing w:after="0" w:line="240" w:lineRule="auto"/>
              <w:rPr>
                <w:rFonts w:ascii="Calibri" w:hAnsi="Calibri"/>
                <w:sz w:val="14"/>
                <w:szCs w:val="14"/>
              </w:rPr>
            </w:pPr>
            <w:r w:rsidRPr="00632DBC">
              <w:rPr>
                <w:rFonts w:ascii="Calibri" w:hAnsi="Calibri"/>
                <w:sz w:val="14"/>
                <w:szCs w:val="14"/>
              </w:rPr>
              <w:t>Exclusive jurisdiction of the State over natural resources (Art. 27 of the Constitution) supports effective sustainable use processes.</w:t>
            </w:r>
          </w:p>
          <w:p w14:paraId="264CD293" w14:textId="77777777" w:rsidR="0086368F" w:rsidRPr="00632DBC" w:rsidRDefault="0086368F" w:rsidP="005964EA">
            <w:pPr>
              <w:spacing w:after="0" w:line="240" w:lineRule="auto"/>
              <w:rPr>
                <w:rFonts w:ascii="Calibri" w:hAnsi="Calibri"/>
                <w:sz w:val="14"/>
                <w:szCs w:val="14"/>
              </w:rPr>
            </w:pPr>
          </w:p>
          <w:p w14:paraId="6C371583" w14:textId="77777777" w:rsidR="0086368F" w:rsidRPr="00632DBC" w:rsidRDefault="0086368F" w:rsidP="005964EA">
            <w:pPr>
              <w:spacing w:after="0" w:line="240" w:lineRule="auto"/>
              <w:rPr>
                <w:rFonts w:ascii="Calibri" w:hAnsi="Calibri"/>
                <w:sz w:val="14"/>
                <w:szCs w:val="14"/>
              </w:rPr>
            </w:pPr>
            <w:r w:rsidRPr="00632DBC">
              <w:rPr>
                <w:rFonts w:ascii="Calibri" w:hAnsi="Calibri"/>
                <w:sz w:val="14"/>
                <w:szCs w:val="14"/>
              </w:rPr>
              <w:t>Incentives include sanctions in case of environmental damages (as trees belong to the nation, tree felling requires corresponding permits, even if de facto most forest related activity in the region is unregulated).</w:t>
            </w:r>
          </w:p>
          <w:p w14:paraId="184120B4" w14:textId="77777777" w:rsidR="0086368F" w:rsidRPr="00632DBC" w:rsidRDefault="0086368F" w:rsidP="005964EA">
            <w:pPr>
              <w:spacing w:after="0" w:line="240" w:lineRule="auto"/>
              <w:rPr>
                <w:rFonts w:ascii="Calibri" w:hAnsi="Calibri"/>
                <w:sz w:val="14"/>
                <w:szCs w:val="14"/>
              </w:rPr>
            </w:pPr>
          </w:p>
        </w:tc>
        <w:tc>
          <w:tcPr>
            <w:tcW w:w="3827" w:type="dxa"/>
          </w:tcPr>
          <w:p w14:paraId="0050954F" w14:textId="63846FFB" w:rsidR="0086368F" w:rsidRPr="00632DBC" w:rsidRDefault="0086368F" w:rsidP="005964EA">
            <w:pPr>
              <w:spacing w:after="0" w:line="240" w:lineRule="auto"/>
              <w:rPr>
                <w:rFonts w:ascii="Calibri" w:hAnsi="Calibri"/>
                <w:sz w:val="14"/>
                <w:szCs w:val="14"/>
              </w:rPr>
            </w:pPr>
            <w:r w:rsidRPr="00632DBC">
              <w:rPr>
                <w:rFonts w:ascii="Calibri" w:hAnsi="Calibri"/>
                <w:sz w:val="14"/>
                <w:szCs w:val="14"/>
              </w:rPr>
              <w:t xml:space="preserve">Dialogue and negotiation between coffee producers, research institutes and government institutions </w:t>
            </w:r>
            <w:proofErr w:type="gramStart"/>
            <w:r w:rsidRPr="00632DBC">
              <w:rPr>
                <w:rFonts w:ascii="Calibri" w:hAnsi="Calibri"/>
                <w:sz w:val="14"/>
                <w:szCs w:val="14"/>
              </w:rPr>
              <w:t>is</w:t>
            </w:r>
            <w:proofErr w:type="gramEnd"/>
            <w:r w:rsidRPr="00632DBC">
              <w:rPr>
                <w:rFonts w:ascii="Calibri" w:hAnsi="Calibri"/>
                <w:sz w:val="14"/>
                <w:szCs w:val="14"/>
              </w:rPr>
              <w:t xml:space="preserve"> key in order to update environmental management in light of social-ecological crisis.</w:t>
            </w:r>
          </w:p>
          <w:p w14:paraId="2E7CBA89" w14:textId="77777777" w:rsidR="0086368F" w:rsidRPr="00632DBC" w:rsidRDefault="0086368F" w:rsidP="005964EA">
            <w:pPr>
              <w:spacing w:after="0" w:line="240" w:lineRule="auto"/>
              <w:rPr>
                <w:rFonts w:ascii="Calibri" w:hAnsi="Calibri"/>
                <w:sz w:val="14"/>
                <w:szCs w:val="14"/>
              </w:rPr>
            </w:pPr>
            <w:r w:rsidRPr="00632DBC">
              <w:rPr>
                <w:rFonts w:ascii="Calibri" w:hAnsi="Calibri"/>
                <w:sz w:val="14"/>
                <w:szCs w:val="14"/>
              </w:rPr>
              <w:t xml:space="preserve"> </w:t>
            </w:r>
          </w:p>
          <w:p w14:paraId="020CF483" w14:textId="7BA03606" w:rsidR="0086368F" w:rsidRPr="00632DBC" w:rsidRDefault="0086368F" w:rsidP="00F01544">
            <w:pPr>
              <w:spacing w:after="0" w:line="240" w:lineRule="auto"/>
              <w:rPr>
                <w:rFonts w:ascii="Calibri" w:hAnsi="Calibri"/>
                <w:sz w:val="14"/>
                <w:szCs w:val="14"/>
              </w:rPr>
            </w:pPr>
            <w:r w:rsidRPr="00632DBC">
              <w:rPr>
                <w:rFonts w:ascii="Calibri" w:hAnsi="Calibri"/>
                <w:sz w:val="14"/>
                <w:szCs w:val="14"/>
              </w:rPr>
              <w:t>Dialogue might ov</w:t>
            </w:r>
            <w:r w:rsidR="00F01544" w:rsidRPr="00632DBC">
              <w:rPr>
                <w:rFonts w:ascii="Calibri" w:hAnsi="Calibri"/>
                <w:sz w:val="14"/>
                <w:szCs w:val="14"/>
              </w:rPr>
              <w:t>ercome barriers to cross-sector</w:t>
            </w:r>
            <w:r w:rsidRPr="00632DBC">
              <w:rPr>
                <w:rFonts w:ascii="Calibri" w:hAnsi="Calibri"/>
                <w:sz w:val="14"/>
                <w:szCs w:val="14"/>
              </w:rPr>
              <w:t xml:space="preserve"> coordination (e.g. between forestry and agriculture departments, or between environmental authorities and agricultural outlets). </w:t>
            </w:r>
          </w:p>
        </w:tc>
      </w:tr>
      <w:tr w:rsidR="00633A71" w:rsidRPr="00632DBC" w14:paraId="06EE8651" w14:textId="77777777" w:rsidTr="005964EA">
        <w:tc>
          <w:tcPr>
            <w:tcW w:w="1183" w:type="dxa"/>
            <w:vMerge w:val="restart"/>
          </w:tcPr>
          <w:p w14:paraId="7CB2DC37" w14:textId="77777777" w:rsidR="0086368F" w:rsidRPr="00632DBC" w:rsidRDefault="0086368F" w:rsidP="005964EA">
            <w:pPr>
              <w:rPr>
                <w:rFonts w:ascii="Calibri" w:hAnsi="Calibri"/>
              </w:rPr>
            </w:pPr>
            <w:r w:rsidRPr="00632DBC">
              <w:rPr>
                <w:rFonts w:ascii="Calibri" w:hAnsi="Calibri"/>
              </w:rPr>
              <w:t>Social</w:t>
            </w:r>
          </w:p>
        </w:tc>
        <w:tc>
          <w:tcPr>
            <w:tcW w:w="944" w:type="dxa"/>
          </w:tcPr>
          <w:p w14:paraId="74B72216" w14:textId="77777777" w:rsidR="0086368F" w:rsidRPr="00632DBC" w:rsidRDefault="0086368F" w:rsidP="005964EA">
            <w:pPr>
              <w:rPr>
                <w:rFonts w:ascii="Calibri" w:hAnsi="Calibri"/>
                <w:sz w:val="14"/>
                <w:szCs w:val="14"/>
              </w:rPr>
            </w:pPr>
            <w:r w:rsidRPr="00632DBC">
              <w:rPr>
                <w:rFonts w:ascii="Calibri" w:hAnsi="Calibri"/>
                <w:sz w:val="14"/>
                <w:szCs w:val="14"/>
              </w:rPr>
              <w:t>Substantive</w:t>
            </w:r>
          </w:p>
        </w:tc>
        <w:tc>
          <w:tcPr>
            <w:tcW w:w="4678" w:type="dxa"/>
          </w:tcPr>
          <w:p w14:paraId="30A3ACCA" w14:textId="77777777" w:rsidR="0086368F" w:rsidRPr="00632DBC" w:rsidRDefault="0086368F" w:rsidP="005964EA">
            <w:pPr>
              <w:pStyle w:val="NormalWeb"/>
              <w:spacing w:before="0" w:beforeAutospacing="0" w:after="0" w:afterAutospacing="0" w:line="240" w:lineRule="auto"/>
              <w:rPr>
                <w:rFonts w:ascii="Calibri" w:hAnsi="Calibri"/>
                <w:sz w:val="14"/>
                <w:szCs w:val="14"/>
              </w:rPr>
            </w:pPr>
            <w:r w:rsidRPr="00632DBC">
              <w:rPr>
                <w:rFonts w:ascii="Calibri" w:hAnsi="Calibri"/>
                <w:sz w:val="14"/>
                <w:szCs w:val="14"/>
              </w:rPr>
              <w:t xml:space="preserve">Rights of forest owners to receive the benefits of environmental services conservation and/or improvement that derive from sustainable forest management (Sustainable Forest Development Law, Art. 134 </w:t>
            </w:r>
            <w:proofErr w:type="spellStart"/>
            <w:r w:rsidRPr="00632DBC">
              <w:rPr>
                <w:rFonts w:ascii="Calibri" w:hAnsi="Calibri"/>
                <w:i/>
                <w:sz w:val="14"/>
                <w:szCs w:val="14"/>
              </w:rPr>
              <w:t>bis</w:t>
            </w:r>
            <w:proofErr w:type="spellEnd"/>
            <w:r w:rsidRPr="00632DBC">
              <w:rPr>
                <w:rFonts w:ascii="Calibri" w:hAnsi="Calibri"/>
                <w:sz w:val="14"/>
                <w:szCs w:val="14"/>
              </w:rPr>
              <w:t xml:space="preserve">) </w:t>
            </w:r>
          </w:p>
          <w:p w14:paraId="12289289" w14:textId="77777777" w:rsidR="0086368F" w:rsidRPr="00632DBC" w:rsidRDefault="0086368F" w:rsidP="005964EA">
            <w:pPr>
              <w:pStyle w:val="NormalWeb"/>
              <w:spacing w:before="0" w:beforeAutospacing="0" w:after="0" w:afterAutospacing="0" w:line="240" w:lineRule="auto"/>
              <w:rPr>
                <w:rFonts w:ascii="Calibri" w:hAnsi="Calibri"/>
                <w:sz w:val="14"/>
                <w:szCs w:val="14"/>
              </w:rPr>
            </w:pPr>
          </w:p>
        </w:tc>
        <w:tc>
          <w:tcPr>
            <w:tcW w:w="3827" w:type="dxa"/>
          </w:tcPr>
          <w:p w14:paraId="398A3A62" w14:textId="4C456D01" w:rsidR="0086368F" w:rsidRPr="00632DBC" w:rsidRDefault="00F01544" w:rsidP="00F01544">
            <w:pPr>
              <w:tabs>
                <w:tab w:val="center" w:pos="1492"/>
              </w:tabs>
              <w:spacing w:after="0" w:line="240" w:lineRule="auto"/>
              <w:rPr>
                <w:rFonts w:ascii="Calibri" w:hAnsi="Calibri"/>
                <w:noProof/>
                <w:sz w:val="14"/>
                <w:szCs w:val="14"/>
              </w:rPr>
            </w:pPr>
            <w:r w:rsidRPr="00632DBC">
              <w:rPr>
                <w:rFonts w:ascii="Calibri" w:hAnsi="Calibri"/>
                <w:sz w:val="14"/>
                <w:szCs w:val="14"/>
              </w:rPr>
              <w:t>It is remains unclear</w:t>
            </w:r>
            <w:r w:rsidR="0086368F" w:rsidRPr="00632DBC">
              <w:rPr>
                <w:rFonts w:ascii="Calibri" w:hAnsi="Calibri"/>
                <w:sz w:val="14"/>
                <w:szCs w:val="14"/>
              </w:rPr>
              <w:t xml:space="preserve"> how Mexico proposes to distribute benefits from emissions reductions, since conflicting claims for legal rights over benefits remain in process.</w:t>
            </w:r>
          </w:p>
        </w:tc>
      </w:tr>
      <w:tr w:rsidR="00633A71" w:rsidRPr="00632DBC" w14:paraId="0035BBA8" w14:textId="77777777" w:rsidTr="005964EA">
        <w:tc>
          <w:tcPr>
            <w:tcW w:w="1183" w:type="dxa"/>
            <w:vMerge/>
          </w:tcPr>
          <w:p w14:paraId="07A37432" w14:textId="77777777" w:rsidR="0086368F" w:rsidRPr="00632DBC" w:rsidRDefault="0086368F" w:rsidP="005964EA">
            <w:pPr>
              <w:rPr>
                <w:rFonts w:ascii="Calibri" w:hAnsi="Calibri"/>
              </w:rPr>
            </w:pPr>
          </w:p>
        </w:tc>
        <w:tc>
          <w:tcPr>
            <w:tcW w:w="944" w:type="dxa"/>
          </w:tcPr>
          <w:p w14:paraId="24AD606E" w14:textId="77777777" w:rsidR="0086368F" w:rsidRPr="00632DBC" w:rsidRDefault="0086368F" w:rsidP="005964EA">
            <w:pPr>
              <w:rPr>
                <w:rFonts w:ascii="Calibri" w:hAnsi="Calibri"/>
                <w:sz w:val="14"/>
                <w:szCs w:val="14"/>
              </w:rPr>
            </w:pPr>
            <w:r w:rsidRPr="00632DBC">
              <w:rPr>
                <w:rFonts w:ascii="Calibri" w:hAnsi="Calibri"/>
                <w:sz w:val="14"/>
                <w:szCs w:val="14"/>
              </w:rPr>
              <w:t>Procedural</w:t>
            </w:r>
          </w:p>
        </w:tc>
        <w:tc>
          <w:tcPr>
            <w:tcW w:w="4678" w:type="dxa"/>
          </w:tcPr>
          <w:p w14:paraId="2A5933A1" w14:textId="77777777" w:rsidR="0086368F" w:rsidRPr="00632DBC" w:rsidRDefault="0086368F" w:rsidP="005964EA">
            <w:pPr>
              <w:widowControl w:val="0"/>
              <w:autoSpaceDE w:val="0"/>
              <w:autoSpaceDN w:val="0"/>
              <w:adjustRightInd w:val="0"/>
              <w:spacing w:after="0" w:line="240" w:lineRule="auto"/>
              <w:rPr>
                <w:rFonts w:ascii="Calibri" w:hAnsi="Calibri"/>
                <w:sz w:val="14"/>
                <w:szCs w:val="14"/>
              </w:rPr>
            </w:pPr>
            <w:r w:rsidRPr="00632DBC">
              <w:rPr>
                <w:rFonts w:ascii="Calibri" w:hAnsi="Calibri"/>
                <w:sz w:val="14"/>
                <w:szCs w:val="14"/>
              </w:rPr>
              <w:t>Participation of citizens in the decision-making process recognized and valued.</w:t>
            </w:r>
          </w:p>
          <w:p w14:paraId="3B1E6EE5" w14:textId="77777777" w:rsidR="0086368F" w:rsidRPr="00632DBC" w:rsidRDefault="0086368F" w:rsidP="005964EA">
            <w:pPr>
              <w:widowControl w:val="0"/>
              <w:autoSpaceDE w:val="0"/>
              <w:autoSpaceDN w:val="0"/>
              <w:adjustRightInd w:val="0"/>
              <w:spacing w:after="0" w:line="240" w:lineRule="auto"/>
              <w:rPr>
                <w:rFonts w:ascii="Calibri" w:hAnsi="Calibri"/>
                <w:sz w:val="14"/>
                <w:szCs w:val="14"/>
              </w:rPr>
            </w:pPr>
            <w:r w:rsidRPr="00632DBC">
              <w:rPr>
                <w:rFonts w:ascii="Calibri" w:hAnsi="Calibri"/>
                <w:sz w:val="14"/>
                <w:szCs w:val="14"/>
              </w:rPr>
              <w:t xml:space="preserve"> </w:t>
            </w:r>
          </w:p>
          <w:p w14:paraId="70455AB9" w14:textId="6AC8E42C" w:rsidR="0086368F" w:rsidRPr="00632DBC" w:rsidRDefault="0086368F" w:rsidP="005964EA">
            <w:pPr>
              <w:widowControl w:val="0"/>
              <w:autoSpaceDE w:val="0"/>
              <w:autoSpaceDN w:val="0"/>
              <w:adjustRightInd w:val="0"/>
              <w:spacing w:after="0" w:line="240" w:lineRule="auto"/>
              <w:rPr>
                <w:rFonts w:ascii="Calibri" w:hAnsi="Calibri"/>
                <w:sz w:val="14"/>
                <w:szCs w:val="14"/>
              </w:rPr>
            </w:pPr>
            <w:r w:rsidRPr="00632DBC">
              <w:rPr>
                <w:rFonts w:ascii="Calibri" w:hAnsi="Calibri"/>
                <w:sz w:val="14"/>
                <w:szCs w:val="14"/>
              </w:rPr>
              <w:t>Updated procedures to reach free prior informed consent.</w:t>
            </w:r>
          </w:p>
        </w:tc>
        <w:tc>
          <w:tcPr>
            <w:tcW w:w="3827" w:type="dxa"/>
          </w:tcPr>
          <w:p w14:paraId="2FB6505D" w14:textId="77777777" w:rsidR="0086368F" w:rsidRPr="00633A71" w:rsidRDefault="0086368F" w:rsidP="005964EA">
            <w:pPr>
              <w:spacing w:after="0" w:line="240" w:lineRule="auto"/>
              <w:rPr>
                <w:rFonts w:ascii="Calibri" w:hAnsi="Calibri"/>
                <w:sz w:val="14"/>
                <w:szCs w:val="14"/>
              </w:rPr>
            </w:pPr>
            <w:r w:rsidRPr="00632DBC">
              <w:rPr>
                <w:rFonts w:ascii="Calibri" w:hAnsi="Calibri"/>
                <w:sz w:val="14"/>
                <w:szCs w:val="14"/>
              </w:rPr>
              <w:t xml:space="preserve">Local efforts need to be developed in coordination with the international agenda </w:t>
            </w:r>
            <w:proofErr w:type="gramStart"/>
            <w:r w:rsidRPr="00632DBC">
              <w:rPr>
                <w:rFonts w:ascii="Calibri" w:hAnsi="Calibri"/>
                <w:sz w:val="14"/>
                <w:szCs w:val="14"/>
              </w:rPr>
              <w:t>in order to</w:t>
            </w:r>
            <w:proofErr w:type="gramEnd"/>
            <w:r w:rsidRPr="00632DBC">
              <w:rPr>
                <w:rFonts w:ascii="Calibri" w:hAnsi="Calibri"/>
                <w:sz w:val="14"/>
                <w:szCs w:val="14"/>
              </w:rPr>
              <w:t xml:space="preserve"> coincide with state priorities.</w:t>
            </w:r>
            <w:r w:rsidRPr="00633A71">
              <w:rPr>
                <w:rFonts w:ascii="Calibri" w:hAnsi="Calibri"/>
                <w:sz w:val="14"/>
                <w:szCs w:val="14"/>
              </w:rPr>
              <w:t xml:space="preserve"> </w:t>
            </w:r>
          </w:p>
        </w:tc>
      </w:tr>
    </w:tbl>
    <w:p w14:paraId="286CD487" w14:textId="77777777" w:rsidR="0086368F" w:rsidRPr="00632DBC" w:rsidRDefault="0086368F" w:rsidP="0086368F"/>
    <w:p w14:paraId="06769EF4" w14:textId="1E739DB3" w:rsidR="00950401" w:rsidRPr="00632DBC" w:rsidRDefault="00950401" w:rsidP="00950401">
      <w:pPr>
        <w:pStyle w:val="Caption"/>
      </w:pPr>
      <w:bookmarkStart w:id="158" w:name="_Toc529192216"/>
      <w:bookmarkStart w:id="159" w:name="_Toc398935611"/>
      <w:bookmarkStart w:id="160" w:name="_Toc398936076"/>
      <w:r w:rsidRPr="00632DBC">
        <w:t xml:space="preserve">Table </w:t>
      </w:r>
      <w:r w:rsidRPr="00632DBC">
        <w:fldChar w:fldCharType="begin"/>
      </w:r>
      <w:r w:rsidRPr="00632DBC">
        <w:instrText xml:space="preserve"> SEQ Table \* ARABIC </w:instrText>
      </w:r>
      <w:r w:rsidRPr="00632DBC">
        <w:fldChar w:fldCharType="separate"/>
      </w:r>
      <w:r w:rsidR="00251833" w:rsidRPr="00632DBC">
        <w:rPr>
          <w:noProof/>
        </w:rPr>
        <w:t>7</w:t>
      </w:r>
      <w:r w:rsidRPr="00632DBC">
        <w:fldChar w:fldCharType="end"/>
      </w:r>
      <w:r w:rsidRPr="00632DBC">
        <w:t>. Instruments for implementing the CBD guidelines for safeguards, and lessons learned, from coffee plantations</w:t>
      </w:r>
      <w:r w:rsidR="00FF79F3" w:rsidRPr="00632DBC">
        <w:t xml:space="preserve"> affected by </w:t>
      </w:r>
      <w:r w:rsidRPr="00632DBC">
        <w:t>coffee rust</w:t>
      </w:r>
      <w:bookmarkEnd w:id="158"/>
      <w:r w:rsidRPr="00632DBC">
        <w:t xml:space="preserve"> </w:t>
      </w:r>
      <w:bookmarkEnd w:id="159"/>
      <w:bookmarkEnd w:id="160"/>
    </w:p>
    <w:tbl>
      <w:tblPr>
        <w:tblStyle w:val="TableGrid"/>
        <w:tblW w:w="10632" w:type="dxa"/>
        <w:tblInd w:w="-318" w:type="dxa"/>
        <w:tblLook w:val="04A0" w:firstRow="1" w:lastRow="0" w:firstColumn="1" w:lastColumn="0" w:noHBand="0" w:noVBand="1"/>
      </w:tblPr>
      <w:tblGrid>
        <w:gridCol w:w="1419"/>
        <w:gridCol w:w="2268"/>
        <w:gridCol w:w="2268"/>
        <w:gridCol w:w="2268"/>
        <w:gridCol w:w="2409"/>
      </w:tblGrid>
      <w:tr w:rsidR="00633A71" w:rsidRPr="00632DBC" w14:paraId="43B2C0F4" w14:textId="77777777" w:rsidTr="005964EA">
        <w:tc>
          <w:tcPr>
            <w:tcW w:w="1419" w:type="dxa"/>
          </w:tcPr>
          <w:p w14:paraId="20E23902" w14:textId="77777777" w:rsidR="0086368F" w:rsidRPr="00632DBC" w:rsidRDefault="0086368F" w:rsidP="005964EA">
            <w:pPr>
              <w:rPr>
                <w:rFonts w:ascii="Calibri" w:hAnsi="Calibri"/>
                <w:b/>
                <w:sz w:val="18"/>
                <w:szCs w:val="18"/>
              </w:rPr>
            </w:pPr>
            <w:r w:rsidRPr="00632DBC">
              <w:rPr>
                <w:rFonts w:ascii="Calibri" w:hAnsi="Calibri"/>
                <w:b/>
                <w:sz w:val="18"/>
                <w:szCs w:val="18"/>
              </w:rPr>
              <w:t>CBD Guidelines for safeguards in Biodiversity Financing Mechanisms</w:t>
            </w:r>
          </w:p>
        </w:tc>
        <w:tc>
          <w:tcPr>
            <w:tcW w:w="2268" w:type="dxa"/>
          </w:tcPr>
          <w:p w14:paraId="21B1BDE5" w14:textId="77777777" w:rsidR="0086368F" w:rsidRPr="00632DBC" w:rsidRDefault="0086368F" w:rsidP="005964EA">
            <w:pPr>
              <w:rPr>
                <w:rFonts w:ascii="Calibri" w:hAnsi="Calibri"/>
                <w:b/>
                <w:sz w:val="18"/>
                <w:szCs w:val="18"/>
              </w:rPr>
            </w:pPr>
            <w:r w:rsidRPr="00632DBC">
              <w:rPr>
                <w:rFonts w:ascii="Calibri" w:hAnsi="Calibri"/>
                <w:b/>
                <w:sz w:val="18"/>
                <w:szCs w:val="18"/>
              </w:rPr>
              <w:t>a) Biodiversity values and ecosystem functions</w:t>
            </w:r>
          </w:p>
        </w:tc>
        <w:tc>
          <w:tcPr>
            <w:tcW w:w="2268" w:type="dxa"/>
          </w:tcPr>
          <w:p w14:paraId="3ACECE90" w14:textId="77777777" w:rsidR="0086368F" w:rsidRPr="00632DBC" w:rsidRDefault="0086368F" w:rsidP="005964EA">
            <w:pPr>
              <w:rPr>
                <w:rFonts w:ascii="Calibri" w:hAnsi="Calibri"/>
                <w:b/>
                <w:sz w:val="18"/>
                <w:szCs w:val="18"/>
              </w:rPr>
            </w:pPr>
            <w:r w:rsidRPr="00632DBC">
              <w:rPr>
                <w:rFonts w:ascii="Calibri" w:hAnsi="Calibri"/>
                <w:b/>
                <w:sz w:val="18"/>
                <w:szCs w:val="18"/>
              </w:rPr>
              <w:t>b) Rights and responsibilities of actors and/or stakeholders</w:t>
            </w:r>
          </w:p>
        </w:tc>
        <w:tc>
          <w:tcPr>
            <w:tcW w:w="2268" w:type="dxa"/>
          </w:tcPr>
          <w:p w14:paraId="2AD73205" w14:textId="77777777" w:rsidR="0086368F" w:rsidRPr="00632DBC" w:rsidRDefault="0086368F" w:rsidP="005964EA">
            <w:pPr>
              <w:rPr>
                <w:rFonts w:ascii="Calibri" w:hAnsi="Calibri"/>
                <w:b/>
                <w:sz w:val="18"/>
                <w:szCs w:val="18"/>
              </w:rPr>
            </w:pPr>
            <w:r w:rsidRPr="00632DBC">
              <w:rPr>
                <w:rFonts w:ascii="Calibri" w:hAnsi="Calibri"/>
                <w:b/>
                <w:sz w:val="18"/>
                <w:szCs w:val="18"/>
              </w:rPr>
              <w:t>c) Local and country-driven/specific processes linked to the international level</w:t>
            </w:r>
          </w:p>
        </w:tc>
        <w:tc>
          <w:tcPr>
            <w:tcW w:w="2409" w:type="dxa"/>
          </w:tcPr>
          <w:p w14:paraId="1CA6BD24" w14:textId="77777777" w:rsidR="0086368F" w:rsidRPr="00632DBC" w:rsidRDefault="0086368F" w:rsidP="005964EA">
            <w:pPr>
              <w:rPr>
                <w:rFonts w:ascii="Calibri" w:hAnsi="Calibri"/>
                <w:b/>
                <w:sz w:val="18"/>
                <w:szCs w:val="18"/>
              </w:rPr>
            </w:pPr>
            <w:r w:rsidRPr="00632DBC">
              <w:rPr>
                <w:rFonts w:ascii="Calibri" w:hAnsi="Calibri"/>
                <w:b/>
                <w:sz w:val="18"/>
                <w:szCs w:val="18"/>
              </w:rPr>
              <w:t>d) Governance, enforcement and accountability</w:t>
            </w:r>
          </w:p>
        </w:tc>
      </w:tr>
      <w:tr w:rsidR="00633A71" w:rsidRPr="00632DBC" w14:paraId="3DD778AB" w14:textId="77777777" w:rsidTr="008E0AD6">
        <w:trPr>
          <w:trHeight w:val="2018"/>
        </w:trPr>
        <w:tc>
          <w:tcPr>
            <w:tcW w:w="1419" w:type="dxa"/>
          </w:tcPr>
          <w:p w14:paraId="3BA1374B" w14:textId="77777777" w:rsidR="0086368F" w:rsidRPr="00632DBC" w:rsidRDefault="0086368F" w:rsidP="005964EA">
            <w:pPr>
              <w:rPr>
                <w:rFonts w:ascii="Calibri" w:hAnsi="Calibri"/>
                <w:sz w:val="18"/>
                <w:szCs w:val="18"/>
              </w:rPr>
            </w:pPr>
            <w:r w:rsidRPr="00632DBC">
              <w:rPr>
                <w:rFonts w:ascii="Calibri" w:hAnsi="Calibri"/>
                <w:sz w:val="18"/>
                <w:szCs w:val="18"/>
              </w:rPr>
              <w:t xml:space="preserve">Instruments </w:t>
            </w:r>
          </w:p>
        </w:tc>
        <w:tc>
          <w:tcPr>
            <w:tcW w:w="2268" w:type="dxa"/>
          </w:tcPr>
          <w:p w14:paraId="32D30C3E" w14:textId="5475A9CD" w:rsidR="0086368F" w:rsidRPr="00632DBC" w:rsidRDefault="0086368F" w:rsidP="005964EA">
            <w:pPr>
              <w:spacing w:line="240" w:lineRule="auto"/>
              <w:rPr>
                <w:rFonts w:ascii="Calibri" w:hAnsi="Calibri"/>
                <w:sz w:val="17"/>
                <w:szCs w:val="17"/>
              </w:rPr>
            </w:pPr>
            <w:r w:rsidRPr="00632DBC">
              <w:rPr>
                <w:rFonts w:ascii="Calibri" w:hAnsi="Calibri"/>
                <w:sz w:val="17"/>
                <w:szCs w:val="17"/>
              </w:rPr>
              <w:t>Mexico</w:t>
            </w:r>
            <w:r w:rsidR="005A5488" w:rsidRPr="00632DBC">
              <w:rPr>
                <w:rFonts w:ascii="Calibri" w:hAnsi="Calibri"/>
                <w:sz w:val="17"/>
                <w:szCs w:val="17"/>
              </w:rPr>
              <w:t>’s</w:t>
            </w:r>
            <w:r w:rsidRPr="00632DBC">
              <w:rPr>
                <w:rFonts w:ascii="Calibri" w:hAnsi="Calibri"/>
                <w:sz w:val="17"/>
                <w:szCs w:val="17"/>
              </w:rPr>
              <w:t xml:space="preserve"> official climate change documents and Vision of REDD+ mention the value of agroforestry systems in climate change mitigation and adaptation. </w:t>
            </w:r>
          </w:p>
        </w:tc>
        <w:tc>
          <w:tcPr>
            <w:tcW w:w="2268" w:type="dxa"/>
          </w:tcPr>
          <w:p w14:paraId="658971C0" w14:textId="77777777" w:rsidR="0086368F" w:rsidRPr="00632DBC" w:rsidRDefault="0086368F" w:rsidP="005964EA">
            <w:pPr>
              <w:spacing w:line="240" w:lineRule="auto"/>
              <w:rPr>
                <w:rFonts w:ascii="Calibri" w:hAnsi="Calibri"/>
                <w:sz w:val="17"/>
                <w:szCs w:val="17"/>
              </w:rPr>
            </w:pPr>
            <w:r w:rsidRPr="00632DBC">
              <w:rPr>
                <w:rFonts w:ascii="Calibri" w:hAnsi="Calibri"/>
                <w:sz w:val="17"/>
                <w:szCs w:val="17"/>
              </w:rPr>
              <w:t xml:space="preserve">Participation forums, general assemblies, and stakeholder meetings have sought wide participation and input in this interdisciplinary participatory action-research project. </w:t>
            </w:r>
          </w:p>
        </w:tc>
        <w:tc>
          <w:tcPr>
            <w:tcW w:w="2268" w:type="dxa"/>
          </w:tcPr>
          <w:p w14:paraId="64DDBAAC" w14:textId="41000C24" w:rsidR="0086368F" w:rsidRPr="00632DBC" w:rsidRDefault="0086368F" w:rsidP="005964EA">
            <w:pPr>
              <w:spacing w:line="240" w:lineRule="auto"/>
              <w:rPr>
                <w:rFonts w:ascii="Calibri" w:hAnsi="Calibri" w:cs="‡≠nVˇ"/>
                <w:sz w:val="17"/>
                <w:szCs w:val="17"/>
              </w:rPr>
            </w:pPr>
            <w:r w:rsidRPr="00632DBC">
              <w:rPr>
                <w:rFonts w:ascii="Calibri" w:hAnsi="Calibri" w:cs="‡≠nVˇ"/>
                <w:sz w:val="17"/>
                <w:szCs w:val="17"/>
              </w:rPr>
              <w:t>Focus on Chiapas Sierra Madre</w:t>
            </w:r>
            <w:r w:rsidR="005A5488" w:rsidRPr="00632DBC">
              <w:rPr>
                <w:rFonts w:ascii="Calibri" w:hAnsi="Calibri" w:cs="‡≠nVˇ"/>
                <w:sz w:val="17"/>
                <w:szCs w:val="17"/>
              </w:rPr>
              <w:t>,</w:t>
            </w:r>
            <w:r w:rsidRPr="00632DBC">
              <w:rPr>
                <w:rFonts w:ascii="Calibri" w:hAnsi="Calibri" w:cs="‡≠nVˇ"/>
                <w:sz w:val="17"/>
                <w:szCs w:val="17"/>
              </w:rPr>
              <w:t xml:space="preserve"> allows for regional p</w:t>
            </w:r>
            <w:r w:rsidR="008E0AD6" w:rsidRPr="00632DBC">
              <w:rPr>
                <w:rFonts w:ascii="Calibri" w:hAnsi="Calibri" w:cs="‡≠nVˇ"/>
                <w:sz w:val="17"/>
                <w:szCs w:val="17"/>
              </w:rPr>
              <w:t>articularities to be included in</w:t>
            </w:r>
            <w:r w:rsidRPr="00632DBC">
              <w:rPr>
                <w:rFonts w:ascii="Calibri" w:hAnsi="Calibri" w:cs="‡≠nVˇ"/>
                <w:sz w:val="17"/>
                <w:szCs w:val="17"/>
              </w:rPr>
              <w:t xml:space="preserve"> state and</w:t>
            </w:r>
            <w:r w:rsidR="005A5488" w:rsidRPr="00632DBC">
              <w:rPr>
                <w:rFonts w:ascii="Calibri" w:hAnsi="Calibri" w:cs="‡≠nVˇ"/>
                <w:sz w:val="17"/>
                <w:szCs w:val="17"/>
              </w:rPr>
              <w:t xml:space="preserve"> national level planning. It also provides </w:t>
            </w:r>
            <w:r w:rsidRPr="00632DBC">
              <w:rPr>
                <w:rFonts w:ascii="Calibri" w:hAnsi="Calibri" w:cs="‡≠nVˇ"/>
                <w:sz w:val="17"/>
                <w:szCs w:val="17"/>
              </w:rPr>
              <w:t xml:space="preserve">key input to negotiations with international donors such as </w:t>
            </w:r>
            <w:r w:rsidR="00A0238B" w:rsidRPr="00632DBC">
              <w:rPr>
                <w:rFonts w:ascii="Calibri" w:hAnsi="Calibri" w:cs="‡≠nVˇ"/>
                <w:sz w:val="17"/>
                <w:szCs w:val="17"/>
              </w:rPr>
              <w:t>the W</w:t>
            </w:r>
            <w:r w:rsidR="008E0AD6" w:rsidRPr="00632DBC">
              <w:rPr>
                <w:rFonts w:ascii="Calibri" w:hAnsi="Calibri" w:cs="‡≠nVˇ"/>
                <w:sz w:val="17"/>
                <w:szCs w:val="17"/>
              </w:rPr>
              <w:t xml:space="preserve">orld </w:t>
            </w:r>
            <w:r w:rsidRPr="00632DBC">
              <w:rPr>
                <w:rFonts w:ascii="Calibri" w:hAnsi="Calibri" w:cs="‡≠nVˇ"/>
                <w:sz w:val="17"/>
                <w:szCs w:val="17"/>
              </w:rPr>
              <w:t>B</w:t>
            </w:r>
            <w:r w:rsidR="008E0AD6" w:rsidRPr="00632DBC">
              <w:rPr>
                <w:rFonts w:ascii="Calibri" w:hAnsi="Calibri" w:cs="‡≠nVˇ"/>
                <w:sz w:val="17"/>
                <w:szCs w:val="17"/>
              </w:rPr>
              <w:t>ank</w:t>
            </w:r>
            <w:r w:rsidRPr="00632DBC">
              <w:rPr>
                <w:rFonts w:ascii="Calibri" w:hAnsi="Calibri" w:cs="‡≠nVˇ"/>
                <w:sz w:val="17"/>
                <w:szCs w:val="17"/>
              </w:rPr>
              <w:t xml:space="preserve"> and GEF. </w:t>
            </w:r>
          </w:p>
        </w:tc>
        <w:tc>
          <w:tcPr>
            <w:tcW w:w="2409" w:type="dxa"/>
          </w:tcPr>
          <w:p w14:paraId="294F5637" w14:textId="74EE0F30" w:rsidR="0086368F" w:rsidRPr="00632DBC" w:rsidRDefault="0086368F" w:rsidP="005964EA">
            <w:pPr>
              <w:spacing w:line="240" w:lineRule="auto"/>
              <w:rPr>
                <w:rFonts w:ascii="Calibri" w:hAnsi="Calibri"/>
                <w:sz w:val="17"/>
                <w:szCs w:val="17"/>
              </w:rPr>
            </w:pPr>
            <w:r w:rsidRPr="00632DBC">
              <w:rPr>
                <w:rFonts w:ascii="Calibri" w:hAnsi="Calibri"/>
                <w:sz w:val="17"/>
                <w:szCs w:val="17"/>
              </w:rPr>
              <w:t>Public system for access to information are in place</w:t>
            </w:r>
            <w:r w:rsidR="009F136B" w:rsidRPr="00632DBC">
              <w:rPr>
                <w:rFonts w:ascii="Calibri" w:hAnsi="Calibri"/>
                <w:sz w:val="17"/>
                <w:szCs w:val="17"/>
              </w:rPr>
              <w:t>.</w:t>
            </w:r>
            <w:r w:rsidRPr="00632DBC">
              <w:rPr>
                <w:rStyle w:val="FootnoteReference"/>
                <w:rFonts w:ascii="Calibri" w:hAnsi="Calibri"/>
                <w:sz w:val="17"/>
                <w:szCs w:val="17"/>
              </w:rPr>
              <w:footnoteReference w:id="203"/>
            </w:r>
          </w:p>
          <w:p w14:paraId="63AB4DE0" w14:textId="77777777" w:rsidR="0086368F" w:rsidRPr="00632DBC" w:rsidRDefault="0086368F" w:rsidP="005964EA">
            <w:pPr>
              <w:spacing w:line="240" w:lineRule="auto"/>
              <w:outlineLvl w:val="8"/>
              <w:rPr>
                <w:rFonts w:ascii="Calibri" w:hAnsi="Calibri"/>
                <w:sz w:val="17"/>
                <w:szCs w:val="17"/>
              </w:rPr>
            </w:pPr>
            <w:r w:rsidRPr="00632DBC">
              <w:rPr>
                <w:rFonts w:ascii="Calibri" w:hAnsi="Calibri"/>
                <w:sz w:val="17"/>
                <w:szCs w:val="17"/>
              </w:rPr>
              <w:t xml:space="preserve">Legal regulations mandate for participatory spaces in agriculture secretary, and environmental and forestry commissions. </w:t>
            </w:r>
          </w:p>
        </w:tc>
      </w:tr>
      <w:tr w:rsidR="00633A71" w:rsidRPr="00632DBC" w14:paraId="0A3F41D3" w14:textId="77777777" w:rsidTr="005964EA">
        <w:tc>
          <w:tcPr>
            <w:tcW w:w="1419" w:type="dxa"/>
          </w:tcPr>
          <w:p w14:paraId="0E3D205A" w14:textId="77777777" w:rsidR="0086368F" w:rsidRPr="00632DBC" w:rsidRDefault="0086368F" w:rsidP="005964EA">
            <w:pPr>
              <w:rPr>
                <w:rFonts w:ascii="Calibri" w:hAnsi="Calibri"/>
                <w:sz w:val="18"/>
                <w:szCs w:val="18"/>
              </w:rPr>
            </w:pPr>
            <w:r w:rsidRPr="00632DBC">
              <w:rPr>
                <w:rFonts w:ascii="Calibri" w:hAnsi="Calibri"/>
                <w:sz w:val="18"/>
                <w:szCs w:val="18"/>
              </w:rPr>
              <w:t xml:space="preserve">Lessons of the case </w:t>
            </w:r>
          </w:p>
        </w:tc>
        <w:tc>
          <w:tcPr>
            <w:tcW w:w="2268" w:type="dxa"/>
          </w:tcPr>
          <w:p w14:paraId="5A0EC335" w14:textId="39DEA5C8" w:rsidR="0086368F" w:rsidRPr="00632DBC" w:rsidRDefault="0086368F" w:rsidP="005A5488">
            <w:pPr>
              <w:spacing w:line="240" w:lineRule="auto"/>
              <w:rPr>
                <w:rFonts w:ascii="Calibri" w:hAnsi="Calibri"/>
                <w:sz w:val="17"/>
                <w:szCs w:val="17"/>
              </w:rPr>
            </w:pPr>
            <w:r w:rsidRPr="00632DBC">
              <w:rPr>
                <w:rFonts w:ascii="Calibri" w:hAnsi="Calibri"/>
                <w:sz w:val="17"/>
                <w:szCs w:val="17"/>
              </w:rPr>
              <w:t>High conservation values, compatible with local livelihoods, in tension with agricultural intensification and the demand from global markets. Within the coffee sector, conflict between high quality coffee beans (with a necessarily higher price) and less quality but high quantity monocultu</w:t>
            </w:r>
            <w:r w:rsidR="005A5488" w:rsidRPr="00632DBC">
              <w:rPr>
                <w:rFonts w:ascii="Calibri" w:hAnsi="Calibri"/>
                <w:sz w:val="17"/>
                <w:szCs w:val="17"/>
              </w:rPr>
              <w:t>re</w:t>
            </w:r>
            <w:r w:rsidRPr="00632DBC">
              <w:rPr>
                <w:rFonts w:ascii="Calibri" w:hAnsi="Calibri"/>
                <w:sz w:val="17"/>
                <w:szCs w:val="17"/>
              </w:rPr>
              <w:t xml:space="preserve"> production in response to rising demand.</w:t>
            </w:r>
          </w:p>
        </w:tc>
        <w:tc>
          <w:tcPr>
            <w:tcW w:w="2268" w:type="dxa"/>
          </w:tcPr>
          <w:p w14:paraId="0363B009" w14:textId="5F817596" w:rsidR="0086368F" w:rsidRPr="00632DBC" w:rsidRDefault="0086368F" w:rsidP="005964EA">
            <w:pPr>
              <w:spacing w:line="240" w:lineRule="auto"/>
              <w:rPr>
                <w:rFonts w:ascii="Calibri" w:hAnsi="Calibri"/>
                <w:sz w:val="17"/>
                <w:szCs w:val="17"/>
              </w:rPr>
            </w:pPr>
            <w:r w:rsidRPr="00632DBC">
              <w:rPr>
                <w:rFonts w:ascii="Calibri" w:hAnsi="Calibri"/>
                <w:sz w:val="17"/>
                <w:szCs w:val="17"/>
              </w:rPr>
              <w:t xml:space="preserve">The region’s form of production must be </w:t>
            </w:r>
            <w:proofErr w:type="gramStart"/>
            <w:r w:rsidRPr="00632DBC">
              <w:rPr>
                <w:rFonts w:ascii="Calibri" w:hAnsi="Calibri"/>
                <w:sz w:val="17"/>
                <w:szCs w:val="17"/>
              </w:rPr>
              <w:t>taken into account</w:t>
            </w:r>
            <w:proofErr w:type="gramEnd"/>
            <w:r w:rsidRPr="00632DBC">
              <w:rPr>
                <w:rFonts w:ascii="Calibri" w:hAnsi="Calibri"/>
                <w:sz w:val="17"/>
                <w:szCs w:val="17"/>
              </w:rPr>
              <w:t>: smallholders, both private and communal (</w:t>
            </w:r>
            <w:r w:rsidRPr="00632DBC">
              <w:rPr>
                <w:rFonts w:ascii="Calibri" w:hAnsi="Calibri"/>
                <w:i/>
                <w:sz w:val="17"/>
                <w:szCs w:val="17"/>
              </w:rPr>
              <w:t>ejido</w:t>
            </w:r>
            <w:r w:rsidRPr="00632DBC">
              <w:rPr>
                <w:rFonts w:ascii="Calibri" w:hAnsi="Calibri"/>
                <w:sz w:val="17"/>
                <w:szCs w:val="17"/>
              </w:rPr>
              <w:t>) landholders, with limited access to information, credits, markets and innovation</w:t>
            </w:r>
            <w:r w:rsidR="009F136B" w:rsidRPr="00632DBC">
              <w:rPr>
                <w:rFonts w:ascii="Calibri" w:hAnsi="Calibri"/>
                <w:sz w:val="17"/>
                <w:szCs w:val="17"/>
              </w:rPr>
              <w:t>.</w:t>
            </w:r>
          </w:p>
        </w:tc>
        <w:tc>
          <w:tcPr>
            <w:tcW w:w="2268" w:type="dxa"/>
          </w:tcPr>
          <w:p w14:paraId="2264EC57" w14:textId="4C58B417" w:rsidR="0086368F" w:rsidRPr="00632DBC" w:rsidRDefault="0086368F" w:rsidP="005964EA">
            <w:pPr>
              <w:spacing w:line="240" w:lineRule="auto"/>
              <w:rPr>
                <w:rFonts w:ascii="Calibri" w:hAnsi="Calibri"/>
                <w:sz w:val="17"/>
                <w:szCs w:val="17"/>
              </w:rPr>
            </w:pPr>
            <w:proofErr w:type="gramStart"/>
            <w:r w:rsidRPr="00632DBC">
              <w:rPr>
                <w:rFonts w:ascii="Calibri" w:hAnsi="Calibri"/>
                <w:sz w:val="17"/>
                <w:szCs w:val="17"/>
              </w:rPr>
              <w:t>Particular regional</w:t>
            </w:r>
            <w:proofErr w:type="gramEnd"/>
            <w:r w:rsidRPr="00632DBC">
              <w:rPr>
                <w:rFonts w:ascii="Calibri" w:hAnsi="Calibri"/>
                <w:sz w:val="17"/>
                <w:szCs w:val="17"/>
              </w:rPr>
              <w:t xml:space="preserve"> dynamics in this eco-region marked by indigenous and non-indigenous smallholders, in which coffee forests insure biological connectivity and ecosystem services</w:t>
            </w:r>
            <w:r w:rsidR="009F136B" w:rsidRPr="00632DBC">
              <w:rPr>
                <w:rFonts w:ascii="Calibri" w:hAnsi="Calibri"/>
                <w:sz w:val="17"/>
                <w:szCs w:val="17"/>
              </w:rPr>
              <w:t>.</w:t>
            </w:r>
          </w:p>
        </w:tc>
        <w:tc>
          <w:tcPr>
            <w:tcW w:w="2409" w:type="dxa"/>
          </w:tcPr>
          <w:p w14:paraId="14CB7962" w14:textId="15F594A4" w:rsidR="0086368F" w:rsidRPr="00632DBC" w:rsidRDefault="0086368F" w:rsidP="005964EA">
            <w:pPr>
              <w:spacing w:line="240" w:lineRule="auto"/>
              <w:rPr>
                <w:rFonts w:ascii="Calibri" w:hAnsi="Calibri"/>
                <w:sz w:val="17"/>
                <w:szCs w:val="17"/>
              </w:rPr>
            </w:pPr>
            <w:r w:rsidRPr="00632DBC">
              <w:rPr>
                <w:rFonts w:ascii="Calibri" w:hAnsi="Calibri"/>
                <w:sz w:val="17"/>
                <w:szCs w:val="17"/>
              </w:rPr>
              <w:t>Challenges in measuring DD</w:t>
            </w:r>
            <w:r w:rsidR="009F136B" w:rsidRPr="00632DBC">
              <w:rPr>
                <w:rFonts w:ascii="Calibri" w:hAnsi="Calibri"/>
                <w:sz w:val="17"/>
                <w:szCs w:val="17"/>
              </w:rPr>
              <w:t>.</w:t>
            </w:r>
          </w:p>
          <w:p w14:paraId="5CFC6BC8" w14:textId="77777777" w:rsidR="0086368F" w:rsidRPr="00632DBC" w:rsidRDefault="0086368F" w:rsidP="005964EA">
            <w:pPr>
              <w:spacing w:line="240" w:lineRule="auto"/>
              <w:rPr>
                <w:rFonts w:ascii="Calibri" w:hAnsi="Calibri"/>
                <w:sz w:val="17"/>
                <w:szCs w:val="17"/>
              </w:rPr>
            </w:pPr>
            <w:r w:rsidRPr="00632DBC">
              <w:rPr>
                <w:rFonts w:ascii="Calibri" w:hAnsi="Calibri"/>
                <w:sz w:val="17"/>
                <w:szCs w:val="17"/>
              </w:rPr>
              <w:t>Information gaps (official statistics are not updated or with limited comparability due to diverse methodologies)</w:t>
            </w:r>
          </w:p>
          <w:p w14:paraId="5ABFC6EC" w14:textId="2D8AC84B" w:rsidR="0086368F" w:rsidRPr="00633A71" w:rsidRDefault="0086368F" w:rsidP="005964EA">
            <w:pPr>
              <w:spacing w:line="240" w:lineRule="auto"/>
              <w:outlineLvl w:val="8"/>
              <w:rPr>
                <w:rFonts w:ascii="Calibri" w:hAnsi="Calibri"/>
                <w:sz w:val="17"/>
                <w:szCs w:val="17"/>
              </w:rPr>
            </w:pPr>
            <w:r w:rsidRPr="00632DBC">
              <w:rPr>
                <w:rFonts w:ascii="Calibri" w:hAnsi="Calibri"/>
                <w:sz w:val="17"/>
                <w:szCs w:val="17"/>
              </w:rPr>
              <w:t>Need for regulations to guide interventions by diverse actors (from different government institutes to distinct corporations)</w:t>
            </w:r>
            <w:r w:rsidR="009F136B" w:rsidRPr="00633A71">
              <w:rPr>
                <w:rFonts w:ascii="Calibri" w:hAnsi="Calibri"/>
                <w:sz w:val="17"/>
                <w:szCs w:val="17"/>
              </w:rPr>
              <w:t>.</w:t>
            </w:r>
          </w:p>
        </w:tc>
      </w:tr>
    </w:tbl>
    <w:p w14:paraId="5B8A35F0" w14:textId="77777777" w:rsidR="00AC695C" w:rsidRPr="00632DBC" w:rsidRDefault="00AC695C" w:rsidP="00330006">
      <w:pPr>
        <w:spacing w:line="240" w:lineRule="auto"/>
        <w:jc w:val="both"/>
        <w:rPr>
          <w:rFonts w:ascii="Times New Roman" w:hAnsi="Times New Roman"/>
        </w:rPr>
      </w:pPr>
    </w:p>
    <w:p w14:paraId="5AD73F23" w14:textId="77777777" w:rsidR="00810C20" w:rsidRPr="00632DBC" w:rsidRDefault="00810C20" w:rsidP="00810C20">
      <w:pPr>
        <w:pStyle w:val="Heading3"/>
      </w:pPr>
      <w:bookmarkStart w:id="161" w:name="_Toc529199441"/>
      <w:r w:rsidRPr="00632DBC">
        <w:t>6.6 Climate financing with co-benefits to biodiversity</w:t>
      </w:r>
      <w:bookmarkEnd w:id="151"/>
      <w:bookmarkEnd w:id="152"/>
      <w:bookmarkEnd w:id="161"/>
    </w:p>
    <w:p w14:paraId="0E9E0599" w14:textId="77777777" w:rsidR="00810C20" w:rsidRPr="00633A71" w:rsidRDefault="00810C20" w:rsidP="00810C20">
      <w:pPr>
        <w:spacing w:line="240" w:lineRule="auto"/>
        <w:jc w:val="both"/>
        <w:rPr>
          <w:rFonts w:ascii="Times New Roman" w:hAnsi="Times New Roman"/>
        </w:rPr>
      </w:pPr>
      <w:r w:rsidRPr="00632DBC">
        <w:rPr>
          <w:rFonts w:ascii="Times New Roman" w:hAnsi="Times New Roman"/>
        </w:rPr>
        <w:t>While REDD+ promotes the channelling of carbon finance to reduce forest loss, concerns have been raised regarding associated negative impacts, such as local communities losing their user rights and the conversion of natural ecosystems into tree plantations at the expense of biodiversity.</w:t>
      </w:r>
      <w:r w:rsidRPr="00633A71">
        <w:rPr>
          <w:rFonts w:ascii="Times New Roman" w:hAnsi="Times New Roman"/>
          <w:vertAlign w:val="superscript"/>
        </w:rPr>
        <w:footnoteReference w:id="204"/>
      </w:r>
      <w:r w:rsidRPr="00633A71">
        <w:rPr>
          <w:rFonts w:ascii="Times New Roman" w:hAnsi="Times New Roman"/>
        </w:rPr>
        <w:t xml:space="preserve"> Appendix 1 gives the already agreed safeguard text for REDD+, but further attention to biodiversity and social safeguards coupled with accountability mechanisms is still needed to address these concerns. While there is </w:t>
      </w:r>
      <w:r w:rsidRPr="00633A71">
        <w:rPr>
          <w:rFonts w:ascii="Times New Roman" w:hAnsi="Times New Roman"/>
        </w:rPr>
        <w:lastRenderedPageBreak/>
        <w:t>potential for win-win situations in terms of forest-based climate change mitigation, biodiversity conservation and enhancement of the conditions for the wellbeing of forest-dependent peoples, it is necessary not to overlook the associated trade-offs.</w:t>
      </w:r>
      <w:r w:rsidRPr="00633A71">
        <w:rPr>
          <w:rStyle w:val="FootnoteReference"/>
          <w:rFonts w:ascii="Times New Roman" w:hAnsi="Times New Roman"/>
        </w:rPr>
        <w:footnoteReference w:id="205"/>
      </w:r>
      <w:r w:rsidRPr="00633A71">
        <w:rPr>
          <w:rFonts w:ascii="Times New Roman" w:hAnsi="Times New Roman"/>
        </w:rPr>
        <w:t xml:space="preserve"> Experience from successful implementation of PES schemes at the national level could serve as a first test before entering or even qualifying for REDD+ since REDD+ involves all the challenges of national PES and on top of that adds a further, international, level of complexity.</w:t>
      </w:r>
      <w:r w:rsidRPr="00633A71">
        <w:rPr>
          <w:rStyle w:val="FootnoteReference"/>
          <w:rFonts w:ascii="Times New Roman" w:hAnsi="Times New Roman"/>
        </w:rPr>
        <w:footnoteReference w:id="206"/>
      </w:r>
      <w:r w:rsidRPr="00633A71">
        <w:rPr>
          <w:rFonts w:ascii="Times New Roman" w:hAnsi="Times New Roman"/>
        </w:rPr>
        <w:t xml:space="preserve"> </w:t>
      </w:r>
    </w:p>
    <w:p w14:paraId="5F4976ED" w14:textId="314D9AB0" w:rsidR="00810C20" w:rsidRPr="00633A71" w:rsidRDefault="00810C20" w:rsidP="00810C20">
      <w:pPr>
        <w:spacing w:line="240" w:lineRule="auto"/>
        <w:jc w:val="both"/>
        <w:rPr>
          <w:rFonts w:ascii="Times New Roman" w:hAnsi="Times New Roman"/>
        </w:rPr>
      </w:pPr>
      <w:r w:rsidRPr="00633A71">
        <w:rPr>
          <w:rFonts w:ascii="Times New Roman" w:hAnsi="Times New Roman"/>
        </w:rPr>
        <w:t>The CBD Secreta</w:t>
      </w:r>
      <w:r w:rsidRPr="00504B5E">
        <w:rPr>
          <w:rFonts w:ascii="Times New Roman" w:hAnsi="Times New Roman"/>
        </w:rPr>
        <w:t>riat has provided advice on the application of relevant safeguards for biodiversity with regard to REDD+ (see Box 1</w:t>
      </w:r>
      <w:r w:rsidR="00A14CC2" w:rsidRPr="00504B5E">
        <w:rPr>
          <w:rFonts w:ascii="Times New Roman" w:hAnsi="Times New Roman"/>
        </w:rPr>
        <w:t>3</w:t>
      </w:r>
      <w:r w:rsidRPr="00504B5E">
        <w:rPr>
          <w:rFonts w:ascii="Times New Roman" w:hAnsi="Times New Roman"/>
        </w:rPr>
        <w:t>), which can be relevant also for biodiversity safeguards concerning ecosystems other than forests.</w:t>
      </w:r>
      <w:r w:rsidRPr="00633A71">
        <w:rPr>
          <w:rStyle w:val="FootnoteReference"/>
          <w:rFonts w:ascii="Times New Roman" w:hAnsi="Times New Roman"/>
        </w:rPr>
        <w:footnoteReference w:id="207"/>
      </w:r>
      <w:r w:rsidRPr="00633A71">
        <w:rPr>
          <w:rFonts w:ascii="Times New Roman" w:hAnsi="Times New Roman"/>
        </w:rPr>
        <w:t xml:space="preserve"> Such advice identifies possible risks to biodiversity and indigenous </w:t>
      </w:r>
      <w:r w:rsidR="00780015" w:rsidRPr="00633A71">
        <w:rPr>
          <w:rFonts w:ascii="Times New Roman" w:hAnsi="Times New Roman"/>
        </w:rPr>
        <w:t xml:space="preserve">peoples </w:t>
      </w:r>
      <w:r w:rsidRPr="00504B5E">
        <w:rPr>
          <w:rFonts w:ascii="Times New Roman" w:hAnsi="Times New Roman"/>
        </w:rPr>
        <w:t>and local communities</w:t>
      </w:r>
      <w:r w:rsidRPr="00632DBC">
        <w:rPr>
          <w:rFonts w:ascii="Times New Roman" w:hAnsi="Times New Roman"/>
          <w:iCs/>
          <w:vertAlign w:val="superscript"/>
          <w:lang w:bidi="ar-SA"/>
        </w:rPr>
        <w:footnoteReference w:id="208"/>
      </w:r>
      <w:r w:rsidRPr="00632DBC">
        <w:rPr>
          <w:iCs/>
          <w:lang w:bidi="ar-SA"/>
        </w:rPr>
        <w:t xml:space="preserve"> </w:t>
      </w:r>
      <w:r w:rsidRPr="00633A71">
        <w:rPr>
          <w:rFonts w:ascii="Times New Roman" w:hAnsi="Times New Roman"/>
        </w:rPr>
        <w:t xml:space="preserve">which include the conversion of natural forests to land uses of low biodiversity value and low resilience, an increased pressure on non-forest ecosystems with high biodiversity value as well as an absence of livelihood benefits to indigenous </w:t>
      </w:r>
      <w:r w:rsidR="00780015" w:rsidRPr="00633A71">
        <w:rPr>
          <w:rFonts w:ascii="Times New Roman" w:hAnsi="Times New Roman"/>
        </w:rPr>
        <w:t xml:space="preserve">peoples </w:t>
      </w:r>
      <w:r w:rsidRPr="00504B5E">
        <w:rPr>
          <w:rFonts w:ascii="Times New Roman" w:hAnsi="Times New Roman"/>
        </w:rPr>
        <w:t>and local communities and a lack of equitable benefit-sharing.</w:t>
      </w:r>
      <w:r w:rsidRPr="00504B5E">
        <w:rPr>
          <w:rFonts w:ascii="Times New Roman" w:hAnsi="Times New Roman"/>
          <w:i/>
          <w:iCs/>
        </w:rPr>
        <w:t xml:space="preserve"> </w:t>
      </w:r>
      <w:r w:rsidRPr="00504B5E">
        <w:rPr>
          <w:rFonts w:ascii="Times New Roman" w:hAnsi="Times New Roman"/>
          <w:iCs/>
        </w:rPr>
        <w:t>It also mentions that safeguards, if designed and implemented appropriately, can reduce risks and enhance multiple benefits of REDD+ and acknowledges that f</w:t>
      </w:r>
      <w:r w:rsidRPr="00504B5E">
        <w:rPr>
          <w:rFonts w:ascii="Times New Roman" w:hAnsi="Times New Roman"/>
        </w:rPr>
        <w:t>inancial support to countries is needed to implement such safeguards</w:t>
      </w:r>
      <w:r w:rsidRPr="00632DBC">
        <w:rPr>
          <w:rFonts w:ascii="Times New Roman" w:hAnsi="Times New Roman" w:cs="Angsana New"/>
          <w:iCs/>
          <w:lang w:eastAsia="ar-SA" w:bidi="ar-SA"/>
        </w:rPr>
        <w:t>.</w:t>
      </w:r>
      <w:r w:rsidRPr="00633A71">
        <w:t xml:space="preserve"> </w:t>
      </w:r>
    </w:p>
    <w:tbl>
      <w:tblPr>
        <w:tblW w:w="5000" w:type="pct"/>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6646"/>
        <w:gridCol w:w="2416"/>
      </w:tblGrid>
      <w:tr w:rsidR="00633A71" w:rsidRPr="00632DBC" w14:paraId="43C6108B" w14:textId="77777777" w:rsidTr="00CF7E8B">
        <w:tc>
          <w:tcPr>
            <w:tcW w:w="5000" w:type="pct"/>
            <w:gridSpan w:val="2"/>
            <w:shd w:val="clear" w:color="auto" w:fill="E6E6E6"/>
            <w:tcMar>
              <w:top w:w="113" w:type="dxa"/>
            </w:tcMar>
          </w:tcPr>
          <w:p w14:paraId="206452B8" w14:textId="5411C67C" w:rsidR="00810C20" w:rsidRPr="00633A71" w:rsidRDefault="00810C20" w:rsidP="00CF7E8B">
            <w:pPr>
              <w:spacing w:line="240" w:lineRule="auto"/>
              <w:jc w:val="both"/>
              <w:rPr>
                <w:rFonts w:ascii="Arial" w:hAnsi="Arial"/>
                <w:i/>
                <w:sz w:val="18"/>
                <w:szCs w:val="20"/>
              </w:rPr>
            </w:pPr>
            <w:r w:rsidRPr="00633A71">
              <w:rPr>
                <w:rFonts w:ascii="Arial" w:hAnsi="Arial"/>
                <w:i/>
                <w:sz w:val="18"/>
                <w:szCs w:val="20"/>
              </w:rPr>
              <w:t>Box 1</w:t>
            </w:r>
            <w:r w:rsidR="00A14CC2" w:rsidRPr="00504B5E">
              <w:rPr>
                <w:rFonts w:ascii="Arial" w:hAnsi="Arial"/>
                <w:i/>
                <w:sz w:val="18"/>
                <w:szCs w:val="20"/>
              </w:rPr>
              <w:t>3</w:t>
            </w:r>
            <w:r w:rsidRPr="00504B5E">
              <w:rPr>
                <w:rFonts w:ascii="Arial" w:hAnsi="Arial"/>
                <w:i/>
                <w:sz w:val="18"/>
                <w:szCs w:val="20"/>
              </w:rPr>
              <w:t xml:space="preserve">. Summary of CBD Advice on the application of safeguards for biodiversity </w:t>
            </w:r>
            <w:proofErr w:type="gramStart"/>
            <w:r w:rsidRPr="00504B5E">
              <w:rPr>
                <w:rFonts w:ascii="Arial" w:hAnsi="Arial"/>
                <w:i/>
                <w:sz w:val="18"/>
                <w:szCs w:val="20"/>
              </w:rPr>
              <w:t>with regard to</w:t>
            </w:r>
            <w:proofErr w:type="gramEnd"/>
            <w:r w:rsidRPr="00504B5E">
              <w:rPr>
                <w:rFonts w:ascii="Arial" w:hAnsi="Arial"/>
                <w:i/>
                <w:sz w:val="18"/>
                <w:szCs w:val="20"/>
              </w:rPr>
              <w:t xml:space="preserve"> REDD+</w:t>
            </w:r>
            <w:r w:rsidRPr="00633A71">
              <w:rPr>
                <w:rStyle w:val="FootnoteReference"/>
                <w:rFonts w:ascii="Times New Roman" w:hAnsi="Times New Roman"/>
              </w:rPr>
              <w:footnoteReference w:id="209"/>
            </w:r>
            <w:r w:rsidRPr="00633A71">
              <w:rPr>
                <w:rFonts w:ascii="Times New Roman" w:hAnsi="Times New Roman"/>
                <w:szCs w:val="20"/>
              </w:rPr>
              <w:t xml:space="preserve"> </w:t>
            </w:r>
          </w:p>
        </w:tc>
      </w:tr>
      <w:tr w:rsidR="00633A71" w:rsidRPr="00632DBC" w14:paraId="3B468DD0" w14:textId="77777777" w:rsidTr="00CF7E8B">
        <w:tc>
          <w:tcPr>
            <w:tcW w:w="3667" w:type="pct"/>
            <w:shd w:val="clear" w:color="auto" w:fill="E6E6E6"/>
          </w:tcPr>
          <w:p w14:paraId="20758B13" w14:textId="77777777" w:rsidR="00810C20" w:rsidRPr="00632DBC" w:rsidRDefault="00810C20" w:rsidP="003966BA">
            <w:pPr>
              <w:pStyle w:val="Listavistosa-nfasis12"/>
              <w:numPr>
                <w:ilvl w:val="0"/>
                <w:numId w:val="4"/>
              </w:numPr>
              <w:spacing w:before="60" w:after="0" w:line="240" w:lineRule="auto"/>
              <w:ind w:left="284" w:hanging="284"/>
              <w:contextualSpacing w:val="0"/>
              <w:jc w:val="both"/>
              <w:rPr>
                <w:rFonts w:ascii="Arial" w:hAnsi="Arial"/>
                <w:iCs/>
                <w:sz w:val="18"/>
                <w:szCs w:val="20"/>
              </w:rPr>
            </w:pPr>
            <w:r w:rsidRPr="00632DBC">
              <w:rPr>
                <w:rFonts w:ascii="Arial" w:hAnsi="Arial"/>
                <w:iCs/>
                <w:sz w:val="18"/>
                <w:szCs w:val="20"/>
              </w:rPr>
              <w:t xml:space="preserve">The Ecosystem Approach, and relevant operational level guidance </w:t>
            </w:r>
          </w:p>
        </w:tc>
        <w:tc>
          <w:tcPr>
            <w:tcW w:w="1333" w:type="pct"/>
            <w:shd w:val="clear" w:color="auto" w:fill="E6E6E6"/>
          </w:tcPr>
          <w:p w14:paraId="586524ED" w14:textId="77777777" w:rsidR="00810C20" w:rsidRPr="00632DBC" w:rsidRDefault="00810C20" w:rsidP="00CF7E8B">
            <w:pPr>
              <w:spacing w:before="60" w:after="0" w:line="240" w:lineRule="auto"/>
              <w:ind w:left="208"/>
              <w:jc w:val="both"/>
              <w:rPr>
                <w:rFonts w:ascii="Arial" w:hAnsi="Arial"/>
                <w:i/>
                <w:iCs/>
                <w:sz w:val="18"/>
                <w:szCs w:val="20"/>
              </w:rPr>
            </w:pPr>
            <w:r w:rsidRPr="00632DBC">
              <w:rPr>
                <w:rFonts w:ascii="Arial" w:hAnsi="Arial"/>
                <w:iCs/>
                <w:sz w:val="18"/>
                <w:szCs w:val="20"/>
              </w:rPr>
              <w:t>Decisions V/6 and VII/11</w:t>
            </w:r>
          </w:p>
        </w:tc>
      </w:tr>
      <w:tr w:rsidR="00633A71" w:rsidRPr="00632DBC" w14:paraId="7B4580B7" w14:textId="77777777" w:rsidTr="00CF7E8B">
        <w:tc>
          <w:tcPr>
            <w:tcW w:w="3667" w:type="pct"/>
            <w:shd w:val="clear" w:color="auto" w:fill="E6E6E6"/>
          </w:tcPr>
          <w:p w14:paraId="1CBB25C1" w14:textId="77777777" w:rsidR="00810C20" w:rsidRPr="00632DBC" w:rsidRDefault="00810C20" w:rsidP="003966BA">
            <w:pPr>
              <w:pStyle w:val="Listavistosa-nfasis12"/>
              <w:numPr>
                <w:ilvl w:val="0"/>
                <w:numId w:val="4"/>
              </w:numPr>
              <w:spacing w:before="60" w:after="0" w:line="240" w:lineRule="auto"/>
              <w:ind w:left="284" w:hanging="284"/>
              <w:contextualSpacing w:val="0"/>
              <w:jc w:val="both"/>
              <w:rPr>
                <w:rFonts w:ascii="Arial" w:hAnsi="Arial"/>
                <w:iCs/>
                <w:sz w:val="18"/>
                <w:szCs w:val="20"/>
              </w:rPr>
            </w:pPr>
            <w:r w:rsidRPr="00632DBC">
              <w:rPr>
                <w:rFonts w:ascii="Arial" w:hAnsi="Arial"/>
                <w:iCs/>
                <w:sz w:val="18"/>
                <w:szCs w:val="20"/>
              </w:rPr>
              <w:t xml:space="preserve">The expanded programme of work on forest biodiversity </w:t>
            </w:r>
          </w:p>
        </w:tc>
        <w:tc>
          <w:tcPr>
            <w:tcW w:w="1333" w:type="pct"/>
            <w:shd w:val="clear" w:color="auto" w:fill="E6E6E6"/>
          </w:tcPr>
          <w:p w14:paraId="52A411A3" w14:textId="77777777" w:rsidR="00810C20" w:rsidRPr="00632DBC" w:rsidRDefault="00810C20" w:rsidP="00CF7E8B">
            <w:pPr>
              <w:spacing w:before="60" w:after="0" w:line="240" w:lineRule="auto"/>
              <w:ind w:left="208"/>
              <w:jc w:val="both"/>
              <w:rPr>
                <w:rFonts w:ascii="Arial" w:hAnsi="Arial"/>
                <w:i/>
                <w:iCs/>
                <w:sz w:val="18"/>
                <w:szCs w:val="20"/>
              </w:rPr>
            </w:pPr>
            <w:r w:rsidRPr="00632DBC">
              <w:rPr>
                <w:rFonts w:ascii="Arial" w:hAnsi="Arial"/>
                <w:iCs/>
                <w:sz w:val="18"/>
                <w:szCs w:val="20"/>
              </w:rPr>
              <w:t>Decisions VI/22 and IX/5</w:t>
            </w:r>
          </w:p>
        </w:tc>
      </w:tr>
      <w:tr w:rsidR="00633A71" w:rsidRPr="00632DBC" w14:paraId="7E214202" w14:textId="77777777" w:rsidTr="00CF7E8B">
        <w:tc>
          <w:tcPr>
            <w:tcW w:w="3667" w:type="pct"/>
            <w:shd w:val="clear" w:color="auto" w:fill="E6E6E6"/>
          </w:tcPr>
          <w:p w14:paraId="3467D8E7" w14:textId="77777777" w:rsidR="00810C20" w:rsidRPr="00632DBC" w:rsidRDefault="00810C20" w:rsidP="003966BA">
            <w:pPr>
              <w:pStyle w:val="Listavistosa-nfasis12"/>
              <w:numPr>
                <w:ilvl w:val="0"/>
                <w:numId w:val="4"/>
              </w:numPr>
              <w:spacing w:before="60" w:after="0" w:line="240" w:lineRule="auto"/>
              <w:ind w:left="284" w:hanging="284"/>
              <w:contextualSpacing w:val="0"/>
              <w:jc w:val="both"/>
              <w:rPr>
                <w:rFonts w:ascii="Arial" w:hAnsi="Arial"/>
                <w:iCs/>
                <w:sz w:val="18"/>
                <w:szCs w:val="20"/>
              </w:rPr>
            </w:pPr>
            <w:r w:rsidRPr="00632DBC">
              <w:rPr>
                <w:rFonts w:ascii="Arial" w:hAnsi="Arial"/>
                <w:iCs/>
                <w:sz w:val="18"/>
                <w:szCs w:val="20"/>
              </w:rPr>
              <w:t xml:space="preserve">The Addis Ababa Principles and Guidelines for the Sustainable Use of Biodiversity </w:t>
            </w:r>
          </w:p>
        </w:tc>
        <w:tc>
          <w:tcPr>
            <w:tcW w:w="1333" w:type="pct"/>
            <w:shd w:val="clear" w:color="auto" w:fill="E6E6E6"/>
          </w:tcPr>
          <w:p w14:paraId="0EF8E977" w14:textId="77777777" w:rsidR="00810C20" w:rsidRPr="00632DBC" w:rsidRDefault="00810C20" w:rsidP="00CF7E8B">
            <w:pPr>
              <w:spacing w:before="60" w:after="0" w:line="240" w:lineRule="auto"/>
              <w:ind w:left="208"/>
              <w:jc w:val="both"/>
              <w:rPr>
                <w:rFonts w:ascii="Arial" w:hAnsi="Arial"/>
                <w:i/>
                <w:iCs/>
                <w:sz w:val="18"/>
                <w:szCs w:val="20"/>
              </w:rPr>
            </w:pPr>
            <w:r w:rsidRPr="00632DBC">
              <w:rPr>
                <w:rFonts w:ascii="Arial" w:hAnsi="Arial"/>
                <w:iCs/>
                <w:sz w:val="18"/>
                <w:szCs w:val="20"/>
              </w:rPr>
              <w:t>Decision VII/12</w:t>
            </w:r>
          </w:p>
        </w:tc>
      </w:tr>
      <w:tr w:rsidR="00633A71" w:rsidRPr="00632DBC" w14:paraId="5E834EF4" w14:textId="77777777" w:rsidTr="00CF7E8B">
        <w:tc>
          <w:tcPr>
            <w:tcW w:w="3667" w:type="pct"/>
            <w:shd w:val="clear" w:color="auto" w:fill="E6E6E6"/>
          </w:tcPr>
          <w:p w14:paraId="5CEE4761" w14:textId="77777777" w:rsidR="00810C20" w:rsidRPr="00632DBC" w:rsidRDefault="00810C20" w:rsidP="003966BA">
            <w:pPr>
              <w:pStyle w:val="Listavistosa-nfasis12"/>
              <w:numPr>
                <w:ilvl w:val="0"/>
                <w:numId w:val="4"/>
              </w:numPr>
              <w:spacing w:before="60" w:after="0" w:line="240" w:lineRule="auto"/>
              <w:ind w:left="284" w:hanging="284"/>
              <w:contextualSpacing w:val="0"/>
              <w:jc w:val="both"/>
              <w:rPr>
                <w:rFonts w:ascii="Arial" w:hAnsi="Arial"/>
                <w:iCs/>
                <w:sz w:val="18"/>
                <w:szCs w:val="20"/>
              </w:rPr>
            </w:pPr>
            <w:r w:rsidRPr="00632DBC">
              <w:rPr>
                <w:rFonts w:ascii="Arial" w:hAnsi="Arial"/>
                <w:iCs/>
                <w:sz w:val="18"/>
                <w:szCs w:val="20"/>
              </w:rPr>
              <w:t>The Akwé: Kon voluntary guidelines for the conduct of cultural, environmental and social impact assessments regarding sacred sites</w:t>
            </w:r>
            <w:r w:rsidRPr="00632DBC">
              <w:rPr>
                <w:rStyle w:val="FootnoteReference"/>
                <w:rFonts w:ascii="Times New Roman" w:hAnsi="Times New Roman"/>
                <w:iCs/>
              </w:rPr>
              <w:footnoteReference w:id="210"/>
            </w:r>
            <w:r w:rsidRPr="00632DBC">
              <w:rPr>
                <w:rFonts w:ascii="Times New Roman" w:hAnsi="Times New Roman"/>
                <w:iCs/>
                <w:szCs w:val="20"/>
              </w:rPr>
              <w:t xml:space="preserve"> </w:t>
            </w:r>
            <w:r w:rsidRPr="00632DBC">
              <w:rPr>
                <w:rFonts w:ascii="Arial" w:hAnsi="Arial"/>
                <w:iCs/>
                <w:sz w:val="18"/>
                <w:szCs w:val="20"/>
              </w:rPr>
              <w:t xml:space="preserve">and lands and waters traditionally occupied or used by indigenous and local communities </w:t>
            </w:r>
            <w:r w:rsidRPr="00632DBC">
              <w:rPr>
                <w:rStyle w:val="FootnoteReference"/>
                <w:rFonts w:ascii="Times New Roman" w:hAnsi="Times New Roman"/>
                <w:iCs/>
              </w:rPr>
              <w:footnoteReference w:id="211"/>
            </w:r>
          </w:p>
        </w:tc>
        <w:tc>
          <w:tcPr>
            <w:tcW w:w="1333" w:type="pct"/>
            <w:shd w:val="clear" w:color="auto" w:fill="E6E6E6"/>
          </w:tcPr>
          <w:p w14:paraId="3C35296F" w14:textId="77777777" w:rsidR="00810C20" w:rsidRPr="00632DBC" w:rsidRDefault="00810C20" w:rsidP="00CF7E8B">
            <w:pPr>
              <w:spacing w:before="60" w:after="0" w:line="240" w:lineRule="auto"/>
              <w:ind w:left="208"/>
              <w:jc w:val="both"/>
              <w:rPr>
                <w:rFonts w:ascii="Arial" w:hAnsi="Arial"/>
                <w:i/>
                <w:iCs/>
                <w:sz w:val="18"/>
                <w:szCs w:val="20"/>
              </w:rPr>
            </w:pPr>
            <w:r w:rsidRPr="00632DBC">
              <w:rPr>
                <w:rFonts w:ascii="Arial" w:hAnsi="Arial"/>
                <w:iCs/>
                <w:sz w:val="18"/>
                <w:szCs w:val="20"/>
              </w:rPr>
              <w:t>Decision VII/16</w:t>
            </w:r>
          </w:p>
        </w:tc>
      </w:tr>
      <w:tr w:rsidR="00633A71" w:rsidRPr="00632DBC" w14:paraId="3ED4D04C" w14:textId="77777777" w:rsidTr="00CF7E8B">
        <w:tc>
          <w:tcPr>
            <w:tcW w:w="3667" w:type="pct"/>
            <w:shd w:val="clear" w:color="auto" w:fill="E6E6E6"/>
          </w:tcPr>
          <w:p w14:paraId="6E78D95A" w14:textId="77777777" w:rsidR="00810C20" w:rsidRPr="00632DBC" w:rsidRDefault="00810C20" w:rsidP="003966BA">
            <w:pPr>
              <w:pStyle w:val="Listavistosa-nfasis12"/>
              <w:numPr>
                <w:ilvl w:val="0"/>
                <w:numId w:val="4"/>
              </w:numPr>
              <w:spacing w:before="60" w:after="0" w:line="240" w:lineRule="auto"/>
              <w:ind w:left="284" w:hanging="284"/>
              <w:contextualSpacing w:val="0"/>
              <w:jc w:val="both"/>
              <w:rPr>
                <w:rFonts w:ascii="Arial" w:hAnsi="Arial"/>
                <w:iCs/>
                <w:sz w:val="18"/>
                <w:szCs w:val="20"/>
              </w:rPr>
            </w:pPr>
            <w:r w:rsidRPr="00632DBC">
              <w:rPr>
                <w:rFonts w:ascii="Arial" w:hAnsi="Arial"/>
                <w:iCs/>
                <w:sz w:val="18"/>
                <w:szCs w:val="20"/>
              </w:rPr>
              <w:t>Spatially explicit information on biodiversity priority areas, for example as developed by many countries in their national ecological gap analysis under the programme of work on protected areas.</w:t>
            </w:r>
            <w:r w:rsidRPr="00632DBC">
              <w:rPr>
                <w:rFonts w:ascii="Times New Roman" w:hAnsi="Times New Roman"/>
                <w:vertAlign w:val="superscript"/>
              </w:rPr>
              <w:footnoteReference w:id="212"/>
            </w:r>
          </w:p>
        </w:tc>
        <w:tc>
          <w:tcPr>
            <w:tcW w:w="1333" w:type="pct"/>
            <w:shd w:val="clear" w:color="auto" w:fill="E6E6E6"/>
          </w:tcPr>
          <w:p w14:paraId="2D37556C" w14:textId="77777777" w:rsidR="00810C20" w:rsidRPr="00632DBC" w:rsidRDefault="00810C20" w:rsidP="00CF7E8B">
            <w:pPr>
              <w:spacing w:before="60" w:after="0" w:line="240" w:lineRule="auto"/>
              <w:ind w:left="208"/>
              <w:jc w:val="both"/>
              <w:rPr>
                <w:rFonts w:ascii="Arial" w:hAnsi="Arial"/>
                <w:i/>
                <w:iCs/>
                <w:sz w:val="18"/>
                <w:szCs w:val="20"/>
              </w:rPr>
            </w:pPr>
            <w:r w:rsidRPr="00632DBC">
              <w:rPr>
                <w:rFonts w:ascii="Arial" w:hAnsi="Arial"/>
                <w:iCs/>
                <w:sz w:val="18"/>
                <w:szCs w:val="20"/>
              </w:rPr>
              <w:t>Decision VII/28</w:t>
            </w:r>
          </w:p>
        </w:tc>
      </w:tr>
      <w:tr w:rsidR="00633A71" w:rsidRPr="00632DBC" w14:paraId="4A51E038" w14:textId="77777777" w:rsidTr="00CF7E8B">
        <w:tc>
          <w:tcPr>
            <w:tcW w:w="3667" w:type="pct"/>
            <w:shd w:val="clear" w:color="auto" w:fill="E6E6E6"/>
          </w:tcPr>
          <w:p w14:paraId="0547D911" w14:textId="77777777" w:rsidR="00810C20" w:rsidRPr="00632DBC" w:rsidRDefault="00810C20" w:rsidP="003966BA">
            <w:pPr>
              <w:pStyle w:val="Listavistosa-nfasis12"/>
              <w:numPr>
                <w:ilvl w:val="0"/>
                <w:numId w:val="4"/>
              </w:numPr>
              <w:spacing w:before="60" w:after="0" w:line="240" w:lineRule="auto"/>
              <w:ind w:left="284" w:hanging="284"/>
              <w:contextualSpacing w:val="0"/>
              <w:jc w:val="both"/>
              <w:rPr>
                <w:rFonts w:ascii="Arial" w:hAnsi="Arial"/>
                <w:iCs/>
                <w:sz w:val="18"/>
                <w:szCs w:val="20"/>
              </w:rPr>
            </w:pPr>
            <w:r w:rsidRPr="00632DBC">
              <w:rPr>
                <w:rFonts w:ascii="Arial" w:hAnsi="Arial"/>
                <w:iCs/>
                <w:sz w:val="18"/>
                <w:szCs w:val="20"/>
              </w:rPr>
              <w:t xml:space="preserve">Voluntary guidelines on biodiversity-inclusive impact assessment </w:t>
            </w:r>
          </w:p>
        </w:tc>
        <w:tc>
          <w:tcPr>
            <w:tcW w:w="1333" w:type="pct"/>
            <w:shd w:val="clear" w:color="auto" w:fill="E6E6E6"/>
          </w:tcPr>
          <w:p w14:paraId="305F1268" w14:textId="77777777" w:rsidR="00810C20" w:rsidRPr="00632DBC" w:rsidRDefault="00810C20" w:rsidP="00CF7E8B">
            <w:pPr>
              <w:spacing w:before="60" w:after="0" w:line="240" w:lineRule="auto"/>
              <w:ind w:left="208"/>
              <w:jc w:val="both"/>
              <w:rPr>
                <w:rFonts w:ascii="Arial" w:hAnsi="Arial"/>
                <w:i/>
                <w:iCs/>
                <w:sz w:val="18"/>
                <w:szCs w:val="20"/>
              </w:rPr>
            </w:pPr>
            <w:r w:rsidRPr="00632DBC">
              <w:rPr>
                <w:rFonts w:ascii="Arial" w:hAnsi="Arial"/>
                <w:iCs/>
                <w:sz w:val="18"/>
                <w:szCs w:val="20"/>
              </w:rPr>
              <w:t>Decision VIII/28</w:t>
            </w:r>
          </w:p>
        </w:tc>
      </w:tr>
      <w:tr w:rsidR="00633A71" w:rsidRPr="00632DBC" w14:paraId="28CA1EF8" w14:textId="77777777" w:rsidTr="00CF7E8B">
        <w:tc>
          <w:tcPr>
            <w:tcW w:w="3667" w:type="pct"/>
            <w:shd w:val="clear" w:color="auto" w:fill="E6E6E6"/>
            <w:tcMar>
              <w:bottom w:w="113" w:type="dxa"/>
            </w:tcMar>
          </w:tcPr>
          <w:p w14:paraId="4213A646" w14:textId="77777777" w:rsidR="00810C20" w:rsidRPr="00632DBC" w:rsidRDefault="00810C20" w:rsidP="003966BA">
            <w:pPr>
              <w:pStyle w:val="Listavistosa-nfasis12"/>
              <w:numPr>
                <w:ilvl w:val="0"/>
                <w:numId w:val="4"/>
              </w:numPr>
              <w:spacing w:before="60" w:after="0" w:line="240" w:lineRule="auto"/>
              <w:ind w:left="284" w:hanging="284"/>
              <w:contextualSpacing w:val="0"/>
              <w:jc w:val="both"/>
              <w:rPr>
                <w:rFonts w:ascii="Arial" w:hAnsi="Arial"/>
                <w:iCs/>
                <w:sz w:val="18"/>
                <w:szCs w:val="20"/>
              </w:rPr>
            </w:pPr>
            <w:r w:rsidRPr="00632DBC">
              <w:rPr>
                <w:rFonts w:ascii="Arial" w:hAnsi="Arial"/>
                <w:iCs/>
                <w:sz w:val="18"/>
                <w:szCs w:val="20"/>
              </w:rPr>
              <w:lastRenderedPageBreak/>
              <w:t xml:space="preserve">Elements of the </w:t>
            </w:r>
            <w:proofErr w:type="gramStart"/>
            <w:r w:rsidRPr="00632DBC">
              <w:rPr>
                <w:rFonts w:ascii="Arial" w:hAnsi="Arial"/>
                <w:iCs/>
                <w:sz w:val="18"/>
                <w:szCs w:val="20"/>
              </w:rPr>
              <w:t>Tkarihwaié:ri</w:t>
            </w:r>
            <w:proofErr w:type="gramEnd"/>
            <w:r w:rsidRPr="00632DBC">
              <w:rPr>
                <w:rFonts w:ascii="Times New Roman" w:hAnsi="Times New Roman"/>
                <w:vertAlign w:val="superscript"/>
              </w:rPr>
              <w:footnoteReference w:id="213"/>
            </w:r>
            <w:r w:rsidRPr="00632DBC">
              <w:rPr>
                <w:rFonts w:ascii="Arial" w:hAnsi="Arial"/>
                <w:iCs/>
                <w:sz w:val="18"/>
                <w:szCs w:val="20"/>
              </w:rPr>
              <w:t xml:space="preserve"> Code of Ethical Conduct pertaining to research, access to, use, exchange and management of information concerning traditional knowledge, innovations and practices for the conservation and sustainable use of biological diversity.</w:t>
            </w:r>
          </w:p>
        </w:tc>
        <w:tc>
          <w:tcPr>
            <w:tcW w:w="1333" w:type="pct"/>
            <w:shd w:val="clear" w:color="auto" w:fill="E6E6E6"/>
            <w:tcMar>
              <w:bottom w:w="113" w:type="dxa"/>
            </w:tcMar>
          </w:tcPr>
          <w:p w14:paraId="06DEB4C8" w14:textId="77777777" w:rsidR="00810C20" w:rsidRPr="00632DBC" w:rsidRDefault="00810C20" w:rsidP="00CF7E8B">
            <w:pPr>
              <w:spacing w:before="60" w:after="0" w:line="240" w:lineRule="auto"/>
              <w:ind w:left="208"/>
              <w:jc w:val="both"/>
              <w:rPr>
                <w:rFonts w:ascii="Arial" w:hAnsi="Arial"/>
                <w:i/>
                <w:iCs/>
                <w:sz w:val="18"/>
                <w:szCs w:val="20"/>
              </w:rPr>
            </w:pPr>
            <w:r w:rsidRPr="00632DBC">
              <w:rPr>
                <w:rFonts w:ascii="Arial" w:hAnsi="Arial"/>
                <w:iCs/>
                <w:sz w:val="18"/>
                <w:szCs w:val="20"/>
              </w:rPr>
              <w:t>Decision X/42</w:t>
            </w:r>
          </w:p>
        </w:tc>
      </w:tr>
    </w:tbl>
    <w:p w14:paraId="6D12E06A" w14:textId="77777777" w:rsidR="00810C20" w:rsidRPr="00632DBC" w:rsidRDefault="00810C20" w:rsidP="00810C20">
      <w:pPr>
        <w:rPr>
          <w:rFonts w:ascii="Arial" w:hAnsi="Arial"/>
          <w:iCs/>
          <w:sz w:val="18"/>
          <w:szCs w:val="20"/>
        </w:rPr>
      </w:pPr>
      <w:r w:rsidRPr="00632DBC">
        <w:rPr>
          <w:rFonts w:ascii="Arial" w:hAnsi="Arial"/>
          <w:iCs/>
          <w:sz w:val="18"/>
          <w:szCs w:val="20"/>
        </w:rPr>
        <w:t xml:space="preserve"> </w:t>
      </w:r>
    </w:p>
    <w:p w14:paraId="083837ED" w14:textId="77777777" w:rsidR="00810C20" w:rsidRPr="00632DBC" w:rsidRDefault="00810C20" w:rsidP="00810C20">
      <w:pPr>
        <w:pStyle w:val="CorpsA"/>
        <w:spacing w:line="360" w:lineRule="auto"/>
        <w:jc w:val="both"/>
        <w:rPr>
          <w:rFonts w:ascii="Times New Roman Bold" w:eastAsia="Times New Roman Bold" w:hAnsi="Times New Roman Bold" w:cs="Times New Roman Bold"/>
          <w:color w:val="auto"/>
          <w:lang w:val="en-GB"/>
        </w:rPr>
      </w:pPr>
    </w:p>
    <w:p w14:paraId="6FC6247C" w14:textId="48F86667" w:rsidR="00810C20" w:rsidRPr="00504B5E" w:rsidRDefault="00810C20" w:rsidP="00810C20">
      <w:pPr>
        <w:spacing w:after="0" w:line="240" w:lineRule="auto"/>
        <w:jc w:val="both"/>
        <w:rPr>
          <w:rFonts w:ascii="Times New Roman" w:hAnsi="Times New Roman"/>
          <w:iCs/>
        </w:rPr>
      </w:pPr>
      <w:r w:rsidRPr="00633A71">
        <w:rPr>
          <w:rFonts w:ascii="Times New Roman" w:hAnsi="Times New Roman"/>
          <w:iCs/>
        </w:rPr>
        <w:t>After Cancun, the 2011 Durban Climate Change Conference gave more room to financial cooperation between countries for REDD+ and launch the Safeguards Information System. The Swiss-Philippine Initiative “Best Practices in Governance and Biodiversity Safeguards for REDD- Plus: Valuing national and field bases experiences to catalyse synergy between the UNFCCC and CBD” aims that “ both nations’ strong commitment towards community-based forest management, indigenous peoples’ rights, and environmental integrity and biodiversity conservation are reflected in the development and implementation of REDD- Plus internationally and nationally”. In th</w:t>
      </w:r>
      <w:r w:rsidRPr="00504B5E">
        <w:rPr>
          <w:rFonts w:ascii="Times New Roman" w:hAnsi="Times New Roman"/>
          <w:iCs/>
        </w:rPr>
        <w:t xml:space="preserve">e course on the initiative, consultations were conducted in Bohol, Philippines and Kathmandu, Nepal. The Initiative shows how safeguards are being adapted in practice and bringing “synergistic </w:t>
      </w:r>
      <w:proofErr w:type="spellStart"/>
      <w:r w:rsidRPr="00504B5E">
        <w:rPr>
          <w:rFonts w:ascii="Times New Roman" w:hAnsi="Times New Roman"/>
          <w:iCs/>
        </w:rPr>
        <w:t>guidances</w:t>
      </w:r>
      <w:proofErr w:type="spellEnd"/>
      <w:r w:rsidRPr="00504B5E">
        <w:rPr>
          <w:rFonts w:ascii="Times New Roman" w:hAnsi="Times New Roman"/>
          <w:iCs/>
        </w:rPr>
        <w:t xml:space="preserve">” into UNFCCC and CBD processes including the following: </w:t>
      </w:r>
    </w:p>
    <w:p w14:paraId="1F729B64" w14:textId="77777777" w:rsidR="00810C20" w:rsidRPr="00504B5E" w:rsidRDefault="00810C20" w:rsidP="003966BA">
      <w:pPr>
        <w:numPr>
          <w:ilvl w:val="0"/>
          <w:numId w:val="37"/>
        </w:numPr>
        <w:spacing w:after="0" w:line="240" w:lineRule="auto"/>
        <w:contextualSpacing/>
        <w:rPr>
          <w:rFonts w:ascii="Times New Roman" w:hAnsi="Times New Roman"/>
          <w:iCs/>
        </w:rPr>
      </w:pPr>
      <w:r w:rsidRPr="00504B5E">
        <w:rPr>
          <w:rFonts w:ascii="Times New Roman" w:hAnsi="Times New Roman"/>
          <w:iCs/>
        </w:rPr>
        <w:t>REDD-Plus implementation succeeds when it adds value to the overall national forest management strategy and local development goals</w:t>
      </w:r>
    </w:p>
    <w:p w14:paraId="0AC00600" w14:textId="77777777" w:rsidR="00810C20" w:rsidRPr="00504B5E" w:rsidRDefault="00810C20" w:rsidP="003966BA">
      <w:pPr>
        <w:numPr>
          <w:ilvl w:val="0"/>
          <w:numId w:val="37"/>
        </w:numPr>
        <w:spacing w:after="0" w:line="240" w:lineRule="auto"/>
        <w:contextualSpacing/>
        <w:rPr>
          <w:rFonts w:ascii="Times New Roman" w:hAnsi="Times New Roman"/>
          <w:iCs/>
        </w:rPr>
      </w:pPr>
      <w:r w:rsidRPr="00504B5E">
        <w:rPr>
          <w:rFonts w:ascii="Times New Roman" w:hAnsi="Times New Roman"/>
          <w:iCs/>
        </w:rPr>
        <w:t>Transparency and effective participation in REDD-Plus entail ownership of forest governance structures by empowered local stakeholders</w:t>
      </w:r>
    </w:p>
    <w:p w14:paraId="03B2EA19" w14:textId="77777777" w:rsidR="00810C20" w:rsidRPr="00504B5E" w:rsidRDefault="00810C20" w:rsidP="003966BA">
      <w:pPr>
        <w:numPr>
          <w:ilvl w:val="0"/>
          <w:numId w:val="37"/>
        </w:numPr>
        <w:spacing w:after="0" w:line="240" w:lineRule="auto"/>
        <w:contextualSpacing/>
        <w:rPr>
          <w:rFonts w:ascii="Times New Roman" w:hAnsi="Times New Roman"/>
          <w:iCs/>
        </w:rPr>
      </w:pPr>
      <w:r w:rsidRPr="00504B5E">
        <w:rPr>
          <w:rFonts w:ascii="Times New Roman" w:hAnsi="Times New Roman"/>
          <w:iCs/>
        </w:rPr>
        <w:t>REDD-Plus should demonstrate that it facilitates sustainability of the forest sector by providing multiple benefits, including the conservation of biodiversity and ecosystem services,</w:t>
      </w:r>
      <w:r w:rsidRPr="00504B5E">
        <w:rPr>
          <w:rFonts w:ascii="Times New Roman" w:hAnsi="Times New Roman"/>
          <w:iCs/>
        </w:rPr>
        <w:br/>
        <w:t>and the associated rights of indigenous and local communities, particularly in areas of high biodiversity value</w:t>
      </w:r>
    </w:p>
    <w:p w14:paraId="01CB6820" w14:textId="77777777" w:rsidR="00810C20" w:rsidRPr="00A3063C" w:rsidRDefault="00810C20" w:rsidP="003966BA">
      <w:pPr>
        <w:numPr>
          <w:ilvl w:val="0"/>
          <w:numId w:val="37"/>
        </w:numPr>
        <w:spacing w:after="0" w:line="240" w:lineRule="auto"/>
        <w:contextualSpacing/>
        <w:rPr>
          <w:rFonts w:ascii="Times New Roman" w:hAnsi="Times New Roman"/>
          <w:iCs/>
        </w:rPr>
      </w:pPr>
      <w:r w:rsidRPr="00A3063C">
        <w:rPr>
          <w:rFonts w:ascii="Times New Roman" w:hAnsi="Times New Roman"/>
          <w:iCs/>
        </w:rPr>
        <w:t>The Safeguards Information System is a critical platform for demonstrating compliance with REDD-Plus safeguards that secures results-based payments</w:t>
      </w:r>
    </w:p>
    <w:p w14:paraId="73663916" w14:textId="77777777" w:rsidR="00810C20" w:rsidRPr="00A3063C" w:rsidRDefault="00810C20" w:rsidP="003966BA">
      <w:pPr>
        <w:numPr>
          <w:ilvl w:val="0"/>
          <w:numId w:val="37"/>
        </w:numPr>
        <w:spacing w:after="0" w:line="240" w:lineRule="auto"/>
        <w:contextualSpacing/>
        <w:rPr>
          <w:rFonts w:ascii="Times New Roman" w:hAnsi="Times New Roman"/>
          <w:iCs/>
        </w:rPr>
      </w:pPr>
      <w:r w:rsidRPr="00A3063C">
        <w:rPr>
          <w:rFonts w:ascii="Times New Roman" w:hAnsi="Times New Roman"/>
          <w:iCs/>
        </w:rPr>
        <w:t>REDD-Plus payment schemes should form part of an innovative and sustainable financing strategy linked to broader performance parameters</w:t>
      </w:r>
    </w:p>
    <w:p w14:paraId="33A8FA4E" w14:textId="77777777" w:rsidR="00810C20" w:rsidRPr="00A3063C" w:rsidRDefault="00810C20" w:rsidP="00810C20">
      <w:pPr>
        <w:spacing w:after="0" w:line="240" w:lineRule="auto"/>
        <w:jc w:val="both"/>
        <w:rPr>
          <w:rFonts w:ascii="Times New Roman" w:hAnsi="Times New Roman"/>
          <w:iCs/>
        </w:rPr>
      </w:pPr>
    </w:p>
    <w:p w14:paraId="74974FBC" w14:textId="77777777" w:rsidR="00810C20" w:rsidRPr="0038043D" w:rsidRDefault="00810C20" w:rsidP="00810C20">
      <w:pPr>
        <w:spacing w:after="0" w:line="240" w:lineRule="auto"/>
        <w:jc w:val="both"/>
        <w:rPr>
          <w:rFonts w:ascii="Times New Roman" w:hAnsi="Times New Roman"/>
          <w:iCs/>
        </w:rPr>
      </w:pPr>
      <w:r w:rsidRPr="0038043D">
        <w:rPr>
          <w:rFonts w:ascii="Times New Roman" w:hAnsi="Times New Roman"/>
          <w:iCs/>
        </w:rPr>
        <w:t xml:space="preserve">The Swiss-Philippine Initiative provides with some recommendations and advocates: </w:t>
      </w:r>
    </w:p>
    <w:p w14:paraId="6BDAD17C" w14:textId="77777777" w:rsidR="00810C20" w:rsidRPr="00632DBC" w:rsidRDefault="00810C20" w:rsidP="003966BA">
      <w:pPr>
        <w:numPr>
          <w:ilvl w:val="0"/>
          <w:numId w:val="36"/>
        </w:numPr>
        <w:spacing w:after="0" w:line="240" w:lineRule="auto"/>
        <w:contextualSpacing/>
        <w:jc w:val="both"/>
        <w:rPr>
          <w:rFonts w:ascii="Times New Roman" w:hAnsi="Times New Roman"/>
          <w:iCs/>
        </w:rPr>
      </w:pPr>
      <w:r w:rsidRPr="00632DBC">
        <w:rPr>
          <w:rFonts w:ascii="Times New Roman" w:hAnsi="Times New Roman"/>
          <w:iCs/>
        </w:rPr>
        <w:t>The development of synergies in the implementation of REDD+ (through a better and more effective national but also international cooperation between UNFCCC and CBD)</w:t>
      </w:r>
    </w:p>
    <w:p w14:paraId="44A37B5B" w14:textId="77777777" w:rsidR="00810C20" w:rsidRPr="00632DBC" w:rsidRDefault="00810C20" w:rsidP="003966BA">
      <w:pPr>
        <w:numPr>
          <w:ilvl w:val="0"/>
          <w:numId w:val="36"/>
        </w:numPr>
        <w:spacing w:after="0" w:line="240" w:lineRule="auto"/>
        <w:contextualSpacing/>
        <w:jc w:val="both"/>
        <w:rPr>
          <w:rFonts w:ascii="Times New Roman" w:hAnsi="Times New Roman"/>
          <w:iCs/>
        </w:rPr>
      </w:pPr>
      <w:r w:rsidRPr="00632DBC">
        <w:rPr>
          <w:rFonts w:ascii="Times New Roman" w:hAnsi="Times New Roman"/>
          <w:iCs/>
        </w:rPr>
        <w:t xml:space="preserve">A mutual recognition of </w:t>
      </w:r>
      <w:proofErr w:type="spellStart"/>
      <w:r w:rsidRPr="00632DBC">
        <w:rPr>
          <w:rFonts w:ascii="Times New Roman" w:hAnsi="Times New Roman"/>
          <w:iCs/>
        </w:rPr>
        <w:t>guidances</w:t>
      </w:r>
      <w:proofErr w:type="spellEnd"/>
      <w:r w:rsidRPr="00632DBC">
        <w:rPr>
          <w:rFonts w:ascii="Times New Roman" w:hAnsi="Times New Roman"/>
          <w:iCs/>
        </w:rPr>
        <w:t xml:space="preserve"> between the 2 organizations </w:t>
      </w:r>
    </w:p>
    <w:p w14:paraId="4EC02EE5" w14:textId="77777777" w:rsidR="00810C20" w:rsidRPr="00632DBC" w:rsidRDefault="00810C20" w:rsidP="003966BA">
      <w:pPr>
        <w:numPr>
          <w:ilvl w:val="0"/>
          <w:numId w:val="36"/>
        </w:numPr>
        <w:spacing w:after="0" w:line="240" w:lineRule="auto"/>
        <w:contextualSpacing/>
        <w:jc w:val="both"/>
        <w:rPr>
          <w:rFonts w:ascii="Times New Roman" w:hAnsi="Times New Roman"/>
          <w:iCs/>
        </w:rPr>
      </w:pPr>
      <w:proofErr w:type="gramStart"/>
      <w:r w:rsidRPr="00632DBC">
        <w:rPr>
          <w:rFonts w:ascii="Times New Roman" w:hAnsi="Times New Roman"/>
          <w:iCs/>
        </w:rPr>
        <w:t>A facilitated common standards</w:t>
      </w:r>
      <w:proofErr w:type="gramEnd"/>
      <w:r w:rsidRPr="00632DBC">
        <w:rPr>
          <w:rFonts w:ascii="Times New Roman" w:hAnsi="Times New Roman"/>
          <w:iCs/>
        </w:rPr>
        <w:t xml:space="preserve"> and </w:t>
      </w:r>
      <w:proofErr w:type="spellStart"/>
      <w:r w:rsidRPr="00632DBC">
        <w:rPr>
          <w:rFonts w:ascii="Times New Roman" w:hAnsi="Times New Roman"/>
          <w:iCs/>
        </w:rPr>
        <w:t>guidances</w:t>
      </w:r>
      <w:proofErr w:type="spellEnd"/>
      <w:r w:rsidRPr="00632DBC">
        <w:rPr>
          <w:rFonts w:ascii="Times New Roman" w:hAnsi="Times New Roman"/>
          <w:iCs/>
        </w:rPr>
        <w:t xml:space="preserve"> building process</w:t>
      </w:r>
    </w:p>
    <w:p w14:paraId="3DD3E30E" w14:textId="77777777" w:rsidR="00810C20" w:rsidRPr="00632DBC" w:rsidRDefault="00810C20" w:rsidP="003966BA">
      <w:pPr>
        <w:numPr>
          <w:ilvl w:val="0"/>
          <w:numId w:val="36"/>
        </w:numPr>
        <w:spacing w:after="0" w:line="240" w:lineRule="auto"/>
        <w:contextualSpacing/>
        <w:jc w:val="both"/>
        <w:rPr>
          <w:rFonts w:ascii="Times New Roman" w:hAnsi="Times New Roman"/>
          <w:iCs/>
        </w:rPr>
      </w:pPr>
      <w:r w:rsidRPr="00632DBC">
        <w:rPr>
          <w:rFonts w:ascii="Times New Roman" w:hAnsi="Times New Roman"/>
          <w:iCs/>
        </w:rPr>
        <w:t>The creation of multi-levels multi-</w:t>
      </w:r>
      <w:proofErr w:type="gramStart"/>
      <w:r w:rsidRPr="00632DBC">
        <w:rPr>
          <w:rFonts w:ascii="Times New Roman" w:hAnsi="Times New Roman"/>
          <w:iCs/>
        </w:rPr>
        <w:t>stakeholders</w:t>
      </w:r>
      <w:proofErr w:type="gramEnd"/>
      <w:r w:rsidRPr="00632DBC">
        <w:rPr>
          <w:rFonts w:ascii="Times New Roman" w:hAnsi="Times New Roman"/>
          <w:iCs/>
        </w:rPr>
        <w:t xml:space="preserve"> processes</w:t>
      </w:r>
    </w:p>
    <w:p w14:paraId="04BA5E17" w14:textId="77777777" w:rsidR="00810C20" w:rsidRPr="00632DBC" w:rsidRDefault="00810C20" w:rsidP="003966BA">
      <w:pPr>
        <w:numPr>
          <w:ilvl w:val="0"/>
          <w:numId w:val="36"/>
        </w:numPr>
        <w:spacing w:after="0" w:line="240" w:lineRule="auto"/>
        <w:contextualSpacing/>
        <w:jc w:val="both"/>
        <w:rPr>
          <w:rFonts w:ascii="Times New Roman" w:hAnsi="Times New Roman"/>
          <w:iCs/>
        </w:rPr>
      </w:pPr>
      <w:r w:rsidRPr="00632DBC">
        <w:rPr>
          <w:rFonts w:ascii="Times New Roman" w:hAnsi="Times New Roman"/>
          <w:iCs/>
        </w:rPr>
        <w:t>The implementation of a multiple benefits model that will make REED+ actions more sustainable and allow mitigation and adaption to last</w:t>
      </w:r>
    </w:p>
    <w:p w14:paraId="7CB84F33" w14:textId="77777777" w:rsidR="00810C20" w:rsidRPr="00632DBC" w:rsidRDefault="00810C20" w:rsidP="003966BA">
      <w:pPr>
        <w:numPr>
          <w:ilvl w:val="0"/>
          <w:numId w:val="36"/>
        </w:numPr>
        <w:spacing w:after="0" w:line="240" w:lineRule="auto"/>
        <w:contextualSpacing/>
        <w:jc w:val="both"/>
        <w:rPr>
          <w:rFonts w:ascii="Times New Roman" w:hAnsi="Times New Roman"/>
          <w:iCs/>
        </w:rPr>
      </w:pPr>
      <w:r w:rsidRPr="00632DBC">
        <w:rPr>
          <w:rFonts w:ascii="Times New Roman" w:hAnsi="Times New Roman"/>
          <w:iCs/>
        </w:rPr>
        <w:t>A development of safeguards information system following a transparent, inclusive and participatory approach (to respect landownership and communities’ rights)</w:t>
      </w:r>
    </w:p>
    <w:p w14:paraId="45C3563B" w14:textId="77777777" w:rsidR="00810C20" w:rsidRPr="00632DBC" w:rsidRDefault="00810C20" w:rsidP="003966BA">
      <w:pPr>
        <w:numPr>
          <w:ilvl w:val="0"/>
          <w:numId w:val="36"/>
        </w:numPr>
        <w:spacing w:after="0" w:line="240" w:lineRule="auto"/>
        <w:contextualSpacing/>
        <w:jc w:val="both"/>
        <w:rPr>
          <w:rFonts w:ascii="Times New Roman" w:hAnsi="Times New Roman"/>
          <w:iCs/>
        </w:rPr>
      </w:pPr>
      <w:r w:rsidRPr="00632DBC">
        <w:rPr>
          <w:rFonts w:ascii="Times New Roman" w:hAnsi="Times New Roman"/>
          <w:iCs/>
        </w:rPr>
        <w:t>An equitable benefit sharing granted by governance frameworks (trial payments as suitability tests)</w:t>
      </w:r>
    </w:p>
    <w:p w14:paraId="71CFF544" w14:textId="77777777" w:rsidR="00810C20" w:rsidRPr="00632DBC" w:rsidRDefault="00810C20" w:rsidP="003966BA">
      <w:pPr>
        <w:numPr>
          <w:ilvl w:val="0"/>
          <w:numId w:val="36"/>
        </w:numPr>
        <w:spacing w:after="0" w:line="240" w:lineRule="auto"/>
        <w:contextualSpacing/>
        <w:jc w:val="both"/>
        <w:rPr>
          <w:rFonts w:ascii="Times New Roman" w:hAnsi="Times New Roman"/>
          <w:iCs/>
        </w:rPr>
      </w:pPr>
      <w:r w:rsidRPr="00632DBC">
        <w:rPr>
          <w:rFonts w:ascii="Times New Roman" w:hAnsi="Times New Roman"/>
          <w:iCs/>
        </w:rPr>
        <w:t>A cost-benefit analysis of the different schemes when there are multiple benefits</w:t>
      </w:r>
    </w:p>
    <w:p w14:paraId="520117C1" w14:textId="77777777" w:rsidR="00810C20" w:rsidRPr="00632DBC" w:rsidRDefault="00810C20" w:rsidP="00810C20">
      <w:pPr>
        <w:ind w:left="360"/>
        <w:jc w:val="both"/>
        <w:rPr>
          <w:rFonts w:ascii="Times New Roman" w:hAnsi="Times New Roman"/>
          <w:iCs/>
        </w:rPr>
      </w:pPr>
    </w:p>
    <w:p w14:paraId="0EF9303E" w14:textId="4032A888" w:rsidR="00810C20" w:rsidRPr="00633A71" w:rsidRDefault="00810C20" w:rsidP="00810C20">
      <w:pPr>
        <w:autoSpaceDE w:val="0"/>
        <w:autoSpaceDN w:val="0"/>
        <w:adjustRightInd w:val="0"/>
        <w:spacing w:after="0" w:line="240" w:lineRule="auto"/>
        <w:jc w:val="both"/>
        <w:rPr>
          <w:rFonts w:ascii="Times New Roman" w:hAnsi="Times New Roman"/>
          <w:iCs/>
        </w:rPr>
      </w:pPr>
      <w:r w:rsidRPr="00632DBC">
        <w:rPr>
          <w:rFonts w:ascii="Times New Roman" w:eastAsia="MS Mincho" w:hAnsi="Times New Roman"/>
          <w:iCs/>
          <w:lang w:eastAsia="sv-SE" w:bidi="ar-SA"/>
        </w:rPr>
        <w:t>The United Nations Forum on Forests’ conclusions and recommendations for addressing key challenges of forests and economic development recognize the linkages between forests and climate regulation and suggest among others “To promote cross-sectorial and cross-institutional collaboration through a landscape</w:t>
      </w:r>
      <w:r w:rsidRPr="00632DBC">
        <w:rPr>
          <w:rFonts w:ascii="Times New Roman" w:hAnsi="Times New Roman"/>
          <w:iCs/>
        </w:rPr>
        <w:t xml:space="preserve"> approach at the national and subnational levels that brings together forest-dependent </w:t>
      </w:r>
      <w:r w:rsidRPr="00632DBC">
        <w:rPr>
          <w:rFonts w:ascii="Times New Roman" w:hAnsi="Times New Roman"/>
          <w:iCs/>
        </w:rPr>
        <w:lastRenderedPageBreak/>
        <w:t>communities, the private sector and local governments and share lessons learned in implementing a landscape approach to assist in achieving sustainable forest management</w:t>
      </w:r>
      <w:r w:rsidR="00F36DF7" w:rsidRPr="00632DBC">
        <w:rPr>
          <w:rFonts w:ascii="Times New Roman" w:hAnsi="Times New Roman"/>
          <w:iCs/>
        </w:rPr>
        <w:t>”.</w:t>
      </w:r>
      <w:r w:rsidRPr="00633A71">
        <w:rPr>
          <w:rStyle w:val="FootnoteReference"/>
          <w:rFonts w:ascii="Times New Roman" w:hAnsi="Times New Roman"/>
          <w:iCs/>
        </w:rPr>
        <w:footnoteReference w:id="214"/>
      </w:r>
      <w:r w:rsidRPr="00633A71">
        <w:rPr>
          <w:rFonts w:ascii="Times New Roman" w:hAnsi="Times New Roman"/>
          <w:iCs/>
        </w:rPr>
        <w:t xml:space="preserve"> Bolivia has utilised the recommendations and holistic approach of this recommendation by the United Nations Forum on Forests (E/CN.18/2013/5) for developing a “Joint Mitigation and Adaptation Mechanism for the Comprehensive and Sustainable Management of the Forest and the Mother Earth”. This mechanism aims to promote integrated and sustainable management of forest in synergy with other elements of systems of life (land, water, forest and biodiversity) as well as with the development of sustainable production systems. It also aims to put into practice the integrated and indissoluble goals of mitigation and adaptation to climate change.</w:t>
      </w:r>
      <w:r w:rsidRPr="00633A71">
        <w:rPr>
          <w:rStyle w:val="FootnoteReference"/>
          <w:rFonts w:ascii="Times New Roman" w:hAnsi="Times New Roman"/>
          <w:iCs/>
        </w:rPr>
        <w:footnoteReference w:id="215"/>
      </w:r>
    </w:p>
    <w:p w14:paraId="08BC67EF" w14:textId="77777777" w:rsidR="00810C20" w:rsidRPr="00633A71" w:rsidRDefault="00810C20" w:rsidP="00810C20">
      <w:pPr>
        <w:autoSpaceDE w:val="0"/>
        <w:autoSpaceDN w:val="0"/>
        <w:adjustRightInd w:val="0"/>
        <w:spacing w:after="0" w:line="240" w:lineRule="auto"/>
        <w:rPr>
          <w:rFonts w:ascii="Times New Roman" w:hAnsi="Times New Roman"/>
          <w:iCs/>
        </w:rPr>
      </w:pPr>
    </w:p>
    <w:p w14:paraId="63E6BF9D" w14:textId="77777777" w:rsidR="00397EAE" w:rsidRPr="00633A71" w:rsidRDefault="00397EAE" w:rsidP="00810C20">
      <w:pPr>
        <w:autoSpaceDE w:val="0"/>
        <w:autoSpaceDN w:val="0"/>
        <w:adjustRightInd w:val="0"/>
        <w:spacing w:after="0" w:line="240" w:lineRule="auto"/>
        <w:rPr>
          <w:rFonts w:ascii="Times New Roman" w:hAnsi="Times New Roman"/>
          <w:iCs/>
        </w:rPr>
      </w:pPr>
    </w:p>
    <w:p w14:paraId="6D3129B4" w14:textId="29C740AB" w:rsidR="00483F12" w:rsidRPr="00632DBC" w:rsidRDefault="00483F12" w:rsidP="00483F12">
      <w:pPr>
        <w:pStyle w:val="Caption"/>
        <w:jc w:val="left"/>
      </w:pPr>
      <w:bookmarkStart w:id="162" w:name="_Toc398938289"/>
      <w:bookmarkStart w:id="163" w:name="_Toc529190581"/>
      <w:r w:rsidRPr="00632DBC">
        <w:t xml:space="preserve">Case study </w:t>
      </w:r>
      <w:r w:rsidR="008B016B">
        <w:fldChar w:fldCharType="begin"/>
      </w:r>
      <w:r w:rsidR="008B016B">
        <w:instrText xml:space="preserve"> SEQ Case_study \* ROMAN </w:instrText>
      </w:r>
      <w:r w:rsidR="008B016B">
        <w:fldChar w:fldCharType="separate"/>
      </w:r>
      <w:r w:rsidR="008B016B">
        <w:rPr>
          <w:noProof/>
        </w:rPr>
        <w:t>IV</w:t>
      </w:r>
      <w:r w:rsidR="008B016B">
        <w:fldChar w:fldCharType="end"/>
      </w:r>
      <w:r w:rsidRPr="00632DBC">
        <w:t xml:space="preserve">. Linking REDD+ and CBD </w:t>
      </w:r>
      <w:r w:rsidR="002C0F93">
        <w:t xml:space="preserve">guidelines for </w:t>
      </w:r>
      <w:r w:rsidRPr="00632DBC">
        <w:t>safeguards</w:t>
      </w:r>
      <w:bookmarkEnd w:id="162"/>
      <w:bookmarkEnd w:id="163"/>
    </w:p>
    <w:p w14:paraId="1818274B" w14:textId="5C08ACB2" w:rsidR="00772E70" w:rsidRPr="00633A71" w:rsidRDefault="004518DE" w:rsidP="00517AF1">
      <w:pPr>
        <w:pStyle w:val="FootnoteText"/>
        <w:rPr>
          <w:lang w:val="en-GB"/>
        </w:rPr>
      </w:pPr>
      <w:r w:rsidRPr="00632DBC">
        <w:rPr>
          <w:lang w:val="en-GB"/>
        </w:rPr>
        <w:t>This is case study is based on the article by</w:t>
      </w:r>
      <w:r w:rsidR="00B735C3" w:rsidRPr="00632DBC">
        <w:rPr>
          <w:lang w:val="en-GB"/>
        </w:rPr>
        <w:t xml:space="preserve"> </w:t>
      </w:r>
      <w:r w:rsidRPr="00632DBC">
        <w:rPr>
          <w:lang w:val="en-GB"/>
        </w:rPr>
        <w:t xml:space="preserve">Claudia </w:t>
      </w:r>
      <w:r w:rsidR="00B735C3" w:rsidRPr="00632DBC">
        <w:rPr>
          <w:lang w:val="en-GB"/>
        </w:rPr>
        <w:t>Ituarte-Lim</w:t>
      </w:r>
      <w:r w:rsidRPr="00632DBC">
        <w:rPr>
          <w:lang w:val="en-GB"/>
        </w:rPr>
        <w:t>a and C</w:t>
      </w:r>
      <w:r w:rsidR="00A3063C">
        <w:rPr>
          <w:lang w:val="en-GB"/>
        </w:rPr>
        <w:t>onstance L</w:t>
      </w:r>
      <w:r w:rsidRPr="00632DBC">
        <w:rPr>
          <w:lang w:val="en-GB"/>
        </w:rPr>
        <w:t xml:space="preserve">. McDermott. 2017. </w:t>
      </w:r>
      <w:r w:rsidR="00B735C3" w:rsidRPr="00632DBC">
        <w:rPr>
          <w:i/>
          <w:lang w:val="en-GB"/>
        </w:rPr>
        <w:t>Are More Prescriptive Laws Better? Transforming REDD+ Safeguards into National Legislation</w:t>
      </w:r>
      <w:r w:rsidR="00B735C3" w:rsidRPr="00632DBC">
        <w:rPr>
          <w:lang w:val="en-GB"/>
        </w:rPr>
        <w:t xml:space="preserve">. Journal of Environmental Law, 0, 1–32; and McDermott, C. L., and C. Ituarte-Lima. 2016. Safeguarding what and for whom? The role of institutional fit in shaping REDD+ in Mexico. Ecology and Society 21(1):9. </w:t>
      </w:r>
      <w:hyperlink r:id="rId13" w:history="1">
        <w:r w:rsidR="00B735C3" w:rsidRPr="00632DBC">
          <w:rPr>
            <w:lang w:val="en-GB"/>
          </w:rPr>
          <w:t>http://dx.doi.org/10.5751/ES-08088-210109</w:t>
        </w:r>
      </w:hyperlink>
      <w:r w:rsidR="00B735C3" w:rsidRPr="00632DBC">
        <w:rPr>
          <w:lang w:val="en-GB"/>
        </w:rPr>
        <w:t>. Further analysis linking the cases wi</w:t>
      </w:r>
      <w:r w:rsidRPr="00632DBC">
        <w:rPr>
          <w:lang w:val="en-GB"/>
        </w:rPr>
        <w:t>th the CBD voluntary guidelines was</w:t>
      </w:r>
      <w:r w:rsidR="00772E70" w:rsidRPr="00632DBC">
        <w:rPr>
          <w:lang w:val="en-GB"/>
        </w:rPr>
        <w:t xml:space="preserve"> developed by Rodrigo Martínez-Peña and Claudia Ituarte-Lima</w:t>
      </w:r>
      <w:r w:rsidR="00B735C3" w:rsidRPr="00632DBC">
        <w:rPr>
          <w:lang w:val="en-GB"/>
        </w:rPr>
        <w:t>.</w:t>
      </w:r>
      <w:r w:rsidR="00002536">
        <w:rPr>
          <w:rStyle w:val="FootnoteReference"/>
          <w:lang w:val="en-GB"/>
        </w:rPr>
        <w:footnoteReference w:id="216"/>
      </w:r>
    </w:p>
    <w:p w14:paraId="153568CC" w14:textId="16A3525C" w:rsidR="0017261F" w:rsidRPr="00632DBC" w:rsidRDefault="0017261F" w:rsidP="00363586">
      <w:pPr>
        <w:spacing w:line="240" w:lineRule="auto"/>
        <w:jc w:val="both"/>
        <w:rPr>
          <w:rFonts w:ascii="Times New Roman" w:hAnsi="Times New Roman"/>
        </w:rPr>
      </w:pPr>
      <w:r w:rsidRPr="00632DBC">
        <w:rPr>
          <w:rFonts w:ascii="Times New Roman" w:hAnsi="Times New Roman"/>
        </w:rPr>
        <w:t xml:space="preserve">Economic instruments </w:t>
      </w:r>
      <w:r w:rsidR="00C44AF1" w:rsidRPr="00632DBC">
        <w:rPr>
          <w:rFonts w:ascii="Times New Roman" w:hAnsi="Times New Roman"/>
        </w:rPr>
        <w:t xml:space="preserve">that </w:t>
      </w:r>
      <w:r w:rsidRPr="00632DBC">
        <w:rPr>
          <w:rFonts w:ascii="Times New Roman" w:hAnsi="Times New Roman"/>
        </w:rPr>
        <w:t>aim to reduce carbon emissions from deforestation</w:t>
      </w:r>
      <w:r w:rsidR="00C44AF1" w:rsidRPr="00632DBC">
        <w:rPr>
          <w:rFonts w:ascii="Times New Roman" w:hAnsi="Times New Roman"/>
        </w:rPr>
        <w:t>,</w:t>
      </w:r>
      <w:r w:rsidRPr="00632DBC">
        <w:rPr>
          <w:rFonts w:ascii="Times New Roman" w:hAnsi="Times New Roman"/>
        </w:rPr>
        <w:t xml:space="preserve"> can directly co-benefit </w:t>
      </w:r>
      <w:r w:rsidR="00C44AF1" w:rsidRPr="00632DBC">
        <w:rPr>
          <w:rFonts w:ascii="Times New Roman" w:hAnsi="Times New Roman"/>
        </w:rPr>
        <w:t xml:space="preserve">both the </w:t>
      </w:r>
      <w:r w:rsidRPr="00632DBC">
        <w:rPr>
          <w:rFonts w:ascii="Times New Roman" w:hAnsi="Times New Roman"/>
        </w:rPr>
        <w:t xml:space="preserve">conservation and sustainable use </w:t>
      </w:r>
      <w:r w:rsidR="00C44AF1" w:rsidRPr="00632DBC">
        <w:rPr>
          <w:rFonts w:ascii="Times New Roman" w:hAnsi="Times New Roman"/>
        </w:rPr>
        <w:t xml:space="preserve">of biodiversity and ecosystems as well as the human rights of </w:t>
      </w:r>
      <w:r w:rsidRPr="00632DBC">
        <w:rPr>
          <w:rFonts w:ascii="Times New Roman" w:hAnsi="Times New Roman"/>
        </w:rPr>
        <w:t xml:space="preserve">indigenous </w:t>
      </w:r>
      <w:r w:rsidR="007676F0" w:rsidRPr="00632DBC">
        <w:rPr>
          <w:rFonts w:ascii="Times New Roman" w:hAnsi="Times New Roman"/>
        </w:rPr>
        <w:t xml:space="preserve">peoples and local </w:t>
      </w:r>
      <w:r w:rsidRPr="00632DBC">
        <w:rPr>
          <w:rFonts w:ascii="Times New Roman" w:hAnsi="Times New Roman"/>
        </w:rPr>
        <w:t>communities. However, ensuring this synergy requires of implementing safeguarding instruments. Under this assumption, REDD</w:t>
      </w:r>
      <w:r w:rsidR="004C2EB4" w:rsidRPr="00632DBC">
        <w:rPr>
          <w:rFonts w:ascii="Times New Roman" w:hAnsi="Times New Roman"/>
        </w:rPr>
        <w:t>+ has developed safeguards compatible</w:t>
      </w:r>
      <w:r w:rsidRPr="00632DBC">
        <w:rPr>
          <w:rFonts w:ascii="Times New Roman" w:hAnsi="Times New Roman"/>
        </w:rPr>
        <w:t xml:space="preserve"> with CBD guidelines for safeguards in BFM.</w:t>
      </w:r>
      <w:r w:rsidRPr="00632DBC">
        <w:rPr>
          <w:rStyle w:val="FootnoteReference"/>
          <w:rFonts w:ascii="Times New Roman" w:hAnsi="Times New Roman"/>
        </w:rPr>
        <w:footnoteReference w:id="217"/>
      </w:r>
      <w:r w:rsidRPr="00632DBC">
        <w:rPr>
          <w:rFonts w:ascii="Times New Roman" w:hAnsi="Times New Roman"/>
        </w:rPr>
        <w:t xml:space="preserve"> Experiences on implementing REDD+ can provide important lessons on how to shape voluntary safeguards in general, and on how to enhance positive effects and minimizing risks of drawing on REDD+ as </w:t>
      </w:r>
      <w:proofErr w:type="gramStart"/>
      <w:r w:rsidRPr="00632DBC">
        <w:rPr>
          <w:rFonts w:ascii="Times New Roman" w:hAnsi="Times New Roman"/>
        </w:rPr>
        <w:t>BFM, in particular</w:t>
      </w:r>
      <w:proofErr w:type="gramEnd"/>
      <w:r w:rsidRPr="00632DBC">
        <w:rPr>
          <w:rFonts w:ascii="Times New Roman" w:hAnsi="Times New Roman"/>
        </w:rPr>
        <w:t>.</w:t>
      </w:r>
    </w:p>
    <w:p w14:paraId="13965C3E" w14:textId="59A734EE" w:rsidR="0017261F" w:rsidRPr="00632DBC" w:rsidRDefault="0017261F" w:rsidP="00363586">
      <w:pPr>
        <w:spacing w:line="240" w:lineRule="auto"/>
        <w:jc w:val="both"/>
        <w:rPr>
          <w:rFonts w:ascii="Times New Roman" w:hAnsi="Times New Roman"/>
        </w:rPr>
      </w:pPr>
      <w:r w:rsidRPr="00632DBC">
        <w:rPr>
          <w:rFonts w:ascii="Times New Roman" w:hAnsi="Times New Roman"/>
        </w:rPr>
        <w:t xml:space="preserve">Mexico hosted the UNFCCC Conference of the Parties in which the Cancun REDD+ safeguards were </w:t>
      </w:r>
      <w:r w:rsidR="00FF5A91" w:rsidRPr="00632DBC">
        <w:rPr>
          <w:rFonts w:ascii="Times New Roman" w:hAnsi="Times New Roman"/>
        </w:rPr>
        <w:t>adopted</w:t>
      </w:r>
      <w:r w:rsidRPr="00632DBC">
        <w:rPr>
          <w:rFonts w:ascii="Times New Roman" w:hAnsi="Times New Roman"/>
        </w:rPr>
        <w:t>. This created a political momentum at national level tha</w:t>
      </w:r>
      <w:r w:rsidR="002861DC" w:rsidRPr="00632DBC">
        <w:rPr>
          <w:rFonts w:ascii="Times New Roman" w:hAnsi="Times New Roman"/>
        </w:rPr>
        <w:t>t gave rise to a set of three</w:t>
      </w:r>
      <w:r w:rsidRPr="00632DBC">
        <w:rPr>
          <w:rFonts w:ascii="Times New Roman" w:hAnsi="Times New Roman"/>
        </w:rPr>
        <w:t xml:space="preserve"> REDD+ related legal reforms and its associated safeguards. Changes were made to the </w:t>
      </w:r>
      <w:r w:rsidRPr="00632DBC">
        <w:rPr>
          <w:rFonts w:ascii="Times New Roman" w:hAnsi="Times New Roman"/>
          <w:i/>
        </w:rPr>
        <w:t xml:space="preserve">Ley General del </w:t>
      </w:r>
      <w:proofErr w:type="spellStart"/>
      <w:r w:rsidRPr="00632DBC">
        <w:rPr>
          <w:rFonts w:ascii="Times New Roman" w:hAnsi="Times New Roman"/>
          <w:i/>
        </w:rPr>
        <w:t>Equilibrio</w:t>
      </w:r>
      <w:proofErr w:type="spellEnd"/>
      <w:r w:rsidRPr="00632DBC">
        <w:rPr>
          <w:rFonts w:ascii="Times New Roman" w:hAnsi="Times New Roman"/>
          <w:i/>
        </w:rPr>
        <w:t xml:space="preserve"> </w:t>
      </w:r>
      <w:proofErr w:type="spellStart"/>
      <w:r w:rsidRPr="00632DBC">
        <w:rPr>
          <w:rFonts w:ascii="Times New Roman" w:hAnsi="Times New Roman"/>
          <w:i/>
        </w:rPr>
        <w:t>Ecologico</w:t>
      </w:r>
      <w:proofErr w:type="spellEnd"/>
      <w:r w:rsidRPr="00632DBC">
        <w:rPr>
          <w:rFonts w:ascii="Times New Roman" w:hAnsi="Times New Roman"/>
          <w:i/>
        </w:rPr>
        <w:t xml:space="preserve"> y </w:t>
      </w:r>
      <w:proofErr w:type="spellStart"/>
      <w:r w:rsidRPr="00632DBC">
        <w:rPr>
          <w:rFonts w:ascii="Times New Roman" w:hAnsi="Times New Roman"/>
          <w:i/>
        </w:rPr>
        <w:t>Protección</w:t>
      </w:r>
      <w:proofErr w:type="spellEnd"/>
      <w:r w:rsidRPr="00632DBC">
        <w:rPr>
          <w:rFonts w:ascii="Times New Roman" w:hAnsi="Times New Roman"/>
          <w:i/>
        </w:rPr>
        <w:t xml:space="preserve"> al </w:t>
      </w:r>
      <w:proofErr w:type="spellStart"/>
      <w:r w:rsidRPr="00632DBC">
        <w:rPr>
          <w:rFonts w:ascii="Times New Roman" w:hAnsi="Times New Roman"/>
          <w:i/>
        </w:rPr>
        <w:t>Ambiente</w:t>
      </w:r>
      <w:proofErr w:type="spellEnd"/>
      <w:r w:rsidRPr="00632DBC">
        <w:rPr>
          <w:rFonts w:ascii="Times New Roman" w:hAnsi="Times New Roman"/>
        </w:rPr>
        <w:t xml:space="preserve"> (hereafter referred to as the National General Environmental law), </w:t>
      </w:r>
      <w:r w:rsidRPr="00632DBC">
        <w:rPr>
          <w:rFonts w:ascii="Times New Roman" w:hAnsi="Times New Roman"/>
          <w:i/>
        </w:rPr>
        <w:t xml:space="preserve">Ley General de </w:t>
      </w:r>
      <w:proofErr w:type="spellStart"/>
      <w:r w:rsidRPr="00632DBC">
        <w:rPr>
          <w:rFonts w:ascii="Times New Roman" w:hAnsi="Times New Roman"/>
          <w:i/>
        </w:rPr>
        <w:t>Desarrollo</w:t>
      </w:r>
      <w:proofErr w:type="spellEnd"/>
      <w:r w:rsidRPr="00632DBC">
        <w:rPr>
          <w:rFonts w:ascii="Times New Roman" w:hAnsi="Times New Roman"/>
          <w:i/>
        </w:rPr>
        <w:t xml:space="preserve"> </w:t>
      </w:r>
      <w:proofErr w:type="spellStart"/>
      <w:r w:rsidRPr="00632DBC">
        <w:rPr>
          <w:rFonts w:ascii="Times New Roman" w:hAnsi="Times New Roman"/>
          <w:i/>
        </w:rPr>
        <w:t>Forestal</w:t>
      </w:r>
      <w:proofErr w:type="spellEnd"/>
      <w:r w:rsidRPr="00632DBC">
        <w:rPr>
          <w:rFonts w:ascii="Times New Roman" w:hAnsi="Times New Roman"/>
          <w:i/>
        </w:rPr>
        <w:t xml:space="preserve"> </w:t>
      </w:r>
      <w:proofErr w:type="spellStart"/>
      <w:r w:rsidRPr="00632DBC">
        <w:rPr>
          <w:rFonts w:ascii="Times New Roman" w:hAnsi="Times New Roman"/>
          <w:i/>
        </w:rPr>
        <w:t>Sustentable</w:t>
      </w:r>
      <w:proofErr w:type="spellEnd"/>
      <w:r w:rsidRPr="00632DBC">
        <w:rPr>
          <w:rFonts w:ascii="Times New Roman" w:hAnsi="Times New Roman"/>
        </w:rPr>
        <w:t xml:space="preserve"> (hereafter referred to as the National Forest Law) and </w:t>
      </w:r>
      <w:r w:rsidRPr="00632DBC">
        <w:rPr>
          <w:rFonts w:ascii="Times New Roman" w:hAnsi="Times New Roman"/>
          <w:i/>
        </w:rPr>
        <w:t xml:space="preserve">Ley General de Cambio </w:t>
      </w:r>
      <w:proofErr w:type="spellStart"/>
      <w:r w:rsidRPr="00632DBC">
        <w:rPr>
          <w:rFonts w:ascii="Times New Roman" w:hAnsi="Times New Roman"/>
          <w:i/>
        </w:rPr>
        <w:t>Climático</w:t>
      </w:r>
      <w:proofErr w:type="spellEnd"/>
      <w:r w:rsidRPr="00632DBC">
        <w:rPr>
          <w:rFonts w:ascii="Times New Roman" w:hAnsi="Times New Roman"/>
        </w:rPr>
        <w:t xml:space="preserve"> (hereafter referred to as the National Climate Change Law). </w:t>
      </w:r>
      <w:r w:rsidR="002F68A8" w:rsidRPr="00632DBC">
        <w:rPr>
          <w:rFonts w:ascii="Times New Roman" w:hAnsi="Times New Roman"/>
        </w:rPr>
        <w:t>Through these regulations, the Mexican government made</w:t>
      </w:r>
      <w:r w:rsidR="00A57419" w:rsidRPr="00632DBC">
        <w:rPr>
          <w:rFonts w:ascii="Times New Roman" w:hAnsi="Times New Roman"/>
        </w:rPr>
        <w:t xml:space="preserve"> some</w:t>
      </w:r>
      <w:r w:rsidRPr="00632DBC">
        <w:rPr>
          <w:rFonts w:ascii="Times New Roman" w:hAnsi="Times New Roman"/>
        </w:rPr>
        <w:t xml:space="preserve"> </w:t>
      </w:r>
      <w:r w:rsidR="00C44AF1" w:rsidRPr="00632DBC">
        <w:rPr>
          <w:rFonts w:ascii="Times New Roman" w:hAnsi="Times New Roman"/>
        </w:rPr>
        <w:t xml:space="preserve">of the </w:t>
      </w:r>
      <w:r w:rsidR="00A57419" w:rsidRPr="00632DBC">
        <w:rPr>
          <w:rFonts w:ascii="Times New Roman" w:hAnsi="Times New Roman"/>
        </w:rPr>
        <w:t xml:space="preserve">REDD+ related safeguards binding. From these regulations, clear substantive and procedural co-benefits to biodiversity arose, from which is possible to draw lessons (see Table </w:t>
      </w:r>
      <w:r w:rsidR="00CF45FE" w:rsidRPr="00632DBC">
        <w:rPr>
          <w:rFonts w:ascii="Times New Roman" w:hAnsi="Times New Roman"/>
        </w:rPr>
        <w:t>8</w:t>
      </w:r>
      <w:r w:rsidR="00A57419" w:rsidRPr="00632DBC">
        <w:rPr>
          <w:rFonts w:ascii="Times New Roman" w:hAnsi="Times New Roman"/>
        </w:rPr>
        <w:t xml:space="preserve">). </w:t>
      </w:r>
      <w:r w:rsidRPr="00632DBC">
        <w:rPr>
          <w:rFonts w:ascii="Times New Roman" w:hAnsi="Times New Roman"/>
        </w:rPr>
        <w:t xml:space="preserve">Mexico exhibits </w:t>
      </w:r>
      <w:r w:rsidR="002F68A8" w:rsidRPr="00632DBC">
        <w:rPr>
          <w:rFonts w:ascii="Times New Roman" w:hAnsi="Times New Roman"/>
        </w:rPr>
        <w:t>characteristics that make it a relevant example</w:t>
      </w:r>
      <w:r w:rsidRPr="00632DBC">
        <w:rPr>
          <w:rFonts w:ascii="Times New Roman" w:hAnsi="Times New Roman"/>
        </w:rPr>
        <w:t xml:space="preserve"> </w:t>
      </w:r>
      <w:r w:rsidR="002F68A8" w:rsidRPr="00632DBC">
        <w:rPr>
          <w:rFonts w:ascii="Times New Roman" w:hAnsi="Times New Roman"/>
        </w:rPr>
        <w:t>of adoption and implementation of biodiversity and social safeguards</w:t>
      </w:r>
      <w:r w:rsidR="00C44AF1" w:rsidRPr="00632DBC">
        <w:rPr>
          <w:rFonts w:ascii="Times New Roman" w:hAnsi="Times New Roman"/>
        </w:rPr>
        <w:t>. Firstly,</w:t>
      </w:r>
      <w:r w:rsidRPr="00632DBC">
        <w:rPr>
          <w:rFonts w:ascii="Times New Roman" w:hAnsi="Times New Roman"/>
        </w:rPr>
        <w:t xml:space="preserve"> it is a biodiversity hotspot</w:t>
      </w:r>
      <w:r w:rsidR="002F68A8" w:rsidRPr="00632DBC">
        <w:rPr>
          <w:rFonts w:ascii="Times New Roman" w:hAnsi="Times New Roman"/>
        </w:rPr>
        <w:t>, meaning that it possesses significant biodiversity that is threatened with destruction</w:t>
      </w:r>
      <w:r w:rsidR="00C44AF1" w:rsidRPr="00632DBC">
        <w:rPr>
          <w:rFonts w:ascii="Times New Roman" w:hAnsi="Times New Roman"/>
        </w:rPr>
        <w:t>. Secondly,</w:t>
      </w:r>
      <w:r w:rsidRPr="00632DBC">
        <w:rPr>
          <w:rStyle w:val="FootnoteReference"/>
          <w:rFonts w:ascii="Times New Roman" w:hAnsi="Times New Roman"/>
        </w:rPr>
        <w:footnoteReference w:id="218"/>
      </w:r>
      <w:r w:rsidRPr="00632DBC">
        <w:rPr>
          <w:rFonts w:ascii="Times New Roman" w:hAnsi="Times New Roman"/>
        </w:rPr>
        <w:t xml:space="preserve"> 80% of Mexico’s forest area belongs to </w:t>
      </w:r>
      <w:r w:rsidR="002F68A8" w:rsidRPr="00632DBC">
        <w:rPr>
          <w:rFonts w:ascii="Times New Roman" w:hAnsi="Times New Roman"/>
        </w:rPr>
        <w:t xml:space="preserve">either </w:t>
      </w:r>
      <w:r w:rsidRPr="00632DBC">
        <w:rPr>
          <w:rFonts w:ascii="Times New Roman" w:hAnsi="Times New Roman"/>
          <w:i/>
        </w:rPr>
        <w:t>ejidos</w:t>
      </w:r>
      <w:r w:rsidRPr="00632DBC">
        <w:rPr>
          <w:rFonts w:ascii="Times New Roman" w:hAnsi="Times New Roman"/>
        </w:rPr>
        <w:t xml:space="preserve"> </w:t>
      </w:r>
      <w:r w:rsidR="002F68A8" w:rsidRPr="00632DBC">
        <w:rPr>
          <w:rFonts w:ascii="Times New Roman" w:hAnsi="Times New Roman"/>
        </w:rPr>
        <w:t>or</w:t>
      </w:r>
      <w:r w:rsidRPr="00632DBC">
        <w:rPr>
          <w:rFonts w:ascii="Times New Roman" w:hAnsi="Times New Roman"/>
        </w:rPr>
        <w:t xml:space="preserve"> indigenous communities who collectively manage </w:t>
      </w:r>
      <w:r w:rsidR="002F68A8" w:rsidRPr="00632DBC">
        <w:rPr>
          <w:rFonts w:ascii="Times New Roman" w:hAnsi="Times New Roman"/>
        </w:rPr>
        <w:t xml:space="preserve">their </w:t>
      </w:r>
      <w:r w:rsidRPr="00632DBC">
        <w:rPr>
          <w:rFonts w:ascii="Times New Roman" w:hAnsi="Times New Roman"/>
        </w:rPr>
        <w:t>forest</w:t>
      </w:r>
      <w:r w:rsidR="002F68A8" w:rsidRPr="00632DBC">
        <w:rPr>
          <w:rFonts w:ascii="Times New Roman" w:hAnsi="Times New Roman"/>
        </w:rPr>
        <w:t>s</w:t>
      </w:r>
      <w:r w:rsidR="00C44AF1" w:rsidRPr="00632DBC">
        <w:rPr>
          <w:rFonts w:ascii="Times New Roman" w:hAnsi="Times New Roman"/>
        </w:rPr>
        <w:t>. Finally,</w:t>
      </w:r>
      <w:r w:rsidRPr="00632DBC">
        <w:rPr>
          <w:rFonts w:ascii="Times New Roman" w:hAnsi="Times New Roman"/>
        </w:rPr>
        <w:t xml:space="preserve"> </w:t>
      </w:r>
      <w:r w:rsidR="002F68A8" w:rsidRPr="00632DBC">
        <w:rPr>
          <w:rFonts w:ascii="Times New Roman" w:hAnsi="Times New Roman"/>
        </w:rPr>
        <w:t>both</w:t>
      </w:r>
      <w:r w:rsidRPr="00632DBC">
        <w:rPr>
          <w:rFonts w:ascii="Times New Roman" w:hAnsi="Times New Roman"/>
        </w:rPr>
        <w:t xml:space="preserve"> </w:t>
      </w:r>
      <w:r w:rsidRPr="00632DBC">
        <w:rPr>
          <w:rFonts w:ascii="Times New Roman" w:hAnsi="Times New Roman"/>
          <w:i/>
        </w:rPr>
        <w:t>ejidos</w:t>
      </w:r>
      <w:r w:rsidRPr="00632DBC">
        <w:rPr>
          <w:rFonts w:ascii="Times New Roman" w:hAnsi="Times New Roman"/>
        </w:rPr>
        <w:t xml:space="preserve"> and indigenous communities are governed by communal assemblies that operate under internal regulations, as supported the Mexican Agrarian Law</w:t>
      </w:r>
      <w:r w:rsidRPr="00632DBC">
        <w:rPr>
          <w:rStyle w:val="FootnoteReference"/>
          <w:rFonts w:ascii="Times New Roman" w:hAnsi="Times New Roman"/>
        </w:rPr>
        <w:footnoteReference w:id="219"/>
      </w:r>
      <w:r w:rsidRPr="00632DBC">
        <w:rPr>
          <w:rFonts w:ascii="Times New Roman" w:hAnsi="Times New Roman"/>
        </w:rPr>
        <w:t xml:space="preserve">. The lessons </w:t>
      </w:r>
      <w:r w:rsidR="007452C8" w:rsidRPr="00632DBC">
        <w:rPr>
          <w:rFonts w:ascii="Times New Roman" w:hAnsi="Times New Roman"/>
        </w:rPr>
        <w:t>learned</w:t>
      </w:r>
      <w:r w:rsidRPr="00632DBC">
        <w:rPr>
          <w:rFonts w:ascii="Times New Roman" w:hAnsi="Times New Roman"/>
        </w:rPr>
        <w:t xml:space="preserve"> from this case are presented below </w:t>
      </w:r>
      <w:r w:rsidR="00A57419" w:rsidRPr="00632DBC">
        <w:rPr>
          <w:rFonts w:ascii="Times New Roman" w:hAnsi="Times New Roman"/>
        </w:rPr>
        <w:t xml:space="preserve">and </w:t>
      </w:r>
      <w:r w:rsidRPr="00632DBC">
        <w:rPr>
          <w:rFonts w:ascii="Times New Roman" w:hAnsi="Times New Roman"/>
        </w:rPr>
        <w:t>sorted according to the accepted CBD gu</w:t>
      </w:r>
      <w:r w:rsidR="001D4EB4" w:rsidRPr="00632DBC">
        <w:rPr>
          <w:rFonts w:ascii="Times New Roman" w:hAnsi="Times New Roman"/>
        </w:rPr>
        <w:t>idelines for safeguards in BFM</w:t>
      </w:r>
      <w:r w:rsidR="004C2EB4" w:rsidRPr="00632DBC">
        <w:rPr>
          <w:rFonts w:ascii="Times New Roman" w:hAnsi="Times New Roman"/>
        </w:rPr>
        <w:t xml:space="preserve"> (see Table </w:t>
      </w:r>
      <w:r w:rsidR="00CF45FE" w:rsidRPr="00632DBC">
        <w:rPr>
          <w:rFonts w:ascii="Times New Roman" w:hAnsi="Times New Roman"/>
        </w:rPr>
        <w:t>9</w:t>
      </w:r>
      <w:r w:rsidR="004C2EB4" w:rsidRPr="00632DBC">
        <w:rPr>
          <w:rFonts w:ascii="Times New Roman" w:hAnsi="Times New Roman"/>
        </w:rPr>
        <w:t xml:space="preserve"> for a summary)</w:t>
      </w:r>
      <w:r w:rsidR="001D4EB4" w:rsidRPr="00632DBC">
        <w:rPr>
          <w:rFonts w:ascii="Times New Roman" w:hAnsi="Times New Roman"/>
        </w:rPr>
        <w:t>.</w:t>
      </w:r>
    </w:p>
    <w:p w14:paraId="1C150EEB" w14:textId="77777777" w:rsidR="00363586" w:rsidRPr="00632DBC" w:rsidRDefault="00363586" w:rsidP="0017261F">
      <w:pPr>
        <w:pStyle w:val="Default"/>
        <w:rPr>
          <w:b/>
          <w:color w:val="auto"/>
          <w:lang w:val="en-GB"/>
        </w:rPr>
      </w:pPr>
    </w:p>
    <w:p w14:paraId="0C30159C" w14:textId="5D9926C6" w:rsidR="00CF45FE" w:rsidRPr="00632DBC" w:rsidRDefault="00CF45FE" w:rsidP="00CF45FE">
      <w:pPr>
        <w:pStyle w:val="Caption"/>
      </w:pPr>
      <w:bookmarkStart w:id="164" w:name="_Toc398935612"/>
      <w:bookmarkStart w:id="165" w:name="_Toc398936077"/>
      <w:bookmarkStart w:id="166" w:name="_Toc529192217"/>
      <w:r w:rsidRPr="00632DBC">
        <w:t xml:space="preserve">Table </w:t>
      </w:r>
      <w:r w:rsidRPr="00632DBC">
        <w:fldChar w:fldCharType="begin"/>
      </w:r>
      <w:r w:rsidRPr="00632DBC">
        <w:instrText xml:space="preserve"> SEQ Table \* ARABIC </w:instrText>
      </w:r>
      <w:r w:rsidRPr="00632DBC">
        <w:fldChar w:fldCharType="separate"/>
      </w:r>
      <w:r w:rsidR="00251833" w:rsidRPr="00632DBC">
        <w:rPr>
          <w:noProof/>
        </w:rPr>
        <w:t>8</w:t>
      </w:r>
      <w:r w:rsidRPr="00632DBC">
        <w:fldChar w:fldCharType="end"/>
      </w:r>
      <w:r w:rsidRPr="00632DBC">
        <w:t>. Lessons learned from biodiversity and social safeguards in REDD+ related legal provisions in Mexico</w:t>
      </w:r>
      <w:bookmarkEnd w:id="164"/>
      <w:bookmarkEnd w:id="165"/>
      <w:bookmarkEnd w:id="166"/>
    </w:p>
    <w:tbl>
      <w:tblPr>
        <w:tblStyle w:val="TableGrid"/>
        <w:tblW w:w="10632" w:type="dxa"/>
        <w:tblInd w:w="-318" w:type="dxa"/>
        <w:tblLayout w:type="fixed"/>
        <w:tblLook w:val="04A0" w:firstRow="1" w:lastRow="0" w:firstColumn="1" w:lastColumn="0" w:noHBand="0" w:noVBand="1"/>
      </w:tblPr>
      <w:tblGrid>
        <w:gridCol w:w="1183"/>
        <w:gridCol w:w="944"/>
        <w:gridCol w:w="4962"/>
        <w:gridCol w:w="3543"/>
      </w:tblGrid>
      <w:tr w:rsidR="00633A71" w:rsidRPr="00632DBC" w14:paraId="09863069" w14:textId="77777777" w:rsidTr="00790AB0">
        <w:trPr>
          <w:trHeight w:val="801"/>
        </w:trPr>
        <w:tc>
          <w:tcPr>
            <w:tcW w:w="2127" w:type="dxa"/>
            <w:gridSpan w:val="2"/>
          </w:tcPr>
          <w:p w14:paraId="40084D85" w14:textId="77777777" w:rsidR="0017261F" w:rsidRPr="00632DBC" w:rsidRDefault="0017261F" w:rsidP="0017261F">
            <w:pPr>
              <w:jc w:val="center"/>
              <w:rPr>
                <w:rFonts w:ascii="Calibri" w:hAnsi="Calibri"/>
                <w:b/>
              </w:rPr>
            </w:pPr>
            <w:r w:rsidRPr="00632DBC">
              <w:rPr>
                <w:rFonts w:ascii="Calibri" w:hAnsi="Calibri"/>
                <w:b/>
              </w:rPr>
              <w:t>Provisions</w:t>
            </w:r>
          </w:p>
        </w:tc>
        <w:tc>
          <w:tcPr>
            <w:tcW w:w="4962" w:type="dxa"/>
          </w:tcPr>
          <w:p w14:paraId="1992CC9F" w14:textId="77777777" w:rsidR="0017261F" w:rsidRPr="00632DBC" w:rsidRDefault="0017261F" w:rsidP="0017261F">
            <w:pPr>
              <w:jc w:val="center"/>
              <w:rPr>
                <w:rFonts w:ascii="Calibri" w:hAnsi="Calibri"/>
                <w:b/>
              </w:rPr>
            </w:pPr>
            <w:r w:rsidRPr="00632DBC">
              <w:rPr>
                <w:rFonts w:ascii="Calibri" w:hAnsi="Calibri"/>
                <w:b/>
              </w:rPr>
              <w:t>Selected safeguard-related provision</w:t>
            </w:r>
          </w:p>
        </w:tc>
        <w:tc>
          <w:tcPr>
            <w:tcW w:w="3543" w:type="dxa"/>
          </w:tcPr>
          <w:p w14:paraId="0F96068E" w14:textId="10D0BC63" w:rsidR="0017261F" w:rsidRPr="00632DBC" w:rsidRDefault="0017261F" w:rsidP="00790AB0">
            <w:pPr>
              <w:jc w:val="center"/>
              <w:rPr>
                <w:rFonts w:ascii="Calibri" w:hAnsi="Calibri"/>
                <w:b/>
                <w:sz w:val="20"/>
                <w:szCs w:val="20"/>
              </w:rPr>
            </w:pPr>
            <w:r w:rsidRPr="00632DBC">
              <w:rPr>
                <w:rFonts w:ascii="Calibri" w:hAnsi="Calibri"/>
                <w:b/>
              </w:rPr>
              <w:t xml:space="preserve">Lessons </w:t>
            </w:r>
            <w:r w:rsidR="007452C8" w:rsidRPr="00632DBC">
              <w:rPr>
                <w:rFonts w:ascii="Calibri" w:hAnsi="Calibri"/>
                <w:b/>
              </w:rPr>
              <w:t>learned</w:t>
            </w:r>
            <w:r w:rsidRPr="00632DBC">
              <w:rPr>
                <w:rFonts w:ascii="Calibri" w:hAnsi="Calibri"/>
                <w:b/>
              </w:rPr>
              <w:t xml:space="preserve"> </w:t>
            </w:r>
          </w:p>
        </w:tc>
      </w:tr>
      <w:tr w:rsidR="00633A71" w:rsidRPr="00632DBC" w14:paraId="3C9272C1" w14:textId="77777777" w:rsidTr="0017261F">
        <w:tc>
          <w:tcPr>
            <w:tcW w:w="1183" w:type="dxa"/>
            <w:vMerge w:val="restart"/>
          </w:tcPr>
          <w:p w14:paraId="7BFBCFCF" w14:textId="77777777" w:rsidR="0017261F" w:rsidRPr="00632DBC" w:rsidRDefault="0017261F" w:rsidP="0017261F">
            <w:pPr>
              <w:rPr>
                <w:rFonts w:ascii="Calibri" w:hAnsi="Calibri"/>
                <w:sz w:val="20"/>
                <w:szCs w:val="20"/>
              </w:rPr>
            </w:pPr>
            <w:r w:rsidRPr="00632DBC">
              <w:rPr>
                <w:rFonts w:ascii="Calibri" w:hAnsi="Calibri"/>
                <w:sz w:val="20"/>
                <w:szCs w:val="20"/>
              </w:rPr>
              <w:t>Biodiversity</w:t>
            </w:r>
          </w:p>
        </w:tc>
        <w:tc>
          <w:tcPr>
            <w:tcW w:w="944" w:type="dxa"/>
          </w:tcPr>
          <w:p w14:paraId="066023BA" w14:textId="77777777" w:rsidR="0017261F" w:rsidRPr="00632DBC" w:rsidRDefault="0017261F" w:rsidP="0017261F">
            <w:pPr>
              <w:rPr>
                <w:rFonts w:ascii="Calibri" w:hAnsi="Calibri"/>
                <w:sz w:val="14"/>
                <w:szCs w:val="14"/>
              </w:rPr>
            </w:pPr>
            <w:r w:rsidRPr="00632DBC">
              <w:rPr>
                <w:rFonts w:ascii="Calibri" w:hAnsi="Calibri"/>
                <w:sz w:val="14"/>
                <w:szCs w:val="14"/>
              </w:rPr>
              <w:t>Substantive</w:t>
            </w:r>
          </w:p>
        </w:tc>
        <w:tc>
          <w:tcPr>
            <w:tcW w:w="4962" w:type="dxa"/>
          </w:tcPr>
          <w:p w14:paraId="14F696CC" w14:textId="7EA6854B" w:rsidR="0017261F" w:rsidRPr="00632DBC" w:rsidRDefault="0017261F" w:rsidP="00FD097E">
            <w:pPr>
              <w:spacing w:after="0" w:line="240" w:lineRule="auto"/>
              <w:rPr>
                <w:rFonts w:ascii="Calibri" w:hAnsi="Calibri"/>
                <w:sz w:val="14"/>
                <w:szCs w:val="14"/>
              </w:rPr>
            </w:pPr>
            <w:r w:rsidRPr="00632DBC">
              <w:rPr>
                <w:rFonts w:ascii="Calibri" w:hAnsi="Calibri"/>
                <w:sz w:val="14"/>
                <w:szCs w:val="14"/>
              </w:rPr>
              <w:t xml:space="preserve">‘Environmental services’ definition explicitly refers to benefits generated by ecosystems, ‘necessary for the survival of the natural and biological system as </w:t>
            </w:r>
            <w:r w:rsidR="001D4EB4" w:rsidRPr="00632DBC">
              <w:rPr>
                <w:rFonts w:ascii="Calibri" w:hAnsi="Calibri"/>
                <w:sz w:val="14"/>
                <w:szCs w:val="14"/>
              </w:rPr>
              <w:t>a whole’ (LGEEPA, art 3 XXXVI)</w:t>
            </w:r>
            <w:r w:rsidR="00C44AF1" w:rsidRPr="00632DBC">
              <w:rPr>
                <w:rFonts w:ascii="Calibri" w:hAnsi="Calibri"/>
                <w:sz w:val="14"/>
                <w:szCs w:val="14"/>
              </w:rPr>
              <w:t>.</w:t>
            </w:r>
            <w:r w:rsidR="001D4EB4" w:rsidRPr="00632DBC">
              <w:rPr>
                <w:rFonts w:ascii="Calibri" w:hAnsi="Calibri"/>
                <w:sz w:val="14"/>
                <w:szCs w:val="14"/>
              </w:rPr>
              <w:t xml:space="preserve"> </w:t>
            </w:r>
          </w:p>
          <w:p w14:paraId="2ED55754" w14:textId="77777777" w:rsidR="00AE1B94" w:rsidRPr="00632DBC" w:rsidRDefault="00AE1B94" w:rsidP="00FD097E">
            <w:pPr>
              <w:spacing w:after="0" w:line="240" w:lineRule="auto"/>
              <w:rPr>
                <w:rFonts w:ascii="Calibri" w:hAnsi="Calibri"/>
                <w:sz w:val="14"/>
                <w:szCs w:val="14"/>
              </w:rPr>
            </w:pPr>
          </w:p>
          <w:p w14:paraId="51D7EA26" w14:textId="19B35CC1" w:rsidR="0017261F" w:rsidRPr="00632DBC" w:rsidRDefault="00C44AF1" w:rsidP="00FD097E">
            <w:pPr>
              <w:spacing w:after="0" w:line="240" w:lineRule="auto"/>
              <w:rPr>
                <w:rFonts w:ascii="Calibri" w:hAnsi="Calibri"/>
                <w:sz w:val="14"/>
                <w:szCs w:val="14"/>
              </w:rPr>
            </w:pPr>
            <w:r w:rsidRPr="00632DBC">
              <w:rPr>
                <w:rFonts w:ascii="Calibri" w:hAnsi="Calibri"/>
                <w:sz w:val="14"/>
                <w:szCs w:val="14"/>
              </w:rPr>
              <w:t xml:space="preserve">The definition for </w:t>
            </w:r>
            <w:r w:rsidR="0017261F" w:rsidRPr="00632DBC">
              <w:rPr>
                <w:rFonts w:ascii="Calibri" w:hAnsi="Calibri"/>
                <w:sz w:val="14"/>
                <w:szCs w:val="14"/>
              </w:rPr>
              <w:t xml:space="preserve">‘Environmental </w:t>
            </w:r>
            <w:proofErr w:type="gramStart"/>
            <w:r w:rsidRPr="00632DBC">
              <w:rPr>
                <w:rFonts w:ascii="Calibri" w:hAnsi="Calibri"/>
                <w:sz w:val="14"/>
                <w:szCs w:val="14"/>
              </w:rPr>
              <w:t>services‘</w:t>
            </w:r>
            <w:r w:rsidR="00204608" w:rsidRPr="00632DBC">
              <w:rPr>
                <w:rFonts w:ascii="Calibri" w:hAnsi="Calibri"/>
                <w:sz w:val="14"/>
                <w:szCs w:val="14"/>
              </w:rPr>
              <w:t xml:space="preserve"> </w:t>
            </w:r>
            <w:r w:rsidR="0017261F" w:rsidRPr="00632DBC">
              <w:rPr>
                <w:rFonts w:ascii="Calibri" w:hAnsi="Calibri"/>
                <w:sz w:val="14"/>
                <w:szCs w:val="14"/>
              </w:rPr>
              <w:t>explicitly</w:t>
            </w:r>
            <w:proofErr w:type="gramEnd"/>
            <w:r w:rsidR="0017261F" w:rsidRPr="00632DBC">
              <w:rPr>
                <w:rFonts w:ascii="Calibri" w:hAnsi="Calibri"/>
                <w:sz w:val="14"/>
                <w:szCs w:val="14"/>
              </w:rPr>
              <w:t xml:space="preserve"> refers to benefits generated by forest ecosystems incl</w:t>
            </w:r>
            <w:r w:rsidR="002A52AB" w:rsidRPr="00632DBC">
              <w:rPr>
                <w:rFonts w:ascii="Calibri" w:hAnsi="Calibri"/>
                <w:sz w:val="14"/>
                <w:szCs w:val="14"/>
              </w:rPr>
              <w:t>uding ‘biodiversity protection‘</w:t>
            </w:r>
            <w:r w:rsidR="0017261F" w:rsidRPr="00632DBC">
              <w:rPr>
                <w:rFonts w:ascii="Calibri" w:hAnsi="Calibri"/>
                <w:sz w:val="14"/>
                <w:szCs w:val="14"/>
              </w:rPr>
              <w:t xml:space="preserve"> (LGDFS, art 7 XXXIX)</w:t>
            </w:r>
            <w:r w:rsidRPr="00632DBC">
              <w:rPr>
                <w:rFonts w:ascii="Calibri" w:hAnsi="Calibri"/>
                <w:sz w:val="14"/>
                <w:szCs w:val="14"/>
              </w:rPr>
              <w:t>.</w:t>
            </w:r>
          </w:p>
          <w:p w14:paraId="1A7080E1" w14:textId="77777777" w:rsidR="0075139A" w:rsidRPr="00632DBC" w:rsidRDefault="0075139A" w:rsidP="00FD097E">
            <w:pPr>
              <w:spacing w:after="0" w:line="240" w:lineRule="auto"/>
              <w:rPr>
                <w:rFonts w:ascii="Calibri" w:hAnsi="Calibri"/>
                <w:sz w:val="14"/>
                <w:szCs w:val="14"/>
              </w:rPr>
            </w:pPr>
          </w:p>
          <w:p w14:paraId="633E858D" w14:textId="60C08B72" w:rsidR="0017261F" w:rsidRPr="00632DBC" w:rsidRDefault="0017261F" w:rsidP="00FD097E">
            <w:pPr>
              <w:spacing w:after="0" w:line="240" w:lineRule="auto"/>
              <w:rPr>
                <w:rFonts w:ascii="Calibri" w:hAnsi="Calibri"/>
                <w:sz w:val="14"/>
                <w:szCs w:val="14"/>
              </w:rPr>
            </w:pPr>
            <w:r w:rsidRPr="00632DBC">
              <w:rPr>
                <w:rFonts w:ascii="Calibri" w:hAnsi="Calibri"/>
                <w:sz w:val="14"/>
                <w:szCs w:val="14"/>
              </w:rPr>
              <w:t xml:space="preserve">It is stated as a duty of the executive power to create economic mechanisms to promote forest owners to produce environmental services </w:t>
            </w:r>
            <w:proofErr w:type="gramStart"/>
            <w:r w:rsidRPr="00632DBC">
              <w:rPr>
                <w:rFonts w:ascii="Calibri" w:hAnsi="Calibri"/>
                <w:sz w:val="14"/>
                <w:szCs w:val="14"/>
              </w:rPr>
              <w:t>as a means to</w:t>
            </w:r>
            <w:proofErr w:type="gramEnd"/>
            <w:r w:rsidRPr="00632DBC">
              <w:rPr>
                <w:rFonts w:ascii="Calibri" w:hAnsi="Calibri"/>
                <w:sz w:val="14"/>
                <w:szCs w:val="14"/>
              </w:rPr>
              <w:t xml:space="preserve"> guaranteeing biodiversity and human life sustainability (LGDFS, art 30 VII)</w:t>
            </w:r>
            <w:r w:rsidR="00C44AF1" w:rsidRPr="00632DBC">
              <w:rPr>
                <w:rFonts w:ascii="Calibri" w:hAnsi="Calibri"/>
                <w:sz w:val="14"/>
                <w:szCs w:val="14"/>
              </w:rPr>
              <w:t>.</w:t>
            </w:r>
          </w:p>
        </w:tc>
        <w:tc>
          <w:tcPr>
            <w:tcW w:w="3543" w:type="dxa"/>
          </w:tcPr>
          <w:p w14:paraId="70965294" w14:textId="05A77DAF" w:rsidR="0017261F" w:rsidRPr="00632DBC" w:rsidRDefault="003825E9" w:rsidP="00FD097E">
            <w:pPr>
              <w:tabs>
                <w:tab w:val="center" w:pos="1492"/>
              </w:tabs>
              <w:spacing w:after="0" w:line="240" w:lineRule="auto"/>
              <w:rPr>
                <w:rFonts w:ascii="Calibri" w:hAnsi="Calibri"/>
                <w:sz w:val="14"/>
                <w:szCs w:val="14"/>
              </w:rPr>
            </w:pPr>
            <w:r w:rsidRPr="00632DBC">
              <w:rPr>
                <w:rFonts w:ascii="Calibri" w:hAnsi="Calibri"/>
                <w:sz w:val="14"/>
                <w:szCs w:val="14"/>
              </w:rPr>
              <w:t>These</w:t>
            </w:r>
            <w:r w:rsidR="0017261F" w:rsidRPr="00632DBC">
              <w:rPr>
                <w:rFonts w:ascii="Calibri" w:hAnsi="Calibri"/>
                <w:sz w:val="14"/>
                <w:szCs w:val="14"/>
              </w:rPr>
              <w:t xml:space="preserve"> </w:t>
            </w:r>
            <w:r w:rsidRPr="00632DBC">
              <w:rPr>
                <w:rFonts w:ascii="Calibri" w:hAnsi="Calibri"/>
                <w:sz w:val="14"/>
                <w:szCs w:val="14"/>
              </w:rPr>
              <w:t xml:space="preserve">provisions’ effectiveness could gain </w:t>
            </w:r>
            <w:r w:rsidR="0017261F" w:rsidRPr="00632DBC">
              <w:rPr>
                <w:rFonts w:ascii="Calibri" w:hAnsi="Calibri"/>
                <w:sz w:val="14"/>
                <w:szCs w:val="14"/>
              </w:rPr>
              <w:t>from synchronisation with biodiversity procedural safeguards.</w:t>
            </w:r>
          </w:p>
          <w:p w14:paraId="51EAE83B" w14:textId="77777777" w:rsidR="0017261F" w:rsidRPr="00632DBC" w:rsidRDefault="0017261F" w:rsidP="00FD097E">
            <w:pPr>
              <w:tabs>
                <w:tab w:val="center" w:pos="1492"/>
              </w:tabs>
              <w:spacing w:after="0" w:line="240" w:lineRule="auto"/>
              <w:rPr>
                <w:rFonts w:ascii="Calibri" w:hAnsi="Calibri"/>
                <w:sz w:val="14"/>
                <w:szCs w:val="14"/>
              </w:rPr>
            </w:pPr>
          </w:p>
          <w:p w14:paraId="3BDC1200" w14:textId="77777777" w:rsidR="0017261F" w:rsidRPr="00632DBC" w:rsidRDefault="0017261F" w:rsidP="00FD097E">
            <w:pPr>
              <w:tabs>
                <w:tab w:val="center" w:pos="1492"/>
              </w:tabs>
              <w:spacing w:after="0" w:line="240" w:lineRule="auto"/>
              <w:rPr>
                <w:rFonts w:ascii="Calibri" w:hAnsi="Calibri"/>
                <w:sz w:val="14"/>
                <w:szCs w:val="14"/>
              </w:rPr>
            </w:pPr>
          </w:p>
          <w:p w14:paraId="04AB596E" w14:textId="77777777" w:rsidR="0017261F" w:rsidRPr="00632DBC" w:rsidRDefault="0017261F" w:rsidP="00FD097E">
            <w:pPr>
              <w:tabs>
                <w:tab w:val="center" w:pos="1492"/>
              </w:tabs>
              <w:spacing w:after="0" w:line="240" w:lineRule="auto"/>
              <w:rPr>
                <w:rFonts w:ascii="Calibri" w:hAnsi="Calibri"/>
                <w:sz w:val="14"/>
                <w:szCs w:val="14"/>
              </w:rPr>
            </w:pPr>
          </w:p>
        </w:tc>
      </w:tr>
      <w:tr w:rsidR="00633A71" w:rsidRPr="00632DBC" w14:paraId="401D22C6" w14:textId="77777777" w:rsidTr="0017261F">
        <w:tc>
          <w:tcPr>
            <w:tcW w:w="1183" w:type="dxa"/>
            <w:vMerge/>
          </w:tcPr>
          <w:p w14:paraId="59492CE1" w14:textId="77777777" w:rsidR="0017261F" w:rsidRPr="00632DBC" w:rsidRDefault="0017261F" w:rsidP="0017261F">
            <w:pPr>
              <w:rPr>
                <w:rFonts w:ascii="Calibri" w:hAnsi="Calibri"/>
              </w:rPr>
            </w:pPr>
          </w:p>
        </w:tc>
        <w:tc>
          <w:tcPr>
            <w:tcW w:w="944" w:type="dxa"/>
          </w:tcPr>
          <w:p w14:paraId="674B9A9D" w14:textId="77777777" w:rsidR="0017261F" w:rsidRPr="00632DBC" w:rsidRDefault="0017261F" w:rsidP="0017261F">
            <w:pPr>
              <w:rPr>
                <w:rFonts w:ascii="Calibri" w:hAnsi="Calibri"/>
                <w:sz w:val="14"/>
                <w:szCs w:val="14"/>
              </w:rPr>
            </w:pPr>
            <w:r w:rsidRPr="00632DBC">
              <w:rPr>
                <w:rFonts w:ascii="Calibri" w:hAnsi="Calibri"/>
                <w:sz w:val="14"/>
                <w:szCs w:val="14"/>
              </w:rPr>
              <w:t>Procedural</w:t>
            </w:r>
          </w:p>
        </w:tc>
        <w:tc>
          <w:tcPr>
            <w:tcW w:w="4962" w:type="dxa"/>
          </w:tcPr>
          <w:p w14:paraId="5A7761EF" w14:textId="77777777" w:rsidR="0017261F" w:rsidRPr="00632DBC" w:rsidRDefault="0017261F" w:rsidP="00FD097E">
            <w:pPr>
              <w:spacing w:after="0" w:line="240" w:lineRule="auto"/>
              <w:rPr>
                <w:rFonts w:ascii="Calibri" w:hAnsi="Calibri"/>
                <w:sz w:val="14"/>
                <w:szCs w:val="14"/>
              </w:rPr>
            </w:pPr>
            <w:r w:rsidRPr="00632DBC">
              <w:rPr>
                <w:rFonts w:ascii="Calibri" w:hAnsi="Calibri"/>
                <w:sz w:val="14"/>
                <w:szCs w:val="14"/>
              </w:rPr>
              <w:t>Article 45 of National Forest Law establishes a Measurement, Reporting and Verification System focusing on carbon</w:t>
            </w:r>
          </w:p>
        </w:tc>
        <w:tc>
          <w:tcPr>
            <w:tcW w:w="3543" w:type="dxa"/>
          </w:tcPr>
          <w:p w14:paraId="71628E0F" w14:textId="6C83AD62" w:rsidR="0017261F" w:rsidRPr="00632DBC" w:rsidRDefault="0017261F" w:rsidP="00FD097E">
            <w:pPr>
              <w:spacing w:after="0" w:line="240" w:lineRule="auto"/>
              <w:rPr>
                <w:rFonts w:ascii="Calibri" w:hAnsi="Calibri"/>
                <w:sz w:val="14"/>
                <w:szCs w:val="14"/>
              </w:rPr>
            </w:pPr>
            <w:r w:rsidRPr="00632DBC">
              <w:rPr>
                <w:rFonts w:ascii="Calibri" w:hAnsi="Calibri"/>
                <w:sz w:val="14"/>
                <w:szCs w:val="14"/>
              </w:rPr>
              <w:t xml:space="preserve">The National Safeguards System as well as biodiversity monitoring could be implemented through </w:t>
            </w:r>
            <w:r w:rsidR="003825E9" w:rsidRPr="00632DBC">
              <w:rPr>
                <w:rFonts w:ascii="Calibri" w:hAnsi="Calibri"/>
                <w:sz w:val="14"/>
                <w:szCs w:val="14"/>
              </w:rPr>
              <w:t xml:space="preserve">a </w:t>
            </w:r>
            <w:r w:rsidRPr="00632DBC">
              <w:rPr>
                <w:rFonts w:ascii="Calibri" w:hAnsi="Calibri"/>
                <w:sz w:val="14"/>
                <w:szCs w:val="14"/>
              </w:rPr>
              <w:t>MRV system, thoug</w:t>
            </w:r>
            <w:r w:rsidR="00FD097E" w:rsidRPr="00632DBC">
              <w:rPr>
                <w:rFonts w:ascii="Calibri" w:hAnsi="Calibri"/>
                <w:sz w:val="14"/>
                <w:szCs w:val="14"/>
              </w:rPr>
              <w:t>h policy integration is lacking</w:t>
            </w:r>
          </w:p>
          <w:p w14:paraId="30F4F30E" w14:textId="5DF7E25A" w:rsidR="00FD097E" w:rsidRPr="00632DBC" w:rsidRDefault="00FD097E" w:rsidP="00FD097E">
            <w:pPr>
              <w:spacing w:after="0" w:line="240" w:lineRule="auto"/>
              <w:rPr>
                <w:rFonts w:ascii="Calibri" w:hAnsi="Calibri"/>
                <w:sz w:val="14"/>
                <w:szCs w:val="14"/>
              </w:rPr>
            </w:pPr>
          </w:p>
        </w:tc>
      </w:tr>
      <w:tr w:rsidR="00633A71" w:rsidRPr="00632DBC" w14:paraId="2CB48D5E" w14:textId="77777777" w:rsidTr="0017261F">
        <w:tc>
          <w:tcPr>
            <w:tcW w:w="1183" w:type="dxa"/>
            <w:vMerge w:val="restart"/>
          </w:tcPr>
          <w:p w14:paraId="38CBD2BB" w14:textId="77777777" w:rsidR="0017261F" w:rsidRPr="00632DBC" w:rsidRDefault="0017261F" w:rsidP="0017261F">
            <w:pPr>
              <w:rPr>
                <w:rFonts w:ascii="Calibri" w:hAnsi="Calibri"/>
              </w:rPr>
            </w:pPr>
            <w:r w:rsidRPr="00632DBC">
              <w:rPr>
                <w:rFonts w:ascii="Calibri" w:hAnsi="Calibri"/>
              </w:rPr>
              <w:t>Social</w:t>
            </w:r>
          </w:p>
        </w:tc>
        <w:tc>
          <w:tcPr>
            <w:tcW w:w="944" w:type="dxa"/>
          </w:tcPr>
          <w:p w14:paraId="7E6030BD" w14:textId="77777777" w:rsidR="0017261F" w:rsidRPr="00632DBC" w:rsidRDefault="0017261F" w:rsidP="0017261F">
            <w:pPr>
              <w:rPr>
                <w:rFonts w:ascii="Calibri" w:hAnsi="Calibri"/>
                <w:sz w:val="14"/>
                <w:szCs w:val="14"/>
              </w:rPr>
            </w:pPr>
            <w:r w:rsidRPr="00632DBC">
              <w:rPr>
                <w:rFonts w:ascii="Calibri" w:hAnsi="Calibri"/>
                <w:sz w:val="14"/>
                <w:szCs w:val="14"/>
              </w:rPr>
              <w:t>Substantive</w:t>
            </w:r>
          </w:p>
        </w:tc>
        <w:tc>
          <w:tcPr>
            <w:tcW w:w="4962" w:type="dxa"/>
          </w:tcPr>
          <w:p w14:paraId="455E5E03" w14:textId="55B26E41" w:rsidR="001D4EB4" w:rsidRPr="00632DBC" w:rsidRDefault="0017261F" w:rsidP="00FD097E">
            <w:pPr>
              <w:pStyle w:val="NormalWeb"/>
              <w:spacing w:before="0" w:beforeAutospacing="0" w:after="0" w:afterAutospacing="0" w:line="240" w:lineRule="auto"/>
              <w:rPr>
                <w:rFonts w:ascii="Calibri" w:hAnsi="Calibri"/>
                <w:sz w:val="14"/>
                <w:szCs w:val="14"/>
              </w:rPr>
            </w:pPr>
            <w:r w:rsidRPr="00632DBC">
              <w:rPr>
                <w:rFonts w:ascii="Calibri" w:hAnsi="Calibri"/>
                <w:sz w:val="14"/>
                <w:szCs w:val="14"/>
              </w:rPr>
              <w:t xml:space="preserve">Rights to Equitable distribution of benefits from environmental services to owners and legitimate possessors of forest land (art 133 and 134 BIS II LGDFS); and “Inclusion and territorial, cultural, social and gender equality” (Article 134 </w:t>
            </w:r>
            <w:proofErr w:type="spellStart"/>
            <w:r w:rsidRPr="00632DBC">
              <w:rPr>
                <w:rFonts w:ascii="Calibri" w:hAnsi="Calibri"/>
                <w:sz w:val="14"/>
                <w:szCs w:val="14"/>
              </w:rPr>
              <w:t>bis</w:t>
            </w:r>
            <w:proofErr w:type="spellEnd"/>
            <w:r w:rsidRPr="00632DBC">
              <w:rPr>
                <w:rFonts w:ascii="Calibri" w:hAnsi="Calibri"/>
                <w:sz w:val="14"/>
                <w:szCs w:val="14"/>
              </w:rPr>
              <w:t xml:space="preserve"> IV. LGDFS)</w:t>
            </w:r>
            <w:r w:rsidR="00C44AF1" w:rsidRPr="00632DBC">
              <w:rPr>
                <w:rFonts w:ascii="Calibri" w:hAnsi="Calibri"/>
                <w:sz w:val="14"/>
                <w:szCs w:val="14"/>
              </w:rPr>
              <w:t>.</w:t>
            </w:r>
          </w:p>
          <w:p w14:paraId="2B66762C" w14:textId="77777777" w:rsidR="001D4EB4" w:rsidRPr="00632DBC" w:rsidRDefault="001D4EB4" w:rsidP="00FD097E">
            <w:pPr>
              <w:pStyle w:val="NormalWeb"/>
              <w:spacing w:before="0" w:beforeAutospacing="0" w:after="0" w:afterAutospacing="0" w:line="240" w:lineRule="auto"/>
              <w:rPr>
                <w:rFonts w:ascii="Calibri" w:hAnsi="Calibri"/>
                <w:sz w:val="14"/>
                <w:szCs w:val="14"/>
              </w:rPr>
            </w:pPr>
          </w:p>
          <w:p w14:paraId="1299911C" w14:textId="393C8549" w:rsidR="001D4EB4" w:rsidRPr="00632DBC" w:rsidRDefault="0017261F" w:rsidP="00FD097E">
            <w:pPr>
              <w:pStyle w:val="NormalWeb"/>
              <w:spacing w:before="0" w:beforeAutospacing="0" w:after="0" w:afterAutospacing="0" w:line="240" w:lineRule="auto"/>
              <w:rPr>
                <w:rFonts w:ascii="Calibri" w:hAnsi="Calibri"/>
                <w:sz w:val="14"/>
                <w:szCs w:val="14"/>
              </w:rPr>
            </w:pPr>
            <w:r w:rsidRPr="00632DBC">
              <w:rPr>
                <w:rFonts w:ascii="Calibri" w:hAnsi="Calibri"/>
                <w:sz w:val="14"/>
                <w:szCs w:val="14"/>
              </w:rPr>
              <w:t xml:space="preserve">“Certainty and respect to property rights and legitimate possession and access to natural resources of owners and legitimate possessors” (Article 134 </w:t>
            </w:r>
            <w:proofErr w:type="spellStart"/>
            <w:r w:rsidRPr="00632DBC">
              <w:rPr>
                <w:rFonts w:ascii="Calibri" w:hAnsi="Calibri"/>
                <w:sz w:val="14"/>
                <w:szCs w:val="14"/>
              </w:rPr>
              <w:t>bis</w:t>
            </w:r>
            <w:proofErr w:type="spellEnd"/>
            <w:r w:rsidRPr="00632DBC">
              <w:rPr>
                <w:rFonts w:ascii="Calibri" w:hAnsi="Calibri"/>
                <w:sz w:val="14"/>
                <w:szCs w:val="14"/>
              </w:rPr>
              <w:t xml:space="preserve"> III. LGDFS)</w:t>
            </w:r>
            <w:r w:rsidR="00C44AF1" w:rsidRPr="00632DBC">
              <w:rPr>
                <w:rFonts w:ascii="Calibri" w:hAnsi="Calibri"/>
                <w:sz w:val="14"/>
                <w:szCs w:val="14"/>
              </w:rPr>
              <w:t>.</w:t>
            </w:r>
            <w:r w:rsidRPr="00632DBC">
              <w:rPr>
                <w:rFonts w:ascii="Calibri" w:hAnsi="Calibri"/>
                <w:sz w:val="14"/>
                <w:szCs w:val="14"/>
              </w:rPr>
              <w:t xml:space="preserve"> </w:t>
            </w:r>
          </w:p>
          <w:p w14:paraId="1BFDBAF2" w14:textId="77777777" w:rsidR="001D4EB4" w:rsidRPr="00632DBC" w:rsidRDefault="001D4EB4" w:rsidP="00FD097E">
            <w:pPr>
              <w:pStyle w:val="NormalWeb"/>
              <w:spacing w:before="0" w:beforeAutospacing="0" w:after="0" w:afterAutospacing="0" w:line="240" w:lineRule="auto"/>
              <w:rPr>
                <w:rFonts w:ascii="Calibri" w:hAnsi="Calibri"/>
                <w:sz w:val="14"/>
                <w:szCs w:val="14"/>
              </w:rPr>
            </w:pPr>
          </w:p>
          <w:p w14:paraId="4ED6B197" w14:textId="77777777" w:rsidR="00D40FFB" w:rsidRPr="00632DBC" w:rsidRDefault="00D40FFB" w:rsidP="00FD097E">
            <w:pPr>
              <w:pStyle w:val="NormalWeb"/>
              <w:spacing w:before="0" w:beforeAutospacing="0" w:after="0" w:afterAutospacing="0" w:line="240" w:lineRule="auto"/>
              <w:rPr>
                <w:rFonts w:ascii="Calibri" w:hAnsi="Calibri"/>
                <w:sz w:val="14"/>
                <w:szCs w:val="14"/>
              </w:rPr>
            </w:pPr>
          </w:p>
          <w:p w14:paraId="1D67D1BD" w14:textId="77777777" w:rsidR="00D40FFB" w:rsidRPr="00632DBC" w:rsidRDefault="00D40FFB" w:rsidP="00FD097E">
            <w:pPr>
              <w:pStyle w:val="NormalWeb"/>
              <w:spacing w:before="0" w:beforeAutospacing="0" w:after="0" w:afterAutospacing="0" w:line="240" w:lineRule="auto"/>
              <w:rPr>
                <w:rFonts w:ascii="Calibri" w:hAnsi="Calibri"/>
                <w:sz w:val="14"/>
                <w:szCs w:val="14"/>
              </w:rPr>
            </w:pPr>
          </w:p>
          <w:p w14:paraId="7616A7CF" w14:textId="61D21AE8" w:rsidR="0017261F" w:rsidRPr="00632DBC" w:rsidRDefault="0017261F" w:rsidP="00FD097E">
            <w:pPr>
              <w:pStyle w:val="NormalWeb"/>
              <w:spacing w:before="0" w:beforeAutospacing="0" w:after="0" w:afterAutospacing="0" w:line="240" w:lineRule="auto"/>
              <w:rPr>
                <w:rFonts w:ascii="Calibri" w:hAnsi="Calibri"/>
                <w:sz w:val="14"/>
                <w:szCs w:val="14"/>
              </w:rPr>
            </w:pPr>
            <w:r w:rsidRPr="00632DBC">
              <w:rPr>
                <w:rFonts w:ascii="Calibri" w:hAnsi="Calibri"/>
                <w:sz w:val="14"/>
                <w:szCs w:val="14"/>
              </w:rPr>
              <w:t xml:space="preserve">“Recognition and respect to all forms of internal organization” (Article 134 </w:t>
            </w:r>
            <w:proofErr w:type="spellStart"/>
            <w:r w:rsidRPr="00632DBC">
              <w:rPr>
                <w:rFonts w:ascii="Calibri" w:hAnsi="Calibri"/>
                <w:sz w:val="14"/>
                <w:szCs w:val="14"/>
              </w:rPr>
              <w:t>bis</w:t>
            </w:r>
            <w:proofErr w:type="spellEnd"/>
            <w:r w:rsidRPr="00632DBC">
              <w:rPr>
                <w:rFonts w:ascii="Calibri" w:hAnsi="Calibri"/>
                <w:sz w:val="14"/>
                <w:szCs w:val="14"/>
              </w:rPr>
              <w:t xml:space="preserve"> VII. LGDFS)</w:t>
            </w:r>
            <w:r w:rsidR="00C44AF1" w:rsidRPr="00632DBC">
              <w:rPr>
                <w:rFonts w:ascii="Calibri" w:hAnsi="Calibri"/>
                <w:sz w:val="14"/>
                <w:szCs w:val="14"/>
              </w:rPr>
              <w:t>.</w:t>
            </w:r>
            <w:r w:rsidRPr="00632DBC">
              <w:rPr>
                <w:rFonts w:ascii="Calibri" w:hAnsi="Calibri"/>
                <w:sz w:val="14"/>
                <w:szCs w:val="14"/>
              </w:rPr>
              <w:t xml:space="preserve"> </w:t>
            </w:r>
          </w:p>
          <w:p w14:paraId="5E30A251" w14:textId="77777777" w:rsidR="0017261F" w:rsidRPr="00632DBC" w:rsidRDefault="0017261F" w:rsidP="00FD097E">
            <w:pPr>
              <w:pStyle w:val="NormalWeb"/>
              <w:spacing w:before="0" w:beforeAutospacing="0" w:after="0" w:afterAutospacing="0" w:line="240" w:lineRule="auto"/>
              <w:rPr>
                <w:rFonts w:ascii="Calibri" w:hAnsi="Calibri"/>
                <w:sz w:val="14"/>
                <w:szCs w:val="14"/>
              </w:rPr>
            </w:pPr>
          </w:p>
          <w:p w14:paraId="2910EADA" w14:textId="545F2ADE" w:rsidR="0017261F" w:rsidRPr="00632DBC" w:rsidRDefault="00C44AF1" w:rsidP="00FD097E">
            <w:pPr>
              <w:pStyle w:val="NormalWeb"/>
              <w:spacing w:before="0" w:beforeAutospacing="0" w:after="0" w:afterAutospacing="0" w:line="240" w:lineRule="auto"/>
              <w:rPr>
                <w:rFonts w:ascii="Calibri" w:hAnsi="Calibri"/>
                <w:sz w:val="14"/>
                <w:szCs w:val="14"/>
              </w:rPr>
            </w:pPr>
            <w:r w:rsidRPr="00632DBC">
              <w:rPr>
                <w:rFonts w:ascii="Calibri" w:hAnsi="Calibri"/>
                <w:sz w:val="14"/>
                <w:szCs w:val="14"/>
              </w:rPr>
              <w:t xml:space="preserve">The </w:t>
            </w:r>
            <w:r w:rsidR="0017261F" w:rsidRPr="00632DBC">
              <w:rPr>
                <w:rFonts w:ascii="Calibri" w:hAnsi="Calibri"/>
                <w:sz w:val="14"/>
                <w:szCs w:val="14"/>
              </w:rPr>
              <w:t xml:space="preserve">‘Environmental services’ definition explicitly refers to benefits generated by ecosystems necessary “to provide human </w:t>
            </w:r>
            <w:r w:rsidR="00FD097E" w:rsidRPr="00632DBC">
              <w:rPr>
                <w:rFonts w:ascii="Calibri" w:hAnsi="Calibri"/>
                <w:sz w:val="14"/>
                <w:szCs w:val="14"/>
              </w:rPr>
              <w:t>benefits” (LGEEPA, art 3 XXXVI)</w:t>
            </w:r>
            <w:r w:rsidRPr="00632DBC">
              <w:rPr>
                <w:rFonts w:ascii="Calibri" w:hAnsi="Calibri"/>
                <w:sz w:val="14"/>
                <w:szCs w:val="14"/>
              </w:rPr>
              <w:t>.</w:t>
            </w:r>
          </w:p>
          <w:p w14:paraId="0ACFD71E" w14:textId="0AA9A44E" w:rsidR="00FD097E" w:rsidRPr="00632DBC" w:rsidRDefault="00FD097E" w:rsidP="00FD097E">
            <w:pPr>
              <w:pStyle w:val="NormalWeb"/>
              <w:spacing w:before="0" w:beforeAutospacing="0" w:after="0" w:afterAutospacing="0" w:line="240" w:lineRule="auto"/>
              <w:rPr>
                <w:rFonts w:ascii="Calibri" w:hAnsi="Calibri"/>
                <w:sz w:val="14"/>
                <w:szCs w:val="14"/>
              </w:rPr>
            </w:pPr>
          </w:p>
        </w:tc>
        <w:tc>
          <w:tcPr>
            <w:tcW w:w="3543" w:type="dxa"/>
          </w:tcPr>
          <w:p w14:paraId="70DDBA79" w14:textId="5EF38D2C" w:rsidR="0017261F" w:rsidRPr="00632DBC" w:rsidRDefault="0017261F" w:rsidP="00FD097E">
            <w:pPr>
              <w:tabs>
                <w:tab w:val="center" w:pos="1492"/>
              </w:tabs>
              <w:spacing w:after="0" w:line="240" w:lineRule="auto"/>
              <w:rPr>
                <w:rFonts w:ascii="Calibri" w:hAnsi="Calibri"/>
                <w:sz w:val="14"/>
                <w:szCs w:val="14"/>
              </w:rPr>
            </w:pPr>
            <w:r w:rsidRPr="00632DBC">
              <w:rPr>
                <w:rFonts w:ascii="Calibri" w:hAnsi="Calibri"/>
                <w:sz w:val="14"/>
                <w:szCs w:val="14"/>
              </w:rPr>
              <w:t>These safeguards could gain from synchronisation with social procedural safeguards.</w:t>
            </w:r>
          </w:p>
          <w:p w14:paraId="690D0237" w14:textId="77777777" w:rsidR="0075139A" w:rsidRPr="00632DBC" w:rsidRDefault="0075139A" w:rsidP="00FD097E">
            <w:pPr>
              <w:tabs>
                <w:tab w:val="center" w:pos="1492"/>
              </w:tabs>
              <w:spacing w:after="0" w:line="240" w:lineRule="auto"/>
              <w:rPr>
                <w:rFonts w:ascii="Calibri" w:hAnsi="Calibri"/>
                <w:sz w:val="14"/>
                <w:szCs w:val="14"/>
              </w:rPr>
            </w:pPr>
          </w:p>
          <w:p w14:paraId="331AE6F3" w14:textId="77777777" w:rsidR="0075139A" w:rsidRPr="00632DBC" w:rsidRDefault="0075139A" w:rsidP="00FD097E">
            <w:pPr>
              <w:tabs>
                <w:tab w:val="center" w:pos="1492"/>
              </w:tabs>
              <w:spacing w:after="0" w:line="240" w:lineRule="auto"/>
              <w:rPr>
                <w:rFonts w:ascii="Calibri" w:hAnsi="Calibri"/>
                <w:sz w:val="14"/>
                <w:szCs w:val="14"/>
              </w:rPr>
            </w:pPr>
          </w:p>
          <w:p w14:paraId="2A1AD27E" w14:textId="77777777" w:rsidR="0075139A" w:rsidRPr="00632DBC" w:rsidRDefault="0075139A" w:rsidP="00FD097E">
            <w:pPr>
              <w:tabs>
                <w:tab w:val="center" w:pos="1492"/>
              </w:tabs>
              <w:spacing w:after="0" w:line="240" w:lineRule="auto"/>
              <w:rPr>
                <w:rFonts w:ascii="Calibri" w:hAnsi="Calibri"/>
                <w:sz w:val="14"/>
                <w:szCs w:val="14"/>
              </w:rPr>
            </w:pPr>
          </w:p>
          <w:p w14:paraId="270420EC" w14:textId="290DBBB4" w:rsidR="0017261F" w:rsidRPr="00632DBC" w:rsidRDefault="0075139A" w:rsidP="00FD097E">
            <w:pPr>
              <w:tabs>
                <w:tab w:val="center" w:pos="1492"/>
              </w:tabs>
              <w:spacing w:after="0" w:line="240" w:lineRule="auto"/>
              <w:rPr>
                <w:rFonts w:ascii="Calibri" w:hAnsi="Calibri"/>
                <w:noProof/>
                <w:sz w:val="14"/>
                <w:szCs w:val="14"/>
              </w:rPr>
            </w:pPr>
            <w:r w:rsidRPr="00632DBC">
              <w:rPr>
                <w:rFonts w:ascii="Calibri" w:hAnsi="Calibri"/>
                <w:noProof/>
                <w:sz w:val="14"/>
                <w:szCs w:val="14"/>
              </w:rPr>
              <w:t xml:space="preserve">People within ejidos </w:t>
            </w:r>
            <w:r w:rsidR="0017261F" w:rsidRPr="00632DBC">
              <w:rPr>
                <w:rFonts w:ascii="Calibri" w:hAnsi="Calibri"/>
                <w:noProof/>
                <w:sz w:val="14"/>
                <w:szCs w:val="14"/>
              </w:rPr>
              <w:t xml:space="preserve">that rely on ecosystems but hold no land rights are </w:t>
            </w:r>
            <w:r w:rsidRPr="00632DBC">
              <w:rPr>
                <w:rFonts w:ascii="Calibri" w:hAnsi="Calibri"/>
                <w:noProof/>
                <w:sz w:val="14"/>
                <w:szCs w:val="14"/>
              </w:rPr>
              <w:t xml:space="preserve">the most </w:t>
            </w:r>
            <w:r w:rsidR="0017261F" w:rsidRPr="00632DBC">
              <w:rPr>
                <w:rFonts w:ascii="Calibri" w:hAnsi="Calibri"/>
                <w:noProof/>
                <w:sz w:val="14"/>
                <w:szCs w:val="14"/>
              </w:rPr>
              <w:t>vulnerable</w:t>
            </w:r>
            <w:r w:rsidRPr="00632DBC">
              <w:rPr>
                <w:rFonts w:ascii="Calibri" w:hAnsi="Calibri"/>
                <w:noProof/>
                <w:sz w:val="14"/>
                <w:szCs w:val="14"/>
              </w:rPr>
              <w:t xml:space="preserve"> so they should be taken into account in the design of carbon-related policies and instruments</w:t>
            </w:r>
            <w:r w:rsidR="0017261F" w:rsidRPr="00632DBC">
              <w:rPr>
                <w:rFonts w:ascii="Calibri" w:hAnsi="Calibri"/>
                <w:noProof/>
                <w:sz w:val="14"/>
                <w:szCs w:val="14"/>
              </w:rPr>
              <w:t>.</w:t>
            </w:r>
          </w:p>
          <w:p w14:paraId="32E5F802" w14:textId="77777777" w:rsidR="00D40FFB" w:rsidRPr="00632DBC" w:rsidRDefault="00D40FFB" w:rsidP="00FD097E">
            <w:pPr>
              <w:tabs>
                <w:tab w:val="center" w:pos="1492"/>
              </w:tabs>
              <w:spacing w:after="0" w:line="240" w:lineRule="auto"/>
              <w:rPr>
                <w:rFonts w:ascii="Calibri" w:hAnsi="Calibri"/>
                <w:noProof/>
                <w:sz w:val="14"/>
                <w:szCs w:val="14"/>
              </w:rPr>
            </w:pPr>
          </w:p>
          <w:p w14:paraId="646FB661" w14:textId="686BCA2D" w:rsidR="0017261F" w:rsidRPr="00632DBC" w:rsidRDefault="00790AB0" w:rsidP="00FD097E">
            <w:pPr>
              <w:tabs>
                <w:tab w:val="center" w:pos="1492"/>
              </w:tabs>
              <w:spacing w:after="0" w:line="240" w:lineRule="auto"/>
              <w:rPr>
                <w:rFonts w:ascii="Calibri" w:hAnsi="Calibri"/>
                <w:noProof/>
                <w:sz w:val="14"/>
                <w:szCs w:val="14"/>
              </w:rPr>
            </w:pPr>
            <w:r w:rsidRPr="00632DBC">
              <w:rPr>
                <w:rFonts w:ascii="Calibri" w:hAnsi="Calibri"/>
                <w:noProof/>
                <w:sz w:val="14"/>
                <w:szCs w:val="14"/>
              </w:rPr>
              <w:t>Dialogue</w:t>
            </w:r>
            <w:r w:rsidR="0017261F" w:rsidRPr="00632DBC">
              <w:rPr>
                <w:rFonts w:ascii="Calibri" w:hAnsi="Calibri"/>
                <w:noProof/>
                <w:sz w:val="14"/>
                <w:szCs w:val="14"/>
              </w:rPr>
              <w:t xml:space="preserve">Clash </w:t>
            </w:r>
            <w:r w:rsidR="0075139A" w:rsidRPr="00632DBC">
              <w:rPr>
                <w:rFonts w:ascii="Calibri" w:hAnsi="Calibri"/>
                <w:noProof/>
                <w:sz w:val="14"/>
                <w:szCs w:val="14"/>
              </w:rPr>
              <w:t>between</w:t>
            </w:r>
            <w:r w:rsidR="0017261F" w:rsidRPr="00632DBC">
              <w:rPr>
                <w:rFonts w:ascii="Calibri" w:hAnsi="Calibri"/>
                <w:noProof/>
                <w:sz w:val="14"/>
                <w:szCs w:val="14"/>
              </w:rPr>
              <w:t xml:space="preserve"> </w:t>
            </w:r>
            <w:r w:rsidRPr="00632DBC">
              <w:rPr>
                <w:rFonts w:ascii="Calibri" w:hAnsi="Calibri"/>
                <w:noProof/>
                <w:sz w:val="14"/>
                <w:szCs w:val="14"/>
              </w:rPr>
              <w:t xml:space="preserve">governmental </w:t>
            </w:r>
            <w:r w:rsidR="0075139A" w:rsidRPr="00632DBC">
              <w:rPr>
                <w:rFonts w:ascii="Calibri" w:hAnsi="Calibri"/>
                <w:noProof/>
                <w:sz w:val="14"/>
                <w:szCs w:val="14"/>
              </w:rPr>
              <w:t>regulations and local institutions</w:t>
            </w:r>
            <w:r w:rsidR="0017261F" w:rsidRPr="00632DBC">
              <w:rPr>
                <w:rFonts w:ascii="Calibri" w:hAnsi="Calibri"/>
                <w:noProof/>
                <w:sz w:val="14"/>
                <w:szCs w:val="14"/>
              </w:rPr>
              <w:t xml:space="preserve"> can be addressed through dialogue</w:t>
            </w:r>
            <w:r w:rsidR="0075139A" w:rsidRPr="00632DBC">
              <w:rPr>
                <w:rFonts w:ascii="Calibri" w:hAnsi="Calibri"/>
                <w:noProof/>
                <w:sz w:val="14"/>
                <w:szCs w:val="14"/>
              </w:rPr>
              <w:t xml:space="preserve"> for shaping of safeguards.</w:t>
            </w:r>
          </w:p>
        </w:tc>
      </w:tr>
      <w:tr w:rsidR="00633A71" w:rsidRPr="00632DBC" w14:paraId="3CFDDAD4" w14:textId="77777777" w:rsidTr="0017261F">
        <w:tc>
          <w:tcPr>
            <w:tcW w:w="1183" w:type="dxa"/>
            <w:vMerge/>
          </w:tcPr>
          <w:p w14:paraId="25A018BB" w14:textId="090E6E9D" w:rsidR="0017261F" w:rsidRPr="00632DBC" w:rsidRDefault="0017261F" w:rsidP="0017261F">
            <w:pPr>
              <w:rPr>
                <w:rFonts w:ascii="Calibri" w:hAnsi="Calibri"/>
              </w:rPr>
            </w:pPr>
          </w:p>
        </w:tc>
        <w:tc>
          <w:tcPr>
            <w:tcW w:w="944" w:type="dxa"/>
          </w:tcPr>
          <w:p w14:paraId="09E17FA6" w14:textId="77777777" w:rsidR="0017261F" w:rsidRPr="00632DBC" w:rsidRDefault="0017261F" w:rsidP="0017261F">
            <w:pPr>
              <w:rPr>
                <w:rFonts w:ascii="Calibri" w:hAnsi="Calibri"/>
                <w:sz w:val="14"/>
                <w:szCs w:val="14"/>
              </w:rPr>
            </w:pPr>
            <w:r w:rsidRPr="00632DBC">
              <w:rPr>
                <w:rFonts w:ascii="Calibri" w:hAnsi="Calibri"/>
                <w:sz w:val="14"/>
                <w:szCs w:val="14"/>
              </w:rPr>
              <w:t>Procedural</w:t>
            </w:r>
          </w:p>
        </w:tc>
        <w:tc>
          <w:tcPr>
            <w:tcW w:w="4962" w:type="dxa"/>
          </w:tcPr>
          <w:p w14:paraId="52038342" w14:textId="77777777" w:rsidR="001D4EB4" w:rsidRPr="00632DBC" w:rsidRDefault="0017261F" w:rsidP="00FD097E">
            <w:pPr>
              <w:widowControl w:val="0"/>
              <w:autoSpaceDE w:val="0"/>
              <w:autoSpaceDN w:val="0"/>
              <w:adjustRightInd w:val="0"/>
              <w:spacing w:after="0" w:line="240" w:lineRule="auto"/>
              <w:rPr>
                <w:rFonts w:ascii="Calibri" w:hAnsi="Calibri"/>
                <w:i/>
                <w:sz w:val="14"/>
                <w:szCs w:val="14"/>
              </w:rPr>
            </w:pPr>
            <w:r w:rsidRPr="00632DBC">
              <w:rPr>
                <w:rFonts w:ascii="Calibri" w:hAnsi="Calibri"/>
                <w:i/>
                <w:sz w:val="14"/>
                <w:szCs w:val="14"/>
              </w:rPr>
              <w:t>FPIC: Right of ejidos, communities and indigenous peoples to free, prior informed consent (art 134 BIS LGDFS)</w:t>
            </w:r>
          </w:p>
          <w:p w14:paraId="129F7B05" w14:textId="77777777" w:rsidR="00FD097E" w:rsidRPr="00632DBC" w:rsidRDefault="00FD097E" w:rsidP="00FD097E">
            <w:pPr>
              <w:widowControl w:val="0"/>
              <w:autoSpaceDE w:val="0"/>
              <w:autoSpaceDN w:val="0"/>
              <w:adjustRightInd w:val="0"/>
              <w:spacing w:after="0" w:line="240" w:lineRule="auto"/>
              <w:rPr>
                <w:rFonts w:ascii="Calibri" w:hAnsi="Calibri"/>
                <w:i/>
                <w:sz w:val="14"/>
                <w:szCs w:val="14"/>
              </w:rPr>
            </w:pPr>
          </w:p>
          <w:p w14:paraId="005D012E" w14:textId="1BD96351" w:rsidR="0017261F" w:rsidRPr="00632DBC" w:rsidRDefault="0017261F" w:rsidP="00FD097E">
            <w:pPr>
              <w:widowControl w:val="0"/>
              <w:autoSpaceDE w:val="0"/>
              <w:autoSpaceDN w:val="0"/>
              <w:adjustRightInd w:val="0"/>
              <w:spacing w:after="0" w:line="240" w:lineRule="auto"/>
              <w:rPr>
                <w:rFonts w:ascii="Calibri" w:hAnsi="Calibri"/>
                <w:i/>
                <w:sz w:val="14"/>
                <w:szCs w:val="14"/>
              </w:rPr>
            </w:pPr>
            <w:r w:rsidRPr="00632DBC">
              <w:rPr>
                <w:rFonts w:ascii="Calibri" w:hAnsi="Calibri"/>
                <w:sz w:val="14"/>
                <w:szCs w:val="14"/>
              </w:rPr>
              <w:t xml:space="preserve">“Social diversity and participation” and “inclusion and territorial, cultural, social and gender equality” (Article 134 </w:t>
            </w:r>
            <w:proofErr w:type="spellStart"/>
            <w:r w:rsidRPr="00632DBC">
              <w:rPr>
                <w:rFonts w:ascii="Calibri" w:hAnsi="Calibri"/>
                <w:sz w:val="14"/>
                <w:szCs w:val="14"/>
              </w:rPr>
              <w:t>bis</w:t>
            </w:r>
            <w:proofErr w:type="spellEnd"/>
            <w:r w:rsidRPr="00632DBC">
              <w:rPr>
                <w:rFonts w:ascii="Calibri" w:hAnsi="Calibri"/>
                <w:sz w:val="14"/>
                <w:szCs w:val="14"/>
              </w:rPr>
              <w:t xml:space="preserve"> V. LGDFS and Article 134 </w:t>
            </w:r>
            <w:proofErr w:type="spellStart"/>
            <w:r w:rsidRPr="00632DBC">
              <w:rPr>
                <w:rFonts w:ascii="Calibri" w:hAnsi="Calibri"/>
                <w:sz w:val="14"/>
                <w:szCs w:val="14"/>
              </w:rPr>
              <w:t>bis</w:t>
            </w:r>
            <w:proofErr w:type="spellEnd"/>
            <w:r w:rsidRPr="00632DBC">
              <w:rPr>
                <w:rFonts w:ascii="Calibri" w:hAnsi="Calibri"/>
                <w:sz w:val="14"/>
                <w:szCs w:val="14"/>
              </w:rPr>
              <w:t xml:space="preserve"> IV. LGDFS</w:t>
            </w:r>
            <w:r w:rsidR="001D4EB4" w:rsidRPr="00632DBC">
              <w:rPr>
                <w:rFonts w:ascii="Calibri" w:hAnsi="Calibri"/>
                <w:sz w:val="14"/>
                <w:szCs w:val="14"/>
              </w:rPr>
              <w:t>)</w:t>
            </w:r>
          </w:p>
        </w:tc>
        <w:tc>
          <w:tcPr>
            <w:tcW w:w="3543" w:type="dxa"/>
          </w:tcPr>
          <w:p w14:paraId="0C9EB771" w14:textId="5C4322A4" w:rsidR="0017261F" w:rsidRPr="00632DBC" w:rsidRDefault="0017261F" w:rsidP="00FD097E">
            <w:pPr>
              <w:spacing w:after="0" w:line="240" w:lineRule="auto"/>
              <w:rPr>
                <w:rFonts w:ascii="Calibri" w:hAnsi="Calibri"/>
                <w:sz w:val="14"/>
                <w:szCs w:val="14"/>
              </w:rPr>
            </w:pPr>
            <w:r w:rsidRPr="00632DBC">
              <w:rPr>
                <w:rFonts w:ascii="Calibri" w:hAnsi="Calibri"/>
                <w:sz w:val="14"/>
                <w:szCs w:val="14"/>
              </w:rPr>
              <w:t>Local groups not falling into indigenous peoples, communities o</w:t>
            </w:r>
            <w:r w:rsidR="001D4EB4" w:rsidRPr="00632DBC">
              <w:rPr>
                <w:rFonts w:ascii="Calibri" w:hAnsi="Calibri"/>
                <w:sz w:val="14"/>
                <w:szCs w:val="14"/>
              </w:rPr>
              <w:t>r ejidos have no access to FPIC</w:t>
            </w:r>
          </w:p>
          <w:p w14:paraId="0B3F3062" w14:textId="77777777" w:rsidR="00FD097E" w:rsidRPr="00632DBC" w:rsidRDefault="00FD097E" w:rsidP="00FD097E">
            <w:pPr>
              <w:spacing w:after="0" w:line="240" w:lineRule="auto"/>
              <w:rPr>
                <w:rFonts w:ascii="Calibri" w:hAnsi="Calibri"/>
                <w:sz w:val="14"/>
                <w:szCs w:val="14"/>
              </w:rPr>
            </w:pPr>
          </w:p>
          <w:p w14:paraId="4F629C34" w14:textId="77777777" w:rsidR="0017261F" w:rsidRPr="00632DBC" w:rsidRDefault="0017261F" w:rsidP="00FD097E">
            <w:pPr>
              <w:spacing w:after="0" w:line="240" w:lineRule="auto"/>
              <w:rPr>
                <w:rFonts w:ascii="Calibri" w:hAnsi="Calibri"/>
                <w:sz w:val="14"/>
                <w:szCs w:val="14"/>
              </w:rPr>
            </w:pPr>
            <w:r w:rsidRPr="00632DBC">
              <w:rPr>
                <w:rFonts w:ascii="Calibri" w:hAnsi="Calibri"/>
                <w:sz w:val="14"/>
                <w:szCs w:val="14"/>
              </w:rPr>
              <w:t>Previous institutional arrangements both at local and national level might hamper safeguards on partic</w:t>
            </w:r>
            <w:r w:rsidR="00FD097E" w:rsidRPr="00632DBC">
              <w:rPr>
                <w:rFonts w:ascii="Calibri" w:hAnsi="Calibri"/>
                <w:sz w:val="14"/>
                <w:szCs w:val="14"/>
              </w:rPr>
              <w:t>ipation, equality and inclusion</w:t>
            </w:r>
          </w:p>
          <w:p w14:paraId="78B7C497" w14:textId="122FD09C" w:rsidR="00FD097E" w:rsidRPr="00632DBC" w:rsidRDefault="00FD097E" w:rsidP="00FD097E">
            <w:pPr>
              <w:spacing w:after="0" w:line="240" w:lineRule="auto"/>
              <w:rPr>
                <w:rFonts w:ascii="Calibri" w:hAnsi="Calibri"/>
                <w:sz w:val="14"/>
                <w:szCs w:val="14"/>
              </w:rPr>
            </w:pPr>
          </w:p>
        </w:tc>
      </w:tr>
    </w:tbl>
    <w:p w14:paraId="22E73CA8" w14:textId="16ED477C" w:rsidR="0017261F" w:rsidRPr="00632DBC" w:rsidRDefault="00B735C3" w:rsidP="00790AB0">
      <w:pPr>
        <w:tabs>
          <w:tab w:val="left" w:pos="8347"/>
        </w:tabs>
      </w:pPr>
      <w:r w:rsidRPr="00632DBC">
        <w:rPr>
          <w:rFonts w:ascii="Calibri" w:hAnsi="Calibri"/>
          <w:sz w:val="14"/>
          <w:szCs w:val="14"/>
        </w:rPr>
        <w:t>Source:  I</w:t>
      </w:r>
      <w:r w:rsidRPr="00632DBC">
        <w:rPr>
          <w:sz w:val="16"/>
        </w:rPr>
        <w:t>tuarte-Lima C. and C. L. McDermott. 2017. Are More Prescriptive Laws Better? Transforming REDD+ Safeguards into National Legislation. Journal of Environmental Law, 0, 1–32</w:t>
      </w:r>
      <w:r w:rsidR="0017261F" w:rsidRPr="00632DBC">
        <w:tab/>
      </w:r>
    </w:p>
    <w:p w14:paraId="7F522B77" w14:textId="338A6F92" w:rsidR="0017261F" w:rsidRPr="00632DBC" w:rsidRDefault="0017261F" w:rsidP="0040676D">
      <w:pPr>
        <w:pStyle w:val="Ingetavstnd2"/>
        <w:jc w:val="both"/>
        <w:rPr>
          <w:b/>
          <w:i/>
        </w:rPr>
      </w:pPr>
      <w:r w:rsidRPr="00632DBC">
        <w:rPr>
          <w:b/>
        </w:rPr>
        <w:t xml:space="preserve">Lessons </w:t>
      </w:r>
      <w:r w:rsidR="007452C8" w:rsidRPr="00632DBC">
        <w:rPr>
          <w:b/>
        </w:rPr>
        <w:t>learned</w:t>
      </w:r>
      <w:r w:rsidRPr="00632DBC">
        <w:rPr>
          <w:b/>
        </w:rPr>
        <w:t xml:space="preserve"> from REDD+ </w:t>
      </w:r>
      <w:r w:rsidR="00E64C31" w:rsidRPr="00632DBC">
        <w:rPr>
          <w:b/>
        </w:rPr>
        <w:t xml:space="preserve">legal provisions </w:t>
      </w:r>
      <w:r w:rsidRPr="00632DBC">
        <w:rPr>
          <w:b/>
        </w:rPr>
        <w:t xml:space="preserve">in Mexico through the lens of </w:t>
      </w:r>
      <w:r w:rsidR="00835475" w:rsidRPr="00632DBC">
        <w:rPr>
          <w:b/>
          <w:i/>
        </w:rPr>
        <w:t>guideline (a)</w:t>
      </w:r>
      <w:r w:rsidRPr="00632DBC">
        <w:rPr>
          <w:b/>
        </w:rPr>
        <w:t xml:space="preserve"> </w:t>
      </w:r>
      <w:r w:rsidRPr="00632DBC">
        <w:rPr>
          <w:b/>
          <w:i/>
        </w:rPr>
        <w:t>Biodiversity underpins local livelihoods and resilience</w:t>
      </w:r>
    </w:p>
    <w:p w14:paraId="7FA6C456" w14:textId="77777777" w:rsidR="00FA06DB" w:rsidRPr="00632DBC" w:rsidRDefault="00FA06DB" w:rsidP="0040676D">
      <w:pPr>
        <w:pStyle w:val="Ingetavstnd2"/>
        <w:jc w:val="both"/>
        <w:rPr>
          <w:rFonts w:ascii="Times New Roman" w:hAnsi="Times New Roman"/>
        </w:rPr>
      </w:pPr>
    </w:p>
    <w:p w14:paraId="3EFAFA74" w14:textId="7707EFA2" w:rsidR="0017261F" w:rsidRPr="00632DBC" w:rsidRDefault="0017261F" w:rsidP="0008335B">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Expanding carbon-related safeguards to include wider ecosystem services</w:t>
      </w:r>
      <w:r w:rsidRPr="00632DBC">
        <w:rPr>
          <w:rFonts w:ascii="Times New Roman" w:hAnsi="Times New Roman"/>
        </w:rPr>
        <w:t xml:space="preserve">. Regulations supporting REDD+ that address carbon-related ecological processes have </w:t>
      </w:r>
      <w:r w:rsidR="00C44AF1" w:rsidRPr="00632DBC">
        <w:rPr>
          <w:rFonts w:ascii="Times New Roman" w:hAnsi="Times New Roman"/>
        </w:rPr>
        <w:t xml:space="preserve">the </w:t>
      </w:r>
      <w:r w:rsidRPr="00632DBC">
        <w:rPr>
          <w:rFonts w:ascii="Times New Roman" w:hAnsi="Times New Roman"/>
        </w:rPr>
        <w:t xml:space="preserve">potential to integrate ecosystems and biodiversity, which strongly coheres with Cancun safeguard (e) </w:t>
      </w:r>
      <w:r w:rsidR="00940678" w:rsidRPr="00632DBC">
        <w:rPr>
          <w:rFonts w:ascii="Times New Roman" w:hAnsi="Times New Roman"/>
        </w:rPr>
        <w:t>“</w:t>
      </w:r>
      <w:r w:rsidRPr="00632DBC">
        <w:rPr>
          <w:rFonts w:ascii="Times New Roman" w:hAnsi="Times New Roman"/>
        </w:rPr>
        <w:t>That actions are consistent with the conservation of natural forests and biological diversity</w:t>
      </w:r>
      <w:r w:rsidR="00940678" w:rsidRPr="00632DBC">
        <w:rPr>
          <w:rFonts w:ascii="Times New Roman" w:hAnsi="Times New Roman"/>
        </w:rPr>
        <w:t>”</w:t>
      </w:r>
      <w:r w:rsidRPr="00632DBC">
        <w:rPr>
          <w:rFonts w:ascii="Times New Roman" w:hAnsi="Times New Roman"/>
        </w:rPr>
        <w:t>. In the Climate Change Law it is stated that government at all levels</w:t>
      </w:r>
      <w:r w:rsidR="00C44AF1" w:rsidRPr="00632DBC">
        <w:rPr>
          <w:rFonts w:ascii="Times New Roman" w:hAnsi="Times New Roman"/>
        </w:rPr>
        <w:t>,</w:t>
      </w:r>
      <w:r w:rsidRPr="00632DBC">
        <w:rPr>
          <w:rFonts w:ascii="Times New Roman" w:hAnsi="Times New Roman"/>
        </w:rPr>
        <w:t xml:space="preserve"> ‘should collaborate in reducing emissions and sequestering carbon from agriculture, forests and other land uses</w:t>
      </w:r>
      <w:r w:rsidR="00C44AF1" w:rsidRPr="00632DBC">
        <w:rPr>
          <w:rFonts w:ascii="Times New Roman" w:hAnsi="Times New Roman"/>
        </w:rPr>
        <w:t>,</w:t>
      </w:r>
      <w:r w:rsidRPr="00632DBC">
        <w:rPr>
          <w:rFonts w:ascii="Times New Roman" w:hAnsi="Times New Roman"/>
        </w:rPr>
        <w:t>’ and then it complements ‘as well as in preserving ecosystems and biodiversity</w:t>
      </w:r>
      <w:r w:rsidR="00940678" w:rsidRPr="00632DBC">
        <w:rPr>
          <w:rFonts w:ascii="Times New Roman" w:hAnsi="Times New Roman"/>
        </w:rPr>
        <w:t>.</w:t>
      </w:r>
      <w:r w:rsidRPr="00632DBC">
        <w:rPr>
          <w:rFonts w:ascii="Times New Roman" w:hAnsi="Times New Roman"/>
        </w:rPr>
        <w:t>’</w:t>
      </w:r>
      <w:r w:rsidRPr="00632DBC">
        <w:rPr>
          <w:rStyle w:val="FootnoteReference"/>
          <w:rFonts w:ascii="Times New Roman" w:hAnsi="Times New Roman"/>
        </w:rPr>
        <w:footnoteReference w:id="220"/>
      </w:r>
      <w:r w:rsidRPr="00632DBC">
        <w:rPr>
          <w:rFonts w:ascii="Times New Roman" w:hAnsi="Times New Roman"/>
        </w:rPr>
        <w:t xml:space="preserve"> This article constitutes a substantive safeguard </w:t>
      </w:r>
      <w:r w:rsidR="00017CC4" w:rsidRPr="00632DBC">
        <w:rPr>
          <w:rFonts w:ascii="Times New Roman" w:hAnsi="Times New Roman"/>
        </w:rPr>
        <w:t xml:space="preserve">that prevents the </w:t>
      </w:r>
      <w:r w:rsidRPr="00632DBC">
        <w:rPr>
          <w:rFonts w:ascii="Times New Roman" w:hAnsi="Times New Roman"/>
        </w:rPr>
        <w:t xml:space="preserve">implementation of policies that would promote a carbon-oriented management and disregard a wide variety of process supporting both human wellbeing and ecological resilience. </w:t>
      </w:r>
    </w:p>
    <w:p w14:paraId="35F65DEE" w14:textId="53D61AEE" w:rsidR="00FA06DB" w:rsidRPr="00632DBC" w:rsidRDefault="004F2303" w:rsidP="00632DBC">
      <w:pPr>
        <w:spacing w:line="240" w:lineRule="auto"/>
        <w:jc w:val="both"/>
        <w:rPr>
          <w:rFonts w:ascii="Times New Roman" w:hAnsi="Times New Roman"/>
        </w:rPr>
      </w:pPr>
      <w:r w:rsidRPr="00632DBC">
        <w:rPr>
          <w:rFonts w:ascii="Times New Roman" w:hAnsi="Times New Roman"/>
          <w:b/>
          <w:i/>
        </w:rPr>
        <w:t>Legal provisions for s</w:t>
      </w:r>
      <w:r w:rsidR="0017261F" w:rsidRPr="00632DBC">
        <w:rPr>
          <w:rFonts w:ascii="Times New Roman" w:hAnsi="Times New Roman"/>
          <w:b/>
          <w:i/>
        </w:rPr>
        <w:t>afeguarding ecosystem services that support</w:t>
      </w:r>
      <w:r w:rsidRPr="00632DBC">
        <w:rPr>
          <w:rFonts w:ascii="Times New Roman" w:hAnsi="Times New Roman"/>
          <w:b/>
          <w:i/>
        </w:rPr>
        <w:t xml:space="preserve"> healthy</w:t>
      </w:r>
      <w:r w:rsidR="0017261F" w:rsidRPr="00632DBC">
        <w:rPr>
          <w:rFonts w:ascii="Times New Roman" w:hAnsi="Times New Roman"/>
          <w:b/>
          <w:i/>
        </w:rPr>
        <w:t xml:space="preserve"> ecosystem</w:t>
      </w:r>
      <w:r w:rsidR="00FD097E" w:rsidRPr="00632DBC">
        <w:rPr>
          <w:rFonts w:ascii="Times New Roman" w:hAnsi="Times New Roman"/>
          <w:b/>
          <w:i/>
        </w:rPr>
        <w:t>s</w:t>
      </w:r>
      <w:r w:rsidR="0017261F" w:rsidRPr="00632DBC">
        <w:rPr>
          <w:rFonts w:ascii="Times New Roman" w:hAnsi="Times New Roman"/>
        </w:rPr>
        <w:t xml:space="preserve">. The Mexican Environmental Law </w:t>
      </w:r>
      <w:r w:rsidR="00FF5A91" w:rsidRPr="00632DBC">
        <w:rPr>
          <w:rFonts w:ascii="Times New Roman" w:hAnsi="Times New Roman"/>
        </w:rPr>
        <w:t>refers to</w:t>
      </w:r>
      <w:r w:rsidR="00017CC4" w:rsidRPr="00632DBC">
        <w:rPr>
          <w:rFonts w:ascii="Times New Roman" w:hAnsi="Times New Roman"/>
        </w:rPr>
        <w:t xml:space="preserve"> ‘</w:t>
      </w:r>
      <w:r w:rsidR="0017261F" w:rsidRPr="00632DBC">
        <w:rPr>
          <w:rFonts w:ascii="Times New Roman" w:hAnsi="Times New Roman"/>
        </w:rPr>
        <w:t xml:space="preserve">Legal and environmental policy instruments for regulating and enhancing </w:t>
      </w:r>
      <w:r w:rsidR="0017261F" w:rsidRPr="00632DBC">
        <w:rPr>
          <w:rFonts w:ascii="Times New Roman" w:hAnsi="Times New Roman"/>
        </w:rPr>
        <w:lastRenderedPageBreak/>
        <w:t>conservation and improvement of environmental services […]</w:t>
      </w:r>
      <w:r w:rsidR="00017CC4" w:rsidRPr="00632DBC">
        <w:rPr>
          <w:rFonts w:ascii="Times New Roman" w:hAnsi="Times New Roman"/>
        </w:rPr>
        <w:t>’</w:t>
      </w:r>
      <w:r w:rsidR="0017261F" w:rsidRPr="00632DBC">
        <w:rPr>
          <w:rFonts w:ascii="Times New Roman" w:hAnsi="Times New Roman"/>
        </w:rPr>
        <w:t>.</w:t>
      </w:r>
      <w:r w:rsidR="0017261F" w:rsidRPr="00632DBC">
        <w:rPr>
          <w:rStyle w:val="FootnoteReference"/>
          <w:rFonts w:ascii="Times New Roman" w:hAnsi="Times New Roman"/>
        </w:rPr>
        <w:footnoteReference w:id="221"/>
      </w:r>
      <w:r w:rsidR="0017261F" w:rsidRPr="00632DBC">
        <w:rPr>
          <w:rFonts w:ascii="Times New Roman" w:hAnsi="Times New Roman"/>
        </w:rPr>
        <w:t xml:space="preserve"> Th</w:t>
      </w:r>
      <w:r w:rsidR="00FF5A91" w:rsidRPr="00632DBC">
        <w:rPr>
          <w:rFonts w:ascii="Times New Roman" w:hAnsi="Times New Roman"/>
        </w:rPr>
        <w:t xml:space="preserve">e definition of ecosystem services in this law </w:t>
      </w:r>
      <w:r w:rsidR="0017261F" w:rsidRPr="00632DBC">
        <w:rPr>
          <w:rFonts w:ascii="Times New Roman" w:hAnsi="Times New Roman"/>
        </w:rPr>
        <w:t>goes beyond the common anthropocentric focus on benefits only to people by including</w:t>
      </w:r>
      <w:r w:rsidR="00017CC4" w:rsidRPr="00632DBC">
        <w:rPr>
          <w:rFonts w:ascii="Times New Roman" w:hAnsi="Times New Roman"/>
        </w:rPr>
        <w:t>,</w:t>
      </w:r>
      <w:r w:rsidR="0017261F" w:rsidRPr="00632DBC">
        <w:rPr>
          <w:rFonts w:ascii="Times New Roman" w:hAnsi="Times New Roman"/>
        </w:rPr>
        <w:t xml:space="preserve"> ‘benefits generated by ecosystems, that are necessary for the survival of the natural and biological system as a whole’. Still, local </w:t>
      </w:r>
      <w:r w:rsidR="00780015" w:rsidRPr="00632DBC">
        <w:rPr>
          <w:rFonts w:ascii="Times New Roman" w:hAnsi="Times New Roman"/>
        </w:rPr>
        <w:t xml:space="preserve">communities </w:t>
      </w:r>
      <w:r w:rsidR="0017261F" w:rsidRPr="00632DBC">
        <w:rPr>
          <w:rFonts w:ascii="Times New Roman" w:hAnsi="Times New Roman"/>
        </w:rPr>
        <w:t xml:space="preserve">and indigenous peoples </w:t>
      </w:r>
      <w:proofErr w:type="gramStart"/>
      <w:r w:rsidR="0017261F" w:rsidRPr="00632DBC">
        <w:rPr>
          <w:rFonts w:ascii="Times New Roman" w:hAnsi="Times New Roman"/>
        </w:rPr>
        <w:t>have to</w:t>
      </w:r>
      <w:proofErr w:type="gramEnd"/>
      <w:r w:rsidR="0017261F" w:rsidRPr="00632DBC">
        <w:rPr>
          <w:rFonts w:ascii="Times New Roman" w:hAnsi="Times New Roman"/>
        </w:rPr>
        <w:t xml:space="preserve"> legally prove that specific benefits generated by ecosystems are necessary for the survival of</w:t>
      </w:r>
      <w:r w:rsidR="00017CC4" w:rsidRPr="00632DBC">
        <w:rPr>
          <w:rFonts w:ascii="Times New Roman" w:hAnsi="Times New Roman"/>
        </w:rPr>
        <w:t xml:space="preserve"> both </w:t>
      </w:r>
      <w:r w:rsidR="0017261F" w:rsidRPr="00632DBC">
        <w:rPr>
          <w:rFonts w:ascii="Times New Roman" w:hAnsi="Times New Roman"/>
        </w:rPr>
        <w:t>the natural and biological system as a whole. Explicit recognition to values and definitions concerning ecosystems embedded in consuetudinary norms could contribute to fill this gap (see lesson ‘establishing sustained dialogue with consuetudinary systems’ in CBD guideline (</w:t>
      </w:r>
      <w:r w:rsidR="0017261F" w:rsidRPr="00632DBC">
        <w:rPr>
          <w:rFonts w:ascii="Times New Roman" w:hAnsi="Times New Roman"/>
          <w:i/>
        </w:rPr>
        <w:t>d</w:t>
      </w:r>
      <w:r w:rsidR="0017261F" w:rsidRPr="00632DBC">
        <w:rPr>
          <w:rFonts w:ascii="Times New Roman" w:hAnsi="Times New Roman"/>
        </w:rPr>
        <w:t>) section)</w:t>
      </w:r>
      <w:r w:rsidR="00017CC4" w:rsidRPr="00632DBC">
        <w:rPr>
          <w:rFonts w:ascii="Times New Roman" w:hAnsi="Times New Roman"/>
        </w:rPr>
        <w:t>.</w:t>
      </w:r>
      <w:r w:rsidR="0017261F" w:rsidRPr="00632DBC">
        <w:rPr>
          <w:rFonts w:ascii="Times New Roman" w:hAnsi="Times New Roman"/>
        </w:rPr>
        <w:t xml:space="preserve"> </w:t>
      </w:r>
      <w:r w:rsidR="00017CC4" w:rsidRPr="00632DBC">
        <w:rPr>
          <w:rFonts w:ascii="Times New Roman" w:hAnsi="Times New Roman"/>
        </w:rPr>
        <w:t>S</w:t>
      </w:r>
      <w:r w:rsidR="0017261F" w:rsidRPr="00632DBC">
        <w:rPr>
          <w:rFonts w:ascii="Times New Roman" w:hAnsi="Times New Roman"/>
        </w:rPr>
        <w:t xml:space="preserve">ome key ecosystem services might be pollination, soil formation and predator-prey relations. </w:t>
      </w:r>
      <w:proofErr w:type="gramStart"/>
      <w:r w:rsidR="000639BA" w:rsidRPr="00584647">
        <w:rPr>
          <w:rFonts w:ascii="Times New Roman" w:hAnsi="Times New Roman"/>
        </w:rPr>
        <w:t>These kind of more flexible measure</w:t>
      </w:r>
      <w:proofErr w:type="gramEnd"/>
      <w:r w:rsidR="000639BA">
        <w:t xml:space="preserve"> </w:t>
      </w:r>
      <w:r w:rsidR="00FF5A91" w:rsidRPr="00632DBC">
        <w:rPr>
          <w:rFonts w:ascii="Times New Roman" w:hAnsi="Times New Roman"/>
        </w:rPr>
        <w:t>are</w:t>
      </w:r>
      <w:r w:rsidR="0017261F" w:rsidRPr="00632DBC">
        <w:rPr>
          <w:rFonts w:ascii="Times New Roman" w:hAnsi="Times New Roman"/>
        </w:rPr>
        <w:t xml:space="preserve"> relevant to prevent a restrictive interpretation of ‘ecosystem services’ definition leading to conservation strategies opposing either local people’s use of natural resources or general ecological resilience. </w:t>
      </w:r>
    </w:p>
    <w:p w14:paraId="6EC3F051" w14:textId="47590D07" w:rsidR="00FA06DB" w:rsidRPr="00632DBC" w:rsidRDefault="0017261F" w:rsidP="0008335B">
      <w:pPr>
        <w:pStyle w:val="Ingetavstnd2"/>
        <w:jc w:val="both"/>
        <w:rPr>
          <w:b/>
        </w:rPr>
      </w:pPr>
      <w:r w:rsidRPr="00632DBC">
        <w:rPr>
          <w:b/>
        </w:rPr>
        <w:t xml:space="preserve">Lessons </w:t>
      </w:r>
      <w:r w:rsidR="007452C8" w:rsidRPr="00632DBC">
        <w:rPr>
          <w:b/>
        </w:rPr>
        <w:t>learned</w:t>
      </w:r>
      <w:r w:rsidRPr="00632DBC">
        <w:rPr>
          <w:b/>
        </w:rPr>
        <w:t xml:space="preserve"> from REDD+ </w:t>
      </w:r>
      <w:r w:rsidR="00E64C31" w:rsidRPr="00632DBC">
        <w:rPr>
          <w:b/>
        </w:rPr>
        <w:t xml:space="preserve">legal provisions </w:t>
      </w:r>
      <w:r w:rsidRPr="00632DBC">
        <w:rPr>
          <w:b/>
        </w:rPr>
        <w:t xml:space="preserve">in Mexico case through the lens of </w:t>
      </w:r>
      <w:r w:rsidR="00835475" w:rsidRPr="00632DBC">
        <w:rPr>
          <w:b/>
        </w:rPr>
        <w:t>guideline (</w:t>
      </w:r>
      <w:r w:rsidR="00835475" w:rsidRPr="00632DBC">
        <w:rPr>
          <w:b/>
          <w:i/>
        </w:rPr>
        <w:t>b</w:t>
      </w:r>
      <w:r w:rsidR="00835475" w:rsidRPr="00632DBC">
        <w:rPr>
          <w:b/>
        </w:rPr>
        <w:t>)</w:t>
      </w:r>
      <w:r w:rsidRPr="00632DBC">
        <w:rPr>
          <w:b/>
        </w:rPr>
        <w:t xml:space="preserve"> </w:t>
      </w:r>
      <w:r w:rsidRPr="00632DBC">
        <w:rPr>
          <w:b/>
          <w:i/>
        </w:rPr>
        <w:t>People’s rights, responsibilities and effective participation</w:t>
      </w:r>
      <w:r w:rsidRPr="00632DBC">
        <w:rPr>
          <w:b/>
        </w:rPr>
        <w:t xml:space="preserve"> </w:t>
      </w:r>
    </w:p>
    <w:p w14:paraId="5EF5F3DB" w14:textId="77777777" w:rsidR="00FA06DB" w:rsidRPr="00632DBC" w:rsidRDefault="00FA06DB" w:rsidP="0008335B">
      <w:pPr>
        <w:pStyle w:val="Ingetavstnd2"/>
        <w:jc w:val="both"/>
        <w:rPr>
          <w:b/>
        </w:rPr>
      </w:pPr>
    </w:p>
    <w:p w14:paraId="5DA305D7" w14:textId="1130595B" w:rsidR="0017261F" w:rsidRPr="00632DBC" w:rsidRDefault="0017261F" w:rsidP="00204608">
      <w:pPr>
        <w:spacing w:line="240" w:lineRule="auto"/>
        <w:jc w:val="both"/>
        <w:rPr>
          <w:rFonts w:ascii="Times New Roman" w:hAnsi="Times New Roman"/>
        </w:rPr>
      </w:pPr>
      <w:r w:rsidRPr="00632DBC">
        <w:rPr>
          <w:rFonts w:ascii="Times New Roman" w:hAnsi="Times New Roman"/>
          <w:b/>
          <w:i/>
        </w:rPr>
        <w:t>Explicitly defining FPIC right holders</w:t>
      </w:r>
      <w:r w:rsidRPr="00632DBC">
        <w:rPr>
          <w:rFonts w:ascii="Times New Roman" w:hAnsi="Times New Roman"/>
        </w:rPr>
        <w:t xml:space="preserve">. The amendment of the National Forest Law recognises ‘ejidos, communities and indigenous peoples’ as </w:t>
      </w:r>
      <w:r w:rsidR="00A57419" w:rsidRPr="00632DBC">
        <w:rPr>
          <w:rFonts w:ascii="Times New Roman" w:hAnsi="Times New Roman"/>
        </w:rPr>
        <w:t>right holders of</w:t>
      </w:r>
      <w:r w:rsidRPr="00632DBC">
        <w:rPr>
          <w:rFonts w:ascii="Times New Roman" w:hAnsi="Times New Roman"/>
        </w:rPr>
        <w:t xml:space="preserve"> FPIC.</w:t>
      </w:r>
      <w:r w:rsidRPr="00632DBC">
        <w:rPr>
          <w:rStyle w:val="FootnoteReference"/>
          <w:rFonts w:ascii="Times New Roman" w:hAnsi="Times New Roman"/>
        </w:rPr>
        <w:footnoteReference w:id="222"/>
      </w:r>
      <w:r w:rsidRPr="00632DBC">
        <w:rPr>
          <w:rFonts w:ascii="Times New Roman" w:hAnsi="Times New Roman"/>
        </w:rPr>
        <w:t xml:space="preserve"> This procedural safeguard extended the legal possibility of exercising FPIC from its original application </w:t>
      </w:r>
      <w:r w:rsidR="00342ECB" w:rsidRPr="00632DBC">
        <w:rPr>
          <w:rFonts w:ascii="Times New Roman" w:hAnsi="Times New Roman"/>
        </w:rPr>
        <w:t xml:space="preserve">exclusive </w:t>
      </w:r>
      <w:r w:rsidRPr="00632DBC">
        <w:rPr>
          <w:rFonts w:ascii="Times New Roman" w:hAnsi="Times New Roman"/>
        </w:rPr>
        <w:t>to indigenous peoples</w:t>
      </w:r>
      <w:r w:rsidR="00342ECB" w:rsidRPr="00632DBC">
        <w:rPr>
          <w:rFonts w:ascii="Times New Roman" w:hAnsi="Times New Roman"/>
        </w:rPr>
        <w:t>,</w:t>
      </w:r>
      <w:r w:rsidRPr="00632DBC">
        <w:rPr>
          <w:rFonts w:ascii="Times New Roman" w:hAnsi="Times New Roman"/>
        </w:rPr>
        <w:t xml:space="preserve"> </w:t>
      </w:r>
      <w:r w:rsidR="00342ECB" w:rsidRPr="00632DBC">
        <w:rPr>
          <w:rFonts w:ascii="Times New Roman" w:hAnsi="Times New Roman"/>
        </w:rPr>
        <w:t>according to</w:t>
      </w:r>
      <w:r w:rsidRPr="00632DBC">
        <w:rPr>
          <w:rFonts w:ascii="Times New Roman" w:hAnsi="Times New Roman"/>
        </w:rPr>
        <w:t xml:space="preserve"> the Mexican Constitution</w:t>
      </w:r>
      <w:r w:rsidR="00342ECB" w:rsidRPr="00632DBC">
        <w:rPr>
          <w:rFonts w:ascii="Times New Roman" w:hAnsi="Times New Roman"/>
        </w:rPr>
        <w:t>,</w:t>
      </w:r>
      <w:r w:rsidRPr="00632DBC">
        <w:rPr>
          <w:rFonts w:ascii="Times New Roman" w:hAnsi="Times New Roman"/>
        </w:rPr>
        <w:t xml:space="preserve"> to </w:t>
      </w:r>
      <w:r w:rsidR="00342ECB" w:rsidRPr="00632DBC">
        <w:rPr>
          <w:rFonts w:ascii="Times New Roman" w:hAnsi="Times New Roman"/>
        </w:rPr>
        <w:t xml:space="preserve">also </w:t>
      </w:r>
      <w:r w:rsidRPr="00632DBC">
        <w:rPr>
          <w:rFonts w:ascii="Times New Roman" w:hAnsi="Times New Roman"/>
        </w:rPr>
        <w:t xml:space="preserve">include local communities and </w:t>
      </w:r>
      <w:r w:rsidRPr="00632DBC">
        <w:rPr>
          <w:rFonts w:ascii="Times New Roman" w:hAnsi="Times New Roman"/>
          <w:i/>
        </w:rPr>
        <w:t>ejidos</w:t>
      </w:r>
      <w:r w:rsidRPr="00632DBC">
        <w:rPr>
          <w:rFonts w:ascii="Times New Roman" w:hAnsi="Times New Roman"/>
        </w:rPr>
        <w:t>. Additionally, it reinforced the rights of indigenous peoples by recognising them a</w:t>
      </w:r>
      <w:r w:rsidR="009F54B5" w:rsidRPr="00632DBC">
        <w:rPr>
          <w:rFonts w:ascii="Times New Roman" w:hAnsi="Times New Roman"/>
        </w:rPr>
        <w:t>lso a</w:t>
      </w:r>
      <w:r w:rsidR="00FD2FE5" w:rsidRPr="00632DBC">
        <w:rPr>
          <w:rFonts w:ascii="Times New Roman" w:hAnsi="Times New Roman"/>
        </w:rPr>
        <w:t>s a</w:t>
      </w:r>
      <w:r w:rsidRPr="00632DBC">
        <w:rPr>
          <w:rFonts w:ascii="Times New Roman" w:hAnsi="Times New Roman"/>
        </w:rPr>
        <w:t xml:space="preserve"> legal entity entitled to exercise the FPIC right. </w:t>
      </w:r>
    </w:p>
    <w:p w14:paraId="17DCF80D" w14:textId="06E0A279" w:rsidR="009F54B5" w:rsidRPr="00632DBC" w:rsidRDefault="009F54B5" w:rsidP="009F54B5">
      <w:pPr>
        <w:spacing w:line="240" w:lineRule="auto"/>
        <w:jc w:val="both"/>
        <w:rPr>
          <w:rFonts w:ascii="Times New Roman" w:hAnsi="Times New Roman"/>
        </w:rPr>
      </w:pPr>
      <w:r w:rsidRPr="00632DBC">
        <w:rPr>
          <w:rFonts w:ascii="Times New Roman" w:hAnsi="Times New Roman"/>
          <w:b/>
          <w:i/>
        </w:rPr>
        <w:t>People in vulnerable situations that historically rely on ecosystems but hold no land rights</w:t>
      </w:r>
      <w:r w:rsidRPr="00632DBC">
        <w:rPr>
          <w:rFonts w:ascii="Times New Roman" w:hAnsi="Times New Roman"/>
          <w:i/>
        </w:rPr>
        <w:t>.</w:t>
      </w:r>
      <w:r w:rsidRPr="00632DBC">
        <w:rPr>
          <w:rFonts w:ascii="Times New Roman" w:hAnsi="Times New Roman"/>
        </w:rPr>
        <w:t xml:space="preserve"> Land rights holders often represent a small portion of the local population that draw on local ecosystems to fulfil their needs in both </w:t>
      </w:r>
      <w:r w:rsidRPr="00632DBC">
        <w:rPr>
          <w:rFonts w:ascii="Times New Roman" w:hAnsi="Times New Roman"/>
          <w:i/>
        </w:rPr>
        <w:t>ejidos</w:t>
      </w:r>
      <w:r w:rsidRPr="00632DBC">
        <w:rPr>
          <w:rFonts w:ascii="Times New Roman" w:hAnsi="Times New Roman"/>
        </w:rPr>
        <w:t xml:space="preserve"> and communities. Land titles are often inherited </w:t>
      </w:r>
      <w:r w:rsidR="005D716F" w:rsidRPr="00632DBC">
        <w:rPr>
          <w:rFonts w:ascii="Times New Roman" w:hAnsi="Times New Roman"/>
        </w:rPr>
        <w:t>by</w:t>
      </w:r>
      <w:r w:rsidRPr="00632DBC">
        <w:rPr>
          <w:rFonts w:ascii="Times New Roman" w:hAnsi="Times New Roman"/>
        </w:rPr>
        <w:t xml:space="preserve"> the oldest male descendant. Under this distribution of land ownership, benefits from policy instruments supporting biodiversity conservation and reducing carbon emissions pose two risks. First, it might reinforce inequality within </w:t>
      </w:r>
      <w:r w:rsidRPr="00632DBC">
        <w:rPr>
          <w:rFonts w:ascii="Times New Roman" w:hAnsi="Times New Roman"/>
          <w:i/>
        </w:rPr>
        <w:t>ejidos</w:t>
      </w:r>
      <w:r w:rsidRPr="00632DBC">
        <w:rPr>
          <w:rFonts w:ascii="Times New Roman" w:hAnsi="Times New Roman"/>
        </w:rPr>
        <w:t xml:space="preserve"> and communities by benefiting only land right holders. Second, activities supporting livelihoods of non-landholders can be restricted. Combined, these risks increase</w:t>
      </w:r>
      <w:r w:rsidR="005D716F" w:rsidRPr="00632DBC">
        <w:rPr>
          <w:rFonts w:ascii="Times New Roman" w:hAnsi="Times New Roman"/>
        </w:rPr>
        <w:t xml:space="preserve"> the</w:t>
      </w:r>
      <w:r w:rsidRPr="00632DBC">
        <w:rPr>
          <w:rFonts w:ascii="Times New Roman" w:hAnsi="Times New Roman"/>
        </w:rPr>
        <w:t xml:space="preserve"> likelihood of internal conflicts and represent a threat to the long-term viability of instruments such as REDD+. The right to livelihood underpinned by ecosystems is still to be safeguarded for those holding no land titles.</w:t>
      </w:r>
    </w:p>
    <w:p w14:paraId="551ED9CE" w14:textId="77777777" w:rsidR="007B6960" w:rsidRPr="00632DBC" w:rsidRDefault="007B6960" w:rsidP="0008335B">
      <w:pPr>
        <w:spacing w:line="240" w:lineRule="auto"/>
        <w:jc w:val="both"/>
        <w:rPr>
          <w:rFonts w:ascii="Times New Roman" w:hAnsi="Times New Roman"/>
          <w:b/>
        </w:rPr>
      </w:pPr>
    </w:p>
    <w:p w14:paraId="4A6C3A0B" w14:textId="57D3F660" w:rsidR="0017261F" w:rsidRPr="00632DBC" w:rsidRDefault="009F54B5" w:rsidP="0008335B">
      <w:pPr>
        <w:spacing w:line="240" w:lineRule="auto"/>
        <w:jc w:val="both"/>
        <w:rPr>
          <w:rFonts w:ascii="Times New Roman" w:hAnsi="Times New Roman"/>
        </w:rPr>
      </w:pPr>
      <w:r w:rsidRPr="00632DBC">
        <w:rPr>
          <w:rFonts w:ascii="Times New Roman" w:hAnsi="Times New Roman"/>
          <w:b/>
          <w:i/>
        </w:rPr>
        <w:t>Recognizing people’s contribution to sustainable environmental governance</w:t>
      </w:r>
      <w:r w:rsidR="0017261F" w:rsidRPr="00632DBC">
        <w:rPr>
          <w:rFonts w:ascii="Times New Roman" w:hAnsi="Times New Roman"/>
          <w:i/>
        </w:rPr>
        <w:t>.</w:t>
      </w:r>
      <w:r w:rsidR="0017261F" w:rsidRPr="00632DBC">
        <w:rPr>
          <w:rFonts w:ascii="Times New Roman" w:hAnsi="Times New Roman"/>
        </w:rPr>
        <w:t xml:space="preserve"> The National Forest Law constitutes a substantive safeguard establishing a direct relation between rights and duties in forest management.</w:t>
      </w:r>
      <w:r w:rsidR="0017261F" w:rsidRPr="00632DBC">
        <w:rPr>
          <w:rStyle w:val="FootnoteReference"/>
          <w:rFonts w:ascii="Times New Roman" w:hAnsi="Times New Roman"/>
        </w:rPr>
        <w:footnoteReference w:id="223"/>
      </w:r>
      <w:r w:rsidR="0017261F" w:rsidRPr="00632DBC">
        <w:rPr>
          <w:rFonts w:ascii="Times New Roman" w:hAnsi="Times New Roman"/>
        </w:rPr>
        <w:t xml:space="preserve"> It links economic benefits of environmental policy instruments to ‘owners and legitimate possessors of forest land’ that perform ‘sustainable forest management’ and ‘maintain and/or improve environmental services’. It also</w:t>
      </w:r>
      <w:r w:rsidRPr="00632DBC">
        <w:rPr>
          <w:rFonts w:ascii="Times New Roman" w:hAnsi="Times New Roman"/>
        </w:rPr>
        <w:t xml:space="preserve"> includes </w:t>
      </w:r>
      <w:proofErr w:type="gramStart"/>
      <w:r w:rsidRPr="00632DBC">
        <w:rPr>
          <w:rFonts w:ascii="Times New Roman" w:hAnsi="Times New Roman"/>
        </w:rPr>
        <w:t>a</w:t>
      </w:r>
      <w:proofErr w:type="gramEnd"/>
      <w:r w:rsidR="0017261F" w:rsidRPr="00632DBC">
        <w:rPr>
          <w:rFonts w:ascii="Times New Roman" w:hAnsi="Times New Roman"/>
        </w:rPr>
        <w:t xml:space="preserve"> equality </w:t>
      </w:r>
      <w:r w:rsidRPr="00632DBC">
        <w:rPr>
          <w:rFonts w:ascii="Times New Roman" w:hAnsi="Times New Roman"/>
        </w:rPr>
        <w:t xml:space="preserve">related provision </w:t>
      </w:r>
      <w:r w:rsidR="0017261F" w:rsidRPr="00632DBC">
        <w:rPr>
          <w:rFonts w:ascii="Times New Roman" w:hAnsi="Times New Roman"/>
        </w:rPr>
        <w:t>among right holders</w:t>
      </w:r>
      <w:r w:rsidRPr="00632DBC">
        <w:rPr>
          <w:rFonts w:ascii="Times New Roman" w:hAnsi="Times New Roman"/>
        </w:rPr>
        <w:t xml:space="preserve"> concerning the</w:t>
      </w:r>
      <w:r w:rsidR="0017261F" w:rsidRPr="00632DBC">
        <w:rPr>
          <w:rFonts w:ascii="Times New Roman" w:hAnsi="Times New Roman"/>
        </w:rPr>
        <w:t xml:space="preserve"> ‘Equitable distribution of benefits’.</w:t>
      </w:r>
      <w:r w:rsidR="0017261F" w:rsidRPr="00632DBC">
        <w:rPr>
          <w:rStyle w:val="FootnoteReference"/>
          <w:rFonts w:ascii="Times New Roman" w:hAnsi="Times New Roman"/>
        </w:rPr>
        <w:footnoteReference w:id="224"/>
      </w:r>
    </w:p>
    <w:p w14:paraId="350D6E46" w14:textId="3A78CEDF" w:rsidR="0017261F" w:rsidRPr="00632DBC" w:rsidRDefault="0017261F" w:rsidP="0008335B">
      <w:pPr>
        <w:spacing w:line="240" w:lineRule="auto"/>
        <w:jc w:val="both"/>
        <w:rPr>
          <w:rFonts w:ascii="Times New Roman" w:hAnsi="Times New Roman"/>
        </w:rPr>
      </w:pPr>
    </w:p>
    <w:p w14:paraId="5F4C3F08" w14:textId="611BBF28" w:rsidR="0017261F" w:rsidRPr="00632DBC" w:rsidRDefault="0017261F" w:rsidP="0008335B">
      <w:pPr>
        <w:spacing w:line="240" w:lineRule="auto"/>
        <w:jc w:val="both"/>
        <w:rPr>
          <w:rFonts w:ascii="Times New Roman" w:hAnsi="Times New Roman"/>
        </w:rPr>
      </w:pPr>
      <w:r w:rsidRPr="00632DBC">
        <w:rPr>
          <w:rFonts w:ascii="Times New Roman" w:hAnsi="Times New Roman"/>
          <w:b/>
          <w:i/>
        </w:rPr>
        <w:t>Adopting a bottom-up approach for the MRV system</w:t>
      </w:r>
      <w:r w:rsidRPr="00632DBC">
        <w:rPr>
          <w:rFonts w:ascii="Times New Roman" w:hAnsi="Times New Roman"/>
          <w:b/>
        </w:rPr>
        <w:t>.</w:t>
      </w:r>
      <w:r w:rsidRPr="00632DBC">
        <w:rPr>
          <w:rFonts w:ascii="Times New Roman" w:hAnsi="Times New Roman"/>
        </w:rPr>
        <w:t xml:space="preserve"> Measurement, Reporting and Verification (MRV) system required by REDD+ is a carbon procedural safeguard, though it can be a means to make effective procedural social safeguards on participation and information. This</w:t>
      </w:r>
      <w:r w:rsidR="000A004C" w:rsidRPr="00632DBC">
        <w:rPr>
          <w:rFonts w:ascii="Times New Roman" w:hAnsi="Times New Roman"/>
        </w:rPr>
        <w:t xml:space="preserve"> would</w:t>
      </w:r>
      <w:r w:rsidRPr="00632DBC">
        <w:rPr>
          <w:rFonts w:ascii="Times New Roman" w:hAnsi="Times New Roman"/>
        </w:rPr>
        <w:t xml:space="preserve"> require including a bottom-up approach and</w:t>
      </w:r>
      <w:r w:rsidR="00A3063C">
        <w:rPr>
          <w:rFonts w:ascii="Times New Roman" w:hAnsi="Times New Roman"/>
        </w:rPr>
        <w:t xml:space="preserve"> recognizing</w:t>
      </w:r>
      <w:r w:rsidRPr="00632DBC">
        <w:rPr>
          <w:rFonts w:ascii="Times New Roman" w:hAnsi="Times New Roman"/>
        </w:rPr>
        <w:t xml:space="preserve"> different knowledge systems</w:t>
      </w:r>
      <w:r w:rsidR="00A3063C">
        <w:rPr>
          <w:rFonts w:ascii="Times New Roman" w:hAnsi="Times New Roman"/>
        </w:rPr>
        <w:t xml:space="preserve"> in the development and monitoring of MRV systems</w:t>
      </w:r>
      <w:r w:rsidRPr="00632DBC">
        <w:rPr>
          <w:rFonts w:ascii="Times New Roman" w:hAnsi="Times New Roman"/>
        </w:rPr>
        <w:t xml:space="preserve">. Through dialogue, local stakeholders can contribute to shape MRV systems by identifying what information is needed and how can be collected, e.g. through community monitoring </w:t>
      </w:r>
      <w:r w:rsidRPr="00632DBC">
        <w:rPr>
          <w:rFonts w:ascii="Times New Roman" w:hAnsi="Times New Roman"/>
        </w:rPr>
        <w:lastRenderedPageBreak/>
        <w:t>(see lesson ‘Including cross-scale dialogue as a procedural safeguard’ in CBD guideline (</w:t>
      </w:r>
      <w:r w:rsidRPr="00632DBC">
        <w:rPr>
          <w:rFonts w:ascii="Times New Roman" w:hAnsi="Times New Roman"/>
          <w:i/>
        </w:rPr>
        <w:t>d</w:t>
      </w:r>
      <w:r w:rsidRPr="00632DBC">
        <w:rPr>
          <w:rFonts w:ascii="Times New Roman" w:hAnsi="Times New Roman"/>
        </w:rPr>
        <w:t xml:space="preserve">) section). </w:t>
      </w:r>
      <w:r w:rsidR="00A3063C">
        <w:rPr>
          <w:rFonts w:ascii="Times New Roman" w:hAnsi="Times New Roman"/>
        </w:rPr>
        <w:t>Public p</w:t>
      </w:r>
      <w:r w:rsidRPr="00632DBC">
        <w:rPr>
          <w:rFonts w:ascii="Times New Roman" w:hAnsi="Times New Roman"/>
        </w:rPr>
        <w:t>articipation</w:t>
      </w:r>
      <w:r w:rsidR="00A3063C">
        <w:rPr>
          <w:rFonts w:ascii="Times New Roman" w:hAnsi="Times New Roman"/>
        </w:rPr>
        <w:t xml:space="preserve"> of right-holders</w:t>
      </w:r>
      <w:r w:rsidRPr="00632DBC">
        <w:rPr>
          <w:rFonts w:ascii="Times New Roman" w:hAnsi="Times New Roman"/>
        </w:rPr>
        <w:t xml:space="preserve"> in MRV can help to identify potential locally tailored procedural safeguards. Additionally, these measures may contribute to solve issues faced by policies of both climate change and biodiversity conservation, such as displacement of biodiversity loss and carbon emissions that occur when resource exploitation is transferred to another locality. MRV can include community monitoring, which empowers right holders to produce information on the state of ecosystems under REDD+. As in Mexico short MRV implementation times have limited participation, it is suggested to schedule implementation times that provide room to comprehensive participatory processes.</w:t>
      </w:r>
      <w:r w:rsidRPr="00632DBC">
        <w:rPr>
          <w:rStyle w:val="FootnoteReference"/>
          <w:rFonts w:ascii="Times New Roman" w:hAnsi="Times New Roman"/>
        </w:rPr>
        <w:footnoteReference w:id="225"/>
      </w:r>
    </w:p>
    <w:p w14:paraId="0B1AFA50" w14:textId="77777777" w:rsidR="0017261F" w:rsidRPr="00632DBC" w:rsidRDefault="0017261F" w:rsidP="0008335B">
      <w:pPr>
        <w:spacing w:line="240" w:lineRule="auto"/>
        <w:jc w:val="both"/>
        <w:rPr>
          <w:rFonts w:ascii="Times New Roman" w:hAnsi="Times New Roman"/>
        </w:rPr>
      </w:pPr>
    </w:p>
    <w:p w14:paraId="48441F6C" w14:textId="7DECCCC0" w:rsidR="0017261F" w:rsidRPr="00632DBC" w:rsidRDefault="0017261F" w:rsidP="0008335B">
      <w:pPr>
        <w:spacing w:line="240" w:lineRule="auto"/>
        <w:jc w:val="both"/>
        <w:rPr>
          <w:rFonts w:ascii="Times New Roman" w:hAnsi="Times New Roman"/>
          <w:b/>
          <w:spacing w:val="-4"/>
        </w:rPr>
      </w:pPr>
      <w:r w:rsidRPr="00632DBC">
        <w:rPr>
          <w:rFonts w:ascii="Times New Roman" w:hAnsi="Times New Roman"/>
          <w:b/>
        </w:rPr>
        <w:t xml:space="preserve">Lessons </w:t>
      </w:r>
      <w:r w:rsidR="007452C8" w:rsidRPr="00632DBC">
        <w:rPr>
          <w:rFonts w:ascii="Times New Roman" w:hAnsi="Times New Roman"/>
          <w:b/>
        </w:rPr>
        <w:t>learned</w:t>
      </w:r>
      <w:r w:rsidRPr="00632DBC">
        <w:rPr>
          <w:rFonts w:ascii="Times New Roman" w:hAnsi="Times New Roman"/>
          <w:b/>
        </w:rPr>
        <w:t xml:space="preserve"> from REDD+ </w:t>
      </w:r>
      <w:r w:rsidR="00E64C31" w:rsidRPr="00632DBC">
        <w:rPr>
          <w:rFonts w:ascii="Times New Roman" w:hAnsi="Times New Roman"/>
          <w:b/>
        </w:rPr>
        <w:t xml:space="preserve">legal provisions </w:t>
      </w:r>
      <w:r w:rsidRPr="00632DBC">
        <w:rPr>
          <w:rFonts w:ascii="Times New Roman" w:hAnsi="Times New Roman"/>
          <w:b/>
        </w:rPr>
        <w:t xml:space="preserve">in Mexico through the lens of </w:t>
      </w:r>
      <w:r w:rsidR="00835475" w:rsidRPr="00632DBC">
        <w:rPr>
          <w:rFonts w:ascii="Times New Roman" w:hAnsi="Times New Roman"/>
          <w:b/>
        </w:rPr>
        <w:t>guideline (</w:t>
      </w:r>
      <w:r w:rsidR="00835475" w:rsidRPr="00632DBC">
        <w:rPr>
          <w:rFonts w:ascii="Times New Roman" w:hAnsi="Times New Roman"/>
          <w:b/>
          <w:i/>
        </w:rPr>
        <w:t>c</w:t>
      </w:r>
      <w:r w:rsidR="00835475" w:rsidRPr="00632DBC">
        <w:rPr>
          <w:rFonts w:ascii="Times New Roman" w:hAnsi="Times New Roman"/>
          <w:b/>
        </w:rPr>
        <w:t>)</w:t>
      </w:r>
      <w:r w:rsidRPr="00632DBC">
        <w:rPr>
          <w:rFonts w:ascii="Times New Roman" w:hAnsi="Times New Roman"/>
          <w:b/>
        </w:rPr>
        <w:t xml:space="preserve"> </w:t>
      </w:r>
      <w:r w:rsidRPr="00632DBC">
        <w:rPr>
          <w:rFonts w:ascii="Times New Roman" w:hAnsi="Times New Roman"/>
          <w:b/>
          <w:i/>
          <w:spacing w:val="-4"/>
        </w:rPr>
        <w:t>Lo</w:t>
      </w:r>
      <w:r w:rsidRPr="00632DBC">
        <w:rPr>
          <w:rFonts w:ascii="Times New Roman" w:hAnsi="Times New Roman"/>
          <w:b/>
          <w:i/>
          <w:spacing w:val="-3"/>
        </w:rPr>
        <w:t xml:space="preserve">cal </w:t>
      </w:r>
      <w:r w:rsidRPr="00632DBC">
        <w:rPr>
          <w:rFonts w:ascii="Times New Roman" w:hAnsi="Times New Roman"/>
          <w:b/>
          <w:i/>
          <w:spacing w:val="-4"/>
        </w:rPr>
        <w:t>and</w:t>
      </w:r>
      <w:r w:rsidRPr="00632DBC">
        <w:rPr>
          <w:rFonts w:ascii="Times New Roman" w:hAnsi="Times New Roman"/>
          <w:b/>
          <w:i/>
          <w:spacing w:val="-3"/>
        </w:rPr>
        <w:t xml:space="preserve"> </w:t>
      </w:r>
      <w:r w:rsidRPr="00632DBC">
        <w:rPr>
          <w:rFonts w:ascii="Times New Roman" w:hAnsi="Times New Roman"/>
          <w:b/>
          <w:i/>
          <w:spacing w:val="-6"/>
        </w:rPr>
        <w:t>co</w:t>
      </w:r>
      <w:r w:rsidRPr="00632DBC">
        <w:rPr>
          <w:rFonts w:ascii="Times New Roman" w:hAnsi="Times New Roman"/>
          <w:b/>
          <w:i/>
          <w:spacing w:val="-5"/>
        </w:rPr>
        <w:t>unt</w:t>
      </w:r>
      <w:r w:rsidRPr="00632DBC">
        <w:rPr>
          <w:rFonts w:ascii="Times New Roman" w:hAnsi="Times New Roman"/>
          <w:b/>
          <w:i/>
          <w:spacing w:val="-6"/>
        </w:rPr>
        <w:t>ry</w:t>
      </w:r>
      <w:r w:rsidRPr="00632DBC">
        <w:rPr>
          <w:rFonts w:ascii="Times New Roman" w:hAnsi="Times New Roman"/>
          <w:b/>
          <w:i/>
          <w:spacing w:val="-5"/>
        </w:rPr>
        <w:t>-dri</w:t>
      </w:r>
      <w:r w:rsidRPr="00632DBC">
        <w:rPr>
          <w:rFonts w:ascii="Times New Roman" w:hAnsi="Times New Roman"/>
          <w:b/>
          <w:i/>
          <w:spacing w:val="-6"/>
        </w:rPr>
        <w:t>ve</w:t>
      </w:r>
      <w:r w:rsidRPr="00632DBC">
        <w:rPr>
          <w:rFonts w:ascii="Times New Roman" w:hAnsi="Times New Roman"/>
          <w:b/>
          <w:i/>
          <w:spacing w:val="-5"/>
        </w:rPr>
        <w:t>n/sp</w:t>
      </w:r>
      <w:r w:rsidRPr="00632DBC">
        <w:rPr>
          <w:rFonts w:ascii="Times New Roman" w:hAnsi="Times New Roman"/>
          <w:b/>
          <w:i/>
          <w:spacing w:val="-6"/>
        </w:rPr>
        <w:t>ec</w:t>
      </w:r>
      <w:r w:rsidRPr="00632DBC">
        <w:rPr>
          <w:rFonts w:ascii="Times New Roman" w:hAnsi="Times New Roman"/>
          <w:b/>
          <w:i/>
          <w:spacing w:val="-5"/>
        </w:rPr>
        <w:t>ifi</w:t>
      </w:r>
      <w:r w:rsidRPr="00632DBC">
        <w:rPr>
          <w:rFonts w:ascii="Times New Roman" w:hAnsi="Times New Roman"/>
          <w:b/>
          <w:i/>
          <w:spacing w:val="-6"/>
        </w:rPr>
        <w:t>c</w:t>
      </w:r>
      <w:r w:rsidRPr="00632DBC">
        <w:rPr>
          <w:rFonts w:ascii="Times New Roman" w:hAnsi="Times New Roman"/>
          <w:b/>
          <w:i/>
          <w:spacing w:val="-3"/>
        </w:rPr>
        <w:t xml:space="preserve"> </w:t>
      </w:r>
      <w:r w:rsidRPr="00632DBC">
        <w:rPr>
          <w:rFonts w:ascii="Times New Roman" w:hAnsi="Times New Roman"/>
          <w:b/>
          <w:i/>
          <w:spacing w:val="-4"/>
        </w:rPr>
        <w:t>p</w:t>
      </w:r>
      <w:r w:rsidRPr="00632DBC">
        <w:rPr>
          <w:rFonts w:ascii="Times New Roman" w:hAnsi="Times New Roman"/>
          <w:b/>
          <w:i/>
          <w:spacing w:val="-5"/>
        </w:rPr>
        <w:t>roce</w:t>
      </w:r>
      <w:r w:rsidRPr="00632DBC">
        <w:rPr>
          <w:rFonts w:ascii="Times New Roman" w:hAnsi="Times New Roman"/>
          <w:b/>
          <w:i/>
          <w:spacing w:val="-4"/>
        </w:rPr>
        <w:t>ss</w:t>
      </w:r>
      <w:r w:rsidRPr="00632DBC">
        <w:rPr>
          <w:rFonts w:ascii="Times New Roman" w:hAnsi="Times New Roman"/>
          <w:b/>
          <w:i/>
          <w:spacing w:val="-5"/>
        </w:rPr>
        <w:t>e</w:t>
      </w:r>
      <w:r w:rsidRPr="00632DBC">
        <w:rPr>
          <w:rFonts w:ascii="Times New Roman" w:hAnsi="Times New Roman"/>
          <w:b/>
          <w:i/>
          <w:spacing w:val="-4"/>
        </w:rPr>
        <w:t>s</w:t>
      </w:r>
      <w:r w:rsidRPr="00632DBC">
        <w:rPr>
          <w:rFonts w:ascii="Times New Roman" w:hAnsi="Times New Roman"/>
          <w:b/>
          <w:i/>
          <w:spacing w:val="-3"/>
        </w:rPr>
        <w:t xml:space="preserve"> </w:t>
      </w:r>
      <w:r w:rsidRPr="00632DBC">
        <w:rPr>
          <w:rFonts w:ascii="Times New Roman" w:hAnsi="Times New Roman"/>
          <w:b/>
          <w:i/>
          <w:spacing w:val="-6"/>
        </w:rPr>
        <w:t>lin</w:t>
      </w:r>
      <w:r w:rsidRPr="00632DBC">
        <w:rPr>
          <w:rFonts w:ascii="Times New Roman" w:hAnsi="Times New Roman"/>
          <w:b/>
          <w:i/>
          <w:spacing w:val="-7"/>
        </w:rPr>
        <w:t>ke</w:t>
      </w:r>
      <w:r w:rsidRPr="00632DBC">
        <w:rPr>
          <w:rFonts w:ascii="Times New Roman" w:hAnsi="Times New Roman"/>
          <w:b/>
          <w:i/>
          <w:spacing w:val="-6"/>
        </w:rPr>
        <w:t>d</w:t>
      </w:r>
      <w:r w:rsidRPr="00632DBC">
        <w:rPr>
          <w:rFonts w:ascii="Times New Roman" w:hAnsi="Times New Roman"/>
          <w:b/>
          <w:i/>
          <w:spacing w:val="-3"/>
        </w:rPr>
        <w:t xml:space="preserve"> t</w:t>
      </w:r>
      <w:r w:rsidRPr="00632DBC">
        <w:rPr>
          <w:rFonts w:ascii="Times New Roman" w:hAnsi="Times New Roman"/>
          <w:b/>
          <w:i/>
          <w:spacing w:val="-4"/>
        </w:rPr>
        <w:t>o</w:t>
      </w:r>
      <w:r w:rsidRPr="00632DBC">
        <w:rPr>
          <w:rFonts w:ascii="Times New Roman" w:hAnsi="Times New Roman"/>
          <w:b/>
          <w:i/>
          <w:spacing w:val="-3"/>
        </w:rPr>
        <w:t xml:space="preserve"> </w:t>
      </w:r>
      <w:r w:rsidRPr="00632DBC">
        <w:rPr>
          <w:rFonts w:ascii="Times New Roman" w:hAnsi="Times New Roman"/>
          <w:b/>
          <w:i/>
          <w:spacing w:val="-4"/>
        </w:rPr>
        <w:t>the</w:t>
      </w:r>
      <w:r w:rsidRPr="00632DBC">
        <w:rPr>
          <w:rFonts w:ascii="Times New Roman" w:hAnsi="Times New Roman"/>
          <w:b/>
          <w:i/>
          <w:spacing w:val="-3"/>
        </w:rPr>
        <w:t xml:space="preserve"> </w:t>
      </w:r>
      <w:r w:rsidRPr="00632DBC">
        <w:rPr>
          <w:rFonts w:ascii="Times New Roman" w:hAnsi="Times New Roman"/>
          <w:b/>
          <w:i/>
          <w:spacing w:val="-6"/>
        </w:rPr>
        <w:t>int</w:t>
      </w:r>
      <w:r w:rsidRPr="00632DBC">
        <w:rPr>
          <w:rFonts w:ascii="Times New Roman" w:hAnsi="Times New Roman"/>
          <w:b/>
          <w:i/>
          <w:spacing w:val="-7"/>
        </w:rPr>
        <w:t>e</w:t>
      </w:r>
      <w:r w:rsidRPr="00632DBC">
        <w:rPr>
          <w:rFonts w:ascii="Times New Roman" w:hAnsi="Times New Roman"/>
          <w:b/>
          <w:i/>
          <w:spacing w:val="-6"/>
        </w:rPr>
        <w:t>rnational</w:t>
      </w:r>
      <w:r w:rsidRPr="00632DBC">
        <w:rPr>
          <w:rFonts w:ascii="Times New Roman" w:hAnsi="Times New Roman"/>
          <w:b/>
          <w:i/>
          <w:spacing w:val="-3"/>
        </w:rPr>
        <w:t xml:space="preserve"> </w:t>
      </w:r>
      <w:r w:rsidRPr="00632DBC">
        <w:rPr>
          <w:rFonts w:ascii="Times New Roman" w:hAnsi="Times New Roman"/>
          <w:b/>
          <w:i/>
          <w:spacing w:val="-4"/>
        </w:rPr>
        <w:t>l</w:t>
      </w:r>
      <w:r w:rsidRPr="00632DBC">
        <w:rPr>
          <w:rFonts w:ascii="Times New Roman" w:hAnsi="Times New Roman"/>
          <w:b/>
          <w:i/>
          <w:spacing w:val="-5"/>
        </w:rPr>
        <w:t>eve</w:t>
      </w:r>
      <w:r w:rsidRPr="00632DBC">
        <w:rPr>
          <w:rFonts w:ascii="Times New Roman" w:hAnsi="Times New Roman"/>
          <w:b/>
          <w:i/>
          <w:spacing w:val="-4"/>
        </w:rPr>
        <w:t>l</w:t>
      </w:r>
      <w:r w:rsidRPr="00632DBC">
        <w:rPr>
          <w:rFonts w:ascii="Times New Roman" w:hAnsi="Times New Roman"/>
          <w:b/>
          <w:spacing w:val="-4"/>
        </w:rPr>
        <w:t xml:space="preserve"> </w:t>
      </w:r>
    </w:p>
    <w:p w14:paraId="64A82EB4" w14:textId="77777777" w:rsidR="00F42821" w:rsidRPr="00632DBC" w:rsidRDefault="00F42821" w:rsidP="0008335B">
      <w:pPr>
        <w:spacing w:line="240" w:lineRule="auto"/>
        <w:jc w:val="both"/>
        <w:rPr>
          <w:rFonts w:ascii="Times New Roman" w:hAnsi="Times New Roman"/>
          <w:b/>
          <w:spacing w:val="-4"/>
        </w:rPr>
      </w:pPr>
    </w:p>
    <w:p w14:paraId="6DBE81A8" w14:textId="346A4B5F" w:rsidR="0017261F" w:rsidRPr="00632DBC" w:rsidRDefault="00E64C31" w:rsidP="0008335B">
      <w:pPr>
        <w:spacing w:line="240" w:lineRule="auto"/>
        <w:jc w:val="both"/>
        <w:rPr>
          <w:rFonts w:ascii="Times New Roman" w:hAnsi="Times New Roman"/>
        </w:rPr>
      </w:pPr>
      <w:r w:rsidRPr="00632DBC">
        <w:rPr>
          <w:rFonts w:ascii="Times New Roman" w:hAnsi="Times New Roman"/>
          <w:b/>
          <w:i/>
        </w:rPr>
        <w:t xml:space="preserve"> Implementing</w:t>
      </w:r>
      <w:r w:rsidR="0017261F" w:rsidRPr="00632DBC">
        <w:rPr>
          <w:rFonts w:ascii="Times New Roman" w:hAnsi="Times New Roman"/>
          <w:b/>
          <w:i/>
        </w:rPr>
        <w:t xml:space="preserve"> international safeguards </w:t>
      </w:r>
      <w:r w:rsidRPr="00632DBC">
        <w:rPr>
          <w:rFonts w:ascii="Times New Roman" w:hAnsi="Times New Roman"/>
          <w:b/>
          <w:i/>
        </w:rPr>
        <w:t>while supporting national driven processes</w:t>
      </w:r>
      <w:r w:rsidR="0017261F" w:rsidRPr="00632DBC">
        <w:rPr>
          <w:rFonts w:ascii="Times New Roman" w:hAnsi="Times New Roman"/>
        </w:rPr>
        <w:t xml:space="preserve">. The amended National Forest Law </w:t>
      </w:r>
      <w:r w:rsidR="0017261F" w:rsidRPr="00632DBC">
        <w:rPr>
          <w:rStyle w:val="FootnoteReference"/>
          <w:rFonts w:ascii="Times New Roman" w:hAnsi="Times New Roman"/>
        </w:rPr>
        <w:footnoteReference w:id="226"/>
      </w:r>
      <w:r w:rsidR="00940678" w:rsidRPr="00632DBC">
        <w:rPr>
          <w:rFonts w:ascii="Times New Roman" w:hAnsi="Times New Roman"/>
        </w:rPr>
        <w:t xml:space="preserve"> </w:t>
      </w:r>
      <w:r w:rsidR="0017261F" w:rsidRPr="00632DBC">
        <w:rPr>
          <w:rFonts w:ascii="Times New Roman" w:hAnsi="Times New Roman"/>
        </w:rPr>
        <w:t>states that</w:t>
      </w:r>
      <w:r w:rsidR="00501870" w:rsidRPr="00632DBC">
        <w:rPr>
          <w:rFonts w:ascii="Times New Roman" w:hAnsi="Times New Roman"/>
        </w:rPr>
        <w:t>,</w:t>
      </w:r>
      <w:r w:rsidR="0017261F" w:rsidRPr="00632DBC">
        <w:rPr>
          <w:rFonts w:ascii="Times New Roman" w:hAnsi="Times New Roman"/>
        </w:rPr>
        <w:t xml:space="preserve"> </w:t>
      </w:r>
      <w:r w:rsidR="000228E2" w:rsidRPr="00632DBC">
        <w:rPr>
          <w:rFonts w:ascii="Times New Roman" w:hAnsi="Times New Roman"/>
          <w:lang w:val="en-US"/>
        </w:rPr>
        <w:t>“</w:t>
      </w:r>
      <w:r w:rsidR="0017261F" w:rsidRPr="00632DBC">
        <w:rPr>
          <w:rFonts w:ascii="Times New Roman" w:hAnsi="Times New Roman"/>
        </w:rPr>
        <w:t>Legal instruments and environmental policy for regulating and promoting conservation and improvement of environmental services, must guarantee the respect of safeguards recognized by international law</w:t>
      </w:r>
      <w:r w:rsidR="000228E2" w:rsidRPr="00632DBC">
        <w:rPr>
          <w:rFonts w:ascii="Times New Roman" w:hAnsi="Times New Roman"/>
        </w:rPr>
        <w:t>”</w:t>
      </w:r>
      <w:r w:rsidR="0017261F" w:rsidRPr="00632DBC">
        <w:rPr>
          <w:rFonts w:ascii="Times New Roman" w:hAnsi="Times New Roman"/>
        </w:rPr>
        <w:t>. This safeguard could significantly gain from appointing the task of generating further operative regulations (</w:t>
      </w:r>
      <w:proofErr w:type="spellStart"/>
      <w:r w:rsidR="0017261F" w:rsidRPr="00632DBC">
        <w:rPr>
          <w:rFonts w:ascii="Times New Roman" w:hAnsi="Times New Roman"/>
          <w:i/>
        </w:rPr>
        <w:t>reglamento</w:t>
      </w:r>
      <w:proofErr w:type="spellEnd"/>
      <w:r w:rsidR="0017261F" w:rsidRPr="00632DBC">
        <w:rPr>
          <w:rFonts w:ascii="Times New Roman" w:hAnsi="Times New Roman"/>
        </w:rPr>
        <w:t xml:space="preserve">) to a specific government agency. Operative regulations could benefit from specifying how international regulations will be applied to </w:t>
      </w:r>
      <w:proofErr w:type="gramStart"/>
      <w:r w:rsidR="0017261F" w:rsidRPr="00632DBC">
        <w:rPr>
          <w:rFonts w:ascii="Times New Roman" w:hAnsi="Times New Roman"/>
        </w:rPr>
        <w:t>particular carbon-related</w:t>
      </w:r>
      <w:proofErr w:type="gramEnd"/>
      <w:r w:rsidR="0017261F" w:rsidRPr="00632DBC">
        <w:rPr>
          <w:rFonts w:ascii="Times New Roman" w:hAnsi="Times New Roman"/>
        </w:rPr>
        <w:t xml:space="preserve"> financing mechanisms, such as REDD+</w:t>
      </w:r>
      <w:r w:rsidR="00501870" w:rsidRPr="00632DBC">
        <w:rPr>
          <w:rFonts w:ascii="Times New Roman" w:hAnsi="Times New Roman"/>
        </w:rPr>
        <w:t>.</w:t>
      </w:r>
      <w:r w:rsidR="0017261F" w:rsidRPr="00632DBC">
        <w:rPr>
          <w:rFonts w:ascii="Times New Roman" w:hAnsi="Times New Roman"/>
        </w:rPr>
        <w:t xml:space="preserve"> </w:t>
      </w:r>
      <w:r w:rsidR="00501870" w:rsidRPr="00632DBC">
        <w:rPr>
          <w:rFonts w:ascii="Times New Roman" w:hAnsi="Times New Roman"/>
        </w:rPr>
        <w:t>N</w:t>
      </w:r>
      <w:r w:rsidR="0017261F" w:rsidRPr="00632DBC">
        <w:rPr>
          <w:rFonts w:ascii="Times New Roman" w:hAnsi="Times New Roman"/>
        </w:rPr>
        <w:t xml:space="preserve">onetheless, it is recommended to </w:t>
      </w:r>
      <w:r w:rsidRPr="00632DBC">
        <w:rPr>
          <w:rFonts w:ascii="Times New Roman" w:hAnsi="Times New Roman"/>
        </w:rPr>
        <w:t>leave space</w:t>
      </w:r>
      <w:r w:rsidR="0017261F" w:rsidRPr="00632DBC">
        <w:rPr>
          <w:rFonts w:ascii="Times New Roman" w:hAnsi="Times New Roman"/>
        </w:rPr>
        <w:t xml:space="preserve"> for dialogue when designing and implementing recently adopted safeguards (see lesson ‘Including cross-scale dialogue as a procedural safeguard’ in CBD guideline (</w:t>
      </w:r>
      <w:r w:rsidR="0017261F" w:rsidRPr="00632DBC">
        <w:rPr>
          <w:rFonts w:ascii="Times New Roman" w:hAnsi="Times New Roman"/>
          <w:i/>
        </w:rPr>
        <w:t>d</w:t>
      </w:r>
      <w:r w:rsidR="0017261F" w:rsidRPr="00632DBC">
        <w:rPr>
          <w:rFonts w:ascii="Times New Roman" w:hAnsi="Times New Roman"/>
        </w:rPr>
        <w:t>) section).</w:t>
      </w:r>
    </w:p>
    <w:p w14:paraId="30E877C1" w14:textId="0B601988" w:rsidR="0017261F" w:rsidRPr="00632DBC" w:rsidRDefault="0017261F" w:rsidP="0008335B">
      <w:pPr>
        <w:spacing w:line="240" w:lineRule="auto"/>
        <w:jc w:val="both"/>
        <w:rPr>
          <w:rFonts w:ascii="Times New Roman" w:hAnsi="Times New Roman"/>
        </w:rPr>
      </w:pPr>
      <w:r w:rsidRPr="00632DBC">
        <w:rPr>
          <w:rFonts w:ascii="Times New Roman" w:hAnsi="Times New Roman"/>
          <w:b/>
          <w:i/>
        </w:rPr>
        <w:t>Dialoguing with consuetudinary systems</w:t>
      </w:r>
      <w:r w:rsidRPr="00632DBC">
        <w:rPr>
          <w:rFonts w:ascii="Times New Roman" w:hAnsi="Times New Roman"/>
          <w:b/>
        </w:rPr>
        <w:t>.</w:t>
      </w:r>
      <w:r w:rsidRPr="00632DBC">
        <w:rPr>
          <w:rFonts w:ascii="Times New Roman" w:hAnsi="Times New Roman"/>
        </w:rPr>
        <w:t xml:space="preserve"> Amendments to the national forest law included </w:t>
      </w:r>
      <w:r w:rsidR="000228E2" w:rsidRPr="00632DBC">
        <w:rPr>
          <w:rFonts w:ascii="Times New Roman" w:hAnsi="Times New Roman"/>
        </w:rPr>
        <w:t>“</w:t>
      </w:r>
      <w:r w:rsidRPr="00632DBC">
        <w:rPr>
          <w:rFonts w:ascii="Times New Roman" w:hAnsi="Times New Roman"/>
        </w:rPr>
        <w:t>Recognition and respect to all forms of internal organization</w:t>
      </w:r>
      <w:r w:rsidR="000228E2" w:rsidRPr="00632DBC">
        <w:rPr>
          <w:rFonts w:ascii="Times New Roman" w:hAnsi="Times New Roman"/>
        </w:rPr>
        <w:t>”</w:t>
      </w:r>
      <w:r w:rsidRPr="00632DBC">
        <w:rPr>
          <w:rFonts w:ascii="Times New Roman" w:hAnsi="Times New Roman"/>
        </w:rPr>
        <w:t>.</w:t>
      </w:r>
      <w:r w:rsidRPr="00632DBC">
        <w:rPr>
          <w:rStyle w:val="FootnoteReference"/>
          <w:rFonts w:ascii="Times New Roman" w:hAnsi="Times New Roman"/>
        </w:rPr>
        <w:footnoteReference w:id="227"/>
      </w:r>
      <w:r w:rsidRPr="00632DBC">
        <w:rPr>
          <w:rFonts w:ascii="Times New Roman" w:hAnsi="Times New Roman"/>
        </w:rPr>
        <w:t xml:space="preserve"> This substantive safeguard has complex implications. </w:t>
      </w:r>
      <w:r w:rsidR="00AB1E09" w:rsidRPr="00632DBC">
        <w:rPr>
          <w:rFonts w:ascii="Times New Roman" w:hAnsi="Times New Roman"/>
        </w:rPr>
        <w:t>On</w:t>
      </w:r>
      <w:r w:rsidRPr="00632DBC">
        <w:rPr>
          <w:rFonts w:ascii="Times New Roman" w:hAnsi="Times New Roman"/>
        </w:rPr>
        <w:t xml:space="preserve"> the one hand, it provides legal support to consuetudinary norms regulating livelihood related practices that foster sustainable use of local biodiversity and ecosystems; </w:t>
      </w:r>
      <w:r w:rsidR="00AB1E09" w:rsidRPr="00632DBC">
        <w:rPr>
          <w:rFonts w:ascii="Times New Roman" w:hAnsi="Times New Roman"/>
        </w:rPr>
        <w:t>on</w:t>
      </w:r>
      <w:r w:rsidRPr="00632DBC">
        <w:rPr>
          <w:rFonts w:ascii="Times New Roman" w:hAnsi="Times New Roman"/>
        </w:rPr>
        <w:t xml:space="preserve"> the other, consuetudinary institutions </w:t>
      </w:r>
      <w:r w:rsidR="00912E3E" w:rsidRPr="00632DBC">
        <w:rPr>
          <w:rFonts w:ascii="Times New Roman" w:hAnsi="Times New Roman"/>
        </w:rPr>
        <w:t>have the risk</w:t>
      </w:r>
      <w:r w:rsidRPr="00632DBC">
        <w:rPr>
          <w:rFonts w:ascii="Times New Roman" w:hAnsi="Times New Roman"/>
        </w:rPr>
        <w:t xml:space="preserve"> to reinforce local inequalities. Under these conditions, dialogue process</w:t>
      </w:r>
      <w:r w:rsidR="00912E3E" w:rsidRPr="00632DBC">
        <w:rPr>
          <w:rFonts w:ascii="Times New Roman" w:hAnsi="Times New Roman"/>
        </w:rPr>
        <w:t>es can help</w:t>
      </w:r>
      <w:r w:rsidRPr="00632DBC">
        <w:rPr>
          <w:rFonts w:ascii="Times New Roman" w:hAnsi="Times New Roman"/>
        </w:rPr>
        <w:t xml:space="preserve"> progressively address sustainability and inequality issues </w:t>
      </w:r>
      <w:r w:rsidR="00912E3E" w:rsidRPr="00632DBC">
        <w:rPr>
          <w:rFonts w:ascii="Times New Roman" w:hAnsi="Times New Roman"/>
        </w:rPr>
        <w:t xml:space="preserve">while respecting </w:t>
      </w:r>
      <w:r w:rsidRPr="00632DBC">
        <w:rPr>
          <w:rFonts w:ascii="Times New Roman" w:hAnsi="Times New Roman"/>
        </w:rPr>
        <w:t>internal organization</w:t>
      </w:r>
      <w:r w:rsidR="00912E3E" w:rsidRPr="00632DBC">
        <w:rPr>
          <w:rFonts w:ascii="Times New Roman" w:hAnsi="Times New Roman"/>
        </w:rPr>
        <w:t>s</w:t>
      </w:r>
      <w:r w:rsidRPr="00632DBC">
        <w:rPr>
          <w:rFonts w:ascii="Times New Roman" w:hAnsi="Times New Roman"/>
        </w:rPr>
        <w:t xml:space="preserve"> (see lesson ‘Including cross-scale dialogue as a procedural safeguard’ in CBD guideline (</w:t>
      </w:r>
      <w:r w:rsidRPr="00632DBC">
        <w:rPr>
          <w:rFonts w:ascii="Times New Roman" w:hAnsi="Times New Roman"/>
          <w:i/>
        </w:rPr>
        <w:t>d</w:t>
      </w:r>
      <w:r w:rsidRPr="00632DBC">
        <w:rPr>
          <w:rFonts w:ascii="Times New Roman" w:hAnsi="Times New Roman"/>
        </w:rPr>
        <w:t xml:space="preserve">) section). </w:t>
      </w:r>
    </w:p>
    <w:p w14:paraId="65EBED32" w14:textId="77777777" w:rsidR="002C4ECF" w:rsidRPr="00632DBC" w:rsidRDefault="002C4ECF" w:rsidP="0008335B">
      <w:pPr>
        <w:spacing w:line="240" w:lineRule="auto"/>
        <w:jc w:val="both"/>
        <w:rPr>
          <w:rFonts w:ascii="Times New Roman" w:hAnsi="Times New Roman"/>
        </w:rPr>
      </w:pPr>
    </w:p>
    <w:p w14:paraId="781CAEED" w14:textId="69DF3E10" w:rsidR="0017261F" w:rsidRPr="00632DBC" w:rsidRDefault="0017261F" w:rsidP="0008335B">
      <w:pPr>
        <w:spacing w:line="240" w:lineRule="auto"/>
        <w:jc w:val="both"/>
        <w:rPr>
          <w:rFonts w:ascii="Times New Roman" w:hAnsi="Times New Roman"/>
          <w:b/>
          <w:i/>
        </w:rPr>
      </w:pPr>
      <w:r w:rsidRPr="00632DBC">
        <w:rPr>
          <w:rFonts w:ascii="Times New Roman" w:hAnsi="Times New Roman"/>
          <w:b/>
        </w:rPr>
        <w:t xml:space="preserve">Lessons </w:t>
      </w:r>
      <w:r w:rsidR="007452C8" w:rsidRPr="00632DBC">
        <w:rPr>
          <w:rFonts w:ascii="Times New Roman" w:hAnsi="Times New Roman"/>
          <w:b/>
        </w:rPr>
        <w:t>learned</w:t>
      </w:r>
      <w:r w:rsidRPr="00632DBC">
        <w:rPr>
          <w:rFonts w:ascii="Times New Roman" w:hAnsi="Times New Roman"/>
          <w:b/>
        </w:rPr>
        <w:t xml:space="preserve"> from looking at REDD+ in Mexico</w:t>
      </w:r>
      <w:r w:rsidR="00DE6118" w:rsidRPr="00632DBC">
        <w:rPr>
          <w:rFonts w:ascii="Times New Roman" w:hAnsi="Times New Roman"/>
          <w:b/>
        </w:rPr>
        <w:t xml:space="preserve"> through the lens of guideline (</w:t>
      </w:r>
      <w:r w:rsidR="00DE6118" w:rsidRPr="00632DBC">
        <w:rPr>
          <w:rFonts w:ascii="Times New Roman" w:hAnsi="Times New Roman"/>
          <w:b/>
          <w:i/>
        </w:rPr>
        <w:t>d</w:t>
      </w:r>
      <w:r w:rsidR="00DE6118" w:rsidRPr="00632DBC">
        <w:rPr>
          <w:rFonts w:ascii="Times New Roman" w:hAnsi="Times New Roman"/>
          <w:b/>
        </w:rPr>
        <w:t>)</w:t>
      </w:r>
      <w:r w:rsidRPr="00632DBC">
        <w:rPr>
          <w:rFonts w:ascii="Times New Roman" w:hAnsi="Times New Roman"/>
          <w:b/>
        </w:rPr>
        <w:t xml:space="preserve"> </w:t>
      </w:r>
      <w:r w:rsidRPr="00632DBC">
        <w:rPr>
          <w:rFonts w:ascii="Times New Roman" w:hAnsi="Times New Roman"/>
          <w:b/>
          <w:i/>
        </w:rPr>
        <w:t>Governance, institutional frameworks, transparency, accountability and compliance</w:t>
      </w:r>
    </w:p>
    <w:p w14:paraId="7C92CA68" w14:textId="2E58F0E2" w:rsidR="0017261F" w:rsidRPr="00632DBC" w:rsidRDefault="0017261F" w:rsidP="0008335B">
      <w:pPr>
        <w:spacing w:line="240" w:lineRule="auto"/>
        <w:jc w:val="both"/>
        <w:rPr>
          <w:rFonts w:ascii="Times New Roman" w:hAnsi="Times New Roman"/>
        </w:rPr>
      </w:pPr>
      <w:r w:rsidRPr="00632DBC">
        <w:rPr>
          <w:rFonts w:ascii="Times New Roman" w:hAnsi="Times New Roman"/>
          <w:b/>
          <w:i/>
        </w:rPr>
        <w:t>Finding synergies among policies</w:t>
      </w:r>
      <w:r w:rsidRPr="00632DBC">
        <w:rPr>
          <w:rFonts w:ascii="Times New Roman" w:hAnsi="Times New Roman"/>
          <w:b/>
        </w:rPr>
        <w:t>.</w:t>
      </w:r>
      <w:r w:rsidRPr="00632DBC">
        <w:rPr>
          <w:rFonts w:ascii="Times New Roman" w:hAnsi="Times New Roman"/>
        </w:rPr>
        <w:t xml:space="preserve"> Amendment in the National Forest Law</w:t>
      </w:r>
      <w:r w:rsidRPr="00632DBC">
        <w:rPr>
          <w:rStyle w:val="FootnoteReference"/>
          <w:rFonts w:ascii="Times New Roman" w:hAnsi="Times New Roman"/>
        </w:rPr>
        <w:footnoteReference w:id="228"/>
      </w:r>
      <w:r w:rsidRPr="00632DBC">
        <w:rPr>
          <w:rFonts w:ascii="Times New Roman" w:hAnsi="Times New Roman"/>
        </w:rPr>
        <w:t xml:space="preserve"> states that policy tools and instruments in the three government levels must be</w:t>
      </w:r>
      <w:r w:rsidR="0069213E" w:rsidRPr="00632DBC">
        <w:rPr>
          <w:rFonts w:ascii="Times New Roman" w:hAnsi="Times New Roman"/>
        </w:rPr>
        <w:t>,</w:t>
      </w:r>
      <w:r w:rsidRPr="00632DBC">
        <w:rPr>
          <w:rFonts w:ascii="Times New Roman" w:hAnsi="Times New Roman"/>
        </w:rPr>
        <w:t xml:space="preserve"> </w:t>
      </w:r>
      <w:r w:rsidR="0069213E" w:rsidRPr="00632DBC">
        <w:rPr>
          <w:rFonts w:ascii="Times New Roman" w:hAnsi="Times New Roman"/>
        </w:rPr>
        <w:t>“</w:t>
      </w:r>
      <w:r w:rsidRPr="00632DBC">
        <w:rPr>
          <w:rFonts w:ascii="Times New Roman" w:hAnsi="Times New Roman"/>
        </w:rPr>
        <w:t>interlinked, integrated, coordinated and complementary</w:t>
      </w:r>
      <w:r w:rsidR="0069213E" w:rsidRPr="00632DBC">
        <w:rPr>
          <w:rFonts w:ascii="Times New Roman" w:hAnsi="Times New Roman"/>
        </w:rPr>
        <w:t>”</w:t>
      </w:r>
      <w:r w:rsidRPr="00632DBC">
        <w:rPr>
          <w:rFonts w:ascii="Times New Roman" w:hAnsi="Times New Roman"/>
        </w:rPr>
        <w:t>. Although this provision allocates the duty of preserving biodiversity and ecosystems to all government levels in collaboration (relevant to CBD safeguard (b)), which delineates a cross-scale approach necessary to tackle complexity of ecosystem loss and degradation, it poses important instituti</w:t>
      </w:r>
      <w:r w:rsidR="00CF45FE" w:rsidRPr="00632DBC">
        <w:rPr>
          <w:rFonts w:ascii="Times New Roman" w:hAnsi="Times New Roman"/>
        </w:rPr>
        <w:t xml:space="preserve">onal challenges. For instance, </w:t>
      </w:r>
      <w:r w:rsidRPr="00632DBC">
        <w:rPr>
          <w:rFonts w:ascii="Times New Roman" w:hAnsi="Times New Roman"/>
        </w:rPr>
        <w:t>Mexico adopted a National Safeguards System separate from the MRV system</w:t>
      </w:r>
      <w:r w:rsidR="00912E3E" w:rsidRPr="00632DBC">
        <w:rPr>
          <w:rFonts w:ascii="Times New Roman" w:hAnsi="Times New Roman"/>
        </w:rPr>
        <w:t>. This separation can</w:t>
      </w:r>
      <w:r w:rsidR="00CF45FE" w:rsidRPr="00632DBC">
        <w:rPr>
          <w:rFonts w:ascii="Times New Roman" w:hAnsi="Times New Roman"/>
        </w:rPr>
        <w:t xml:space="preserve"> </w:t>
      </w:r>
      <w:r w:rsidRPr="00632DBC">
        <w:rPr>
          <w:rFonts w:ascii="Times New Roman" w:hAnsi="Times New Roman"/>
        </w:rPr>
        <w:t>limit opportunities of policy integration and hamper implementation of the interlinked dimensions of the Climate Change Law</w:t>
      </w:r>
      <w:r w:rsidR="00940678" w:rsidRPr="00632DBC">
        <w:rPr>
          <w:rFonts w:ascii="Times New Roman" w:hAnsi="Times New Roman"/>
        </w:rPr>
        <w:t>,</w:t>
      </w:r>
      <w:r w:rsidRPr="00632DBC">
        <w:rPr>
          <w:rStyle w:val="FootnoteReference"/>
          <w:rFonts w:ascii="Times New Roman" w:hAnsi="Times New Roman"/>
        </w:rPr>
        <w:footnoteReference w:id="229"/>
      </w:r>
      <w:r w:rsidRPr="00632DBC">
        <w:rPr>
          <w:rFonts w:ascii="Times New Roman" w:hAnsi="Times New Roman"/>
        </w:rPr>
        <w:t xml:space="preserve"> the National Forest Law and community </w:t>
      </w:r>
      <w:r w:rsidRPr="00632DBC">
        <w:rPr>
          <w:rFonts w:ascii="Times New Roman" w:hAnsi="Times New Roman"/>
        </w:rPr>
        <w:lastRenderedPageBreak/>
        <w:t>rights. Institutional coordination and coherence could benefit from appointing the task of facilitating coordination to a specific government agency.</w:t>
      </w:r>
    </w:p>
    <w:p w14:paraId="266C03AD" w14:textId="43EAAB40" w:rsidR="0017261F" w:rsidRPr="00632DBC" w:rsidRDefault="00FD097E" w:rsidP="0008335B">
      <w:pPr>
        <w:spacing w:line="240" w:lineRule="auto"/>
        <w:jc w:val="both"/>
        <w:rPr>
          <w:rFonts w:ascii="Times New Roman" w:hAnsi="Times New Roman"/>
        </w:rPr>
      </w:pPr>
      <w:r w:rsidRPr="00632DBC">
        <w:rPr>
          <w:rFonts w:ascii="Times New Roman" w:hAnsi="Times New Roman"/>
          <w:b/>
          <w:i/>
        </w:rPr>
        <w:t>Implementing</w:t>
      </w:r>
      <w:r w:rsidR="0017261F" w:rsidRPr="00632DBC">
        <w:rPr>
          <w:rFonts w:ascii="Times New Roman" w:hAnsi="Times New Roman"/>
          <w:b/>
          <w:i/>
        </w:rPr>
        <w:t xml:space="preserve"> cross-scale dialogue as a procedural safeguard</w:t>
      </w:r>
      <w:r w:rsidR="0017261F" w:rsidRPr="00632DBC">
        <w:rPr>
          <w:rFonts w:ascii="Times New Roman" w:hAnsi="Times New Roman"/>
        </w:rPr>
        <w:t>. In Mexico, pre-existing institutions at both local and national level</w:t>
      </w:r>
      <w:r w:rsidR="00B4414D" w:rsidRPr="00632DBC">
        <w:rPr>
          <w:rFonts w:ascii="Times New Roman" w:hAnsi="Times New Roman"/>
        </w:rPr>
        <w:t>s</w:t>
      </w:r>
      <w:r w:rsidR="0017261F" w:rsidRPr="00632DBC">
        <w:rPr>
          <w:rFonts w:ascii="Times New Roman" w:hAnsi="Times New Roman"/>
        </w:rPr>
        <w:t xml:space="preserve"> established conditions giving </w:t>
      </w:r>
      <w:r w:rsidR="00645B76" w:rsidRPr="00632DBC">
        <w:rPr>
          <w:rFonts w:ascii="Times New Roman" w:hAnsi="Times New Roman"/>
        </w:rPr>
        <w:t>rise</w:t>
      </w:r>
      <w:r w:rsidR="0017261F" w:rsidRPr="00632DBC">
        <w:rPr>
          <w:rFonts w:ascii="Times New Roman" w:hAnsi="Times New Roman"/>
        </w:rPr>
        <w:t xml:space="preserve"> to inequalities </w:t>
      </w:r>
      <w:r w:rsidR="00B4414D" w:rsidRPr="00632DBC">
        <w:rPr>
          <w:rFonts w:ascii="Times New Roman" w:hAnsi="Times New Roman"/>
        </w:rPr>
        <w:t xml:space="preserve">that </w:t>
      </w:r>
      <w:r w:rsidR="00645B76" w:rsidRPr="00632DBC">
        <w:rPr>
          <w:rFonts w:ascii="Times New Roman" w:hAnsi="Times New Roman"/>
        </w:rPr>
        <w:t xml:space="preserve">are </w:t>
      </w:r>
      <w:r w:rsidR="00B4414D" w:rsidRPr="00632DBC">
        <w:rPr>
          <w:rFonts w:ascii="Times New Roman" w:hAnsi="Times New Roman"/>
        </w:rPr>
        <w:t xml:space="preserve">hard to overcome </w:t>
      </w:r>
      <w:r w:rsidR="00645B76" w:rsidRPr="00632DBC">
        <w:rPr>
          <w:rFonts w:ascii="Times New Roman" w:hAnsi="Times New Roman"/>
        </w:rPr>
        <w:t>through</w:t>
      </w:r>
      <w:r w:rsidR="0017261F" w:rsidRPr="00632DBC">
        <w:rPr>
          <w:rFonts w:ascii="Times New Roman" w:hAnsi="Times New Roman"/>
        </w:rPr>
        <w:t xml:space="preserve"> REDD+ safeguards</w:t>
      </w:r>
      <w:r w:rsidR="00645B76" w:rsidRPr="00632DBC">
        <w:rPr>
          <w:rFonts w:ascii="Times New Roman" w:hAnsi="Times New Roman"/>
        </w:rPr>
        <w:t xml:space="preserve"> only</w:t>
      </w:r>
      <w:r w:rsidR="0017261F" w:rsidRPr="00632DBC">
        <w:rPr>
          <w:rFonts w:ascii="Times New Roman" w:hAnsi="Times New Roman"/>
        </w:rPr>
        <w:t xml:space="preserve">. </w:t>
      </w:r>
      <w:r w:rsidR="00912E3E" w:rsidRPr="00632DBC">
        <w:rPr>
          <w:rFonts w:ascii="Times New Roman" w:hAnsi="Times New Roman"/>
        </w:rPr>
        <w:t xml:space="preserve">For instance, at the </w:t>
      </w:r>
      <w:r w:rsidR="0017261F" w:rsidRPr="00632DBC">
        <w:rPr>
          <w:rFonts w:ascii="Times New Roman" w:hAnsi="Times New Roman"/>
        </w:rPr>
        <w:t xml:space="preserve">national level, government agencies involved in setting parameters for REDD+ implementation have </w:t>
      </w:r>
      <w:r w:rsidR="00912E3E" w:rsidRPr="00632DBC">
        <w:rPr>
          <w:rFonts w:ascii="Times New Roman" w:hAnsi="Times New Roman"/>
        </w:rPr>
        <w:t xml:space="preserve">often </w:t>
      </w:r>
      <w:r w:rsidR="0017261F" w:rsidRPr="00632DBC">
        <w:rPr>
          <w:rFonts w:ascii="Times New Roman" w:hAnsi="Times New Roman"/>
        </w:rPr>
        <w:t xml:space="preserve">crafted rules and norms without </w:t>
      </w:r>
      <w:proofErr w:type="gramStart"/>
      <w:r w:rsidR="0017261F" w:rsidRPr="00632DBC">
        <w:rPr>
          <w:rFonts w:ascii="Times New Roman" w:hAnsi="Times New Roman"/>
        </w:rPr>
        <w:t>taking into account</w:t>
      </w:r>
      <w:proofErr w:type="gramEnd"/>
      <w:r w:rsidR="0017261F" w:rsidRPr="00632DBC">
        <w:rPr>
          <w:rFonts w:ascii="Times New Roman" w:hAnsi="Times New Roman"/>
        </w:rPr>
        <w:t xml:space="preserve"> local visions of sustainability. </w:t>
      </w:r>
      <w:r w:rsidR="00912E3E" w:rsidRPr="00632DBC">
        <w:rPr>
          <w:rFonts w:ascii="Times New Roman" w:hAnsi="Times New Roman"/>
        </w:rPr>
        <w:t>C</w:t>
      </w:r>
      <w:r w:rsidR="0017261F" w:rsidRPr="00632DBC">
        <w:rPr>
          <w:rFonts w:ascii="Times New Roman" w:hAnsi="Times New Roman"/>
        </w:rPr>
        <w:t>ross-scale dialogue could be implemented as a procedural safeguard that would help t</w:t>
      </w:r>
      <w:r w:rsidR="00912E3E" w:rsidRPr="00632DBC">
        <w:rPr>
          <w:rFonts w:ascii="Times New Roman" w:hAnsi="Times New Roman"/>
        </w:rPr>
        <w:t>o support inclusive sustainability visions</w:t>
      </w:r>
      <w:r w:rsidR="0017261F" w:rsidRPr="00632DBC">
        <w:rPr>
          <w:rFonts w:ascii="Times New Roman" w:hAnsi="Times New Roman"/>
        </w:rPr>
        <w:t xml:space="preserve">. This can be done by using a ‘Not too tight, not too loose’ approach, which recommends enough precision regarding State’s obligations to protect human rights, while leaving room for how safeguards will be operationalized - by means of dialogue. </w:t>
      </w:r>
    </w:p>
    <w:p w14:paraId="74E1E61F" w14:textId="77777777" w:rsidR="002F789C" w:rsidRPr="00632DBC" w:rsidRDefault="002F789C" w:rsidP="00B67F6D">
      <w:pPr>
        <w:jc w:val="both"/>
        <w:rPr>
          <w:b/>
        </w:rPr>
      </w:pPr>
    </w:p>
    <w:p w14:paraId="19462B00" w14:textId="77777777" w:rsidR="002F789C" w:rsidRPr="00632DBC" w:rsidRDefault="002F789C" w:rsidP="002F789C">
      <w:pPr>
        <w:rPr>
          <w:b/>
        </w:rPr>
      </w:pPr>
    </w:p>
    <w:p w14:paraId="33EC5CAB" w14:textId="77777777" w:rsidR="002F789C" w:rsidRPr="00632DBC" w:rsidRDefault="002F789C" w:rsidP="002F789C">
      <w:pPr>
        <w:rPr>
          <w:b/>
        </w:rPr>
      </w:pPr>
    </w:p>
    <w:p w14:paraId="64E49E00" w14:textId="77777777" w:rsidR="00821DA0" w:rsidRPr="00632DBC" w:rsidRDefault="00821DA0" w:rsidP="00821DA0">
      <w:pPr>
        <w:pStyle w:val="Caption"/>
        <w:rPr>
          <w:rFonts w:ascii="Cambria" w:hAnsi="Cambria"/>
          <w:iCs w:val="0"/>
        </w:rPr>
      </w:pPr>
    </w:p>
    <w:p w14:paraId="04F66310" w14:textId="4B2F9CB3" w:rsidR="00821DA0" w:rsidRPr="00632DBC" w:rsidRDefault="00821DA0" w:rsidP="00821DA0">
      <w:pPr>
        <w:pStyle w:val="Caption"/>
      </w:pPr>
      <w:bookmarkStart w:id="167" w:name="_Toc398935613"/>
      <w:bookmarkStart w:id="168" w:name="_Toc398936078"/>
      <w:bookmarkStart w:id="169" w:name="_Toc529192218"/>
      <w:r w:rsidRPr="00632DBC">
        <w:t xml:space="preserve">Table </w:t>
      </w:r>
      <w:r w:rsidRPr="00632DBC">
        <w:fldChar w:fldCharType="begin"/>
      </w:r>
      <w:r w:rsidRPr="00632DBC">
        <w:instrText xml:space="preserve"> SEQ Table \* ARABIC </w:instrText>
      </w:r>
      <w:r w:rsidRPr="00632DBC">
        <w:fldChar w:fldCharType="separate"/>
      </w:r>
      <w:r w:rsidR="00251833" w:rsidRPr="00632DBC">
        <w:rPr>
          <w:noProof/>
        </w:rPr>
        <w:t>9</w:t>
      </w:r>
      <w:r w:rsidRPr="00632DBC">
        <w:fldChar w:fldCharType="end"/>
      </w:r>
      <w:r w:rsidRPr="00632DBC">
        <w:t>. Instruments for implementing the CBD guidelines for safeguards, and lessons learned, from REDD+ related regulations in Mexico</w:t>
      </w:r>
      <w:bookmarkEnd w:id="167"/>
      <w:bookmarkEnd w:id="168"/>
      <w:bookmarkEnd w:id="169"/>
    </w:p>
    <w:tbl>
      <w:tblPr>
        <w:tblStyle w:val="TableGrid"/>
        <w:tblW w:w="10632" w:type="dxa"/>
        <w:tblInd w:w="-318" w:type="dxa"/>
        <w:tblLook w:val="04A0" w:firstRow="1" w:lastRow="0" w:firstColumn="1" w:lastColumn="0" w:noHBand="0" w:noVBand="1"/>
      </w:tblPr>
      <w:tblGrid>
        <w:gridCol w:w="1560"/>
        <w:gridCol w:w="2268"/>
        <w:gridCol w:w="2127"/>
        <w:gridCol w:w="2268"/>
        <w:gridCol w:w="2409"/>
      </w:tblGrid>
      <w:tr w:rsidR="00633A71" w:rsidRPr="00632DBC" w14:paraId="4C40E4EF" w14:textId="77777777" w:rsidTr="00EC4D80">
        <w:trPr>
          <w:trHeight w:val="1254"/>
        </w:trPr>
        <w:tc>
          <w:tcPr>
            <w:tcW w:w="1560" w:type="dxa"/>
          </w:tcPr>
          <w:p w14:paraId="71511885" w14:textId="0219086E" w:rsidR="00EC4D80" w:rsidRPr="00632DBC" w:rsidRDefault="00EC4D80" w:rsidP="00EC4D80">
            <w:pPr>
              <w:rPr>
                <w:rFonts w:ascii="Calibri" w:hAnsi="Calibri"/>
                <w:b/>
                <w:sz w:val="18"/>
                <w:szCs w:val="18"/>
              </w:rPr>
            </w:pPr>
            <w:r w:rsidRPr="00632DBC">
              <w:rPr>
                <w:rFonts w:ascii="Calibri" w:hAnsi="Calibri"/>
                <w:b/>
                <w:sz w:val="18"/>
                <w:szCs w:val="18"/>
              </w:rPr>
              <w:t>CBD Guidelines for safeguards in Biodiversity Financing Mechanisms</w:t>
            </w:r>
          </w:p>
        </w:tc>
        <w:tc>
          <w:tcPr>
            <w:tcW w:w="2268" w:type="dxa"/>
          </w:tcPr>
          <w:p w14:paraId="4F26A94A" w14:textId="61526018" w:rsidR="00EC4D80" w:rsidRPr="00632DBC" w:rsidRDefault="00EC4D80" w:rsidP="00EC4D80">
            <w:pPr>
              <w:rPr>
                <w:rFonts w:ascii="Calibri" w:hAnsi="Calibri"/>
                <w:b/>
                <w:sz w:val="18"/>
                <w:szCs w:val="18"/>
              </w:rPr>
            </w:pPr>
            <w:r w:rsidRPr="00632DBC">
              <w:rPr>
                <w:rFonts w:ascii="Calibri" w:hAnsi="Calibri"/>
                <w:b/>
                <w:sz w:val="18"/>
                <w:szCs w:val="18"/>
              </w:rPr>
              <w:t>a) Biodiversity values and ecosystem functions</w:t>
            </w:r>
          </w:p>
        </w:tc>
        <w:tc>
          <w:tcPr>
            <w:tcW w:w="2127" w:type="dxa"/>
          </w:tcPr>
          <w:p w14:paraId="19396935" w14:textId="3E7AA841" w:rsidR="00EC4D80" w:rsidRPr="00632DBC" w:rsidRDefault="00EC4D80" w:rsidP="00EC4D80">
            <w:pPr>
              <w:rPr>
                <w:rFonts w:ascii="Calibri" w:hAnsi="Calibri"/>
                <w:b/>
                <w:sz w:val="18"/>
                <w:szCs w:val="18"/>
              </w:rPr>
            </w:pPr>
            <w:r w:rsidRPr="00632DBC">
              <w:rPr>
                <w:rFonts w:ascii="Calibri" w:hAnsi="Calibri"/>
                <w:b/>
                <w:sz w:val="18"/>
                <w:szCs w:val="18"/>
              </w:rPr>
              <w:t>b) Rights and responsibilities of actors and/or stakeholders</w:t>
            </w:r>
          </w:p>
        </w:tc>
        <w:tc>
          <w:tcPr>
            <w:tcW w:w="2268" w:type="dxa"/>
          </w:tcPr>
          <w:p w14:paraId="4A85CA41" w14:textId="42A564B5" w:rsidR="00EC4D80" w:rsidRPr="00632DBC" w:rsidRDefault="00EC4D80" w:rsidP="00EC4D80">
            <w:pPr>
              <w:rPr>
                <w:rFonts w:ascii="Calibri" w:hAnsi="Calibri"/>
                <w:b/>
                <w:sz w:val="18"/>
                <w:szCs w:val="18"/>
              </w:rPr>
            </w:pPr>
            <w:r w:rsidRPr="00632DBC">
              <w:rPr>
                <w:rFonts w:ascii="Calibri" w:hAnsi="Calibri"/>
                <w:b/>
                <w:sz w:val="18"/>
                <w:szCs w:val="18"/>
              </w:rPr>
              <w:t>c) Local and country-driven/specific processes linked to the international level</w:t>
            </w:r>
          </w:p>
        </w:tc>
        <w:tc>
          <w:tcPr>
            <w:tcW w:w="2409" w:type="dxa"/>
          </w:tcPr>
          <w:p w14:paraId="09ACFBB4" w14:textId="7203EC41" w:rsidR="00EC4D80" w:rsidRPr="00632DBC" w:rsidRDefault="00EC4D80" w:rsidP="00EC4D80">
            <w:pPr>
              <w:rPr>
                <w:rFonts w:ascii="Calibri" w:hAnsi="Calibri"/>
                <w:b/>
                <w:sz w:val="18"/>
                <w:szCs w:val="18"/>
              </w:rPr>
            </w:pPr>
            <w:r w:rsidRPr="00632DBC">
              <w:rPr>
                <w:rFonts w:ascii="Calibri" w:hAnsi="Calibri"/>
                <w:b/>
                <w:sz w:val="18"/>
                <w:szCs w:val="18"/>
              </w:rPr>
              <w:t>d) Governance, enforcement and accountability</w:t>
            </w:r>
          </w:p>
        </w:tc>
      </w:tr>
      <w:tr w:rsidR="00633A71" w:rsidRPr="00632DBC" w14:paraId="313DC66D" w14:textId="77777777" w:rsidTr="00565A2A">
        <w:tc>
          <w:tcPr>
            <w:tcW w:w="1560" w:type="dxa"/>
          </w:tcPr>
          <w:p w14:paraId="709B75AB" w14:textId="77777777" w:rsidR="002F789C" w:rsidRPr="00632DBC" w:rsidRDefault="002F789C" w:rsidP="00EB5473">
            <w:pPr>
              <w:rPr>
                <w:rFonts w:ascii="Calibri" w:hAnsi="Calibri"/>
                <w:sz w:val="17"/>
                <w:szCs w:val="17"/>
              </w:rPr>
            </w:pPr>
            <w:r w:rsidRPr="00632DBC">
              <w:rPr>
                <w:rFonts w:ascii="Calibri" w:hAnsi="Calibri"/>
                <w:sz w:val="17"/>
                <w:szCs w:val="17"/>
              </w:rPr>
              <w:t xml:space="preserve">Instruments </w:t>
            </w:r>
          </w:p>
        </w:tc>
        <w:tc>
          <w:tcPr>
            <w:tcW w:w="2268" w:type="dxa"/>
          </w:tcPr>
          <w:p w14:paraId="2E42DF9F" w14:textId="4B911906" w:rsidR="002F789C" w:rsidRPr="00632DBC" w:rsidRDefault="002F789C" w:rsidP="003C1FF6">
            <w:pPr>
              <w:spacing w:after="0" w:line="240" w:lineRule="auto"/>
              <w:rPr>
                <w:rFonts w:ascii="Calibri" w:hAnsi="Calibri"/>
                <w:i/>
                <w:sz w:val="17"/>
                <w:szCs w:val="17"/>
              </w:rPr>
            </w:pPr>
            <w:r w:rsidRPr="00632DBC">
              <w:rPr>
                <w:rFonts w:ascii="Calibri" w:hAnsi="Calibri"/>
                <w:i/>
                <w:sz w:val="17"/>
                <w:szCs w:val="17"/>
              </w:rPr>
              <w:t xml:space="preserve">‘Environmental services’ definition explicitly refers to benefits generated by ecosystems, ‘necessary for the survival of the natural and biological system as a whole’ (LGEEPA, art 3 XXXVI) </w:t>
            </w:r>
          </w:p>
        </w:tc>
        <w:tc>
          <w:tcPr>
            <w:tcW w:w="2127" w:type="dxa"/>
          </w:tcPr>
          <w:p w14:paraId="5689AC54" w14:textId="77777777" w:rsidR="002F789C" w:rsidRPr="00632DBC" w:rsidRDefault="002F789C" w:rsidP="003C1FF6">
            <w:pPr>
              <w:spacing w:after="0" w:line="240" w:lineRule="auto"/>
              <w:rPr>
                <w:rFonts w:ascii="Calibri" w:hAnsi="Calibri"/>
                <w:sz w:val="17"/>
                <w:szCs w:val="17"/>
              </w:rPr>
            </w:pPr>
            <w:r w:rsidRPr="00632DBC">
              <w:rPr>
                <w:rFonts w:ascii="Calibri" w:hAnsi="Calibri"/>
                <w:sz w:val="17"/>
                <w:szCs w:val="17"/>
              </w:rPr>
              <w:t xml:space="preserve">“Certainty and respect to property rights and legitimate possession and access to natural resources of owners and legitimate possessors” (Article 134 </w:t>
            </w:r>
            <w:proofErr w:type="spellStart"/>
            <w:r w:rsidRPr="00632DBC">
              <w:rPr>
                <w:rFonts w:ascii="Calibri" w:hAnsi="Calibri"/>
                <w:sz w:val="17"/>
                <w:szCs w:val="17"/>
              </w:rPr>
              <w:t>bis</w:t>
            </w:r>
            <w:proofErr w:type="spellEnd"/>
            <w:r w:rsidRPr="00632DBC">
              <w:rPr>
                <w:rFonts w:ascii="Calibri" w:hAnsi="Calibri"/>
                <w:sz w:val="17"/>
                <w:szCs w:val="17"/>
              </w:rPr>
              <w:t xml:space="preserve"> III. LGDFS)</w:t>
            </w:r>
          </w:p>
        </w:tc>
        <w:tc>
          <w:tcPr>
            <w:tcW w:w="2268" w:type="dxa"/>
          </w:tcPr>
          <w:p w14:paraId="7AA4FCFC" w14:textId="77777777" w:rsidR="002F789C" w:rsidRPr="00632DBC" w:rsidRDefault="002F789C" w:rsidP="003C1FF6">
            <w:pPr>
              <w:spacing w:after="0" w:line="240" w:lineRule="auto"/>
              <w:rPr>
                <w:rFonts w:ascii="Calibri" w:hAnsi="Calibri"/>
                <w:i/>
                <w:sz w:val="17"/>
                <w:szCs w:val="17"/>
              </w:rPr>
            </w:pPr>
            <w:r w:rsidRPr="00632DBC">
              <w:rPr>
                <w:rFonts w:ascii="Calibri" w:hAnsi="Calibri"/>
                <w:sz w:val="17"/>
                <w:szCs w:val="17"/>
              </w:rPr>
              <w:t xml:space="preserve">Article 134 </w:t>
            </w:r>
            <w:proofErr w:type="spellStart"/>
            <w:r w:rsidRPr="00632DBC">
              <w:rPr>
                <w:rFonts w:ascii="Calibri" w:hAnsi="Calibri"/>
                <w:sz w:val="17"/>
                <w:szCs w:val="17"/>
              </w:rPr>
              <w:t>bis</w:t>
            </w:r>
            <w:proofErr w:type="spellEnd"/>
            <w:r w:rsidRPr="00632DBC">
              <w:rPr>
                <w:rFonts w:ascii="Calibri" w:hAnsi="Calibri"/>
                <w:sz w:val="17"/>
                <w:szCs w:val="17"/>
              </w:rPr>
              <w:t xml:space="preserve"> of the National Forest Law included explicitly international safeguards </w:t>
            </w:r>
          </w:p>
          <w:p w14:paraId="268A5406" w14:textId="77777777" w:rsidR="002F789C" w:rsidRPr="00632DBC" w:rsidRDefault="002F789C" w:rsidP="003C1FF6">
            <w:pPr>
              <w:spacing w:after="0" w:line="240" w:lineRule="auto"/>
              <w:rPr>
                <w:rFonts w:ascii="Calibri" w:hAnsi="Calibri" w:cs="‡≠nVˇ"/>
                <w:sz w:val="17"/>
                <w:szCs w:val="17"/>
              </w:rPr>
            </w:pPr>
          </w:p>
        </w:tc>
        <w:tc>
          <w:tcPr>
            <w:tcW w:w="2409" w:type="dxa"/>
          </w:tcPr>
          <w:p w14:paraId="033B7E65" w14:textId="1407FCD6" w:rsidR="002F789C" w:rsidRPr="00632DBC" w:rsidRDefault="002F789C" w:rsidP="003C1FF6">
            <w:pPr>
              <w:spacing w:after="0" w:line="240" w:lineRule="auto"/>
              <w:rPr>
                <w:rFonts w:ascii="Calibri" w:hAnsi="Calibri"/>
                <w:sz w:val="17"/>
                <w:szCs w:val="17"/>
              </w:rPr>
            </w:pPr>
            <w:r w:rsidRPr="00632DBC">
              <w:rPr>
                <w:rFonts w:ascii="Calibri" w:hAnsi="Calibri"/>
                <w:sz w:val="17"/>
                <w:szCs w:val="17"/>
              </w:rPr>
              <w:t xml:space="preserve">Article 34.1 of the Climate Change Law and Article 134 </w:t>
            </w:r>
            <w:proofErr w:type="spellStart"/>
            <w:r w:rsidRPr="00632DBC">
              <w:rPr>
                <w:rFonts w:ascii="Calibri" w:hAnsi="Calibri"/>
                <w:sz w:val="17"/>
                <w:szCs w:val="17"/>
              </w:rPr>
              <w:t>bis</w:t>
            </w:r>
            <w:proofErr w:type="spellEnd"/>
            <w:r w:rsidRPr="00632DBC">
              <w:rPr>
                <w:rFonts w:ascii="Calibri" w:hAnsi="Calibri"/>
                <w:sz w:val="17"/>
                <w:szCs w:val="17"/>
              </w:rPr>
              <w:t xml:space="preserve"> VIII of the National Forest Law establish that federal, state and municipal government levels should collaborate in carbon and ecosystem conservation issues.</w:t>
            </w:r>
          </w:p>
          <w:p w14:paraId="27236F85" w14:textId="77777777" w:rsidR="00FD097E" w:rsidRPr="00632DBC" w:rsidRDefault="00FD097E" w:rsidP="003C1FF6">
            <w:pPr>
              <w:spacing w:after="0" w:line="240" w:lineRule="auto"/>
              <w:rPr>
                <w:rFonts w:ascii="Calibri" w:hAnsi="Calibri"/>
                <w:sz w:val="17"/>
                <w:szCs w:val="17"/>
              </w:rPr>
            </w:pPr>
          </w:p>
          <w:p w14:paraId="157A0DD2" w14:textId="77777777" w:rsidR="002F789C" w:rsidRPr="00632DBC" w:rsidRDefault="002F789C" w:rsidP="003C1FF6">
            <w:pPr>
              <w:spacing w:after="0" w:line="240" w:lineRule="auto"/>
              <w:rPr>
                <w:rFonts w:ascii="Calibri" w:hAnsi="Calibri"/>
                <w:sz w:val="17"/>
                <w:szCs w:val="17"/>
              </w:rPr>
            </w:pPr>
            <w:r w:rsidRPr="00632DBC">
              <w:rPr>
                <w:rFonts w:ascii="Calibri" w:hAnsi="Calibri"/>
                <w:sz w:val="17"/>
                <w:szCs w:val="17"/>
              </w:rPr>
              <w:t xml:space="preserve">Article 134 </w:t>
            </w:r>
            <w:proofErr w:type="spellStart"/>
            <w:r w:rsidRPr="00632DBC">
              <w:rPr>
                <w:rFonts w:ascii="Calibri" w:hAnsi="Calibri"/>
                <w:sz w:val="17"/>
                <w:szCs w:val="17"/>
              </w:rPr>
              <w:t>bis</w:t>
            </w:r>
            <w:proofErr w:type="spellEnd"/>
            <w:r w:rsidRPr="00632DBC">
              <w:rPr>
                <w:rFonts w:ascii="Calibri" w:hAnsi="Calibri"/>
                <w:sz w:val="17"/>
                <w:szCs w:val="17"/>
              </w:rPr>
              <w:t xml:space="preserve"> IV ‘inclusion and territorial, cultural, social and gender equality’ and Article 134 </w:t>
            </w:r>
            <w:proofErr w:type="spellStart"/>
            <w:r w:rsidRPr="00632DBC">
              <w:rPr>
                <w:rFonts w:ascii="Calibri" w:hAnsi="Calibri"/>
                <w:sz w:val="17"/>
                <w:szCs w:val="17"/>
              </w:rPr>
              <w:t>bis</w:t>
            </w:r>
            <w:proofErr w:type="spellEnd"/>
            <w:r w:rsidRPr="00632DBC">
              <w:rPr>
                <w:rFonts w:ascii="Calibri" w:hAnsi="Calibri"/>
                <w:sz w:val="17"/>
                <w:szCs w:val="17"/>
              </w:rPr>
              <w:t xml:space="preserve"> VII of the National Forest Law “Recognition and respect to all forms of internal organization” </w:t>
            </w:r>
          </w:p>
          <w:p w14:paraId="0F259E7C" w14:textId="1879CF07" w:rsidR="00FD097E" w:rsidRPr="00632DBC" w:rsidRDefault="00FD097E" w:rsidP="003C1FF6">
            <w:pPr>
              <w:spacing w:after="0" w:line="240" w:lineRule="auto"/>
              <w:rPr>
                <w:rFonts w:ascii="Calibri" w:hAnsi="Calibri"/>
                <w:sz w:val="17"/>
                <w:szCs w:val="17"/>
              </w:rPr>
            </w:pPr>
          </w:p>
        </w:tc>
      </w:tr>
      <w:tr w:rsidR="00633A71" w:rsidRPr="00632DBC" w14:paraId="4204C7A2" w14:textId="77777777" w:rsidTr="00565A2A">
        <w:tc>
          <w:tcPr>
            <w:tcW w:w="1560" w:type="dxa"/>
          </w:tcPr>
          <w:p w14:paraId="29F21319" w14:textId="77777777" w:rsidR="002F789C" w:rsidRPr="00632DBC" w:rsidRDefault="002F789C" w:rsidP="00EB5473">
            <w:pPr>
              <w:rPr>
                <w:rFonts w:ascii="Calibri" w:hAnsi="Calibri"/>
                <w:sz w:val="17"/>
                <w:szCs w:val="17"/>
              </w:rPr>
            </w:pPr>
            <w:r w:rsidRPr="00632DBC">
              <w:rPr>
                <w:rFonts w:ascii="Calibri" w:hAnsi="Calibri"/>
                <w:sz w:val="17"/>
                <w:szCs w:val="17"/>
              </w:rPr>
              <w:t xml:space="preserve">Lessons of the case </w:t>
            </w:r>
          </w:p>
        </w:tc>
        <w:tc>
          <w:tcPr>
            <w:tcW w:w="2268" w:type="dxa"/>
          </w:tcPr>
          <w:p w14:paraId="46D37535" w14:textId="3AA1C198" w:rsidR="002F789C" w:rsidRPr="00632DBC" w:rsidRDefault="002F789C" w:rsidP="00780015">
            <w:pPr>
              <w:spacing w:after="0" w:line="240" w:lineRule="auto"/>
              <w:rPr>
                <w:rFonts w:ascii="Calibri" w:hAnsi="Calibri"/>
                <w:sz w:val="17"/>
                <w:szCs w:val="17"/>
              </w:rPr>
            </w:pPr>
            <w:r w:rsidRPr="00632DBC">
              <w:rPr>
                <w:rFonts w:ascii="Calibri" w:hAnsi="Calibri"/>
                <w:sz w:val="17"/>
                <w:szCs w:val="17"/>
              </w:rPr>
              <w:t xml:space="preserve">Locals and indigenous </w:t>
            </w:r>
            <w:r w:rsidR="00780015" w:rsidRPr="00632DBC">
              <w:rPr>
                <w:rFonts w:ascii="Calibri" w:hAnsi="Calibri"/>
                <w:sz w:val="17"/>
                <w:szCs w:val="17"/>
              </w:rPr>
              <w:t xml:space="preserve">people are forced </w:t>
            </w:r>
            <w:r w:rsidRPr="00632DBC">
              <w:rPr>
                <w:rFonts w:ascii="Calibri" w:hAnsi="Calibri"/>
                <w:sz w:val="17"/>
                <w:szCs w:val="17"/>
              </w:rPr>
              <w:t xml:space="preserve">to legally prove that specific benefits generated by ecosystems are necessary for the survival of the natural and biological </w:t>
            </w:r>
            <w:proofErr w:type="gramStart"/>
            <w:r w:rsidRPr="00632DBC">
              <w:rPr>
                <w:rFonts w:ascii="Calibri" w:hAnsi="Calibri"/>
                <w:sz w:val="17"/>
                <w:szCs w:val="17"/>
              </w:rPr>
              <w:t>system as a whole</w:t>
            </w:r>
            <w:proofErr w:type="gramEnd"/>
            <w:r w:rsidRPr="00632DBC">
              <w:rPr>
                <w:rFonts w:ascii="Calibri" w:hAnsi="Calibri"/>
                <w:sz w:val="17"/>
                <w:szCs w:val="17"/>
              </w:rPr>
              <w:t xml:space="preserve">. Explicit recognition to values and definitions concerning ecosystems embedded in consuetudinary norms could contribute to fill this gap. </w:t>
            </w:r>
          </w:p>
        </w:tc>
        <w:tc>
          <w:tcPr>
            <w:tcW w:w="2127" w:type="dxa"/>
          </w:tcPr>
          <w:p w14:paraId="0B1412CF" w14:textId="799F9983" w:rsidR="002F789C" w:rsidRPr="00632DBC" w:rsidRDefault="002F789C" w:rsidP="00D31F4E">
            <w:pPr>
              <w:spacing w:after="0" w:line="240" w:lineRule="auto"/>
              <w:rPr>
                <w:rFonts w:ascii="Calibri" w:hAnsi="Calibri"/>
                <w:sz w:val="17"/>
                <w:szCs w:val="17"/>
              </w:rPr>
            </w:pPr>
            <w:r w:rsidRPr="00632DBC">
              <w:rPr>
                <w:rFonts w:ascii="Calibri" w:hAnsi="Calibri"/>
                <w:sz w:val="17"/>
                <w:szCs w:val="17"/>
              </w:rPr>
              <w:t xml:space="preserve">Not all inhabitants in </w:t>
            </w:r>
            <w:r w:rsidRPr="00632DBC">
              <w:rPr>
                <w:rFonts w:ascii="Calibri" w:hAnsi="Calibri"/>
                <w:i/>
                <w:sz w:val="17"/>
                <w:szCs w:val="17"/>
              </w:rPr>
              <w:t>ejidos</w:t>
            </w:r>
            <w:r w:rsidR="00BC2627" w:rsidRPr="00632DBC">
              <w:rPr>
                <w:rFonts w:ascii="Calibri" w:hAnsi="Calibri"/>
                <w:i/>
                <w:sz w:val="17"/>
                <w:szCs w:val="17"/>
              </w:rPr>
              <w:t>,</w:t>
            </w:r>
            <w:r w:rsidRPr="00632DBC">
              <w:rPr>
                <w:rFonts w:ascii="Calibri" w:hAnsi="Calibri"/>
                <w:sz w:val="17"/>
                <w:szCs w:val="17"/>
              </w:rPr>
              <w:t xml:space="preserve"> or indigenous communities that rely on the local ecosystem and biodiversity have property rights. Furthermore, not all local groups fall into these catego</w:t>
            </w:r>
            <w:r w:rsidR="003168E0" w:rsidRPr="00632DBC">
              <w:rPr>
                <w:rFonts w:ascii="Calibri" w:hAnsi="Calibri"/>
                <w:sz w:val="17"/>
                <w:szCs w:val="17"/>
              </w:rPr>
              <w:t xml:space="preserve">ries. Safeguarding livelihoods </w:t>
            </w:r>
            <w:r w:rsidRPr="00632DBC">
              <w:rPr>
                <w:rFonts w:ascii="Calibri" w:hAnsi="Calibri"/>
                <w:sz w:val="17"/>
                <w:szCs w:val="17"/>
              </w:rPr>
              <w:t>of these groups is key for avoiding conflict.</w:t>
            </w:r>
          </w:p>
        </w:tc>
        <w:tc>
          <w:tcPr>
            <w:tcW w:w="2268" w:type="dxa"/>
          </w:tcPr>
          <w:p w14:paraId="1C224E37" w14:textId="77777777" w:rsidR="002F789C" w:rsidRPr="00632DBC" w:rsidRDefault="002F789C" w:rsidP="003C1FF6">
            <w:pPr>
              <w:spacing w:after="0" w:line="240" w:lineRule="auto"/>
              <w:rPr>
                <w:rFonts w:ascii="Calibri" w:hAnsi="Calibri"/>
                <w:sz w:val="17"/>
                <w:szCs w:val="17"/>
              </w:rPr>
            </w:pPr>
            <w:r w:rsidRPr="00632DBC">
              <w:rPr>
                <w:rFonts w:ascii="Calibri" w:hAnsi="Calibri"/>
                <w:sz w:val="17"/>
                <w:szCs w:val="17"/>
              </w:rPr>
              <w:t>Lack of specificity hampers applicability.</w:t>
            </w:r>
          </w:p>
        </w:tc>
        <w:tc>
          <w:tcPr>
            <w:tcW w:w="2409" w:type="dxa"/>
          </w:tcPr>
          <w:p w14:paraId="6B1F649A" w14:textId="77777777" w:rsidR="002F789C" w:rsidRPr="00632DBC" w:rsidRDefault="002F789C" w:rsidP="003C1FF6">
            <w:pPr>
              <w:spacing w:after="0" w:line="240" w:lineRule="auto"/>
              <w:rPr>
                <w:rFonts w:ascii="Calibri" w:hAnsi="Calibri"/>
                <w:sz w:val="17"/>
                <w:szCs w:val="17"/>
              </w:rPr>
            </w:pPr>
            <w:r w:rsidRPr="00632DBC">
              <w:rPr>
                <w:rFonts w:ascii="Calibri" w:hAnsi="Calibri"/>
                <w:sz w:val="17"/>
                <w:szCs w:val="17"/>
              </w:rPr>
              <w:t>Appointing the process of integrating policies in a synergic way to a specific government agency, so collaboration can be reached.</w:t>
            </w:r>
          </w:p>
          <w:p w14:paraId="336EF048" w14:textId="77777777" w:rsidR="002F789C" w:rsidRPr="00633A71" w:rsidRDefault="002F789C" w:rsidP="003C1FF6">
            <w:pPr>
              <w:spacing w:after="0" w:line="240" w:lineRule="auto"/>
              <w:rPr>
                <w:rFonts w:ascii="Calibri" w:hAnsi="Calibri"/>
                <w:sz w:val="17"/>
                <w:szCs w:val="17"/>
              </w:rPr>
            </w:pPr>
            <w:r w:rsidRPr="00632DBC">
              <w:rPr>
                <w:rFonts w:ascii="Calibri" w:hAnsi="Calibri"/>
                <w:sz w:val="17"/>
                <w:szCs w:val="17"/>
              </w:rPr>
              <w:t>Safeguards seeking inclusion, participation and equality might clash with pre-existent institutional arrangements at local and national level. Cross-scale dialogue as a formal safeguard can help to overcome these barriers.</w:t>
            </w:r>
          </w:p>
        </w:tc>
      </w:tr>
    </w:tbl>
    <w:p w14:paraId="4C6B64A6" w14:textId="77777777" w:rsidR="002F789C" w:rsidRPr="00632DBC" w:rsidRDefault="002F789C" w:rsidP="002F789C">
      <w:pPr>
        <w:rPr>
          <w:rFonts w:ascii="Calibri" w:hAnsi="Calibri"/>
        </w:rPr>
      </w:pPr>
    </w:p>
    <w:p w14:paraId="2451A50C" w14:textId="7AD13238" w:rsidR="00E2590D" w:rsidRPr="00632DBC" w:rsidRDefault="00E2590D" w:rsidP="003966BA">
      <w:pPr>
        <w:pStyle w:val="Heading2"/>
        <w:numPr>
          <w:ilvl w:val="0"/>
          <w:numId w:val="5"/>
        </w:numPr>
        <w:rPr>
          <w:lang w:val="en-GB"/>
        </w:rPr>
      </w:pPr>
      <w:bookmarkStart w:id="170" w:name="_Toc529199442"/>
      <w:r w:rsidRPr="00632DBC">
        <w:rPr>
          <w:lang w:val="en-GB"/>
        </w:rPr>
        <w:t>Safeguards and Environmental Impact Assessment</w:t>
      </w:r>
      <w:bookmarkEnd w:id="170"/>
    </w:p>
    <w:p w14:paraId="7ED73526" w14:textId="77777777" w:rsidR="00E2590D" w:rsidRPr="00632DBC" w:rsidRDefault="00E2590D" w:rsidP="003E2184">
      <w:pPr>
        <w:autoSpaceDE w:val="0"/>
        <w:autoSpaceDN w:val="0"/>
        <w:adjustRightInd w:val="0"/>
        <w:spacing w:after="0" w:line="240" w:lineRule="auto"/>
        <w:rPr>
          <w:rFonts w:ascii="Times" w:hAnsi="Times"/>
        </w:rPr>
      </w:pPr>
    </w:p>
    <w:p w14:paraId="7FE6251E" w14:textId="114F0822" w:rsidR="00E2590D" w:rsidRPr="00632DBC" w:rsidRDefault="00E2590D" w:rsidP="00671B8C">
      <w:pPr>
        <w:jc w:val="both"/>
        <w:rPr>
          <w:rFonts w:ascii="Times New Roman" w:hAnsi="Times New Roman"/>
        </w:rPr>
      </w:pPr>
      <w:r w:rsidRPr="00632DBC">
        <w:rPr>
          <w:rFonts w:ascii="Times New Roman" w:hAnsi="Times New Roman"/>
        </w:rPr>
        <w:t>Prior to developing BFMs safeguards, environmental impact assessments can be relevant for identifying what needs to be safeguarded in the respective BFMs and specific case</w:t>
      </w:r>
      <w:r w:rsidR="00B27733" w:rsidRPr="00632DBC">
        <w:rPr>
          <w:rFonts w:ascii="Times New Roman" w:hAnsi="Times New Roman"/>
        </w:rPr>
        <w:t>s</w:t>
      </w:r>
      <w:r w:rsidRPr="00632DBC">
        <w:rPr>
          <w:rFonts w:ascii="Times New Roman" w:hAnsi="Times New Roman"/>
        </w:rPr>
        <w:t>. Environmental Impact Assessment (EIA) is a formal study conducted prior to the implementation of a policy or a project for analysing its potential effects on the environment</w:t>
      </w:r>
      <w:r w:rsidR="00B27733" w:rsidRPr="00632DBC">
        <w:rPr>
          <w:rFonts w:ascii="Times New Roman" w:hAnsi="Times New Roman"/>
        </w:rPr>
        <w:t>.</w:t>
      </w:r>
      <w:r w:rsidRPr="00632DBC">
        <w:rPr>
          <w:rFonts w:ascii="Times New Roman" w:hAnsi="Times New Roman"/>
        </w:rPr>
        <w:t xml:space="preserve"> </w:t>
      </w:r>
      <w:r w:rsidR="00B27733" w:rsidRPr="00632DBC">
        <w:rPr>
          <w:rFonts w:ascii="Times New Roman" w:hAnsi="Times New Roman"/>
        </w:rPr>
        <w:t>I</w:t>
      </w:r>
      <w:r w:rsidRPr="00632DBC">
        <w:rPr>
          <w:rFonts w:ascii="Times New Roman" w:hAnsi="Times New Roman"/>
        </w:rPr>
        <w:t xml:space="preserve">n some </w:t>
      </w:r>
      <w:r w:rsidR="00BC2627" w:rsidRPr="00632DBC">
        <w:rPr>
          <w:rFonts w:ascii="Times New Roman" w:hAnsi="Times New Roman"/>
        </w:rPr>
        <w:t>cases,</w:t>
      </w:r>
      <w:r w:rsidRPr="00632DBC">
        <w:rPr>
          <w:rFonts w:ascii="Times New Roman" w:hAnsi="Times New Roman"/>
        </w:rPr>
        <w:t xml:space="preserve"> it also includes an evaluation of whether impacts can be mitigated and managed (UNEP-UNDP, 2010).</w:t>
      </w:r>
    </w:p>
    <w:p w14:paraId="23E524B8" w14:textId="1FF7AEF6" w:rsidR="00E2590D" w:rsidRPr="00632DBC" w:rsidRDefault="00E2590D" w:rsidP="00671B8C">
      <w:pPr>
        <w:jc w:val="both"/>
        <w:rPr>
          <w:rFonts w:ascii="Times New Roman" w:hAnsi="Times New Roman"/>
        </w:rPr>
      </w:pPr>
      <w:r w:rsidRPr="00632DBC">
        <w:rPr>
          <w:rFonts w:ascii="Times New Roman" w:hAnsi="Times New Roman"/>
        </w:rPr>
        <w:t xml:space="preserve">The CBD Secretariat’s Advice on the application of relevant safeguards for biodiversity </w:t>
      </w:r>
      <w:proofErr w:type="gramStart"/>
      <w:r w:rsidRPr="00632DBC">
        <w:rPr>
          <w:rFonts w:ascii="Times New Roman" w:hAnsi="Times New Roman"/>
        </w:rPr>
        <w:t>with regard to</w:t>
      </w:r>
      <w:proofErr w:type="gramEnd"/>
      <w:r w:rsidRPr="00632DBC">
        <w:rPr>
          <w:rFonts w:ascii="Times New Roman" w:hAnsi="Times New Roman"/>
        </w:rPr>
        <w:t xml:space="preserve"> REDD+</w:t>
      </w:r>
      <w:r w:rsidR="00BC2627" w:rsidRPr="00632DBC">
        <w:rPr>
          <w:rFonts w:ascii="Times New Roman" w:hAnsi="Times New Roman"/>
        </w:rPr>
        <w:t>,</w:t>
      </w:r>
      <w:r w:rsidRPr="00632DBC">
        <w:rPr>
          <w:rFonts w:ascii="Times New Roman" w:hAnsi="Times New Roman"/>
        </w:rPr>
        <w:t xml:space="preserve"> explicitly mentions the assessment of impacts of mitigation and adaptation measures on biodiversity “…based on results from strategic environmental assessments (SEAs)</w:t>
      </w:r>
      <w:r w:rsidRPr="00632DBC">
        <w:rPr>
          <w:rFonts w:ascii="Times New Roman" w:hAnsi="Times New Roman"/>
          <w:vertAlign w:val="superscript"/>
        </w:rPr>
        <w:footnoteReference w:id="230"/>
      </w:r>
      <w:r w:rsidRPr="00632DBC">
        <w:rPr>
          <w:rFonts w:ascii="Times New Roman" w:hAnsi="Times New Roman"/>
        </w:rPr>
        <w:t xml:space="preserve"> and environmental impact assessments (EIAs) that facilitate the consideration of all available climate-change mitigation and adaptation options…”</w:t>
      </w:r>
    </w:p>
    <w:p w14:paraId="15B60ACA" w14:textId="1E5F5F70" w:rsidR="00E2590D" w:rsidRPr="00632DBC" w:rsidRDefault="00BC2627" w:rsidP="00671B8C">
      <w:pPr>
        <w:jc w:val="both"/>
        <w:rPr>
          <w:rFonts w:ascii="Times New Roman" w:hAnsi="Times New Roman"/>
        </w:rPr>
      </w:pPr>
      <w:r w:rsidRPr="00632DBC">
        <w:rPr>
          <w:rFonts w:ascii="Times New Roman" w:hAnsi="Times New Roman"/>
        </w:rPr>
        <w:t xml:space="preserve">This is in accordance with </w:t>
      </w:r>
      <w:r w:rsidR="00E2590D" w:rsidRPr="00632DBC">
        <w:rPr>
          <w:rFonts w:ascii="Times New Roman" w:hAnsi="Times New Roman"/>
        </w:rPr>
        <w:t>framework principle 8 on human rights and the environment</w:t>
      </w:r>
      <w:r w:rsidR="007C69B6" w:rsidRPr="00632DBC">
        <w:rPr>
          <w:rFonts w:ascii="Times New Roman" w:hAnsi="Times New Roman"/>
        </w:rPr>
        <w:t xml:space="preserve"> that</w:t>
      </w:r>
      <w:r w:rsidRPr="00632DBC">
        <w:rPr>
          <w:rFonts w:ascii="Times New Roman" w:hAnsi="Times New Roman"/>
        </w:rPr>
        <w:t xml:space="preserve"> states,</w:t>
      </w:r>
      <w:r w:rsidR="00E2590D" w:rsidRPr="00632DBC">
        <w:rPr>
          <w:rFonts w:ascii="Times New Roman" w:hAnsi="Times New Roman"/>
        </w:rPr>
        <w:t xml:space="preserve"> “To avoid undertaking or authorizing actions with environmental impacts that interfere with the full enjoyment of human rights, States should require the prior assessment of the possible environmental impacts of proposed projects and policies, including their potential effects on the enjoyment of human rights</w:t>
      </w:r>
      <w:r w:rsidR="00F36DF7" w:rsidRPr="00632DBC">
        <w:rPr>
          <w:rFonts w:ascii="Times New Roman" w:hAnsi="Times New Roman"/>
        </w:rPr>
        <w:t>”.</w:t>
      </w:r>
      <w:r w:rsidR="00E2590D" w:rsidRPr="00632DBC">
        <w:rPr>
          <w:rStyle w:val="FootnoteReference"/>
          <w:rFonts w:ascii="Times New Roman" w:hAnsi="Times New Roman"/>
        </w:rPr>
        <w:footnoteReference w:id="231"/>
      </w:r>
    </w:p>
    <w:p w14:paraId="2AA1C76F" w14:textId="4BDD0190" w:rsidR="00E2590D" w:rsidRPr="00632DBC" w:rsidRDefault="00E2590D" w:rsidP="00671B8C">
      <w:pPr>
        <w:jc w:val="both"/>
        <w:rPr>
          <w:rFonts w:ascii="Times New Roman" w:hAnsi="Times New Roman"/>
        </w:rPr>
      </w:pPr>
      <w:r w:rsidRPr="00632DBC">
        <w:rPr>
          <w:rFonts w:ascii="Times New Roman" w:hAnsi="Times New Roman"/>
        </w:rPr>
        <w:t>The Human Rights Council’s Compilation of Good Practices establishes that</w:t>
      </w:r>
      <w:r w:rsidR="007C69B6" w:rsidRPr="00632DBC">
        <w:rPr>
          <w:rFonts w:ascii="Times New Roman" w:hAnsi="Times New Roman"/>
        </w:rPr>
        <w:t>,</w:t>
      </w:r>
      <w:r w:rsidRPr="00632DBC">
        <w:rPr>
          <w:rFonts w:ascii="Times New Roman" w:hAnsi="Times New Roman"/>
        </w:rPr>
        <w:t xml:space="preserve"> assessing environmental impacts is a procedural obligation of States for safeguarding the substantive right to the enjoyment of a safe, clean, healthy and sustainable environment.</w:t>
      </w:r>
      <w:r w:rsidRPr="00632DBC">
        <w:rPr>
          <w:rStyle w:val="FootnoteReference"/>
          <w:rFonts w:ascii="Times New Roman" w:hAnsi="Times New Roman"/>
        </w:rPr>
        <w:footnoteReference w:id="232"/>
      </w:r>
      <w:r w:rsidRPr="00632DBC">
        <w:rPr>
          <w:rFonts w:ascii="Times New Roman" w:hAnsi="Times New Roman"/>
        </w:rPr>
        <w:t xml:space="preserve"> Likewise, the UN rapporteur of </w:t>
      </w:r>
      <w:r w:rsidR="007C69B6" w:rsidRPr="00632DBC">
        <w:rPr>
          <w:rFonts w:ascii="Times New Roman" w:hAnsi="Times New Roman"/>
        </w:rPr>
        <w:t xml:space="preserve">human rights </w:t>
      </w:r>
      <w:r w:rsidRPr="00632DBC">
        <w:rPr>
          <w:rFonts w:ascii="Times New Roman" w:hAnsi="Times New Roman"/>
        </w:rPr>
        <w:t>points out that it is</w:t>
      </w:r>
      <w:r w:rsidR="007C69B6" w:rsidRPr="00632DBC">
        <w:rPr>
          <w:rFonts w:ascii="Times New Roman" w:hAnsi="Times New Roman"/>
        </w:rPr>
        <w:t>,</w:t>
      </w:r>
      <w:r w:rsidRPr="00632DBC">
        <w:rPr>
          <w:rFonts w:ascii="Times New Roman" w:hAnsi="Times New Roman"/>
        </w:rPr>
        <w:t xml:space="preserve"> “state’s obligation to provide for the assessment of environmental impact assessment (EIA) that may interfere with human rights”</w:t>
      </w:r>
      <w:r w:rsidR="00F40223" w:rsidRPr="00632DBC">
        <w:rPr>
          <w:rFonts w:ascii="Times New Roman" w:hAnsi="Times New Roman"/>
        </w:rPr>
        <w:t>.</w:t>
      </w:r>
      <w:r w:rsidRPr="00632DBC">
        <w:rPr>
          <w:rStyle w:val="FootnoteReference"/>
          <w:rFonts w:ascii="Times New Roman" w:hAnsi="Times New Roman"/>
        </w:rPr>
        <w:footnoteReference w:id="233"/>
      </w:r>
      <w:r w:rsidRPr="00632DBC">
        <w:rPr>
          <w:rFonts w:ascii="Times New Roman" w:hAnsi="Times New Roman"/>
        </w:rPr>
        <w:t xml:space="preserve"> Moreover, the monitoring of performance and compliance of the EIA and Environmental Management Plans if implemented adequately can lead to greater transparency and accountability. Every State has an obligation to provide for the assessment of environmental impacts that may interfere with the full enjoyment of human rights</w:t>
      </w:r>
    </w:p>
    <w:p w14:paraId="5A4F611F" w14:textId="76EEB506" w:rsidR="00E2590D" w:rsidRPr="00632DBC" w:rsidRDefault="00E2590D" w:rsidP="0017261F">
      <w:pPr>
        <w:autoSpaceDE w:val="0"/>
        <w:autoSpaceDN w:val="0"/>
        <w:adjustRightInd w:val="0"/>
        <w:spacing w:after="0" w:line="240" w:lineRule="auto"/>
        <w:rPr>
          <w:rFonts w:ascii="Times" w:hAnsi="Times"/>
        </w:rPr>
      </w:pPr>
    </w:p>
    <w:p w14:paraId="4D9A7630" w14:textId="77777777" w:rsidR="00E2590D" w:rsidRPr="00632DBC" w:rsidRDefault="00E2590D" w:rsidP="0017261F">
      <w:pPr>
        <w:autoSpaceDE w:val="0"/>
        <w:autoSpaceDN w:val="0"/>
        <w:adjustRightInd w:val="0"/>
        <w:spacing w:after="0" w:line="240" w:lineRule="auto"/>
        <w:rPr>
          <w:rFonts w:ascii="Times" w:hAnsi="Times"/>
        </w:rPr>
      </w:pPr>
    </w:p>
    <w:p w14:paraId="454CE786" w14:textId="300D1C48" w:rsidR="00671B8C" w:rsidRPr="00632DBC" w:rsidRDefault="00671B8C" w:rsidP="00E2590D">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Calibri" w:hAnsi="Calibri"/>
          <w:b/>
          <w:i/>
        </w:rPr>
      </w:pPr>
      <w:r w:rsidRPr="00632DBC">
        <w:rPr>
          <w:rFonts w:ascii="Calibri" w:hAnsi="Calibri"/>
          <w:b/>
          <w:i/>
        </w:rPr>
        <w:t xml:space="preserve">Box </w:t>
      </w:r>
      <w:r w:rsidR="009C7770" w:rsidRPr="00632DBC">
        <w:rPr>
          <w:rFonts w:ascii="Calibri" w:hAnsi="Calibri"/>
          <w:b/>
          <w:i/>
        </w:rPr>
        <w:t>14</w:t>
      </w:r>
      <w:r w:rsidRPr="00632DBC">
        <w:rPr>
          <w:rFonts w:ascii="Calibri" w:hAnsi="Calibri"/>
          <w:b/>
          <w:i/>
        </w:rPr>
        <w:t xml:space="preserve">. </w:t>
      </w:r>
      <w:r w:rsidR="00730118" w:rsidRPr="00632DBC">
        <w:rPr>
          <w:rFonts w:ascii="Calibri" w:hAnsi="Calibri"/>
          <w:b/>
          <w:i/>
        </w:rPr>
        <w:t xml:space="preserve">The European Union recognises procedural </w:t>
      </w:r>
      <w:r w:rsidR="00FF79F3" w:rsidRPr="00632DBC">
        <w:rPr>
          <w:rFonts w:ascii="Calibri" w:hAnsi="Calibri"/>
          <w:b/>
          <w:i/>
        </w:rPr>
        <w:t xml:space="preserve">safeguards </w:t>
      </w:r>
      <w:r w:rsidR="00730118" w:rsidRPr="00632DBC">
        <w:rPr>
          <w:rFonts w:ascii="Calibri" w:hAnsi="Calibri"/>
          <w:b/>
          <w:i/>
        </w:rPr>
        <w:t xml:space="preserve">dimensions of EIA </w:t>
      </w:r>
    </w:p>
    <w:p w14:paraId="20FAE4ED" w14:textId="2AACE153" w:rsidR="00E2590D" w:rsidRPr="00632DBC" w:rsidRDefault="00E2590D" w:rsidP="00E2590D">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Calibri" w:hAnsi="Calibri"/>
        </w:rPr>
      </w:pPr>
      <w:r w:rsidRPr="00632DBC">
        <w:rPr>
          <w:rFonts w:ascii="Calibri" w:hAnsi="Calibri"/>
        </w:rPr>
        <w:t>The EU Directive 2003/35 recognises the right of participation in decision-making involving EIAs (Directive 85/337) and provides for judicial remedies in cases where the right of participation is not respected.</w:t>
      </w:r>
      <w:r w:rsidRPr="00632DBC">
        <w:rPr>
          <w:rFonts w:ascii="Calibri" w:hAnsi="Calibri"/>
          <w:vertAlign w:val="superscript"/>
        </w:rPr>
        <w:footnoteReference w:id="234"/>
      </w:r>
      <w:r w:rsidRPr="00632DBC">
        <w:rPr>
          <w:rFonts w:ascii="Calibri" w:hAnsi="Calibri"/>
        </w:rPr>
        <w:t xml:space="preserve"> </w:t>
      </w:r>
    </w:p>
    <w:p w14:paraId="542D0AAC" w14:textId="7891BBCA" w:rsidR="00E2590D" w:rsidRPr="00632DBC" w:rsidRDefault="00E2590D" w:rsidP="00E2590D">
      <w:pPr>
        <w:pBdr>
          <w:top w:val="single" w:sz="4" w:space="6" w:color="auto"/>
          <w:left w:val="single" w:sz="4" w:space="4" w:color="auto"/>
          <w:bottom w:val="single" w:sz="4" w:space="6" w:color="auto"/>
          <w:right w:val="single" w:sz="4" w:space="4" w:color="auto"/>
        </w:pBdr>
        <w:shd w:val="clear" w:color="auto" w:fill="F2F2F2"/>
        <w:spacing w:line="240" w:lineRule="auto"/>
        <w:jc w:val="both"/>
        <w:rPr>
          <w:rFonts w:ascii="Calibri" w:hAnsi="Calibri"/>
        </w:rPr>
      </w:pPr>
      <w:r w:rsidRPr="00632DBC">
        <w:rPr>
          <w:rFonts w:ascii="Calibri" w:hAnsi="Calibri"/>
        </w:rPr>
        <w:t>The EU, in its submissions sent to the CBD secretariat responding to paragraph 8 (c) of decision X/3 A</w:t>
      </w:r>
      <w:r w:rsidR="00B07093" w:rsidRPr="00632DBC">
        <w:rPr>
          <w:rFonts w:ascii="Calibri" w:hAnsi="Calibri"/>
        </w:rPr>
        <w:t>,</w:t>
      </w:r>
      <w:r w:rsidRPr="00632DBC">
        <w:rPr>
          <w:rFonts w:ascii="Calibri" w:hAnsi="Calibri"/>
        </w:rPr>
        <w:t xml:space="preserve"> mentioned that</w:t>
      </w:r>
      <w:r w:rsidR="00B07093" w:rsidRPr="00632DBC">
        <w:rPr>
          <w:rFonts w:ascii="Calibri" w:hAnsi="Calibri"/>
        </w:rPr>
        <w:t>,</w:t>
      </w:r>
      <w:r w:rsidRPr="00632DBC">
        <w:rPr>
          <w:rFonts w:ascii="Calibri" w:hAnsi="Calibri"/>
        </w:rPr>
        <w:t xml:space="preserve"> “Prior to the implementation of any kind of innovative financial mechanism, a </w:t>
      </w:r>
      <w:r w:rsidRPr="00632DBC">
        <w:rPr>
          <w:rFonts w:ascii="Calibri" w:hAnsi="Calibri"/>
        </w:rPr>
        <w:lastRenderedPageBreak/>
        <w:t xml:space="preserve">thorough environmental impact assessment needs to be carried out </w:t>
      </w:r>
      <w:proofErr w:type="gramStart"/>
      <w:r w:rsidRPr="00632DBC">
        <w:rPr>
          <w:rFonts w:ascii="Calibri" w:hAnsi="Calibri"/>
        </w:rPr>
        <w:t>in order to</w:t>
      </w:r>
      <w:proofErr w:type="gramEnd"/>
      <w:r w:rsidRPr="00632DBC">
        <w:rPr>
          <w:rFonts w:ascii="Calibri" w:hAnsi="Calibri"/>
        </w:rPr>
        <w:t xml:space="preserve"> evaluate and gauge the impact on biodiversity but also on the larger environment”.</w:t>
      </w:r>
      <w:r w:rsidRPr="00632DBC">
        <w:rPr>
          <w:rStyle w:val="FootnoteReference"/>
          <w:rFonts w:ascii="Calibri" w:hAnsi="Calibri"/>
          <w:iCs/>
        </w:rPr>
        <w:footnoteReference w:id="235"/>
      </w:r>
    </w:p>
    <w:p w14:paraId="39B4E754" w14:textId="77777777" w:rsidR="00E2590D" w:rsidRPr="00632DBC" w:rsidRDefault="00E2590D" w:rsidP="0017261F">
      <w:pPr>
        <w:autoSpaceDE w:val="0"/>
        <w:autoSpaceDN w:val="0"/>
        <w:adjustRightInd w:val="0"/>
        <w:spacing w:after="0" w:line="240" w:lineRule="auto"/>
        <w:rPr>
          <w:rFonts w:ascii="Times" w:hAnsi="Times"/>
        </w:rPr>
      </w:pPr>
    </w:p>
    <w:p w14:paraId="6C63D589" w14:textId="77777777" w:rsidR="00E2590D" w:rsidRPr="00632DBC" w:rsidRDefault="00E2590D" w:rsidP="0017261F">
      <w:pPr>
        <w:autoSpaceDE w:val="0"/>
        <w:autoSpaceDN w:val="0"/>
        <w:adjustRightInd w:val="0"/>
        <w:spacing w:after="0" w:line="240" w:lineRule="auto"/>
        <w:rPr>
          <w:rFonts w:ascii="Times" w:hAnsi="Times"/>
        </w:rPr>
      </w:pPr>
    </w:p>
    <w:p w14:paraId="77D4F459" w14:textId="46808375" w:rsidR="009464E9" w:rsidRPr="00632DBC" w:rsidRDefault="009464E9" w:rsidP="009464E9">
      <w:pPr>
        <w:pStyle w:val="Caption"/>
        <w:jc w:val="left"/>
        <w:rPr>
          <w:sz w:val="24"/>
          <w:szCs w:val="24"/>
        </w:rPr>
      </w:pPr>
      <w:bookmarkStart w:id="171" w:name="_Toc398938290"/>
      <w:bookmarkStart w:id="172" w:name="_Toc529190582"/>
      <w:r w:rsidRPr="00633A71">
        <w:rPr>
          <w:sz w:val="24"/>
          <w:szCs w:val="24"/>
        </w:rPr>
        <w:t xml:space="preserve">Case study </w:t>
      </w:r>
      <w:r w:rsidR="008B016B">
        <w:rPr>
          <w:sz w:val="24"/>
          <w:szCs w:val="24"/>
        </w:rPr>
        <w:fldChar w:fldCharType="begin"/>
      </w:r>
      <w:r w:rsidR="008B016B">
        <w:rPr>
          <w:sz w:val="24"/>
          <w:szCs w:val="24"/>
        </w:rPr>
        <w:instrText xml:space="preserve"> SEQ Case_study \* ROMAN </w:instrText>
      </w:r>
      <w:r w:rsidR="008B016B">
        <w:rPr>
          <w:sz w:val="24"/>
          <w:szCs w:val="24"/>
        </w:rPr>
        <w:fldChar w:fldCharType="separate"/>
      </w:r>
      <w:r w:rsidR="008B016B">
        <w:rPr>
          <w:noProof/>
          <w:sz w:val="24"/>
          <w:szCs w:val="24"/>
        </w:rPr>
        <w:t>V</w:t>
      </w:r>
      <w:r w:rsidR="008B016B">
        <w:rPr>
          <w:sz w:val="24"/>
          <w:szCs w:val="24"/>
        </w:rPr>
        <w:fldChar w:fldCharType="end"/>
      </w:r>
      <w:r w:rsidRPr="00632DBC">
        <w:rPr>
          <w:sz w:val="24"/>
          <w:szCs w:val="24"/>
        </w:rPr>
        <w:t>. Environmental Impact Assessment in Lao PDR</w:t>
      </w:r>
      <w:bookmarkEnd w:id="171"/>
      <w:bookmarkEnd w:id="172"/>
    </w:p>
    <w:p w14:paraId="10C4B543" w14:textId="09DE235B" w:rsidR="005B7248" w:rsidRPr="00632DBC" w:rsidRDefault="005B7248" w:rsidP="00F36825">
      <w:pPr>
        <w:spacing w:line="240" w:lineRule="auto"/>
        <w:jc w:val="both"/>
        <w:rPr>
          <w:rFonts w:ascii="Times New Roman" w:hAnsi="Times New Roman"/>
        </w:rPr>
      </w:pPr>
      <w:r w:rsidRPr="00632DBC">
        <w:rPr>
          <w:rFonts w:ascii="Times New Roman" w:hAnsi="Times New Roman"/>
          <w:sz w:val="18"/>
          <w:szCs w:val="18"/>
        </w:rPr>
        <w:t>This case is a synthesis of Martinez</w:t>
      </w:r>
      <w:r w:rsidR="00464E19" w:rsidRPr="00632DBC">
        <w:rPr>
          <w:rFonts w:ascii="Times New Roman" w:hAnsi="Times New Roman"/>
          <w:sz w:val="18"/>
          <w:szCs w:val="18"/>
        </w:rPr>
        <w:t>-Peña</w:t>
      </w:r>
      <w:r w:rsidRPr="00632DBC">
        <w:rPr>
          <w:rFonts w:ascii="Times New Roman" w:hAnsi="Times New Roman"/>
          <w:sz w:val="18"/>
          <w:szCs w:val="18"/>
        </w:rPr>
        <w:t xml:space="preserve">, </w:t>
      </w:r>
      <w:r w:rsidR="00517AF1" w:rsidRPr="00632DBC">
        <w:rPr>
          <w:rFonts w:ascii="Times New Roman" w:hAnsi="Times New Roman"/>
          <w:sz w:val="18"/>
          <w:szCs w:val="18"/>
        </w:rPr>
        <w:t xml:space="preserve">R., </w:t>
      </w:r>
      <w:r w:rsidRPr="00632DBC">
        <w:rPr>
          <w:rFonts w:ascii="Times New Roman" w:hAnsi="Times New Roman"/>
          <w:sz w:val="18"/>
          <w:szCs w:val="18"/>
        </w:rPr>
        <w:t>Ituarte</w:t>
      </w:r>
      <w:r w:rsidR="00517AF1" w:rsidRPr="00632DBC">
        <w:rPr>
          <w:rFonts w:ascii="Times New Roman" w:hAnsi="Times New Roman"/>
        </w:rPr>
        <w:t>-</w:t>
      </w:r>
      <w:r w:rsidR="00517AF1" w:rsidRPr="00632DBC">
        <w:rPr>
          <w:rFonts w:ascii="Times New Roman" w:hAnsi="Times New Roman"/>
          <w:sz w:val="18"/>
          <w:szCs w:val="18"/>
        </w:rPr>
        <w:t xml:space="preserve">Lima, C., </w:t>
      </w:r>
      <w:proofErr w:type="spellStart"/>
      <w:r w:rsidR="00517AF1" w:rsidRPr="00632DBC">
        <w:rPr>
          <w:rFonts w:ascii="Times New Roman" w:hAnsi="Times New Roman"/>
          <w:sz w:val="18"/>
          <w:szCs w:val="18"/>
        </w:rPr>
        <w:t>Kempf</w:t>
      </w:r>
      <w:proofErr w:type="spellEnd"/>
      <w:r w:rsidR="00517AF1" w:rsidRPr="00632DBC">
        <w:rPr>
          <w:rFonts w:ascii="Times New Roman" w:hAnsi="Times New Roman"/>
          <w:sz w:val="18"/>
          <w:szCs w:val="18"/>
        </w:rPr>
        <w:t>, I., and Wong, G., (</w:t>
      </w:r>
      <w:r w:rsidR="00B07093" w:rsidRPr="00632DBC">
        <w:rPr>
          <w:rFonts w:ascii="Times New Roman" w:hAnsi="Times New Roman"/>
          <w:sz w:val="18"/>
          <w:szCs w:val="18"/>
        </w:rPr>
        <w:t>forthcoming</w:t>
      </w:r>
      <w:r w:rsidR="00517AF1" w:rsidRPr="00632DBC">
        <w:rPr>
          <w:rFonts w:ascii="Times New Roman" w:hAnsi="Times New Roman"/>
          <w:sz w:val="18"/>
          <w:szCs w:val="18"/>
        </w:rPr>
        <w:t xml:space="preserve">) </w:t>
      </w:r>
      <w:r w:rsidR="00517AF1" w:rsidRPr="00632DBC">
        <w:rPr>
          <w:rFonts w:ascii="Times New Roman" w:hAnsi="Times New Roman"/>
          <w:i/>
          <w:sz w:val="18"/>
        </w:rPr>
        <w:t>Connecting the dots between Human Rights, Environmental Impact Assessments and the Convention on Biological Diversity</w:t>
      </w:r>
      <w:r w:rsidR="00B07093" w:rsidRPr="00632DBC">
        <w:rPr>
          <w:rFonts w:ascii="Times New Roman" w:hAnsi="Times New Roman"/>
          <w:sz w:val="18"/>
          <w:szCs w:val="18"/>
        </w:rPr>
        <w:t>.</w:t>
      </w:r>
      <w:r w:rsidRPr="00632DBC">
        <w:rPr>
          <w:rFonts w:ascii="Times New Roman" w:hAnsi="Times New Roman"/>
        </w:rPr>
        <w:t xml:space="preserve"> </w:t>
      </w:r>
    </w:p>
    <w:p w14:paraId="219CA07A" w14:textId="73F0FF7B" w:rsidR="00F36825" w:rsidRPr="00632DBC" w:rsidRDefault="00B07093" w:rsidP="00F36825">
      <w:pPr>
        <w:spacing w:line="240" w:lineRule="auto"/>
        <w:jc w:val="both"/>
        <w:rPr>
          <w:rFonts w:ascii="Times New Roman" w:hAnsi="Times New Roman"/>
        </w:rPr>
      </w:pPr>
      <w:r w:rsidRPr="00632DBC">
        <w:rPr>
          <w:rFonts w:ascii="Times New Roman" w:hAnsi="Times New Roman"/>
        </w:rPr>
        <w:t>During the last decades, h</w:t>
      </w:r>
      <w:r w:rsidR="00F36825" w:rsidRPr="00632DBC">
        <w:rPr>
          <w:rFonts w:ascii="Times New Roman" w:hAnsi="Times New Roman"/>
        </w:rPr>
        <w:t>igh inflows of foreign direct investment have driven a remarkable economic growth in Lao People’s Democratic Republic (PDR)</w:t>
      </w:r>
      <w:r w:rsidR="002B23DB" w:rsidRPr="00632DBC">
        <w:rPr>
          <w:rFonts w:ascii="Times New Roman" w:hAnsi="Times New Roman"/>
        </w:rPr>
        <w:t>.</w:t>
      </w:r>
      <w:r w:rsidR="00F36825" w:rsidRPr="00632DBC">
        <w:rPr>
          <w:rStyle w:val="FootnoteReference"/>
          <w:rFonts w:ascii="Times New Roman" w:hAnsi="Times New Roman"/>
        </w:rPr>
        <w:footnoteReference w:id="236"/>
      </w:r>
      <w:r w:rsidR="00F36825" w:rsidRPr="00632DBC">
        <w:rPr>
          <w:rFonts w:ascii="Times New Roman" w:hAnsi="Times New Roman"/>
        </w:rPr>
        <w:t xml:space="preserve"> Development of the mining, biofuel, hydropower, forestry and agriculture sectors</w:t>
      </w:r>
      <w:r w:rsidRPr="00632DBC">
        <w:rPr>
          <w:rFonts w:ascii="Times New Roman" w:hAnsi="Times New Roman"/>
        </w:rPr>
        <w:t>,</w:t>
      </w:r>
      <w:r w:rsidR="00F36825" w:rsidRPr="00632DBC">
        <w:rPr>
          <w:rFonts w:ascii="Times New Roman" w:hAnsi="Times New Roman"/>
        </w:rPr>
        <w:t xml:space="preserve"> have </w:t>
      </w:r>
      <w:r w:rsidRPr="00632DBC">
        <w:rPr>
          <w:rFonts w:ascii="Times New Roman" w:hAnsi="Times New Roman"/>
        </w:rPr>
        <w:t xml:space="preserve">vigorously </w:t>
      </w:r>
      <w:r w:rsidR="00F36825" w:rsidRPr="00632DBC">
        <w:rPr>
          <w:rFonts w:ascii="Times New Roman" w:hAnsi="Times New Roman"/>
        </w:rPr>
        <w:t>driven deforestation, land cover conversion, pollutants spills, erosion, and damage to waterways and fish stocks</w:t>
      </w:r>
      <w:r w:rsidR="00F36825" w:rsidRPr="00632DBC">
        <w:rPr>
          <w:rStyle w:val="FootnoteReference"/>
          <w:rFonts w:ascii="Times New Roman" w:hAnsi="Times New Roman"/>
        </w:rPr>
        <w:footnoteReference w:id="237"/>
      </w:r>
      <w:r w:rsidR="00F36825" w:rsidRPr="00632DBC">
        <w:rPr>
          <w:rFonts w:ascii="Times New Roman" w:hAnsi="Times New Roman"/>
        </w:rPr>
        <w:t>. Consequently, profound impacts to biodiversity, ecosystem health and human rights took place in spite of existing regulatory measures.</w:t>
      </w:r>
      <w:r w:rsidR="00F36825" w:rsidRPr="00632DBC">
        <w:rPr>
          <w:rStyle w:val="FootnoteReference"/>
          <w:rFonts w:ascii="Times New Roman" w:hAnsi="Times New Roman"/>
        </w:rPr>
        <w:footnoteReference w:id="238"/>
      </w:r>
      <w:r w:rsidR="00F36825" w:rsidRPr="00632DBC">
        <w:rPr>
          <w:rFonts w:ascii="Times New Roman" w:hAnsi="Times New Roman"/>
        </w:rPr>
        <w:t xml:space="preserve"> EIA has been integral part of regulations of natural resources and land concessions</w:t>
      </w:r>
      <w:r w:rsidR="00660DA1" w:rsidRPr="00632DBC">
        <w:rPr>
          <w:rFonts w:ascii="Times New Roman" w:hAnsi="Times New Roman"/>
        </w:rPr>
        <w:t>.</w:t>
      </w:r>
      <w:r w:rsidR="00F36825" w:rsidRPr="00632DBC">
        <w:rPr>
          <w:rStyle w:val="FootnoteReference"/>
          <w:rFonts w:ascii="Times New Roman" w:hAnsi="Times New Roman"/>
        </w:rPr>
        <w:footnoteReference w:id="239"/>
      </w:r>
      <w:r w:rsidR="00F36825" w:rsidRPr="00632DBC">
        <w:rPr>
          <w:rFonts w:ascii="Times New Roman" w:hAnsi="Times New Roman"/>
        </w:rPr>
        <w:t xml:space="preserve"> </w:t>
      </w:r>
      <w:r w:rsidR="00660DA1" w:rsidRPr="00632DBC">
        <w:rPr>
          <w:rFonts w:ascii="Times New Roman" w:hAnsi="Times New Roman"/>
        </w:rPr>
        <w:t>H</w:t>
      </w:r>
      <w:r w:rsidR="00F36825" w:rsidRPr="00632DBC">
        <w:rPr>
          <w:rFonts w:ascii="Times New Roman" w:hAnsi="Times New Roman"/>
        </w:rPr>
        <w:t>owever</w:t>
      </w:r>
      <w:r w:rsidR="00660DA1" w:rsidRPr="00632DBC">
        <w:rPr>
          <w:rFonts w:ascii="Times New Roman" w:hAnsi="Times New Roman"/>
        </w:rPr>
        <w:t>,</w:t>
      </w:r>
      <w:r w:rsidR="00F36825" w:rsidRPr="00632DBC">
        <w:rPr>
          <w:rFonts w:ascii="Times New Roman" w:hAnsi="Times New Roman"/>
        </w:rPr>
        <w:t xml:space="preserve"> compliance was very uneven across the country, associated rules and procedures were unclear, capacity and resources to monitor investments were lacking, agreement with investors was reached before conducting</w:t>
      </w:r>
      <w:r w:rsidR="00660DA1" w:rsidRPr="00632DBC">
        <w:rPr>
          <w:rFonts w:ascii="Times New Roman" w:hAnsi="Times New Roman"/>
        </w:rPr>
        <w:t xml:space="preserve"> an</w:t>
      </w:r>
      <w:r w:rsidR="00F36825" w:rsidRPr="00632DBC">
        <w:rPr>
          <w:rFonts w:ascii="Times New Roman" w:hAnsi="Times New Roman"/>
        </w:rPr>
        <w:t xml:space="preserve"> EIA, and not all stakeholders were included in consultations.</w:t>
      </w:r>
      <w:r w:rsidR="00F36825" w:rsidRPr="00632DBC">
        <w:rPr>
          <w:rStyle w:val="FootnoteReference"/>
          <w:rFonts w:ascii="Times New Roman" w:hAnsi="Times New Roman"/>
        </w:rPr>
        <w:footnoteReference w:id="240"/>
      </w:r>
    </w:p>
    <w:p w14:paraId="10C53A4C" w14:textId="6D330097" w:rsidR="00F36825" w:rsidRPr="00632DBC" w:rsidRDefault="00F36825" w:rsidP="00F36825">
      <w:pPr>
        <w:spacing w:line="240" w:lineRule="auto"/>
        <w:jc w:val="both"/>
        <w:rPr>
          <w:rFonts w:ascii="Times New Roman" w:hAnsi="Times New Roman"/>
        </w:rPr>
      </w:pPr>
      <w:r w:rsidRPr="00632DBC">
        <w:rPr>
          <w:rFonts w:ascii="Times New Roman" w:hAnsi="Times New Roman"/>
        </w:rPr>
        <w:t>During the last decade, one of the government’s main policy efforts to minimize negative impacts of foreign direct investment while maximizing its benefits has been strengthening the EIA system. The Ministry of Natural Resources and Environment work in close and sustained collaboration with the Poverty–Environment Initiative (PEI)</w:t>
      </w:r>
      <w:r w:rsidR="00660DA1" w:rsidRPr="00632DBC">
        <w:rPr>
          <w:rFonts w:ascii="Times New Roman" w:hAnsi="Times New Roman"/>
        </w:rPr>
        <w:t xml:space="preserve"> (</w:t>
      </w:r>
      <w:r w:rsidRPr="00632DBC">
        <w:rPr>
          <w:rFonts w:ascii="Times New Roman" w:hAnsi="Times New Roman"/>
        </w:rPr>
        <w:t>a UNDP-UNEP programme addressing country-spe</w:t>
      </w:r>
      <w:r w:rsidR="00660DA1" w:rsidRPr="00632DBC">
        <w:rPr>
          <w:rFonts w:ascii="Times New Roman" w:hAnsi="Times New Roman"/>
        </w:rPr>
        <w:t>cific poverty-environment nexus),</w:t>
      </w:r>
      <w:r w:rsidRPr="00632DBC">
        <w:rPr>
          <w:rFonts w:ascii="Times New Roman" w:hAnsi="Times New Roman"/>
        </w:rPr>
        <w:t xml:space="preserve"> the Finnish-funded Environmental Management and Support Programme (EMSP) replacing the earlier Swedish Strengthening Environment Management, and the Swiss-funded Centre for Development and Environment. </w:t>
      </w:r>
      <w:r w:rsidR="00660DA1" w:rsidRPr="00632DBC">
        <w:rPr>
          <w:rFonts w:ascii="Times New Roman" w:hAnsi="Times New Roman"/>
        </w:rPr>
        <w:t>Together, they</w:t>
      </w:r>
      <w:r w:rsidRPr="00632DBC">
        <w:rPr>
          <w:rFonts w:ascii="Times New Roman" w:hAnsi="Times New Roman"/>
        </w:rPr>
        <w:t xml:space="preserve"> revised the EIA regulatory framework and enhanced its implementation through capacity building and development of guidelines for officers. EIA was replaced by ESIA (Environmental and Social Impact Assessment), which included social dimensions.</w:t>
      </w:r>
      <w:r w:rsidRPr="00632DBC">
        <w:rPr>
          <w:rStyle w:val="FootnoteReference"/>
          <w:rFonts w:ascii="Times New Roman" w:hAnsi="Times New Roman"/>
        </w:rPr>
        <w:footnoteReference w:id="241"/>
      </w:r>
      <w:r w:rsidRPr="00632DBC">
        <w:rPr>
          <w:rFonts w:ascii="Times New Roman" w:hAnsi="Times New Roman"/>
        </w:rPr>
        <w:t xml:space="preserve"> One of the improvement</w:t>
      </w:r>
      <w:r w:rsidR="00660DA1" w:rsidRPr="00632DBC">
        <w:rPr>
          <w:rFonts w:ascii="Times New Roman" w:hAnsi="Times New Roman"/>
        </w:rPr>
        <w:t>s</w:t>
      </w:r>
      <w:r w:rsidRPr="00632DBC">
        <w:rPr>
          <w:rFonts w:ascii="Times New Roman" w:hAnsi="Times New Roman"/>
        </w:rPr>
        <w:t xml:space="preserve"> addressed in the new regulatory framework was in</w:t>
      </w:r>
      <w:r w:rsidR="00660DA1" w:rsidRPr="00632DBC">
        <w:rPr>
          <w:rFonts w:ascii="Times New Roman" w:hAnsi="Times New Roman"/>
        </w:rPr>
        <w:t xml:space="preserve"> the</w:t>
      </w:r>
      <w:r w:rsidRPr="00632DBC">
        <w:rPr>
          <w:rFonts w:ascii="Times New Roman" w:hAnsi="Times New Roman"/>
        </w:rPr>
        <w:t xml:space="preserve"> consistency between substantive and procedural provisions for both social and biodiversity related issues</w:t>
      </w:r>
      <w:r w:rsidR="00660DA1" w:rsidRPr="00632DBC">
        <w:rPr>
          <w:rFonts w:ascii="Times New Roman" w:hAnsi="Times New Roman"/>
        </w:rPr>
        <w:t>.</w:t>
      </w:r>
      <w:r w:rsidRPr="00632DBC">
        <w:rPr>
          <w:rFonts w:ascii="Times New Roman" w:hAnsi="Times New Roman"/>
        </w:rPr>
        <w:t xml:space="preserve"> </w:t>
      </w:r>
      <w:r w:rsidR="000C378A" w:rsidRPr="00632DBC">
        <w:rPr>
          <w:rFonts w:ascii="Times New Roman" w:hAnsi="Times New Roman"/>
        </w:rPr>
        <w:t>There</w:t>
      </w:r>
      <w:r w:rsidRPr="00632DBC">
        <w:rPr>
          <w:rFonts w:ascii="Times New Roman" w:hAnsi="Times New Roman"/>
        </w:rPr>
        <w:t xml:space="preserve"> is still room for improvement, as shown in Table </w:t>
      </w:r>
      <w:r w:rsidR="0035502A" w:rsidRPr="00632DBC">
        <w:rPr>
          <w:rFonts w:ascii="Times New Roman" w:hAnsi="Times New Roman"/>
        </w:rPr>
        <w:t>10</w:t>
      </w:r>
      <w:r w:rsidRPr="00632DBC">
        <w:rPr>
          <w:rFonts w:ascii="Times New Roman" w:hAnsi="Times New Roman"/>
        </w:rPr>
        <w:t>. This case is an example of how social and biodiversity safeguards can be put in place by building on existing regulatory frameworks and policy instruments.</w:t>
      </w:r>
    </w:p>
    <w:p w14:paraId="795A1E24" w14:textId="58AA8C27" w:rsidR="00F36825" w:rsidRPr="00632DBC" w:rsidRDefault="00F36825" w:rsidP="00F36825">
      <w:pPr>
        <w:spacing w:line="240" w:lineRule="auto"/>
        <w:jc w:val="both"/>
        <w:rPr>
          <w:rFonts w:ascii="Times New Roman" w:hAnsi="Times New Roman"/>
        </w:rPr>
      </w:pPr>
      <w:r w:rsidRPr="00632DBC">
        <w:rPr>
          <w:rFonts w:ascii="Times New Roman" w:hAnsi="Times New Roman"/>
        </w:rPr>
        <w:t xml:space="preserve">The </w:t>
      </w:r>
      <w:r w:rsidR="000C378A" w:rsidRPr="00632DBC">
        <w:rPr>
          <w:rFonts w:ascii="Times New Roman" w:hAnsi="Times New Roman"/>
        </w:rPr>
        <w:t xml:space="preserve">relevant </w:t>
      </w:r>
      <w:r w:rsidRPr="00632DBC">
        <w:rPr>
          <w:rFonts w:ascii="Times New Roman" w:hAnsi="Times New Roman"/>
        </w:rPr>
        <w:t>lessons learned from this case to implement EIA as a biodiversity and social safeguard</w:t>
      </w:r>
      <w:r w:rsidR="000C378A" w:rsidRPr="00632DBC">
        <w:rPr>
          <w:rFonts w:ascii="Times New Roman" w:hAnsi="Times New Roman"/>
        </w:rPr>
        <w:t>,</w:t>
      </w:r>
      <w:r w:rsidRPr="00632DBC">
        <w:rPr>
          <w:rFonts w:ascii="Times New Roman" w:hAnsi="Times New Roman"/>
        </w:rPr>
        <w:t xml:space="preserve"> have been organized according to the CBD voluntary guidelines for safeguards in BFM (see Table </w:t>
      </w:r>
      <w:r w:rsidR="00251833" w:rsidRPr="00632DBC">
        <w:rPr>
          <w:rFonts w:ascii="Times New Roman" w:hAnsi="Times New Roman"/>
        </w:rPr>
        <w:t>11</w:t>
      </w:r>
      <w:r w:rsidRPr="00632DBC">
        <w:rPr>
          <w:rFonts w:ascii="Times New Roman" w:hAnsi="Times New Roman"/>
        </w:rPr>
        <w:t xml:space="preserve"> for a summary). </w:t>
      </w:r>
    </w:p>
    <w:p w14:paraId="1143558C" w14:textId="77777777" w:rsidR="00F36825" w:rsidRPr="00632DBC" w:rsidRDefault="00F36825" w:rsidP="00F36825">
      <w:pPr>
        <w:spacing w:line="240" w:lineRule="auto"/>
        <w:jc w:val="both"/>
        <w:rPr>
          <w:rFonts w:ascii="Times New Roman" w:hAnsi="Times New Roman"/>
        </w:rPr>
      </w:pPr>
    </w:p>
    <w:p w14:paraId="5F35A91C" w14:textId="6DCE6068" w:rsidR="00F36825" w:rsidRPr="00632DBC" w:rsidRDefault="00F36825" w:rsidP="00F36825">
      <w:pPr>
        <w:pStyle w:val="Ingetavstnd2"/>
        <w:rPr>
          <w:rFonts w:ascii="Times New Roman" w:hAnsi="Times New Roman"/>
          <w:b/>
          <w:i/>
        </w:rPr>
      </w:pPr>
      <w:r w:rsidRPr="00632DBC">
        <w:rPr>
          <w:rFonts w:ascii="Times New Roman" w:hAnsi="Times New Roman"/>
          <w:b/>
        </w:rPr>
        <w:t xml:space="preserve">Lessons learned from looking at ESIA in Lao PDR through the lens of </w:t>
      </w:r>
      <w:r w:rsidR="00835475" w:rsidRPr="00632DBC">
        <w:rPr>
          <w:rFonts w:ascii="Times New Roman" w:hAnsi="Times New Roman"/>
          <w:b/>
        </w:rPr>
        <w:t>guideline (</w:t>
      </w:r>
      <w:r w:rsidR="00835475" w:rsidRPr="00632DBC">
        <w:rPr>
          <w:rFonts w:ascii="Times New Roman" w:hAnsi="Times New Roman"/>
          <w:b/>
          <w:i/>
        </w:rPr>
        <w:t>a</w:t>
      </w:r>
      <w:r w:rsidR="00835475" w:rsidRPr="00632DBC">
        <w:rPr>
          <w:rFonts w:ascii="Times New Roman" w:hAnsi="Times New Roman"/>
          <w:b/>
        </w:rPr>
        <w:t>)</w:t>
      </w:r>
      <w:r w:rsidRPr="00632DBC">
        <w:rPr>
          <w:rFonts w:ascii="Times New Roman" w:hAnsi="Times New Roman"/>
          <w:b/>
        </w:rPr>
        <w:t xml:space="preserve"> </w:t>
      </w:r>
      <w:r w:rsidRPr="00632DBC">
        <w:rPr>
          <w:rFonts w:ascii="Times New Roman" w:hAnsi="Times New Roman"/>
          <w:b/>
          <w:i/>
        </w:rPr>
        <w:t>Biodiversity underpins local livelihoods and resilience and HR principle of interconnectedness and indivisibility</w:t>
      </w:r>
    </w:p>
    <w:p w14:paraId="28A57B6D" w14:textId="77777777" w:rsidR="00F36825" w:rsidRPr="00632DBC" w:rsidRDefault="00F36825" w:rsidP="00F36825">
      <w:pPr>
        <w:pStyle w:val="Ingetavstnd2"/>
        <w:rPr>
          <w:rFonts w:ascii="Times New Roman" w:hAnsi="Times New Roman"/>
          <w:b/>
          <w:i/>
        </w:rPr>
      </w:pPr>
    </w:p>
    <w:p w14:paraId="6F7CDFC8" w14:textId="77777777"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Recognizing the underpinning role of biodiversity for human rights</w:t>
      </w:r>
      <w:r w:rsidRPr="00632DBC">
        <w:rPr>
          <w:rFonts w:ascii="Times New Roman" w:hAnsi="Times New Roman"/>
          <w:b/>
        </w:rPr>
        <w:t>.</w:t>
      </w:r>
      <w:r w:rsidRPr="00632DBC">
        <w:rPr>
          <w:rFonts w:ascii="Times New Roman" w:hAnsi="Times New Roman"/>
        </w:rPr>
        <w:t xml:space="preserve"> Laotian Constitution allocates the responsibility of protecting the environment and natural resources to ‘all organisations and citizens’.</w:t>
      </w:r>
      <w:r w:rsidRPr="00632DBC">
        <w:rPr>
          <w:rStyle w:val="FootnoteReference"/>
          <w:rFonts w:ascii="Times New Roman" w:hAnsi="Times New Roman"/>
        </w:rPr>
        <w:footnoteReference w:id="242"/>
      </w:r>
      <w:r w:rsidRPr="00632DBC">
        <w:rPr>
          <w:rFonts w:ascii="Times New Roman" w:hAnsi="Times New Roman"/>
        </w:rPr>
        <w:t xml:space="preserve">  This provision can be interpreted to embed human rights obligations of State related to biodiversity and healthy ecosystems because biodiversity underpins healthy ecosystems that provide ecosystem services on which the constituents of wellbeing/ human rights depend - such as the right to life, health and food.</w:t>
      </w:r>
      <w:r w:rsidRPr="00632DBC">
        <w:rPr>
          <w:rStyle w:val="FootnoteReference"/>
          <w:rFonts w:ascii="Times New Roman" w:hAnsi="Times New Roman"/>
        </w:rPr>
        <w:footnoteReference w:id="243"/>
      </w:r>
      <w:r w:rsidRPr="00632DBC">
        <w:rPr>
          <w:rFonts w:ascii="Times New Roman" w:hAnsi="Times New Roman"/>
        </w:rPr>
        <w:t xml:space="preserve">  </w:t>
      </w:r>
    </w:p>
    <w:p w14:paraId="57F217BE" w14:textId="77777777" w:rsidR="00F36825" w:rsidRPr="00632DBC" w:rsidRDefault="00F36825" w:rsidP="00F36825">
      <w:pPr>
        <w:spacing w:line="240" w:lineRule="auto"/>
        <w:jc w:val="both"/>
        <w:rPr>
          <w:rFonts w:ascii="Times New Roman" w:hAnsi="Times New Roman"/>
        </w:rPr>
      </w:pPr>
    </w:p>
    <w:p w14:paraId="5B47A2FD" w14:textId="4B3FF5BF" w:rsidR="00821DA0" w:rsidRPr="00633A71" w:rsidRDefault="00821DA0" w:rsidP="00821DA0">
      <w:pPr>
        <w:pStyle w:val="Caption"/>
      </w:pPr>
      <w:bookmarkStart w:id="173" w:name="_Toc398935614"/>
      <w:bookmarkStart w:id="174" w:name="_Toc398936079"/>
      <w:bookmarkStart w:id="175" w:name="_Toc529192219"/>
      <w:r w:rsidRPr="00632DBC">
        <w:t xml:space="preserve">Table </w:t>
      </w:r>
      <w:r w:rsidRPr="00632DBC">
        <w:fldChar w:fldCharType="begin"/>
      </w:r>
      <w:r w:rsidRPr="00632DBC">
        <w:instrText xml:space="preserve"> SEQ Table \* ARABIC </w:instrText>
      </w:r>
      <w:r w:rsidRPr="00632DBC">
        <w:fldChar w:fldCharType="separate"/>
      </w:r>
      <w:r w:rsidR="00251833" w:rsidRPr="00632DBC">
        <w:rPr>
          <w:noProof/>
        </w:rPr>
        <w:t>10</w:t>
      </w:r>
      <w:r w:rsidRPr="00632DBC">
        <w:fldChar w:fldCharType="end"/>
      </w:r>
      <w:r w:rsidRPr="00632DBC">
        <w:t>. Lessons learned from safeguard-related legal provisions of the ESIA regulatory framework in Lao PDR</w:t>
      </w:r>
      <w:bookmarkEnd w:id="173"/>
      <w:bookmarkEnd w:id="174"/>
      <w:bookmarkEnd w:id="175"/>
    </w:p>
    <w:tbl>
      <w:tblPr>
        <w:tblStyle w:val="TableGrid"/>
        <w:tblpPr w:leftFromText="141" w:rightFromText="141" w:vertAnchor="text" w:horzAnchor="margin" w:tblpY="75"/>
        <w:tblW w:w="9940" w:type="dxa"/>
        <w:tblLayout w:type="fixed"/>
        <w:tblLook w:val="04A0" w:firstRow="1" w:lastRow="0" w:firstColumn="1" w:lastColumn="0" w:noHBand="0" w:noVBand="1"/>
      </w:tblPr>
      <w:tblGrid>
        <w:gridCol w:w="1183"/>
        <w:gridCol w:w="944"/>
        <w:gridCol w:w="4785"/>
        <w:gridCol w:w="3028"/>
      </w:tblGrid>
      <w:tr w:rsidR="00633A71" w:rsidRPr="00632DBC" w14:paraId="0156B278" w14:textId="77777777" w:rsidTr="00F36825">
        <w:tc>
          <w:tcPr>
            <w:tcW w:w="2127" w:type="dxa"/>
            <w:gridSpan w:val="2"/>
          </w:tcPr>
          <w:p w14:paraId="0FFDDFD6" w14:textId="77777777" w:rsidR="00F36825" w:rsidRPr="00632DBC" w:rsidRDefault="00F36825" w:rsidP="00F36825">
            <w:pPr>
              <w:jc w:val="both"/>
              <w:rPr>
                <w:rFonts w:ascii="Calibri" w:hAnsi="Calibri"/>
                <w:b/>
              </w:rPr>
            </w:pPr>
            <w:r w:rsidRPr="00632DBC">
              <w:rPr>
                <w:rFonts w:ascii="Calibri" w:hAnsi="Calibri"/>
                <w:b/>
              </w:rPr>
              <w:t>Provisions</w:t>
            </w:r>
          </w:p>
        </w:tc>
        <w:tc>
          <w:tcPr>
            <w:tcW w:w="4785" w:type="dxa"/>
          </w:tcPr>
          <w:p w14:paraId="1980C1A0" w14:textId="77777777" w:rsidR="00F36825" w:rsidRPr="00632DBC" w:rsidRDefault="00F36825" w:rsidP="00F36825">
            <w:pPr>
              <w:jc w:val="both"/>
              <w:rPr>
                <w:rFonts w:ascii="Calibri" w:hAnsi="Calibri"/>
                <w:b/>
              </w:rPr>
            </w:pPr>
            <w:r w:rsidRPr="00632DBC">
              <w:rPr>
                <w:rFonts w:ascii="Calibri" w:hAnsi="Calibri"/>
                <w:b/>
              </w:rPr>
              <w:t>Selected safeguard-related legal provision</w:t>
            </w:r>
          </w:p>
        </w:tc>
        <w:tc>
          <w:tcPr>
            <w:tcW w:w="3028" w:type="dxa"/>
          </w:tcPr>
          <w:p w14:paraId="7B90E965" w14:textId="77777777" w:rsidR="00F36825" w:rsidRPr="00632DBC" w:rsidRDefault="00F36825" w:rsidP="00F36825">
            <w:pPr>
              <w:jc w:val="both"/>
              <w:rPr>
                <w:rFonts w:ascii="Calibri" w:hAnsi="Calibri"/>
                <w:b/>
              </w:rPr>
            </w:pPr>
            <w:r w:rsidRPr="00632DBC">
              <w:rPr>
                <w:rFonts w:ascii="Calibri" w:hAnsi="Calibri"/>
                <w:b/>
              </w:rPr>
              <w:t>Lessons learned from the case</w:t>
            </w:r>
          </w:p>
        </w:tc>
      </w:tr>
      <w:tr w:rsidR="00633A71" w:rsidRPr="00632DBC" w14:paraId="52E2FB4C" w14:textId="77777777" w:rsidTr="00F36825">
        <w:trPr>
          <w:trHeight w:val="605"/>
        </w:trPr>
        <w:tc>
          <w:tcPr>
            <w:tcW w:w="1183" w:type="dxa"/>
            <w:vMerge w:val="restart"/>
          </w:tcPr>
          <w:p w14:paraId="760952EC" w14:textId="77777777" w:rsidR="00F36825" w:rsidRPr="00632DBC" w:rsidRDefault="00F36825" w:rsidP="00F36825">
            <w:pPr>
              <w:jc w:val="both"/>
              <w:rPr>
                <w:rFonts w:ascii="Calibri" w:hAnsi="Calibri"/>
                <w:sz w:val="20"/>
                <w:szCs w:val="20"/>
              </w:rPr>
            </w:pPr>
            <w:r w:rsidRPr="00632DBC">
              <w:rPr>
                <w:rFonts w:ascii="Calibri" w:hAnsi="Calibri"/>
                <w:sz w:val="20"/>
                <w:szCs w:val="20"/>
              </w:rPr>
              <w:t>Biodiversity</w:t>
            </w:r>
          </w:p>
        </w:tc>
        <w:tc>
          <w:tcPr>
            <w:tcW w:w="944" w:type="dxa"/>
          </w:tcPr>
          <w:p w14:paraId="5EBF23D1" w14:textId="77777777" w:rsidR="00F36825" w:rsidRPr="00632DBC" w:rsidRDefault="00F36825" w:rsidP="00F36825">
            <w:pPr>
              <w:jc w:val="both"/>
              <w:rPr>
                <w:rFonts w:ascii="Calibri" w:hAnsi="Calibri"/>
                <w:sz w:val="14"/>
                <w:szCs w:val="14"/>
              </w:rPr>
            </w:pPr>
            <w:r w:rsidRPr="00632DBC">
              <w:rPr>
                <w:rFonts w:ascii="Calibri" w:hAnsi="Calibri"/>
                <w:sz w:val="14"/>
                <w:szCs w:val="14"/>
              </w:rPr>
              <w:t>Substantive</w:t>
            </w:r>
          </w:p>
        </w:tc>
        <w:tc>
          <w:tcPr>
            <w:tcW w:w="4785" w:type="dxa"/>
          </w:tcPr>
          <w:p w14:paraId="65CDE682" w14:textId="77777777" w:rsidR="00F36825" w:rsidRPr="00632DBC" w:rsidRDefault="00F36825" w:rsidP="00F36825">
            <w:pPr>
              <w:widowControl w:val="0"/>
              <w:autoSpaceDE w:val="0"/>
              <w:autoSpaceDN w:val="0"/>
              <w:adjustRightInd w:val="0"/>
              <w:spacing w:after="0" w:line="240" w:lineRule="auto"/>
              <w:jc w:val="both"/>
              <w:rPr>
                <w:rFonts w:ascii="Calibri" w:hAnsi="Calibri"/>
                <w:sz w:val="14"/>
                <w:szCs w:val="14"/>
              </w:rPr>
            </w:pPr>
            <w:r w:rsidRPr="00632DBC">
              <w:rPr>
                <w:rFonts w:ascii="Calibri" w:hAnsi="Calibri"/>
                <w:sz w:val="14"/>
                <w:szCs w:val="14"/>
              </w:rPr>
              <w:t xml:space="preserve">It is the duty of all organisations and citizens to protect the environment (Art. 19. Laotian Constitution).  </w:t>
            </w:r>
          </w:p>
        </w:tc>
        <w:tc>
          <w:tcPr>
            <w:tcW w:w="3028" w:type="dxa"/>
          </w:tcPr>
          <w:p w14:paraId="27110469" w14:textId="77777777" w:rsidR="00F36825" w:rsidRPr="00632DBC" w:rsidRDefault="00F36825" w:rsidP="00F36825">
            <w:pPr>
              <w:tabs>
                <w:tab w:val="center" w:pos="1492"/>
              </w:tabs>
              <w:spacing w:after="0" w:line="240" w:lineRule="auto"/>
              <w:rPr>
                <w:rFonts w:ascii="Calibri" w:hAnsi="Calibri"/>
                <w:sz w:val="14"/>
                <w:szCs w:val="14"/>
              </w:rPr>
            </w:pPr>
            <w:r w:rsidRPr="00632DBC">
              <w:rPr>
                <w:rFonts w:ascii="Calibri" w:hAnsi="Calibri"/>
                <w:sz w:val="14"/>
                <w:szCs w:val="14"/>
              </w:rPr>
              <w:t>It could gain from recognizing biodiversity as underpinning ecosystem services, on which human rights depend</w:t>
            </w:r>
          </w:p>
        </w:tc>
      </w:tr>
      <w:tr w:rsidR="00633A71" w:rsidRPr="00632DBC" w14:paraId="7B438E62" w14:textId="77777777" w:rsidTr="00F36825">
        <w:tc>
          <w:tcPr>
            <w:tcW w:w="1183" w:type="dxa"/>
            <w:vMerge/>
          </w:tcPr>
          <w:p w14:paraId="68CF7390" w14:textId="77777777" w:rsidR="00F36825" w:rsidRPr="00632DBC" w:rsidRDefault="00F36825" w:rsidP="00F36825">
            <w:pPr>
              <w:jc w:val="both"/>
              <w:rPr>
                <w:rFonts w:ascii="Calibri" w:hAnsi="Calibri"/>
                <w:sz w:val="14"/>
                <w:szCs w:val="14"/>
              </w:rPr>
            </w:pPr>
          </w:p>
        </w:tc>
        <w:tc>
          <w:tcPr>
            <w:tcW w:w="944" w:type="dxa"/>
          </w:tcPr>
          <w:p w14:paraId="79915D29" w14:textId="77777777" w:rsidR="00F36825" w:rsidRPr="00632DBC" w:rsidRDefault="00F36825" w:rsidP="00F36825">
            <w:pPr>
              <w:jc w:val="both"/>
              <w:rPr>
                <w:rFonts w:ascii="Calibri" w:hAnsi="Calibri"/>
                <w:sz w:val="14"/>
                <w:szCs w:val="14"/>
              </w:rPr>
            </w:pPr>
            <w:r w:rsidRPr="00632DBC">
              <w:rPr>
                <w:rFonts w:ascii="Calibri" w:hAnsi="Calibri"/>
                <w:sz w:val="14"/>
                <w:szCs w:val="14"/>
              </w:rPr>
              <w:t>Procedural</w:t>
            </w:r>
          </w:p>
        </w:tc>
        <w:tc>
          <w:tcPr>
            <w:tcW w:w="4785" w:type="dxa"/>
          </w:tcPr>
          <w:p w14:paraId="58AFE5C7" w14:textId="77777777" w:rsidR="00F36825" w:rsidRPr="00632DBC" w:rsidRDefault="00F36825" w:rsidP="00F36825">
            <w:pPr>
              <w:spacing w:after="0" w:line="240" w:lineRule="auto"/>
              <w:jc w:val="both"/>
              <w:rPr>
                <w:rFonts w:ascii="Calibri" w:hAnsi="Calibri"/>
                <w:sz w:val="14"/>
                <w:szCs w:val="14"/>
              </w:rPr>
            </w:pPr>
            <w:r w:rsidRPr="00632DBC">
              <w:rPr>
                <w:rFonts w:ascii="Calibri" w:hAnsi="Calibri"/>
                <w:sz w:val="14"/>
                <w:szCs w:val="14"/>
              </w:rPr>
              <w:t>ESIA mandatory for investment projects likely to affect sites of high value either environmental or social (Ministerial Agreement No. 8056/ MONRE - Remarks)</w:t>
            </w:r>
          </w:p>
          <w:p w14:paraId="6F0EF51B" w14:textId="77777777" w:rsidR="00F36825" w:rsidRPr="00632DBC" w:rsidRDefault="00F36825" w:rsidP="00F36825">
            <w:pPr>
              <w:spacing w:after="0" w:line="240" w:lineRule="auto"/>
              <w:jc w:val="both"/>
              <w:rPr>
                <w:rFonts w:ascii="Calibri" w:hAnsi="Calibri"/>
                <w:sz w:val="14"/>
                <w:szCs w:val="14"/>
              </w:rPr>
            </w:pPr>
          </w:p>
          <w:p w14:paraId="2BDE09A4" w14:textId="77777777" w:rsidR="00F36825" w:rsidRPr="00632DBC" w:rsidRDefault="00F36825" w:rsidP="00F36825">
            <w:pPr>
              <w:spacing w:after="0" w:line="240" w:lineRule="auto"/>
              <w:jc w:val="both"/>
              <w:rPr>
                <w:rFonts w:ascii="Calibri" w:hAnsi="Calibri"/>
                <w:sz w:val="14"/>
                <w:szCs w:val="14"/>
              </w:rPr>
            </w:pPr>
          </w:p>
          <w:p w14:paraId="0024A3BC" w14:textId="77777777" w:rsidR="00F36825" w:rsidRPr="00632DBC" w:rsidRDefault="00F36825" w:rsidP="00F36825">
            <w:pPr>
              <w:spacing w:after="0" w:line="240" w:lineRule="auto"/>
              <w:jc w:val="both"/>
              <w:rPr>
                <w:rFonts w:ascii="Calibri" w:hAnsi="Calibri"/>
                <w:sz w:val="14"/>
                <w:szCs w:val="14"/>
              </w:rPr>
            </w:pPr>
            <w:r w:rsidRPr="00632DBC">
              <w:rPr>
                <w:rFonts w:ascii="Calibri" w:hAnsi="Calibri"/>
                <w:sz w:val="14"/>
                <w:szCs w:val="14"/>
              </w:rPr>
              <w:t xml:space="preserve">Evaluation of impacts on biodiversity is based on scientific knowledge. (Environmental Impact Assessment Guidelines. Appendix 9 – 2.1) </w:t>
            </w:r>
          </w:p>
          <w:p w14:paraId="18AA1DE5" w14:textId="77777777" w:rsidR="00F36825" w:rsidRPr="00632DBC" w:rsidRDefault="00F36825" w:rsidP="00F36825">
            <w:pPr>
              <w:spacing w:after="0" w:line="240" w:lineRule="auto"/>
              <w:jc w:val="both"/>
              <w:rPr>
                <w:rFonts w:ascii="Calibri" w:hAnsi="Calibri"/>
                <w:sz w:val="14"/>
                <w:szCs w:val="14"/>
              </w:rPr>
            </w:pPr>
          </w:p>
          <w:p w14:paraId="51498F51" w14:textId="77777777" w:rsidR="00F36825" w:rsidRPr="00632DBC" w:rsidRDefault="00F36825" w:rsidP="00F36825">
            <w:pPr>
              <w:widowControl w:val="0"/>
              <w:autoSpaceDE w:val="0"/>
              <w:autoSpaceDN w:val="0"/>
              <w:adjustRightInd w:val="0"/>
              <w:spacing w:after="0" w:line="240" w:lineRule="auto"/>
              <w:jc w:val="both"/>
              <w:rPr>
                <w:rFonts w:ascii="Calibri" w:hAnsi="Calibri"/>
                <w:sz w:val="14"/>
                <w:szCs w:val="14"/>
              </w:rPr>
            </w:pPr>
            <w:r w:rsidRPr="00632DBC">
              <w:rPr>
                <w:rFonts w:ascii="Calibri" w:hAnsi="Calibri"/>
                <w:sz w:val="14"/>
                <w:szCs w:val="14"/>
              </w:rPr>
              <w:t xml:space="preserve">Updated regulations specifying the types of development projects requiring ESIA making operations easier (Ministerial Agreement No. 8056/ MONRE - Remarks) </w:t>
            </w:r>
          </w:p>
        </w:tc>
        <w:tc>
          <w:tcPr>
            <w:tcW w:w="3028" w:type="dxa"/>
          </w:tcPr>
          <w:p w14:paraId="0E0BF652" w14:textId="77777777" w:rsidR="00F36825" w:rsidRPr="00632DBC" w:rsidRDefault="00F36825" w:rsidP="00F36825">
            <w:pPr>
              <w:spacing w:after="0" w:line="240" w:lineRule="auto"/>
              <w:rPr>
                <w:rFonts w:ascii="Calibri" w:hAnsi="Calibri"/>
                <w:sz w:val="14"/>
                <w:szCs w:val="14"/>
              </w:rPr>
            </w:pPr>
            <w:r w:rsidRPr="00632DBC">
              <w:rPr>
                <w:rFonts w:ascii="Calibri" w:hAnsi="Calibri"/>
                <w:sz w:val="14"/>
                <w:szCs w:val="14"/>
              </w:rPr>
              <w:t>This safeguard could gain from specifying which impacts on biodiversity and ecosystems are not allowed.</w:t>
            </w:r>
          </w:p>
          <w:p w14:paraId="7BF54FF3" w14:textId="77777777" w:rsidR="00F36825" w:rsidRPr="00632DBC" w:rsidRDefault="00F36825" w:rsidP="00F36825">
            <w:pPr>
              <w:spacing w:after="0" w:line="240" w:lineRule="auto"/>
              <w:rPr>
                <w:rFonts w:ascii="Calibri" w:hAnsi="Calibri"/>
                <w:sz w:val="14"/>
                <w:szCs w:val="14"/>
              </w:rPr>
            </w:pPr>
          </w:p>
          <w:p w14:paraId="0D0904E8" w14:textId="77777777" w:rsidR="00F36825" w:rsidRPr="00632DBC" w:rsidRDefault="00F36825" w:rsidP="00F36825">
            <w:pPr>
              <w:spacing w:after="0" w:line="240" w:lineRule="auto"/>
              <w:rPr>
                <w:rFonts w:ascii="Calibri" w:hAnsi="Calibri"/>
                <w:sz w:val="14"/>
                <w:szCs w:val="14"/>
              </w:rPr>
            </w:pPr>
            <w:r w:rsidRPr="00632DBC">
              <w:rPr>
                <w:rFonts w:ascii="Calibri" w:hAnsi="Calibri"/>
                <w:sz w:val="14"/>
                <w:szCs w:val="14"/>
              </w:rPr>
              <w:t>The evaluation system could gain from including values from other knowledge systems.</w:t>
            </w:r>
          </w:p>
          <w:p w14:paraId="2E0DF3DA" w14:textId="77777777" w:rsidR="00F36825" w:rsidRPr="00632DBC" w:rsidRDefault="00F36825" w:rsidP="00F36825">
            <w:pPr>
              <w:spacing w:after="0" w:line="240" w:lineRule="auto"/>
              <w:rPr>
                <w:rFonts w:ascii="Calibri" w:hAnsi="Calibri"/>
                <w:sz w:val="14"/>
                <w:szCs w:val="14"/>
              </w:rPr>
            </w:pPr>
          </w:p>
          <w:p w14:paraId="6850B52E" w14:textId="77777777" w:rsidR="00F36825" w:rsidRPr="00632DBC" w:rsidRDefault="00F36825" w:rsidP="00F36825">
            <w:pPr>
              <w:spacing w:after="0" w:line="240" w:lineRule="auto"/>
              <w:rPr>
                <w:rFonts w:ascii="Calibri" w:hAnsi="Calibri"/>
                <w:sz w:val="14"/>
                <w:szCs w:val="14"/>
              </w:rPr>
            </w:pPr>
            <w:r w:rsidRPr="00632DBC">
              <w:rPr>
                <w:rFonts w:ascii="Calibri" w:hAnsi="Calibri"/>
                <w:sz w:val="14"/>
                <w:szCs w:val="14"/>
              </w:rPr>
              <w:t>High level of specificity makes procedures easier to comply, assess and monitor</w:t>
            </w:r>
          </w:p>
        </w:tc>
      </w:tr>
      <w:tr w:rsidR="00633A71" w:rsidRPr="00632DBC" w14:paraId="29FBB012" w14:textId="77777777" w:rsidTr="00F36825">
        <w:tc>
          <w:tcPr>
            <w:tcW w:w="1183" w:type="dxa"/>
            <w:vMerge w:val="restart"/>
          </w:tcPr>
          <w:p w14:paraId="69BA3C49" w14:textId="77777777" w:rsidR="00F36825" w:rsidRPr="00632DBC" w:rsidRDefault="00F36825" w:rsidP="00F36825">
            <w:pPr>
              <w:jc w:val="both"/>
              <w:rPr>
                <w:rFonts w:ascii="Calibri" w:hAnsi="Calibri"/>
              </w:rPr>
            </w:pPr>
            <w:r w:rsidRPr="00632DBC">
              <w:rPr>
                <w:rFonts w:ascii="Calibri" w:hAnsi="Calibri"/>
              </w:rPr>
              <w:t>Social</w:t>
            </w:r>
          </w:p>
        </w:tc>
        <w:tc>
          <w:tcPr>
            <w:tcW w:w="944" w:type="dxa"/>
          </w:tcPr>
          <w:p w14:paraId="28A7B1EF" w14:textId="77777777" w:rsidR="00F36825" w:rsidRPr="00632DBC" w:rsidRDefault="00F36825" w:rsidP="00F36825">
            <w:pPr>
              <w:jc w:val="both"/>
              <w:rPr>
                <w:rFonts w:ascii="Calibri" w:hAnsi="Calibri"/>
                <w:sz w:val="14"/>
                <w:szCs w:val="14"/>
              </w:rPr>
            </w:pPr>
            <w:r w:rsidRPr="00632DBC">
              <w:rPr>
                <w:rFonts w:ascii="Calibri" w:hAnsi="Calibri"/>
                <w:sz w:val="14"/>
                <w:szCs w:val="14"/>
              </w:rPr>
              <w:t>Substantive</w:t>
            </w:r>
          </w:p>
        </w:tc>
        <w:tc>
          <w:tcPr>
            <w:tcW w:w="4785" w:type="dxa"/>
          </w:tcPr>
          <w:p w14:paraId="4461E980" w14:textId="77777777" w:rsidR="00F36825" w:rsidRPr="00632DBC" w:rsidRDefault="00F36825" w:rsidP="00F36825">
            <w:pPr>
              <w:pStyle w:val="NormalWeb"/>
              <w:spacing w:before="0" w:beforeAutospacing="0" w:after="0" w:afterAutospacing="0" w:line="240" w:lineRule="auto"/>
              <w:jc w:val="both"/>
              <w:rPr>
                <w:rFonts w:ascii="Calibri" w:hAnsi="Calibri"/>
                <w:sz w:val="14"/>
                <w:szCs w:val="14"/>
              </w:rPr>
            </w:pPr>
            <w:r w:rsidRPr="00632DBC">
              <w:rPr>
                <w:rFonts w:ascii="Calibri" w:hAnsi="Calibri"/>
                <w:sz w:val="14"/>
                <w:szCs w:val="14"/>
              </w:rPr>
              <w:t xml:space="preserve">Land use rights are granted to customary users (art.26. Decree </w:t>
            </w:r>
            <w:r w:rsidRPr="00632DBC">
              <w:rPr>
                <w:rFonts w:ascii="Calibri" w:hAnsi="Calibri"/>
                <w:bCs/>
                <w:sz w:val="14"/>
                <w:szCs w:val="14"/>
              </w:rPr>
              <w:t xml:space="preserve">on the Implementation of the Land Law </w:t>
            </w:r>
            <w:r w:rsidRPr="00632DBC">
              <w:rPr>
                <w:rFonts w:ascii="Calibri" w:hAnsi="Calibri"/>
                <w:sz w:val="14"/>
                <w:szCs w:val="14"/>
              </w:rPr>
              <w:t xml:space="preserve">No. 88/PM). </w:t>
            </w:r>
          </w:p>
          <w:p w14:paraId="7B47BEDE" w14:textId="77777777" w:rsidR="00F36825" w:rsidRPr="00632DBC" w:rsidRDefault="00F36825" w:rsidP="00F36825">
            <w:pPr>
              <w:pStyle w:val="NormalWeb"/>
              <w:spacing w:before="0" w:beforeAutospacing="0" w:after="0" w:afterAutospacing="0" w:line="240" w:lineRule="auto"/>
              <w:jc w:val="both"/>
              <w:rPr>
                <w:rFonts w:ascii="Calibri" w:hAnsi="Calibri"/>
                <w:sz w:val="14"/>
                <w:szCs w:val="14"/>
              </w:rPr>
            </w:pPr>
          </w:p>
          <w:p w14:paraId="0A725605" w14:textId="77777777" w:rsidR="00F36825" w:rsidRPr="00632DBC" w:rsidRDefault="00F36825" w:rsidP="00F36825">
            <w:pPr>
              <w:pStyle w:val="NormalWeb"/>
              <w:spacing w:before="0" w:beforeAutospacing="0" w:after="0" w:afterAutospacing="0" w:line="240" w:lineRule="auto"/>
              <w:jc w:val="both"/>
              <w:rPr>
                <w:rFonts w:ascii="Calibri" w:hAnsi="Calibri"/>
                <w:sz w:val="14"/>
                <w:szCs w:val="14"/>
              </w:rPr>
            </w:pPr>
            <w:r w:rsidRPr="00632DBC">
              <w:rPr>
                <w:rFonts w:ascii="Calibri" w:hAnsi="Calibri"/>
                <w:sz w:val="14"/>
                <w:szCs w:val="14"/>
              </w:rPr>
              <w:t>Article 17 of Laotian Constitution establishes that ‘The State protects the property rights (such as the rights of possession, use, usufruct and disposition)’</w:t>
            </w:r>
          </w:p>
          <w:p w14:paraId="5F5AAB99" w14:textId="77777777" w:rsidR="00F36825" w:rsidRPr="00632DBC" w:rsidRDefault="00F36825" w:rsidP="00F36825">
            <w:pPr>
              <w:pStyle w:val="NormalWeb"/>
              <w:spacing w:before="0" w:beforeAutospacing="0" w:after="0" w:afterAutospacing="0" w:line="240" w:lineRule="auto"/>
              <w:jc w:val="both"/>
              <w:rPr>
                <w:rFonts w:ascii="Calibri" w:hAnsi="Calibri"/>
                <w:sz w:val="14"/>
                <w:szCs w:val="14"/>
              </w:rPr>
            </w:pPr>
          </w:p>
        </w:tc>
        <w:tc>
          <w:tcPr>
            <w:tcW w:w="3028" w:type="dxa"/>
          </w:tcPr>
          <w:p w14:paraId="3475E5BF" w14:textId="77777777" w:rsidR="00F36825" w:rsidRPr="00632DBC" w:rsidRDefault="00F36825" w:rsidP="00F36825">
            <w:pPr>
              <w:tabs>
                <w:tab w:val="center" w:pos="1492"/>
              </w:tabs>
              <w:spacing w:after="0" w:line="240" w:lineRule="auto"/>
              <w:rPr>
                <w:rFonts w:ascii="Calibri" w:hAnsi="Calibri"/>
                <w:sz w:val="14"/>
                <w:szCs w:val="14"/>
              </w:rPr>
            </w:pPr>
            <w:r w:rsidRPr="00632DBC">
              <w:rPr>
                <w:rFonts w:ascii="Calibri" w:hAnsi="Calibri"/>
                <w:sz w:val="14"/>
                <w:szCs w:val="14"/>
              </w:rPr>
              <w:t xml:space="preserve">Recognition of customary rights could gain from coherence with procedural safeguards preventing legalization of involuntary re-settling. </w:t>
            </w:r>
          </w:p>
        </w:tc>
      </w:tr>
      <w:tr w:rsidR="00633A71" w:rsidRPr="00632DBC" w14:paraId="59B1D466" w14:textId="77777777" w:rsidTr="00F36825">
        <w:trPr>
          <w:trHeight w:val="3362"/>
        </w:trPr>
        <w:tc>
          <w:tcPr>
            <w:tcW w:w="1183" w:type="dxa"/>
            <w:vMerge/>
          </w:tcPr>
          <w:p w14:paraId="379E7AA8" w14:textId="77777777" w:rsidR="00F36825" w:rsidRPr="00632DBC" w:rsidRDefault="00F36825" w:rsidP="00F36825">
            <w:pPr>
              <w:jc w:val="both"/>
              <w:rPr>
                <w:rFonts w:ascii="Calibri" w:hAnsi="Calibri"/>
              </w:rPr>
            </w:pPr>
          </w:p>
        </w:tc>
        <w:tc>
          <w:tcPr>
            <w:tcW w:w="944" w:type="dxa"/>
          </w:tcPr>
          <w:p w14:paraId="55D449E2" w14:textId="77777777" w:rsidR="00F36825" w:rsidRPr="00632DBC" w:rsidRDefault="00F36825" w:rsidP="00F36825">
            <w:pPr>
              <w:jc w:val="both"/>
              <w:rPr>
                <w:rFonts w:ascii="Calibri" w:hAnsi="Calibri"/>
                <w:sz w:val="14"/>
                <w:szCs w:val="14"/>
              </w:rPr>
            </w:pPr>
            <w:r w:rsidRPr="00632DBC">
              <w:rPr>
                <w:rFonts w:ascii="Calibri" w:hAnsi="Calibri"/>
                <w:sz w:val="14"/>
                <w:szCs w:val="14"/>
              </w:rPr>
              <w:t>Procedural</w:t>
            </w:r>
          </w:p>
        </w:tc>
        <w:tc>
          <w:tcPr>
            <w:tcW w:w="4785" w:type="dxa"/>
          </w:tcPr>
          <w:p w14:paraId="4C234E8C" w14:textId="77777777" w:rsidR="00F36825" w:rsidRPr="00632DBC" w:rsidRDefault="00F36825" w:rsidP="00F36825">
            <w:pPr>
              <w:pStyle w:val="Default"/>
              <w:spacing w:after="0" w:line="240" w:lineRule="auto"/>
              <w:jc w:val="both"/>
              <w:rPr>
                <w:rFonts w:ascii="Calibri" w:hAnsi="Calibri"/>
                <w:color w:val="auto"/>
                <w:sz w:val="14"/>
                <w:szCs w:val="14"/>
                <w:lang w:val="en-GB"/>
              </w:rPr>
            </w:pPr>
            <w:r w:rsidRPr="00632DBC">
              <w:rPr>
                <w:rFonts w:ascii="Calibri" w:hAnsi="Calibri"/>
                <w:color w:val="auto"/>
                <w:sz w:val="14"/>
                <w:szCs w:val="14"/>
                <w:lang w:val="en-GB"/>
              </w:rPr>
              <w:t>Informed public involvement free of power abuse is a joint responsibility of both government and the project developer (</w:t>
            </w:r>
            <w:r w:rsidRPr="00632DBC">
              <w:rPr>
                <w:rFonts w:ascii="Calibri" w:hAnsi="Calibri"/>
                <w:i/>
                <w:color w:val="auto"/>
                <w:sz w:val="14"/>
                <w:szCs w:val="14"/>
                <w:lang w:val="en-GB"/>
              </w:rPr>
              <w:t>Ministerial Instructions No. 8029/MONRE and 8030/MONRE</w:t>
            </w:r>
            <w:r w:rsidRPr="00632DBC">
              <w:rPr>
                <w:rFonts w:ascii="Calibri" w:hAnsi="Calibri"/>
                <w:color w:val="auto"/>
                <w:sz w:val="14"/>
                <w:szCs w:val="14"/>
                <w:lang w:val="en-GB"/>
              </w:rPr>
              <w:t xml:space="preserve">). Local population hold the right to participate in all the ESIA-related discussions at all government levels (Decree No 112/PM). </w:t>
            </w:r>
          </w:p>
          <w:p w14:paraId="01893CD6" w14:textId="77777777" w:rsidR="00F36825" w:rsidRPr="00632DBC" w:rsidRDefault="00F36825" w:rsidP="00F36825">
            <w:pPr>
              <w:pStyle w:val="Default"/>
              <w:spacing w:after="0" w:line="240" w:lineRule="auto"/>
              <w:jc w:val="both"/>
              <w:rPr>
                <w:rFonts w:ascii="Calibri" w:hAnsi="Calibri"/>
                <w:color w:val="auto"/>
                <w:sz w:val="14"/>
                <w:szCs w:val="14"/>
                <w:lang w:val="en-GB"/>
              </w:rPr>
            </w:pPr>
          </w:p>
          <w:p w14:paraId="08EF8768" w14:textId="77777777" w:rsidR="00F36825" w:rsidRPr="00632DBC" w:rsidRDefault="00F36825" w:rsidP="00F36825">
            <w:pPr>
              <w:pStyle w:val="Default"/>
              <w:spacing w:after="0" w:line="240" w:lineRule="auto"/>
              <w:jc w:val="both"/>
              <w:rPr>
                <w:rFonts w:ascii="Calibri" w:hAnsi="Calibri"/>
                <w:color w:val="auto"/>
                <w:sz w:val="14"/>
                <w:szCs w:val="14"/>
                <w:lang w:val="en-GB"/>
              </w:rPr>
            </w:pPr>
            <w:r w:rsidRPr="00632DBC">
              <w:rPr>
                <w:rFonts w:ascii="Calibri" w:hAnsi="Calibri" w:cs="Arial"/>
                <w:color w:val="auto"/>
                <w:sz w:val="14"/>
                <w:szCs w:val="14"/>
                <w:lang w:val="en-GB"/>
              </w:rPr>
              <w:t xml:space="preserve">Project developers must compensate project-affected persons for loosing land use rights as well as for cultural losses (Art. 6 Decree </w:t>
            </w:r>
            <w:r w:rsidRPr="00632DBC">
              <w:rPr>
                <w:rFonts w:ascii="Calibri" w:hAnsi="Calibri"/>
                <w:color w:val="auto"/>
                <w:sz w:val="14"/>
                <w:szCs w:val="14"/>
                <w:lang w:val="en-GB"/>
              </w:rPr>
              <w:t xml:space="preserve">on Compensation and Resettlement Management in Development Projects </w:t>
            </w:r>
            <w:r w:rsidRPr="00632DBC">
              <w:rPr>
                <w:rFonts w:ascii="Calibri" w:hAnsi="Calibri" w:cs="Arial"/>
                <w:color w:val="auto"/>
                <w:sz w:val="14"/>
                <w:szCs w:val="14"/>
                <w:lang w:val="en-GB"/>
              </w:rPr>
              <w:t xml:space="preserve">No. 192/PM; </w:t>
            </w:r>
            <w:r w:rsidRPr="00632DBC">
              <w:rPr>
                <w:rFonts w:ascii="Calibri" w:hAnsi="Calibri"/>
                <w:color w:val="auto"/>
                <w:sz w:val="14"/>
                <w:szCs w:val="14"/>
                <w:lang w:val="en-GB"/>
              </w:rPr>
              <w:t xml:space="preserve">Art. 3; Decree on Compensation and Resettlement Management in Development Projects </w:t>
            </w:r>
            <w:r w:rsidRPr="00632DBC">
              <w:rPr>
                <w:rFonts w:ascii="Calibri" w:hAnsi="Calibri" w:cs="Arial"/>
                <w:color w:val="auto"/>
                <w:sz w:val="14"/>
                <w:szCs w:val="14"/>
                <w:lang w:val="en-GB"/>
              </w:rPr>
              <w:t>No. 84</w:t>
            </w:r>
            <w:r w:rsidRPr="00632DBC">
              <w:rPr>
                <w:rFonts w:ascii="Calibri" w:hAnsi="Calibri"/>
                <w:color w:val="auto"/>
                <w:sz w:val="14"/>
                <w:szCs w:val="14"/>
                <w:lang w:val="en-GB"/>
              </w:rPr>
              <w:t xml:space="preserve">). </w:t>
            </w:r>
          </w:p>
          <w:p w14:paraId="682A53F5" w14:textId="77777777" w:rsidR="00F36825" w:rsidRPr="00632DBC" w:rsidRDefault="00F36825" w:rsidP="00F36825">
            <w:pPr>
              <w:pStyle w:val="NormalWeb"/>
              <w:spacing w:before="0" w:beforeAutospacing="0" w:after="0" w:afterAutospacing="0" w:line="240" w:lineRule="auto"/>
              <w:jc w:val="both"/>
              <w:rPr>
                <w:rFonts w:ascii="Calibri" w:hAnsi="Calibri"/>
                <w:sz w:val="14"/>
                <w:szCs w:val="14"/>
              </w:rPr>
            </w:pPr>
          </w:p>
          <w:p w14:paraId="3AE3C5AB" w14:textId="77777777" w:rsidR="00F36825" w:rsidRPr="00632DBC" w:rsidRDefault="00F36825" w:rsidP="00F36825">
            <w:pPr>
              <w:pStyle w:val="Default"/>
              <w:spacing w:after="0" w:line="240" w:lineRule="auto"/>
              <w:jc w:val="both"/>
              <w:rPr>
                <w:rFonts w:ascii="Calibri" w:hAnsi="Calibri"/>
                <w:color w:val="auto"/>
                <w:sz w:val="14"/>
                <w:szCs w:val="14"/>
                <w:lang w:val="en-GB"/>
              </w:rPr>
            </w:pPr>
            <w:r w:rsidRPr="00632DBC">
              <w:rPr>
                <w:rFonts w:ascii="Calibri" w:hAnsi="Calibri"/>
                <w:color w:val="auto"/>
                <w:sz w:val="14"/>
                <w:szCs w:val="14"/>
                <w:lang w:val="en-GB"/>
              </w:rPr>
              <w:t>Project developers have the responsibility of funding public involvement and making it effective (Art. 8; No 112/PM On Environmental Impact Assessment; Ministerial Instructions No. 8029/MONRE and 8030/MONRE).</w:t>
            </w:r>
          </w:p>
          <w:p w14:paraId="4F23033E" w14:textId="77777777" w:rsidR="00F36825" w:rsidRPr="00632DBC" w:rsidRDefault="00F36825" w:rsidP="00F36825">
            <w:pPr>
              <w:pStyle w:val="Default"/>
              <w:spacing w:after="0" w:line="240" w:lineRule="auto"/>
              <w:jc w:val="both"/>
              <w:rPr>
                <w:rFonts w:ascii="Calibri" w:hAnsi="Calibri"/>
                <w:color w:val="auto"/>
                <w:sz w:val="14"/>
                <w:szCs w:val="14"/>
                <w:lang w:val="en-GB"/>
              </w:rPr>
            </w:pPr>
          </w:p>
          <w:p w14:paraId="0D403E5D" w14:textId="77777777" w:rsidR="00F36825" w:rsidRPr="00632DBC" w:rsidRDefault="00F36825" w:rsidP="00F36825">
            <w:pPr>
              <w:widowControl w:val="0"/>
              <w:autoSpaceDE w:val="0"/>
              <w:autoSpaceDN w:val="0"/>
              <w:adjustRightInd w:val="0"/>
              <w:spacing w:after="0" w:line="240" w:lineRule="auto"/>
              <w:jc w:val="both"/>
              <w:rPr>
                <w:rFonts w:ascii="Calibri" w:hAnsi="Calibri" w:cs="Arial"/>
                <w:sz w:val="14"/>
                <w:szCs w:val="14"/>
              </w:rPr>
            </w:pPr>
            <w:r w:rsidRPr="00632DBC">
              <w:rPr>
                <w:rFonts w:ascii="Calibri" w:hAnsi="Calibri"/>
                <w:sz w:val="14"/>
                <w:szCs w:val="14"/>
              </w:rPr>
              <w:t xml:space="preserve">Project-affected persons hold the right to submit a proposal to the government regarding compensation, resettlement, and rehabilitation of their livelihood from the development project; (Art. 3; Decree on Compensation and Resettlement Management in Development Projects </w:t>
            </w:r>
            <w:r w:rsidRPr="00632DBC">
              <w:rPr>
                <w:rFonts w:ascii="Calibri" w:hAnsi="Calibri" w:cs="Arial"/>
                <w:sz w:val="14"/>
                <w:szCs w:val="14"/>
              </w:rPr>
              <w:t>No. 84)</w:t>
            </w:r>
          </w:p>
        </w:tc>
        <w:tc>
          <w:tcPr>
            <w:tcW w:w="3028" w:type="dxa"/>
          </w:tcPr>
          <w:p w14:paraId="74A52B48" w14:textId="77777777" w:rsidR="00F36825" w:rsidRPr="00632DBC" w:rsidRDefault="00F36825" w:rsidP="00F36825">
            <w:pPr>
              <w:spacing w:after="0" w:line="240" w:lineRule="auto"/>
              <w:rPr>
                <w:rFonts w:ascii="Calibri" w:hAnsi="Calibri"/>
                <w:sz w:val="14"/>
                <w:szCs w:val="14"/>
              </w:rPr>
            </w:pPr>
            <w:r w:rsidRPr="00632DBC">
              <w:rPr>
                <w:rFonts w:ascii="Calibri" w:hAnsi="Calibri"/>
                <w:sz w:val="14"/>
                <w:szCs w:val="14"/>
              </w:rPr>
              <w:t>Several provisions could jointly achieve FPIC if project-affected persons and local stakeholders have and enjoy the right of veto.</w:t>
            </w:r>
          </w:p>
          <w:p w14:paraId="7F7A5D84" w14:textId="77777777" w:rsidR="00F36825" w:rsidRPr="00632DBC" w:rsidRDefault="00F36825" w:rsidP="00F36825">
            <w:pPr>
              <w:spacing w:after="0" w:line="240" w:lineRule="auto"/>
              <w:rPr>
                <w:rFonts w:ascii="Calibri" w:hAnsi="Calibri"/>
                <w:sz w:val="14"/>
                <w:szCs w:val="14"/>
              </w:rPr>
            </w:pPr>
          </w:p>
          <w:p w14:paraId="1462949B" w14:textId="77777777" w:rsidR="00F36825" w:rsidRPr="00632DBC" w:rsidRDefault="00F36825" w:rsidP="00F36825">
            <w:pPr>
              <w:spacing w:after="0" w:line="240" w:lineRule="auto"/>
              <w:rPr>
                <w:rFonts w:ascii="Calibri" w:hAnsi="Calibri"/>
                <w:sz w:val="14"/>
                <w:szCs w:val="14"/>
              </w:rPr>
            </w:pPr>
          </w:p>
          <w:p w14:paraId="24EBB755" w14:textId="77777777" w:rsidR="00F36825" w:rsidRPr="00632DBC" w:rsidRDefault="00F36825" w:rsidP="00F36825">
            <w:pPr>
              <w:spacing w:after="0" w:line="240" w:lineRule="auto"/>
              <w:rPr>
                <w:rFonts w:ascii="Calibri" w:hAnsi="Calibri"/>
                <w:sz w:val="14"/>
                <w:szCs w:val="14"/>
              </w:rPr>
            </w:pPr>
            <w:r w:rsidRPr="00632DBC">
              <w:rPr>
                <w:rFonts w:ascii="Calibri" w:hAnsi="Calibri"/>
                <w:sz w:val="14"/>
                <w:szCs w:val="14"/>
              </w:rPr>
              <w:t>If compensation is not linked to FPIC, it risks to legalizing cultural loss or involuntary displacement</w:t>
            </w:r>
          </w:p>
          <w:p w14:paraId="01E4F420" w14:textId="77777777" w:rsidR="00F36825" w:rsidRPr="00632DBC" w:rsidRDefault="00F36825" w:rsidP="00F36825">
            <w:pPr>
              <w:spacing w:after="0" w:line="240" w:lineRule="auto"/>
              <w:rPr>
                <w:rFonts w:ascii="Calibri" w:hAnsi="Calibri"/>
                <w:sz w:val="14"/>
                <w:szCs w:val="14"/>
              </w:rPr>
            </w:pPr>
          </w:p>
          <w:p w14:paraId="47762499" w14:textId="77777777" w:rsidR="00F36825" w:rsidRPr="00632DBC" w:rsidRDefault="00F36825" w:rsidP="00F36825">
            <w:pPr>
              <w:spacing w:after="0" w:line="240" w:lineRule="auto"/>
              <w:rPr>
                <w:rFonts w:ascii="Calibri" w:hAnsi="Calibri"/>
                <w:sz w:val="14"/>
                <w:szCs w:val="14"/>
              </w:rPr>
            </w:pPr>
          </w:p>
          <w:p w14:paraId="1A66EB89" w14:textId="77777777" w:rsidR="00F36825" w:rsidRPr="00632DBC" w:rsidRDefault="00F36825" w:rsidP="00F36825">
            <w:pPr>
              <w:spacing w:after="0" w:line="240" w:lineRule="auto"/>
              <w:rPr>
                <w:rFonts w:ascii="Calibri" w:hAnsi="Calibri"/>
                <w:sz w:val="14"/>
                <w:szCs w:val="14"/>
              </w:rPr>
            </w:pPr>
          </w:p>
          <w:p w14:paraId="7966AB1A" w14:textId="77777777" w:rsidR="00F36825" w:rsidRPr="00632DBC" w:rsidRDefault="00F36825" w:rsidP="00F36825">
            <w:pPr>
              <w:spacing w:after="0" w:line="240" w:lineRule="auto"/>
              <w:rPr>
                <w:rFonts w:ascii="Calibri" w:hAnsi="Calibri"/>
                <w:sz w:val="14"/>
                <w:szCs w:val="14"/>
              </w:rPr>
            </w:pPr>
            <w:r w:rsidRPr="00632DBC">
              <w:rPr>
                <w:rFonts w:ascii="Calibri" w:hAnsi="Calibri"/>
                <w:sz w:val="14"/>
                <w:szCs w:val="14"/>
              </w:rPr>
              <w:t>As interests of the public and project developers might be opposed, a third party could undertake participation responsibilities.</w:t>
            </w:r>
          </w:p>
          <w:p w14:paraId="72BEF775" w14:textId="77777777" w:rsidR="00F36825" w:rsidRPr="00632DBC" w:rsidRDefault="00F36825" w:rsidP="00F36825">
            <w:pPr>
              <w:spacing w:after="0" w:line="240" w:lineRule="auto"/>
              <w:rPr>
                <w:rFonts w:ascii="Calibri" w:hAnsi="Calibri"/>
                <w:sz w:val="14"/>
                <w:szCs w:val="14"/>
              </w:rPr>
            </w:pPr>
          </w:p>
          <w:p w14:paraId="23283CD1" w14:textId="77777777" w:rsidR="00F36825" w:rsidRPr="00632DBC" w:rsidRDefault="00F36825" w:rsidP="00F36825">
            <w:pPr>
              <w:spacing w:after="0" w:line="240" w:lineRule="auto"/>
              <w:rPr>
                <w:rFonts w:ascii="Calibri" w:hAnsi="Calibri"/>
                <w:sz w:val="14"/>
                <w:szCs w:val="14"/>
              </w:rPr>
            </w:pPr>
            <w:r w:rsidRPr="00632DBC">
              <w:rPr>
                <w:rFonts w:ascii="Calibri" w:hAnsi="Calibri"/>
                <w:sz w:val="14"/>
                <w:szCs w:val="14"/>
              </w:rPr>
              <w:t>Access to grievance mechanisms is key to operationalize this procedural safeguard.</w:t>
            </w:r>
          </w:p>
        </w:tc>
      </w:tr>
    </w:tbl>
    <w:p w14:paraId="162E28EB" w14:textId="77777777" w:rsidR="00F36825" w:rsidRPr="00632DBC" w:rsidRDefault="00F36825" w:rsidP="00F36825">
      <w:pPr>
        <w:jc w:val="both"/>
        <w:rPr>
          <w:rFonts w:ascii="Calibri" w:hAnsi="Calibri"/>
        </w:rPr>
      </w:pPr>
    </w:p>
    <w:p w14:paraId="03E48D60" w14:textId="77777777" w:rsidR="00F36825" w:rsidRPr="00632DBC" w:rsidRDefault="00F36825" w:rsidP="00F36825">
      <w:pPr>
        <w:spacing w:line="240" w:lineRule="auto"/>
        <w:jc w:val="both"/>
        <w:rPr>
          <w:rFonts w:ascii="Times New Roman" w:hAnsi="Times New Roman"/>
        </w:rPr>
      </w:pPr>
    </w:p>
    <w:p w14:paraId="721052B8" w14:textId="3A87B052" w:rsidR="00F36825" w:rsidRPr="00632DBC" w:rsidRDefault="00F36825" w:rsidP="00F36825">
      <w:pPr>
        <w:spacing w:line="240" w:lineRule="auto"/>
        <w:jc w:val="both"/>
        <w:rPr>
          <w:rFonts w:ascii="Times New Roman" w:hAnsi="Times New Roman"/>
        </w:rPr>
      </w:pPr>
      <w:r w:rsidRPr="00632DBC">
        <w:rPr>
          <w:rFonts w:ascii="Times New Roman" w:hAnsi="Times New Roman"/>
          <w:b/>
          <w:i/>
        </w:rPr>
        <w:t>Safeguarding places of high bio-cultural value</w:t>
      </w:r>
      <w:r w:rsidRPr="00632DBC">
        <w:rPr>
          <w:rFonts w:ascii="Times New Roman" w:hAnsi="Times New Roman"/>
        </w:rPr>
        <w:t>. According to the EIA Decree, investment projects are divided in two categories depending on their potential impact</w:t>
      </w:r>
      <w:r w:rsidR="00B645F4" w:rsidRPr="00632DBC">
        <w:rPr>
          <w:rFonts w:ascii="Times New Roman" w:hAnsi="Times New Roman"/>
        </w:rPr>
        <w:t>,</w:t>
      </w:r>
      <w:r w:rsidRPr="00632DBC">
        <w:rPr>
          <w:rFonts w:ascii="Times New Roman" w:hAnsi="Times New Roman"/>
        </w:rPr>
        <w:t xml:space="preserve"> Environmental and Social Impact Assessment (ESIA) or the lesser strict study Initial Environmental Evaluation (IEE)</w:t>
      </w:r>
      <w:r w:rsidR="00B645F4" w:rsidRPr="00632DBC">
        <w:rPr>
          <w:rFonts w:ascii="Times New Roman" w:hAnsi="Times New Roman"/>
        </w:rPr>
        <w:t>.</w:t>
      </w:r>
      <w:r w:rsidRPr="00632DBC">
        <w:rPr>
          <w:rStyle w:val="FootnoteReference"/>
          <w:rFonts w:ascii="Times New Roman" w:hAnsi="Times New Roman"/>
        </w:rPr>
        <w:footnoteReference w:id="244"/>
      </w:r>
      <w:r w:rsidRPr="00632DBC">
        <w:rPr>
          <w:rFonts w:ascii="Times New Roman" w:hAnsi="Times New Roman"/>
        </w:rPr>
        <w:t xml:space="preserve"> If an investment </w:t>
      </w:r>
      <w:r w:rsidRPr="00632DBC">
        <w:rPr>
          <w:rFonts w:ascii="Times New Roman" w:hAnsi="Times New Roman"/>
        </w:rPr>
        <w:lastRenderedPageBreak/>
        <w:t>project is likely to affect sites of either high biological or social value – according to other regulations - conducting the most comprehensive EIA is mandatory.</w:t>
      </w:r>
      <w:r w:rsidRPr="00632DBC">
        <w:rPr>
          <w:rStyle w:val="FootnoteReference"/>
          <w:rFonts w:ascii="Times New Roman" w:hAnsi="Times New Roman"/>
        </w:rPr>
        <w:footnoteReference w:id="245"/>
      </w:r>
      <w:r w:rsidRPr="00632DBC">
        <w:rPr>
          <w:rFonts w:ascii="Times New Roman" w:hAnsi="Times New Roman"/>
        </w:rPr>
        <w:t xml:space="preserve"> Although conservation forests and UNESCO sites are recognized, this safeguard could gain from specifying other social, cultural, biodiversity and ecosystems related criteria of “no-go areas” customary lands or ecologically fragile areas, which are not formally recognized.</w:t>
      </w:r>
    </w:p>
    <w:p w14:paraId="77425B8B" w14:textId="02841D00"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Integrating values from different knowledge systems</w:t>
      </w:r>
      <w:r w:rsidRPr="00632DBC">
        <w:rPr>
          <w:rFonts w:ascii="Times New Roman" w:hAnsi="Times New Roman"/>
          <w:i/>
        </w:rPr>
        <w:t>.</w:t>
      </w:r>
      <w:r w:rsidRPr="00632DBC">
        <w:rPr>
          <w:rFonts w:ascii="Times New Roman" w:hAnsi="Times New Roman"/>
          <w:b/>
        </w:rPr>
        <w:t xml:space="preserve"> </w:t>
      </w:r>
      <w:r w:rsidRPr="00632DBC">
        <w:rPr>
          <w:rFonts w:ascii="Times New Roman" w:hAnsi="Times New Roman"/>
        </w:rPr>
        <w:t>Although ministerial regulations</w:t>
      </w:r>
      <w:r w:rsidRPr="00632DBC">
        <w:rPr>
          <w:rStyle w:val="FootnoteReference"/>
          <w:rFonts w:ascii="Times New Roman" w:hAnsi="Times New Roman"/>
        </w:rPr>
        <w:footnoteReference w:id="246"/>
      </w:r>
      <w:r w:rsidRPr="00632DBC">
        <w:rPr>
          <w:rFonts w:ascii="Times New Roman" w:hAnsi="Times New Roman"/>
        </w:rPr>
        <w:t xml:space="preserve"> state that knowledge of local stakeholders and project-affected persons regarding impacts on biological aspects must be included in the environmental impact assessment, the system for evaluating the relevance of biodiversity and ecosystems is based on ‘consensus in the scientific community’.</w:t>
      </w:r>
      <w:r w:rsidRPr="00632DBC">
        <w:rPr>
          <w:rStyle w:val="FootnoteReference"/>
          <w:rFonts w:ascii="Times New Roman" w:hAnsi="Times New Roman"/>
        </w:rPr>
        <w:footnoteReference w:id="247"/>
      </w:r>
      <w:r w:rsidRPr="00632DBC">
        <w:rPr>
          <w:rFonts w:ascii="Times New Roman" w:hAnsi="Times New Roman"/>
        </w:rPr>
        <w:t xml:space="preserve"> Including values from different knowledge systems in the evaluation process would complement the capacity of scientific knowledge to safeguard important components of biodiversity and ecosystems</w:t>
      </w:r>
      <w:r w:rsidR="00B645F4" w:rsidRPr="00632DBC">
        <w:rPr>
          <w:rFonts w:ascii="Times New Roman" w:hAnsi="Times New Roman"/>
        </w:rPr>
        <w:t>.</w:t>
      </w:r>
      <w:r w:rsidRPr="00632DBC">
        <w:rPr>
          <w:rStyle w:val="FootnoteReference"/>
          <w:rFonts w:ascii="Times New Roman" w:hAnsi="Times New Roman"/>
        </w:rPr>
        <w:footnoteReference w:id="248"/>
      </w:r>
      <w:r w:rsidRPr="00632DBC">
        <w:rPr>
          <w:rFonts w:ascii="Times New Roman" w:hAnsi="Times New Roman"/>
        </w:rPr>
        <w:t xml:space="preserve"> </w:t>
      </w:r>
      <w:r w:rsidR="00B645F4" w:rsidRPr="00632DBC">
        <w:rPr>
          <w:rFonts w:ascii="Times New Roman" w:hAnsi="Times New Roman"/>
        </w:rPr>
        <w:t>It</w:t>
      </w:r>
      <w:r w:rsidRPr="00632DBC">
        <w:rPr>
          <w:rFonts w:ascii="Times New Roman" w:hAnsi="Times New Roman"/>
        </w:rPr>
        <w:t xml:space="preserve"> would</w:t>
      </w:r>
      <w:r w:rsidR="00B645F4" w:rsidRPr="00632DBC">
        <w:rPr>
          <w:rFonts w:ascii="Times New Roman" w:hAnsi="Times New Roman"/>
        </w:rPr>
        <w:t xml:space="preserve"> also</w:t>
      </w:r>
      <w:r w:rsidRPr="00632DBC">
        <w:rPr>
          <w:rFonts w:ascii="Times New Roman" w:hAnsi="Times New Roman"/>
        </w:rPr>
        <w:t xml:space="preserve"> attribute relevance to species and ecological processes important for livelihoods, food security and cultural wellbeing at the local level.</w:t>
      </w:r>
    </w:p>
    <w:p w14:paraId="47BEE9B1" w14:textId="680DA617"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Linking compensation for cultural loss to FPIC</w:t>
      </w:r>
      <w:r w:rsidRPr="00632DBC">
        <w:rPr>
          <w:rFonts w:ascii="Times New Roman" w:hAnsi="Times New Roman"/>
          <w:b/>
        </w:rPr>
        <w:t xml:space="preserve">. </w:t>
      </w:r>
      <w:r w:rsidRPr="00632DBC">
        <w:rPr>
          <w:rFonts w:ascii="Times New Roman" w:hAnsi="Times New Roman"/>
        </w:rPr>
        <w:t>EIA guidelines contemplate compensation for cultural losses such as those related to traditional livelihoods, institutions and use of natural resources.</w:t>
      </w:r>
      <w:r w:rsidRPr="00632DBC">
        <w:rPr>
          <w:rStyle w:val="FootnoteReference"/>
          <w:rFonts w:ascii="Times New Roman" w:hAnsi="Times New Roman"/>
        </w:rPr>
        <w:footnoteReference w:id="249"/>
      </w:r>
      <w:r w:rsidRPr="00632DBC">
        <w:rPr>
          <w:rFonts w:ascii="Times New Roman" w:hAnsi="Times New Roman"/>
        </w:rPr>
        <w:t xml:space="preserve"> This provision aims to </w:t>
      </w:r>
      <w:r w:rsidR="00DC06E7" w:rsidRPr="00632DBC">
        <w:rPr>
          <w:rFonts w:ascii="Times New Roman" w:hAnsi="Times New Roman"/>
        </w:rPr>
        <w:t xml:space="preserve">establish </w:t>
      </w:r>
      <w:r w:rsidRPr="00632DBC">
        <w:rPr>
          <w:rFonts w:ascii="Times New Roman" w:hAnsi="Times New Roman"/>
        </w:rPr>
        <w:t xml:space="preserve">a disincentive for developers risking </w:t>
      </w:r>
      <w:proofErr w:type="gramStart"/>
      <w:r w:rsidRPr="00632DBC">
        <w:rPr>
          <w:rFonts w:ascii="Times New Roman" w:hAnsi="Times New Roman"/>
        </w:rPr>
        <w:t>to produce</w:t>
      </w:r>
      <w:proofErr w:type="gramEnd"/>
      <w:r w:rsidRPr="00632DBC">
        <w:rPr>
          <w:rFonts w:ascii="Times New Roman" w:hAnsi="Times New Roman"/>
        </w:rPr>
        <w:t xml:space="preserve"> impacts on local societies that traditionally use biodiversity and ecosystems sustainably. </w:t>
      </w:r>
      <w:r w:rsidR="00DC06E7" w:rsidRPr="00632DBC">
        <w:rPr>
          <w:rFonts w:ascii="Times New Roman" w:hAnsi="Times New Roman"/>
        </w:rPr>
        <w:t>C</w:t>
      </w:r>
      <w:r w:rsidRPr="00632DBC">
        <w:rPr>
          <w:rFonts w:ascii="Times New Roman" w:hAnsi="Times New Roman"/>
        </w:rPr>
        <w:t>ompensation provisions need to be synchronized do not replace the need to safeguard procedural rights such as FPIC, public participation and access to information.</w:t>
      </w:r>
    </w:p>
    <w:p w14:paraId="0218116F" w14:textId="77777777" w:rsidR="00F36825" w:rsidRPr="00632DBC" w:rsidRDefault="00F36825" w:rsidP="00F36825">
      <w:pPr>
        <w:widowControl w:val="0"/>
        <w:autoSpaceDE w:val="0"/>
        <w:autoSpaceDN w:val="0"/>
        <w:adjustRightInd w:val="0"/>
        <w:spacing w:line="240" w:lineRule="auto"/>
        <w:jc w:val="both"/>
        <w:rPr>
          <w:rFonts w:ascii="Times New Roman" w:hAnsi="Times New Roman"/>
        </w:rPr>
      </w:pPr>
    </w:p>
    <w:p w14:paraId="7061728A" w14:textId="3DB78A58" w:rsidR="00F36825" w:rsidRPr="00632DBC" w:rsidRDefault="00F36825" w:rsidP="00F36825">
      <w:pPr>
        <w:pStyle w:val="Ingetavstnd2"/>
        <w:rPr>
          <w:rFonts w:ascii="Times New Roman" w:hAnsi="Times New Roman"/>
          <w:b/>
        </w:rPr>
      </w:pPr>
      <w:r w:rsidRPr="00632DBC">
        <w:rPr>
          <w:rFonts w:ascii="Times New Roman" w:hAnsi="Times New Roman"/>
          <w:b/>
        </w:rPr>
        <w:t xml:space="preserve">Lessons learned from looking at ESIA in Lao PDR through the lens of </w:t>
      </w:r>
      <w:r w:rsidR="00835475" w:rsidRPr="00632DBC">
        <w:rPr>
          <w:rFonts w:ascii="Times New Roman" w:hAnsi="Times New Roman"/>
          <w:b/>
        </w:rPr>
        <w:t>guideline (</w:t>
      </w:r>
      <w:r w:rsidR="00835475" w:rsidRPr="00632DBC">
        <w:rPr>
          <w:rFonts w:ascii="Times New Roman" w:hAnsi="Times New Roman"/>
          <w:b/>
          <w:i/>
        </w:rPr>
        <w:t>b</w:t>
      </w:r>
      <w:r w:rsidR="00835475" w:rsidRPr="00632DBC">
        <w:rPr>
          <w:rFonts w:ascii="Times New Roman" w:hAnsi="Times New Roman"/>
          <w:b/>
        </w:rPr>
        <w:t>)</w:t>
      </w:r>
      <w:r w:rsidRPr="00632DBC">
        <w:rPr>
          <w:rFonts w:ascii="Times New Roman" w:hAnsi="Times New Roman"/>
          <w:b/>
        </w:rPr>
        <w:t xml:space="preserve"> </w:t>
      </w:r>
      <w:r w:rsidRPr="00632DBC">
        <w:rPr>
          <w:rFonts w:ascii="Times New Roman" w:hAnsi="Times New Roman"/>
          <w:b/>
          <w:i/>
        </w:rPr>
        <w:t>People’s rights, responsibilities and effective participation</w:t>
      </w:r>
      <w:r w:rsidRPr="00632DBC">
        <w:rPr>
          <w:rFonts w:ascii="Times New Roman" w:hAnsi="Times New Roman"/>
          <w:b/>
        </w:rPr>
        <w:t xml:space="preserve"> </w:t>
      </w:r>
    </w:p>
    <w:p w14:paraId="65740035" w14:textId="77777777" w:rsidR="00F36825" w:rsidRPr="00632DBC" w:rsidRDefault="00F36825" w:rsidP="00F36825">
      <w:pPr>
        <w:pStyle w:val="Ingetavstnd2"/>
        <w:rPr>
          <w:rFonts w:ascii="Times New Roman" w:hAnsi="Times New Roman"/>
          <w:b/>
        </w:rPr>
      </w:pPr>
    </w:p>
    <w:p w14:paraId="2E38ED90" w14:textId="5A2F44EE"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Need to synchronize procedural and substantive rights</w:t>
      </w:r>
      <w:r w:rsidRPr="00632DBC">
        <w:rPr>
          <w:rFonts w:ascii="Times New Roman" w:hAnsi="Times New Roman"/>
          <w:b/>
        </w:rPr>
        <w:t>.</w:t>
      </w:r>
      <w:r w:rsidRPr="00632DBC">
        <w:rPr>
          <w:rFonts w:ascii="Times New Roman" w:hAnsi="Times New Roman"/>
        </w:rPr>
        <w:t xml:space="preserve">  The</w:t>
      </w:r>
      <w:r w:rsidRPr="00632DBC">
        <w:rPr>
          <w:rFonts w:ascii="Times New Roman" w:hAnsi="Times New Roman"/>
          <w:i/>
        </w:rPr>
        <w:t xml:space="preserve"> </w:t>
      </w:r>
      <w:r w:rsidRPr="00632DBC">
        <w:rPr>
          <w:rFonts w:ascii="Times New Roman" w:hAnsi="Times New Roman"/>
        </w:rPr>
        <w:t>EIA Decree recognizes the right to information through stating that</w:t>
      </w:r>
      <w:r w:rsidR="0045695C" w:rsidRPr="00632DBC">
        <w:rPr>
          <w:rFonts w:ascii="Times New Roman" w:hAnsi="Times New Roman"/>
        </w:rPr>
        <w:t>,</w:t>
      </w:r>
      <w:r w:rsidRPr="00632DBC">
        <w:rPr>
          <w:rFonts w:ascii="Times New Roman" w:hAnsi="Times New Roman"/>
        </w:rPr>
        <w:t xml:space="preserve"> </w:t>
      </w:r>
      <w:r w:rsidR="0045695C" w:rsidRPr="00632DBC">
        <w:rPr>
          <w:rFonts w:ascii="Times New Roman" w:hAnsi="Times New Roman"/>
        </w:rPr>
        <w:t>“</w:t>
      </w:r>
      <w:r w:rsidRPr="00632DBC">
        <w:rPr>
          <w:rFonts w:ascii="Times New Roman" w:hAnsi="Times New Roman"/>
        </w:rPr>
        <w:t>project-a</w:t>
      </w:r>
      <w:r w:rsidRPr="00632DBC">
        <w:rPr>
          <w:rFonts w:ascii="Times New Roman" w:hAnsi="Times New Roman"/>
          <w:bCs/>
        </w:rPr>
        <w:t>ffected persons have the right t</w:t>
      </w:r>
      <w:r w:rsidRPr="00632DBC">
        <w:rPr>
          <w:rFonts w:ascii="Times New Roman" w:hAnsi="Times New Roman"/>
        </w:rPr>
        <w:t>o be previously and thoroughly informed about development projects, the right to discuss at all government levels EIA related document and processes including information on substantive issues such as compensation, mitigation resettlement and restoration</w:t>
      </w:r>
      <w:r w:rsidR="0045695C" w:rsidRPr="00632DBC">
        <w:rPr>
          <w:rFonts w:ascii="Times New Roman" w:hAnsi="Times New Roman"/>
        </w:rPr>
        <w:t>”.</w:t>
      </w:r>
      <w:r w:rsidRPr="00632DBC">
        <w:rPr>
          <w:rStyle w:val="FootnoteReference"/>
          <w:rFonts w:ascii="Times New Roman" w:hAnsi="Times New Roman"/>
        </w:rPr>
        <w:footnoteReference w:id="250"/>
      </w:r>
      <w:r w:rsidRPr="00632DBC">
        <w:rPr>
          <w:rFonts w:ascii="Times New Roman" w:hAnsi="Times New Roman"/>
        </w:rPr>
        <w:t xml:space="preserve"> Furthermore, </w:t>
      </w:r>
      <w:r w:rsidRPr="00632DBC">
        <w:rPr>
          <w:rFonts w:ascii="Times New Roman" w:hAnsi="Times New Roman"/>
          <w:i/>
        </w:rPr>
        <w:t xml:space="preserve">Ministerial Instructions </w:t>
      </w:r>
      <w:r w:rsidRPr="00632DBC">
        <w:rPr>
          <w:rStyle w:val="FootnoteReference"/>
          <w:rFonts w:ascii="Times New Roman" w:hAnsi="Times New Roman"/>
          <w:i/>
        </w:rPr>
        <w:footnoteReference w:id="251"/>
      </w:r>
      <w:r w:rsidR="0045695C" w:rsidRPr="00632DBC">
        <w:rPr>
          <w:rFonts w:ascii="Times New Roman" w:hAnsi="Times New Roman"/>
          <w:i/>
        </w:rPr>
        <w:t xml:space="preserve"> </w:t>
      </w:r>
      <w:r w:rsidRPr="00632DBC">
        <w:rPr>
          <w:rFonts w:ascii="Times New Roman" w:hAnsi="Times New Roman"/>
        </w:rPr>
        <w:t>state that project developers should not make use of</w:t>
      </w:r>
      <w:r w:rsidR="0045695C" w:rsidRPr="00632DBC">
        <w:rPr>
          <w:rFonts w:ascii="Times New Roman" w:hAnsi="Times New Roman"/>
        </w:rPr>
        <w:t>,</w:t>
      </w:r>
      <w:r w:rsidRPr="00632DBC">
        <w:rPr>
          <w:rFonts w:ascii="Times New Roman" w:hAnsi="Times New Roman"/>
        </w:rPr>
        <w:t xml:space="preserve"> </w:t>
      </w:r>
      <w:r w:rsidR="0045695C" w:rsidRPr="00632DBC">
        <w:rPr>
          <w:rFonts w:ascii="Times New Roman" w:hAnsi="Times New Roman"/>
        </w:rPr>
        <w:t>“</w:t>
      </w:r>
      <w:r w:rsidRPr="00632DBC">
        <w:rPr>
          <w:rFonts w:ascii="Times New Roman" w:hAnsi="Times New Roman"/>
        </w:rPr>
        <w:t>threat, coercion, force, violence, bribery or deception</w:t>
      </w:r>
      <w:r w:rsidR="0045695C" w:rsidRPr="00632DBC">
        <w:rPr>
          <w:rFonts w:ascii="Times New Roman" w:hAnsi="Times New Roman"/>
        </w:rPr>
        <w:t>”</w:t>
      </w:r>
      <w:r w:rsidRPr="00632DBC">
        <w:rPr>
          <w:rFonts w:ascii="Times New Roman" w:hAnsi="Times New Roman"/>
          <w:i/>
        </w:rPr>
        <w:t xml:space="preserve">. </w:t>
      </w:r>
      <w:r w:rsidRPr="00632DBC">
        <w:rPr>
          <w:rFonts w:ascii="Times New Roman" w:hAnsi="Times New Roman"/>
        </w:rPr>
        <w:t xml:space="preserve">These procedural safeguards could jointly constitute the equivalent of rights to FPIC by also including the right of veto. </w:t>
      </w:r>
    </w:p>
    <w:p w14:paraId="58FE6DE6" w14:textId="21C2D636"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Recognizing and defending land property rights</w:t>
      </w:r>
      <w:r w:rsidRPr="00632DBC">
        <w:rPr>
          <w:rFonts w:ascii="Times New Roman" w:hAnsi="Times New Roman"/>
          <w:i/>
        </w:rPr>
        <w:t xml:space="preserve">. </w:t>
      </w:r>
      <w:r w:rsidRPr="00632DBC">
        <w:rPr>
          <w:rFonts w:ascii="Times New Roman" w:hAnsi="Times New Roman"/>
        </w:rPr>
        <w:t>According to</w:t>
      </w:r>
      <w:r w:rsidRPr="00632DBC">
        <w:rPr>
          <w:rFonts w:ascii="Times New Roman" w:hAnsi="Times New Roman"/>
          <w:i/>
        </w:rPr>
        <w:t xml:space="preserve"> </w:t>
      </w:r>
      <w:r w:rsidRPr="00632DBC">
        <w:rPr>
          <w:rFonts w:ascii="Times New Roman" w:hAnsi="Times New Roman"/>
        </w:rPr>
        <w:t>Laotian constitution</w:t>
      </w:r>
      <w:r w:rsidR="0045695C" w:rsidRPr="00632DBC">
        <w:rPr>
          <w:rFonts w:ascii="Times New Roman" w:hAnsi="Times New Roman"/>
        </w:rPr>
        <w:t>,</w:t>
      </w:r>
      <w:r w:rsidRPr="00632DBC">
        <w:rPr>
          <w:rFonts w:ascii="Times New Roman" w:hAnsi="Times New Roman"/>
        </w:rPr>
        <w:t xml:space="preserve"> </w:t>
      </w:r>
      <w:r w:rsidR="0045695C" w:rsidRPr="00632DBC">
        <w:rPr>
          <w:rFonts w:ascii="Times New Roman" w:hAnsi="Times New Roman"/>
        </w:rPr>
        <w:t>“</w:t>
      </w:r>
      <w:r w:rsidRPr="00632DBC">
        <w:rPr>
          <w:rFonts w:ascii="Times New Roman" w:hAnsi="Times New Roman"/>
        </w:rPr>
        <w:t>The State protects the property rights (such as the rights of possession, use, usufruct and disposition)</w:t>
      </w:r>
      <w:r w:rsidR="0045695C" w:rsidRPr="00632DBC">
        <w:rPr>
          <w:rFonts w:ascii="Times New Roman" w:hAnsi="Times New Roman"/>
        </w:rPr>
        <w:t>”</w:t>
      </w:r>
      <w:r w:rsidRPr="00632DBC">
        <w:rPr>
          <w:rFonts w:ascii="Times New Roman" w:hAnsi="Times New Roman"/>
        </w:rPr>
        <w:t>. Furthermore, land regulations recognize customary use rights that protect social groups that have traditionally used territories in spite of not having certificates.</w:t>
      </w:r>
      <w:r w:rsidRPr="00632DBC">
        <w:rPr>
          <w:rStyle w:val="FootnoteReference"/>
          <w:rFonts w:ascii="Times New Roman" w:hAnsi="Times New Roman"/>
        </w:rPr>
        <w:footnoteReference w:id="252"/>
      </w:r>
      <w:r w:rsidRPr="00632DBC">
        <w:rPr>
          <w:rFonts w:ascii="Times New Roman" w:hAnsi="Times New Roman"/>
        </w:rPr>
        <w:t xml:space="preserve"> Nonetheless, these substantive rights have not been </w:t>
      </w:r>
      <w:r w:rsidRPr="00632DBC">
        <w:rPr>
          <w:rFonts w:ascii="Times New Roman" w:hAnsi="Times New Roman"/>
        </w:rPr>
        <w:lastRenderedPageBreak/>
        <w:t>enough to prevent involuntary resettlements</w:t>
      </w:r>
      <w:r w:rsidR="0045695C" w:rsidRPr="00632DBC">
        <w:rPr>
          <w:rFonts w:ascii="Times New Roman" w:hAnsi="Times New Roman"/>
        </w:rPr>
        <w:t>.</w:t>
      </w:r>
      <w:r w:rsidRPr="00632DBC">
        <w:rPr>
          <w:rStyle w:val="FootnoteReference"/>
          <w:rFonts w:ascii="Times New Roman" w:hAnsi="Times New Roman"/>
        </w:rPr>
        <w:footnoteReference w:id="253"/>
      </w:r>
      <w:r w:rsidRPr="00632DBC">
        <w:rPr>
          <w:rFonts w:ascii="Times New Roman" w:hAnsi="Times New Roman"/>
        </w:rPr>
        <w:t xml:space="preserve"> Regulations on compensation and resettlement establish project developers must compensate impacts on lands of project-affected persons by providing a similar piece of land in a different location</w:t>
      </w:r>
      <w:r w:rsidR="0045695C" w:rsidRPr="00632DBC">
        <w:rPr>
          <w:rFonts w:ascii="Times New Roman" w:hAnsi="Times New Roman"/>
        </w:rPr>
        <w:t>.</w:t>
      </w:r>
      <w:r w:rsidRPr="00632DBC">
        <w:rPr>
          <w:rStyle w:val="FootnoteReference"/>
          <w:rFonts w:ascii="Times New Roman" w:hAnsi="Times New Roman"/>
        </w:rPr>
        <w:footnoteReference w:id="254"/>
      </w:r>
      <w:r w:rsidRPr="00632DBC">
        <w:rPr>
          <w:rFonts w:ascii="Times New Roman" w:hAnsi="Times New Roman"/>
        </w:rPr>
        <w:t xml:space="preserve"> Under power imbalances conditions, compensation mechanisms risks allowance of involuntary displacement. Adopting FPIC is a procedural means to make land rights a safeguard.  </w:t>
      </w:r>
    </w:p>
    <w:p w14:paraId="33CB006C" w14:textId="12119FE0"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Implementing public participation and avoiding conflict of interests</w:t>
      </w:r>
      <w:r w:rsidRPr="00632DBC">
        <w:rPr>
          <w:rFonts w:ascii="Times New Roman" w:hAnsi="Times New Roman"/>
          <w:i/>
        </w:rPr>
        <w:t>.</w:t>
      </w:r>
      <w:r w:rsidRPr="00632DBC">
        <w:rPr>
          <w:rFonts w:ascii="Times New Roman" w:hAnsi="Times New Roman"/>
          <w:b/>
        </w:rPr>
        <w:t xml:space="preserve"> </w:t>
      </w:r>
      <w:r w:rsidRPr="00632DBC">
        <w:rPr>
          <w:rFonts w:ascii="Times New Roman" w:hAnsi="Times New Roman"/>
        </w:rPr>
        <w:t>Laotian regulation establishes that</w:t>
      </w:r>
      <w:r w:rsidRPr="00632DBC">
        <w:rPr>
          <w:rFonts w:ascii="Times New Roman" w:hAnsi="Times New Roman"/>
          <w:b/>
        </w:rPr>
        <w:t xml:space="preserve"> </w:t>
      </w:r>
      <w:r w:rsidRPr="00632DBC">
        <w:rPr>
          <w:rFonts w:ascii="Times New Roman" w:hAnsi="Times New Roman"/>
        </w:rPr>
        <w:t>government and project developers have the shared responsibility of making participation effective</w:t>
      </w:r>
      <w:r w:rsidR="00F52746" w:rsidRPr="00632DBC">
        <w:rPr>
          <w:rFonts w:ascii="Times New Roman" w:hAnsi="Times New Roman"/>
        </w:rPr>
        <w:t xml:space="preserve"> by</w:t>
      </w:r>
      <w:r w:rsidRPr="00632DBC">
        <w:rPr>
          <w:rFonts w:ascii="Times New Roman" w:hAnsi="Times New Roman"/>
        </w:rPr>
        <w:t xml:space="preserve"> providing information in local language, collecting opinions of project-affected persons and other stakeholders</w:t>
      </w:r>
      <w:r w:rsidRPr="00632DBC">
        <w:rPr>
          <w:rStyle w:val="FootnoteReference"/>
          <w:rFonts w:ascii="Times New Roman" w:hAnsi="Times New Roman"/>
        </w:rPr>
        <w:footnoteReference w:id="255"/>
      </w:r>
      <w:r w:rsidRPr="00632DBC">
        <w:rPr>
          <w:rFonts w:ascii="Times New Roman" w:hAnsi="Times New Roman"/>
        </w:rPr>
        <w:t>, and promoting informed public involvement free of power abuse. Similarly, financing involvement of project-affected persons is a cost assumed by project developers.</w:t>
      </w:r>
      <w:r w:rsidRPr="00632DBC">
        <w:rPr>
          <w:rStyle w:val="FootnoteReference"/>
          <w:rFonts w:ascii="Times New Roman" w:hAnsi="Times New Roman"/>
        </w:rPr>
        <w:footnoteReference w:id="256"/>
      </w:r>
      <w:r w:rsidRPr="00632DBC">
        <w:rPr>
          <w:rFonts w:ascii="Times New Roman" w:hAnsi="Times New Roman"/>
        </w:rPr>
        <w:t xml:space="preserve"> However, making project developers responsible for public participation constitutes a conflict of interests. Project developers have the incentive to</w:t>
      </w:r>
      <w:r w:rsidR="00F52746" w:rsidRPr="00632DBC">
        <w:rPr>
          <w:rFonts w:ascii="Times New Roman" w:hAnsi="Times New Roman"/>
        </w:rPr>
        <w:t xml:space="preserve"> not</w:t>
      </w:r>
      <w:r w:rsidRPr="00632DBC">
        <w:rPr>
          <w:rFonts w:ascii="Times New Roman" w:hAnsi="Times New Roman"/>
        </w:rPr>
        <w:t xml:space="preserve"> incorporate the concerns of participants who might oppose the investment project being evaluated. Allocating the responsibility of implementing public participation to independent agencies with no economic and/or political interest in the assessment’s outcome</w:t>
      </w:r>
      <w:r w:rsidR="00F52746" w:rsidRPr="00632DBC">
        <w:rPr>
          <w:rFonts w:ascii="Times New Roman" w:hAnsi="Times New Roman"/>
        </w:rPr>
        <w:t>,</w:t>
      </w:r>
      <w:r w:rsidRPr="00632DBC">
        <w:rPr>
          <w:rFonts w:ascii="Times New Roman" w:hAnsi="Times New Roman"/>
        </w:rPr>
        <w:t xml:space="preserve"> could be a way forward to address this challenge</w:t>
      </w:r>
      <w:r w:rsidR="00F52746" w:rsidRPr="00632DBC">
        <w:rPr>
          <w:rFonts w:ascii="Times New Roman" w:hAnsi="Times New Roman"/>
        </w:rPr>
        <w:t>.</w:t>
      </w:r>
      <w:r w:rsidRPr="00632DBC">
        <w:rPr>
          <w:rFonts w:ascii="Times New Roman" w:hAnsi="Times New Roman"/>
        </w:rPr>
        <w:t xml:space="preserve"> </w:t>
      </w:r>
      <w:r w:rsidR="00F52746" w:rsidRPr="00632DBC">
        <w:rPr>
          <w:rFonts w:ascii="Times New Roman" w:hAnsi="Times New Roman"/>
        </w:rPr>
        <w:t>R</w:t>
      </w:r>
      <w:r w:rsidRPr="00632DBC">
        <w:rPr>
          <w:rFonts w:ascii="Times New Roman" w:hAnsi="Times New Roman"/>
        </w:rPr>
        <w:t>ight holders should have direct access to this agency</w:t>
      </w:r>
    </w:p>
    <w:p w14:paraId="0DDC1058" w14:textId="77777777"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Improving monitoring of public participation</w:t>
      </w:r>
      <w:r w:rsidRPr="00632DBC">
        <w:rPr>
          <w:rFonts w:ascii="Times New Roman" w:hAnsi="Times New Roman"/>
        </w:rPr>
        <w:t xml:space="preserve">. </w:t>
      </w:r>
      <w:proofErr w:type="gramStart"/>
      <w:r w:rsidRPr="00632DBC">
        <w:rPr>
          <w:rFonts w:ascii="Times New Roman" w:hAnsi="Times New Roman"/>
        </w:rPr>
        <w:t>In order to</w:t>
      </w:r>
      <w:proofErr w:type="gramEnd"/>
      <w:r w:rsidRPr="00632DBC">
        <w:rPr>
          <w:rFonts w:ascii="Times New Roman" w:hAnsi="Times New Roman"/>
        </w:rPr>
        <w:t xml:space="preserve"> assess efforts on improving participation, PEI provided officials from the Department of Environmental and Social Impact Assessment with training to obtain evidence of public involvement in the hydropower, agriculture and mineral sectors. </w:t>
      </w:r>
    </w:p>
    <w:p w14:paraId="4E6BC307" w14:textId="492F21DA" w:rsidR="00F36825" w:rsidRPr="00632DBC" w:rsidRDefault="00F36825" w:rsidP="00F36825">
      <w:pPr>
        <w:spacing w:line="240" w:lineRule="auto"/>
        <w:jc w:val="both"/>
        <w:rPr>
          <w:rFonts w:ascii="Times New Roman" w:hAnsi="Times New Roman"/>
          <w:b/>
        </w:rPr>
      </w:pPr>
      <w:r w:rsidRPr="00632DBC">
        <w:rPr>
          <w:rFonts w:ascii="Times New Roman" w:hAnsi="Times New Roman"/>
          <w:b/>
          <w:i/>
        </w:rPr>
        <w:t>Providing access to remedies</w:t>
      </w:r>
      <w:r w:rsidRPr="00632DBC">
        <w:rPr>
          <w:rFonts w:ascii="Times New Roman" w:hAnsi="Times New Roman"/>
          <w:b/>
        </w:rPr>
        <w:t xml:space="preserve">. </w:t>
      </w:r>
      <w:r w:rsidRPr="00632DBC">
        <w:rPr>
          <w:rFonts w:ascii="Times New Roman" w:hAnsi="Times New Roman"/>
        </w:rPr>
        <w:t>Project affected persons have the right to enter in</w:t>
      </w:r>
      <w:r w:rsidR="002E03F3" w:rsidRPr="00632DBC">
        <w:rPr>
          <w:rFonts w:ascii="Times New Roman" w:hAnsi="Times New Roman"/>
        </w:rPr>
        <w:t>to</w:t>
      </w:r>
      <w:r w:rsidRPr="00632DBC">
        <w:rPr>
          <w:rFonts w:ascii="Times New Roman" w:hAnsi="Times New Roman"/>
        </w:rPr>
        <w:t xml:space="preserve"> dispute with the project developer on rights and responsibilities in managing and utilizing of natural resources and biodiversity.</w:t>
      </w:r>
      <w:r w:rsidRPr="00632DBC">
        <w:rPr>
          <w:rStyle w:val="FootnoteReference"/>
          <w:rFonts w:ascii="Times New Roman" w:hAnsi="Times New Roman"/>
        </w:rPr>
        <w:footnoteReference w:id="257"/>
      </w:r>
      <w:r w:rsidRPr="00632DBC">
        <w:rPr>
          <w:rFonts w:ascii="Times New Roman" w:hAnsi="Times New Roman"/>
        </w:rPr>
        <w:t xml:space="preserve"> Likewise, project affected persons have the right to submit a proposal to the government in regards to compensation, resettlement, and rehabilitation of their livelihood from the development project.</w:t>
      </w:r>
      <w:r w:rsidRPr="00632DBC">
        <w:rPr>
          <w:rStyle w:val="FootnoteReference"/>
          <w:rFonts w:ascii="Times New Roman" w:hAnsi="Times New Roman"/>
        </w:rPr>
        <w:footnoteReference w:id="258"/>
      </w:r>
      <w:r w:rsidRPr="00632DBC">
        <w:rPr>
          <w:rFonts w:ascii="Times New Roman" w:hAnsi="Times New Roman"/>
        </w:rPr>
        <w:t xml:space="preserve"> In order to improve the effectiveness of these safeguards</w:t>
      </w:r>
      <w:r w:rsidR="001D2B9D" w:rsidRPr="00632DBC">
        <w:rPr>
          <w:rFonts w:ascii="Times New Roman" w:hAnsi="Times New Roman"/>
        </w:rPr>
        <w:t>,</w:t>
      </w:r>
      <w:r w:rsidRPr="00632DBC">
        <w:rPr>
          <w:rFonts w:ascii="Times New Roman" w:hAnsi="Times New Roman"/>
        </w:rPr>
        <w:t xml:space="preserve"> it is relevant to ensure access to grievance mechanisms and to spaces for submitting proposals. </w:t>
      </w:r>
    </w:p>
    <w:p w14:paraId="1725D330" w14:textId="77777777" w:rsidR="00F36825" w:rsidRPr="00632DBC" w:rsidRDefault="00F36825" w:rsidP="00F36825">
      <w:pPr>
        <w:spacing w:line="240" w:lineRule="auto"/>
        <w:jc w:val="both"/>
        <w:rPr>
          <w:rFonts w:ascii="Times New Roman" w:hAnsi="Times New Roman"/>
        </w:rPr>
      </w:pPr>
    </w:p>
    <w:p w14:paraId="2123A4A4" w14:textId="5CBE86BA" w:rsidR="00F36825" w:rsidRPr="00632DBC" w:rsidRDefault="00F36825" w:rsidP="00F36825">
      <w:pPr>
        <w:pStyle w:val="Ingetavstnd2"/>
        <w:rPr>
          <w:rFonts w:ascii="Times New Roman" w:hAnsi="Times New Roman"/>
          <w:b/>
          <w:spacing w:val="-4"/>
        </w:rPr>
      </w:pPr>
      <w:r w:rsidRPr="00632DBC">
        <w:rPr>
          <w:rFonts w:ascii="Times New Roman" w:hAnsi="Times New Roman"/>
          <w:b/>
        </w:rPr>
        <w:t xml:space="preserve">Lessons learned from looking at ESIA in Lao PDR through the lens of </w:t>
      </w:r>
      <w:r w:rsidR="00835475" w:rsidRPr="00632DBC">
        <w:rPr>
          <w:rFonts w:ascii="Times New Roman" w:hAnsi="Times New Roman"/>
          <w:b/>
        </w:rPr>
        <w:t>guideline (</w:t>
      </w:r>
      <w:r w:rsidR="00835475" w:rsidRPr="00632DBC">
        <w:rPr>
          <w:rFonts w:ascii="Times New Roman" w:hAnsi="Times New Roman"/>
          <w:b/>
          <w:i/>
        </w:rPr>
        <w:t>c</w:t>
      </w:r>
      <w:r w:rsidR="00835475" w:rsidRPr="00632DBC">
        <w:rPr>
          <w:rFonts w:ascii="Times New Roman" w:hAnsi="Times New Roman"/>
          <w:b/>
        </w:rPr>
        <w:t>)</w:t>
      </w:r>
      <w:r w:rsidRPr="00632DBC">
        <w:rPr>
          <w:rFonts w:ascii="Times New Roman" w:hAnsi="Times New Roman"/>
          <w:b/>
        </w:rPr>
        <w:t xml:space="preserve"> </w:t>
      </w:r>
      <w:r w:rsidRPr="00632DBC">
        <w:rPr>
          <w:rFonts w:ascii="Times New Roman" w:hAnsi="Times New Roman"/>
          <w:b/>
          <w:i/>
          <w:spacing w:val="-4"/>
        </w:rPr>
        <w:t>Lo</w:t>
      </w:r>
      <w:r w:rsidRPr="00632DBC">
        <w:rPr>
          <w:rFonts w:ascii="Times New Roman" w:hAnsi="Times New Roman"/>
          <w:b/>
          <w:i/>
          <w:spacing w:val="-3"/>
        </w:rPr>
        <w:t xml:space="preserve">cal </w:t>
      </w:r>
      <w:r w:rsidRPr="00632DBC">
        <w:rPr>
          <w:rFonts w:ascii="Times New Roman" w:hAnsi="Times New Roman"/>
          <w:b/>
          <w:i/>
          <w:spacing w:val="-4"/>
        </w:rPr>
        <w:t>and</w:t>
      </w:r>
      <w:r w:rsidRPr="00632DBC">
        <w:rPr>
          <w:rFonts w:ascii="Times New Roman" w:hAnsi="Times New Roman"/>
          <w:b/>
          <w:i/>
          <w:spacing w:val="-3"/>
        </w:rPr>
        <w:t xml:space="preserve"> </w:t>
      </w:r>
      <w:r w:rsidRPr="00632DBC">
        <w:rPr>
          <w:rFonts w:ascii="Times New Roman" w:hAnsi="Times New Roman"/>
          <w:b/>
          <w:i/>
          <w:spacing w:val="-6"/>
        </w:rPr>
        <w:t>co</w:t>
      </w:r>
      <w:r w:rsidRPr="00632DBC">
        <w:rPr>
          <w:rFonts w:ascii="Times New Roman" w:hAnsi="Times New Roman"/>
          <w:b/>
          <w:i/>
          <w:spacing w:val="-5"/>
        </w:rPr>
        <w:t>unt</w:t>
      </w:r>
      <w:r w:rsidRPr="00632DBC">
        <w:rPr>
          <w:rFonts w:ascii="Times New Roman" w:hAnsi="Times New Roman"/>
          <w:b/>
          <w:i/>
          <w:spacing w:val="-6"/>
        </w:rPr>
        <w:t>ry</w:t>
      </w:r>
      <w:r w:rsidRPr="00632DBC">
        <w:rPr>
          <w:rFonts w:ascii="Times New Roman" w:hAnsi="Times New Roman"/>
          <w:b/>
          <w:i/>
          <w:spacing w:val="-5"/>
        </w:rPr>
        <w:t>-dri</w:t>
      </w:r>
      <w:r w:rsidRPr="00632DBC">
        <w:rPr>
          <w:rFonts w:ascii="Times New Roman" w:hAnsi="Times New Roman"/>
          <w:b/>
          <w:i/>
          <w:spacing w:val="-6"/>
        </w:rPr>
        <w:t>ve</w:t>
      </w:r>
      <w:r w:rsidRPr="00632DBC">
        <w:rPr>
          <w:rFonts w:ascii="Times New Roman" w:hAnsi="Times New Roman"/>
          <w:b/>
          <w:i/>
          <w:spacing w:val="-5"/>
        </w:rPr>
        <w:t>n/sp</w:t>
      </w:r>
      <w:r w:rsidRPr="00632DBC">
        <w:rPr>
          <w:rFonts w:ascii="Times New Roman" w:hAnsi="Times New Roman"/>
          <w:b/>
          <w:i/>
          <w:spacing w:val="-6"/>
        </w:rPr>
        <w:t>ec</w:t>
      </w:r>
      <w:r w:rsidRPr="00632DBC">
        <w:rPr>
          <w:rFonts w:ascii="Times New Roman" w:hAnsi="Times New Roman"/>
          <w:b/>
          <w:i/>
          <w:spacing w:val="-5"/>
        </w:rPr>
        <w:t>ifi</w:t>
      </w:r>
      <w:r w:rsidRPr="00632DBC">
        <w:rPr>
          <w:rFonts w:ascii="Times New Roman" w:hAnsi="Times New Roman"/>
          <w:b/>
          <w:i/>
          <w:spacing w:val="-6"/>
        </w:rPr>
        <w:t>c</w:t>
      </w:r>
      <w:r w:rsidRPr="00632DBC">
        <w:rPr>
          <w:rFonts w:ascii="Times New Roman" w:hAnsi="Times New Roman"/>
          <w:b/>
          <w:i/>
          <w:spacing w:val="-3"/>
        </w:rPr>
        <w:t xml:space="preserve"> </w:t>
      </w:r>
      <w:r w:rsidRPr="00632DBC">
        <w:rPr>
          <w:rFonts w:ascii="Times New Roman" w:hAnsi="Times New Roman"/>
          <w:b/>
          <w:i/>
          <w:spacing w:val="-4"/>
        </w:rPr>
        <w:t>p</w:t>
      </w:r>
      <w:r w:rsidRPr="00632DBC">
        <w:rPr>
          <w:rFonts w:ascii="Times New Roman" w:hAnsi="Times New Roman"/>
          <w:b/>
          <w:i/>
          <w:spacing w:val="-5"/>
        </w:rPr>
        <w:t>roce</w:t>
      </w:r>
      <w:r w:rsidRPr="00632DBC">
        <w:rPr>
          <w:rFonts w:ascii="Times New Roman" w:hAnsi="Times New Roman"/>
          <w:b/>
          <w:i/>
          <w:spacing w:val="-4"/>
        </w:rPr>
        <w:t>ss</w:t>
      </w:r>
      <w:r w:rsidRPr="00632DBC">
        <w:rPr>
          <w:rFonts w:ascii="Times New Roman" w:hAnsi="Times New Roman"/>
          <w:b/>
          <w:i/>
          <w:spacing w:val="-5"/>
        </w:rPr>
        <w:t>e</w:t>
      </w:r>
      <w:r w:rsidRPr="00632DBC">
        <w:rPr>
          <w:rFonts w:ascii="Times New Roman" w:hAnsi="Times New Roman"/>
          <w:b/>
          <w:i/>
          <w:spacing w:val="-4"/>
        </w:rPr>
        <w:t>s</w:t>
      </w:r>
      <w:r w:rsidRPr="00632DBC">
        <w:rPr>
          <w:rFonts w:ascii="Times New Roman" w:hAnsi="Times New Roman"/>
          <w:b/>
          <w:i/>
          <w:spacing w:val="-3"/>
        </w:rPr>
        <w:t xml:space="preserve"> </w:t>
      </w:r>
      <w:r w:rsidRPr="00632DBC">
        <w:rPr>
          <w:rFonts w:ascii="Times New Roman" w:hAnsi="Times New Roman"/>
          <w:b/>
          <w:i/>
          <w:spacing w:val="-6"/>
        </w:rPr>
        <w:t>lin</w:t>
      </w:r>
      <w:r w:rsidRPr="00632DBC">
        <w:rPr>
          <w:rFonts w:ascii="Times New Roman" w:hAnsi="Times New Roman"/>
          <w:b/>
          <w:i/>
          <w:spacing w:val="-7"/>
        </w:rPr>
        <w:t>ke</w:t>
      </w:r>
      <w:r w:rsidRPr="00632DBC">
        <w:rPr>
          <w:rFonts w:ascii="Times New Roman" w:hAnsi="Times New Roman"/>
          <w:b/>
          <w:i/>
          <w:spacing w:val="-6"/>
        </w:rPr>
        <w:t>d</w:t>
      </w:r>
      <w:r w:rsidRPr="00632DBC">
        <w:rPr>
          <w:rFonts w:ascii="Times New Roman" w:hAnsi="Times New Roman"/>
          <w:b/>
          <w:i/>
          <w:spacing w:val="-3"/>
        </w:rPr>
        <w:t xml:space="preserve"> t</w:t>
      </w:r>
      <w:r w:rsidRPr="00632DBC">
        <w:rPr>
          <w:rFonts w:ascii="Times New Roman" w:hAnsi="Times New Roman"/>
          <w:b/>
          <w:i/>
          <w:spacing w:val="-4"/>
        </w:rPr>
        <w:t>o</w:t>
      </w:r>
      <w:r w:rsidRPr="00632DBC">
        <w:rPr>
          <w:rFonts w:ascii="Times New Roman" w:hAnsi="Times New Roman"/>
          <w:b/>
          <w:i/>
          <w:spacing w:val="-3"/>
        </w:rPr>
        <w:t xml:space="preserve"> </w:t>
      </w:r>
      <w:r w:rsidRPr="00632DBC">
        <w:rPr>
          <w:rFonts w:ascii="Times New Roman" w:hAnsi="Times New Roman"/>
          <w:b/>
          <w:i/>
          <w:spacing w:val="-4"/>
        </w:rPr>
        <w:t>the</w:t>
      </w:r>
      <w:r w:rsidRPr="00632DBC">
        <w:rPr>
          <w:rFonts w:ascii="Times New Roman" w:hAnsi="Times New Roman"/>
          <w:b/>
          <w:i/>
          <w:spacing w:val="-3"/>
        </w:rPr>
        <w:t xml:space="preserve"> </w:t>
      </w:r>
      <w:r w:rsidRPr="00632DBC">
        <w:rPr>
          <w:rFonts w:ascii="Times New Roman" w:hAnsi="Times New Roman"/>
          <w:b/>
          <w:i/>
          <w:spacing w:val="-6"/>
        </w:rPr>
        <w:t>int</w:t>
      </w:r>
      <w:r w:rsidRPr="00632DBC">
        <w:rPr>
          <w:rFonts w:ascii="Times New Roman" w:hAnsi="Times New Roman"/>
          <w:b/>
          <w:i/>
          <w:spacing w:val="-7"/>
        </w:rPr>
        <w:t>e</w:t>
      </w:r>
      <w:r w:rsidRPr="00632DBC">
        <w:rPr>
          <w:rFonts w:ascii="Times New Roman" w:hAnsi="Times New Roman"/>
          <w:b/>
          <w:i/>
          <w:spacing w:val="-6"/>
        </w:rPr>
        <w:t>rnational</w:t>
      </w:r>
      <w:r w:rsidRPr="00632DBC">
        <w:rPr>
          <w:rFonts w:ascii="Times New Roman" w:hAnsi="Times New Roman"/>
          <w:b/>
          <w:i/>
          <w:spacing w:val="-3"/>
        </w:rPr>
        <w:t xml:space="preserve"> </w:t>
      </w:r>
      <w:r w:rsidRPr="00632DBC">
        <w:rPr>
          <w:rFonts w:ascii="Times New Roman" w:hAnsi="Times New Roman"/>
          <w:b/>
          <w:i/>
          <w:spacing w:val="-4"/>
        </w:rPr>
        <w:t>l</w:t>
      </w:r>
      <w:r w:rsidRPr="00632DBC">
        <w:rPr>
          <w:rFonts w:ascii="Times New Roman" w:hAnsi="Times New Roman"/>
          <w:b/>
          <w:i/>
          <w:spacing w:val="-5"/>
        </w:rPr>
        <w:t>eve</w:t>
      </w:r>
      <w:r w:rsidRPr="00632DBC">
        <w:rPr>
          <w:rFonts w:ascii="Times New Roman" w:hAnsi="Times New Roman"/>
          <w:b/>
          <w:i/>
          <w:spacing w:val="-4"/>
        </w:rPr>
        <w:t>l</w:t>
      </w:r>
      <w:r w:rsidRPr="00632DBC">
        <w:rPr>
          <w:rFonts w:ascii="Times New Roman" w:hAnsi="Times New Roman"/>
          <w:b/>
          <w:spacing w:val="-4"/>
        </w:rPr>
        <w:t xml:space="preserve"> </w:t>
      </w:r>
    </w:p>
    <w:p w14:paraId="6F6FF700" w14:textId="77777777" w:rsidR="00F36825" w:rsidRPr="00632DBC" w:rsidRDefault="00F36825" w:rsidP="00F36825">
      <w:pPr>
        <w:pStyle w:val="Ingetavstnd2"/>
        <w:rPr>
          <w:rFonts w:ascii="Times New Roman" w:hAnsi="Times New Roman"/>
          <w:b/>
          <w:spacing w:val="-4"/>
        </w:rPr>
      </w:pPr>
    </w:p>
    <w:p w14:paraId="3563A985" w14:textId="20265AB8" w:rsidR="00F36825" w:rsidRPr="00632DBC" w:rsidRDefault="00F36825" w:rsidP="00F36825">
      <w:pPr>
        <w:spacing w:line="240" w:lineRule="auto"/>
        <w:jc w:val="both"/>
        <w:rPr>
          <w:rFonts w:ascii="Times New Roman" w:hAnsi="Times New Roman"/>
        </w:rPr>
      </w:pPr>
      <w:r w:rsidRPr="00632DBC">
        <w:rPr>
          <w:rFonts w:ascii="Times New Roman" w:hAnsi="Times New Roman"/>
          <w:b/>
          <w:i/>
        </w:rPr>
        <w:t>Investigating local reality for tailored strategies</w:t>
      </w:r>
      <w:r w:rsidRPr="00632DBC">
        <w:rPr>
          <w:rFonts w:ascii="Times New Roman" w:hAnsi="Times New Roman"/>
        </w:rPr>
        <w:t>. PEI</w:t>
      </w:r>
      <w:r w:rsidR="005C6EF6" w:rsidRPr="00632DBC">
        <w:rPr>
          <w:rFonts w:ascii="Times New Roman" w:hAnsi="Times New Roman"/>
        </w:rPr>
        <w:t xml:space="preserve"> (</w:t>
      </w:r>
      <w:r w:rsidRPr="00632DBC">
        <w:rPr>
          <w:rFonts w:ascii="Times New Roman" w:hAnsi="Times New Roman"/>
        </w:rPr>
        <w:t>an initiative implemented by UNDP and UN Environment</w:t>
      </w:r>
      <w:r w:rsidR="005C6EF6" w:rsidRPr="00632DBC">
        <w:rPr>
          <w:rFonts w:ascii="Times New Roman" w:hAnsi="Times New Roman"/>
        </w:rPr>
        <w:t>),</w:t>
      </w:r>
      <w:r w:rsidRPr="00632DBC">
        <w:rPr>
          <w:rFonts w:ascii="Times New Roman" w:hAnsi="Times New Roman"/>
        </w:rPr>
        <w:t xml:space="preserve"> conducted several case studies across many sectors </w:t>
      </w:r>
      <w:proofErr w:type="gramStart"/>
      <w:r w:rsidRPr="00632DBC">
        <w:rPr>
          <w:rFonts w:ascii="Times New Roman" w:hAnsi="Times New Roman"/>
        </w:rPr>
        <w:t>in order to</w:t>
      </w:r>
      <w:proofErr w:type="gramEnd"/>
      <w:r w:rsidRPr="00632DBC">
        <w:rPr>
          <w:rFonts w:ascii="Times New Roman" w:hAnsi="Times New Roman"/>
        </w:rPr>
        <w:t xml:space="preserve"> identify local necessities and institutional gaps. This information aimed to raise awareness among policy makers</w:t>
      </w:r>
      <w:r w:rsidR="00A3063C">
        <w:rPr>
          <w:rFonts w:ascii="Times New Roman" w:hAnsi="Times New Roman"/>
        </w:rPr>
        <w:t xml:space="preserve"> about the importance of integrated approaches in environmental </w:t>
      </w:r>
      <w:proofErr w:type="gramStart"/>
      <w:r w:rsidR="00A3063C">
        <w:rPr>
          <w:rFonts w:ascii="Times New Roman" w:hAnsi="Times New Roman"/>
        </w:rPr>
        <w:t>governance</w:t>
      </w:r>
      <w:r w:rsidRPr="00632DBC">
        <w:rPr>
          <w:rFonts w:ascii="Times New Roman" w:hAnsi="Times New Roman"/>
        </w:rPr>
        <w:t>, and</w:t>
      </w:r>
      <w:proofErr w:type="gramEnd"/>
      <w:r w:rsidRPr="00632DBC">
        <w:rPr>
          <w:rFonts w:ascii="Times New Roman" w:hAnsi="Times New Roman"/>
        </w:rPr>
        <w:t xml:space="preserve"> was helpful to tailor strategies </w:t>
      </w:r>
      <w:r w:rsidR="005C6EF6" w:rsidRPr="00632DBC">
        <w:rPr>
          <w:rFonts w:ascii="Times New Roman" w:hAnsi="Times New Roman"/>
        </w:rPr>
        <w:t>that</w:t>
      </w:r>
      <w:r w:rsidRPr="00632DBC">
        <w:rPr>
          <w:rFonts w:ascii="Times New Roman" w:hAnsi="Times New Roman"/>
        </w:rPr>
        <w:t xml:space="preserve"> </w:t>
      </w:r>
      <w:r w:rsidR="005C6EF6" w:rsidRPr="00632DBC">
        <w:rPr>
          <w:rFonts w:ascii="Times New Roman" w:hAnsi="Times New Roman"/>
        </w:rPr>
        <w:t>strengthen institutions</w:t>
      </w:r>
      <w:r w:rsidRPr="00632DBC">
        <w:rPr>
          <w:rFonts w:ascii="Times New Roman" w:hAnsi="Times New Roman"/>
        </w:rPr>
        <w:t xml:space="preserve"> and </w:t>
      </w:r>
      <w:r w:rsidR="005C6EF6" w:rsidRPr="00632DBC">
        <w:rPr>
          <w:rFonts w:ascii="Times New Roman" w:hAnsi="Times New Roman"/>
        </w:rPr>
        <w:t xml:space="preserve">establish </w:t>
      </w:r>
      <w:r w:rsidRPr="00632DBC">
        <w:rPr>
          <w:rFonts w:ascii="Times New Roman" w:hAnsi="Times New Roman"/>
        </w:rPr>
        <w:t>better handling</w:t>
      </w:r>
      <w:r w:rsidR="005C6EF6" w:rsidRPr="00632DBC">
        <w:rPr>
          <w:rFonts w:ascii="Times New Roman" w:hAnsi="Times New Roman"/>
        </w:rPr>
        <w:t xml:space="preserve"> of</w:t>
      </w:r>
      <w:r w:rsidRPr="00632DBC">
        <w:rPr>
          <w:rFonts w:ascii="Times New Roman" w:hAnsi="Times New Roman"/>
        </w:rPr>
        <w:t xml:space="preserve"> foreign direct investment</w:t>
      </w:r>
      <w:r w:rsidR="005C6EF6" w:rsidRPr="00632DBC">
        <w:rPr>
          <w:rFonts w:ascii="Times New Roman" w:hAnsi="Times New Roman"/>
        </w:rPr>
        <w:t>.</w:t>
      </w:r>
      <w:r w:rsidRPr="00632DBC">
        <w:rPr>
          <w:rFonts w:ascii="Times New Roman" w:hAnsi="Times New Roman"/>
        </w:rPr>
        <w:t xml:space="preserve"> </w:t>
      </w:r>
      <w:r w:rsidR="005C6EF6" w:rsidRPr="00632DBC">
        <w:rPr>
          <w:rFonts w:ascii="Times New Roman" w:hAnsi="Times New Roman"/>
        </w:rPr>
        <w:t xml:space="preserve">This </w:t>
      </w:r>
      <w:r w:rsidRPr="00632DBC">
        <w:rPr>
          <w:rFonts w:ascii="Times New Roman" w:hAnsi="Times New Roman"/>
        </w:rPr>
        <w:t>can foster an enabling environment to exercise human rights. Through PEI, Lao PDR has engaged with neighbouring countries to learn from their EIA experiences (</w:t>
      </w:r>
      <w:r w:rsidR="005C6EF6" w:rsidRPr="00632DBC">
        <w:rPr>
          <w:rFonts w:ascii="Times New Roman" w:hAnsi="Times New Roman"/>
        </w:rPr>
        <w:t xml:space="preserve">e.g. </w:t>
      </w:r>
      <w:r w:rsidRPr="00632DBC">
        <w:rPr>
          <w:rFonts w:ascii="Times New Roman" w:hAnsi="Times New Roman"/>
        </w:rPr>
        <w:t>Thailand) and shared their lessons with others (e.g. Myanmar). These exchanges can benefit the countries to strengthen their policy and legal framework</w:t>
      </w:r>
      <w:r w:rsidR="00AA2AF3" w:rsidRPr="00632DBC">
        <w:rPr>
          <w:rFonts w:ascii="Times New Roman" w:hAnsi="Times New Roman"/>
        </w:rPr>
        <w:t>.</w:t>
      </w:r>
      <w:r w:rsidRPr="00632DBC">
        <w:rPr>
          <w:rFonts w:ascii="Times New Roman" w:hAnsi="Times New Roman"/>
        </w:rPr>
        <w:t xml:space="preserve"> </w:t>
      </w:r>
      <w:r w:rsidR="00AA2AF3" w:rsidRPr="00632DBC">
        <w:rPr>
          <w:rFonts w:ascii="Times New Roman" w:hAnsi="Times New Roman"/>
        </w:rPr>
        <w:t>They can help to</w:t>
      </w:r>
      <w:r w:rsidRPr="00632DBC">
        <w:rPr>
          <w:rFonts w:ascii="Times New Roman" w:hAnsi="Times New Roman"/>
        </w:rPr>
        <w:t xml:space="preserve"> ensure that foreign direct investment benefits the sustainable use of their resources and </w:t>
      </w:r>
      <w:r w:rsidRPr="00632DBC">
        <w:rPr>
          <w:rFonts w:ascii="Times New Roman" w:hAnsi="Times New Roman"/>
        </w:rPr>
        <w:lastRenderedPageBreak/>
        <w:t>their people</w:t>
      </w:r>
      <w:r w:rsidR="00AA2AF3" w:rsidRPr="00632DBC">
        <w:rPr>
          <w:rFonts w:ascii="Times New Roman" w:hAnsi="Times New Roman"/>
        </w:rPr>
        <w:t>,</w:t>
      </w:r>
      <w:r w:rsidRPr="00632DBC">
        <w:rPr>
          <w:rFonts w:ascii="Times New Roman" w:hAnsi="Times New Roman"/>
        </w:rPr>
        <w:t xml:space="preserve"> and at the same time prevent and </w:t>
      </w:r>
      <w:r w:rsidR="00AA2AF3" w:rsidRPr="00632DBC">
        <w:rPr>
          <w:rFonts w:ascii="Times New Roman" w:hAnsi="Times New Roman"/>
        </w:rPr>
        <w:t xml:space="preserve">even </w:t>
      </w:r>
      <w:r w:rsidRPr="00632DBC">
        <w:rPr>
          <w:rFonts w:ascii="Times New Roman" w:hAnsi="Times New Roman"/>
        </w:rPr>
        <w:t xml:space="preserve">end human rights violations linked to the exploitation and use of natural resources </w:t>
      </w:r>
    </w:p>
    <w:p w14:paraId="4B6B2A28" w14:textId="7A73025B" w:rsidR="00F36825" w:rsidRPr="00632DBC" w:rsidRDefault="00F36825" w:rsidP="00F36825">
      <w:pPr>
        <w:spacing w:line="240" w:lineRule="auto"/>
        <w:jc w:val="both"/>
        <w:rPr>
          <w:rFonts w:ascii="Times New Roman" w:hAnsi="Times New Roman"/>
        </w:rPr>
      </w:pPr>
      <w:r w:rsidRPr="00632DBC">
        <w:rPr>
          <w:rFonts w:ascii="Times New Roman" w:hAnsi="Times New Roman"/>
          <w:b/>
          <w:i/>
        </w:rPr>
        <w:t>Relying and building on pre-existing regulations</w:t>
      </w:r>
      <w:r w:rsidRPr="00632DBC">
        <w:rPr>
          <w:rFonts w:ascii="Times New Roman" w:hAnsi="Times New Roman"/>
        </w:rPr>
        <w:t>. Part of the strategy to enhance the safeguarding capacity of ESIA was providing means to increase the effectiveness of pre-existing regulations.</w:t>
      </w:r>
      <w:r w:rsidRPr="00632DBC">
        <w:rPr>
          <w:rStyle w:val="FootnoteReference"/>
          <w:rFonts w:ascii="Times New Roman" w:hAnsi="Times New Roman"/>
        </w:rPr>
        <w:footnoteReference w:id="259"/>
      </w:r>
      <w:r w:rsidRPr="00632DBC">
        <w:rPr>
          <w:rFonts w:ascii="Times New Roman" w:hAnsi="Times New Roman"/>
        </w:rPr>
        <w:t xml:space="preserve"> PEI and other development programs</w:t>
      </w:r>
      <w:r w:rsidR="00BF01A3" w:rsidRPr="00632DBC">
        <w:rPr>
          <w:rFonts w:ascii="Times New Roman" w:hAnsi="Times New Roman"/>
        </w:rPr>
        <w:t>,</w:t>
      </w:r>
      <w:r w:rsidRPr="00632DBC">
        <w:rPr>
          <w:rFonts w:ascii="Times New Roman" w:hAnsi="Times New Roman"/>
        </w:rPr>
        <w:t xml:space="preserve"> such as the Finnish-supported Environmental Management Support Program and the Swiss-funded Centre for Development and Environment</w:t>
      </w:r>
      <w:r w:rsidR="00BF01A3" w:rsidRPr="00632DBC">
        <w:rPr>
          <w:rFonts w:ascii="Times New Roman" w:hAnsi="Times New Roman"/>
        </w:rPr>
        <w:t>,</w:t>
      </w:r>
      <w:r w:rsidRPr="00632DBC">
        <w:rPr>
          <w:rFonts w:ascii="Times New Roman" w:hAnsi="Times New Roman"/>
        </w:rPr>
        <w:t xml:space="preserve"> contributed to strengthen the ESIA-related regulations</w:t>
      </w:r>
      <w:r w:rsidR="00BF01A3" w:rsidRPr="00632DBC">
        <w:rPr>
          <w:rFonts w:ascii="Times New Roman" w:hAnsi="Times New Roman"/>
        </w:rPr>
        <w:t>.</w:t>
      </w:r>
      <w:r w:rsidRPr="00632DBC">
        <w:rPr>
          <w:rFonts w:ascii="Times New Roman" w:hAnsi="Times New Roman"/>
        </w:rPr>
        <w:t xml:space="preserve"> </w:t>
      </w:r>
      <w:r w:rsidR="00BF01A3" w:rsidRPr="00632DBC">
        <w:rPr>
          <w:rFonts w:ascii="Times New Roman" w:hAnsi="Times New Roman"/>
        </w:rPr>
        <w:t>They also</w:t>
      </w:r>
      <w:r w:rsidRPr="00632DBC">
        <w:rPr>
          <w:rFonts w:ascii="Times New Roman" w:hAnsi="Times New Roman"/>
        </w:rPr>
        <w:t xml:space="preserve"> assisted in putting them in practice by building capacity. </w:t>
      </w:r>
    </w:p>
    <w:p w14:paraId="693D2E60" w14:textId="77777777" w:rsidR="00F36825" w:rsidRPr="00632DBC" w:rsidRDefault="00F36825" w:rsidP="00F36825">
      <w:pPr>
        <w:spacing w:line="240" w:lineRule="auto"/>
        <w:jc w:val="both"/>
        <w:rPr>
          <w:rFonts w:ascii="Times New Roman" w:hAnsi="Times New Roman"/>
        </w:rPr>
      </w:pPr>
    </w:p>
    <w:p w14:paraId="6B28FDA7" w14:textId="410F8965" w:rsidR="00F36825" w:rsidRPr="00632DBC" w:rsidRDefault="00F36825" w:rsidP="00F36825">
      <w:pPr>
        <w:pStyle w:val="Ingetavstnd2"/>
        <w:rPr>
          <w:rFonts w:ascii="Times New Roman" w:hAnsi="Times New Roman"/>
          <w:i/>
        </w:rPr>
      </w:pPr>
      <w:r w:rsidRPr="00632DBC">
        <w:rPr>
          <w:rFonts w:ascii="Times New Roman" w:hAnsi="Times New Roman"/>
          <w:b/>
        </w:rPr>
        <w:t xml:space="preserve">Lessons learned from looking at ESIA in Lao PDR through the lens of guideline </w:t>
      </w:r>
      <w:r w:rsidR="00DE6118" w:rsidRPr="00632DBC">
        <w:rPr>
          <w:rFonts w:ascii="Times New Roman" w:hAnsi="Times New Roman"/>
          <w:b/>
        </w:rPr>
        <w:t>(</w:t>
      </w:r>
      <w:r w:rsidR="00DE6118" w:rsidRPr="00632DBC">
        <w:rPr>
          <w:rFonts w:ascii="Times New Roman" w:hAnsi="Times New Roman"/>
          <w:b/>
          <w:i/>
        </w:rPr>
        <w:t>d</w:t>
      </w:r>
      <w:r w:rsidR="00DE6118" w:rsidRPr="00632DBC">
        <w:rPr>
          <w:rFonts w:ascii="Times New Roman" w:hAnsi="Times New Roman"/>
          <w:b/>
        </w:rPr>
        <w:t xml:space="preserve">) </w:t>
      </w:r>
      <w:r w:rsidRPr="00632DBC">
        <w:rPr>
          <w:rFonts w:ascii="Times New Roman" w:hAnsi="Times New Roman"/>
          <w:i/>
        </w:rPr>
        <w:t xml:space="preserve">Governance, institutional frameworks, transparency, accountability and compliance </w:t>
      </w:r>
    </w:p>
    <w:p w14:paraId="1E97D546" w14:textId="77777777" w:rsidR="00F36825" w:rsidRPr="00632DBC" w:rsidRDefault="00F36825" w:rsidP="00F36825">
      <w:pPr>
        <w:pStyle w:val="Ingetavstnd2"/>
        <w:rPr>
          <w:rFonts w:ascii="Times New Roman" w:hAnsi="Times New Roman"/>
          <w:i/>
        </w:rPr>
      </w:pPr>
    </w:p>
    <w:p w14:paraId="41DD9D98" w14:textId="49F4205F" w:rsidR="00F36825" w:rsidRPr="00632DBC" w:rsidRDefault="00F36825" w:rsidP="00F36825">
      <w:pPr>
        <w:spacing w:line="240" w:lineRule="auto"/>
        <w:jc w:val="both"/>
        <w:rPr>
          <w:rFonts w:ascii="Times New Roman" w:hAnsi="Times New Roman"/>
        </w:rPr>
      </w:pPr>
      <w:r w:rsidRPr="00632DBC">
        <w:rPr>
          <w:rFonts w:ascii="Times New Roman" w:hAnsi="Times New Roman"/>
          <w:b/>
          <w:i/>
        </w:rPr>
        <w:t>Implementing standard procedures</w:t>
      </w:r>
      <w:r w:rsidRPr="00632DBC">
        <w:rPr>
          <w:rFonts w:ascii="Times New Roman" w:hAnsi="Times New Roman"/>
        </w:rPr>
        <w:t>. The EIA system in Lao PDR lacked clear procedures</w:t>
      </w:r>
      <w:r w:rsidR="00CC3AD0" w:rsidRPr="00632DBC">
        <w:rPr>
          <w:rFonts w:ascii="Times New Roman" w:hAnsi="Times New Roman"/>
        </w:rPr>
        <w:t>.</w:t>
      </w:r>
      <w:r w:rsidRPr="00632DBC">
        <w:rPr>
          <w:rFonts w:ascii="Times New Roman" w:hAnsi="Times New Roman"/>
        </w:rPr>
        <w:t xml:space="preserve"> </w:t>
      </w:r>
      <w:r w:rsidR="00CC3AD0" w:rsidRPr="00632DBC">
        <w:rPr>
          <w:rFonts w:ascii="Times New Roman" w:hAnsi="Times New Roman"/>
        </w:rPr>
        <w:t xml:space="preserve">This </w:t>
      </w:r>
      <w:r w:rsidRPr="00632DBC">
        <w:rPr>
          <w:rFonts w:ascii="Times New Roman" w:hAnsi="Times New Roman"/>
        </w:rPr>
        <w:t>was addressed through guidelines for reviewing the ESIA submitted by project developers, and guidelines for the monitoring of social and environmental impacts</w:t>
      </w:r>
      <w:r w:rsidR="00CC3AD0" w:rsidRPr="00632DBC">
        <w:rPr>
          <w:rFonts w:ascii="Times New Roman" w:hAnsi="Times New Roman"/>
        </w:rPr>
        <w:t>.</w:t>
      </w:r>
      <w:r w:rsidRPr="00632DBC">
        <w:rPr>
          <w:rStyle w:val="FootnoteReference"/>
          <w:rFonts w:ascii="Times New Roman" w:hAnsi="Times New Roman"/>
        </w:rPr>
        <w:footnoteReference w:id="260"/>
      </w:r>
      <w:r w:rsidRPr="00632DBC">
        <w:rPr>
          <w:rFonts w:ascii="Times New Roman" w:hAnsi="Times New Roman"/>
        </w:rPr>
        <w:t xml:space="preserve"> PEI complemented these procedural safeguards</w:t>
      </w:r>
      <w:r w:rsidR="00CC3AD0" w:rsidRPr="00632DBC">
        <w:rPr>
          <w:rFonts w:ascii="Times New Roman" w:hAnsi="Times New Roman"/>
        </w:rPr>
        <w:t>,</w:t>
      </w:r>
      <w:r w:rsidRPr="00632DBC">
        <w:rPr>
          <w:rFonts w:ascii="Times New Roman" w:hAnsi="Times New Roman"/>
        </w:rPr>
        <w:t xml:space="preserve"> by providing the staff of the Department of Environmental and Social Impact Assessment</w:t>
      </w:r>
      <w:r w:rsidR="00CC3AD0" w:rsidRPr="00632DBC">
        <w:rPr>
          <w:rFonts w:ascii="Times New Roman" w:hAnsi="Times New Roman"/>
        </w:rPr>
        <w:t xml:space="preserve"> in</w:t>
      </w:r>
      <w:r w:rsidRPr="00632DBC">
        <w:rPr>
          <w:rFonts w:ascii="Times New Roman" w:hAnsi="Times New Roman"/>
        </w:rPr>
        <w:t xml:space="preserve"> both central and provincial levels with training. Likewise, PEI worked with the Ministry of Planning and Investment to develop Memorandum of Understanding legal templates and Concession Agreement for the agriculture and tourism sectors that reflects social and environmental considerations.</w:t>
      </w:r>
      <w:r w:rsidRPr="00632DBC">
        <w:rPr>
          <w:rStyle w:val="FootnoteReference"/>
          <w:rFonts w:ascii="Times New Roman" w:hAnsi="Times New Roman"/>
        </w:rPr>
        <w:footnoteReference w:id="261"/>
      </w:r>
      <w:r w:rsidRPr="00632DBC">
        <w:rPr>
          <w:rFonts w:ascii="Times New Roman" w:hAnsi="Times New Roman"/>
        </w:rPr>
        <w:t xml:space="preserve"> These legal templates can be useful to mainstream human rights and biodiversity into investment projects, such as agriculture and tourism.</w:t>
      </w:r>
    </w:p>
    <w:p w14:paraId="6DF3AEC7" w14:textId="3183C0AB" w:rsidR="00F36825" w:rsidRPr="00632DBC" w:rsidRDefault="00F36825" w:rsidP="00F36825">
      <w:pPr>
        <w:spacing w:line="240" w:lineRule="auto"/>
        <w:jc w:val="both"/>
        <w:rPr>
          <w:rFonts w:ascii="Times New Roman" w:hAnsi="Times New Roman"/>
        </w:rPr>
      </w:pPr>
      <w:r w:rsidRPr="00632DBC">
        <w:rPr>
          <w:rFonts w:ascii="Times New Roman" w:hAnsi="Times New Roman"/>
          <w:b/>
          <w:i/>
        </w:rPr>
        <w:t>Self-financing of the ESIA system</w:t>
      </w:r>
      <w:r w:rsidRPr="00632DBC">
        <w:rPr>
          <w:rFonts w:ascii="Times New Roman" w:hAnsi="Times New Roman"/>
        </w:rPr>
        <w:t>. Aiming to achieve financial sustainability of the ESIA system, PEI developed a manual on financial management regulations.</w:t>
      </w:r>
      <w:r w:rsidRPr="00632DBC">
        <w:rPr>
          <w:rStyle w:val="FootnoteReference"/>
          <w:rFonts w:ascii="Times New Roman" w:hAnsi="Times New Roman"/>
        </w:rPr>
        <w:t xml:space="preserve"> </w:t>
      </w:r>
      <w:r w:rsidRPr="00632DBC">
        <w:rPr>
          <w:rStyle w:val="FootnoteReference"/>
          <w:rFonts w:ascii="Times New Roman" w:hAnsi="Times New Roman"/>
        </w:rPr>
        <w:footnoteReference w:id="262"/>
      </w:r>
      <w:r w:rsidRPr="00632DBC">
        <w:rPr>
          <w:rFonts w:ascii="Times New Roman" w:hAnsi="Times New Roman"/>
        </w:rPr>
        <w:t xml:space="preserve">  This financial management system is for internal use of the Department of Environmental and Social Impact Assessment within the Ministry of Environment and Natural Resources</w:t>
      </w:r>
      <w:r w:rsidR="00CC3AD0" w:rsidRPr="00632DBC">
        <w:rPr>
          <w:rFonts w:ascii="Times New Roman" w:hAnsi="Times New Roman"/>
        </w:rPr>
        <w:t xml:space="preserve">, </w:t>
      </w:r>
      <w:proofErr w:type="gramStart"/>
      <w:r w:rsidR="00CC3AD0" w:rsidRPr="00632DBC">
        <w:rPr>
          <w:rFonts w:ascii="Times New Roman" w:hAnsi="Times New Roman"/>
        </w:rPr>
        <w:t>in order</w:t>
      </w:r>
      <w:r w:rsidRPr="00632DBC">
        <w:rPr>
          <w:rFonts w:ascii="Times New Roman" w:hAnsi="Times New Roman"/>
        </w:rPr>
        <w:t xml:space="preserve"> to</w:t>
      </w:r>
      <w:proofErr w:type="gramEnd"/>
      <w:r w:rsidRPr="00632DBC">
        <w:rPr>
          <w:rFonts w:ascii="Times New Roman" w:hAnsi="Times New Roman"/>
        </w:rPr>
        <w:t xml:space="preserve"> monitor financing received from ODA and investment projects and their associated expenditures.</w:t>
      </w:r>
    </w:p>
    <w:p w14:paraId="3884EAF9" w14:textId="2770D620" w:rsidR="00F36825" w:rsidRPr="00632DBC" w:rsidRDefault="00F36825" w:rsidP="00F36825">
      <w:pPr>
        <w:widowControl w:val="0"/>
        <w:autoSpaceDE w:val="0"/>
        <w:autoSpaceDN w:val="0"/>
        <w:adjustRightInd w:val="0"/>
        <w:spacing w:line="240" w:lineRule="auto"/>
        <w:jc w:val="both"/>
        <w:rPr>
          <w:rFonts w:ascii="Times New Roman" w:hAnsi="Times New Roman"/>
        </w:rPr>
      </w:pPr>
      <w:r w:rsidRPr="00632DBC">
        <w:rPr>
          <w:rFonts w:ascii="Times New Roman" w:hAnsi="Times New Roman"/>
          <w:b/>
          <w:i/>
        </w:rPr>
        <w:t>Promoting synergies on monitoring between government agencies.</w:t>
      </w:r>
      <w:r w:rsidRPr="00632DBC">
        <w:rPr>
          <w:rFonts w:ascii="Times New Roman" w:hAnsi="Times New Roman"/>
          <w:b/>
        </w:rPr>
        <w:t xml:space="preserve"> </w:t>
      </w:r>
      <w:r w:rsidRPr="00632DBC">
        <w:rPr>
          <w:rFonts w:ascii="Times New Roman" w:hAnsi="Times New Roman"/>
        </w:rPr>
        <w:t>PEI worked together with</w:t>
      </w:r>
      <w:r w:rsidR="00CC3AD0" w:rsidRPr="00632DBC">
        <w:rPr>
          <w:rFonts w:ascii="Times New Roman" w:hAnsi="Times New Roman"/>
        </w:rPr>
        <w:t xml:space="preserve"> the</w:t>
      </w:r>
      <w:r w:rsidRPr="00632DBC">
        <w:rPr>
          <w:rFonts w:ascii="Times New Roman" w:hAnsi="Times New Roman"/>
        </w:rPr>
        <w:t xml:space="preserve"> Centre for Development and Environment</w:t>
      </w:r>
      <w:r w:rsidR="00CC3AD0" w:rsidRPr="00632DBC">
        <w:rPr>
          <w:rFonts w:ascii="Times New Roman" w:hAnsi="Times New Roman"/>
        </w:rPr>
        <w:t>,</w:t>
      </w:r>
      <w:r w:rsidRPr="00632DBC">
        <w:rPr>
          <w:rFonts w:ascii="Times New Roman" w:hAnsi="Times New Roman"/>
        </w:rPr>
        <w:t xml:space="preserve"> to promote coordination and collaboration between the Investment Promotion Department and the Department for Environmental and Social Impact Assessment. Jointly, they worked to link their investment compliance database and environmental and social compliance databases, which enhanced their ability to monitor development projects. This procedural tool can contribute to increase transparency and compliance. To </w:t>
      </w:r>
      <w:r w:rsidR="00CC3AD0" w:rsidRPr="00632DBC">
        <w:rPr>
          <w:rFonts w:ascii="Times New Roman" w:hAnsi="Times New Roman"/>
        </w:rPr>
        <w:t xml:space="preserve">begin to </w:t>
      </w:r>
      <w:r w:rsidR="00A3063C" w:rsidRPr="009109A4">
        <w:rPr>
          <w:rFonts w:ascii="Times New Roman" w:hAnsi="Times New Roman"/>
        </w:rPr>
        <w:t>link their investment compliance database and environmental and social compliance databases</w:t>
      </w:r>
      <w:r w:rsidR="00A3063C" w:rsidRPr="00A3063C" w:rsidDel="00A3063C">
        <w:rPr>
          <w:rFonts w:ascii="Times New Roman" w:hAnsi="Times New Roman"/>
        </w:rPr>
        <w:t xml:space="preserve"> </w:t>
      </w:r>
      <w:r w:rsidR="00CC3AD0" w:rsidRPr="00632DBC">
        <w:rPr>
          <w:rFonts w:ascii="Times New Roman" w:hAnsi="Times New Roman"/>
        </w:rPr>
        <w:t>this</w:t>
      </w:r>
      <w:r w:rsidRPr="00632DBC">
        <w:rPr>
          <w:rFonts w:ascii="Times New Roman" w:hAnsi="Times New Roman"/>
        </w:rPr>
        <w:t>, PEI linked the database of the Investment Promotion Department with the one of the Department of Environmental and Social Impact Assessment. Joint monitoring led to an increase in resource efficiency. It also enabled better networking, coordination and information sharing between the Ministry of Planning and Investment and the Ministry of Natural Resources and Environment. Then, they identified remaining gaps and are currently working on it. The fact that this database is institutionalized helps ensuring sustainability of PEI results.</w:t>
      </w:r>
    </w:p>
    <w:p w14:paraId="2716FA7E" w14:textId="59962DBD" w:rsidR="00251833" w:rsidRPr="00633A71" w:rsidRDefault="00251833" w:rsidP="00251833">
      <w:pPr>
        <w:pStyle w:val="Caption"/>
      </w:pPr>
      <w:bookmarkStart w:id="179" w:name="_Toc398935615"/>
      <w:bookmarkStart w:id="180" w:name="_Toc398936080"/>
      <w:bookmarkStart w:id="181" w:name="_Toc529192220"/>
      <w:r w:rsidRPr="00632DBC">
        <w:lastRenderedPageBreak/>
        <w:t xml:space="preserve">Table </w:t>
      </w:r>
      <w:r w:rsidRPr="00632DBC">
        <w:fldChar w:fldCharType="begin"/>
      </w:r>
      <w:r w:rsidRPr="00632DBC">
        <w:instrText xml:space="preserve"> SEQ Table \* ARABIC </w:instrText>
      </w:r>
      <w:r w:rsidRPr="00632DBC">
        <w:fldChar w:fldCharType="separate"/>
      </w:r>
      <w:r w:rsidRPr="00632DBC">
        <w:rPr>
          <w:noProof/>
        </w:rPr>
        <w:t>11</w:t>
      </w:r>
      <w:r w:rsidRPr="00632DBC">
        <w:fldChar w:fldCharType="end"/>
      </w:r>
      <w:r w:rsidRPr="00632DBC">
        <w:t>. Regulations for implementing the CBD guidelines for safeguards, and corresponding lessons learned from the ESIA regulatory framework in Laos PDR</w:t>
      </w:r>
      <w:bookmarkEnd w:id="179"/>
      <w:bookmarkEnd w:id="180"/>
      <w:bookmarkEnd w:id="181"/>
    </w:p>
    <w:tbl>
      <w:tblPr>
        <w:tblStyle w:val="TableGrid"/>
        <w:tblW w:w="10632" w:type="dxa"/>
        <w:tblInd w:w="-318" w:type="dxa"/>
        <w:tblLook w:val="04A0" w:firstRow="1" w:lastRow="0" w:firstColumn="1" w:lastColumn="0" w:noHBand="0" w:noVBand="1"/>
      </w:tblPr>
      <w:tblGrid>
        <w:gridCol w:w="1702"/>
        <w:gridCol w:w="1843"/>
        <w:gridCol w:w="2268"/>
        <w:gridCol w:w="2268"/>
        <w:gridCol w:w="2551"/>
      </w:tblGrid>
      <w:tr w:rsidR="00633A71" w:rsidRPr="00632DBC" w14:paraId="15EDAD48" w14:textId="77777777" w:rsidTr="00F36825">
        <w:trPr>
          <w:trHeight w:val="1474"/>
        </w:trPr>
        <w:tc>
          <w:tcPr>
            <w:tcW w:w="1702" w:type="dxa"/>
          </w:tcPr>
          <w:p w14:paraId="06F2E28B" w14:textId="77777777" w:rsidR="00F36825" w:rsidRPr="00632DBC" w:rsidRDefault="00F36825" w:rsidP="00F36825">
            <w:pPr>
              <w:rPr>
                <w:rFonts w:ascii="Calibri" w:hAnsi="Calibri"/>
                <w:b/>
                <w:sz w:val="18"/>
                <w:szCs w:val="18"/>
              </w:rPr>
            </w:pPr>
            <w:r w:rsidRPr="00632DBC">
              <w:rPr>
                <w:rFonts w:ascii="Calibri" w:hAnsi="Calibri"/>
                <w:b/>
                <w:sz w:val="18"/>
                <w:szCs w:val="18"/>
              </w:rPr>
              <w:t>CBD Guidelines for safeguards in Biodiversity Financing Mechanisms</w:t>
            </w:r>
          </w:p>
        </w:tc>
        <w:tc>
          <w:tcPr>
            <w:tcW w:w="1843" w:type="dxa"/>
          </w:tcPr>
          <w:p w14:paraId="2EE99815" w14:textId="77777777" w:rsidR="00F36825" w:rsidRPr="00632DBC" w:rsidRDefault="00F36825" w:rsidP="00F36825">
            <w:pPr>
              <w:rPr>
                <w:rFonts w:ascii="Calibri" w:hAnsi="Calibri"/>
                <w:b/>
                <w:sz w:val="18"/>
                <w:szCs w:val="18"/>
              </w:rPr>
            </w:pPr>
            <w:r w:rsidRPr="00632DBC">
              <w:rPr>
                <w:rFonts w:ascii="Calibri" w:hAnsi="Calibri"/>
                <w:b/>
                <w:sz w:val="18"/>
                <w:szCs w:val="18"/>
              </w:rPr>
              <w:t>a) Biodiversity values and ecosystem functions</w:t>
            </w:r>
          </w:p>
        </w:tc>
        <w:tc>
          <w:tcPr>
            <w:tcW w:w="2268" w:type="dxa"/>
          </w:tcPr>
          <w:p w14:paraId="527C3033" w14:textId="77777777" w:rsidR="00F36825" w:rsidRPr="00632DBC" w:rsidRDefault="00F36825" w:rsidP="00F36825">
            <w:pPr>
              <w:rPr>
                <w:rFonts w:ascii="Calibri" w:hAnsi="Calibri"/>
                <w:b/>
                <w:sz w:val="18"/>
                <w:szCs w:val="18"/>
              </w:rPr>
            </w:pPr>
            <w:r w:rsidRPr="00632DBC">
              <w:rPr>
                <w:rFonts w:ascii="Calibri" w:hAnsi="Calibri"/>
                <w:b/>
                <w:sz w:val="18"/>
                <w:szCs w:val="18"/>
              </w:rPr>
              <w:t>b) Rights and responsibilities of actors and/or stakeholders</w:t>
            </w:r>
          </w:p>
        </w:tc>
        <w:tc>
          <w:tcPr>
            <w:tcW w:w="2268" w:type="dxa"/>
          </w:tcPr>
          <w:p w14:paraId="0151F4D0" w14:textId="77777777" w:rsidR="00F36825" w:rsidRPr="00632DBC" w:rsidRDefault="00F36825" w:rsidP="00F36825">
            <w:pPr>
              <w:rPr>
                <w:rFonts w:ascii="Calibri" w:hAnsi="Calibri"/>
                <w:b/>
                <w:sz w:val="18"/>
                <w:szCs w:val="18"/>
              </w:rPr>
            </w:pPr>
            <w:r w:rsidRPr="00632DBC">
              <w:rPr>
                <w:rFonts w:ascii="Calibri" w:hAnsi="Calibri"/>
                <w:b/>
                <w:sz w:val="18"/>
                <w:szCs w:val="18"/>
              </w:rPr>
              <w:t>c) Local and country-driven/specific processes linked to the international level</w:t>
            </w:r>
          </w:p>
        </w:tc>
        <w:tc>
          <w:tcPr>
            <w:tcW w:w="2551" w:type="dxa"/>
          </w:tcPr>
          <w:p w14:paraId="402992B3" w14:textId="77777777" w:rsidR="00F36825" w:rsidRPr="00632DBC" w:rsidRDefault="00F36825" w:rsidP="00F36825">
            <w:pPr>
              <w:rPr>
                <w:rFonts w:ascii="Calibri" w:hAnsi="Calibri"/>
                <w:b/>
                <w:sz w:val="18"/>
                <w:szCs w:val="18"/>
              </w:rPr>
            </w:pPr>
            <w:r w:rsidRPr="00632DBC">
              <w:rPr>
                <w:rFonts w:ascii="Calibri" w:hAnsi="Calibri"/>
                <w:b/>
                <w:sz w:val="18"/>
                <w:szCs w:val="18"/>
              </w:rPr>
              <w:t>d) Governance, enforcement and accountability</w:t>
            </w:r>
          </w:p>
        </w:tc>
      </w:tr>
      <w:tr w:rsidR="00633A71" w:rsidRPr="00632DBC" w14:paraId="18B22CEB" w14:textId="77777777" w:rsidTr="00F36825">
        <w:tc>
          <w:tcPr>
            <w:tcW w:w="1702" w:type="dxa"/>
            <w:vAlign w:val="center"/>
          </w:tcPr>
          <w:p w14:paraId="5A1D5056" w14:textId="77777777" w:rsidR="00F36825" w:rsidRPr="00632DBC" w:rsidRDefault="00F36825" w:rsidP="00F36825">
            <w:pPr>
              <w:jc w:val="both"/>
              <w:rPr>
                <w:rFonts w:ascii="Calibri" w:hAnsi="Calibri"/>
                <w:sz w:val="18"/>
                <w:szCs w:val="18"/>
              </w:rPr>
            </w:pPr>
            <w:r w:rsidRPr="00632DBC">
              <w:rPr>
                <w:rFonts w:ascii="Calibri" w:hAnsi="Calibri"/>
                <w:sz w:val="18"/>
                <w:szCs w:val="18"/>
              </w:rPr>
              <w:t xml:space="preserve">Instruments </w:t>
            </w:r>
          </w:p>
        </w:tc>
        <w:tc>
          <w:tcPr>
            <w:tcW w:w="1843" w:type="dxa"/>
          </w:tcPr>
          <w:p w14:paraId="319FE163" w14:textId="2ED350BC" w:rsidR="00F36825" w:rsidRPr="00632DBC" w:rsidRDefault="00F36825" w:rsidP="00F36825">
            <w:pPr>
              <w:spacing w:line="240" w:lineRule="auto"/>
              <w:rPr>
                <w:rFonts w:ascii="Calibri" w:hAnsi="Calibri"/>
                <w:sz w:val="17"/>
                <w:szCs w:val="17"/>
              </w:rPr>
            </w:pPr>
            <w:r w:rsidRPr="00632DBC">
              <w:rPr>
                <w:rFonts w:ascii="Calibri" w:hAnsi="Calibri"/>
                <w:sz w:val="17"/>
                <w:szCs w:val="17"/>
              </w:rPr>
              <w:t>ESIA includes specific criteria for assessing the value of biodiversity and ecosystems that might be impacted by development projects. Criteria are based on scientific consensus (Appendix 9 – 2.1. Environmental Impact Assessment Guideline)</w:t>
            </w:r>
            <w:r w:rsidR="00CC3AD0" w:rsidRPr="00632DBC">
              <w:rPr>
                <w:rFonts w:ascii="Calibri" w:hAnsi="Calibri"/>
                <w:sz w:val="17"/>
                <w:szCs w:val="17"/>
              </w:rPr>
              <w:t>.</w:t>
            </w:r>
          </w:p>
        </w:tc>
        <w:tc>
          <w:tcPr>
            <w:tcW w:w="2268" w:type="dxa"/>
          </w:tcPr>
          <w:p w14:paraId="5D966D41" w14:textId="77777777" w:rsidR="00F36825" w:rsidRPr="00632DBC" w:rsidRDefault="00F36825" w:rsidP="00F36825">
            <w:pPr>
              <w:spacing w:line="240" w:lineRule="auto"/>
              <w:rPr>
                <w:rFonts w:ascii="Calibri" w:hAnsi="Calibri"/>
                <w:sz w:val="17"/>
                <w:szCs w:val="17"/>
              </w:rPr>
            </w:pPr>
            <w:r w:rsidRPr="00632DBC">
              <w:rPr>
                <w:rFonts w:ascii="Calibri" w:hAnsi="Calibri"/>
                <w:sz w:val="17"/>
                <w:szCs w:val="17"/>
              </w:rPr>
              <w:t xml:space="preserve">The article 8 of the Environmental Impact Assessment Decree widely establishes procedures for informing and consulting project-affected persons and local stakeholder all along the stages of the development project. </w:t>
            </w:r>
          </w:p>
        </w:tc>
        <w:tc>
          <w:tcPr>
            <w:tcW w:w="2268" w:type="dxa"/>
          </w:tcPr>
          <w:p w14:paraId="6EEA2BBB" w14:textId="7BCCFE3B" w:rsidR="00F36825" w:rsidRPr="00632DBC" w:rsidRDefault="00F36825" w:rsidP="00F36825">
            <w:pPr>
              <w:pStyle w:val="Default"/>
              <w:spacing w:line="240" w:lineRule="auto"/>
              <w:rPr>
                <w:rFonts w:ascii="Calibri" w:hAnsi="Calibri"/>
                <w:color w:val="auto"/>
                <w:sz w:val="17"/>
                <w:szCs w:val="17"/>
                <w:lang w:val="en-GB"/>
              </w:rPr>
            </w:pPr>
            <w:r w:rsidRPr="00632DBC">
              <w:rPr>
                <w:rFonts w:ascii="Calibri" w:hAnsi="Calibri"/>
                <w:color w:val="auto"/>
                <w:sz w:val="17"/>
                <w:szCs w:val="17"/>
                <w:lang w:val="en-GB"/>
              </w:rPr>
              <w:t xml:space="preserve">Both guidelines for conducting and for reviewing ESIA state that relevant international agreement should be included in the assessment among other elements to </w:t>
            </w:r>
            <w:proofErr w:type="gramStart"/>
            <w:r w:rsidRPr="00632DBC">
              <w:rPr>
                <w:rFonts w:ascii="Calibri" w:hAnsi="Calibri"/>
                <w:color w:val="auto"/>
                <w:sz w:val="17"/>
                <w:szCs w:val="17"/>
                <w:lang w:val="en-GB"/>
              </w:rPr>
              <w:t>take into account</w:t>
            </w:r>
            <w:proofErr w:type="gramEnd"/>
            <w:r w:rsidRPr="00632DBC">
              <w:rPr>
                <w:rFonts w:ascii="Calibri" w:hAnsi="Calibri"/>
                <w:color w:val="auto"/>
                <w:sz w:val="17"/>
                <w:szCs w:val="17"/>
                <w:lang w:val="en-GB"/>
              </w:rPr>
              <w:t xml:space="preserve">. (Chapter 4.4.3 EIA Guidelines, 2011; Guidelines and Checklists to </w:t>
            </w:r>
            <w:r w:rsidRPr="00632DBC">
              <w:rPr>
                <w:rFonts w:ascii="Calibri" w:hAnsi="Calibri"/>
                <w:bCs/>
                <w:iCs/>
                <w:color w:val="auto"/>
                <w:sz w:val="17"/>
                <w:szCs w:val="17"/>
                <w:lang w:val="en-GB"/>
              </w:rPr>
              <w:t xml:space="preserve">Review </w:t>
            </w:r>
            <w:r w:rsidRPr="00632DBC">
              <w:rPr>
                <w:rFonts w:ascii="Calibri" w:hAnsi="Calibri"/>
                <w:color w:val="auto"/>
                <w:sz w:val="17"/>
                <w:szCs w:val="17"/>
                <w:lang w:val="en-GB"/>
              </w:rPr>
              <w:t>Environmental and Social Impact Assessments)</w:t>
            </w:r>
            <w:r w:rsidR="00CC3AD0" w:rsidRPr="00632DBC">
              <w:rPr>
                <w:rFonts w:ascii="Calibri" w:hAnsi="Calibri"/>
                <w:color w:val="auto"/>
                <w:sz w:val="17"/>
                <w:szCs w:val="17"/>
                <w:lang w:val="en-GB"/>
              </w:rPr>
              <w:t>.</w:t>
            </w:r>
          </w:p>
        </w:tc>
        <w:tc>
          <w:tcPr>
            <w:tcW w:w="2551" w:type="dxa"/>
          </w:tcPr>
          <w:p w14:paraId="289C8BF6" w14:textId="77777777" w:rsidR="00F36825" w:rsidRPr="00632DBC" w:rsidRDefault="00F36825" w:rsidP="00F36825">
            <w:pPr>
              <w:spacing w:line="240" w:lineRule="auto"/>
              <w:rPr>
                <w:rFonts w:ascii="Calibri" w:hAnsi="Calibri"/>
                <w:sz w:val="17"/>
                <w:szCs w:val="17"/>
              </w:rPr>
            </w:pPr>
            <w:r w:rsidRPr="00632DBC">
              <w:rPr>
                <w:rFonts w:ascii="Calibri" w:hAnsi="Calibri"/>
                <w:sz w:val="17"/>
                <w:szCs w:val="17"/>
              </w:rPr>
              <w:t xml:space="preserve">Ministerial Instruction No. 8056/ MONRE specifies what types of development projects </w:t>
            </w:r>
            <w:proofErr w:type="gramStart"/>
            <w:r w:rsidRPr="00632DBC">
              <w:rPr>
                <w:rFonts w:ascii="Calibri" w:hAnsi="Calibri"/>
                <w:sz w:val="17"/>
                <w:szCs w:val="17"/>
              </w:rPr>
              <w:t>have to</w:t>
            </w:r>
            <w:proofErr w:type="gramEnd"/>
            <w:r w:rsidRPr="00632DBC">
              <w:rPr>
                <w:rFonts w:ascii="Calibri" w:hAnsi="Calibri"/>
                <w:sz w:val="17"/>
                <w:szCs w:val="17"/>
              </w:rPr>
              <w:t xml:space="preserve"> conduct Environmental and Social Impact Assessment, which enhanced compliance. Additionally, it specifies that projects likely to affect sites of high social or biological value are obliged to conduct ESIA.</w:t>
            </w:r>
          </w:p>
        </w:tc>
      </w:tr>
      <w:tr w:rsidR="00633A71" w:rsidRPr="00632DBC" w14:paraId="28C15045" w14:textId="77777777" w:rsidTr="00F36825">
        <w:tc>
          <w:tcPr>
            <w:tcW w:w="1702" w:type="dxa"/>
            <w:vAlign w:val="center"/>
          </w:tcPr>
          <w:p w14:paraId="0671F0F7" w14:textId="77777777" w:rsidR="00F36825" w:rsidRPr="00632DBC" w:rsidRDefault="00F36825" w:rsidP="00F36825">
            <w:pPr>
              <w:jc w:val="both"/>
              <w:rPr>
                <w:rFonts w:ascii="Calibri" w:hAnsi="Calibri"/>
                <w:sz w:val="18"/>
                <w:szCs w:val="18"/>
              </w:rPr>
            </w:pPr>
            <w:r w:rsidRPr="00632DBC">
              <w:rPr>
                <w:rFonts w:ascii="Calibri" w:hAnsi="Calibri"/>
                <w:sz w:val="18"/>
                <w:szCs w:val="18"/>
              </w:rPr>
              <w:t xml:space="preserve">Lessons of the case </w:t>
            </w:r>
          </w:p>
        </w:tc>
        <w:tc>
          <w:tcPr>
            <w:tcW w:w="1843" w:type="dxa"/>
          </w:tcPr>
          <w:p w14:paraId="5C35F30B" w14:textId="77777777" w:rsidR="00F36825" w:rsidRPr="00632DBC" w:rsidRDefault="00F36825" w:rsidP="00F36825">
            <w:pPr>
              <w:spacing w:line="240" w:lineRule="auto"/>
              <w:rPr>
                <w:rFonts w:ascii="Calibri" w:hAnsi="Calibri" w:cs="Myriad Pro"/>
                <w:sz w:val="17"/>
                <w:szCs w:val="17"/>
              </w:rPr>
            </w:pPr>
            <w:r w:rsidRPr="00632DBC">
              <w:rPr>
                <w:rFonts w:ascii="Calibri" w:hAnsi="Calibri"/>
                <w:sz w:val="17"/>
                <w:szCs w:val="17"/>
              </w:rPr>
              <w:t>Including local knowledge systems as assessment criteria would complement the capacity to safeguard important natural components at local level as well as sustainable practices.</w:t>
            </w:r>
          </w:p>
        </w:tc>
        <w:tc>
          <w:tcPr>
            <w:tcW w:w="2268" w:type="dxa"/>
          </w:tcPr>
          <w:p w14:paraId="1CB9D97F" w14:textId="77777777" w:rsidR="00F36825" w:rsidRPr="00632DBC" w:rsidRDefault="00F36825" w:rsidP="00F36825">
            <w:pPr>
              <w:spacing w:line="240" w:lineRule="auto"/>
              <w:rPr>
                <w:rFonts w:ascii="Calibri" w:hAnsi="Calibri"/>
                <w:sz w:val="17"/>
                <w:szCs w:val="17"/>
              </w:rPr>
            </w:pPr>
            <w:r w:rsidRPr="00632DBC">
              <w:rPr>
                <w:rFonts w:ascii="Calibri" w:hAnsi="Calibri"/>
                <w:sz w:val="17"/>
                <w:szCs w:val="17"/>
              </w:rPr>
              <w:t xml:space="preserve">Safeguarding participation related rights such as the right to information and the right to consultation is key, but </w:t>
            </w:r>
            <w:proofErr w:type="gramStart"/>
            <w:r w:rsidRPr="00632DBC">
              <w:rPr>
                <w:rFonts w:ascii="Calibri" w:hAnsi="Calibri"/>
                <w:sz w:val="17"/>
                <w:szCs w:val="17"/>
              </w:rPr>
              <w:t>in order to</w:t>
            </w:r>
            <w:proofErr w:type="gramEnd"/>
            <w:r w:rsidRPr="00632DBC">
              <w:rPr>
                <w:rFonts w:ascii="Calibri" w:hAnsi="Calibri"/>
                <w:sz w:val="17"/>
                <w:szCs w:val="17"/>
              </w:rPr>
              <w:t xml:space="preserve"> gain effectiveness it is required to safeguard the right to veto. </w:t>
            </w:r>
          </w:p>
        </w:tc>
        <w:tc>
          <w:tcPr>
            <w:tcW w:w="2268" w:type="dxa"/>
          </w:tcPr>
          <w:p w14:paraId="20D99137" w14:textId="77777777" w:rsidR="00F36825" w:rsidRPr="00632DBC" w:rsidRDefault="00F36825" w:rsidP="00F36825">
            <w:pPr>
              <w:spacing w:line="240" w:lineRule="auto"/>
              <w:rPr>
                <w:rFonts w:ascii="Calibri" w:hAnsi="Calibri"/>
                <w:sz w:val="17"/>
                <w:szCs w:val="17"/>
              </w:rPr>
            </w:pPr>
            <w:r w:rsidRPr="00632DBC">
              <w:rPr>
                <w:rFonts w:ascii="Calibri" w:hAnsi="Calibri"/>
                <w:sz w:val="17"/>
                <w:szCs w:val="17"/>
              </w:rPr>
              <w:t xml:space="preserve">These procedural measures could gain from increasing the obligation level of complying with international agreements. </w:t>
            </w:r>
          </w:p>
        </w:tc>
        <w:tc>
          <w:tcPr>
            <w:tcW w:w="2551" w:type="dxa"/>
          </w:tcPr>
          <w:p w14:paraId="55A4A7AC" w14:textId="77777777" w:rsidR="00F36825" w:rsidRPr="00633A71" w:rsidRDefault="00F36825" w:rsidP="00F36825">
            <w:pPr>
              <w:spacing w:line="240" w:lineRule="auto"/>
              <w:rPr>
                <w:rFonts w:ascii="Calibri" w:hAnsi="Calibri"/>
                <w:sz w:val="18"/>
                <w:szCs w:val="18"/>
              </w:rPr>
            </w:pPr>
            <w:r w:rsidRPr="00632DBC">
              <w:rPr>
                <w:rFonts w:ascii="Calibri" w:hAnsi="Calibri"/>
                <w:sz w:val="16"/>
                <w:szCs w:val="16"/>
              </w:rPr>
              <w:t>PEI general strategy to enhance the safeguarding capacity of EIA consisted in providing means to enhance compliance of pre-existing national regulations.</w:t>
            </w:r>
          </w:p>
        </w:tc>
      </w:tr>
    </w:tbl>
    <w:p w14:paraId="1B31384B" w14:textId="77777777" w:rsidR="00F36825" w:rsidRPr="00632DBC" w:rsidRDefault="00F36825" w:rsidP="00F36825"/>
    <w:p w14:paraId="430DD587" w14:textId="324DC3F8" w:rsidR="007326FF" w:rsidRPr="00632DBC" w:rsidRDefault="0017261F" w:rsidP="0017261F">
      <w:pPr>
        <w:autoSpaceDE w:val="0"/>
        <w:autoSpaceDN w:val="0"/>
        <w:adjustRightInd w:val="0"/>
        <w:spacing w:after="0" w:line="240" w:lineRule="auto"/>
        <w:rPr>
          <w:rFonts w:ascii="Times New Roman" w:hAnsi="Times New Roman"/>
          <w:iCs/>
        </w:rPr>
      </w:pPr>
      <w:r w:rsidRPr="00632DBC">
        <w:rPr>
          <w:rFonts w:ascii="Times" w:hAnsi="Times"/>
        </w:rPr>
        <w:br w:type="column"/>
      </w:r>
    </w:p>
    <w:p w14:paraId="3EEBF226" w14:textId="04EF46F2" w:rsidR="00810C20" w:rsidRPr="00632DBC" w:rsidRDefault="00761CCF" w:rsidP="003966BA">
      <w:pPr>
        <w:pStyle w:val="Heading2"/>
        <w:numPr>
          <w:ilvl w:val="0"/>
          <w:numId w:val="5"/>
        </w:numPr>
        <w:rPr>
          <w:lang w:val="en-GB"/>
        </w:rPr>
      </w:pPr>
      <w:bookmarkStart w:id="182" w:name="_Toc263943524"/>
      <w:bookmarkStart w:id="183" w:name="_Toc382590317"/>
      <w:bookmarkStart w:id="184" w:name="_Toc529199443"/>
      <w:r w:rsidRPr="00632DBC">
        <w:rPr>
          <w:lang w:val="en-GB"/>
        </w:rPr>
        <w:t>Proposed</w:t>
      </w:r>
      <w:r w:rsidR="00810C20" w:rsidRPr="00632DBC">
        <w:rPr>
          <w:lang w:val="en-GB"/>
        </w:rPr>
        <w:t xml:space="preserve"> elements for an operational roadmap</w:t>
      </w:r>
      <w:bookmarkEnd w:id="182"/>
      <w:bookmarkEnd w:id="183"/>
      <w:r w:rsidR="00960E68" w:rsidRPr="00632DBC">
        <w:rPr>
          <w:lang w:val="en-GB"/>
        </w:rPr>
        <w:t>: resource mobilization and safeguards in the post-2020 global biodiversity framework</w:t>
      </w:r>
      <w:bookmarkEnd w:id="184"/>
      <w:r w:rsidR="00810C20" w:rsidRPr="00632DBC">
        <w:rPr>
          <w:lang w:val="en-GB"/>
        </w:rPr>
        <w:t xml:space="preserve"> </w:t>
      </w:r>
    </w:p>
    <w:p w14:paraId="03204D4C" w14:textId="466D0DCC" w:rsidR="00F16E32" w:rsidRPr="00632DBC" w:rsidRDefault="00F16E32" w:rsidP="00274E4B">
      <w:pPr>
        <w:pStyle w:val="Default"/>
        <w:rPr>
          <w:color w:val="auto"/>
          <w:lang w:val="en-GB"/>
        </w:rPr>
      </w:pPr>
      <w:r w:rsidRPr="00632DBC">
        <w:rPr>
          <w:color w:val="auto"/>
          <w:lang w:val="en-GB"/>
        </w:rPr>
        <w:t>Note: the box and table in this section still need to be included in the index</w:t>
      </w:r>
    </w:p>
    <w:p w14:paraId="17507D1E" w14:textId="6FC37CD8" w:rsidR="00760123" w:rsidRPr="00632DBC" w:rsidRDefault="00810C20" w:rsidP="00274E4B">
      <w:pPr>
        <w:pStyle w:val="Default"/>
        <w:rPr>
          <w:rFonts w:ascii="Times New Roman" w:hAnsi="Times New Roman"/>
          <w:color w:val="auto"/>
          <w:sz w:val="22"/>
          <w:szCs w:val="22"/>
          <w:lang w:val="en-GB"/>
        </w:rPr>
      </w:pPr>
      <w:r w:rsidRPr="00632DBC">
        <w:rPr>
          <w:rFonts w:ascii="Times New Roman" w:hAnsi="Times New Roman"/>
          <w:color w:val="auto"/>
          <w:sz w:val="22"/>
          <w:szCs w:val="22"/>
          <w:lang w:val="en-GB"/>
        </w:rPr>
        <w:t>The guidelines outlined above</w:t>
      </w:r>
      <w:r w:rsidR="009D5D40" w:rsidRPr="00632DBC">
        <w:rPr>
          <w:rFonts w:ascii="Times New Roman" w:hAnsi="Times New Roman"/>
          <w:color w:val="auto"/>
          <w:sz w:val="22"/>
          <w:szCs w:val="22"/>
          <w:lang w:val="en-GB"/>
        </w:rPr>
        <w:t>,</w:t>
      </w:r>
      <w:r w:rsidRPr="00632DBC">
        <w:rPr>
          <w:rFonts w:ascii="Times New Roman" w:hAnsi="Times New Roman"/>
          <w:color w:val="auto"/>
          <w:sz w:val="22"/>
          <w:szCs w:val="22"/>
          <w:lang w:val="en-GB"/>
        </w:rPr>
        <w:t xml:space="preserve"> need to be incorporated into a roadmap for operationalization and resource mobilization that complements the key milestones of the CBD up to 2020</w:t>
      </w:r>
      <w:r w:rsidR="009D5D40" w:rsidRPr="00632DBC">
        <w:rPr>
          <w:rFonts w:ascii="Times New Roman" w:hAnsi="Times New Roman"/>
          <w:color w:val="auto"/>
          <w:sz w:val="22"/>
          <w:szCs w:val="22"/>
          <w:lang w:val="en-GB"/>
        </w:rPr>
        <w:t>.</w:t>
      </w:r>
      <w:r w:rsidR="00584647" w:rsidRPr="00584647">
        <w:rPr>
          <w:lang w:val="en-GB"/>
        </w:rPr>
        <w:t xml:space="preserve"> </w:t>
      </w:r>
      <w:proofErr w:type="gramStart"/>
      <w:r w:rsidR="00584647" w:rsidRPr="00584647">
        <w:rPr>
          <w:rFonts w:ascii="Times New Roman" w:hAnsi="Times New Roman"/>
          <w:color w:val="auto"/>
          <w:sz w:val="22"/>
          <w:szCs w:val="22"/>
          <w:lang w:val="en-GB"/>
        </w:rPr>
        <w:t>These kind of measure</w:t>
      </w:r>
      <w:proofErr w:type="gramEnd"/>
      <w:r w:rsidR="00912E3E" w:rsidRPr="00632DBC">
        <w:rPr>
          <w:rFonts w:ascii="Times New Roman" w:hAnsi="Times New Roman"/>
          <w:color w:val="auto"/>
          <w:sz w:val="22"/>
          <w:szCs w:val="22"/>
          <w:lang w:val="en-GB"/>
        </w:rPr>
        <w:t xml:space="preserve"> </w:t>
      </w:r>
      <w:r w:rsidR="00584647">
        <w:rPr>
          <w:rFonts w:ascii="Times New Roman" w:hAnsi="Times New Roman"/>
          <w:color w:val="auto"/>
          <w:sz w:val="22"/>
          <w:szCs w:val="22"/>
          <w:lang w:val="en-GB"/>
        </w:rPr>
        <w:t>can</w:t>
      </w:r>
      <w:r w:rsidR="00D31F4E">
        <w:rPr>
          <w:rFonts w:ascii="Times New Roman" w:hAnsi="Times New Roman"/>
          <w:color w:val="auto"/>
          <w:sz w:val="22"/>
          <w:szCs w:val="22"/>
          <w:lang w:val="en-GB"/>
        </w:rPr>
        <w:t xml:space="preserve"> </w:t>
      </w:r>
      <w:r w:rsidR="00912E3E" w:rsidRPr="00632DBC">
        <w:rPr>
          <w:rFonts w:ascii="Times New Roman" w:hAnsi="Times New Roman"/>
          <w:color w:val="auto"/>
          <w:sz w:val="22"/>
          <w:szCs w:val="22"/>
          <w:lang w:val="en-GB"/>
        </w:rPr>
        <w:t xml:space="preserve">inform the </w:t>
      </w:r>
      <w:r w:rsidR="007A7640" w:rsidRPr="00632DBC">
        <w:rPr>
          <w:rFonts w:ascii="Times New Roman" w:hAnsi="Times New Roman"/>
          <w:color w:val="auto"/>
          <w:sz w:val="22"/>
          <w:szCs w:val="22"/>
          <w:lang w:val="en-GB"/>
        </w:rPr>
        <w:t>post</w:t>
      </w:r>
      <w:r w:rsidR="007A7640">
        <w:rPr>
          <w:rFonts w:ascii="Times New Roman" w:hAnsi="Times New Roman"/>
          <w:color w:val="auto"/>
          <w:sz w:val="22"/>
          <w:szCs w:val="22"/>
          <w:lang w:val="en-GB"/>
        </w:rPr>
        <w:t>-</w:t>
      </w:r>
      <w:r w:rsidR="00912E3E" w:rsidRPr="00632DBC">
        <w:rPr>
          <w:rFonts w:ascii="Times New Roman" w:hAnsi="Times New Roman"/>
          <w:color w:val="auto"/>
          <w:sz w:val="22"/>
          <w:szCs w:val="22"/>
          <w:lang w:val="en-GB"/>
        </w:rPr>
        <w:t>2020 global biodiversity framework</w:t>
      </w:r>
      <w:r w:rsidR="00B735C3" w:rsidRPr="00632DBC">
        <w:rPr>
          <w:rFonts w:ascii="Times New Roman" w:hAnsi="Times New Roman"/>
          <w:color w:val="auto"/>
          <w:sz w:val="22"/>
          <w:szCs w:val="22"/>
          <w:lang w:val="en-GB"/>
        </w:rPr>
        <w:t>.</w:t>
      </w:r>
      <w:r w:rsidRPr="00632DBC">
        <w:rPr>
          <w:rFonts w:ascii="Times New Roman" w:hAnsi="Times New Roman"/>
          <w:color w:val="auto"/>
          <w:sz w:val="22"/>
          <w:szCs w:val="22"/>
          <w:lang w:val="en-GB"/>
        </w:rPr>
        <w:t xml:space="preserve"> </w:t>
      </w:r>
      <w:r w:rsidR="009D5D40" w:rsidRPr="00632DBC">
        <w:rPr>
          <w:rFonts w:ascii="Times New Roman" w:hAnsi="Times New Roman"/>
          <w:color w:val="auto"/>
          <w:sz w:val="22"/>
          <w:szCs w:val="22"/>
          <w:lang w:val="en-GB"/>
        </w:rPr>
        <w:t xml:space="preserve">Below </w:t>
      </w:r>
      <w:r w:rsidRPr="00632DBC">
        <w:rPr>
          <w:rFonts w:ascii="Times New Roman" w:hAnsi="Times New Roman"/>
          <w:color w:val="auto"/>
          <w:sz w:val="22"/>
          <w:szCs w:val="22"/>
          <w:lang w:val="en-GB"/>
        </w:rPr>
        <w:t>we outline some possible elements of the strategies for this implementation</w:t>
      </w:r>
      <w:r w:rsidR="009D5D40" w:rsidRPr="00632DBC">
        <w:rPr>
          <w:rFonts w:ascii="Times New Roman" w:hAnsi="Times New Roman"/>
          <w:color w:val="auto"/>
          <w:sz w:val="22"/>
          <w:szCs w:val="22"/>
          <w:lang w:val="en-GB"/>
        </w:rPr>
        <w:t>. We</w:t>
      </w:r>
      <w:r w:rsidR="00C05CB5" w:rsidRPr="00632DBC">
        <w:rPr>
          <w:rFonts w:ascii="Times New Roman" w:hAnsi="Times New Roman"/>
          <w:color w:val="auto"/>
          <w:sz w:val="22"/>
          <w:szCs w:val="22"/>
          <w:lang w:val="en-GB"/>
        </w:rPr>
        <w:t xml:space="preserve"> </w:t>
      </w:r>
      <w:r w:rsidR="00760123" w:rsidRPr="00632DBC">
        <w:rPr>
          <w:rFonts w:ascii="Times New Roman" w:hAnsi="Times New Roman"/>
          <w:color w:val="auto"/>
          <w:sz w:val="22"/>
          <w:szCs w:val="22"/>
          <w:lang w:val="en-GB"/>
        </w:rPr>
        <w:t>buil</w:t>
      </w:r>
      <w:r w:rsidR="009D5D40" w:rsidRPr="00632DBC">
        <w:rPr>
          <w:rFonts w:ascii="Times New Roman" w:hAnsi="Times New Roman"/>
          <w:color w:val="auto"/>
          <w:sz w:val="22"/>
          <w:szCs w:val="22"/>
          <w:lang w:val="en-GB"/>
        </w:rPr>
        <w:t>d</w:t>
      </w:r>
      <w:r w:rsidR="00760123" w:rsidRPr="00632DBC">
        <w:rPr>
          <w:rFonts w:ascii="Times New Roman" w:hAnsi="Times New Roman"/>
          <w:color w:val="auto"/>
          <w:sz w:val="22"/>
          <w:szCs w:val="22"/>
          <w:lang w:val="en-GB"/>
        </w:rPr>
        <w:t xml:space="preserve"> on prior CBD Decisions and other relevant legal and policy instruments </w:t>
      </w:r>
      <w:r w:rsidR="009D5D40" w:rsidRPr="00632DBC">
        <w:rPr>
          <w:rFonts w:ascii="Times New Roman" w:hAnsi="Times New Roman"/>
          <w:color w:val="auto"/>
          <w:sz w:val="22"/>
          <w:szCs w:val="22"/>
          <w:lang w:val="en-GB"/>
        </w:rPr>
        <w:t xml:space="preserve">that were </w:t>
      </w:r>
      <w:r w:rsidR="00760123" w:rsidRPr="00632DBC">
        <w:rPr>
          <w:rFonts w:ascii="Times New Roman" w:hAnsi="Times New Roman"/>
          <w:color w:val="auto"/>
          <w:sz w:val="22"/>
          <w:szCs w:val="22"/>
          <w:lang w:val="en-GB"/>
        </w:rPr>
        <w:t>mentioned earlier in this publication</w:t>
      </w:r>
      <w:r w:rsidR="009D5D40" w:rsidRPr="00632DBC">
        <w:rPr>
          <w:rFonts w:ascii="Times New Roman" w:hAnsi="Times New Roman"/>
          <w:color w:val="auto"/>
          <w:sz w:val="22"/>
          <w:szCs w:val="22"/>
          <w:lang w:val="en-GB"/>
        </w:rPr>
        <w:t>,</w:t>
      </w:r>
      <w:r w:rsidR="00760123" w:rsidRPr="00632DBC">
        <w:rPr>
          <w:rFonts w:ascii="Times New Roman" w:hAnsi="Times New Roman"/>
          <w:color w:val="auto"/>
          <w:sz w:val="22"/>
          <w:szCs w:val="22"/>
          <w:lang w:val="en-GB"/>
        </w:rPr>
        <w:t xml:space="preserve"> as well as in O</w:t>
      </w:r>
      <w:r w:rsidR="00173541" w:rsidRPr="00632DBC">
        <w:rPr>
          <w:rFonts w:ascii="Times New Roman" w:hAnsi="Times New Roman"/>
          <w:color w:val="auto"/>
          <w:sz w:val="22"/>
          <w:szCs w:val="22"/>
          <w:lang w:val="en-GB"/>
        </w:rPr>
        <w:t>utcomes on safeguards at the last CBD meetings on</w:t>
      </w:r>
      <w:r w:rsidR="00760123" w:rsidRPr="00632DBC">
        <w:rPr>
          <w:rFonts w:ascii="Times New Roman" w:hAnsi="Times New Roman"/>
          <w:color w:val="auto"/>
          <w:sz w:val="22"/>
          <w:szCs w:val="22"/>
          <w:lang w:val="en-GB"/>
        </w:rPr>
        <w:t xml:space="preserve"> CBD-WG 8(j) 10th and SBI2</w:t>
      </w:r>
      <w:r w:rsidR="00173541" w:rsidRPr="00632DBC">
        <w:rPr>
          <w:rFonts w:ascii="Times New Roman" w:hAnsi="Times New Roman"/>
          <w:color w:val="auto"/>
          <w:sz w:val="22"/>
          <w:szCs w:val="22"/>
          <w:lang w:val="en-GB"/>
        </w:rPr>
        <w:t xml:space="preserve"> </w:t>
      </w:r>
      <w:r w:rsidR="009D5D40" w:rsidRPr="00632DBC">
        <w:rPr>
          <w:rFonts w:ascii="Times New Roman" w:hAnsi="Times New Roman"/>
          <w:color w:val="auto"/>
          <w:sz w:val="22"/>
          <w:szCs w:val="22"/>
          <w:lang w:val="en-GB"/>
        </w:rPr>
        <w:t>(see the</w:t>
      </w:r>
      <w:r w:rsidR="00C05CB5" w:rsidRPr="00632DBC">
        <w:rPr>
          <w:rFonts w:ascii="Times New Roman" w:hAnsi="Times New Roman"/>
          <w:color w:val="auto"/>
          <w:sz w:val="22"/>
          <w:szCs w:val="22"/>
          <w:lang w:val="en-GB"/>
        </w:rPr>
        <w:t xml:space="preserve"> </w:t>
      </w:r>
      <w:r w:rsidR="009D5D40" w:rsidRPr="00632DBC">
        <w:rPr>
          <w:rFonts w:ascii="Times New Roman" w:hAnsi="Times New Roman"/>
          <w:color w:val="auto"/>
          <w:sz w:val="22"/>
          <w:szCs w:val="22"/>
          <w:lang w:val="en-GB"/>
        </w:rPr>
        <w:t>c</w:t>
      </w:r>
      <w:r w:rsidR="00173541" w:rsidRPr="00632DBC">
        <w:rPr>
          <w:rFonts w:ascii="Times New Roman" w:hAnsi="Times New Roman"/>
          <w:color w:val="auto"/>
          <w:sz w:val="22"/>
          <w:szCs w:val="22"/>
          <w:lang w:val="en-GB"/>
        </w:rPr>
        <w:t>hecklist include</w:t>
      </w:r>
      <w:r w:rsidR="009D5D40" w:rsidRPr="00632DBC">
        <w:rPr>
          <w:rFonts w:ascii="Times New Roman" w:hAnsi="Times New Roman"/>
          <w:color w:val="auto"/>
          <w:sz w:val="22"/>
          <w:szCs w:val="22"/>
          <w:lang w:val="en-GB"/>
        </w:rPr>
        <w:t>d</w:t>
      </w:r>
      <w:r w:rsidR="00173541" w:rsidRPr="00632DBC">
        <w:rPr>
          <w:rFonts w:ascii="Times New Roman" w:hAnsi="Times New Roman"/>
          <w:color w:val="auto"/>
          <w:sz w:val="22"/>
          <w:szCs w:val="22"/>
          <w:lang w:val="en-GB"/>
        </w:rPr>
        <w:t xml:space="preserve"> in Box 15</w:t>
      </w:r>
      <w:r w:rsidR="009D5D40" w:rsidRPr="00632DBC">
        <w:rPr>
          <w:rFonts w:ascii="Times New Roman" w:hAnsi="Times New Roman"/>
          <w:color w:val="auto"/>
          <w:sz w:val="22"/>
          <w:szCs w:val="22"/>
          <w:lang w:val="en-GB"/>
        </w:rPr>
        <w:t>).</w:t>
      </w:r>
    </w:p>
    <w:p w14:paraId="7A22107A" w14:textId="4E4FEE12" w:rsidR="00760123" w:rsidRPr="00632DBC" w:rsidRDefault="00760123" w:rsidP="00760123">
      <w:pPr>
        <w:pStyle w:val="Default"/>
        <w:rPr>
          <w:rFonts w:ascii="Times New Roman" w:hAnsi="Times New Roman"/>
          <w:color w:val="auto"/>
          <w:sz w:val="22"/>
          <w:szCs w:val="22"/>
          <w:lang w:val="en-GB"/>
        </w:rPr>
      </w:pPr>
      <w:r w:rsidRPr="00632DBC">
        <w:rPr>
          <w:rFonts w:ascii="Times New Roman" w:hAnsi="Times New Roman"/>
          <w:color w:val="auto"/>
          <w:sz w:val="22"/>
          <w:szCs w:val="22"/>
          <w:lang w:val="en-GB"/>
        </w:rPr>
        <w:t>Following the request of the Conference of the Parties at its thirteenth meeting, the CBD Executive Secretary issued a notification and received submissions on experiences in relation to using the CBD voluntary guidelines on safeguards in BFM. In accordance with paragraph 21 of decision XIII/20 on resource mobilization</w:t>
      </w:r>
      <w:r w:rsidR="00C05CB5" w:rsidRPr="00632DBC">
        <w:rPr>
          <w:rFonts w:ascii="Times New Roman" w:hAnsi="Times New Roman"/>
          <w:color w:val="auto"/>
          <w:sz w:val="22"/>
          <w:szCs w:val="22"/>
          <w:lang w:val="en-GB"/>
        </w:rPr>
        <w:t xml:space="preserve">, </w:t>
      </w:r>
      <w:r w:rsidRPr="00632DBC">
        <w:rPr>
          <w:rFonts w:ascii="Times New Roman" w:hAnsi="Times New Roman"/>
          <w:color w:val="auto"/>
          <w:sz w:val="22"/>
          <w:szCs w:val="22"/>
          <w:lang w:val="en-GB"/>
        </w:rPr>
        <w:t xml:space="preserve">the Executive Secretary made the submissions available to the Ad Hoc Open-ended Working Group on Article 8(j) (WG8J) and Related </w:t>
      </w:r>
      <w:r w:rsidR="00F62BBC" w:rsidRPr="00632DBC">
        <w:rPr>
          <w:rFonts w:ascii="Times New Roman" w:hAnsi="Times New Roman"/>
          <w:color w:val="auto"/>
          <w:sz w:val="22"/>
          <w:szCs w:val="22"/>
          <w:lang w:val="en-GB"/>
        </w:rPr>
        <w:t>Provisions</w:t>
      </w:r>
      <w:r w:rsidR="0038043D">
        <w:rPr>
          <w:rFonts w:ascii="Times New Roman" w:hAnsi="Times New Roman"/>
          <w:color w:val="auto"/>
          <w:sz w:val="22"/>
          <w:szCs w:val="22"/>
          <w:lang w:val="en-US"/>
        </w:rPr>
        <w:t xml:space="preserve">. This </w:t>
      </w:r>
      <w:r w:rsidR="0038043D" w:rsidRPr="009109A4">
        <w:rPr>
          <w:rFonts w:ascii="Times New Roman" w:hAnsi="Times New Roman"/>
          <w:color w:val="auto"/>
          <w:sz w:val="22"/>
          <w:szCs w:val="22"/>
          <w:lang w:val="en-GB"/>
        </w:rPr>
        <w:t>Working Group on Article 8(j) (WG8J) and Related Provisions</w:t>
      </w:r>
      <w:r w:rsidR="0038043D">
        <w:rPr>
          <w:rFonts w:ascii="Times New Roman" w:hAnsi="Times New Roman"/>
          <w:color w:val="auto"/>
          <w:sz w:val="22"/>
          <w:szCs w:val="22"/>
          <w:lang w:val="en-GB"/>
        </w:rPr>
        <w:t xml:space="preserve"> d</w:t>
      </w:r>
      <w:r w:rsidRPr="00632DBC">
        <w:rPr>
          <w:rFonts w:ascii="Times New Roman" w:hAnsi="Times New Roman"/>
          <w:color w:val="auto"/>
          <w:sz w:val="22"/>
          <w:szCs w:val="22"/>
          <w:lang w:val="en-GB"/>
        </w:rPr>
        <w:t>evelop</w:t>
      </w:r>
      <w:r w:rsidR="0038043D">
        <w:rPr>
          <w:rFonts w:ascii="Times New Roman" w:hAnsi="Times New Roman"/>
          <w:color w:val="auto"/>
          <w:sz w:val="22"/>
          <w:szCs w:val="22"/>
          <w:lang w:val="en-GB"/>
        </w:rPr>
        <w:t>ed</w:t>
      </w:r>
      <w:r w:rsidRPr="00632DBC">
        <w:rPr>
          <w:rFonts w:ascii="Times New Roman" w:hAnsi="Times New Roman"/>
          <w:color w:val="auto"/>
          <w:sz w:val="22"/>
          <w:szCs w:val="22"/>
          <w:lang w:val="en-GB"/>
        </w:rPr>
        <w:t xml:space="preserve"> recommendations </w:t>
      </w:r>
      <w:r w:rsidR="0038043D">
        <w:rPr>
          <w:rFonts w:ascii="Times New Roman" w:hAnsi="Times New Roman"/>
          <w:color w:val="auto"/>
          <w:sz w:val="22"/>
          <w:szCs w:val="22"/>
          <w:lang w:val="en-US"/>
        </w:rPr>
        <w:t>for</w:t>
      </w:r>
      <w:r w:rsidRPr="00632DBC">
        <w:rPr>
          <w:rFonts w:ascii="Times New Roman" w:hAnsi="Times New Roman"/>
          <w:color w:val="auto"/>
          <w:sz w:val="22"/>
          <w:szCs w:val="22"/>
          <w:lang w:val="en-GB"/>
        </w:rPr>
        <w:t xml:space="preserve"> increas</w:t>
      </w:r>
      <w:r w:rsidR="0038043D">
        <w:rPr>
          <w:rFonts w:ascii="Times New Roman" w:hAnsi="Times New Roman"/>
          <w:color w:val="auto"/>
          <w:sz w:val="22"/>
          <w:szCs w:val="22"/>
          <w:lang w:val="en-GB"/>
        </w:rPr>
        <w:t>ing</w:t>
      </w:r>
      <w:r w:rsidRPr="00632DBC">
        <w:rPr>
          <w:rFonts w:ascii="Times New Roman" w:hAnsi="Times New Roman"/>
          <w:color w:val="auto"/>
          <w:sz w:val="22"/>
          <w:szCs w:val="22"/>
          <w:lang w:val="en-GB"/>
        </w:rPr>
        <w:t xml:space="preserve"> effectiveness of safeguards for indigenous peoples and local communities</w:t>
      </w:r>
      <w:r w:rsidR="0038043D">
        <w:rPr>
          <w:rFonts w:ascii="Times New Roman" w:hAnsi="Times New Roman"/>
          <w:color w:val="auto"/>
          <w:sz w:val="22"/>
          <w:szCs w:val="22"/>
          <w:lang w:val="en-GB"/>
        </w:rPr>
        <w:t xml:space="preserve"> for the consideration</w:t>
      </w:r>
      <w:r w:rsidRPr="00632DBC">
        <w:rPr>
          <w:rFonts w:ascii="Times New Roman" w:hAnsi="Times New Roman"/>
          <w:color w:val="auto"/>
          <w:sz w:val="22"/>
          <w:szCs w:val="22"/>
          <w:lang w:val="en-GB"/>
        </w:rPr>
        <w:t xml:space="preserve"> by the Subsidiary Body on Implementation at its second meeting (CBD/WG8J/10/6). Along with the submissions, the Working Group presented a document containing information relevant for safeguards and indigenous peoples and local communities. S</w:t>
      </w:r>
      <w:r w:rsidR="00584647">
        <w:rPr>
          <w:rFonts w:ascii="Times New Roman" w:hAnsi="Times New Roman"/>
          <w:color w:val="auto"/>
          <w:sz w:val="22"/>
          <w:szCs w:val="22"/>
          <w:lang w:val="en-GB"/>
        </w:rPr>
        <w:t xml:space="preserve">ubsidiary </w:t>
      </w:r>
      <w:r w:rsidRPr="00632DBC">
        <w:rPr>
          <w:rFonts w:ascii="Times New Roman" w:hAnsi="Times New Roman"/>
          <w:color w:val="auto"/>
          <w:sz w:val="22"/>
          <w:szCs w:val="22"/>
          <w:lang w:val="en-GB"/>
        </w:rPr>
        <w:t>B</w:t>
      </w:r>
      <w:r w:rsidR="00584647">
        <w:rPr>
          <w:rFonts w:ascii="Times New Roman" w:hAnsi="Times New Roman"/>
          <w:color w:val="auto"/>
          <w:sz w:val="22"/>
          <w:szCs w:val="22"/>
          <w:lang w:val="en-GB"/>
        </w:rPr>
        <w:t xml:space="preserve">ody of </w:t>
      </w:r>
      <w:r w:rsidRPr="00632DBC">
        <w:rPr>
          <w:rFonts w:ascii="Times New Roman" w:hAnsi="Times New Roman"/>
          <w:color w:val="auto"/>
          <w:sz w:val="22"/>
          <w:szCs w:val="22"/>
          <w:lang w:val="en-GB"/>
        </w:rPr>
        <w:t>I</w:t>
      </w:r>
      <w:r w:rsidR="00584647">
        <w:rPr>
          <w:rFonts w:ascii="Times New Roman" w:hAnsi="Times New Roman"/>
          <w:color w:val="auto"/>
          <w:sz w:val="22"/>
          <w:szCs w:val="22"/>
          <w:lang w:val="en-GB"/>
        </w:rPr>
        <w:t xml:space="preserve">mplementation </w:t>
      </w:r>
      <w:r w:rsidRPr="00632DBC">
        <w:rPr>
          <w:rFonts w:ascii="Times New Roman" w:hAnsi="Times New Roman"/>
          <w:color w:val="auto"/>
          <w:sz w:val="22"/>
          <w:szCs w:val="22"/>
          <w:lang w:val="en-GB"/>
        </w:rPr>
        <w:t>2 building on input from WG8J, the submissions and other relevant document made recommendations on how to address both the overarching topic of biodiversity and social safeguards</w:t>
      </w:r>
      <w:r w:rsidR="00F62BBC" w:rsidRPr="00632DBC">
        <w:rPr>
          <w:rFonts w:ascii="Times New Roman" w:hAnsi="Times New Roman"/>
          <w:color w:val="auto"/>
          <w:sz w:val="22"/>
          <w:szCs w:val="22"/>
          <w:lang w:val="en-GB"/>
        </w:rPr>
        <w:t>. They also made recommendation for</w:t>
      </w:r>
      <w:r w:rsidRPr="00632DBC">
        <w:rPr>
          <w:rFonts w:ascii="Times New Roman" w:hAnsi="Times New Roman"/>
          <w:color w:val="auto"/>
          <w:sz w:val="22"/>
          <w:szCs w:val="22"/>
          <w:lang w:val="en-GB"/>
        </w:rPr>
        <w:t xml:space="preserve"> specifically in relation indigenous peoples and local communities</w:t>
      </w:r>
      <w:r w:rsidR="00F62BBC" w:rsidRPr="00632DBC">
        <w:rPr>
          <w:rFonts w:ascii="Times New Roman" w:hAnsi="Times New Roman"/>
          <w:color w:val="auto"/>
          <w:sz w:val="22"/>
          <w:szCs w:val="22"/>
          <w:lang w:val="en-GB"/>
        </w:rPr>
        <w:t xml:space="preserve"> </w:t>
      </w:r>
      <w:r w:rsidRPr="00632DBC">
        <w:rPr>
          <w:rFonts w:ascii="Times New Roman" w:hAnsi="Times New Roman"/>
          <w:color w:val="auto"/>
          <w:sz w:val="22"/>
          <w:szCs w:val="22"/>
          <w:lang w:val="en-GB"/>
        </w:rPr>
        <w:t xml:space="preserve">(CBD/SBI/2/20). The proposed roadmap in this publication continues to build on CBD meetings’ outcomes </w:t>
      </w:r>
      <w:r w:rsidR="00F62BBC" w:rsidRPr="00632DBC">
        <w:rPr>
          <w:rFonts w:ascii="Times New Roman" w:hAnsi="Times New Roman"/>
          <w:color w:val="auto"/>
          <w:sz w:val="22"/>
          <w:szCs w:val="22"/>
          <w:lang w:val="en-GB"/>
        </w:rPr>
        <w:t>and the</w:t>
      </w:r>
      <w:r w:rsidRPr="00632DBC">
        <w:rPr>
          <w:rFonts w:ascii="Times New Roman" w:hAnsi="Times New Roman"/>
          <w:color w:val="auto"/>
          <w:sz w:val="22"/>
          <w:szCs w:val="22"/>
          <w:lang w:val="en-GB"/>
        </w:rPr>
        <w:t xml:space="preserve"> contributions by Parties and other groups.</w:t>
      </w:r>
    </w:p>
    <w:p w14:paraId="3BB0D24D" w14:textId="77777777" w:rsidR="00173541" w:rsidRPr="00632DBC" w:rsidRDefault="00173541" w:rsidP="00173541">
      <w:pPr>
        <w:autoSpaceDE w:val="0"/>
        <w:autoSpaceDN w:val="0"/>
        <w:adjustRightInd w:val="0"/>
        <w:spacing w:after="0" w:line="240" w:lineRule="auto"/>
        <w:rPr>
          <w:rFonts w:ascii="Times New Roman" w:hAnsi="Times New Roman"/>
          <w:sz w:val="24"/>
        </w:rPr>
      </w:pPr>
    </w:p>
    <w:p w14:paraId="0980A31A" w14:textId="77777777" w:rsidR="00173541" w:rsidRPr="00632DBC" w:rsidRDefault="00173541" w:rsidP="00274E4B">
      <w:pPr>
        <w:shd w:val="clear" w:color="auto" w:fill="F2F2F2"/>
        <w:spacing w:line="240" w:lineRule="auto"/>
        <w:jc w:val="both"/>
        <w:rPr>
          <w:rFonts w:ascii="Calibri" w:hAnsi="Calibri"/>
          <w:b/>
          <w:i/>
        </w:rPr>
      </w:pPr>
      <w:r w:rsidRPr="00632DBC">
        <w:rPr>
          <w:rFonts w:ascii="Calibri" w:hAnsi="Calibri"/>
          <w:b/>
          <w:i/>
        </w:rPr>
        <w:t>Box 15</w:t>
      </w:r>
    </w:p>
    <w:p w14:paraId="26FDC8BB" w14:textId="77777777" w:rsidR="00173541" w:rsidRPr="00632DBC" w:rsidRDefault="00173541" w:rsidP="00274E4B">
      <w:pPr>
        <w:shd w:val="clear" w:color="auto" w:fill="F2F2F2"/>
        <w:spacing w:line="240" w:lineRule="auto"/>
        <w:jc w:val="both"/>
        <w:rPr>
          <w:rFonts w:ascii="Calibri" w:hAnsi="Calibri"/>
          <w:b/>
          <w:i/>
        </w:rPr>
      </w:pPr>
      <w:r w:rsidRPr="00632DBC">
        <w:rPr>
          <w:rFonts w:ascii="Calibri" w:hAnsi="Calibri"/>
          <w:b/>
          <w:i/>
        </w:rPr>
        <w:t>Checklist of safeguards in biodiversity financing mechanisms under the convention on biological diversity</w:t>
      </w:r>
    </w:p>
    <w:p w14:paraId="710A6ED2"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snapToGrid w:val="0"/>
          <w:kern w:val="22"/>
          <w:sz w:val="20"/>
          <w:szCs w:val="20"/>
        </w:rPr>
        <w:t xml:space="preserve">The following questions may be used as a </w:t>
      </w:r>
      <w:r w:rsidRPr="00632DBC">
        <w:rPr>
          <w:rFonts w:ascii="Times New Roman" w:hAnsi="Times New Roman"/>
          <w:iCs/>
          <w:snapToGrid w:val="0"/>
          <w:kern w:val="22"/>
          <w:sz w:val="20"/>
          <w:szCs w:val="20"/>
        </w:rPr>
        <w:t>checklist for complying with the Convention’s voluntary guidelines on safeguards in biodiversity financing mechanisms.</w:t>
      </w:r>
    </w:p>
    <w:p w14:paraId="384A53AB"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b/>
          <w:iCs/>
          <w:snapToGrid w:val="0"/>
          <w:kern w:val="22"/>
          <w:sz w:val="20"/>
          <w:szCs w:val="20"/>
        </w:rPr>
      </w:pPr>
      <w:r w:rsidRPr="00632DBC">
        <w:rPr>
          <w:rFonts w:ascii="Times New Roman" w:hAnsi="Times New Roman"/>
          <w:b/>
          <w:iCs/>
          <w:snapToGrid w:val="0"/>
          <w:kern w:val="22"/>
          <w:sz w:val="20"/>
          <w:szCs w:val="20"/>
        </w:rPr>
        <w:t>Overall question on the purpose of the Convention’s voluntary guidelines on safeguards in biodiversity financing mechanisms</w:t>
      </w:r>
    </w:p>
    <w:p w14:paraId="167897D2" w14:textId="58C6F4D5"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 xml:space="preserve">Does the financing mechanism have a safeguard system designed to effectively avoid or mitigate its unintended impacts on the rights and livelihoods of indigenous peoples and local communities in accordance with national legislation, and </w:t>
      </w:r>
      <w:r w:rsidR="001F576C" w:rsidRPr="00632DBC">
        <w:rPr>
          <w:rFonts w:ascii="Times New Roman" w:hAnsi="Times New Roman"/>
          <w:iCs/>
          <w:snapToGrid w:val="0"/>
          <w:kern w:val="22"/>
          <w:sz w:val="20"/>
          <w:szCs w:val="20"/>
        </w:rPr>
        <w:t xml:space="preserve">which </w:t>
      </w:r>
      <w:r w:rsidRPr="00632DBC">
        <w:rPr>
          <w:rFonts w:ascii="Times New Roman" w:hAnsi="Times New Roman"/>
          <w:iCs/>
          <w:snapToGrid w:val="0"/>
          <w:kern w:val="22"/>
          <w:sz w:val="20"/>
          <w:szCs w:val="20"/>
        </w:rPr>
        <w:t>maximize</w:t>
      </w:r>
      <w:r w:rsidR="001F576C" w:rsidRPr="00632DBC">
        <w:rPr>
          <w:rFonts w:ascii="Times New Roman" w:hAnsi="Times New Roman"/>
          <w:iCs/>
          <w:snapToGrid w:val="0"/>
          <w:kern w:val="22"/>
          <w:sz w:val="20"/>
          <w:szCs w:val="20"/>
        </w:rPr>
        <w:t>s</w:t>
      </w:r>
      <w:r w:rsidRPr="00632DBC">
        <w:rPr>
          <w:rFonts w:ascii="Times New Roman" w:hAnsi="Times New Roman"/>
          <w:iCs/>
          <w:snapToGrid w:val="0"/>
          <w:kern w:val="22"/>
          <w:sz w:val="20"/>
          <w:szCs w:val="20"/>
        </w:rPr>
        <w:t xml:space="preserve"> its opportunities to support them?</w:t>
      </w:r>
    </w:p>
    <w:p w14:paraId="2B651ED2"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b/>
          <w:iCs/>
          <w:snapToGrid w:val="0"/>
          <w:kern w:val="22"/>
          <w:sz w:val="20"/>
          <w:szCs w:val="20"/>
        </w:rPr>
      </w:pPr>
      <w:r w:rsidRPr="00632DBC">
        <w:rPr>
          <w:rFonts w:ascii="Times New Roman" w:hAnsi="Times New Roman"/>
          <w:b/>
          <w:iCs/>
          <w:snapToGrid w:val="0"/>
          <w:kern w:val="22"/>
          <w:sz w:val="20"/>
          <w:szCs w:val="20"/>
        </w:rPr>
        <w:t xml:space="preserve">Guideline A: </w:t>
      </w:r>
      <w:r w:rsidRPr="00632DBC">
        <w:rPr>
          <w:rFonts w:ascii="Times New Roman" w:eastAsia="Malgun Gothic" w:hAnsi="Times New Roman"/>
          <w:b/>
          <w:snapToGrid w:val="0"/>
          <w:kern w:val="22"/>
          <w:sz w:val="20"/>
          <w:szCs w:val="20"/>
          <w:lang w:eastAsia="x-none"/>
        </w:rPr>
        <w:t>The role of biodiversity and ecosystem functions for local livelihoods and resilience, as well as biodiversity’s intrinsic values, should be recognized in the selection, design and implementation of biodiversity financing mechanisms.</w:t>
      </w:r>
    </w:p>
    <w:p w14:paraId="615C155C"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iCs/>
          <w:snapToGrid w:val="0"/>
          <w:kern w:val="22"/>
          <w:sz w:val="20"/>
          <w:szCs w:val="20"/>
        </w:rPr>
      </w:pPr>
      <w:r w:rsidRPr="00632DBC">
        <w:rPr>
          <w:iCs/>
          <w:snapToGrid w:val="0"/>
          <w:kern w:val="22"/>
          <w:sz w:val="20"/>
          <w:szCs w:val="20"/>
        </w:rPr>
        <w:lastRenderedPageBreak/>
        <w:t>A.1</w:t>
      </w:r>
      <w:r w:rsidRPr="00632DBC">
        <w:rPr>
          <w:iCs/>
          <w:snapToGrid w:val="0"/>
          <w:kern w:val="22"/>
          <w:sz w:val="20"/>
          <w:szCs w:val="20"/>
        </w:rPr>
        <w:tab/>
        <w:t>Is the role of biodiversity and ecosystem functions for local livelihoods and resilience recognized in the selection, design and implementation of the mechanism?</w:t>
      </w:r>
    </w:p>
    <w:p w14:paraId="24AC57AB"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A.2</w:t>
      </w:r>
      <w:r w:rsidRPr="00632DBC">
        <w:rPr>
          <w:rFonts w:ascii="Times New Roman" w:hAnsi="Times New Roman"/>
          <w:iCs/>
          <w:snapToGrid w:val="0"/>
          <w:kern w:val="22"/>
          <w:sz w:val="20"/>
          <w:szCs w:val="20"/>
        </w:rPr>
        <w:tab/>
        <w:t>Are biodiversity’s intrinsic values recognized?</w:t>
      </w:r>
    </w:p>
    <w:p w14:paraId="02AC0E85"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b/>
          <w:iCs/>
          <w:snapToGrid w:val="0"/>
          <w:kern w:val="22"/>
          <w:sz w:val="20"/>
          <w:szCs w:val="20"/>
        </w:rPr>
      </w:pPr>
      <w:r w:rsidRPr="00632DBC">
        <w:rPr>
          <w:rFonts w:ascii="Times New Roman" w:hAnsi="Times New Roman"/>
          <w:b/>
          <w:iCs/>
          <w:snapToGrid w:val="0"/>
          <w:kern w:val="22"/>
          <w:sz w:val="20"/>
          <w:szCs w:val="20"/>
        </w:rPr>
        <w:t xml:space="preserve">Guideline B: </w:t>
      </w:r>
      <w:r w:rsidRPr="00632DBC">
        <w:rPr>
          <w:rFonts w:ascii="Times New Roman" w:eastAsia="Malgun Gothic" w:hAnsi="Times New Roman"/>
          <w:b/>
          <w:snapToGrid w:val="0"/>
          <w:kern w:val="22"/>
          <w:sz w:val="20"/>
          <w:szCs w:val="20"/>
          <w:lang w:eastAsia="x-none"/>
        </w:rPr>
        <w:t>Rights and responsibilities of actors and/or stakeholders in biodiversity financing mechanisms should be carefully defined, at national level, in a fair and equitable manner, with the effective participation of all actors concerned, including the free prior informed consent, prior informed consent or approval and involvement of indigenous peoples and local communities, taking into account, the Convention on Biological Diversity and its relevant decisions, guidance and principles and, as appropriate, the United Nations Declaration of the Rights of Indigenous Peoples.</w:t>
      </w:r>
    </w:p>
    <w:p w14:paraId="1DB5BE2A"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B.1</w:t>
      </w:r>
      <w:r w:rsidRPr="00632DBC">
        <w:rPr>
          <w:rFonts w:ascii="Times New Roman" w:hAnsi="Times New Roman"/>
          <w:iCs/>
          <w:snapToGrid w:val="0"/>
          <w:kern w:val="22"/>
          <w:sz w:val="20"/>
          <w:szCs w:val="20"/>
        </w:rPr>
        <w:tab/>
        <w:t>Are the rights and responsibilities of actors and/or stakeholders carefully and equitably defined?</w:t>
      </w:r>
    </w:p>
    <w:p w14:paraId="604D0D6D"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B.2</w:t>
      </w:r>
      <w:r w:rsidRPr="00632DBC">
        <w:rPr>
          <w:rFonts w:ascii="Times New Roman" w:hAnsi="Times New Roman"/>
          <w:iCs/>
          <w:snapToGrid w:val="0"/>
          <w:kern w:val="22"/>
          <w:sz w:val="20"/>
          <w:szCs w:val="20"/>
        </w:rPr>
        <w:tab/>
        <w:t>Has there been effective participation of all actors concerned in the definition of such roles and responsibilities?</w:t>
      </w:r>
    </w:p>
    <w:p w14:paraId="0708F9F9"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B.3</w:t>
      </w:r>
      <w:r w:rsidRPr="00632DBC">
        <w:rPr>
          <w:rFonts w:ascii="Times New Roman" w:hAnsi="Times New Roman"/>
          <w:iCs/>
          <w:snapToGrid w:val="0"/>
          <w:kern w:val="22"/>
          <w:sz w:val="20"/>
          <w:szCs w:val="20"/>
        </w:rPr>
        <w:tab/>
        <w:t>Has there been free prior informed consent, prior informed consent or approval and involvement of indigenous peoples and local communities in the definition of such roles and responsibilities?</w:t>
      </w:r>
    </w:p>
    <w:p w14:paraId="7E6A8418"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spacing w:val="-5"/>
          <w:kern w:val="22"/>
          <w:sz w:val="20"/>
          <w:szCs w:val="20"/>
        </w:rPr>
      </w:pPr>
      <w:r w:rsidRPr="00632DBC">
        <w:rPr>
          <w:rFonts w:ascii="Times New Roman" w:hAnsi="Times New Roman"/>
          <w:iCs/>
          <w:snapToGrid w:val="0"/>
          <w:spacing w:val="-5"/>
          <w:kern w:val="22"/>
          <w:sz w:val="20"/>
          <w:szCs w:val="20"/>
        </w:rPr>
        <w:t>B.4</w:t>
      </w:r>
      <w:r w:rsidRPr="00632DBC">
        <w:rPr>
          <w:rFonts w:ascii="Times New Roman" w:hAnsi="Times New Roman"/>
          <w:iCs/>
          <w:snapToGrid w:val="0"/>
          <w:spacing w:val="-5"/>
          <w:kern w:val="22"/>
          <w:sz w:val="20"/>
          <w:szCs w:val="20"/>
        </w:rPr>
        <w:tab/>
        <w:t>Has the mechanism considered the Convention on Biological Diversity and its relevant decisions, guidance and principles and, as appropriate, the United Nations Declaration on the Rights of Indigenous Peoples?</w:t>
      </w:r>
    </w:p>
    <w:p w14:paraId="575A873A"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b/>
          <w:iCs/>
          <w:snapToGrid w:val="0"/>
          <w:spacing w:val="-1"/>
          <w:kern w:val="22"/>
          <w:sz w:val="20"/>
          <w:szCs w:val="20"/>
        </w:rPr>
      </w:pPr>
      <w:r w:rsidRPr="00632DBC">
        <w:rPr>
          <w:rFonts w:ascii="Times New Roman" w:hAnsi="Times New Roman"/>
          <w:b/>
          <w:iCs/>
          <w:snapToGrid w:val="0"/>
          <w:spacing w:val="-1"/>
          <w:kern w:val="22"/>
          <w:sz w:val="20"/>
          <w:szCs w:val="20"/>
        </w:rPr>
        <w:t xml:space="preserve">Guideline C: </w:t>
      </w:r>
      <w:r w:rsidRPr="00632DBC">
        <w:rPr>
          <w:rFonts w:ascii="Times New Roman" w:eastAsia="Malgun Gothic" w:hAnsi="Times New Roman"/>
          <w:b/>
          <w:snapToGrid w:val="0"/>
          <w:spacing w:val="-1"/>
          <w:kern w:val="22"/>
          <w:sz w:val="20"/>
          <w:szCs w:val="20"/>
          <w:lang w:eastAsia="x-none"/>
        </w:rPr>
        <w:t>Safeguards in biodiversity financing mechanisms should be grounded in local circumstances, should be developed in consistency with relevant country-driven/specific processes as well as national legislation and priorities, and take into account relevant international agreements, declarations and guidance developed under the Convention on Biological Diversity and, as appropriate, the United Nations Framework Convention on Climate Change, international human rights treaties and the United Nations Declaration on the Rights of Indigenous Peoples, among others.</w:t>
      </w:r>
    </w:p>
    <w:p w14:paraId="4702954F"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C.1</w:t>
      </w:r>
      <w:r w:rsidRPr="00632DBC">
        <w:rPr>
          <w:rFonts w:ascii="Times New Roman" w:hAnsi="Times New Roman"/>
          <w:iCs/>
          <w:snapToGrid w:val="0"/>
          <w:kern w:val="22"/>
          <w:sz w:val="20"/>
          <w:szCs w:val="20"/>
        </w:rPr>
        <w:tab/>
        <w:t>Are the financing mechanism’s safeguards grounded in local circumstances?</w:t>
      </w:r>
    </w:p>
    <w:p w14:paraId="4926DE5A"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C.2</w:t>
      </w:r>
      <w:r w:rsidRPr="00632DBC">
        <w:rPr>
          <w:rFonts w:ascii="Times New Roman" w:hAnsi="Times New Roman"/>
          <w:iCs/>
          <w:snapToGrid w:val="0"/>
          <w:kern w:val="22"/>
          <w:sz w:val="20"/>
          <w:szCs w:val="20"/>
        </w:rPr>
        <w:tab/>
        <w:t>Are safeguards consistent with relevant country-driven/specific processes as well as national legislation and priorities?</w:t>
      </w:r>
    </w:p>
    <w:p w14:paraId="732CF6B0"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C.3</w:t>
      </w:r>
      <w:r w:rsidRPr="00632DBC">
        <w:rPr>
          <w:rFonts w:ascii="Times New Roman" w:hAnsi="Times New Roman"/>
          <w:iCs/>
          <w:snapToGrid w:val="0"/>
          <w:kern w:val="22"/>
          <w:sz w:val="20"/>
          <w:szCs w:val="20"/>
        </w:rPr>
        <w:tab/>
        <w:t>Do they consider the instruments mentioned in point B.4 and the United Nations Framework Convention on Climate Change, international human rights treaties and others, as appropriate?</w:t>
      </w:r>
    </w:p>
    <w:p w14:paraId="1F00AF88"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b/>
          <w:iCs/>
          <w:snapToGrid w:val="0"/>
          <w:spacing w:val="-5"/>
          <w:kern w:val="22"/>
          <w:sz w:val="20"/>
          <w:szCs w:val="20"/>
        </w:rPr>
      </w:pPr>
      <w:r w:rsidRPr="00632DBC">
        <w:rPr>
          <w:rFonts w:ascii="Times New Roman" w:hAnsi="Times New Roman"/>
          <w:b/>
          <w:iCs/>
          <w:snapToGrid w:val="0"/>
          <w:spacing w:val="-5"/>
          <w:kern w:val="22"/>
          <w:sz w:val="20"/>
          <w:szCs w:val="20"/>
        </w:rPr>
        <w:t xml:space="preserve">Guideline D: </w:t>
      </w:r>
      <w:r w:rsidRPr="00632DBC">
        <w:rPr>
          <w:rFonts w:ascii="Times New Roman" w:eastAsia="Malgun Gothic" w:hAnsi="Times New Roman"/>
          <w:b/>
          <w:snapToGrid w:val="0"/>
          <w:spacing w:val="-5"/>
          <w:kern w:val="22"/>
          <w:sz w:val="20"/>
          <w:szCs w:val="20"/>
        </w:rPr>
        <w:t>Appropriate and effective institutional frameworks are of utmost importance for safeguards to be operational and should be put in place, including enforcement and evaluation mechanisms that will ensure transparency and accountability, as well as compliance with relevant safeguards.</w:t>
      </w:r>
    </w:p>
    <w:p w14:paraId="785AB5F7"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D.1</w:t>
      </w:r>
      <w:r w:rsidRPr="00632DBC">
        <w:rPr>
          <w:rFonts w:ascii="Times New Roman" w:hAnsi="Times New Roman"/>
          <w:iCs/>
          <w:snapToGrid w:val="0"/>
          <w:kern w:val="22"/>
          <w:sz w:val="20"/>
          <w:szCs w:val="20"/>
        </w:rPr>
        <w:tab/>
        <w:t>Are appropriate and effective institutional frameworks in place to ensure application of the safeguards?</w:t>
      </w:r>
    </w:p>
    <w:p w14:paraId="4B03C276"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D.2</w:t>
      </w:r>
      <w:r w:rsidRPr="00632DBC">
        <w:rPr>
          <w:rFonts w:ascii="Times New Roman" w:hAnsi="Times New Roman"/>
          <w:iCs/>
          <w:snapToGrid w:val="0"/>
          <w:kern w:val="22"/>
          <w:sz w:val="20"/>
          <w:szCs w:val="20"/>
        </w:rPr>
        <w:tab/>
        <w:t>Does the safeguard system include enforcement and evaluation mechanisms?</w:t>
      </w:r>
    </w:p>
    <w:p w14:paraId="6A47FAE9"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D.3</w:t>
      </w:r>
      <w:r w:rsidRPr="00632DBC">
        <w:rPr>
          <w:rFonts w:ascii="Times New Roman" w:hAnsi="Times New Roman"/>
          <w:iCs/>
          <w:snapToGrid w:val="0"/>
          <w:kern w:val="22"/>
          <w:sz w:val="20"/>
          <w:szCs w:val="20"/>
        </w:rPr>
        <w:tab/>
        <w:t>Are requirements of transparency and accountability included?</w:t>
      </w:r>
    </w:p>
    <w:p w14:paraId="6671B8E0" w14:textId="77777777" w:rsidR="00173541" w:rsidRPr="00632DBC" w:rsidRDefault="00173541" w:rsidP="00173541">
      <w:pPr>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120" w:after="120"/>
        <w:rPr>
          <w:rFonts w:ascii="Times New Roman" w:hAnsi="Times New Roman"/>
          <w:iCs/>
          <w:snapToGrid w:val="0"/>
          <w:kern w:val="22"/>
          <w:sz w:val="20"/>
          <w:szCs w:val="20"/>
        </w:rPr>
      </w:pPr>
      <w:r w:rsidRPr="00632DBC">
        <w:rPr>
          <w:rFonts w:ascii="Times New Roman" w:hAnsi="Times New Roman"/>
          <w:iCs/>
          <w:snapToGrid w:val="0"/>
          <w:kern w:val="22"/>
          <w:sz w:val="20"/>
          <w:szCs w:val="20"/>
        </w:rPr>
        <w:t>D.4</w:t>
      </w:r>
      <w:r w:rsidRPr="00632DBC">
        <w:rPr>
          <w:rFonts w:ascii="Times New Roman" w:hAnsi="Times New Roman"/>
          <w:iCs/>
          <w:snapToGrid w:val="0"/>
          <w:kern w:val="22"/>
          <w:sz w:val="20"/>
          <w:szCs w:val="20"/>
        </w:rPr>
        <w:tab/>
        <w:t>Are all stakeholders involved complying with relevant safeguards?</w:t>
      </w:r>
    </w:p>
    <w:p w14:paraId="33CE495C" w14:textId="77777777" w:rsidR="00173541" w:rsidRPr="00632DBC" w:rsidRDefault="00173541" w:rsidP="00173541">
      <w:pPr>
        <w:pStyle w:val="Para1"/>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ind w:left="0" w:firstLine="0"/>
        <w:rPr>
          <w:rFonts w:ascii="Times New Roman" w:hAnsi="Times New Roman"/>
          <w:b/>
          <w:kern w:val="22"/>
          <w:szCs w:val="20"/>
        </w:rPr>
      </w:pPr>
      <w:r w:rsidRPr="00632DBC">
        <w:rPr>
          <w:rFonts w:ascii="Times New Roman" w:hAnsi="Times New Roman"/>
          <w:b/>
          <w:kern w:val="22"/>
          <w:szCs w:val="20"/>
        </w:rPr>
        <w:t>Additional questions elaborated from the relevant decisions, guidance and principles under the Convention on Biological Diversity would include the following:</w:t>
      </w:r>
    </w:p>
    <w:p w14:paraId="0BE11C0D" w14:textId="77777777" w:rsidR="00173541" w:rsidRPr="00632DBC" w:rsidRDefault="00173541" w:rsidP="003966BA">
      <w:pPr>
        <w:pStyle w:val="Para1"/>
        <w:numPr>
          <w:ilvl w:val="0"/>
          <w:numId w:val="43"/>
        </w:numPr>
        <w:suppressLineNumbers/>
        <w:pBdr>
          <w:top w:val="single" w:sz="4" w:space="1" w:color="auto"/>
          <w:left w:val="single" w:sz="4" w:space="4" w:color="auto"/>
          <w:bottom w:val="single" w:sz="4" w:space="1" w:color="auto"/>
          <w:right w:val="single" w:sz="4" w:space="4" w:color="auto"/>
        </w:pBdr>
        <w:tabs>
          <w:tab w:val="clear" w:pos="720"/>
        </w:tabs>
        <w:suppressAutoHyphens/>
        <w:kinsoku w:val="0"/>
        <w:overflowPunct w:val="0"/>
        <w:autoSpaceDE w:val="0"/>
        <w:autoSpaceDN w:val="0"/>
        <w:adjustRightInd w:val="0"/>
        <w:snapToGrid w:val="0"/>
        <w:spacing w:before="120" w:line="240" w:lineRule="auto"/>
        <w:ind w:left="720" w:hanging="720"/>
        <w:rPr>
          <w:rFonts w:ascii="Times New Roman" w:hAnsi="Times New Roman"/>
          <w:kern w:val="22"/>
          <w:szCs w:val="20"/>
        </w:rPr>
      </w:pPr>
      <w:r w:rsidRPr="00632DBC">
        <w:rPr>
          <w:rFonts w:ascii="Times New Roman" w:hAnsi="Times New Roman"/>
          <w:kern w:val="22"/>
          <w:szCs w:val="20"/>
        </w:rPr>
        <w:t>Are there provisions to promote equity, or reduce risks of inequity, in benefit-sharing?</w:t>
      </w:r>
    </w:p>
    <w:p w14:paraId="55FDD917" w14:textId="77777777" w:rsidR="00173541" w:rsidRPr="00632DBC" w:rsidRDefault="00173541" w:rsidP="003966BA">
      <w:pPr>
        <w:pStyle w:val="Para1"/>
        <w:numPr>
          <w:ilvl w:val="0"/>
          <w:numId w:val="43"/>
        </w:numPr>
        <w:suppressLineNumbers/>
        <w:pBdr>
          <w:top w:val="single" w:sz="4" w:space="1" w:color="auto"/>
          <w:left w:val="single" w:sz="4" w:space="4" w:color="auto"/>
          <w:bottom w:val="single" w:sz="4" w:space="1" w:color="auto"/>
          <w:right w:val="single" w:sz="4" w:space="4" w:color="auto"/>
        </w:pBdr>
        <w:tabs>
          <w:tab w:val="clear" w:pos="720"/>
        </w:tabs>
        <w:suppressAutoHyphens/>
        <w:kinsoku w:val="0"/>
        <w:overflowPunct w:val="0"/>
        <w:autoSpaceDE w:val="0"/>
        <w:autoSpaceDN w:val="0"/>
        <w:adjustRightInd w:val="0"/>
        <w:snapToGrid w:val="0"/>
        <w:spacing w:before="120" w:line="240" w:lineRule="auto"/>
        <w:ind w:left="720" w:hanging="720"/>
        <w:rPr>
          <w:rFonts w:ascii="Times New Roman" w:hAnsi="Times New Roman"/>
          <w:kern w:val="22"/>
          <w:szCs w:val="20"/>
        </w:rPr>
      </w:pPr>
      <w:r w:rsidRPr="00632DBC">
        <w:rPr>
          <w:rFonts w:ascii="Times New Roman" w:hAnsi="Times New Roman"/>
          <w:kern w:val="22"/>
          <w:szCs w:val="20"/>
        </w:rPr>
        <w:t>Are cultural impact assessment procedures included in safeguard instruments? Do they specifically include respect for the spiritual values of indigenous peoples and local communities?</w:t>
      </w:r>
    </w:p>
    <w:p w14:paraId="067E344E" w14:textId="77777777" w:rsidR="00173541" w:rsidRPr="00632DBC" w:rsidRDefault="00173541" w:rsidP="003966BA">
      <w:pPr>
        <w:pStyle w:val="Para1"/>
        <w:numPr>
          <w:ilvl w:val="0"/>
          <w:numId w:val="43"/>
        </w:numPr>
        <w:suppressLineNumbers/>
        <w:pBdr>
          <w:top w:val="single" w:sz="4" w:space="1" w:color="auto"/>
          <w:left w:val="single" w:sz="4" w:space="4" w:color="auto"/>
          <w:bottom w:val="single" w:sz="4" w:space="1" w:color="auto"/>
          <w:right w:val="single" w:sz="4" w:space="4" w:color="auto"/>
        </w:pBdr>
        <w:tabs>
          <w:tab w:val="clear" w:pos="720"/>
        </w:tabs>
        <w:suppressAutoHyphens/>
        <w:kinsoku w:val="0"/>
        <w:overflowPunct w:val="0"/>
        <w:autoSpaceDE w:val="0"/>
        <w:autoSpaceDN w:val="0"/>
        <w:adjustRightInd w:val="0"/>
        <w:snapToGrid w:val="0"/>
        <w:spacing w:before="120" w:line="240" w:lineRule="auto"/>
        <w:ind w:left="720" w:hanging="720"/>
        <w:rPr>
          <w:rFonts w:ascii="Times New Roman" w:hAnsi="Times New Roman"/>
          <w:kern w:val="22"/>
          <w:szCs w:val="20"/>
        </w:rPr>
      </w:pPr>
      <w:r w:rsidRPr="00632DBC">
        <w:rPr>
          <w:rFonts w:ascii="Times New Roman" w:hAnsi="Times New Roman"/>
          <w:kern w:val="22"/>
          <w:szCs w:val="20"/>
        </w:rPr>
        <w:t>Is customary use considered in avoidance of risks?</w:t>
      </w:r>
    </w:p>
    <w:p w14:paraId="32A94BDC" w14:textId="77777777" w:rsidR="00173541" w:rsidRPr="00632DBC" w:rsidRDefault="00173541" w:rsidP="003966BA">
      <w:pPr>
        <w:pStyle w:val="Para1"/>
        <w:numPr>
          <w:ilvl w:val="0"/>
          <w:numId w:val="43"/>
        </w:numPr>
        <w:suppressLineNumbers/>
        <w:pBdr>
          <w:top w:val="single" w:sz="4" w:space="1" w:color="auto"/>
          <w:left w:val="single" w:sz="4" w:space="4" w:color="auto"/>
          <w:bottom w:val="single" w:sz="4" w:space="1" w:color="auto"/>
          <w:right w:val="single" w:sz="4" w:space="4" w:color="auto"/>
        </w:pBdr>
        <w:tabs>
          <w:tab w:val="clear" w:pos="720"/>
        </w:tabs>
        <w:suppressAutoHyphens/>
        <w:kinsoku w:val="0"/>
        <w:overflowPunct w:val="0"/>
        <w:autoSpaceDE w:val="0"/>
        <w:autoSpaceDN w:val="0"/>
        <w:adjustRightInd w:val="0"/>
        <w:snapToGrid w:val="0"/>
        <w:spacing w:before="120" w:line="240" w:lineRule="auto"/>
        <w:ind w:left="720" w:hanging="720"/>
        <w:rPr>
          <w:rFonts w:ascii="Times New Roman" w:hAnsi="Times New Roman"/>
          <w:kern w:val="22"/>
          <w:szCs w:val="20"/>
        </w:rPr>
      </w:pPr>
      <w:r w:rsidRPr="00632DBC">
        <w:rPr>
          <w:rFonts w:ascii="Times New Roman" w:hAnsi="Times New Roman"/>
          <w:kern w:val="22"/>
          <w:szCs w:val="20"/>
        </w:rPr>
        <w:lastRenderedPageBreak/>
        <w:t>Are there safeguards in relation to the traditional knowledge of indigenous peoples and local communities, especially regarding the protection of their knowledge rights?</w:t>
      </w:r>
    </w:p>
    <w:p w14:paraId="408EA731" w14:textId="77777777" w:rsidR="00173541" w:rsidRPr="00632DBC" w:rsidRDefault="00173541" w:rsidP="00760123">
      <w:pPr>
        <w:pStyle w:val="Default"/>
        <w:rPr>
          <w:color w:val="auto"/>
          <w:lang w:val="en-GB"/>
        </w:rPr>
      </w:pPr>
    </w:p>
    <w:p w14:paraId="132FF047" w14:textId="688C8864" w:rsidR="00760123" w:rsidRPr="00632DBC" w:rsidRDefault="00760123" w:rsidP="00760123">
      <w:pPr>
        <w:autoSpaceDE w:val="0"/>
        <w:autoSpaceDN w:val="0"/>
        <w:adjustRightInd w:val="0"/>
        <w:spacing w:after="0" w:line="240" w:lineRule="auto"/>
        <w:rPr>
          <w:rFonts w:ascii="Times New Roman" w:hAnsi="Times New Roman"/>
        </w:rPr>
      </w:pPr>
      <w:r w:rsidRPr="00632DBC">
        <w:rPr>
          <w:rFonts w:ascii="Times New Roman" w:hAnsi="Times New Roman"/>
        </w:rPr>
        <w:t>Submissions received by the Executive Secretary (See</w:t>
      </w:r>
      <w:r w:rsidR="00C05CB5" w:rsidRPr="00632DBC">
        <w:rPr>
          <w:rFonts w:ascii="Times New Roman" w:hAnsi="Times New Roman"/>
        </w:rPr>
        <w:t xml:space="preserve"> </w:t>
      </w:r>
      <w:r w:rsidRPr="00632DBC">
        <w:rPr>
          <w:rFonts w:ascii="Times New Roman" w:hAnsi="Times New Roman"/>
        </w:rPr>
        <w:t>Table xx), highlight issues with a broader scope such as identifying synergies between the CBD guidelines for safeguards in BFMs and 2030 Agenda for Sustainable Development and incorporating a gender perspective.</w:t>
      </w:r>
    </w:p>
    <w:p w14:paraId="3121870C" w14:textId="77777777" w:rsidR="00760123" w:rsidRPr="00632DBC" w:rsidRDefault="00760123" w:rsidP="00760123">
      <w:pPr>
        <w:autoSpaceDE w:val="0"/>
        <w:autoSpaceDN w:val="0"/>
        <w:adjustRightInd w:val="0"/>
        <w:spacing w:after="0" w:line="240" w:lineRule="auto"/>
        <w:rPr>
          <w:rFonts w:ascii="Times New Roman" w:hAnsi="Times New Roman"/>
          <w:sz w:val="24"/>
        </w:rPr>
      </w:pPr>
    </w:p>
    <w:p w14:paraId="6E469420" w14:textId="77777777" w:rsidR="00760123" w:rsidRPr="00632DBC" w:rsidRDefault="00760123" w:rsidP="00760123">
      <w:pPr>
        <w:autoSpaceDE w:val="0"/>
        <w:autoSpaceDN w:val="0"/>
        <w:adjustRightInd w:val="0"/>
        <w:spacing w:after="0" w:line="240" w:lineRule="auto"/>
        <w:rPr>
          <w:rFonts w:ascii="Times New Roman" w:hAnsi="Times New Roman"/>
          <w:sz w:val="24"/>
        </w:rPr>
      </w:pPr>
    </w:p>
    <w:p w14:paraId="24AD7561" w14:textId="28E2C29D" w:rsidR="00760123" w:rsidRPr="00632DBC" w:rsidRDefault="00F16E32" w:rsidP="00274E4B">
      <w:pPr>
        <w:pStyle w:val="Caption"/>
      </w:pPr>
      <w:r w:rsidRPr="00632DBC">
        <w:t>Table</w:t>
      </w:r>
      <w:r w:rsidR="00C05CB5" w:rsidRPr="00632DBC">
        <w:t xml:space="preserve"> </w:t>
      </w:r>
      <w:r w:rsidRPr="00632DBC">
        <w:t>XX</w:t>
      </w:r>
      <w:r w:rsidR="00760123" w:rsidRPr="00632DBC">
        <w:t>.  Overview of submissions on the voluntary guidelines on safeguards in biodiversity financing mechanisms for both WG8J 10th and SBI2, and relation with the guidelines-related development in the present report.</w:t>
      </w:r>
    </w:p>
    <w:p w14:paraId="136C5A3A" w14:textId="77777777" w:rsidR="00F16E32" w:rsidRPr="00632DBC" w:rsidRDefault="00F16E32" w:rsidP="00274E4B"/>
    <w:tbl>
      <w:tblPr>
        <w:tblStyle w:val="TableGrid"/>
        <w:tblW w:w="0" w:type="auto"/>
        <w:tblLayout w:type="fixed"/>
        <w:tblLook w:val="04A0" w:firstRow="1" w:lastRow="0" w:firstColumn="1" w:lastColumn="0" w:noHBand="0" w:noVBand="1"/>
      </w:tblPr>
      <w:tblGrid>
        <w:gridCol w:w="1980"/>
        <w:gridCol w:w="3402"/>
        <w:gridCol w:w="3680"/>
      </w:tblGrid>
      <w:tr w:rsidR="00633A71" w:rsidRPr="00632DBC" w14:paraId="0E34ADEE" w14:textId="77777777" w:rsidTr="003966BA">
        <w:tc>
          <w:tcPr>
            <w:tcW w:w="1980" w:type="dxa"/>
          </w:tcPr>
          <w:p w14:paraId="2D7CD77E" w14:textId="77777777" w:rsidR="00760123" w:rsidRPr="00632DBC" w:rsidRDefault="00760123" w:rsidP="00F16E32">
            <w:pPr>
              <w:autoSpaceDE w:val="0"/>
              <w:autoSpaceDN w:val="0"/>
              <w:adjustRightInd w:val="0"/>
              <w:jc w:val="center"/>
              <w:rPr>
                <w:rFonts w:ascii="Arial" w:hAnsi="Arial" w:cs="Arial"/>
                <w:b/>
                <w:sz w:val="16"/>
                <w:szCs w:val="16"/>
              </w:rPr>
            </w:pPr>
            <w:r w:rsidRPr="00632DBC">
              <w:rPr>
                <w:rFonts w:ascii="Arial" w:hAnsi="Arial" w:cs="Arial"/>
                <w:b/>
                <w:sz w:val="16"/>
                <w:szCs w:val="16"/>
              </w:rPr>
              <w:t>Submissions to the SCBD by Parties and relevant stakeholders to WG(8j)</w:t>
            </w:r>
          </w:p>
        </w:tc>
        <w:tc>
          <w:tcPr>
            <w:tcW w:w="3402" w:type="dxa"/>
          </w:tcPr>
          <w:p w14:paraId="2963BAAA" w14:textId="77777777" w:rsidR="00760123" w:rsidRPr="00632DBC" w:rsidRDefault="00760123" w:rsidP="00F16E32">
            <w:pPr>
              <w:pStyle w:val="Default"/>
              <w:jc w:val="center"/>
              <w:rPr>
                <w:rFonts w:ascii="Arial" w:hAnsi="Arial" w:cs="Arial"/>
                <w:b/>
                <w:color w:val="auto"/>
                <w:sz w:val="16"/>
                <w:szCs w:val="16"/>
                <w:lang w:val="en-GB"/>
              </w:rPr>
            </w:pPr>
            <w:r w:rsidRPr="00632DBC">
              <w:rPr>
                <w:rFonts w:ascii="Arial" w:hAnsi="Arial" w:cs="Arial"/>
                <w:b/>
                <w:color w:val="auto"/>
                <w:sz w:val="16"/>
                <w:szCs w:val="16"/>
                <w:lang w:val="en-GB"/>
              </w:rPr>
              <w:t xml:space="preserve">Synthesis of </w:t>
            </w:r>
            <w:proofErr w:type="gramStart"/>
            <w:r w:rsidRPr="00632DBC">
              <w:rPr>
                <w:rFonts w:ascii="Arial" w:hAnsi="Arial" w:cs="Arial"/>
                <w:b/>
                <w:color w:val="auto"/>
                <w:sz w:val="16"/>
                <w:szCs w:val="16"/>
                <w:lang w:val="en-GB"/>
              </w:rPr>
              <w:t>inputs  (</w:t>
            </w:r>
            <w:proofErr w:type="gramEnd"/>
            <w:r w:rsidRPr="00632DBC">
              <w:rPr>
                <w:rFonts w:ascii="Arial" w:hAnsi="Arial" w:cs="Arial"/>
                <w:b/>
                <w:color w:val="auto"/>
                <w:sz w:val="16"/>
                <w:szCs w:val="16"/>
                <w:lang w:val="en-GB"/>
              </w:rPr>
              <w:t>see also CBD/WG8J/10/6)</w:t>
            </w:r>
          </w:p>
        </w:tc>
        <w:tc>
          <w:tcPr>
            <w:tcW w:w="3680" w:type="dxa"/>
          </w:tcPr>
          <w:p w14:paraId="71FCE6F1" w14:textId="7FB228B5" w:rsidR="00760123" w:rsidRPr="00632DBC" w:rsidRDefault="00173541" w:rsidP="00F16E32">
            <w:pPr>
              <w:autoSpaceDE w:val="0"/>
              <w:autoSpaceDN w:val="0"/>
              <w:adjustRightInd w:val="0"/>
              <w:jc w:val="center"/>
              <w:rPr>
                <w:rFonts w:ascii="Arial" w:hAnsi="Arial" w:cs="Arial"/>
                <w:b/>
                <w:sz w:val="16"/>
                <w:szCs w:val="16"/>
              </w:rPr>
            </w:pPr>
            <w:r w:rsidRPr="00632DBC">
              <w:rPr>
                <w:rFonts w:ascii="Arial" w:hAnsi="Arial" w:cs="Arial"/>
                <w:b/>
                <w:sz w:val="16"/>
                <w:szCs w:val="16"/>
              </w:rPr>
              <w:t>Incorporation of comments in this publication</w:t>
            </w:r>
          </w:p>
        </w:tc>
      </w:tr>
      <w:tr w:rsidR="00633A71" w:rsidRPr="00632DBC" w14:paraId="1B4793F8" w14:textId="77777777" w:rsidTr="003966BA">
        <w:tc>
          <w:tcPr>
            <w:tcW w:w="1980" w:type="dxa"/>
            <w:vAlign w:val="center"/>
          </w:tcPr>
          <w:p w14:paraId="1601390A" w14:textId="77777777" w:rsidR="00760123" w:rsidRPr="00632DBC" w:rsidRDefault="00760123" w:rsidP="00F16E32">
            <w:pPr>
              <w:autoSpaceDE w:val="0"/>
              <w:autoSpaceDN w:val="0"/>
              <w:adjustRightInd w:val="0"/>
              <w:rPr>
                <w:rFonts w:ascii="Arial" w:hAnsi="Arial" w:cs="Arial"/>
                <w:sz w:val="18"/>
                <w:szCs w:val="18"/>
              </w:rPr>
            </w:pPr>
            <w:r w:rsidRPr="00632DBC">
              <w:rPr>
                <w:rFonts w:ascii="Arial" w:hAnsi="Arial" w:cs="Arial"/>
                <w:sz w:val="18"/>
                <w:szCs w:val="18"/>
              </w:rPr>
              <w:t>European Union and its Member States</w:t>
            </w:r>
          </w:p>
        </w:tc>
        <w:tc>
          <w:tcPr>
            <w:tcW w:w="3402" w:type="dxa"/>
          </w:tcPr>
          <w:p w14:paraId="47F5E33D"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Voluntary guidelines for safeguards in BFM need to be piloted and implemented.</w:t>
            </w:r>
          </w:p>
        </w:tc>
        <w:tc>
          <w:tcPr>
            <w:tcW w:w="3680" w:type="dxa"/>
          </w:tcPr>
          <w:p w14:paraId="3F1B7440"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Case studies with examples of how the CBD guidelines for safeguards can be operationalized.</w:t>
            </w:r>
          </w:p>
        </w:tc>
      </w:tr>
      <w:tr w:rsidR="00633A71" w:rsidRPr="00632DBC" w14:paraId="1EC1F3B4" w14:textId="77777777" w:rsidTr="003966BA">
        <w:tc>
          <w:tcPr>
            <w:tcW w:w="1980" w:type="dxa"/>
            <w:vMerge w:val="restart"/>
            <w:vAlign w:val="center"/>
          </w:tcPr>
          <w:p w14:paraId="240446F8" w14:textId="77777777" w:rsidR="00760123" w:rsidRPr="00632DBC" w:rsidRDefault="00760123" w:rsidP="00F16E32">
            <w:pPr>
              <w:autoSpaceDE w:val="0"/>
              <w:autoSpaceDN w:val="0"/>
              <w:adjustRightInd w:val="0"/>
              <w:rPr>
                <w:rFonts w:ascii="Arial" w:hAnsi="Arial" w:cs="Arial"/>
                <w:sz w:val="18"/>
                <w:szCs w:val="18"/>
              </w:rPr>
            </w:pPr>
            <w:r w:rsidRPr="00632DBC">
              <w:rPr>
                <w:rFonts w:ascii="Arial" w:hAnsi="Arial" w:cs="Arial"/>
                <w:sz w:val="18"/>
                <w:szCs w:val="18"/>
              </w:rPr>
              <w:t xml:space="preserve">Sweden </w:t>
            </w:r>
          </w:p>
        </w:tc>
        <w:tc>
          <w:tcPr>
            <w:tcW w:w="3402" w:type="dxa"/>
          </w:tcPr>
          <w:p w14:paraId="53236292"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The 2030 Agenda for Sustainable Development is an opportunity to strengthen policy coherence putting sustainability, human rights and the perspective of poor people at the centre.</w:t>
            </w:r>
          </w:p>
        </w:tc>
        <w:tc>
          <w:tcPr>
            <w:tcW w:w="3680" w:type="dxa"/>
            <w:vMerge w:val="restart"/>
          </w:tcPr>
          <w:p w14:paraId="0F896A03" w14:textId="41CDDC91"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Guideline c refer</w:t>
            </w:r>
            <w:r w:rsidR="0049176C" w:rsidRPr="00632DBC">
              <w:rPr>
                <w:rFonts w:ascii="Arial" w:hAnsi="Arial" w:cs="Arial"/>
                <w:sz w:val="16"/>
                <w:szCs w:val="16"/>
              </w:rPr>
              <w:t>s</w:t>
            </w:r>
            <w:r w:rsidRPr="00632DBC">
              <w:rPr>
                <w:rFonts w:ascii="Arial" w:hAnsi="Arial" w:cs="Arial"/>
                <w:sz w:val="16"/>
                <w:szCs w:val="16"/>
              </w:rPr>
              <w:t xml:space="preserve"> explicitly to international agreements such as the international human rights treaties and the roadmap calls for fostering synergies </w:t>
            </w:r>
            <w:proofErr w:type="gramStart"/>
            <w:r w:rsidRPr="00632DBC">
              <w:rPr>
                <w:rFonts w:ascii="Arial" w:hAnsi="Arial" w:cs="Arial"/>
                <w:sz w:val="16"/>
                <w:szCs w:val="16"/>
              </w:rPr>
              <w:t>with  2030</w:t>
            </w:r>
            <w:proofErr w:type="gramEnd"/>
            <w:r w:rsidRPr="00632DBC">
              <w:rPr>
                <w:rFonts w:ascii="Arial" w:hAnsi="Arial" w:cs="Arial"/>
                <w:sz w:val="16"/>
                <w:szCs w:val="16"/>
              </w:rPr>
              <w:t xml:space="preserve"> Agenda for Sustainable Development</w:t>
            </w:r>
          </w:p>
          <w:p w14:paraId="25B4A8F1" w14:textId="77777777" w:rsidR="00760123" w:rsidRPr="00632DBC" w:rsidRDefault="00760123" w:rsidP="00F16E32">
            <w:pPr>
              <w:autoSpaceDE w:val="0"/>
              <w:autoSpaceDN w:val="0"/>
              <w:adjustRightInd w:val="0"/>
              <w:rPr>
                <w:rFonts w:ascii="Arial" w:hAnsi="Arial" w:cs="Arial"/>
                <w:sz w:val="16"/>
                <w:szCs w:val="16"/>
              </w:rPr>
            </w:pPr>
          </w:p>
        </w:tc>
      </w:tr>
      <w:tr w:rsidR="00633A71" w:rsidRPr="00632DBC" w14:paraId="3EF3CDC7" w14:textId="77777777" w:rsidTr="003966BA">
        <w:tc>
          <w:tcPr>
            <w:tcW w:w="1980" w:type="dxa"/>
            <w:vMerge/>
            <w:vAlign w:val="center"/>
          </w:tcPr>
          <w:p w14:paraId="11AF052E" w14:textId="77777777" w:rsidR="00760123" w:rsidRPr="00632DBC" w:rsidRDefault="00760123" w:rsidP="00F16E32">
            <w:pPr>
              <w:autoSpaceDE w:val="0"/>
              <w:autoSpaceDN w:val="0"/>
              <w:adjustRightInd w:val="0"/>
              <w:rPr>
                <w:rFonts w:ascii="Arial" w:hAnsi="Arial" w:cs="Arial"/>
                <w:sz w:val="18"/>
                <w:szCs w:val="18"/>
              </w:rPr>
            </w:pPr>
          </w:p>
        </w:tc>
        <w:tc>
          <w:tcPr>
            <w:tcW w:w="3402" w:type="dxa"/>
          </w:tcPr>
          <w:p w14:paraId="02665F73"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Sweden’s Sami Parliament finds 2030 Agenda to have a common ground with the voluntary guidelines </w:t>
            </w:r>
          </w:p>
        </w:tc>
        <w:tc>
          <w:tcPr>
            <w:tcW w:w="3680" w:type="dxa"/>
            <w:vMerge/>
          </w:tcPr>
          <w:p w14:paraId="2C6878EC" w14:textId="77777777" w:rsidR="00760123" w:rsidRPr="00632DBC" w:rsidRDefault="00760123" w:rsidP="00F16E32">
            <w:pPr>
              <w:autoSpaceDE w:val="0"/>
              <w:autoSpaceDN w:val="0"/>
              <w:adjustRightInd w:val="0"/>
              <w:rPr>
                <w:rFonts w:ascii="Arial" w:hAnsi="Arial" w:cs="Arial"/>
                <w:sz w:val="16"/>
                <w:szCs w:val="16"/>
              </w:rPr>
            </w:pPr>
          </w:p>
        </w:tc>
      </w:tr>
      <w:tr w:rsidR="00633A71" w:rsidRPr="00632DBC" w14:paraId="2E5EB5FD" w14:textId="77777777" w:rsidTr="003966BA">
        <w:tc>
          <w:tcPr>
            <w:tcW w:w="1980" w:type="dxa"/>
            <w:vMerge w:val="restart"/>
            <w:vAlign w:val="center"/>
          </w:tcPr>
          <w:p w14:paraId="2A2A262F" w14:textId="77777777" w:rsidR="00760123" w:rsidRPr="00632DBC" w:rsidRDefault="00760123" w:rsidP="00F16E32">
            <w:pPr>
              <w:autoSpaceDE w:val="0"/>
              <w:autoSpaceDN w:val="0"/>
              <w:adjustRightInd w:val="0"/>
              <w:rPr>
                <w:rFonts w:ascii="Arial" w:hAnsi="Arial" w:cs="Arial"/>
                <w:sz w:val="18"/>
                <w:szCs w:val="18"/>
              </w:rPr>
            </w:pPr>
          </w:p>
          <w:p w14:paraId="2E079937" w14:textId="77777777" w:rsidR="00760123" w:rsidRPr="00632DBC" w:rsidRDefault="00760123" w:rsidP="00F16E32">
            <w:pPr>
              <w:autoSpaceDE w:val="0"/>
              <w:autoSpaceDN w:val="0"/>
              <w:adjustRightInd w:val="0"/>
              <w:rPr>
                <w:rFonts w:ascii="Arial" w:hAnsi="Arial" w:cs="Arial"/>
                <w:sz w:val="18"/>
                <w:szCs w:val="18"/>
              </w:rPr>
            </w:pPr>
            <w:r w:rsidRPr="00632DBC">
              <w:rPr>
                <w:rFonts w:ascii="Arial" w:hAnsi="Arial" w:cs="Arial"/>
                <w:sz w:val="18"/>
                <w:szCs w:val="18"/>
              </w:rPr>
              <w:t xml:space="preserve">The Forest Peoples Programme and several IIFB member organizations </w:t>
            </w:r>
          </w:p>
          <w:p w14:paraId="748D9909" w14:textId="77777777" w:rsidR="00760123" w:rsidRPr="00632DBC" w:rsidRDefault="00760123" w:rsidP="00F16E32">
            <w:pPr>
              <w:autoSpaceDE w:val="0"/>
              <w:autoSpaceDN w:val="0"/>
              <w:adjustRightInd w:val="0"/>
              <w:rPr>
                <w:rFonts w:ascii="Arial" w:hAnsi="Arial" w:cs="Arial"/>
                <w:sz w:val="18"/>
                <w:szCs w:val="18"/>
              </w:rPr>
            </w:pPr>
          </w:p>
        </w:tc>
        <w:tc>
          <w:tcPr>
            <w:tcW w:w="3402" w:type="dxa"/>
          </w:tcPr>
          <w:p w14:paraId="7734E81A"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(a) to provide clear and transparent information </w:t>
            </w:r>
          </w:p>
        </w:tc>
        <w:tc>
          <w:tcPr>
            <w:tcW w:w="3680" w:type="dxa"/>
          </w:tcPr>
          <w:p w14:paraId="43B914C6"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Included in the guideline b as FPIC</w:t>
            </w:r>
          </w:p>
        </w:tc>
      </w:tr>
      <w:tr w:rsidR="00633A71" w:rsidRPr="00632DBC" w14:paraId="6A2CE587" w14:textId="77777777" w:rsidTr="003966BA">
        <w:tc>
          <w:tcPr>
            <w:tcW w:w="1980" w:type="dxa"/>
            <w:vMerge/>
            <w:vAlign w:val="center"/>
          </w:tcPr>
          <w:p w14:paraId="02787E62" w14:textId="77777777" w:rsidR="00760123" w:rsidRPr="00632DBC" w:rsidRDefault="00760123" w:rsidP="00F16E32">
            <w:pPr>
              <w:autoSpaceDE w:val="0"/>
              <w:autoSpaceDN w:val="0"/>
              <w:adjustRightInd w:val="0"/>
              <w:rPr>
                <w:rFonts w:ascii="Arial" w:hAnsi="Arial" w:cs="Arial"/>
                <w:sz w:val="18"/>
                <w:szCs w:val="18"/>
              </w:rPr>
            </w:pPr>
          </w:p>
        </w:tc>
        <w:tc>
          <w:tcPr>
            <w:tcW w:w="3402" w:type="dxa"/>
          </w:tcPr>
          <w:p w14:paraId="6395366A"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(b) to work in appropriate methodologies with an indigenous perspective</w:t>
            </w:r>
          </w:p>
          <w:p w14:paraId="6E555EEB" w14:textId="77777777" w:rsidR="00760123" w:rsidRPr="00632DBC" w:rsidRDefault="00760123" w:rsidP="00F16E32">
            <w:pPr>
              <w:autoSpaceDE w:val="0"/>
              <w:autoSpaceDN w:val="0"/>
              <w:adjustRightInd w:val="0"/>
              <w:rPr>
                <w:rFonts w:ascii="Arial" w:hAnsi="Arial" w:cs="Arial"/>
                <w:sz w:val="16"/>
                <w:szCs w:val="16"/>
              </w:rPr>
            </w:pPr>
          </w:p>
        </w:tc>
        <w:tc>
          <w:tcPr>
            <w:tcW w:w="3680" w:type="dxa"/>
          </w:tcPr>
          <w:p w14:paraId="5C27491E" w14:textId="4AAB564B"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Guideline b takes this approach into account referring explicitly to</w:t>
            </w:r>
            <w:r w:rsidR="00D31F4E">
              <w:rPr>
                <w:rFonts w:ascii="Arial" w:hAnsi="Arial" w:cs="Arial"/>
                <w:sz w:val="16"/>
                <w:szCs w:val="16"/>
              </w:rPr>
              <w:t xml:space="preserve"> </w:t>
            </w:r>
            <w:r w:rsidRPr="00632DBC">
              <w:rPr>
                <w:rFonts w:ascii="Arial" w:hAnsi="Arial" w:cs="Arial"/>
                <w:sz w:val="16"/>
                <w:szCs w:val="16"/>
              </w:rPr>
              <w:t>UNDRIP. Lessons learned in case study IV highlights the importance of tailored methodologies including those by indigenous peoples and local communities</w:t>
            </w:r>
          </w:p>
        </w:tc>
      </w:tr>
      <w:tr w:rsidR="00633A71" w:rsidRPr="00632DBC" w14:paraId="5BA3DF5F" w14:textId="77777777" w:rsidTr="003966BA">
        <w:tc>
          <w:tcPr>
            <w:tcW w:w="1980" w:type="dxa"/>
            <w:vMerge/>
            <w:vAlign w:val="center"/>
          </w:tcPr>
          <w:p w14:paraId="576E5FE2" w14:textId="77777777" w:rsidR="00760123" w:rsidRPr="00632DBC" w:rsidRDefault="00760123" w:rsidP="00F16E32">
            <w:pPr>
              <w:autoSpaceDE w:val="0"/>
              <w:autoSpaceDN w:val="0"/>
              <w:adjustRightInd w:val="0"/>
              <w:rPr>
                <w:rFonts w:ascii="Arial" w:hAnsi="Arial" w:cs="Arial"/>
                <w:sz w:val="18"/>
                <w:szCs w:val="18"/>
              </w:rPr>
            </w:pPr>
          </w:p>
        </w:tc>
        <w:tc>
          <w:tcPr>
            <w:tcW w:w="3402" w:type="dxa"/>
          </w:tcPr>
          <w:p w14:paraId="406133E6"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(c) to undertake research aimed to the protection of traditional knowledge, from the experience of the communities themselves </w:t>
            </w:r>
          </w:p>
        </w:tc>
        <w:tc>
          <w:tcPr>
            <w:tcW w:w="3680" w:type="dxa"/>
          </w:tcPr>
          <w:p w14:paraId="6C10CD60"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Case study V exemplifies how incorporating traditional knowledge contributes to safeguarding ecosystem services and livelihoods through policy tools such as EIA.</w:t>
            </w:r>
          </w:p>
        </w:tc>
      </w:tr>
      <w:tr w:rsidR="00633A71" w:rsidRPr="00632DBC" w14:paraId="2B79BAC6" w14:textId="77777777" w:rsidTr="003966BA">
        <w:tc>
          <w:tcPr>
            <w:tcW w:w="1980" w:type="dxa"/>
            <w:vMerge w:val="restart"/>
            <w:vAlign w:val="center"/>
          </w:tcPr>
          <w:p w14:paraId="38BD3753" w14:textId="77777777" w:rsidR="00760123" w:rsidRPr="00632DBC" w:rsidRDefault="00760123" w:rsidP="00F16E32">
            <w:pPr>
              <w:autoSpaceDE w:val="0"/>
              <w:autoSpaceDN w:val="0"/>
              <w:adjustRightInd w:val="0"/>
              <w:rPr>
                <w:rFonts w:ascii="Arial" w:hAnsi="Arial" w:cs="Arial"/>
                <w:sz w:val="18"/>
                <w:szCs w:val="18"/>
              </w:rPr>
            </w:pPr>
          </w:p>
          <w:p w14:paraId="4E002FA3" w14:textId="77777777" w:rsidR="00760123" w:rsidRPr="00632DBC" w:rsidRDefault="00760123" w:rsidP="00F16E32">
            <w:pPr>
              <w:autoSpaceDE w:val="0"/>
              <w:autoSpaceDN w:val="0"/>
              <w:adjustRightInd w:val="0"/>
              <w:rPr>
                <w:rFonts w:ascii="Arial" w:hAnsi="Arial" w:cs="Arial"/>
                <w:sz w:val="18"/>
                <w:szCs w:val="18"/>
              </w:rPr>
            </w:pPr>
            <w:r w:rsidRPr="00632DBC">
              <w:rPr>
                <w:rFonts w:ascii="Arial" w:hAnsi="Arial" w:cs="Arial"/>
                <w:sz w:val="18"/>
                <w:szCs w:val="18"/>
              </w:rPr>
              <w:t xml:space="preserve">Global Forest Coalition/Community Conservation Resilience Initiative </w:t>
            </w:r>
          </w:p>
        </w:tc>
        <w:tc>
          <w:tcPr>
            <w:tcW w:w="3402" w:type="dxa"/>
          </w:tcPr>
          <w:p w14:paraId="78305ACD"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Moving away from government-centric approaches by strengthening community conservation initiatives and seeking broader support beyond narrow results-based payments. </w:t>
            </w:r>
          </w:p>
        </w:tc>
        <w:tc>
          <w:tcPr>
            <w:tcW w:w="3680" w:type="dxa"/>
          </w:tcPr>
          <w:p w14:paraId="72185B76"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Lessons learned including case study IV highlights the importance of horizontal dialogue between government and indigenous peoples </w:t>
            </w:r>
            <w:proofErr w:type="gramStart"/>
            <w:r w:rsidRPr="00632DBC">
              <w:rPr>
                <w:rFonts w:ascii="Arial" w:hAnsi="Arial" w:cs="Arial"/>
                <w:sz w:val="16"/>
                <w:szCs w:val="16"/>
              </w:rPr>
              <w:t>and  local</w:t>
            </w:r>
            <w:proofErr w:type="gramEnd"/>
            <w:r w:rsidRPr="00632DBC">
              <w:rPr>
                <w:rFonts w:ascii="Arial" w:hAnsi="Arial" w:cs="Arial"/>
                <w:sz w:val="16"/>
                <w:szCs w:val="16"/>
              </w:rPr>
              <w:t xml:space="preserve"> communities as a safeguarding mechanisms for designing and implementing BFM </w:t>
            </w:r>
          </w:p>
        </w:tc>
      </w:tr>
      <w:tr w:rsidR="00633A71" w:rsidRPr="00632DBC" w14:paraId="387C4EF0" w14:textId="77777777" w:rsidTr="003966BA">
        <w:tc>
          <w:tcPr>
            <w:tcW w:w="1980" w:type="dxa"/>
            <w:vMerge/>
            <w:vAlign w:val="center"/>
          </w:tcPr>
          <w:p w14:paraId="77FF0FF9" w14:textId="77777777" w:rsidR="00760123" w:rsidRPr="00632DBC" w:rsidRDefault="00760123" w:rsidP="00F16E32">
            <w:pPr>
              <w:autoSpaceDE w:val="0"/>
              <w:autoSpaceDN w:val="0"/>
              <w:adjustRightInd w:val="0"/>
              <w:rPr>
                <w:rFonts w:ascii="Arial" w:hAnsi="Arial" w:cs="Arial"/>
                <w:sz w:val="18"/>
                <w:szCs w:val="18"/>
              </w:rPr>
            </w:pPr>
          </w:p>
        </w:tc>
        <w:tc>
          <w:tcPr>
            <w:tcW w:w="3402" w:type="dxa"/>
          </w:tcPr>
          <w:p w14:paraId="0F14BFB1"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Enhancing participation and FPIC of indigenous peoples and local communities, including women in national policies, plans </w:t>
            </w:r>
            <w:r w:rsidRPr="00632DBC">
              <w:rPr>
                <w:rFonts w:ascii="Arial" w:hAnsi="Arial" w:cs="Arial"/>
                <w:sz w:val="16"/>
                <w:szCs w:val="16"/>
              </w:rPr>
              <w:lastRenderedPageBreak/>
              <w:t xml:space="preserve">and programmes for biodiversity and related financing mechanisms. </w:t>
            </w:r>
          </w:p>
        </w:tc>
        <w:tc>
          <w:tcPr>
            <w:tcW w:w="3680" w:type="dxa"/>
          </w:tcPr>
          <w:p w14:paraId="2A0AA312"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lastRenderedPageBreak/>
              <w:t xml:space="preserve">Included in the guideline b as FPIC. </w:t>
            </w:r>
          </w:p>
          <w:p w14:paraId="751EC519" w14:textId="317EBEDB"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Lessons learned from the case studies including case study IV and operationalisation of guideline b</w:t>
            </w:r>
            <w:r w:rsidR="0049176C" w:rsidRPr="00632DBC">
              <w:rPr>
                <w:rFonts w:ascii="Arial" w:hAnsi="Arial" w:cs="Arial"/>
                <w:sz w:val="16"/>
                <w:szCs w:val="16"/>
              </w:rPr>
              <w:t xml:space="preserve">, </w:t>
            </w:r>
            <w:r w:rsidRPr="00632DBC">
              <w:rPr>
                <w:rFonts w:ascii="Arial" w:hAnsi="Arial" w:cs="Arial"/>
                <w:sz w:val="16"/>
                <w:szCs w:val="16"/>
              </w:rPr>
              <w:t xml:space="preserve">highlight the need of affirmative action for </w:t>
            </w:r>
            <w:r w:rsidRPr="00632DBC">
              <w:rPr>
                <w:rFonts w:ascii="Arial" w:hAnsi="Arial" w:cs="Arial"/>
                <w:sz w:val="16"/>
                <w:szCs w:val="16"/>
              </w:rPr>
              <w:lastRenderedPageBreak/>
              <w:t xml:space="preserve">enabling conditions for people to exercise their rights </w:t>
            </w:r>
            <w:proofErr w:type="gramStart"/>
            <w:r w:rsidRPr="00632DBC">
              <w:rPr>
                <w:rFonts w:ascii="Arial" w:hAnsi="Arial" w:cs="Arial"/>
                <w:sz w:val="16"/>
                <w:szCs w:val="16"/>
              </w:rPr>
              <w:t>in particular those</w:t>
            </w:r>
            <w:proofErr w:type="gramEnd"/>
            <w:r w:rsidRPr="00632DBC">
              <w:rPr>
                <w:rFonts w:ascii="Arial" w:hAnsi="Arial" w:cs="Arial"/>
                <w:sz w:val="16"/>
                <w:szCs w:val="16"/>
              </w:rPr>
              <w:t xml:space="preserve"> in vulnerable situations. </w:t>
            </w:r>
          </w:p>
        </w:tc>
      </w:tr>
      <w:tr w:rsidR="00633A71" w:rsidRPr="00632DBC" w14:paraId="7D7607A3" w14:textId="77777777" w:rsidTr="003966BA">
        <w:trPr>
          <w:trHeight w:val="1275"/>
        </w:trPr>
        <w:tc>
          <w:tcPr>
            <w:tcW w:w="1980" w:type="dxa"/>
          </w:tcPr>
          <w:p w14:paraId="13ED1499" w14:textId="77777777" w:rsidR="00760123" w:rsidRPr="00632DBC" w:rsidRDefault="00760123" w:rsidP="00F16E32">
            <w:pPr>
              <w:autoSpaceDE w:val="0"/>
              <w:autoSpaceDN w:val="0"/>
              <w:adjustRightInd w:val="0"/>
              <w:rPr>
                <w:rFonts w:ascii="Arial" w:hAnsi="Arial" w:cs="Arial"/>
                <w:sz w:val="18"/>
                <w:szCs w:val="18"/>
              </w:rPr>
            </w:pPr>
            <w:r w:rsidRPr="00632DBC">
              <w:rPr>
                <w:rFonts w:ascii="Arial" w:hAnsi="Arial" w:cs="Arial"/>
                <w:sz w:val="18"/>
                <w:szCs w:val="18"/>
              </w:rPr>
              <w:lastRenderedPageBreak/>
              <w:t xml:space="preserve">The Indigenous Women’s Network on Biodiversity from Latin America and the Caribbean </w:t>
            </w:r>
          </w:p>
        </w:tc>
        <w:tc>
          <w:tcPr>
            <w:tcW w:w="3402" w:type="dxa"/>
          </w:tcPr>
          <w:p w14:paraId="093BE908"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Framing biodiversity financing mechanisms not only on returns or benefits from carbon sequestration but on broader conservation and sustainable use benefits, linked to a wide consideration of ecosystem services. </w:t>
            </w:r>
          </w:p>
        </w:tc>
        <w:tc>
          <w:tcPr>
            <w:tcW w:w="3680" w:type="dxa"/>
          </w:tcPr>
          <w:p w14:paraId="5A679B44"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Recommendations aligns with guideline a. </w:t>
            </w:r>
          </w:p>
          <w:p w14:paraId="53BC64DB"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Lessons learned including in case study IV show a way forward to take a more holistic approach to climate financing.</w:t>
            </w:r>
          </w:p>
        </w:tc>
      </w:tr>
      <w:tr w:rsidR="00633A71" w:rsidRPr="00632DBC" w14:paraId="10486590" w14:textId="77777777" w:rsidTr="003966BA">
        <w:trPr>
          <w:trHeight w:val="1133"/>
        </w:trPr>
        <w:tc>
          <w:tcPr>
            <w:tcW w:w="1980" w:type="dxa"/>
          </w:tcPr>
          <w:p w14:paraId="340FEF80" w14:textId="77777777" w:rsidR="00760123" w:rsidRPr="00632DBC" w:rsidRDefault="00760123" w:rsidP="00F16E32">
            <w:pPr>
              <w:autoSpaceDE w:val="0"/>
              <w:autoSpaceDN w:val="0"/>
              <w:adjustRightInd w:val="0"/>
              <w:rPr>
                <w:rFonts w:ascii="Arial" w:hAnsi="Arial" w:cs="Arial"/>
                <w:sz w:val="18"/>
                <w:szCs w:val="18"/>
              </w:rPr>
            </w:pPr>
            <w:r w:rsidRPr="00632DBC">
              <w:rPr>
                <w:rFonts w:ascii="Arial" w:hAnsi="Arial" w:cs="Arial"/>
                <w:sz w:val="18"/>
                <w:szCs w:val="18"/>
              </w:rPr>
              <w:t>The Foundation for Aboriginal and Islander Research Action (FAIRA)</w:t>
            </w:r>
            <w:r w:rsidRPr="00632DBC">
              <w:rPr>
                <w:rStyle w:val="FootnoteReference"/>
                <w:rFonts w:ascii="Arial" w:hAnsi="Arial" w:cs="Arial"/>
                <w:sz w:val="18"/>
                <w:szCs w:val="18"/>
              </w:rPr>
              <w:footnoteReference w:id="263"/>
            </w:r>
            <w:r w:rsidRPr="00632DBC">
              <w:rPr>
                <w:rFonts w:ascii="Arial" w:hAnsi="Arial" w:cs="Arial"/>
                <w:sz w:val="18"/>
                <w:szCs w:val="18"/>
              </w:rPr>
              <w:t xml:space="preserve"> </w:t>
            </w:r>
          </w:p>
        </w:tc>
        <w:tc>
          <w:tcPr>
            <w:tcW w:w="3402" w:type="dxa"/>
          </w:tcPr>
          <w:p w14:paraId="6263E1EE"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 xml:space="preserve">Development of a possible element of work in the post-2020 biodiversity </w:t>
            </w:r>
            <w:proofErr w:type="gramStart"/>
            <w:r w:rsidRPr="00632DBC">
              <w:rPr>
                <w:rFonts w:ascii="Arial" w:hAnsi="Arial" w:cs="Arial"/>
                <w:sz w:val="16"/>
                <w:szCs w:val="16"/>
              </w:rPr>
              <w:t>framework’s</w:t>
            </w:r>
            <w:proofErr w:type="gramEnd"/>
            <w:r w:rsidRPr="00632DBC">
              <w:rPr>
                <w:rFonts w:ascii="Arial" w:hAnsi="Arial" w:cs="Arial"/>
                <w:sz w:val="16"/>
                <w:szCs w:val="16"/>
              </w:rPr>
              <w:t xml:space="preserve"> for Article 8(j) and related provisions, of a specific safeguards framework under the CBD for indigenous and local communities based on principles, standards and guidelines adopted under the Convention.</w:t>
            </w:r>
          </w:p>
        </w:tc>
        <w:tc>
          <w:tcPr>
            <w:tcW w:w="3680" w:type="dxa"/>
          </w:tcPr>
          <w:p w14:paraId="2CDF5EE6" w14:textId="77777777" w:rsidR="00760123" w:rsidRPr="00632DBC" w:rsidRDefault="00760123" w:rsidP="00F16E32">
            <w:pPr>
              <w:autoSpaceDE w:val="0"/>
              <w:autoSpaceDN w:val="0"/>
              <w:adjustRightInd w:val="0"/>
              <w:rPr>
                <w:rFonts w:ascii="Arial" w:hAnsi="Arial" w:cs="Arial"/>
                <w:sz w:val="16"/>
                <w:szCs w:val="16"/>
              </w:rPr>
            </w:pPr>
            <w:r w:rsidRPr="00632DBC">
              <w:rPr>
                <w:rFonts w:ascii="Arial" w:hAnsi="Arial" w:cs="Arial"/>
                <w:sz w:val="16"/>
                <w:szCs w:val="16"/>
              </w:rPr>
              <w:t>This recommendation is address in the section below as well as in the proposed operational roadmap.</w:t>
            </w:r>
          </w:p>
        </w:tc>
      </w:tr>
    </w:tbl>
    <w:p w14:paraId="446D0E25" w14:textId="4F66D0D7" w:rsidR="00760123" w:rsidRPr="00632DBC" w:rsidRDefault="00274E4B" w:rsidP="003966BA">
      <w:pPr>
        <w:autoSpaceDE w:val="0"/>
        <w:autoSpaceDN w:val="0"/>
        <w:adjustRightInd w:val="0"/>
        <w:rPr>
          <w:rFonts w:ascii="Arial" w:hAnsi="Arial" w:cs="Arial"/>
          <w:sz w:val="16"/>
          <w:szCs w:val="16"/>
        </w:rPr>
      </w:pPr>
      <w:r w:rsidRPr="00632DBC">
        <w:rPr>
          <w:rFonts w:ascii="Arial" w:hAnsi="Arial" w:cs="Arial"/>
          <w:sz w:val="16"/>
          <w:szCs w:val="16"/>
        </w:rPr>
        <w:t xml:space="preserve">Note: see prior submissions and the way they have been incorporated in the report in the Appendix </w:t>
      </w:r>
    </w:p>
    <w:p w14:paraId="26C46A33" w14:textId="77777777" w:rsidR="00760123" w:rsidRPr="00632DBC" w:rsidRDefault="00760123" w:rsidP="00760123">
      <w:pPr>
        <w:autoSpaceDE w:val="0"/>
        <w:autoSpaceDN w:val="0"/>
        <w:adjustRightInd w:val="0"/>
        <w:spacing w:after="0" w:line="240" w:lineRule="auto"/>
        <w:rPr>
          <w:rFonts w:ascii="Times New Roman" w:hAnsi="Times New Roman"/>
          <w:sz w:val="24"/>
        </w:rPr>
      </w:pPr>
    </w:p>
    <w:p w14:paraId="582AE850" w14:textId="77777777" w:rsidR="00760123" w:rsidRPr="00632DBC" w:rsidRDefault="00760123" w:rsidP="00760123">
      <w:pPr>
        <w:autoSpaceDE w:val="0"/>
        <w:autoSpaceDN w:val="0"/>
        <w:adjustRightInd w:val="0"/>
        <w:spacing w:after="0" w:line="240" w:lineRule="auto"/>
        <w:rPr>
          <w:rFonts w:ascii="Times New Roman" w:hAnsi="Times New Roman"/>
          <w:b/>
          <w:sz w:val="24"/>
        </w:rPr>
      </w:pPr>
      <w:r w:rsidRPr="00632DBC">
        <w:rPr>
          <w:rFonts w:ascii="Times New Roman" w:hAnsi="Times New Roman"/>
          <w:b/>
          <w:sz w:val="24"/>
        </w:rPr>
        <w:t xml:space="preserve">General recommendations concerning biodiversity and social safeguards </w:t>
      </w:r>
    </w:p>
    <w:p w14:paraId="011F3157" w14:textId="77777777" w:rsidR="00760123" w:rsidRPr="00632DBC" w:rsidRDefault="00760123" w:rsidP="00760123">
      <w:pPr>
        <w:autoSpaceDE w:val="0"/>
        <w:autoSpaceDN w:val="0"/>
        <w:adjustRightInd w:val="0"/>
        <w:spacing w:after="0" w:line="240" w:lineRule="auto"/>
        <w:rPr>
          <w:rFonts w:ascii="Times New Roman" w:hAnsi="Times New Roman"/>
          <w:sz w:val="24"/>
        </w:rPr>
      </w:pPr>
    </w:p>
    <w:p w14:paraId="24B475C7" w14:textId="77777777" w:rsidR="00760123" w:rsidRPr="00632DBC" w:rsidRDefault="00760123" w:rsidP="00760123">
      <w:pPr>
        <w:autoSpaceDE w:val="0"/>
        <w:autoSpaceDN w:val="0"/>
        <w:adjustRightInd w:val="0"/>
        <w:spacing w:after="0" w:line="240" w:lineRule="auto"/>
        <w:jc w:val="both"/>
        <w:rPr>
          <w:rFonts w:ascii="Times New Roman" w:hAnsi="Times New Roman"/>
        </w:rPr>
      </w:pPr>
    </w:p>
    <w:p w14:paraId="3A171C5A" w14:textId="3799CC44" w:rsidR="00760123" w:rsidRPr="00632DBC" w:rsidRDefault="00760123" w:rsidP="00CB71D0">
      <w:pPr>
        <w:keepNext/>
        <w:jc w:val="both"/>
        <w:rPr>
          <w:rFonts w:ascii="Times New Roman" w:hAnsi="Times New Roman"/>
        </w:rPr>
      </w:pPr>
      <w:r w:rsidRPr="00632DBC">
        <w:rPr>
          <w:rFonts w:ascii="Times New Roman" w:hAnsi="Times New Roman"/>
        </w:rPr>
        <w:t>CBD documents (CBD/WG8J/10/6 and CBD/SBI/2/20)</w:t>
      </w:r>
      <w:r w:rsidR="00F65CB5" w:rsidRPr="00632DBC">
        <w:rPr>
          <w:rFonts w:ascii="Times New Roman" w:hAnsi="Times New Roman"/>
        </w:rPr>
        <w:t>,</w:t>
      </w:r>
      <w:r w:rsidRPr="00632DBC">
        <w:rPr>
          <w:rFonts w:ascii="Times New Roman" w:hAnsi="Times New Roman"/>
        </w:rPr>
        <w:t xml:space="preserve"> highlight that “convergence is emerging between the existing processes for developing and/or improving safeguard systems of the financing mechanisms and the Convention’s voluntary guidelines on safeguards in biodiversity financing mechanisms” and encourage all such processes to further refer to the CBD guidelines for safeguards in order to create greater convergence (see recommendations 1, 3 and 4 in </w:t>
      </w:r>
      <w:r w:rsidR="00173541" w:rsidRPr="00632DBC">
        <w:rPr>
          <w:rFonts w:ascii="Times New Roman" w:hAnsi="Times New Roman"/>
        </w:rPr>
        <w:t>Box 16</w:t>
      </w:r>
      <w:r w:rsidRPr="00632DBC">
        <w:rPr>
          <w:rFonts w:ascii="Times New Roman" w:hAnsi="Times New Roman"/>
        </w:rPr>
        <w:t>).  Among the processes highlighted by these documents are the World Bank and the International Finance Corporation, the Global Environment Facility, and funds under the financial mechanism of the United Nations Framework Convention on Climate Change, such as the Green Climate Fund and the Adaptation Fund, REDD+ and</w:t>
      </w:r>
      <w:r w:rsidR="00F65CB5" w:rsidRPr="00632DBC">
        <w:rPr>
          <w:rFonts w:ascii="Times New Roman" w:hAnsi="Times New Roman"/>
        </w:rPr>
        <w:t xml:space="preserve"> REDD+</w:t>
      </w:r>
      <w:r w:rsidR="00C05CB5" w:rsidRPr="00632DBC">
        <w:rPr>
          <w:rFonts w:ascii="Times New Roman" w:hAnsi="Times New Roman"/>
        </w:rPr>
        <w:t xml:space="preserve"> </w:t>
      </w:r>
      <w:r w:rsidRPr="00632DBC">
        <w:rPr>
          <w:rFonts w:ascii="Times New Roman" w:hAnsi="Times New Roman"/>
        </w:rPr>
        <w:t>re</w:t>
      </w:r>
      <w:r w:rsidR="00F65CB5" w:rsidRPr="00632DBC">
        <w:rPr>
          <w:rFonts w:ascii="Times New Roman" w:hAnsi="Times New Roman"/>
        </w:rPr>
        <w:t>lated</w:t>
      </w:r>
      <w:r w:rsidRPr="00632DBC">
        <w:rPr>
          <w:rFonts w:ascii="Times New Roman" w:hAnsi="Times New Roman"/>
        </w:rPr>
        <w:t xml:space="preserve"> safeguards, and the Gold Standard for the Global Goals</w:t>
      </w:r>
      <w:r w:rsidR="00584647">
        <w:rPr>
          <w:rFonts w:ascii="Times New Roman" w:hAnsi="Times New Roman"/>
        </w:rPr>
        <w:t xml:space="preserve">. </w:t>
      </w:r>
      <w:r w:rsidRPr="00632DBC">
        <w:rPr>
          <w:rFonts w:ascii="Times New Roman" w:hAnsi="Times New Roman"/>
        </w:rPr>
        <w:t xml:space="preserve">CBD/SBI/2/20 recommendation 4 is that GEF informs the Conference of the Parties about how it is </w:t>
      </w:r>
      <w:proofErr w:type="gramStart"/>
      <w:r w:rsidRPr="00632DBC">
        <w:rPr>
          <w:rFonts w:ascii="Times New Roman" w:hAnsi="Times New Roman"/>
        </w:rPr>
        <w:t>taking into account</w:t>
      </w:r>
      <w:proofErr w:type="gramEnd"/>
      <w:r w:rsidRPr="00632DBC">
        <w:rPr>
          <w:rFonts w:ascii="Times New Roman" w:hAnsi="Times New Roman"/>
        </w:rPr>
        <w:t xml:space="preserve"> the CBD voluntary guidelines on safeguards in biodiversity financing mechanisms in its process </w:t>
      </w:r>
      <w:r w:rsidR="00F65CB5" w:rsidRPr="00632DBC">
        <w:rPr>
          <w:rFonts w:ascii="Times New Roman" w:hAnsi="Times New Roman"/>
        </w:rPr>
        <w:t>of reviewing</w:t>
      </w:r>
      <w:r w:rsidRPr="00632DBC">
        <w:rPr>
          <w:rFonts w:ascii="Times New Roman" w:hAnsi="Times New Roman"/>
        </w:rPr>
        <w:t xml:space="preserve"> and upgrading its environmental and social safeguards and the related systems of its agencies</w:t>
      </w:r>
      <w:r w:rsidR="00F65CB5" w:rsidRPr="00632DBC">
        <w:rPr>
          <w:rFonts w:ascii="Times New Roman" w:hAnsi="Times New Roman"/>
        </w:rPr>
        <w:t>. It also notes</w:t>
      </w:r>
      <w:r w:rsidRPr="00632DBC">
        <w:rPr>
          <w:rFonts w:ascii="Times New Roman" w:hAnsi="Times New Roman"/>
        </w:rPr>
        <w:t xml:space="preserve"> that the result of such a process will be applicable to all projects funded by the Facility.</w:t>
      </w:r>
    </w:p>
    <w:p w14:paraId="23A76B7F" w14:textId="77777777" w:rsidR="00760123" w:rsidRPr="00632DBC" w:rsidRDefault="00760123" w:rsidP="00CB71D0">
      <w:pPr>
        <w:keepNext/>
        <w:jc w:val="both"/>
        <w:rPr>
          <w:rFonts w:ascii="Times New Roman" w:hAnsi="Times New Roman"/>
        </w:rPr>
      </w:pPr>
    </w:p>
    <w:p w14:paraId="68D3AB2B" w14:textId="5B4F8BBC" w:rsidR="00760123" w:rsidRPr="00632DBC" w:rsidRDefault="00760123" w:rsidP="00CB71D0">
      <w:pPr>
        <w:keepNext/>
        <w:jc w:val="both"/>
        <w:rPr>
          <w:rFonts w:ascii="Times New Roman" w:hAnsi="Times New Roman"/>
        </w:rPr>
      </w:pPr>
      <w:r w:rsidRPr="00632DBC">
        <w:rPr>
          <w:rFonts w:ascii="Times New Roman" w:hAnsi="Times New Roman"/>
        </w:rPr>
        <w:t>The recommendations adopted by the SBI in its second meeting</w:t>
      </w:r>
      <w:r w:rsidR="00A07621" w:rsidRPr="00632DBC">
        <w:rPr>
          <w:rFonts w:ascii="Times New Roman" w:hAnsi="Times New Roman"/>
        </w:rPr>
        <w:t>,</w:t>
      </w:r>
      <w:r w:rsidRPr="00632DBC">
        <w:rPr>
          <w:rFonts w:ascii="Times New Roman" w:hAnsi="Times New Roman"/>
        </w:rPr>
        <w:t xml:space="preserve"> includes a checklist in an annex that serves as a first step to comply with the CBD guidelines for safeguards in BFMs (see </w:t>
      </w:r>
      <w:r w:rsidR="00173541" w:rsidRPr="00632DBC">
        <w:rPr>
          <w:rFonts w:ascii="Times New Roman" w:hAnsi="Times New Roman"/>
        </w:rPr>
        <w:t>Box 15</w:t>
      </w:r>
      <w:r w:rsidRPr="00632DBC">
        <w:rPr>
          <w:rFonts w:ascii="Times New Roman" w:hAnsi="Times New Roman"/>
        </w:rPr>
        <w:t xml:space="preserve"> with the checklist). SBI </w:t>
      </w:r>
      <w:r w:rsidR="00A07621" w:rsidRPr="00632DBC">
        <w:rPr>
          <w:rFonts w:ascii="Times New Roman" w:hAnsi="Times New Roman"/>
        </w:rPr>
        <w:t>recommends to</w:t>
      </w:r>
      <w:r w:rsidR="00584647">
        <w:rPr>
          <w:rFonts w:ascii="Times New Roman" w:hAnsi="Times New Roman"/>
        </w:rPr>
        <w:t xml:space="preserve"> include in the upcoming CBD-COP Decision to</w:t>
      </w:r>
      <w:r w:rsidR="00A07621" w:rsidRPr="00632DBC">
        <w:rPr>
          <w:rFonts w:ascii="Times New Roman" w:hAnsi="Times New Roman"/>
        </w:rPr>
        <w:t xml:space="preserve"> </w:t>
      </w:r>
      <w:r w:rsidRPr="00632DBC">
        <w:rPr>
          <w:rFonts w:ascii="Times New Roman" w:hAnsi="Times New Roman"/>
        </w:rPr>
        <w:t>urge</w:t>
      </w:r>
      <w:r w:rsidR="00A07621" w:rsidRPr="00632DBC">
        <w:rPr>
          <w:rFonts w:ascii="Times New Roman" w:hAnsi="Times New Roman"/>
        </w:rPr>
        <w:t>,</w:t>
      </w:r>
      <w:r w:rsidRPr="00632DBC">
        <w:rPr>
          <w:rFonts w:ascii="Times New Roman" w:hAnsi="Times New Roman"/>
        </w:rPr>
        <w:t xml:space="preserve"> “Parties, other stakeholder organizations and other institutions to continue using the Convention’s voluntary guidelines on safeguards in biodiversity financing mechanisms in designing and operating their financing mechanisms and in setting up their safeguard systems, making use, as appropriate, of the checklist contained in the annex to the present decision”. This effort might be complemented by developing specific checklists for safeguards as they applied to distinct BFM. Likewise, Parties, other stakeholder organizations and other institutions, might obtain significant benefits from developing and implementing a platform to share lessons learned in a systematic way</w:t>
      </w:r>
      <w:r w:rsidR="00631EB6" w:rsidRPr="00632DBC">
        <w:rPr>
          <w:rFonts w:ascii="Times New Roman" w:hAnsi="Times New Roman"/>
        </w:rPr>
        <w:t>. This</w:t>
      </w:r>
      <w:r w:rsidRPr="00632DBC">
        <w:rPr>
          <w:rFonts w:ascii="Times New Roman" w:hAnsi="Times New Roman"/>
        </w:rPr>
        <w:t xml:space="preserve"> aligns with recommendations </w:t>
      </w:r>
      <w:r w:rsidRPr="00632DBC">
        <w:rPr>
          <w:rFonts w:ascii="Times New Roman" w:hAnsi="Times New Roman"/>
        </w:rPr>
        <w:lastRenderedPageBreak/>
        <w:t>included in this publication building on CBD decisions and associated Parties and other stakeholders submissions.</w:t>
      </w:r>
    </w:p>
    <w:p w14:paraId="5762257A" w14:textId="77777777" w:rsidR="00760123" w:rsidRPr="00632DBC" w:rsidRDefault="00760123" w:rsidP="00760123">
      <w:pPr>
        <w:autoSpaceDE w:val="0"/>
        <w:autoSpaceDN w:val="0"/>
        <w:adjustRightInd w:val="0"/>
        <w:spacing w:after="0" w:line="240" w:lineRule="auto"/>
        <w:rPr>
          <w:rFonts w:ascii="Times New Roman" w:hAnsi="Times New Roman"/>
        </w:rPr>
      </w:pPr>
    </w:p>
    <w:p w14:paraId="6B44A07F" w14:textId="77777777" w:rsidR="00760123" w:rsidRPr="00632DBC" w:rsidRDefault="00760123" w:rsidP="00760123">
      <w:pPr>
        <w:autoSpaceDE w:val="0"/>
        <w:autoSpaceDN w:val="0"/>
        <w:adjustRightInd w:val="0"/>
        <w:spacing w:after="0" w:line="240" w:lineRule="auto"/>
        <w:rPr>
          <w:rFonts w:ascii="Times New Roman" w:hAnsi="Times New Roman"/>
        </w:rPr>
      </w:pPr>
    </w:p>
    <w:p w14:paraId="42CE068C" w14:textId="75BC6B11" w:rsidR="00760123" w:rsidRPr="00632DBC" w:rsidRDefault="00760123" w:rsidP="00760123">
      <w:pPr>
        <w:autoSpaceDE w:val="0"/>
        <w:autoSpaceDN w:val="0"/>
        <w:adjustRightInd w:val="0"/>
        <w:spacing w:after="0" w:line="240" w:lineRule="auto"/>
        <w:rPr>
          <w:rFonts w:ascii="Times New Roman" w:hAnsi="Times New Roman"/>
          <w:b/>
          <w:sz w:val="24"/>
        </w:rPr>
      </w:pPr>
      <w:r w:rsidRPr="00632DBC">
        <w:rPr>
          <w:rFonts w:ascii="Times New Roman" w:hAnsi="Times New Roman"/>
          <w:b/>
          <w:sz w:val="24"/>
        </w:rPr>
        <w:t xml:space="preserve">Specific recommendations </w:t>
      </w:r>
      <w:r w:rsidR="00631EB6" w:rsidRPr="00632DBC">
        <w:rPr>
          <w:rFonts w:ascii="Times New Roman" w:hAnsi="Times New Roman"/>
          <w:b/>
          <w:sz w:val="24"/>
        </w:rPr>
        <w:t>concerning indigenous</w:t>
      </w:r>
      <w:r w:rsidRPr="00632DBC">
        <w:rPr>
          <w:rFonts w:ascii="Times New Roman" w:hAnsi="Times New Roman"/>
          <w:b/>
          <w:sz w:val="24"/>
        </w:rPr>
        <w:t xml:space="preserve"> peoples and local communities </w:t>
      </w:r>
    </w:p>
    <w:p w14:paraId="74DDFD9A" w14:textId="77777777" w:rsidR="00760123" w:rsidRPr="00632DBC" w:rsidRDefault="00760123" w:rsidP="00760123">
      <w:pPr>
        <w:autoSpaceDE w:val="0"/>
        <w:autoSpaceDN w:val="0"/>
        <w:adjustRightInd w:val="0"/>
        <w:spacing w:after="0" w:line="240" w:lineRule="auto"/>
        <w:rPr>
          <w:rFonts w:ascii="Times New Roman" w:hAnsi="Times New Roman"/>
        </w:rPr>
      </w:pPr>
    </w:p>
    <w:p w14:paraId="0356E77F" w14:textId="39997037" w:rsidR="00760123" w:rsidRPr="00632DBC" w:rsidRDefault="00760123" w:rsidP="00632DBC">
      <w:pPr>
        <w:keepNext/>
        <w:jc w:val="both"/>
        <w:rPr>
          <w:rFonts w:ascii="Times New Roman" w:hAnsi="Times New Roman"/>
        </w:rPr>
      </w:pPr>
      <w:r w:rsidRPr="00632DBC">
        <w:rPr>
          <w:rFonts w:ascii="Times New Roman" w:hAnsi="Times New Roman"/>
        </w:rPr>
        <w:t xml:space="preserve">A key </w:t>
      </w:r>
      <w:r w:rsidRPr="00632DBC">
        <w:rPr>
          <w:rFonts w:ascii="Times New Roman" w:hAnsi="Times New Roman"/>
          <w:bCs/>
        </w:rPr>
        <w:t>lesson</w:t>
      </w:r>
      <w:r w:rsidRPr="00632DBC">
        <w:rPr>
          <w:rFonts w:ascii="Times New Roman" w:hAnsi="Times New Roman"/>
        </w:rPr>
        <w:t xml:space="preserve"> learned from the case studies in this document </w:t>
      </w:r>
      <w:r w:rsidRPr="00632DBC">
        <w:rPr>
          <w:rFonts w:ascii="Times New Roman" w:hAnsi="Times New Roman"/>
          <w:bCs/>
        </w:rPr>
        <w:t>show</w:t>
      </w:r>
      <w:r w:rsidR="00631EB6" w:rsidRPr="00632DBC">
        <w:rPr>
          <w:rFonts w:ascii="Times New Roman" w:hAnsi="Times New Roman"/>
          <w:bCs/>
        </w:rPr>
        <w:t>s</w:t>
      </w:r>
      <w:r w:rsidRPr="00632DBC">
        <w:rPr>
          <w:rFonts w:ascii="Times New Roman" w:hAnsi="Times New Roman"/>
        </w:rPr>
        <w:t xml:space="preserve"> that tenure rights are critical aspect in safeguarding both biodiversity and human rights. This finding resonates with the recommendation by CBD/SBI/2/20 that</w:t>
      </w:r>
      <w:r w:rsidR="00631EB6" w:rsidRPr="00632DBC">
        <w:rPr>
          <w:rFonts w:ascii="Times New Roman" w:hAnsi="Times New Roman"/>
          <w:bCs/>
        </w:rPr>
        <w:t>,</w:t>
      </w:r>
      <w:r w:rsidRPr="00632DBC">
        <w:rPr>
          <w:rFonts w:ascii="Times New Roman" w:hAnsi="Times New Roman"/>
        </w:rPr>
        <w:t xml:space="preserve"> “Recognizes the importance of tenure over traditional territories (lands and waters) of indigenous peoples and local communities for their survival and ways of life</w:t>
      </w:r>
      <w:r w:rsidR="0038043D">
        <w:rPr>
          <w:rFonts w:ascii="Times New Roman" w:hAnsi="Times New Roman"/>
        </w:rPr>
        <w:t>”. It also highlights that</w:t>
      </w:r>
      <w:r w:rsidR="00D31F4E">
        <w:rPr>
          <w:rFonts w:ascii="Times New Roman" w:hAnsi="Times New Roman"/>
        </w:rPr>
        <w:t xml:space="preserve"> </w:t>
      </w:r>
      <w:r w:rsidR="0038043D">
        <w:rPr>
          <w:rFonts w:ascii="Times New Roman" w:hAnsi="Times New Roman"/>
        </w:rPr>
        <w:t>“</w:t>
      </w:r>
      <w:r w:rsidRPr="00632DBC">
        <w:rPr>
          <w:rFonts w:ascii="Times New Roman" w:hAnsi="Times New Roman"/>
        </w:rPr>
        <w:t>holistic, solid safeguards backed by transparent accountability and constant vigilance are therefore required in line with international obligations and frameworks, such as the United Nations Declaration on the Rights of Indigenous Peoples, and instruments, decisions and guidelines of the Convention on Biological Diversity</w:t>
      </w:r>
      <w:r w:rsidR="0038043D">
        <w:rPr>
          <w:rFonts w:ascii="Times New Roman" w:hAnsi="Times New Roman"/>
        </w:rPr>
        <w:t>. This recommendation also refers to</w:t>
      </w:r>
      <w:r w:rsidRPr="00632DBC">
        <w:rPr>
          <w:rFonts w:ascii="Times New Roman" w:hAnsi="Times New Roman"/>
        </w:rPr>
        <w:t xml:space="preserve"> the full and effective participation of indigenous peoples and local communities and their free prior informed consent, prior informed consent or approval and involvement of indigenous peoples and local communities, in accordance with national processes, policies and legislation, as appropriate”. </w:t>
      </w:r>
    </w:p>
    <w:p w14:paraId="37FBB201" w14:textId="77777777" w:rsidR="00760123" w:rsidRPr="00632DBC" w:rsidRDefault="00760123" w:rsidP="00632DBC">
      <w:pPr>
        <w:keepNext/>
        <w:jc w:val="both"/>
        <w:rPr>
          <w:rFonts w:ascii="Times New Roman" w:hAnsi="Times New Roman"/>
        </w:rPr>
      </w:pPr>
    </w:p>
    <w:p w14:paraId="4DE8930D" w14:textId="4E72D0A9" w:rsidR="00760123" w:rsidRPr="00632DBC" w:rsidRDefault="00760123" w:rsidP="00632DBC">
      <w:pPr>
        <w:keepNext/>
        <w:jc w:val="both"/>
        <w:rPr>
          <w:rFonts w:ascii="Times New Roman" w:hAnsi="Times New Roman"/>
        </w:rPr>
      </w:pPr>
      <w:r w:rsidRPr="00632DBC">
        <w:rPr>
          <w:rFonts w:ascii="Times New Roman" w:hAnsi="Times New Roman"/>
        </w:rPr>
        <w:t xml:space="preserve">It is advised to assess the complex dynamics that affect tenure rights and develop appropriate safeguards concerning this substantive right </w:t>
      </w:r>
      <w:r w:rsidR="005A3FEB" w:rsidRPr="00632DBC">
        <w:rPr>
          <w:rFonts w:ascii="Times New Roman" w:hAnsi="Times New Roman"/>
        </w:rPr>
        <w:t>and associated</w:t>
      </w:r>
      <w:r w:rsidRPr="00632DBC">
        <w:rPr>
          <w:rFonts w:ascii="Times New Roman" w:hAnsi="Times New Roman"/>
        </w:rPr>
        <w:t xml:space="preserve"> procedural safeguards that support their implementation. The findings from the case studies included in this publication</w:t>
      </w:r>
      <w:r w:rsidR="005A3FEB" w:rsidRPr="00632DBC">
        <w:rPr>
          <w:rFonts w:ascii="Times New Roman" w:hAnsi="Times New Roman"/>
          <w:bCs/>
        </w:rPr>
        <w:t>,</w:t>
      </w:r>
      <w:r w:rsidRPr="00632DBC">
        <w:rPr>
          <w:rFonts w:ascii="Times New Roman" w:hAnsi="Times New Roman"/>
        </w:rPr>
        <w:t xml:space="preserve"> highlight that the ability of indigenous and local communities to safeguard their bio-cultural heritage and tenure rights is key to biodiversity conservation and sustainable use</w:t>
      </w:r>
      <w:r w:rsidR="005A3FEB" w:rsidRPr="00632DBC">
        <w:rPr>
          <w:rFonts w:ascii="Times New Roman" w:hAnsi="Times New Roman"/>
          <w:bCs/>
        </w:rPr>
        <w:t>,</w:t>
      </w:r>
      <w:r w:rsidRPr="00632DBC">
        <w:rPr>
          <w:rFonts w:ascii="Times New Roman" w:hAnsi="Times New Roman"/>
        </w:rPr>
        <w:t xml:space="preserve"> as well as for an enabling environment for the exercise of other human rights such as right to food. Recommendations of SBI2 resonate with </w:t>
      </w:r>
      <w:r w:rsidRPr="00632DBC">
        <w:rPr>
          <w:rFonts w:ascii="Times New Roman" w:hAnsi="Times New Roman"/>
          <w:bCs/>
        </w:rPr>
        <w:t>th</w:t>
      </w:r>
      <w:r w:rsidR="005A3FEB" w:rsidRPr="00632DBC">
        <w:rPr>
          <w:rFonts w:ascii="Times New Roman" w:hAnsi="Times New Roman"/>
          <w:bCs/>
        </w:rPr>
        <w:t>ese</w:t>
      </w:r>
      <w:r w:rsidRPr="00632DBC">
        <w:rPr>
          <w:rFonts w:ascii="Times New Roman" w:hAnsi="Times New Roman"/>
        </w:rPr>
        <w:t xml:space="preserve"> findings. SBI recommends </w:t>
      </w:r>
      <w:proofErr w:type="gramStart"/>
      <w:r w:rsidRPr="00632DBC">
        <w:rPr>
          <w:rFonts w:ascii="Times New Roman" w:hAnsi="Times New Roman"/>
        </w:rPr>
        <w:t>to request</w:t>
      </w:r>
      <w:proofErr w:type="gramEnd"/>
      <w:r w:rsidRPr="00632DBC">
        <w:rPr>
          <w:rFonts w:ascii="Times New Roman" w:hAnsi="Times New Roman"/>
        </w:rPr>
        <w:t xml:space="preserve"> the Executive Secretary the development of a post-2020 specific safeguards framework on indigenous peoples and local communities under the Convention, based on principles, standards and guidelines adopted under the Convention</w:t>
      </w:r>
      <w:r w:rsidR="00632DBC">
        <w:rPr>
          <w:rFonts w:ascii="Times New Roman" w:hAnsi="Times New Roman"/>
        </w:rPr>
        <w:t xml:space="preserve">. This safeguards framework could be included </w:t>
      </w:r>
      <w:r w:rsidR="00632DBC" w:rsidRPr="009109A4">
        <w:rPr>
          <w:rFonts w:ascii="Times New Roman" w:hAnsi="Times New Roman"/>
        </w:rPr>
        <w:t>as a possible element of work on Article 8(j) and related provisions within the post-2020 biodiversity framework</w:t>
      </w:r>
      <w:r w:rsidR="00632DBC">
        <w:rPr>
          <w:rFonts w:ascii="Times New Roman" w:hAnsi="Times New Roman"/>
        </w:rPr>
        <w:t xml:space="preserve"> and be a means of implementing the CBD voluntary guidelines for safeguards and other relevant legal and policy in</w:t>
      </w:r>
      <w:r w:rsidR="00D31F4E">
        <w:rPr>
          <w:rFonts w:ascii="Times New Roman" w:hAnsi="Times New Roman"/>
        </w:rPr>
        <w:t>s</w:t>
      </w:r>
      <w:r w:rsidR="00632DBC">
        <w:rPr>
          <w:rFonts w:ascii="Times New Roman" w:hAnsi="Times New Roman"/>
        </w:rPr>
        <w:t>truments.</w:t>
      </w:r>
    </w:p>
    <w:p w14:paraId="56A6012D" w14:textId="4289534B" w:rsidR="00810C20" w:rsidRPr="00632DBC" w:rsidRDefault="00810C20" w:rsidP="00274E4B">
      <w:pPr>
        <w:rPr>
          <w:rFonts w:ascii="Times New Roman" w:hAnsi="Times New Roman"/>
        </w:rPr>
      </w:pPr>
      <w:r w:rsidRPr="00632DBC">
        <w:rPr>
          <w:rFonts w:ascii="Times New Roman" w:hAnsi="Times New Roman"/>
          <w:b/>
        </w:rPr>
        <w:t>The CBD Secretariat:</w:t>
      </w:r>
      <w:r w:rsidRPr="00632DBC">
        <w:rPr>
          <w:rFonts w:ascii="Times New Roman" w:hAnsi="Times New Roman"/>
        </w:rPr>
        <w:t xml:space="preserve"> engagement in active dialogue with the other Secretariats of the Rio Conventions, and other relevant organisations can form the basis </w:t>
      </w:r>
      <w:r w:rsidR="003803AA" w:rsidRPr="00632DBC">
        <w:rPr>
          <w:rFonts w:ascii="Times New Roman" w:hAnsi="Times New Roman"/>
        </w:rPr>
        <w:t>for</w:t>
      </w:r>
      <w:r w:rsidR="00C05CB5" w:rsidRPr="00632DBC">
        <w:rPr>
          <w:rFonts w:ascii="Times New Roman" w:hAnsi="Times New Roman"/>
        </w:rPr>
        <w:t xml:space="preserve"> </w:t>
      </w:r>
      <w:r w:rsidRPr="00632DBC">
        <w:rPr>
          <w:rFonts w:ascii="Times New Roman" w:hAnsi="Times New Roman"/>
        </w:rPr>
        <w:t xml:space="preserve">the co-development of a strategy </w:t>
      </w:r>
      <w:r w:rsidR="003803AA" w:rsidRPr="00632DBC">
        <w:rPr>
          <w:rFonts w:ascii="Times New Roman" w:hAnsi="Times New Roman"/>
        </w:rPr>
        <w:t>that</w:t>
      </w:r>
      <w:r w:rsidRPr="00632DBC">
        <w:rPr>
          <w:rFonts w:ascii="Times New Roman" w:hAnsi="Times New Roman"/>
        </w:rPr>
        <w:t xml:space="preserve"> provide</w:t>
      </w:r>
      <w:r w:rsidR="003803AA" w:rsidRPr="00632DBC">
        <w:rPr>
          <w:rFonts w:ascii="Times New Roman" w:hAnsi="Times New Roman"/>
        </w:rPr>
        <w:t>s</w:t>
      </w:r>
      <w:r w:rsidRPr="00632DBC">
        <w:rPr>
          <w:rFonts w:ascii="Times New Roman" w:hAnsi="Times New Roman"/>
        </w:rPr>
        <w:t xml:space="preserve"> coherence to guidelines and safeguards across diverse international institutions</w:t>
      </w:r>
      <w:r w:rsidR="003803AA" w:rsidRPr="00632DBC">
        <w:rPr>
          <w:rFonts w:ascii="Times New Roman" w:hAnsi="Times New Roman"/>
        </w:rPr>
        <w:t xml:space="preserve"> that</w:t>
      </w:r>
      <w:r w:rsidRPr="00632DBC">
        <w:rPr>
          <w:rFonts w:ascii="Times New Roman" w:hAnsi="Times New Roman"/>
        </w:rPr>
        <w:t xml:space="preserve"> represent the many different interests in BFMs. The aim of such a dialogue would be to address the</w:t>
      </w:r>
      <w:r w:rsidR="00445186" w:rsidRPr="00632DBC">
        <w:rPr>
          <w:rFonts w:ascii="Times New Roman" w:hAnsi="Times New Roman"/>
        </w:rPr>
        <w:t xml:space="preserve"> intended </w:t>
      </w:r>
      <w:r w:rsidR="003803AA" w:rsidRPr="00632DBC">
        <w:rPr>
          <w:rFonts w:ascii="Times New Roman" w:hAnsi="Times New Roman"/>
        </w:rPr>
        <w:t>and unintended</w:t>
      </w:r>
      <w:r w:rsidRPr="00632DBC">
        <w:rPr>
          <w:rFonts w:ascii="Times New Roman" w:hAnsi="Times New Roman"/>
        </w:rPr>
        <w:t xml:space="preserve"> impacts of financing mechanisms </w:t>
      </w:r>
      <w:r w:rsidR="003803AA" w:rsidRPr="00632DBC">
        <w:rPr>
          <w:rFonts w:ascii="Times New Roman" w:hAnsi="Times New Roman"/>
        </w:rPr>
        <w:t>and</w:t>
      </w:r>
      <w:r w:rsidRPr="00632DBC">
        <w:rPr>
          <w:rFonts w:ascii="Times New Roman" w:hAnsi="Times New Roman"/>
        </w:rPr>
        <w:t xml:space="preserve"> contribut</w:t>
      </w:r>
      <w:r w:rsidR="003803AA" w:rsidRPr="00632DBC">
        <w:rPr>
          <w:rFonts w:ascii="Times New Roman" w:hAnsi="Times New Roman"/>
        </w:rPr>
        <w:t>e</w:t>
      </w:r>
      <w:r w:rsidRPr="00632DBC">
        <w:rPr>
          <w:rFonts w:ascii="Times New Roman" w:hAnsi="Times New Roman"/>
        </w:rPr>
        <w:t xml:space="preserve"> to a just and equitable governance of biodiversity and ecosystems. The outcome strategy could then be presented to Parties.</w:t>
      </w:r>
    </w:p>
    <w:p w14:paraId="424F63A0" w14:textId="12B58AC8" w:rsidR="00810C20" w:rsidRPr="00632DBC" w:rsidRDefault="00810C20" w:rsidP="00810C20">
      <w:pPr>
        <w:jc w:val="both"/>
        <w:rPr>
          <w:rFonts w:ascii="Times New Roman" w:hAnsi="Times New Roman"/>
        </w:rPr>
      </w:pPr>
      <w:r w:rsidRPr="00632DBC">
        <w:rPr>
          <w:rFonts w:ascii="Times New Roman" w:hAnsi="Times New Roman"/>
        </w:rPr>
        <w:t xml:space="preserve">Organisations to engage in this dialogue working with substantive and procedural dimensions relevant for safeguards </w:t>
      </w:r>
      <w:r w:rsidRPr="00632DBC">
        <w:rPr>
          <w:rFonts w:ascii="Times New Roman" w:hAnsi="Times New Roman"/>
          <w:i/>
        </w:rPr>
        <w:t>inter alia</w:t>
      </w:r>
      <w:r w:rsidRPr="00632DBC">
        <w:rPr>
          <w:rFonts w:ascii="Times New Roman" w:hAnsi="Times New Roman"/>
        </w:rPr>
        <w:t xml:space="preserve"> the Human Rights Council, the </w:t>
      </w:r>
      <w:r w:rsidR="00026B10" w:rsidRPr="00632DBC">
        <w:rPr>
          <w:rFonts w:ascii="Times New Roman" w:hAnsi="Times New Roman"/>
        </w:rPr>
        <w:t xml:space="preserve">UN </w:t>
      </w:r>
      <w:r w:rsidRPr="00632DBC">
        <w:rPr>
          <w:rFonts w:ascii="Times New Roman" w:hAnsi="Times New Roman"/>
        </w:rPr>
        <w:t xml:space="preserve">Permanent Forum </w:t>
      </w:r>
      <w:r w:rsidR="00026B10" w:rsidRPr="00632DBC">
        <w:rPr>
          <w:rFonts w:ascii="Times New Roman" w:hAnsi="Times New Roman"/>
        </w:rPr>
        <w:t>on</w:t>
      </w:r>
      <w:r w:rsidRPr="00632DBC">
        <w:rPr>
          <w:rFonts w:ascii="Times New Roman" w:hAnsi="Times New Roman"/>
        </w:rPr>
        <w:t xml:space="preserve"> Indigenous </w:t>
      </w:r>
      <w:r w:rsidR="00026B10" w:rsidRPr="00632DBC">
        <w:rPr>
          <w:rFonts w:ascii="Times New Roman" w:hAnsi="Times New Roman"/>
        </w:rPr>
        <w:t>Issues</w:t>
      </w:r>
      <w:r w:rsidR="008408B0" w:rsidRPr="00632DBC">
        <w:rPr>
          <w:rFonts w:ascii="Times New Roman" w:hAnsi="Times New Roman"/>
        </w:rPr>
        <w:t xml:space="preserve"> (UNPFII)</w:t>
      </w:r>
      <w:r w:rsidRPr="00632DBC">
        <w:rPr>
          <w:rFonts w:ascii="Times New Roman" w:hAnsi="Times New Roman"/>
        </w:rPr>
        <w:t>, the World Bank´s Inspection Panel, the International Development Law Organisations, the Intergovernmental Platform on Biodiversity and Ecosystem Services (in particular concerning its work on policy tools and methodologies) and organisations involved on resource mobilisation for the Millennium Development Goals (MDGs) and post-2015 development agenda.</w:t>
      </w:r>
    </w:p>
    <w:p w14:paraId="7AADCCD5" w14:textId="5999CA29" w:rsidR="00810C20" w:rsidRPr="00632DBC" w:rsidRDefault="00810C20" w:rsidP="003966BA">
      <w:pPr>
        <w:numPr>
          <w:ilvl w:val="0"/>
          <w:numId w:val="23"/>
        </w:numPr>
        <w:contextualSpacing/>
        <w:jc w:val="both"/>
        <w:rPr>
          <w:rFonts w:ascii="Times New Roman" w:hAnsi="Times New Roman"/>
        </w:rPr>
      </w:pPr>
      <w:r w:rsidRPr="00632DBC">
        <w:rPr>
          <w:rFonts w:ascii="Times New Roman" w:hAnsi="Times New Roman"/>
          <w:b/>
        </w:rPr>
        <w:lastRenderedPageBreak/>
        <w:t>Member States:</w:t>
      </w:r>
      <w:r w:rsidRPr="00632DBC">
        <w:rPr>
          <w:rFonts w:ascii="Times New Roman" w:hAnsi="Times New Roman"/>
        </w:rPr>
        <w:t xml:space="preserve"> the guidelines can be reflected in national law, policies and practices, as appropriate in exercise of States’ sovereign rights over their biological resources and associated national autonomy in decision-making. National systems can be developed for biodiversity and social safeguards, following the best practices that are currently emerging worldwide. Institutional arrangements should enable the effective participation of relevant stakeholders, </w:t>
      </w:r>
      <w:r w:rsidRPr="00632DBC">
        <w:rPr>
          <w:rFonts w:ascii="Times New Roman" w:hAnsi="Times New Roman"/>
          <w:i/>
          <w:iCs/>
        </w:rPr>
        <w:t>inter alia</w:t>
      </w:r>
      <w:r w:rsidRPr="00632DBC">
        <w:rPr>
          <w:rFonts w:ascii="Times New Roman" w:hAnsi="Times New Roman"/>
        </w:rPr>
        <w:t xml:space="preserve"> local communities and indigenous peoples.  Steps to inform national responses should include: a) identifying national legal provisions and policies relevant to substantive and procedural safeguards applicable to mechanisms for financing biodiversity and ecosystems; b) performing an assessment of the appropriateness and gaps of existing safeguards-related provisions in responding to the risks and opportunities of biodiversity financing mechanisms</w:t>
      </w:r>
      <w:r w:rsidR="00C175CD" w:rsidRPr="00632DBC">
        <w:rPr>
          <w:rFonts w:ascii="Times New Roman" w:hAnsi="Times New Roman"/>
        </w:rPr>
        <w:t>:</w:t>
      </w:r>
      <w:r w:rsidRPr="00632DBC">
        <w:rPr>
          <w:rFonts w:ascii="Times New Roman" w:hAnsi="Times New Roman"/>
        </w:rPr>
        <w:t xml:space="preserve"> and c) taking action towards harmonising different safeguards in scaling-up biodiversity financing, using the guidelines. </w:t>
      </w:r>
    </w:p>
    <w:p w14:paraId="7898142B" w14:textId="77777777" w:rsidR="00810C20" w:rsidRPr="00632DBC" w:rsidRDefault="00810C20" w:rsidP="00810C20">
      <w:pPr>
        <w:jc w:val="both"/>
        <w:rPr>
          <w:rFonts w:ascii="Times New Roman" w:hAnsi="Times New Roman"/>
        </w:rPr>
      </w:pPr>
    </w:p>
    <w:p w14:paraId="7D4A9B25" w14:textId="77777777" w:rsidR="00810C20" w:rsidRPr="00632DBC" w:rsidRDefault="00810C20" w:rsidP="003966BA">
      <w:pPr>
        <w:numPr>
          <w:ilvl w:val="0"/>
          <w:numId w:val="23"/>
        </w:numPr>
        <w:contextualSpacing/>
        <w:jc w:val="both"/>
        <w:rPr>
          <w:rFonts w:ascii="Times New Roman" w:hAnsi="Times New Roman"/>
        </w:rPr>
      </w:pPr>
      <w:r w:rsidRPr="00632DBC">
        <w:rPr>
          <w:rFonts w:ascii="Times New Roman" w:hAnsi="Times New Roman"/>
          <w:b/>
        </w:rPr>
        <w:t>To the CBD Secretariat and Member States:</w:t>
      </w:r>
      <w:r w:rsidRPr="00632DBC">
        <w:rPr>
          <w:rFonts w:ascii="Times New Roman" w:hAnsi="Times New Roman"/>
        </w:rPr>
        <w:t xml:space="preserve"> it is advised that the COP encourages Parties to report to the CBD Secretariat their safeguarding strategies associated with BFMs, including pilot experiences. Lessons learned could be drawn from these strategies and could support the Executive Secretariat in providing advice to Parties and other stakeholders on how to better implement the guidelines for maximising the biodiversity and social benefits of BFMs while also addressing the risks and challenges, building on tangible experiences from various countries.</w:t>
      </w:r>
    </w:p>
    <w:p w14:paraId="322EDF71" w14:textId="6CA58902" w:rsidR="00810C20" w:rsidRPr="00632DBC" w:rsidRDefault="00810C20" w:rsidP="003966BA">
      <w:pPr>
        <w:pStyle w:val="Heading2"/>
        <w:numPr>
          <w:ilvl w:val="0"/>
          <w:numId w:val="5"/>
        </w:numPr>
        <w:rPr>
          <w:lang w:val="en-GB"/>
        </w:rPr>
      </w:pPr>
      <w:bookmarkStart w:id="185" w:name="_Toc382590318"/>
      <w:bookmarkStart w:id="186" w:name="_Toc529199444"/>
      <w:bookmarkEnd w:id="146"/>
      <w:bookmarkEnd w:id="147"/>
      <w:bookmarkEnd w:id="148"/>
      <w:bookmarkEnd w:id="149"/>
      <w:bookmarkEnd w:id="150"/>
      <w:r w:rsidRPr="00632DBC">
        <w:rPr>
          <w:lang w:val="en-GB"/>
        </w:rPr>
        <w:t>Concluding remarks</w:t>
      </w:r>
      <w:bookmarkEnd w:id="185"/>
      <w:bookmarkEnd w:id="186"/>
      <w:r w:rsidRPr="00632DBC">
        <w:rPr>
          <w:lang w:val="en-GB"/>
        </w:rPr>
        <w:t xml:space="preserve"> </w:t>
      </w:r>
    </w:p>
    <w:p w14:paraId="4B3EB569" w14:textId="56ABFC00" w:rsidR="00810C20" w:rsidRPr="00632DBC" w:rsidRDefault="00810C20" w:rsidP="00632DBC">
      <w:pPr>
        <w:pStyle w:val="Corps"/>
        <w:keepNext/>
        <w:tabs>
          <w:tab w:val="left" w:pos="7998"/>
        </w:tabs>
        <w:spacing w:after="200" w:line="276" w:lineRule="auto"/>
        <w:jc w:val="both"/>
        <w:rPr>
          <w:rFonts w:ascii="Times New Roman" w:hAnsi="Times New Roman" w:cs="Times New Roman"/>
          <w:color w:val="auto"/>
          <w:lang w:val="en-GB"/>
        </w:rPr>
      </w:pPr>
      <w:r w:rsidRPr="00632DBC">
        <w:rPr>
          <w:rFonts w:ascii="Times New Roman" w:hAnsi="Times New Roman" w:cs="Times New Roman"/>
          <w:color w:val="auto"/>
          <w:lang w:val="en-GB"/>
        </w:rPr>
        <w:t>S</w:t>
      </w:r>
      <w:r w:rsidRPr="00632DBC">
        <w:rPr>
          <w:rFonts w:ascii="Times New Roman" w:hAnsi="Times New Roman"/>
          <w:color w:val="auto"/>
          <w:lang w:val="en-GB"/>
        </w:rPr>
        <w:t>caling-up biodiversity financing can be a means for meeting the CBD Objectives and the Aichi Biodiversity Targets.</w:t>
      </w:r>
      <w:r w:rsidRPr="00632DBC">
        <w:rPr>
          <w:rFonts w:ascii="Times New Roman" w:hAnsi="Times New Roman" w:cs="Times New Roman"/>
          <w:color w:val="auto"/>
          <w:vertAlign w:val="superscript"/>
          <w:lang w:val="en-GB"/>
        </w:rPr>
        <w:t xml:space="preserve"> </w:t>
      </w:r>
      <w:r w:rsidRPr="00632DBC">
        <w:rPr>
          <w:rFonts w:ascii="Times New Roman" w:hAnsi="Times New Roman" w:cs="Times New Roman"/>
          <w:color w:val="auto"/>
          <w:lang w:val="en-GB"/>
        </w:rPr>
        <w:t>B</w:t>
      </w:r>
      <w:r w:rsidRPr="00632DBC">
        <w:rPr>
          <w:rFonts w:ascii="Times New Roman" w:hAnsi="Times New Roman"/>
          <w:color w:val="auto"/>
          <w:lang w:val="en-GB"/>
        </w:rPr>
        <w:t>oth opportunities and risks</w:t>
      </w:r>
      <w:r w:rsidRPr="00632DBC">
        <w:rPr>
          <w:rFonts w:ascii="Times New Roman" w:hAnsi="Times New Roman" w:cs="Times New Roman"/>
          <w:color w:val="auto"/>
          <w:lang w:val="en-GB"/>
        </w:rPr>
        <w:t xml:space="preserve"> </w:t>
      </w:r>
      <w:proofErr w:type="gramStart"/>
      <w:r w:rsidRPr="00632DBC">
        <w:rPr>
          <w:rFonts w:ascii="Times New Roman" w:hAnsi="Times New Roman" w:cs="Times New Roman"/>
          <w:color w:val="auto"/>
          <w:lang w:val="en-GB"/>
        </w:rPr>
        <w:t>exist, and</w:t>
      </w:r>
      <w:proofErr w:type="gramEnd"/>
      <w:r w:rsidRPr="00632DBC">
        <w:rPr>
          <w:rFonts w:ascii="Times New Roman" w:hAnsi="Times New Roman" w:cs="Times New Roman"/>
          <w:color w:val="auto"/>
          <w:lang w:val="en-GB"/>
        </w:rPr>
        <w:t xml:space="preserve"> need to be taken into account in the mobilization of resources for biodiversity.</w:t>
      </w:r>
      <w:r w:rsidRPr="00632DBC">
        <w:rPr>
          <w:rFonts w:ascii="Times New Roman" w:hAnsi="Times New Roman"/>
          <w:color w:val="auto"/>
          <w:lang w:val="en-GB"/>
        </w:rPr>
        <w:t xml:space="preserve"> </w:t>
      </w:r>
      <w:r w:rsidRPr="00632DBC">
        <w:rPr>
          <w:rFonts w:ascii="Times New Roman" w:hAnsi="Times New Roman" w:cs="Times New Roman"/>
          <w:color w:val="auto"/>
          <w:lang w:val="en-GB"/>
        </w:rPr>
        <w:t xml:space="preserve">Key concerns are the </w:t>
      </w:r>
      <w:r w:rsidRPr="00632DBC">
        <w:rPr>
          <w:rFonts w:ascii="Times New Roman" w:hAnsi="Times New Roman"/>
          <w:color w:val="auto"/>
          <w:lang w:val="en-GB"/>
        </w:rPr>
        <w:t xml:space="preserve">potential impacts </w:t>
      </w:r>
      <w:r w:rsidRPr="00632DBC">
        <w:rPr>
          <w:rFonts w:ascii="Times New Roman" w:hAnsi="Times New Roman" w:cs="Times New Roman"/>
          <w:color w:val="auto"/>
          <w:lang w:val="en-GB"/>
        </w:rPr>
        <w:t xml:space="preserve">of BFMs </w:t>
      </w:r>
      <w:r w:rsidRPr="00632DBC">
        <w:rPr>
          <w:rFonts w:ascii="Times New Roman" w:hAnsi="Times New Roman"/>
          <w:color w:val="auto"/>
          <w:lang w:val="en-GB"/>
        </w:rPr>
        <w:t>on different elements of biodiversity</w:t>
      </w:r>
      <w:r w:rsidRPr="00632DBC">
        <w:rPr>
          <w:rFonts w:ascii="Times New Roman" w:hAnsi="Times New Roman" w:cs="Times New Roman"/>
          <w:color w:val="auto"/>
          <w:lang w:val="en-GB"/>
        </w:rPr>
        <w:t>,</w:t>
      </w:r>
      <w:r w:rsidRPr="00632DBC">
        <w:rPr>
          <w:rFonts w:ascii="Times New Roman" w:hAnsi="Times New Roman"/>
          <w:color w:val="auto"/>
          <w:lang w:val="en-GB"/>
        </w:rPr>
        <w:t xml:space="preserve"> </w:t>
      </w:r>
      <w:r w:rsidRPr="00632DBC">
        <w:rPr>
          <w:rFonts w:ascii="Times New Roman" w:hAnsi="Times New Roman" w:cs="Times New Roman"/>
          <w:color w:val="auto"/>
          <w:lang w:val="en-GB"/>
        </w:rPr>
        <w:t>and</w:t>
      </w:r>
      <w:r w:rsidRPr="00632DBC">
        <w:rPr>
          <w:rFonts w:ascii="Times New Roman" w:hAnsi="Times New Roman"/>
          <w:color w:val="auto"/>
          <w:lang w:val="en-GB"/>
        </w:rPr>
        <w:t xml:space="preserve"> </w:t>
      </w:r>
      <w:r w:rsidRPr="00632DBC">
        <w:rPr>
          <w:rFonts w:ascii="Times New Roman" w:hAnsi="Times New Roman" w:cs="Times New Roman"/>
          <w:color w:val="auto"/>
          <w:lang w:val="en-GB"/>
        </w:rPr>
        <w:t xml:space="preserve">their </w:t>
      </w:r>
      <w:r w:rsidRPr="00632DBC">
        <w:rPr>
          <w:rFonts w:ascii="Times New Roman" w:hAnsi="Times New Roman"/>
          <w:color w:val="auto"/>
          <w:lang w:val="en-GB"/>
        </w:rPr>
        <w:t xml:space="preserve">effects on the rights and livelihoods of </w:t>
      </w:r>
      <w:r w:rsidRPr="00632DBC">
        <w:rPr>
          <w:rFonts w:ascii="Times New Roman" w:hAnsi="Times New Roman" w:cs="Times New Roman"/>
          <w:color w:val="auto"/>
          <w:lang w:val="en-GB"/>
        </w:rPr>
        <w:t xml:space="preserve">different individuals and groups in society. Issues of empowerment, capacity and equity are particularly acute for indigenous peoples and </w:t>
      </w:r>
      <w:r w:rsidR="00342ECB" w:rsidRPr="00632DBC">
        <w:rPr>
          <w:rFonts w:ascii="Times New Roman" w:hAnsi="Times New Roman" w:cs="Times New Roman"/>
          <w:color w:val="auto"/>
          <w:lang w:val="en-GB"/>
        </w:rPr>
        <w:t xml:space="preserve">local </w:t>
      </w:r>
      <w:r w:rsidRPr="00632DBC">
        <w:rPr>
          <w:rFonts w:ascii="Times New Roman" w:hAnsi="Times New Roman" w:cs="Times New Roman"/>
          <w:color w:val="auto"/>
          <w:lang w:val="en-GB"/>
        </w:rPr>
        <w:t xml:space="preserve">communities, given their close interdependence with their local environments. Gender issues also need to be taken into consideration.  </w:t>
      </w:r>
    </w:p>
    <w:p w14:paraId="3FC2624C" w14:textId="77777777" w:rsidR="00810C20" w:rsidRPr="00632DBC" w:rsidRDefault="00810C20" w:rsidP="00632DBC">
      <w:pPr>
        <w:pStyle w:val="Corps"/>
        <w:keepNext/>
        <w:tabs>
          <w:tab w:val="left" w:pos="7998"/>
        </w:tabs>
        <w:spacing w:after="200" w:line="276" w:lineRule="auto"/>
        <w:jc w:val="both"/>
        <w:rPr>
          <w:rFonts w:ascii="Times New Roman" w:hAnsi="Times New Roman" w:cs="Times New Roman"/>
          <w:color w:val="auto"/>
          <w:lang w:val="en-GB"/>
        </w:rPr>
      </w:pPr>
      <w:r w:rsidRPr="00632DBC">
        <w:rPr>
          <w:rFonts w:ascii="Times New Roman" w:hAnsi="Times New Roman" w:cs="Times New Roman"/>
          <w:color w:val="auto"/>
          <w:lang w:val="en-GB"/>
        </w:rPr>
        <w:t xml:space="preserve">Developing, implementing and providing coherence to biodiversity and social safeguards across national and international institutions is necessary for addressing unintended impacts of financing mechanisms. </w:t>
      </w:r>
      <w:r w:rsidRPr="00632DBC">
        <w:rPr>
          <w:rFonts w:ascii="Times New Roman" w:hAnsi="Times New Roman"/>
          <w:color w:val="auto"/>
          <w:lang w:val="en-GB"/>
        </w:rPr>
        <w:t xml:space="preserve">Safeguards in the environmental arena are evolving, and no longer relate just to the smooth administrative implementation of a mechanism. </w:t>
      </w:r>
      <w:r w:rsidRPr="00632DBC">
        <w:rPr>
          <w:rFonts w:ascii="Times New Roman" w:hAnsi="Times New Roman" w:cs="Times New Roman"/>
          <w:color w:val="auto"/>
          <w:lang w:val="en-GB"/>
        </w:rPr>
        <w:t>Safeguards can play a key role in improving equity and trust relationships between distinct stakeholders.</w:t>
      </w:r>
      <w:r w:rsidRPr="00632DBC">
        <w:rPr>
          <w:rFonts w:ascii="Times New Roman" w:hAnsi="Times New Roman"/>
          <w:color w:val="auto"/>
          <w:lang w:val="en-GB"/>
        </w:rPr>
        <w:t xml:space="preserve"> Safeguards framed in </w:t>
      </w:r>
      <w:proofErr w:type="gramStart"/>
      <w:r w:rsidRPr="00632DBC">
        <w:rPr>
          <w:rFonts w:ascii="Times New Roman" w:hAnsi="Times New Roman"/>
          <w:color w:val="auto"/>
          <w:lang w:val="en-GB"/>
        </w:rPr>
        <w:t xml:space="preserve">a </w:t>
      </w:r>
      <w:r w:rsidRPr="00632DBC">
        <w:rPr>
          <w:rFonts w:ascii="Times New Roman" w:hAnsi="Times New Roman" w:cs="Times New Roman"/>
          <w:color w:val="auto"/>
          <w:lang w:val="en-GB"/>
        </w:rPr>
        <w:t>rights</w:t>
      </w:r>
      <w:proofErr w:type="gramEnd"/>
      <w:r w:rsidRPr="00632DBC">
        <w:rPr>
          <w:rFonts w:ascii="Times New Roman" w:hAnsi="Times New Roman" w:cs="Times New Roman"/>
          <w:color w:val="auto"/>
          <w:lang w:val="en-GB"/>
        </w:rPr>
        <w:t xml:space="preserve">/responsibilities based approach </w:t>
      </w:r>
      <w:r w:rsidRPr="00632DBC">
        <w:rPr>
          <w:rFonts w:ascii="Times New Roman" w:hAnsi="Times New Roman"/>
          <w:color w:val="auto"/>
          <w:lang w:val="en-GB"/>
        </w:rPr>
        <w:t>can serve in constructively finding consensus for equitably allocating biocultural rights and duties among multiple parties.</w:t>
      </w:r>
    </w:p>
    <w:p w14:paraId="1F41DFB1" w14:textId="77777777" w:rsidR="00810C20" w:rsidRPr="00632DBC" w:rsidRDefault="00810C20" w:rsidP="00632DBC">
      <w:pPr>
        <w:pStyle w:val="Corps"/>
        <w:keepNext/>
        <w:tabs>
          <w:tab w:val="left" w:pos="7998"/>
        </w:tabs>
        <w:spacing w:after="200" w:line="276" w:lineRule="auto"/>
        <w:jc w:val="both"/>
        <w:rPr>
          <w:rFonts w:ascii="Times New Roman" w:hAnsi="Times New Roman"/>
          <w:color w:val="auto"/>
          <w:lang w:val="en-GB"/>
        </w:rPr>
      </w:pPr>
      <w:r w:rsidRPr="00632DBC">
        <w:rPr>
          <w:rFonts w:ascii="Times New Roman" w:hAnsi="Times New Roman"/>
          <w:color w:val="auto"/>
          <w:lang w:val="en-GB"/>
        </w:rPr>
        <w:t xml:space="preserve">In a progressive interpretation of safeguards, a plurality of legal systems including customary, national and international laws needs to be recognised. The dialectic interaction of these systems plays an important role in both social and environmental wellbeing.  </w:t>
      </w:r>
    </w:p>
    <w:p w14:paraId="3D2F5A39" w14:textId="77777777" w:rsidR="00810C20" w:rsidRPr="00632DBC" w:rsidRDefault="00810C20" w:rsidP="00810C20">
      <w:pPr>
        <w:spacing w:line="240" w:lineRule="auto"/>
        <w:jc w:val="both"/>
        <w:rPr>
          <w:rFonts w:ascii="Times New Roman" w:hAnsi="Times New Roman"/>
          <w:i/>
        </w:rPr>
      </w:pPr>
      <w:r w:rsidRPr="00632DBC">
        <w:rPr>
          <w:rFonts w:ascii="Times New Roman" w:hAnsi="Times New Roman"/>
          <w:i/>
        </w:rPr>
        <w:t xml:space="preserve">8.1 </w:t>
      </w:r>
      <w:r w:rsidRPr="00632DBC">
        <w:rPr>
          <w:rFonts w:ascii="Times New Roman" w:hAnsi="Times New Roman"/>
          <w:i/>
          <w:smallCaps/>
        </w:rPr>
        <w:t>Safeguards and payments for ecosystem services</w:t>
      </w:r>
    </w:p>
    <w:p w14:paraId="5CA51D23" w14:textId="77777777" w:rsidR="00810C20" w:rsidRPr="00632DBC" w:rsidRDefault="00810C20" w:rsidP="00632DBC">
      <w:pPr>
        <w:keepNext/>
        <w:jc w:val="both"/>
        <w:rPr>
          <w:rFonts w:ascii="Times New Roman" w:hAnsi="Times New Roman"/>
        </w:rPr>
      </w:pPr>
      <w:r w:rsidRPr="00632DBC">
        <w:rPr>
          <w:rFonts w:ascii="Times New Roman" w:hAnsi="Times New Roman"/>
        </w:rPr>
        <w:t xml:space="preserve">Legislative and policy efforts should not be focused on regulating indigenous peoples and local communities with strict conservation efforts, but rather on changing the drivers of unsustainable natural </w:t>
      </w:r>
      <w:r w:rsidRPr="00632DBC">
        <w:rPr>
          <w:rFonts w:ascii="Times New Roman" w:hAnsi="Times New Roman"/>
        </w:rPr>
        <w:lastRenderedPageBreak/>
        <w:t xml:space="preserve">resource management such as illegal logging. This can be done through indirect safeguards for tackling these drivers. In addition to these indirect safeguards in PES, direct procedural safeguards can be developed. For example, a process can be put in place for achieving free prior informed consent and mutually agreed terms and conditions between land users and other stakeholders in PES contracts. These should be synchronised with substantive safeguards in the distribution of the bundles of tenure/ property rights. These safeguards should observe, at a minimum, internationally agreed commitments that refer to equitable allocation of rights and duties in for example the CBD, UNFCCC, international human rights treaties and the United Nations Declaration of the Rights of Indigenous Peoples.  </w:t>
      </w:r>
    </w:p>
    <w:p w14:paraId="455BBF27" w14:textId="77777777" w:rsidR="00810C20" w:rsidRPr="00632DBC" w:rsidRDefault="00810C20" w:rsidP="00810C20">
      <w:pPr>
        <w:autoSpaceDE w:val="0"/>
        <w:autoSpaceDN w:val="0"/>
        <w:adjustRightInd w:val="0"/>
        <w:spacing w:before="120" w:after="120" w:line="240" w:lineRule="auto"/>
        <w:jc w:val="both"/>
        <w:rPr>
          <w:rFonts w:ascii="Times New Roman" w:hAnsi="Times New Roman"/>
          <w:i/>
          <w:lang w:eastAsia="en-GB"/>
        </w:rPr>
      </w:pPr>
      <w:r w:rsidRPr="00632DBC">
        <w:rPr>
          <w:rFonts w:ascii="Times New Roman" w:hAnsi="Times New Roman"/>
          <w:i/>
          <w:lang w:eastAsia="en-GB"/>
        </w:rPr>
        <w:t xml:space="preserve">8.2 </w:t>
      </w:r>
      <w:r w:rsidRPr="00632DBC">
        <w:rPr>
          <w:rFonts w:ascii="Times New Roman" w:hAnsi="Times New Roman"/>
          <w:i/>
          <w:smallCaps/>
          <w:lang w:eastAsia="en-GB"/>
        </w:rPr>
        <w:t>Safeguards and offsets</w:t>
      </w:r>
    </w:p>
    <w:p w14:paraId="6BC1032C" w14:textId="77777777" w:rsidR="00810C20" w:rsidRPr="00632DBC" w:rsidRDefault="00810C20" w:rsidP="00632DBC">
      <w:pPr>
        <w:keepNext/>
        <w:jc w:val="both"/>
        <w:rPr>
          <w:rFonts w:ascii="Times New Roman" w:hAnsi="Times New Roman"/>
        </w:rPr>
      </w:pPr>
      <w:r w:rsidRPr="00632DBC">
        <w:rPr>
          <w:rFonts w:ascii="Times New Roman" w:hAnsi="Times New Roman"/>
        </w:rPr>
        <w:t xml:space="preserve">Bearing in mind the unproved dimensions of biodiversity offsets and applying the precautionary principle, well-designed procedural safeguards should be in place for the careful and participatory assessment of the design, approval and implementation of offset mechanisms. CBD tools such as the </w:t>
      </w:r>
      <w:proofErr w:type="spellStart"/>
      <w:proofErr w:type="gramStart"/>
      <w:r w:rsidRPr="00632DBC">
        <w:rPr>
          <w:rFonts w:ascii="Times New Roman" w:hAnsi="Times New Roman"/>
        </w:rPr>
        <w:t>Akwe:kon</w:t>
      </w:r>
      <w:proofErr w:type="spellEnd"/>
      <w:proofErr w:type="gramEnd"/>
      <w:r w:rsidRPr="00632DBC">
        <w:rPr>
          <w:rFonts w:ascii="Times New Roman" w:hAnsi="Times New Roman"/>
        </w:rPr>
        <w:t xml:space="preserve"> guidelines on environmental, social and cultural impact assessment can serve to inform such assessments and identify if they should be approved or rejected. The substantive safeguards are mainly about ensuring that new policies for biodiversity offsets do not result in permissions to exploit areas that would otherwise not be exploited. Indeed, the application of the polluter pays principle should result in less exploitation in total, as well as an avoidance of “no-go areas” because areas with less biodiversity tend to be easier and cheaper to compensate.</w:t>
      </w:r>
    </w:p>
    <w:p w14:paraId="66A39E2D" w14:textId="77777777" w:rsidR="00810C20" w:rsidRPr="00632DBC" w:rsidRDefault="00810C20" w:rsidP="00810C20">
      <w:pPr>
        <w:spacing w:line="240" w:lineRule="auto"/>
        <w:jc w:val="both"/>
        <w:rPr>
          <w:rFonts w:ascii="Times New Roman" w:hAnsi="Times New Roman"/>
          <w:i/>
        </w:rPr>
      </w:pPr>
      <w:r w:rsidRPr="00632DBC">
        <w:rPr>
          <w:rFonts w:ascii="Times New Roman" w:hAnsi="Times New Roman"/>
          <w:i/>
        </w:rPr>
        <w:t xml:space="preserve">8.3 </w:t>
      </w:r>
      <w:r w:rsidRPr="00632DBC">
        <w:rPr>
          <w:rFonts w:ascii="Times New Roman" w:hAnsi="Times New Roman"/>
          <w:i/>
          <w:smallCaps/>
        </w:rPr>
        <w:t>Safeguards and fiscal reforms</w:t>
      </w:r>
    </w:p>
    <w:p w14:paraId="2DF81378" w14:textId="77777777" w:rsidR="00810C20" w:rsidRPr="00632DBC" w:rsidRDefault="00810C20" w:rsidP="00632DBC">
      <w:pPr>
        <w:keepNext/>
        <w:jc w:val="both"/>
        <w:rPr>
          <w:rFonts w:ascii="Times New Roman" w:hAnsi="Times New Roman"/>
        </w:rPr>
      </w:pPr>
      <w:r w:rsidRPr="00632DBC">
        <w:rPr>
          <w:rFonts w:ascii="Times New Roman" w:hAnsi="Times New Roman"/>
        </w:rPr>
        <w:t xml:space="preserve">This analysis has found that one type of BFM may be linked to another type of BFM. For example, a PES can be financed by an earmarked fiscal reform. Hence, Parties can contribute to achieve sustainable biodiversity conservation and social development by harmonising safeguards in fiscal reforms with those in PES. With a strong political will, Parties can apply safeguards that reduce perverse incentives such by avoiding subsidies to environmentally unsustainable practices. These measures can constitute indirect safeguards in other BFMs such as PES. </w:t>
      </w:r>
    </w:p>
    <w:p w14:paraId="210FA462" w14:textId="77777777" w:rsidR="00810C20" w:rsidRPr="00632DBC" w:rsidRDefault="00810C20" w:rsidP="00810C20">
      <w:pPr>
        <w:spacing w:line="240" w:lineRule="auto"/>
        <w:jc w:val="both"/>
        <w:rPr>
          <w:rFonts w:ascii="Times New Roman" w:hAnsi="Times New Roman"/>
          <w:i/>
        </w:rPr>
      </w:pPr>
      <w:r w:rsidRPr="00632DBC">
        <w:rPr>
          <w:rFonts w:ascii="Times New Roman" w:hAnsi="Times New Roman"/>
          <w:i/>
        </w:rPr>
        <w:t xml:space="preserve">8.4 </w:t>
      </w:r>
      <w:r w:rsidRPr="00632DBC">
        <w:rPr>
          <w:rFonts w:ascii="Times New Roman" w:hAnsi="Times New Roman"/>
          <w:i/>
          <w:smallCaps/>
        </w:rPr>
        <w:t xml:space="preserve">Safeguards, International Development Finance and Official Development Assistance </w:t>
      </w:r>
    </w:p>
    <w:p w14:paraId="70220982" w14:textId="77777777" w:rsidR="00810C20" w:rsidRPr="00632DBC" w:rsidRDefault="00810C20" w:rsidP="00632DBC">
      <w:pPr>
        <w:keepNext/>
        <w:jc w:val="both"/>
        <w:rPr>
          <w:rFonts w:ascii="Times New Roman" w:hAnsi="Times New Roman"/>
        </w:rPr>
      </w:pPr>
      <w:r w:rsidRPr="00632DBC">
        <w:rPr>
          <w:rFonts w:ascii="Times New Roman" w:hAnsi="Times New Roman"/>
        </w:rPr>
        <w:t xml:space="preserve">When elaborating on safeguards in new and innovative sources of international development finance for biodiversity protection, there is a need to learn from the long experience of Overseas Development Assistance on issues relating to good governance. While ODA is not an innovative financing mechanism as such, they are often closely related. For example, ODA can provide seed money for innovative financing mechanisms such as PES. The main tools used in ODA to safeguard these aspects are impact assessments (such as EIA, SIA and SEA) of contributions. It is also important to recognise the development of policy coherence, notably between trade, environment and development cooperation, in safeguarding both social and environmental results. </w:t>
      </w:r>
    </w:p>
    <w:p w14:paraId="64D3AC1F" w14:textId="77777777" w:rsidR="00810C20" w:rsidRPr="00632DBC" w:rsidRDefault="00810C20" w:rsidP="00810C20">
      <w:pPr>
        <w:spacing w:line="240" w:lineRule="auto"/>
        <w:jc w:val="both"/>
        <w:rPr>
          <w:rFonts w:ascii="Times New Roman" w:hAnsi="Times New Roman"/>
          <w:i/>
          <w:iCs/>
          <w:smallCaps/>
        </w:rPr>
      </w:pPr>
      <w:r w:rsidRPr="00632DBC">
        <w:rPr>
          <w:rFonts w:ascii="Times New Roman" w:hAnsi="Times New Roman"/>
          <w:i/>
          <w:iCs/>
          <w:smallCaps/>
        </w:rPr>
        <w:t>8.5 Safeguards and green markets</w:t>
      </w:r>
    </w:p>
    <w:p w14:paraId="277F10AF" w14:textId="3C60DB02" w:rsidR="00810C20" w:rsidRPr="00632DBC" w:rsidRDefault="00810C20" w:rsidP="00632DBC">
      <w:pPr>
        <w:keepNext/>
        <w:jc w:val="both"/>
        <w:rPr>
          <w:rFonts w:ascii="Times New Roman" w:hAnsi="Times New Roman"/>
        </w:rPr>
      </w:pPr>
      <w:r w:rsidRPr="00632DBC">
        <w:rPr>
          <w:rFonts w:ascii="Times New Roman" w:hAnsi="Times New Roman"/>
        </w:rPr>
        <w:t>There are various roles that green markets can play in BFM. They can help in raising finance for biodiversity by providing market access or green premiums for products originating from land areas managed to conserve biodiversity. They can also serve as a source of performance standards and verification that helps determine whether an offset has been adequately designed and subsequently implemented. However</w:t>
      </w:r>
      <w:r w:rsidR="00900DFF" w:rsidRPr="00632DBC">
        <w:rPr>
          <w:rFonts w:ascii="Times New Roman" w:hAnsi="Times New Roman"/>
        </w:rPr>
        <w:t>,</w:t>
      </w:r>
      <w:r w:rsidRPr="00632DBC">
        <w:rPr>
          <w:rFonts w:ascii="Times New Roman" w:hAnsi="Times New Roman"/>
        </w:rPr>
        <w:t xml:space="preserve"> there are many lessons to learn from other sectors regarding potential proliferation of competing labels and claims, highlighting the importance of effective communication, </w:t>
      </w:r>
      <w:r w:rsidRPr="00632DBC">
        <w:rPr>
          <w:rFonts w:ascii="Times New Roman" w:hAnsi="Times New Roman"/>
        </w:rPr>
        <w:lastRenderedPageBreak/>
        <w:t xml:space="preserve">education and transparency </w:t>
      </w:r>
      <w:r w:rsidR="00900DFF" w:rsidRPr="00632DBC">
        <w:rPr>
          <w:rFonts w:ascii="Times New Roman" w:hAnsi="Times New Roman"/>
        </w:rPr>
        <w:t xml:space="preserve">when it comes to </w:t>
      </w:r>
      <w:r w:rsidRPr="00632DBC">
        <w:rPr>
          <w:rFonts w:ascii="Times New Roman" w:hAnsi="Times New Roman"/>
        </w:rPr>
        <w:t>precisely how biodiversity safeguards are defined and assured across different standards.</w:t>
      </w:r>
    </w:p>
    <w:p w14:paraId="50AFC0DF" w14:textId="77777777" w:rsidR="00810C20" w:rsidRPr="00632DBC" w:rsidRDefault="00810C20" w:rsidP="00810C20">
      <w:pPr>
        <w:spacing w:line="240" w:lineRule="auto"/>
        <w:jc w:val="both"/>
        <w:rPr>
          <w:rFonts w:ascii="Times New Roman" w:hAnsi="Times New Roman"/>
          <w:i/>
          <w:iCs/>
          <w:smallCaps/>
        </w:rPr>
      </w:pPr>
      <w:r w:rsidRPr="00632DBC">
        <w:rPr>
          <w:rFonts w:ascii="Times New Roman" w:hAnsi="Times New Roman"/>
          <w:i/>
          <w:iCs/>
          <w:smallCaps/>
        </w:rPr>
        <w:t xml:space="preserve">8.6 Safeguards and climate funding with co-benefits for biodiversity </w:t>
      </w:r>
    </w:p>
    <w:p w14:paraId="018706CE" w14:textId="01527C2E" w:rsidR="00810C20" w:rsidRPr="00632DBC" w:rsidRDefault="00810C20" w:rsidP="00632DBC">
      <w:pPr>
        <w:keepNext/>
        <w:tabs>
          <w:tab w:val="left" w:pos="284"/>
        </w:tabs>
        <w:jc w:val="both"/>
        <w:rPr>
          <w:rFonts w:ascii="Times New Roman" w:hAnsi="Times New Roman"/>
        </w:rPr>
      </w:pPr>
      <w:r w:rsidRPr="00632DBC">
        <w:rPr>
          <w:rFonts w:ascii="Times New Roman" w:hAnsi="Times New Roman"/>
        </w:rPr>
        <w:t>REDD+ under the UNFCCC</w:t>
      </w:r>
      <w:r w:rsidR="00A40BC1" w:rsidRPr="00632DBC">
        <w:rPr>
          <w:rFonts w:ascii="Times New Roman" w:hAnsi="Times New Roman"/>
        </w:rPr>
        <w:t>,</w:t>
      </w:r>
      <w:r w:rsidRPr="00632DBC">
        <w:rPr>
          <w:rFonts w:ascii="Times New Roman" w:hAnsi="Times New Roman"/>
        </w:rPr>
        <w:t xml:space="preserve"> has provided an important arena for the incorporation of social and environmental safeguards into forest and land use governance at both project and larger subnational, national and international levels. The CBD has produced advice on the interpretation of REDD+ safeguards for biodiversity</w:t>
      </w:r>
      <w:r w:rsidR="00A40BC1" w:rsidRPr="00632DBC">
        <w:rPr>
          <w:rFonts w:ascii="Times New Roman" w:hAnsi="Times New Roman"/>
        </w:rPr>
        <w:t>.</w:t>
      </w:r>
      <w:r w:rsidRPr="00632DBC">
        <w:rPr>
          <w:rFonts w:ascii="Times New Roman" w:hAnsi="Times New Roman"/>
        </w:rPr>
        <w:t xml:space="preserve"> </w:t>
      </w:r>
      <w:r w:rsidR="00A40BC1" w:rsidRPr="00632DBC">
        <w:rPr>
          <w:rFonts w:ascii="Times New Roman" w:hAnsi="Times New Roman"/>
        </w:rPr>
        <w:t>I</w:t>
      </w:r>
      <w:r w:rsidR="00AE5FB6" w:rsidRPr="00632DBC">
        <w:rPr>
          <w:rFonts w:ascii="Times New Roman" w:hAnsi="Times New Roman"/>
        </w:rPr>
        <w:t>f</w:t>
      </w:r>
      <w:r w:rsidRPr="00632DBC">
        <w:rPr>
          <w:rFonts w:ascii="Times New Roman" w:hAnsi="Times New Roman"/>
        </w:rPr>
        <w:t xml:space="preserve"> followed, </w:t>
      </w:r>
      <w:r w:rsidR="00A40BC1" w:rsidRPr="00632DBC">
        <w:rPr>
          <w:rFonts w:ascii="Times New Roman" w:hAnsi="Times New Roman"/>
        </w:rPr>
        <w:t xml:space="preserve">it </w:t>
      </w:r>
      <w:r w:rsidRPr="00632DBC">
        <w:rPr>
          <w:rFonts w:ascii="Times New Roman" w:hAnsi="Times New Roman"/>
        </w:rPr>
        <w:t>can help to ensure that climate funding –</w:t>
      </w:r>
      <w:r w:rsidR="00AE5FB6" w:rsidRPr="00632DBC">
        <w:rPr>
          <w:rFonts w:ascii="Times New Roman" w:hAnsi="Times New Roman"/>
        </w:rPr>
        <w:t xml:space="preserve"> </w:t>
      </w:r>
      <w:r w:rsidRPr="00632DBC">
        <w:rPr>
          <w:rFonts w:ascii="Times New Roman" w:hAnsi="Times New Roman"/>
        </w:rPr>
        <w:t>whether for REDD+ or some via some other climate mechanism – produces co-benefits for biodiversity and for peoples’ livelihoods.</w:t>
      </w:r>
    </w:p>
    <w:p w14:paraId="341CAD81" w14:textId="77777777" w:rsidR="00810C20" w:rsidRPr="00632DBC" w:rsidRDefault="00810C20" w:rsidP="00810C20">
      <w:pPr>
        <w:spacing w:line="240" w:lineRule="auto"/>
        <w:jc w:val="both"/>
        <w:rPr>
          <w:rFonts w:ascii="Times New Roman" w:hAnsi="Times New Roman"/>
          <w:i/>
        </w:rPr>
      </w:pPr>
      <w:r w:rsidRPr="00632DBC">
        <w:rPr>
          <w:rFonts w:ascii="Times New Roman" w:hAnsi="Times New Roman"/>
          <w:i/>
        </w:rPr>
        <w:t xml:space="preserve">8.7 </w:t>
      </w:r>
      <w:r w:rsidRPr="00632DBC">
        <w:rPr>
          <w:rFonts w:ascii="Times New Roman" w:hAnsi="Times New Roman"/>
          <w:i/>
          <w:smallCaps/>
        </w:rPr>
        <w:t>Safeguards and Guidelines</w:t>
      </w:r>
    </w:p>
    <w:p w14:paraId="4B390F32" w14:textId="0403A589" w:rsidR="00810C20" w:rsidRPr="00632DBC" w:rsidRDefault="00810C20" w:rsidP="00632DBC">
      <w:pPr>
        <w:keepNext/>
        <w:jc w:val="both"/>
        <w:rPr>
          <w:rFonts w:ascii="Times New Roman" w:hAnsi="Times New Roman"/>
          <w:b/>
          <w:bCs/>
          <w:i/>
          <w:iCs/>
        </w:rPr>
      </w:pPr>
      <w:r w:rsidRPr="00632DBC">
        <w:rPr>
          <w:rFonts w:ascii="Times New Roman" w:hAnsi="Times New Roman"/>
        </w:rPr>
        <w:t xml:space="preserve">This study has found that different BFMs may be interlinked in practice. Likewise, BFMs can be related to other means of resource mobilisation such as ODA. Hence, while Parties develop specific safeguards that respond to the risks and opportunities of each BFMs, their efforts can be more effective by harmonising different safeguards in scaling-up biodiversity financing. Moreover, the </w:t>
      </w:r>
      <w:r w:rsidR="003A65CE" w:rsidRPr="00632DBC">
        <w:rPr>
          <w:rFonts w:ascii="Times New Roman" w:hAnsi="Times New Roman"/>
        </w:rPr>
        <w:t>adopted</w:t>
      </w:r>
      <w:r w:rsidRPr="00632DBC">
        <w:rPr>
          <w:rFonts w:ascii="Times New Roman" w:hAnsi="Times New Roman"/>
        </w:rPr>
        <w:t xml:space="preserve"> guidelines (Biodiversity underpins local livelihoods and resilience; People’s rights, </w:t>
      </w:r>
      <w:r w:rsidR="005A76DB" w:rsidRPr="00632DBC">
        <w:rPr>
          <w:rFonts w:ascii="Times New Roman" w:hAnsi="Times New Roman"/>
        </w:rPr>
        <w:t>responsibilities and effective participation</w:t>
      </w:r>
      <w:r w:rsidRPr="00632DBC">
        <w:rPr>
          <w:rFonts w:ascii="Times New Roman" w:hAnsi="Times New Roman"/>
        </w:rPr>
        <w:t xml:space="preserve">; Local and country-driven/specific processes linked to the international level; </w:t>
      </w:r>
      <w:r w:rsidR="003F6434" w:rsidRPr="00632DBC">
        <w:rPr>
          <w:rFonts w:ascii="Times New Roman" w:hAnsi="Times New Roman"/>
        </w:rPr>
        <w:t>Governance, institutional frameworks, transparency, accountability and compliance</w:t>
      </w:r>
      <w:r w:rsidRPr="00632DBC">
        <w:rPr>
          <w:rFonts w:ascii="Times New Roman" w:hAnsi="Times New Roman"/>
        </w:rPr>
        <w:t>)</w:t>
      </w:r>
      <w:r w:rsidRPr="00632DBC">
        <w:rPr>
          <w:rFonts w:ascii="Times New Roman" w:hAnsi="Times New Roman"/>
          <w:b/>
          <w:bCs/>
          <w:i/>
          <w:iCs/>
        </w:rPr>
        <w:t xml:space="preserve"> </w:t>
      </w:r>
      <w:r w:rsidRPr="00632DBC">
        <w:rPr>
          <w:rFonts w:ascii="Times New Roman" w:hAnsi="Times New Roman"/>
        </w:rPr>
        <w:t>can be the baseline underl</w:t>
      </w:r>
      <w:r w:rsidR="003F6434" w:rsidRPr="00632DBC">
        <w:rPr>
          <w:rFonts w:ascii="Times New Roman" w:hAnsi="Times New Roman"/>
        </w:rPr>
        <w:t>ying safeguards in all the BFMs</w:t>
      </w:r>
      <w:r w:rsidRPr="00632DBC">
        <w:rPr>
          <w:rFonts w:ascii="Times New Roman" w:hAnsi="Times New Roman"/>
        </w:rPr>
        <w:t>.</w:t>
      </w:r>
    </w:p>
    <w:p w14:paraId="6708D4A1" w14:textId="613006D1" w:rsidR="00810C20" w:rsidRPr="00632DBC" w:rsidRDefault="00810C20" w:rsidP="00632DBC">
      <w:pPr>
        <w:keepNext/>
        <w:jc w:val="both"/>
        <w:rPr>
          <w:rFonts w:ascii="Times New Roman" w:hAnsi="Times New Roman"/>
        </w:rPr>
      </w:pPr>
      <w:r w:rsidRPr="00632DBC">
        <w:rPr>
          <w:rFonts w:ascii="Times New Roman" w:hAnsi="Times New Roman"/>
        </w:rPr>
        <w:t xml:space="preserve">Guidelines for safeguards in scaling-up biodiversity financing can be articulated using official legal instruments and already existing voluntary standards and guidelines. The </w:t>
      </w:r>
      <w:r w:rsidR="003A65CE" w:rsidRPr="00632DBC">
        <w:rPr>
          <w:rFonts w:ascii="Times New Roman" w:hAnsi="Times New Roman"/>
        </w:rPr>
        <w:t>adopted</w:t>
      </w:r>
      <w:r w:rsidRPr="00632DBC">
        <w:rPr>
          <w:rFonts w:ascii="Times New Roman" w:hAnsi="Times New Roman"/>
        </w:rPr>
        <w:t xml:space="preserve"> guiding principles for safeguards in BFMs aim to provide useful food for thought in the process of developing and implementing safeguards related to scaling up biodiversity financing</w:t>
      </w:r>
      <w:r w:rsidR="00A30D3A" w:rsidRPr="00632DBC">
        <w:rPr>
          <w:rFonts w:ascii="Times New Roman" w:hAnsi="Times New Roman"/>
        </w:rPr>
        <w:t>.</w:t>
      </w:r>
      <w:r w:rsidRPr="00632DBC">
        <w:rPr>
          <w:rFonts w:ascii="Times New Roman" w:hAnsi="Times New Roman"/>
        </w:rPr>
        <w:t xml:space="preserve"> </w:t>
      </w:r>
      <w:r w:rsidR="00A30D3A" w:rsidRPr="00632DBC">
        <w:rPr>
          <w:rFonts w:ascii="Times New Roman" w:hAnsi="Times New Roman"/>
        </w:rPr>
        <w:t>F</w:t>
      </w:r>
      <w:r w:rsidRPr="00632DBC">
        <w:rPr>
          <w:rFonts w:ascii="Times New Roman" w:hAnsi="Times New Roman"/>
        </w:rPr>
        <w:t xml:space="preserve">rom framing safeguards in BFMs and ensuring that BFMs have consistency and harmony with the Convention, and other relevant international obligations, to implementing them and verifying their compliance. Likewise, they can provide better understanding of safeguards in BFMs. Identifying key elements to be safeguarded in BFMs </w:t>
      </w:r>
      <w:proofErr w:type="gramStart"/>
      <w:r w:rsidRPr="00632DBC">
        <w:rPr>
          <w:rFonts w:ascii="Times New Roman" w:hAnsi="Times New Roman"/>
        </w:rPr>
        <w:t>in particular contexts</w:t>
      </w:r>
      <w:proofErr w:type="gramEnd"/>
      <w:r w:rsidR="00A30D3A" w:rsidRPr="00632DBC">
        <w:rPr>
          <w:rFonts w:ascii="Times New Roman" w:hAnsi="Times New Roman"/>
        </w:rPr>
        <w:t>,</w:t>
      </w:r>
      <w:r w:rsidRPr="00632DBC">
        <w:rPr>
          <w:rFonts w:ascii="Times New Roman" w:hAnsi="Times New Roman"/>
        </w:rPr>
        <w:t xml:space="preserve"> including those associated with </w:t>
      </w:r>
      <w:r w:rsidR="00A30D3A" w:rsidRPr="00632DBC">
        <w:rPr>
          <w:rFonts w:ascii="Times New Roman" w:hAnsi="Times New Roman"/>
        </w:rPr>
        <w:t xml:space="preserve">both </w:t>
      </w:r>
      <w:r w:rsidRPr="00632DBC">
        <w:rPr>
          <w:rFonts w:ascii="Times New Roman" w:hAnsi="Times New Roman"/>
        </w:rPr>
        <w:t xml:space="preserve">rights, resources and livelihoods and the values of biodiversity including its insurance, resilience and intrinsic values is key </w:t>
      </w:r>
      <w:r w:rsidR="00A30D3A" w:rsidRPr="00632DBC">
        <w:rPr>
          <w:rFonts w:ascii="Times New Roman" w:hAnsi="Times New Roman"/>
        </w:rPr>
        <w:t>to</w:t>
      </w:r>
      <w:r w:rsidRPr="00632DBC">
        <w:rPr>
          <w:rFonts w:ascii="Times New Roman" w:hAnsi="Times New Roman"/>
        </w:rPr>
        <w:t xml:space="preserve"> fulfilling the objectives of the CBD. Moreover, this study has found that institutional capacity and accountability are prerequisites for safeguards to function in BFMs. </w:t>
      </w:r>
    </w:p>
    <w:p w14:paraId="58D21661" w14:textId="6ABEA322" w:rsidR="00810C20" w:rsidRPr="00632DBC" w:rsidRDefault="00810C20" w:rsidP="00632DBC">
      <w:pPr>
        <w:keepNext/>
        <w:jc w:val="both"/>
        <w:rPr>
          <w:rFonts w:ascii="Times New Roman" w:hAnsi="Times New Roman"/>
        </w:rPr>
      </w:pPr>
      <w:r w:rsidRPr="00632DBC">
        <w:rPr>
          <w:rFonts w:ascii="Times New Roman" w:hAnsi="Times New Roman"/>
        </w:rPr>
        <w:t xml:space="preserve">In terms of further research, analysis of the way safeguards in BFMs articulate with various legal systems at different scales can help to harmonise the actions needed for the operationalisation of safeguards in BFMs and contribute to the fulfilment of the CBD’s objectives. </w:t>
      </w:r>
      <w:proofErr w:type="gramStart"/>
      <w:r w:rsidR="005532CB" w:rsidRPr="00632DBC">
        <w:rPr>
          <w:rFonts w:ascii="Times New Roman" w:hAnsi="Times New Roman"/>
        </w:rPr>
        <w:t>In order to</w:t>
      </w:r>
      <w:proofErr w:type="gramEnd"/>
      <w:r w:rsidR="005532CB" w:rsidRPr="00632DBC">
        <w:rPr>
          <w:rFonts w:ascii="Times New Roman" w:hAnsi="Times New Roman"/>
        </w:rPr>
        <w:t xml:space="preserve"> achieve equitable and sustainable outcomes, </w:t>
      </w:r>
      <w:r w:rsidR="00D31F4E">
        <w:rPr>
          <w:rFonts w:ascii="Times New Roman" w:hAnsi="Times New Roman"/>
        </w:rPr>
        <w:t>t</w:t>
      </w:r>
      <w:r w:rsidRPr="00632DBC">
        <w:rPr>
          <w:rFonts w:ascii="Times New Roman" w:hAnsi="Times New Roman"/>
        </w:rPr>
        <w:t>he discussion would benefit from case studies that examine the necessary measures to synchronise substantive safeguards</w:t>
      </w:r>
      <w:r w:rsidR="005532CB" w:rsidRPr="00632DBC">
        <w:rPr>
          <w:rFonts w:ascii="Times New Roman" w:hAnsi="Times New Roman"/>
        </w:rPr>
        <w:t xml:space="preserve"> that are associated</w:t>
      </w:r>
      <w:r w:rsidRPr="00632DBC">
        <w:rPr>
          <w:rFonts w:ascii="Times New Roman" w:hAnsi="Times New Roman"/>
        </w:rPr>
        <w:t xml:space="preserve"> with property/tenure rights and duties and procedural safeguards referring to the elements and the kinds of safeguards needed in the interaction between various stakeholders in BFMs</w:t>
      </w:r>
      <w:r w:rsidR="005532CB" w:rsidRPr="00632DBC">
        <w:rPr>
          <w:rFonts w:ascii="Times New Roman" w:hAnsi="Times New Roman"/>
        </w:rPr>
        <w:t>.</w:t>
      </w:r>
    </w:p>
    <w:p w14:paraId="0EB164AD" w14:textId="0C16A85D" w:rsidR="00810C20" w:rsidRPr="00633A71" w:rsidRDefault="00810C20" w:rsidP="00632DBC">
      <w:pPr>
        <w:keepNext/>
        <w:jc w:val="both"/>
        <w:rPr>
          <w:rFonts w:ascii="Times New Roman" w:hAnsi="Times New Roman"/>
        </w:rPr>
      </w:pPr>
      <w:r w:rsidRPr="00632DBC">
        <w:rPr>
          <w:rFonts w:ascii="Times New Roman" w:hAnsi="Times New Roman"/>
        </w:rPr>
        <w:t xml:space="preserve">In the environmental legal and policy arena, the discussion on safeguards has </w:t>
      </w:r>
      <w:r w:rsidR="00B1488B" w:rsidRPr="00632DBC">
        <w:rPr>
          <w:rFonts w:ascii="Times New Roman" w:hAnsi="Times New Roman"/>
        </w:rPr>
        <w:t>centred</w:t>
      </w:r>
      <w:r w:rsidRPr="00632DBC">
        <w:rPr>
          <w:rFonts w:ascii="Times New Roman" w:hAnsi="Times New Roman"/>
        </w:rPr>
        <w:t xml:space="preserve"> on forest resources, a topic which has gained momentum especially in relation to REDD+. There are important lessons to learn from REDD+ in terms of the content and implementation of safeguards and possible guidelines in BFMs. However, it is important that the attention on forest ecosystems in the international negotiations does not obscure the use and non-use values of other ecosystems and biological resources. Further work and research is needed in designing and implementing safeguards in BFMs</w:t>
      </w:r>
      <w:r w:rsidR="00B1488B" w:rsidRPr="00632DBC">
        <w:rPr>
          <w:rFonts w:ascii="Times New Roman" w:hAnsi="Times New Roman"/>
        </w:rPr>
        <w:t>,</w:t>
      </w:r>
      <w:r w:rsidRPr="00632DBC">
        <w:rPr>
          <w:rFonts w:ascii="Times New Roman" w:hAnsi="Times New Roman"/>
        </w:rPr>
        <w:t xml:space="preserve"> that focus on non-forested </w:t>
      </w:r>
      <w:r w:rsidRPr="00632DBC">
        <w:rPr>
          <w:rFonts w:ascii="Times New Roman" w:hAnsi="Times New Roman"/>
        </w:rPr>
        <w:lastRenderedPageBreak/>
        <w:t>areas such as deserts and wetlands with the participation of various stakeholders including communities that depend on these other ecosystems.</w:t>
      </w:r>
      <w:r w:rsidRPr="00633A71">
        <w:rPr>
          <w:rFonts w:ascii="Times New Roman" w:hAnsi="Times New Roman"/>
        </w:rPr>
        <w:t xml:space="preserve"> </w:t>
      </w:r>
    </w:p>
    <w:p w14:paraId="07BAE410" w14:textId="77777777" w:rsidR="00810C20" w:rsidRPr="00504B5E" w:rsidRDefault="00810C20" w:rsidP="00810C20">
      <w:pPr>
        <w:spacing w:after="0" w:line="240" w:lineRule="auto"/>
        <w:rPr>
          <w:rFonts w:ascii="Times New Roman" w:hAnsi="Times New Roman"/>
          <w:b/>
        </w:rPr>
      </w:pPr>
      <w:r w:rsidRPr="00633A71">
        <w:rPr>
          <w:rFonts w:ascii="Times New Roman" w:hAnsi="Times New Roman"/>
          <w:b/>
        </w:rPr>
        <w:br w:type="page"/>
      </w:r>
    </w:p>
    <w:p w14:paraId="27CBF4C8" w14:textId="77777777" w:rsidR="00810C20" w:rsidRPr="00504B5E" w:rsidRDefault="00810C20" w:rsidP="00810C20">
      <w:pPr>
        <w:spacing w:after="0" w:line="240" w:lineRule="auto"/>
        <w:rPr>
          <w:rFonts w:ascii="Times New Roman" w:hAnsi="Times New Roman"/>
          <w:b/>
        </w:rPr>
      </w:pPr>
      <w:bookmarkStart w:id="187" w:name="_Toc337217942"/>
      <w:bookmarkStart w:id="188" w:name="_Toc342296094"/>
    </w:p>
    <w:p w14:paraId="567A749F" w14:textId="712086F1" w:rsidR="00810C20" w:rsidRPr="00504B5E" w:rsidRDefault="00810C20" w:rsidP="00810C20">
      <w:pPr>
        <w:pStyle w:val="Heading1"/>
        <w:rPr>
          <w:b/>
          <w:lang w:val="en-GB"/>
        </w:rPr>
      </w:pPr>
      <w:bookmarkStart w:id="189" w:name="_Toc263943527"/>
      <w:bookmarkStart w:id="190" w:name="_Toc382590320"/>
      <w:bookmarkStart w:id="191" w:name="_Toc529199445"/>
      <w:bookmarkEnd w:id="187"/>
      <w:bookmarkEnd w:id="188"/>
      <w:r w:rsidRPr="00504B5E">
        <w:rPr>
          <w:b/>
          <w:sz w:val="22"/>
          <w:lang w:val="en-GB"/>
        </w:rPr>
        <w:t>Reference List</w:t>
      </w:r>
      <w:bookmarkEnd w:id="189"/>
      <w:bookmarkEnd w:id="190"/>
      <w:bookmarkEnd w:id="191"/>
      <w:r w:rsidRPr="00504B5E">
        <w:rPr>
          <w:b/>
          <w:sz w:val="22"/>
          <w:lang w:val="en-GB"/>
        </w:rPr>
        <w:t xml:space="preserve"> </w:t>
      </w:r>
    </w:p>
    <w:p w14:paraId="32D8DB0B" w14:textId="6ED03FC9" w:rsidR="00810C20" w:rsidRPr="00504B5E" w:rsidRDefault="00810C20" w:rsidP="00810C20">
      <w:pPr>
        <w:spacing w:before="200" w:after="0" w:line="240" w:lineRule="auto"/>
        <w:jc w:val="both"/>
        <w:rPr>
          <w:rFonts w:ascii="Arial" w:hAnsi="Arial" w:cs="Arial"/>
          <w:iCs/>
          <w:sz w:val="20"/>
          <w:szCs w:val="20"/>
        </w:rPr>
      </w:pPr>
      <w:r w:rsidRPr="00504B5E">
        <w:rPr>
          <w:rFonts w:ascii="Arial" w:hAnsi="Arial" w:cs="Arial"/>
          <w:iCs/>
          <w:sz w:val="20"/>
          <w:szCs w:val="20"/>
        </w:rPr>
        <w:t>African Biodiversity Network</w:t>
      </w:r>
      <w:r w:rsidR="001227FB">
        <w:rPr>
          <w:rFonts w:ascii="Arial" w:hAnsi="Arial" w:cs="Arial"/>
          <w:iCs/>
          <w:sz w:val="20"/>
          <w:szCs w:val="20"/>
        </w:rPr>
        <w:t>,</w:t>
      </w:r>
      <w:r w:rsidRPr="00504B5E">
        <w:rPr>
          <w:rFonts w:ascii="Arial" w:hAnsi="Arial" w:cs="Arial"/>
          <w:iCs/>
          <w:sz w:val="20"/>
          <w:szCs w:val="20"/>
        </w:rPr>
        <w:t xml:space="preserve"> 2012. </w:t>
      </w:r>
      <w:proofErr w:type="spellStart"/>
      <w:r w:rsidRPr="00504B5E">
        <w:rPr>
          <w:rFonts w:ascii="Arial" w:hAnsi="Arial" w:cs="Arial"/>
          <w:iCs/>
          <w:sz w:val="20"/>
          <w:szCs w:val="20"/>
        </w:rPr>
        <w:t>Nanyuki</w:t>
      </w:r>
      <w:proofErr w:type="spellEnd"/>
      <w:r w:rsidRPr="00504B5E">
        <w:rPr>
          <w:rFonts w:ascii="Arial" w:hAnsi="Arial" w:cs="Arial"/>
          <w:iCs/>
          <w:sz w:val="20"/>
          <w:szCs w:val="20"/>
        </w:rPr>
        <w:t xml:space="preserve"> Statement of common African customary laws for the protection of sacred sites Available at: </w:t>
      </w:r>
      <w:hyperlink r:id="rId14" w:history="1">
        <w:r w:rsidRPr="00632DBC">
          <w:rPr>
            <w:rStyle w:val="Hyperlink"/>
            <w:rFonts w:ascii="Arial" w:hAnsi="Arial" w:cs="Arial"/>
            <w:iCs/>
            <w:color w:val="auto"/>
            <w:sz w:val="20"/>
            <w:szCs w:val="20"/>
          </w:rPr>
          <w:t>http://www.gaiafoundation.org/sites/default/files/documents/Statement%20of%20the%20Common%20African%20Customary%20Laws%20for%20the%20Protection%20of%20Sacred%20Sites%202012_0.pdf</w:t>
        </w:r>
      </w:hyperlink>
      <w:r w:rsidRPr="00633A71">
        <w:rPr>
          <w:rFonts w:ascii="Arial" w:hAnsi="Arial" w:cs="Arial"/>
          <w:iCs/>
          <w:sz w:val="20"/>
          <w:szCs w:val="20"/>
        </w:rPr>
        <w:t xml:space="preserve"> Accessed 26</w:t>
      </w:r>
      <w:r w:rsidRPr="00633A71">
        <w:rPr>
          <w:rFonts w:ascii="Arial" w:hAnsi="Arial" w:cs="Arial"/>
          <w:iCs/>
          <w:sz w:val="20"/>
          <w:szCs w:val="20"/>
          <w:vertAlign w:val="superscript"/>
        </w:rPr>
        <w:t>th</w:t>
      </w:r>
      <w:r w:rsidRPr="00633A71">
        <w:rPr>
          <w:rFonts w:ascii="Arial" w:hAnsi="Arial" w:cs="Arial"/>
          <w:iCs/>
          <w:sz w:val="20"/>
          <w:szCs w:val="20"/>
        </w:rPr>
        <w:t xml:space="preserve"> May 2014</w:t>
      </w:r>
    </w:p>
    <w:p w14:paraId="44580252" w14:textId="2E852D2A" w:rsidR="00810C20" w:rsidRPr="00504B5E" w:rsidRDefault="00810C20" w:rsidP="00810C20">
      <w:pPr>
        <w:spacing w:before="200" w:after="0" w:line="240" w:lineRule="auto"/>
        <w:jc w:val="both"/>
        <w:rPr>
          <w:rFonts w:ascii="Arial" w:hAnsi="Arial" w:cs="Arial"/>
          <w:iCs/>
          <w:sz w:val="20"/>
          <w:szCs w:val="20"/>
        </w:rPr>
      </w:pPr>
      <w:r w:rsidRPr="00504B5E">
        <w:rPr>
          <w:rFonts w:ascii="Arial" w:hAnsi="Arial" w:cs="Arial"/>
          <w:iCs/>
          <w:sz w:val="20"/>
          <w:szCs w:val="20"/>
        </w:rPr>
        <w:t>Alcalde,</w:t>
      </w:r>
      <w:r w:rsidR="00D31F4E">
        <w:rPr>
          <w:rFonts w:ascii="Arial" w:hAnsi="Arial" w:cs="Arial"/>
          <w:iCs/>
          <w:sz w:val="20"/>
          <w:szCs w:val="20"/>
        </w:rPr>
        <w:t xml:space="preserve"> </w:t>
      </w:r>
      <w:r w:rsidRPr="00504B5E">
        <w:rPr>
          <w:rFonts w:ascii="Arial" w:hAnsi="Arial" w:cs="Arial"/>
          <w:iCs/>
          <w:sz w:val="20"/>
          <w:szCs w:val="20"/>
        </w:rPr>
        <w:t>M., Ponce,</w:t>
      </w:r>
      <w:r w:rsidR="00D31F4E">
        <w:rPr>
          <w:rFonts w:ascii="Arial" w:hAnsi="Arial" w:cs="Arial"/>
          <w:iCs/>
          <w:sz w:val="20"/>
          <w:szCs w:val="20"/>
        </w:rPr>
        <w:t xml:space="preserve"> </w:t>
      </w:r>
      <w:r w:rsidRPr="00504B5E">
        <w:rPr>
          <w:rFonts w:ascii="Arial" w:hAnsi="Arial" w:cs="Arial"/>
          <w:iCs/>
          <w:sz w:val="20"/>
          <w:szCs w:val="20"/>
        </w:rPr>
        <w:t xml:space="preserve">C.F and </w:t>
      </w:r>
      <w:proofErr w:type="spellStart"/>
      <w:r w:rsidRPr="00504B5E">
        <w:rPr>
          <w:rFonts w:ascii="Arial" w:hAnsi="Arial" w:cs="Arial"/>
          <w:iCs/>
          <w:sz w:val="20"/>
          <w:szCs w:val="20"/>
        </w:rPr>
        <w:t>Curon</w:t>
      </w:r>
      <w:proofErr w:type="spellEnd"/>
      <w:r w:rsidRPr="00504B5E">
        <w:rPr>
          <w:rFonts w:ascii="Arial" w:hAnsi="Arial" w:cs="Arial"/>
          <w:iCs/>
          <w:sz w:val="20"/>
          <w:szCs w:val="20"/>
        </w:rPr>
        <w:t>, Y.</w:t>
      </w:r>
      <w:r w:rsidR="001227FB">
        <w:rPr>
          <w:rFonts w:ascii="Arial" w:hAnsi="Arial" w:cs="Arial"/>
          <w:iCs/>
          <w:sz w:val="20"/>
          <w:szCs w:val="20"/>
        </w:rPr>
        <w:t>,</w:t>
      </w:r>
      <w:r w:rsidRPr="00504B5E">
        <w:rPr>
          <w:rFonts w:ascii="Arial" w:hAnsi="Arial" w:cs="Arial"/>
          <w:iCs/>
          <w:sz w:val="20"/>
          <w:szCs w:val="20"/>
        </w:rPr>
        <w:t xml:space="preserve"> 2009. Peace Parks in the Cordillera del </w:t>
      </w:r>
      <w:proofErr w:type="spellStart"/>
      <w:r w:rsidRPr="00504B5E">
        <w:rPr>
          <w:rFonts w:ascii="Arial" w:hAnsi="Arial" w:cs="Arial"/>
          <w:iCs/>
          <w:sz w:val="20"/>
          <w:szCs w:val="20"/>
        </w:rPr>
        <w:t>Cóndor</w:t>
      </w:r>
      <w:proofErr w:type="spellEnd"/>
      <w:r w:rsidRPr="00504B5E">
        <w:rPr>
          <w:rFonts w:ascii="Arial" w:hAnsi="Arial" w:cs="Arial"/>
          <w:iCs/>
          <w:sz w:val="20"/>
          <w:szCs w:val="20"/>
        </w:rPr>
        <w:t xml:space="preserve"> Mountain Range and Biodiversity Conservation Corridor. </w:t>
      </w:r>
      <w:r w:rsidRPr="00504B5E">
        <w:rPr>
          <w:rFonts w:ascii="Arial" w:hAnsi="Arial" w:cs="Arial"/>
          <w:i/>
          <w:iCs/>
          <w:sz w:val="20"/>
          <w:szCs w:val="20"/>
        </w:rPr>
        <w:t>Environmental Change and Security Program</w:t>
      </w:r>
      <w:r w:rsidRPr="00504B5E">
        <w:rPr>
          <w:rFonts w:ascii="Arial" w:hAnsi="Arial" w:cs="Arial"/>
          <w:iCs/>
          <w:sz w:val="20"/>
          <w:szCs w:val="20"/>
        </w:rPr>
        <w:t xml:space="preserve">, 11 </w:t>
      </w:r>
    </w:p>
    <w:p w14:paraId="7F5DEF02" w14:textId="454FD7C7" w:rsidR="00810C20" w:rsidRPr="00633A71" w:rsidRDefault="00810C20" w:rsidP="00810C20">
      <w:pPr>
        <w:spacing w:before="200" w:after="0" w:line="240" w:lineRule="auto"/>
        <w:jc w:val="both"/>
        <w:rPr>
          <w:rFonts w:ascii="Arial" w:hAnsi="Arial" w:cs="Arial"/>
          <w:iCs/>
          <w:sz w:val="20"/>
          <w:szCs w:val="20"/>
        </w:rPr>
      </w:pPr>
      <w:r w:rsidRPr="00504B5E">
        <w:rPr>
          <w:rFonts w:ascii="Arial" w:hAnsi="Arial" w:cs="Arial"/>
          <w:iCs/>
          <w:sz w:val="20"/>
          <w:szCs w:val="20"/>
        </w:rPr>
        <w:t xml:space="preserve">Alexander, M., </w:t>
      </w:r>
      <w:proofErr w:type="spellStart"/>
      <w:r w:rsidRPr="00504B5E">
        <w:rPr>
          <w:rFonts w:ascii="Arial" w:hAnsi="Arial" w:cs="Arial"/>
          <w:iCs/>
          <w:sz w:val="20"/>
          <w:szCs w:val="20"/>
        </w:rPr>
        <w:t>Chamundeeswari</w:t>
      </w:r>
      <w:proofErr w:type="spellEnd"/>
      <w:r w:rsidRPr="00504B5E">
        <w:rPr>
          <w:rFonts w:ascii="Arial" w:hAnsi="Arial" w:cs="Arial"/>
          <w:iCs/>
          <w:sz w:val="20"/>
          <w:szCs w:val="20"/>
        </w:rPr>
        <w:t>, K., Kambu, A., Ruiz, M., and Tobin, B.</w:t>
      </w:r>
      <w:r w:rsidR="001227FB">
        <w:rPr>
          <w:rFonts w:ascii="Arial" w:hAnsi="Arial" w:cs="Arial"/>
          <w:iCs/>
          <w:sz w:val="20"/>
          <w:szCs w:val="20"/>
        </w:rPr>
        <w:t>,</w:t>
      </w:r>
      <w:r w:rsidRPr="00504B5E">
        <w:rPr>
          <w:rFonts w:ascii="Arial" w:hAnsi="Arial" w:cs="Arial"/>
          <w:iCs/>
          <w:sz w:val="20"/>
          <w:szCs w:val="20"/>
        </w:rPr>
        <w:t xml:space="preserve"> 2004. The role of registers and databases in the protection of traditional knowledge: A comparative analysis.</w:t>
      </w:r>
      <w:r w:rsidRPr="00A3063C">
        <w:rPr>
          <w:rFonts w:ascii="Arial" w:hAnsi="Arial" w:cs="Arial"/>
          <w:i/>
          <w:iCs/>
          <w:sz w:val="20"/>
          <w:szCs w:val="20"/>
        </w:rPr>
        <w:t xml:space="preserve"> United Nations University Institute of Advanced Studies,</w:t>
      </w:r>
      <w:r w:rsidRPr="00A3063C">
        <w:rPr>
          <w:rFonts w:ascii="Arial" w:hAnsi="Arial" w:cs="Arial"/>
          <w:iCs/>
          <w:sz w:val="20"/>
          <w:szCs w:val="20"/>
        </w:rPr>
        <w:t xml:space="preserve"> Yokohama, Japan Available at: </w:t>
      </w:r>
      <w:hyperlink r:id="rId15" w:history="1">
        <w:r w:rsidRPr="00632DBC">
          <w:rPr>
            <w:rStyle w:val="Hyperlink"/>
            <w:rFonts w:ascii="Arial" w:hAnsi="Arial" w:cs="Arial"/>
            <w:iCs/>
            <w:color w:val="auto"/>
            <w:sz w:val="20"/>
            <w:szCs w:val="20"/>
          </w:rPr>
          <w:t>http://archive.ias.unu.edu/binaries/UNUIAS_TKRegistersReport.pdf</w:t>
        </w:r>
      </w:hyperlink>
      <w:r w:rsidRPr="00633A71">
        <w:rPr>
          <w:rFonts w:ascii="Arial" w:hAnsi="Arial" w:cs="Arial"/>
          <w:iCs/>
          <w:sz w:val="20"/>
          <w:szCs w:val="20"/>
        </w:rPr>
        <w:t xml:space="preserve"> Accessed 22nd May 2014</w:t>
      </w:r>
    </w:p>
    <w:p w14:paraId="51A71D28" w14:textId="2C1EDFF4" w:rsidR="00810C20" w:rsidRPr="00504B5E" w:rsidRDefault="00810C20" w:rsidP="00810C20">
      <w:pPr>
        <w:spacing w:before="200" w:after="0" w:line="240" w:lineRule="auto"/>
        <w:jc w:val="both"/>
        <w:rPr>
          <w:rFonts w:ascii="Arial" w:hAnsi="Arial" w:cs="Arial"/>
          <w:iCs/>
          <w:sz w:val="20"/>
          <w:szCs w:val="20"/>
        </w:rPr>
      </w:pPr>
      <w:r w:rsidRPr="00633A71">
        <w:rPr>
          <w:rFonts w:ascii="Arial" w:hAnsi="Arial" w:cs="Arial"/>
          <w:iCs/>
          <w:sz w:val="20"/>
          <w:szCs w:val="20"/>
        </w:rPr>
        <w:t>Anon</w:t>
      </w:r>
      <w:r w:rsidR="001227FB">
        <w:rPr>
          <w:rFonts w:ascii="Arial" w:hAnsi="Arial" w:cs="Arial"/>
          <w:iCs/>
          <w:sz w:val="20"/>
          <w:szCs w:val="20"/>
        </w:rPr>
        <w:t>,</w:t>
      </w:r>
      <w:r w:rsidRPr="00633A71">
        <w:rPr>
          <w:rFonts w:ascii="Arial" w:hAnsi="Arial" w:cs="Arial"/>
          <w:iCs/>
          <w:sz w:val="20"/>
          <w:szCs w:val="20"/>
        </w:rPr>
        <w:t xml:space="preserve"> 2000.International Ombudsman Centre for the Environment and Development is established, </w:t>
      </w:r>
      <w:r w:rsidRPr="00504B5E">
        <w:rPr>
          <w:rFonts w:ascii="Arial" w:hAnsi="Arial" w:cs="Arial"/>
          <w:i/>
          <w:iCs/>
          <w:sz w:val="20"/>
          <w:szCs w:val="20"/>
        </w:rPr>
        <w:t xml:space="preserve">International Journal of Sustainability in Higher Education </w:t>
      </w:r>
      <w:r w:rsidRPr="00504B5E">
        <w:rPr>
          <w:rFonts w:ascii="Arial" w:hAnsi="Arial" w:cs="Arial"/>
          <w:iCs/>
          <w:sz w:val="20"/>
          <w:szCs w:val="20"/>
        </w:rPr>
        <w:t xml:space="preserve">1(3) </w:t>
      </w:r>
    </w:p>
    <w:p w14:paraId="5D09C687" w14:textId="69F5680A" w:rsidR="00810C20" w:rsidRDefault="00810C20" w:rsidP="00810C20">
      <w:pPr>
        <w:spacing w:before="200" w:after="0" w:line="240" w:lineRule="auto"/>
        <w:jc w:val="both"/>
        <w:rPr>
          <w:rFonts w:ascii="Arial" w:hAnsi="Arial" w:cs="Arial"/>
          <w:iCs/>
          <w:sz w:val="20"/>
          <w:szCs w:val="20"/>
        </w:rPr>
      </w:pPr>
      <w:r w:rsidRPr="00504B5E">
        <w:rPr>
          <w:rFonts w:ascii="Arial" w:hAnsi="Arial"/>
          <w:sz w:val="20"/>
          <w:lang w:val="es-MX"/>
        </w:rPr>
        <w:t>Arguello, M. and Ochoa,</w:t>
      </w:r>
      <w:r w:rsidR="00D31F4E">
        <w:rPr>
          <w:rFonts w:ascii="Arial" w:hAnsi="Arial"/>
          <w:sz w:val="20"/>
          <w:lang w:val="es-MX"/>
        </w:rPr>
        <w:t xml:space="preserve"> </w:t>
      </w:r>
      <w:r w:rsidRPr="00504B5E">
        <w:rPr>
          <w:rFonts w:ascii="Arial" w:hAnsi="Arial"/>
          <w:sz w:val="20"/>
          <w:lang w:val="es-MX"/>
        </w:rPr>
        <w:t>N.</w:t>
      </w:r>
      <w:r w:rsidR="00B00EA6">
        <w:rPr>
          <w:rFonts w:ascii="Arial" w:hAnsi="Arial"/>
          <w:sz w:val="20"/>
          <w:lang w:val="es-MX"/>
        </w:rPr>
        <w:t>,</w:t>
      </w:r>
      <w:r w:rsidRPr="00504B5E">
        <w:rPr>
          <w:rFonts w:ascii="Arial" w:hAnsi="Arial"/>
          <w:sz w:val="20"/>
          <w:lang w:val="es-MX"/>
        </w:rPr>
        <w:t xml:space="preserve"> 2009. Foro: “Compensación de Servicios </w:t>
      </w:r>
      <w:proofErr w:type="spellStart"/>
      <w:proofErr w:type="gramStart"/>
      <w:r w:rsidRPr="00504B5E">
        <w:rPr>
          <w:rFonts w:ascii="Arial" w:hAnsi="Arial"/>
          <w:sz w:val="20"/>
          <w:lang w:val="es-MX"/>
        </w:rPr>
        <w:t>Ambientales:Initiativas</w:t>
      </w:r>
      <w:proofErr w:type="spellEnd"/>
      <w:proofErr w:type="gramEnd"/>
      <w:r w:rsidRPr="00504B5E">
        <w:rPr>
          <w:rFonts w:ascii="Arial" w:hAnsi="Arial"/>
          <w:sz w:val="20"/>
          <w:lang w:val="es-MX"/>
        </w:rPr>
        <w:t xml:space="preserve"> y experiencias”. </w:t>
      </w:r>
      <w:proofErr w:type="spellStart"/>
      <w:r w:rsidRPr="00633A71">
        <w:rPr>
          <w:rFonts w:ascii="Arial" w:hAnsi="Arial" w:cs="Arial"/>
          <w:iCs/>
          <w:sz w:val="20"/>
          <w:szCs w:val="20"/>
        </w:rPr>
        <w:t>Ecopar</w:t>
      </w:r>
      <w:proofErr w:type="spellEnd"/>
      <w:r w:rsidRPr="00633A71">
        <w:rPr>
          <w:rFonts w:ascii="Arial" w:hAnsi="Arial" w:cs="Arial"/>
          <w:iCs/>
          <w:sz w:val="20"/>
          <w:szCs w:val="20"/>
        </w:rPr>
        <w:t xml:space="preserve">, </w:t>
      </w:r>
      <w:proofErr w:type="spellStart"/>
      <w:r w:rsidRPr="00633A71">
        <w:rPr>
          <w:rFonts w:ascii="Arial" w:hAnsi="Arial" w:cs="Arial"/>
          <w:iCs/>
          <w:sz w:val="20"/>
          <w:szCs w:val="20"/>
        </w:rPr>
        <w:t>Ecociencia</w:t>
      </w:r>
      <w:proofErr w:type="spellEnd"/>
      <w:r w:rsidRPr="00633A71">
        <w:rPr>
          <w:rFonts w:ascii="Arial" w:hAnsi="Arial" w:cs="Arial"/>
          <w:iCs/>
          <w:sz w:val="20"/>
          <w:szCs w:val="20"/>
        </w:rPr>
        <w:t xml:space="preserve"> Available at:</w:t>
      </w:r>
      <w:r w:rsidRPr="00633A71">
        <w:rPr>
          <w:rFonts w:ascii="Arial" w:hAnsi="Arial" w:cs="Arial"/>
          <w:sz w:val="20"/>
          <w:szCs w:val="20"/>
        </w:rPr>
        <w:t xml:space="preserve"> </w:t>
      </w:r>
      <w:hyperlink r:id="rId16" w:history="1">
        <w:r w:rsidRPr="00632DBC">
          <w:rPr>
            <w:rStyle w:val="Hyperlink"/>
            <w:rFonts w:ascii="Arial" w:hAnsi="Arial" w:cs="Arial"/>
            <w:iCs/>
            <w:color w:val="auto"/>
            <w:sz w:val="20"/>
            <w:szCs w:val="20"/>
          </w:rPr>
          <w:t>http://www.agruco.org/bioandes/pdf/FORO4.pdf</w:t>
        </w:r>
      </w:hyperlink>
      <w:r w:rsidR="00926051">
        <w:rPr>
          <w:rFonts w:ascii="Arial" w:hAnsi="Arial" w:cs="Arial"/>
          <w:iCs/>
          <w:sz w:val="20"/>
          <w:szCs w:val="20"/>
        </w:rPr>
        <w:t xml:space="preserve"> </w:t>
      </w:r>
      <w:r w:rsidRPr="00633A71">
        <w:rPr>
          <w:rFonts w:ascii="Arial" w:hAnsi="Arial" w:cs="Arial"/>
          <w:iCs/>
          <w:sz w:val="20"/>
          <w:szCs w:val="20"/>
        </w:rPr>
        <w:t>Accessed 24</w:t>
      </w:r>
      <w:r w:rsidRPr="00633A71">
        <w:rPr>
          <w:rFonts w:ascii="Arial" w:hAnsi="Arial" w:cs="Arial"/>
          <w:iCs/>
          <w:sz w:val="20"/>
          <w:szCs w:val="20"/>
          <w:vertAlign w:val="superscript"/>
        </w:rPr>
        <w:t xml:space="preserve">th </w:t>
      </w:r>
      <w:r w:rsidRPr="00504B5E">
        <w:rPr>
          <w:rFonts w:ascii="Arial" w:hAnsi="Arial" w:cs="Arial"/>
          <w:iCs/>
          <w:sz w:val="20"/>
          <w:szCs w:val="20"/>
        </w:rPr>
        <w:t>September 2012</w:t>
      </w:r>
    </w:p>
    <w:p w14:paraId="09310185" w14:textId="77777777" w:rsidR="002B6C53" w:rsidRPr="00504B5E" w:rsidRDefault="002B6C53" w:rsidP="00810C20">
      <w:pPr>
        <w:spacing w:before="200" w:after="0" w:line="240" w:lineRule="auto"/>
        <w:jc w:val="both"/>
        <w:rPr>
          <w:rFonts w:ascii="Arial" w:hAnsi="Arial" w:cs="Arial"/>
          <w:iCs/>
          <w:sz w:val="20"/>
          <w:szCs w:val="20"/>
        </w:rPr>
      </w:pPr>
    </w:p>
    <w:p w14:paraId="356F4F35" w14:textId="7C72AB8A" w:rsidR="00314239" w:rsidRPr="00504B5E" w:rsidRDefault="00810C20" w:rsidP="00314239">
      <w:pPr>
        <w:rPr>
          <w:rFonts w:ascii="Arial" w:hAnsi="Arial" w:cs="Arial"/>
          <w:iCs/>
          <w:sz w:val="20"/>
          <w:szCs w:val="20"/>
        </w:rPr>
      </w:pPr>
      <w:r w:rsidRPr="00504B5E">
        <w:rPr>
          <w:rFonts w:ascii="Arial" w:hAnsi="Arial"/>
          <w:sz w:val="20"/>
          <w:lang w:val="es-MX"/>
        </w:rPr>
        <w:t>ASOCASAN</w:t>
      </w:r>
      <w:r w:rsidR="00926051">
        <w:rPr>
          <w:rFonts w:ascii="Arial" w:hAnsi="Arial"/>
          <w:sz w:val="20"/>
          <w:lang w:val="es-MX"/>
        </w:rPr>
        <w:t>,</w:t>
      </w:r>
      <w:r w:rsidRPr="00504B5E">
        <w:rPr>
          <w:rFonts w:ascii="Arial" w:hAnsi="Arial"/>
          <w:sz w:val="20"/>
          <w:lang w:val="es-MX"/>
        </w:rPr>
        <w:t xml:space="preserve"> 2010. Protocolo Comunitario Biocultural para el Territorio del Consejo Comunitario Mayor del Alto San Juan, </w:t>
      </w:r>
      <w:proofErr w:type="spellStart"/>
      <w:r w:rsidRPr="00504B5E">
        <w:rPr>
          <w:rFonts w:ascii="Arial" w:hAnsi="Arial"/>
          <w:sz w:val="20"/>
          <w:lang w:val="es-MX"/>
        </w:rPr>
        <w:t>Tado</w:t>
      </w:r>
      <w:proofErr w:type="spellEnd"/>
      <w:r w:rsidRPr="00504B5E">
        <w:rPr>
          <w:rFonts w:ascii="Arial" w:hAnsi="Arial"/>
          <w:sz w:val="20"/>
          <w:lang w:val="es-MX"/>
        </w:rPr>
        <w:t xml:space="preserve"> Choco, Colombia</w:t>
      </w:r>
      <w:r w:rsidRPr="00504B5E">
        <w:rPr>
          <w:rFonts w:ascii="Arial" w:hAnsi="Arial"/>
          <w:i/>
          <w:sz w:val="20"/>
          <w:lang w:val="es-MX"/>
        </w:rPr>
        <w:t>,</w:t>
      </w:r>
      <w:r w:rsidRPr="00504B5E">
        <w:rPr>
          <w:rFonts w:ascii="Arial" w:hAnsi="Arial"/>
          <w:sz w:val="20"/>
          <w:lang w:val="es-MX"/>
        </w:rPr>
        <w:t xml:space="preserve"> Natural Justice, PNUD, Instituto de Investigaciones Ambientales del Pacifico, Colombia. </w:t>
      </w:r>
      <w:r w:rsidRPr="00633A71">
        <w:rPr>
          <w:rFonts w:ascii="Arial" w:hAnsi="Arial" w:cs="Arial"/>
          <w:iCs/>
          <w:sz w:val="20"/>
          <w:szCs w:val="20"/>
        </w:rPr>
        <w:t xml:space="preserve">Available at: </w:t>
      </w:r>
      <w:hyperlink r:id="rId17" w:history="1">
        <w:r w:rsidRPr="00632DBC">
          <w:rPr>
            <w:rStyle w:val="Hyperlink"/>
            <w:rFonts w:ascii="Arial" w:hAnsi="Arial" w:cs="Arial"/>
            <w:iCs/>
            <w:color w:val="auto"/>
            <w:sz w:val="20"/>
            <w:szCs w:val="20"/>
          </w:rPr>
          <w:t>http://www.pnuma.org/publicaciones/PCB%20ASOCASAN_espanol_2012.pdf</w:t>
        </w:r>
      </w:hyperlink>
      <w:r w:rsidRPr="00633A71">
        <w:rPr>
          <w:rFonts w:ascii="Arial" w:hAnsi="Arial" w:cs="Arial"/>
          <w:iCs/>
          <w:sz w:val="20"/>
          <w:szCs w:val="20"/>
        </w:rPr>
        <w:t xml:space="preserve"> Accessed 21</w:t>
      </w:r>
      <w:r w:rsidRPr="00633A71">
        <w:rPr>
          <w:rFonts w:ascii="Arial" w:hAnsi="Arial" w:cs="Arial"/>
          <w:iCs/>
          <w:sz w:val="20"/>
          <w:szCs w:val="20"/>
          <w:vertAlign w:val="superscript"/>
        </w:rPr>
        <w:t>st</w:t>
      </w:r>
      <w:r w:rsidRPr="00633A71">
        <w:rPr>
          <w:rFonts w:ascii="Arial" w:hAnsi="Arial" w:cs="Arial"/>
          <w:iCs/>
          <w:sz w:val="20"/>
          <w:szCs w:val="20"/>
        </w:rPr>
        <w:t xml:space="preserve"> May 2014</w:t>
      </w:r>
    </w:p>
    <w:p w14:paraId="1A6DB330" w14:textId="5223B471" w:rsidR="00314239" w:rsidRPr="00504B5E" w:rsidRDefault="00314239" w:rsidP="00314239">
      <w:pPr>
        <w:rPr>
          <w:rFonts w:ascii="Arial" w:hAnsi="Arial" w:cs="Arial"/>
          <w:sz w:val="20"/>
          <w:szCs w:val="20"/>
        </w:rPr>
      </w:pPr>
      <w:r w:rsidRPr="00504B5E">
        <w:rPr>
          <w:rFonts w:ascii="Arial" w:hAnsi="Arial" w:cs="Arial"/>
          <w:sz w:val="20"/>
          <w:szCs w:val="20"/>
        </w:rPr>
        <w:t xml:space="preserve">Avelino, J., </w:t>
      </w:r>
      <w:proofErr w:type="spellStart"/>
      <w:r w:rsidRPr="00504B5E">
        <w:rPr>
          <w:rFonts w:ascii="Arial" w:hAnsi="Arial" w:cs="Arial"/>
          <w:sz w:val="20"/>
          <w:szCs w:val="20"/>
        </w:rPr>
        <w:t>Cristancho</w:t>
      </w:r>
      <w:proofErr w:type="spellEnd"/>
      <w:r w:rsidRPr="00504B5E">
        <w:rPr>
          <w:rFonts w:ascii="Arial" w:hAnsi="Arial" w:cs="Arial"/>
          <w:sz w:val="20"/>
          <w:szCs w:val="20"/>
        </w:rPr>
        <w:t xml:space="preserve"> M., Georgiou S., </w:t>
      </w:r>
      <w:proofErr w:type="spellStart"/>
      <w:r w:rsidRPr="00504B5E">
        <w:rPr>
          <w:rFonts w:ascii="Arial" w:hAnsi="Arial" w:cs="Arial"/>
          <w:sz w:val="20"/>
          <w:szCs w:val="20"/>
        </w:rPr>
        <w:t>Imbach</w:t>
      </w:r>
      <w:proofErr w:type="spellEnd"/>
      <w:r w:rsidRPr="00504B5E">
        <w:rPr>
          <w:rFonts w:ascii="Arial" w:hAnsi="Arial" w:cs="Arial"/>
          <w:sz w:val="20"/>
          <w:szCs w:val="20"/>
        </w:rPr>
        <w:t xml:space="preserve"> P., Aguilar L., </w:t>
      </w:r>
      <w:proofErr w:type="spellStart"/>
      <w:r w:rsidRPr="00504B5E">
        <w:rPr>
          <w:rFonts w:ascii="Arial" w:hAnsi="Arial" w:cs="Arial"/>
          <w:sz w:val="20"/>
          <w:szCs w:val="20"/>
        </w:rPr>
        <w:t>Bornemann</w:t>
      </w:r>
      <w:proofErr w:type="spellEnd"/>
      <w:r w:rsidRPr="00504B5E">
        <w:rPr>
          <w:rFonts w:ascii="Arial" w:hAnsi="Arial" w:cs="Arial"/>
          <w:sz w:val="20"/>
          <w:szCs w:val="20"/>
        </w:rPr>
        <w:t xml:space="preserve"> G., </w:t>
      </w:r>
      <w:proofErr w:type="spellStart"/>
      <w:r w:rsidRPr="00504B5E">
        <w:rPr>
          <w:rFonts w:ascii="Arial" w:hAnsi="Arial" w:cs="Arial"/>
          <w:sz w:val="20"/>
          <w:szCs w:val="20"/>
        </w:rPr>
        <w:t>Läderach</w:t>
      </w:r>
      <w:proofErr w:type="spellEnd"/>
      <w:r w:rsidRPr="00504B5E">
        <w:rPr>
          <w:rFonts w:ascii="Arial" w:hAnsi="Arial" w:cs="Arial"/>
          <w:sz w:val="20"/>
          <w:szCs w:val="20"/>
        </w:rPr>
        <w:t xml:space="preserve"> P., </w:t>
      </w:r>
      <w:proofErr w:type="spellStart"/>
      <w:r w:rsidRPr="00504B5E">
        <w:rPr>
          <w:rFonts w:ascii="Arial" w:hAnsi="Arial" w:cs="Arial"/>
          <w:sz w:val="20"/>
          <w:szCs w:val="20"/>
        </w:rPr>
        <w:t>Anzueto</w:t>
      </w:r>
      <w:proofErr w:type="spellEnd"/>
      <w:r w:rsidRPr="00504B5E">
        <w:rPr>
          <w:rFonts w:ascii="Arial" w:hAnsi="Arial" w:cs="Arial"/>
          <w:sz w:val="20"/>
          <w:szCs w:val="20"/>
        </w:rPr>
        <w:t xml:space="preserve"> F., Hruska A., and Morales, C.</w:t>
      </w:r>
      <w:r w:rsidR="00FF6264">
        <w:rPr>
          <w:rFonts w:ascii="Arial" w:hAnsi="Arial" w:cs="Arial"/>
          <w:sz w:val="20"/>
          <w:szCs w:val="20"/>
        </w:rPr>
        <w:t>,</w:t>
      </w:r>
      <w:r w:rsidRPr="00504B5E">
        <w:rPr>
          <w:rFonts w:ascii="Arial" w:hAnsi="Arial" w:cs="Arial"/>
          <w:sz w:val="20"/>
          <w:szCs w:val="20"/>
        </w:rPr>
        <w:t xml:space="preserve"> 2015. The coffee rust crisis in Colombia and Central America (2008-2013): impacts, plausible causes and proposed solutions, </w:t>
      </w:r>
      <w:r w:rsidRPr="00504B5E">
        <w:rPr>
          <w:rFonts w:ascii="Arial" w:hAnsi="Arial" w:cs="Arial"/>
          <w:i/>
          <w:sz w:val="20"/>
          <w:szCs w:val="20"/>
        </w:rPr>
        <w:t>Food Security</w:t>
      </w:r>
      <w:r w:rsidRPr="00504B5E">
        <w:rPr>
          <w:rFonts w:ascii="Arial" w:hAnsi="Arial" w:cs="Arial"/>
          <w:sz w:val="20"/>
          <w:szCs w:val="20"/>
        </w:rPr>
        <w:t xml:space="preserve"> 7: 303-321. </w:t>
      </w:r>
    </w:p>
    <w:p w14:paraId="5DB7A1C1" w14:textId="3ECE331C" w:rsidR="00810C20" w:rsidRPr="00A3063C" w:rsidRDefault="00810C20" w:rsidP="00810C20">
      <w:pPr>
        <w:spacing w:before="200" w:after="0" w:line="240" w:lineRule="auto"/>
        <w:jc w:val="both"/>
        <w:rPr>
          <w:rFonts w:ascii="Arial" w:hAnsi="Arial" w:cs="Arial"/>
          <w:iCs/>
          <w:sz w:val="20"/>
          <w:szCs w:val="20"/>
        </w:rPr>
      </w:pPr>
      <w:proofErr w:type="spellStart"/>
      <w:r w:rsidRPr="00504B5E">
        <w:rPr>
          <w:rFonts w:ascii="Arial" w:hAnsi="Arial" w:cs="Arial"/>
          <w:iCs/>
          <w:sz w:val="20"/>
          <w:szCs w:val="20"/>
        </w:rPr>
        <w:t>Baumgärtner</w:t>
      </w:r>
      <w:proofErr w:type="spellEnd"/>
      <w:r w:rsidRPr="00504B5E">
        <w:rPr>
          <w:rFonts w:ascii="Arial" w:hAnsi="Arial" w:cs="Arial"/>
          <w:iCs/>
          <w:sz w:val="20"/>
          <w:szCs w:val="20"/>
        </w:rPr>
        <w:t>, S. and Sebastian S.</w:t>
      </w:r>
      <w:r w:rsidR="00FF6264">
        <w:rPr>
          <w:rFonts w:ascii="Arial" w:hAnsi="Arial" w:cs="Arial"/>
          <w:iCs/>
          <w:sz w:val="20"/>
          <w:szCs w:val="20"/>
        </w:rPr>
        <w:t>,</w:t>
      </w:r>
      <w:r w:rsidRPr="00504B5E">
        <w:rPr>
          <w:rFonts w:ascii="Arial" w:hAnsi="Arial" w:cs="Arial"/>
          <w:iCs/>
          <w:sz w:val="20"/>
          <w:szCs w:val="20"/>
        </w:rPr>
        <w:t xml:space="preserve"> 2014. The economic insurance value of ecosystem resilience. </w:t>
      </w:r>
      <w:r w:rsidRPr="00A3063C">
        <w:rPr>
          <w:rFonts w:ascii="Arial" w:hAnsi="Arial" w:cs="Arial"/>
          <w:i/>
          <w:iCs/>
          <w:sz w:val="20"/>
          <w:szCs w:val="20"/>
        </w:rPr>
        <w:t>Ecological Economics</w:t>
      </w:r>
      <w:r w:rsidRPr="00A3063C">
        <w:rPr>
          <w:rFonts w:ascii="Arial" w:hAnsi="Arial" w:cs="Arial"/>
          <w:iCs/>
          <w:sz w:val="20"/>
          <w:szCs w:val="20"/>
        </w:rPr>
        <w:t xml:space="preserve"> 101, pp. 21-32</w:t>
      </w:r>
    </w:p>
    <w:p w14:paraId="68C54F8A" w14:textId="0FCA74D1" w:rsidR="00810C20" w:rsidRPr="00A3063C" w:rsidRDefault="00810C20" w:rsidP="00810C20">
      <w:pPr>
        <w:spacing w:before="200" w:after="0" w:line="240" w:lineRule="auto"/>
        <w:jc w:val="both"/>
        <w:rPr>
          <w:rFonts w:ascii="Arial" w:hAnsi="Arial" w:cs="Arial"/>
          <w:iCs/>
          <w:sz w:val="20"/>
          <w:szCs w:val="20"/>
        </w:rPr>
      </w:pPr>
      <w:proofErr w:type="spellStart"/>
      <w:r w:rsidRPr="00A3063C">
        <w:rPr>
          <w:rFonts w:ascii="Arial" w:hAnsi="Arial" w:cs="Arial"/>
          <w:iCs/>
          <w:sz w:val="20"/>
          <w:szCs w:val="20"/>
        </w:rPr>
        <w:t>Barbier</w:t>
      </w:r>
      <w:proofErr w:type="spellEnd"/>
      <w:r w:rsidRPr="00A3063C">
        <w:rPr>
          <w:rFonts w:ascii="Arial" w:hAnsi="Arial" w:cs="Arial"/>
          <w:iCs/>
          <w:sz w:val="20"/>
          <w:szCs w:val="20"/>
        </w:rPr>
        <w:t xml:space="preserve"> E.</w:t>
      </w:r>
      <w:r w:rsidR="00FF6264">
        <w:rPr>
          <w:rFonts w:ascii="Arial" w:hAnsi="Arial" w:cs="Arial"/>
          <w:iCs/>
          <w:sz w:val="20"/>
          <w:szCs w:val="20"/>
        </w:rPr>
        <w:t>,</w:t>
      </w:r>
      <w:r w:rsidRPr="00A3063C">
        <w:rPr>
          <w:rFonts w:ascii="Arial" w:hAnsi="Arial" w:cs="Arial"/>
          <w:iCs/>
          <w:sz w:val="20"/>
          <w:szCs w:val="20"/>
        </w:rPr>
        <w:t xml:space="preserve"> 2012. Sustainability: Tax 'societal ills' to save the planet. </w:t>
      </w:r>
      <w:r w:rsidRPr="00A3063C">
        <w:rPr>
          <w:rFonts w:ascii="Arial" w:hAnsi="Arial" w:cs="Arial"/>
          <w:i/>
          <w:iCs/>
          <w:sz w:val="20"/>
          <w:szCs w:val="20"/>
        </w:rPr>
        <w:t>Nature</w:t>
      </w:r>
      <w:r w:rsidRPr="00A3063C">
        <w:rPr>
          <w:rFonts w:ascii="Arial" w:hAnsi="Arial" w:cs="Arial"/>
          <w:iCs/>
          <w:sz w:val="20"/>
          <w:szCs w:val="20"/>
        </w:rPr>
        <w:t xml:space="preserve"> 483 (30)</w:t>
      </w:r>
    </w:p>
    <w:p w14:paraId="74894695" w14:textId="6F5C8476" w:rsidR="00810C20" w:rsidRPr="00A3063C" w:rsidRDefault="00810C20" w:rsidP="00810C20">
      <w:pPr>
        <w:spacing w:before="200" w:after="0" w:line="240" w:lineRule="auto"/>
        <w:jc w:val="both"/>
        <w:rPr>
          <w:rFonts w:ascii="Arial" w:hAnsi="Arial" w:cs="Arial"/>
          <w:iCs/>
          <w:sz w:val="20"/>
          <w:szCs w:val="20"/>
        </w:rPr>
      </w:pPr>
      <w:r w:rsidRPr="00A3063C">
        <w:rPr>
          <w:rFonts w:ascii="Arial" w:hAnsi="Arial" w:cs="Arial"/>
          <w:iCs/>
          <w:sz w:val="20"/>
          <w:szCs w:val="20"/>
        </w:rPr>
        <w:t xml:space="preserve">Barthel, S., Crumley, C. and </w:t>
      </w:r>
      <w:proofErr w:type="spellStart"/>
      <w:r w:rsidRPr="00A3063C">
        <w:rPr>
          <w:rFonts w:ascii="Arial" w:hAnsi="Arial" w:cs="Arial"/>
          <w:iCs/>
          <w:sz w:val="20"/>
          <w:szCs w:val="20"/>
        </w:rPr>
        <w:t>Svedin</w:t>
      </w:r>
      <w:proofErr w:type="spellEnd"/>
      <w:r w:rsidRPr="00A3063C">
        <w:rPr>
          <w:rFonts w:ascii="Arial" w:hAnsi="Arial" w:cs="Arial"/>
          <w:iCs/>
          <w:sz w:val="20"/>
          <w:szCs w:val="20"/>
        </w:rPr>
        <w:t>, U.</w:t>
      </w:r>
      <w:r w:rsidR="00FF6264">
        <w:rPr>
          <w:rFonts w:ascii="Arial" w:hAnsi="Arial" w:cs="Arial"/>
          <w:iCs/>
          <w:sz w:val="20"/>
          <w:szCs w:val="20"/>
        </w:rPr>
        <w:t>,</w:t>
      </w:r>
      <w:r w:rsidRPr="00A3063C">
        <w:rPr>
          <w:rFonts w:ascii="Arial" w:hAnsi="Arial" w:cs="Arial"/>
          <w:iCs/>
          <w:sz w:val="20"/>
          <w:szCs w:val="20"/>
        </w:rPr>
        <w:t xml:space="preserve"> 2013. Bio-cultural refugia- Safeguarding diversity of practices for food security and biodiversity. </w:t>
      </w:r>
      <w:r w:rsidRPr="00A3063C">
        <w:rPr>
          <w:rFonts w:ascii="Arial" w:hAnsi="Arial" w:cs="Arial"/>
          <w:i/>
          <w:iCs/>
          <w:sz w:val="20"/>
          <w:szCs w:val="20"/>
        </w:rPr>
        <w:t>Global Environmental Change</w:t>
      </w:r>
      <w:r w:rsidRPr="00A3063C">
        <w:rPr>
          <w:rFonts w:ascii="Arial" w:hAnsi="Arial" w:cs="Arial"/>
          <w:iCs/>
          <w:sz w:val="20"/>
          <w:szCs w:val="20"/>
        </w:rPr>
        <w:t xml:space="preserve"> 23 (5), pp. 1142–1152</w:t>
      </w:r>
    </w:p>
    <w:p w14:paraId="5165C015" w14:textId="77777777" w:rsidR="00810C20" w:rsidRPr="0038043D" w:rsidRDefault="00810C20" w:rsidP="00810C20">
      <w:pPr>
        <w:spacing w:before="200" w:after="0" w:line="240" w:lineRule="auto"/>
        <w:jc w:val="both"/>
        <w:rPr>
          <w:rFonts w:ascii="Arial" w:hAnsi="Arial" w:cs="Arial"/>
          <w:iCs/>
          <w:sz w:val="20"/>
          <w:szCs w:val="20"/>
        </w:rPr>
      </w:pPr>
      <w:r w:rsidRPr="00A3063C">
        <w:rPr>
          <w:rFonts w:ascii="Arial" w:hAnsi="Arial" w:cs="Arial"/>
          <w:iCs/>
          <w:sz w:val="20"/>
          <w:szCs w:val="20"/>
        </w:rPr>
        <w:t xml:space="preserve">Bavikatte, K. and Jonas, H., 2010. How bio-cultural community protocols can empower local communities, </w:t>
      </w:r>
      <w:r w:rsidRPr="00A3063C">
        <w:rPr>
          <w:rFonts w:ascii="Arial" w:hAnsi="Arial" w:cs="Arial"/>
          <w:i/>
          <w:iCs/>
          <w:sz w:val="20"/>
          <w:szCs w:val="20"/>
        </w:rPr>
        <w:t>Endogenous Development Magazine</w:t>
      </w:r>
      <w:r w:rsidRPr="00A3063C">
        <w:rPr>
          <w:rFonts w:ascii="Arial" w:hAnsi="Arial" w:cs="Arial"/>
          <w:iCs/>
          <w:sz w:val="20"/>
          <w:szCs w:val="20"/>
        </w:rPr>
        <w:t xml:space="preserve"> 16, p 4-6; Kohler-</w:t>
      </w:r>
      <w:proofErr w:type="spellStart"/>
      <w:r w:rsidRPr="00A3063C">
        <w:rPr>
          <w:rFonts w:ascii="Arial" w:hAnsi="Arial" w:cs="Arial"/>
          <w:iCs/>
          <w:sz w:val="20"/>
          <w:szCs w:val="20"/>
        </w:rPr>
        <w:t>Rollefson</w:t>
      </w:r>
      <w:proofErr w:type="spellEnd"/>
      <w:r w:rsidRPr="00A3063C">
        <w:rPr>
          <w:rFonts w:ascii="Arial" w:hAnsi="Arial" w:cs="Arial"/>
          <w:iCs/>
          <w:sz w:val="20"/>
          <w:szCs w:val="20"/>
        </w:rPr>
        <w:t xml:space="preserve">, I. et al., 2010, Livestock keepers' rights: the state of discussion. </w:t>
      </w:r>
      <w:r w:rsidRPr="0038043D">
        <w:rPr>
          <w:rFonts w:ascii="Arial" w:hAnsi="Arial" w:cs="Arial"/>
          <w:i/>
          <w:iCs/>
          <w:sz w:val="20"/>
          <w:szCs w:val="20"/>
        </w:rPr>
        <w:t>Animal Genetic Resources</w:t>
      </w:r>
      <w:r w:rsidRPr="0038043D">
        <w:rPr>
          <w:rFonts w:ascii="Arial" w:hAnsi="Arial" w:cs="Arial"/>
          <w:iCs/>
          <w:sz w:val="20"/>
          <w:szCs w:val="20"/>
        </w:rPr>
        <w:t xml:space="preserve"> 47, pp. 119-123 </w:t>
      </w:r>
    </w:p>
    <w:p w14:paraId="4786CC81" w14:textId="6CCC2898" w:rsidR="00810C20" w:rsidRPr="00632DBC" w:rsidRDefault="00810C20" w:rsidP="00810C20">
      <w:pPr>
        <w:spacing w:before="200" w:after="0" w:line="240" w:lineRule="auto"/>
        <w:jc w:val="both"/>
        <w:rPr>
          <w:rFonts w:ascii="Arial" w:hAnsi="Arial" w:cs="Arial"/>
          <w:iCs/>
          <w:sz w:val="20"/>
          <w:szCs w:val="20"/>
        </w:rPr>
      </w:pPr>
      <w:r w:rsidRPr="0038043D">
        <w:rPr>
          <w:rFonts w:ascii="Arial" w:hAnsi="Arial" w:cs="Arial"/>
          <w:iCs/>
          <w:sz w:val="20"/>
          <w:szCs w:val="20"/>
        </w:rPr>
        <w:t>Brush, C., Coker, W. and Van A.</w:t>
      </w:r>
      <w:r w:rsidR="00FF6264">
        <w:rPr>
          <w:rFonts w:ascii="Arial" w:hAnsi="Arial" w:cs="Arial"/>
          <w:iCs/>
          <w:sz w:val="20"/>
          <w:szCs w:val="20"/>
        </w:rPr>
        <w:t>,</w:t>
      </w:r>
      <w:proofErr w:type="gramStart"/>
      <w:r w:rsidRPr="0038043D">
        <w:rPr>
          <w:rFonts w:ascii="Arial" w:hAnsi="Arial" w:cs="Arial"/>
          <w:iCs/>
          <w:sz w:val="20"/>
          <w:szCs w:val="20"/>
        </w:rPr>
        <w:t>2001 .</w:t>
      </w:r>
      <w:proofErr w:type="gramEnd"/>
      <w:r w:rsidRPr="0038043D">
        <w:rPr>
          <w:rFonts w:ascii="Arial" w:hAnsi="Arial" w:cs="Arial"/>
          <w:iCs/>
          <w:sz w:val="20"/>
          <w:szCs w:val="20"/>
        </w:rPr>
        <w:t xml:space="preserve"> Constitutional environmental law: Giving force to fundamental principles in Africa. </w:t>
      </w:r>
      <w:r w:rsidRPr="00632DBC">
        <w:rPr>
          <w:rFonts w:ascii="Arial" w:hAnsi="Arial" w:cs="Arial"/>
          <w:i/>
          <w:iCs/>
          <w:sz w:val="20"/>
          <w:szCs w:val="20"/>
        </w:rPr>
        <w:t>Columbia Journal of Environmental Law</w:t>
      </w:r>
      <w:r w:rsidRPr="00632DBC">
        <w:rPr>
          <w:rFonts w:ascii="Arial" w:hAnsi="Arial" w:cs="Arial"/>
          <w:iCs/>
          <w:sz w:val="20"/>
          <w:szCs w:val="20"/>
        </w:rPr>
        <w:t xml:space="preserve"> 26, pp. 131–211</w:t>
      </w:r>
    </w:p>
    <w:p w14:paraId="196059C4" w14:textId="4622679E" w:rsidR="00810C20" w:rsidRPr="00633A71" w:rsidRDefault="00810C20" w:rsidP="00810C20">
      <w:pPr>
        <w:spacing w:before="200" w:after="0" w:line="240" w:lineRule="auto"/>
        <w:jc w:val="both"/>
        <w:rPr>
          <w:rFonts w:ascii="Arial" w:hAnsi="Arial" w:cs="Arial"/>
          <w:iCs/>
          <w:sz w:val="20"/>
          <w:szCs w:val="20"/>
        </w:rPr>
      </w:pPr>
      <w:r w:rsidRPr="00632DBC">
        <w:rPr>
          <w:rFonts w:ascii="Arial" w:hAnsi="Arial" w:cs="Arial"/>
          <w:iCs/>
          <w:sz w:val="20"/>
          <w:szCs w:val="20"/>
        </w:rPr>
        <w:t>Business and Biodiv</w:t>
      </w:r>
      <w:r w:rsidR="00FF6264">
        <w:rPr>
          <w:rFonts w:ascii="Arial" w:hAnsi="Arial" w:cs="Arial"/>
          <w:iCs/>
          <w:sz w:val="20"/>
          <w:szCs w:val="20"/>
        </w:rPr>
        <w:t>ersity Offsets Programme (BBOP),</w:t>
      </w:r>
      <w:r w:rsidRPr="00632DBC">
        <w:rPr>
          <w:rFonts w:ascii="Arial" w:hAnsi="Arial" w:cs="Arial"/>
          <w:iCs/>
          <w:sz w:val="20"/>
          <w:szCs w:val="20"/>
        </w:rPr>
        <w:t xml:space="preserve"> 2009. The Relationship between Biodiversity Offsets and Impact Assessment: A BBOP Resource Paper. BBOP, Washington, D.C Available from: </w:t>
      </w:r>
      <w:hyperlink r:id="rId18" w:history="1">
        <w:r w:rsidRPr="00632DBC">
          <w:rPr>
            <w:rStyle w:val="Hyperlink"/>
            <w:rFonts w:ascii="Arial" w:hAnsi="Arial" w:cs="Arial"/>
            <w:iCs/>
            <w:color w:val="auto"/>
            <w:sz w:val="20"/>
            <w:szCs w:val="20"/>
          </w:rPr>
          <w:t>www.forest-trends.org/biodiversityoffsetprogram/guidelines/eia.pdf</w:t>
        </w:r>
      </w:hyperlink>
      <w:r w:rsidRPr="00633A71">
        <w:rPr>
          <w:rFonts w:ascii="Arial" w:hAnsi="Arial" w:cs="Arial"/>
          <w:iCs/>
          <w:sz w:val="20"/>
          <w:szCs w:val="20"/>
        </w:rPr>
        <w:t xml:space="preserve"> Accessed 12th July 2012</w:t>
      </w:r>
    </w:p>
    <w:p w14:paraId="20607312" w14:textId="2B87D9D3" w:rsidR="00810C20" w:rsidRPr="00504B5E" w:rsidRDefault="00810C20" w:rsidP="00810C20">
      <w:pPr>
        <w:spacing w:before="200" w:after="0" w:line="240" w:lineRule="auto"/>
        <w:jc w:val="both"/>
        <w:rPr>
          <w:rFonts w:ascii="Arial" w:hAnsi="Arial" w:cs="Arial"/>
          <w:iCs/>
          <w:sz w:val="20"/>
          <w:szCs w:val="20"/>
        </w:rPr>
      </w:pPr>
      <w:r w:rsidRPr="00633A71">
        <w:rPr>
          <w:rFonts w:ascii="Arial" w:hAnsi="Arial" w:cs="Arial"/>
          <w:iCs/>
          <w:sz w:val="20"/>
          <w:szCs w:val="20"/>
        </w:rPr>
        <w:t>CBD</w:t>
      </w:r>
      <w:r w:rsidR="00FF6264">
        <w:rPr>
          <w:rFonts w:ascii="Arial" w:hAnsi="Arial" w:cs="Arial"/>
          <w:iCs/>
          <w:sz w:val="20"/>
          <w:szCs w:val="20"/>
        </w:rPr>
        <w:t>,</w:t>
      </w:r>
      <w:r w:rsidRPr="00633A71">
        <w:rPr>
          <w:rFonts w:ascii="Arial" w:hAnsi="Arial" w:cs="Arial"/>
          <w:iCs/>
          <w:sz w:val="20"/>
          <w:szCs w:val="20"/>
        </w:rPr>
        <w:t xml:space="preserve"> 2014. REDD+ and biodiversity benefits Available at: http://www.cbd.int/forest/redd-plus/ Accessed 2</w:t>
      </w:r>
      <w:r w:rsidRPr="00504B5E">
        <w:rPr>
          <w:rFonts w:ascii="Arial" w:hAnsi="Arial" w:cs="Arial"/>
          <w:iCs/>
          <w:sz w:val="20"/>
          <w:szCs w:val="20"/>
          <w:vertAlign w:val="superscript"/>
        </w:rPr>
        <w:t>nd</w:t>
      </w:r>
      <w:r w:rsidRPr="00504B5E">
        <w:rPr>
          <w:rFonts w:ascii="Arial" w:hAnsi="Arial" w:cs="Arial"/>
          <w:iCs/>
          <w:sz w:val="20"/>
          <w:szCs w:val="20"/>
        </w:rPr>
        <w:t xml:space="preserve"> June 2014</w:t>
      </w:r>
    </w:p>
    <w:p w14:paraId="2F2B3C3A" w14:textId="625D80F0"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lastRenderedPageBreak/>
        <w:t>CCBA</w:t>
      </w:r>
      <w:r w:rsidR="00FF6264">
        <w:rPr>
          <w:rFonts w:ascii="Arial" w:hAnsi="Arial" w:cs="Arial"/>
          <w:sz w:val="20"/>
          <w:szCs w:val="20"/>
        </w:rPr>
        <w:t>,</w:t>
      </w:r>
      <w:r w:rsidRPr="00504B5E">
        <w:rPr>
          <w:rFonts w:ascii="Arial" w:hAnsi="Arial" w:cs="Arial"/>
          <w:sz w:val="20"/>
          <w:szCs w:val="20"/>
        </w:rPr>
        <w:t xml:space="preserve"> 2008. Climate, Community &amp; Biodiversity Project Design Standards, Third Edition. </w:t>
      </w:r>
      <w:r w:rsidRPr="00504B5E">
        <w:rPr>
          <w:rFonts w:ascii="Arial" w:hAnsi="Arial" w:cs="Arial"/>
          <w:i/>
          <w:sz w:val="20"/>
          <w:szCs w:val="20"/>
        </w:rPr>
        <w:t>CCBA</w:t>
      </w:r>
      <w:r w:rsidRPr="00504B5E">
        <w:rPr>
          <w:rFonts w:ascii="Arial" w:hAnsi="Arial" w:cs="Arial"/>
          <w:sz w:val="20"/>
          <w:szCs w:val="20"/>
        </w:rPr>
        <w:t xml:space="preserve">, Arlington, VA. Available at: </w:t>
      </w:r>
      <w:hyperlink r:id="rId19" w:history="1">
        <w:r w:rsidRPr="00632DBC">
          <w:rPr>
            <w:rStyle w:val="Hyperlink"/>
            <w:rFonts w:ascii="Arial" w:hAnsi="Arial" w:cs="Arial"/>
            <w:color w:val="auto"/>
            <w:sz w:val="20"/>
            <w:szCs w:val="20"/>
          </w:rPr>
          <w:t>https://s3.amazonaws.com/CCBA/Third_Edition/CCB_Standards_Third_Edition_December_2013.pdf</w:t>
        </w:r>
      </w:hyperlink>
      <w:r w:rsidRPr="00633A71">
        <w:rPr>
          <w:rFonts w:ascii="Arial" w:hAnsi="Arial" w:cs="Arial"/>
          <w:sz w:val="20"/>
          <w:szCs w:val="20"/>
        </w:rPr>
        <w:t xml:space="preserve"> Accessed 21st May 2014 </w:t>
      </w:r>
    </w:p>
    <w:p w14:paraId="28B249E0" w14:textId="30EDFD8E"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Commonwealth of Australia</w:t>
      </w:r>
      <w:r w:rsidR="00FF6264">
        <w:rPr>
          <w:rFonts w:ascii="Arial" w:hAnsi="Arial" w:cs="Arial"/>
          <w:sz w:val="20"/>
          <w:szCs w:val="20"/>
        </w:rPr>
        <w:t>,</w:t>
      </w:r>
      <w:r w:rsidRPr="00633A71">
        <w:rPr>
          <w:rFonts w:ascii="Arial" w:hAnsi="Arial" w:cs="Arial"/>
          <w:sz w:val="20"/>
          <w:szCs w:val="20"/>
        </w:rPr>
        <w:t xml:space="preserve"> 2000</w:t>
      </w:r>
      <w:r w:rsidR="0013728B">
        <w:rPr>
          <w:rFonts w:ascii="Arial" w:hAnsi="Arial" w:cs="Arial"/>
          <w:sz w:val="20"/>
          <w:szCs w:val="20"/>
        </w:rPr>
        <w:t>.</w:t>
      </w:r>
      <w:r w:rsidRPr="00633A71">
        <w:rPr>
          <w:rFonts w:ascii="Arial" w:hAnsi="Arial" w:cs="Arial"/>
          <w:sz w:val="20"/>
          <w:szCs w:val="20"/>
        </w:rPr>
        <w:t xml:space="preserve"> </w:t>
      </w:r>
      <w:r w:rsidRPr="00504B5E">
        <w:rPr>
          <w:rFonts w:ascii="Arial" w:hAnsi="Arial" w:cs="Arial"/>
          <w:i/>
          <w:iCs/>
          <w:sz w:val="20"/>
          <w:szCs w:val="20"/>
        </w:rPr>
        <w:t xml:space="preserve">Commonwealth Public Inquiry into Access to Biological Resources in Commonwealth Areas </w:t>
      </w:r>
      <w:r w:rsidRPr="00504B5E">
        <w:rPr>
          <w:rFonts w:ascii="Arial" w:hAnsi="Arial" w:cs="Arial"/>
          <w:sz w:val="20"/>
          <w:szCs w:val="20"/>
        </w:rPr>
        <w:t xml:space="preserve">(John </w:t>
      </w:r>
      <w:proofErr w:type="spellStart"/>
      <w:r w:rsidRPr="00504B5E">
        <w:rPr>
          <w:rFonts w:ascii="Arial" w:hAnsi="Arial" w:cs="Arial"/>
          <w:sz w:val="20"/>
          <w:szCs w:val="20"/>
        </w:rPr>
        <w:t>Voumard</w:t>
      </w:r>
      <w:proofErr w:type="spellEnd"/>
      <w:r w:rsidRPr="00504B5E">
        <w:rPr>
          <w:rFonts w:ascii="Arial" w:hAnsi="Arial" w:cs="Arial"/>
          <w:sz w:val="20"/>
          <w:szCs w:val="20"/>
        </w:rPr>
        <w:t xml:space="preserve"> Inquiry Chair) Available at: </w:t>
      </w:r>
      <w:hyperlink r:id="rId20" w:history="1">
        <w:r w:rsidRPr="00632DBC">
          <w:rPr>
            <w:rStyle w:val="Hyperlink"/>
            <w:rFonts w:ascii="Arial" w:hAnsi="Arial" w:cs="Arial"/>
            <w:color w:val="auto"/>
            <w:sz w:val="20"/>
            <w:szCs w:val="20"/>
          </w:rPr>
          <w:t>http://www.environment.gov.au/system/files/resources/d0f84da6-eb69-4053-8d96-ec294da649bc/files/abrca.pdf</w:t>
        </w:r>
      </w:hyperlink>
      <w:r w:rsidRPr="00633A71">
        <w:rPr>
          <w:rFonts w:ascii="Arial" w:hAnsi="Arial" w:cs="Arial"/>
          <w:sz w:val="20"/>
          <w:szCs w:val="20"/>
        </w:rPr>
        <w:t xml:space="preserve"> Accessed 22nd May 2014</w:t>
      </w:r>
    </w:p>
    <w:p w14:paraId="45BB72DF" w14:textId="2CC22A7B"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Conservation International</w:t>
      </w:r>
      <w:r w:rsidR="00FF6264">
        <w:rPr>
          <w:rFonts w:ascii="Arial" w:hAnsi="Arial" w:cs="Arial"/>
          <w:sz w:val="20"/>
          <w:szCs w:val="20"/>
        </w:rPr>
        <w:t>,</w:t>
      </w:r>
      <w:r w:rsidRPr="00633A71">
        <w:rPr>
          <w:rFonts w:ascii="Arial" w:hAnsi="Arial" w:cs="Arial"/>
          <w:sz w:val="20"/>
          <w:szCs w:val="20"/>
        </w:rPr>
        <w:t xml:space="preserve"> 2012. Summit for Sustainability in Africa: The Gaborone Declaration</w:t>
      </w:r>
      <w:r w:rsidR="00DB5588" w:rsidRPr="00504B5E">
        <w:rPr>
          <w:rFonts w:ascii="Arial" w:hAnsi="Arial" w:cs="Arial"/>
          <w:sz w:val="20"/>
          <w:szCs w:val="20"/>
        </w:rPr>
        <w:t xml:space="preserve">- </w:t>
      </w:r>
      <w:r w:rsidRPr="00504B5E">
        <w:rPr>
          <w:rFonts w:ascii="Arial" w:hAnsi="Arial" w:cs="Arial"/>
          <w:sz w:val="20"/>
          <w:szCs w:val="20"/>
        </w:rPr>
        <w:t xml:space="preserve">Available at: </w:t>
      </w:r>
      <w:hyperlink r:id="rId21" w:history="1">
        <w:r w:rsidRPr="00632DBC">
          <w:rPr>
            <w:rStyle w:val="Hyperlink"/>
            <w:rFonts w:ascii="Arial" w:hAnsi="Arial" w:cs="Arial"/>
            <w:color w:val="auto"/>
            <w:sz w:val="20"/>
            <w:szCs w:val="20"/>
          </w:rPr>
          <w:t>http://static.squarespace.com/static/52026c1ee4b0ee324ff265f3/t/525d7449e4b0924d2f4618a2/1381856329700/Gaborone-Declaration.pdf</w:t>
        </w:r>
      </w:hyperlink>
      <w:r w:rsidR="00DB5588" w:rsidRPr="00633A71">
        <w:rPr>
          <w:rFonts w:ascii="Arial" w:hAnsi="Arial" w:cs="Arial"/>
          <w:sz w:val="20"/>
          <w:szCs w:val="20"/>
        </w:rPr>
        <w:t xml:space="preserve"> </w:t>
      </w:r>
      <w:r w:rsidRPr="00633A71">
        <w:rPr>
          <w:rFonts w:ascii="Arial" w:hAnsi="Arial" w:cs="Arial"/>
          <w:sz w:val="20"/>
          <w:szCs w:val="20"/>
        </w:rPr>
        <w:t>Accessed 15</w:t>
      </w:r>
      <w:r w:rsidRPr="00633A71">
        <w:rPr>
          <w:rFonts w:ascii="Arial" w:hAnsi="Arial" w:cs="Arial"/>
          <w:sz w:val="20"/>
          <w:szCs w:val="20"/>
          <w:vertAlign w:val="superscript"/>
        </w:rPr>
        <w:t>th</w:t>
      </w:r>
      <w:r w:rsidRPr="00504B5E">
        <w:rPr>
          <w:rFonts w:ascii="Arial" w:hAnsi="Arial" w:cs="Arial"/>
          <w:sz w:val="20"/>
          <w:szCs w:val="20"/>
        </w:rPr>
        <w:t xml:space="preserve"> May 2014</w:t>
      </w:r>
    </w:p>
    <w:p w14:paraId="36CD3A20" w14:textId="28B55EB5" w:rsidR="00810C20" w:rsidRPr="00504B5E" w:rsidRDefault="00810C20" w:rsidP="00DB5588">
      <w:pPr>
        <w:spacing w:before="200" w:after="0" w:line="240" w:lineRule="auto"/>
        <w:jc w:val="both"/>
        <w:rPr>
          <w:rFonts w:ascii="Arial" w:hAnsi="Arial" w:cs="Arial"/>
          <w:sz w:val="20"/>
          <w:szCs w:val="20"/>
        </w:rPr>
      </w:pPr>
      <w:r w:rsidRPr="00504B5E">
        <w:rPr>
          <w:rFonts w:ascii="Arial" w:hAnsi="Arial" w:cs="Arial"/>
          <w:sz w:val="20"/>
          <w:szCs w:val="20"/>
        </w:rPr>
        <w:t>Conway, M., et al.</w:t>
      </w:r>
      <w:r w:rsidR="00FF6264">
        <w:rPr>
          <w:rFonts w:ascii="Arial" w:hAnsi="Arial" w:cs="Arial"/>
          <w:sz w:val="20"/>
          <w:szCs w:val="20"/>
        </w:rPr>
        <w:t>,</w:t>
      </w:r>
      <w:r w:rsidRPr="00504B5E">
        <w:rPr>
          <w:rFonts w:ascii="Arial" w:hAnsi="Arial" w:cs="Arial"/>
          <w:sz w:val="20"/>
          <w:szCs w:val="20"/>
        </w:rPr>
        <w:t xml:space="preserve"> 2013</w:t>
      </w:r>
      <w:r w:rsidR="0013728B">
        <w:rPr>
          <w:rFonts w:ascii="Arial" w:hAnsi="Arial" w:cs="Arial"/>
          <w:sz w:val="20"/>
          <w:szCs w:val="20"/>
        </w:rPr>
        <w:t>.</w:t>
      </w:r>
      <w:r w:rsidRPr="00504B5E">
        <w:rPr>
          <w:rFonts w:ascii="Arial" w:hAnsi="Arial" w:cs="Arial"/>
          <w:sz w:val="20"/>
          <w:szCs w:val="20"/>
        </w:rPr>
        <w:t xml:space="preserve"> Exploring potential demand for and supply of habitat banking in the EU and appropriate design elements for a habitat banking scheme. Final Report submitted to DG Environment by ICF GHK Consulting Ltd in association with BIO Intelligence Service</w:t>
      </w:r>
      <w:r w:rsidR="00DB5588" w:rsidRPr="00504B5E">
        <w:rPr>
          <w:rFonts w:ascii="Arial" w:hAnsi="Arial" w:cs="Arial"/>
          <w:sz w:val="20"/>
          <w:szCs w:val="20"/>
        </w:rPr>
        <w:t xml:space="preserve">. </w:t>
      </w:r>
      <w:r w:rsidRPr="00504B5E">
        <w:rPr>
          <w:rFonts w:ascii="Arial" w:hAnsi="Arial" w:cs="Arial"/>
          <w:sz w:val="20"/>
          <w:szCs w:val="20"/>
        </w:rPr>
        <w:t xml:space="preserve">Available at: </w:t>
      </w:r>
      <w:hyperlink r:id="rId22" w:history="1">
        <w:r w:rsidRPr="00632DBC">
          <w:rPr>
            <w:rStyle w:val="Hyperlink"/>
            <w:rFonts w:ascii="Arial" w:hAnsi="Arial" w:cs="Arial"/>
            <w:color w:val="auto"/>
            <w:sz w:val="20"/>
            <w:szCs w:val="20"/>
          </w:rPr>
          <w:t>http://apliweb.uned.es/comunicacion/prensa/ficheros_ver.asp?ID=38180612</w:t>
        </w:r>
      </w:hyperlink>
      <w:r w:rsidR="00DB5588" w:rsidRPr="00633A71">
        <w:rPr>
          <w:rFonts w:ascii="Arial" w:hAnsi="Arial" w:cs="Arial"/>
          <w:sz w:val="20"/>
          <w:szCs w:val="20"/>
        </w:rPr>
        <w:t xml:space="preserve"> </w:t>
      </w:r>
      <w:r w:rsidRPr="00633A71">
        <w:rPr>
          <w:rFonts w:ascii="Arial" w:hAnsi="Arial" w:cs="Arial"/>
          <w:sz w:val="20"/>
          <w:szCs w:val="20"/>
        </w:rPr>
        <w:t>Accessed 2</w:t>
      </w:r>
      <w:r w:rsidRPr="00633A71">
        <w:rPr>
          <w:rFonts w:ascii="Arial" w:hAnsi="Arial" w:cs="Arial"/>
          <w:sz w:val="20"/>
          <w:szCs w:val="20"/>
          <w:vertAlign w:val="superscript"/>
        </w:rPr>
        <w:t>nd</w:t>
      </w:r>
      <w:r w:rsidRPr="00504B5E">
        <w:rPr>
          <w:rFonts w:ascii="Arial" w:hAnsi="Arial" w:cs="Arial"/>
          <w:sz w:val="20"/>
          <w:szCs w:val="20"/>
        </w:rPr>
        <w:t xml:space="preserve"> June 2014</w:t>
      </w:r>
    </w:p>
    <w:p w14:paraId="62E81B30" w14:textId="3524EC4E" w:rsidR="00DB5588" w:rsidRPr="00504B5E" w:rsidRDefault="00810C20" w:rsidP="00DB5588">
      <w:pPr>
        <w:spacing w:before="200" w:after="0" w:line="240" w:lineRule="auto"/>
        <w:jc w:val="both"/>
        <w:rPr>
          <w:rFonts w:ascii="Arial" w:hAnsi="Arial" w:cs="Arial"/>
          <w:sz w:val="20"/>
          <w:szCs w:val="20"/>
        </w:rPr>
      </w:pPr>
      <w:proofErr w:type="spellStart"/>
      <w:r w:rsidRPr="00504B5E">
        <w:rPr>
          <w:rFonts w:ascii="Arial" w:hAnsi="Arial" w:cs="Arial"/>
          <w:sz w:val="20"/>
          <w:szCs w:val="20"/>
        </w:rPr>
        <w:t>Corbera</w:t>
      </w:r>
      <w:proofErr w:type="spellEnd"/>
      <w:r w:rsidRPr="00504B5E">
        <w:rPr>
          <w:rFonts w:ascii="Arial" w:hAnsi="Arial" w:cs="Arial"/>
          <w:sz w:val="20"/>
          <w:szCs w:val="20"/>
        </w:rPr>
        <w:t xml:space="preserve">, E., </w:t>
      </w:r>
      <w:proofErr w:type="spellStart"/>
      <w:r w:rsidRPr="00504B5E">
        <w:rPr>
          <w:rFonts w:ascii="Arial" w:hAnsi="Arial" w:cs="Arial"/>
          <w:sz w:val="20"/>
          <w:szCs w:val="20"/>
        </w:rPr>
        <w:t>Soberanis</w:t>
      </w:r>
      <w:proofErr w:type="spellEnd"/>
      <w:r w:rsidRPr="00504B5E">
        <w:rPr>
          <w:rFonts w:ascii="Arial" w:hAnsi="Arial" w:cs="Arial"/>
          <w:sz w:val="20"/>
          <w:szCs w:val="20"/>
        </w:rPr>
        <w:t xml:space="preserve">, C., and Brown, K. 2009. Institutional Dimensions of Payments for Ecosystem Services: </w:t>
      </w:r>
      <w:proofErr w:type="gramStart"/>
      <w:r w:rsidRPr="00504B5E">
        <w:rPr>
          <w:rFonts w:ascii="Arial" w:hAnsi="Arial" w:cs="Arial"/>
          <w:sz w:val="20"/>
          <w:szCs w:val="20"/>
        </w:rPr>
        <w:t>an</w:t>
      </w:r>
      <w:proofErr w:type="gramEnd"/>
      <w:r w:rsidRPr="00504B5E">
        <w:rPr>
          <w:rFonts w:ascii="Arial" w:hAnsi="Arial" w:cs="Arial"/>
          <w:sz w:val="20"/>
          <w:szCs w:val="20"/>
        </w:rPr>
        <w:t xml:space="preserve"> Analysis of Mexico’s Carbon Forestry Programme. Ecological Economics 68(3), pp. 743–761</w:t>
      </w:r>
    </w:p>
    <w:p w14:paraId="245F813B" w14:textId="56CF9786" w:rsidR="00DB5588" w:rsidRPr="00633A71" w:rsidRDefault="00DB5588" w:rsidP="00DB5588">
      <w:pPr>
        <w:spacing w:before="200" w:after="0" w:line="240" w:lineRule="auto"/>
        <w:rPr>
          <w:rFonts w:ascii="Arial" w:hAnsi="Arial" w:cs="Arial"/>
          <w:sz w:val="20"/>
          <w:szCs w:val="20"/>
        </w:rPr>
      </w:pPr>
      <w:r w:rsidRPr="00504B5E">
        <w:rPr>
          <w:rFonts w:ascii="Arial" w:hAnsi="Arial" w:cs="Arial"/>
          <w:sz w:val="20"/>
          <w:szCs w:val="20"/>
        </w:rPr>
        <w:t>Dalberg</w:t>
      </w:r>
      <w:r w:rsidR="0013728B">
        <w:rPr>
          <w:rFonts w:ascii="Arial" w:hAnsi="Arial" w:cs="Arial"/>
          <w:sz w:val="20"/>
          <w:szCs w:val="20"/>
        </w:rPr>
        <w:t>.</w:t>
      </w:r>
      <w:r w:rsidRPr="00504B5E">
        <w:rPr>
          <w:rFonts w:ascii="Arial" w:hAnsi="Arial" w:cs="Arial"/>
          <w:sz w:val="20"/>
          <w:szCs w:val="20"/>
        </w:rPr>
        <w:t xml:space="preserve"> 2015. Smallholder tree crop renovation and rehabilitation (R&amp;R). A Review of the State of the Emerging R&amp;R Market and Opportunities to Scale Investment. The Sustainable Trade Initiative. Available at: </w:t>
      </w:r>
      <w:hyperlink r:id="rId23" w:history="1">
        <w:r w:rsidRPr="00632DBC">
          <w:rPr>
            <w:rStyle w:val="Hyperlink"/>
            <w:rFonts w:ascii="Arial" w:hAnsi="Arial" w:cs="Arial"/>
            <w:color w:val="auto"/>
            <w:sz w:val="20"/>
            <w:szCs w:val="20"/>
          </w:rPr>
          <w:t>https://www.idhsustainabletrade.com/uploaded/2017/03/Dalberg-RR-Report.pdf</w:t>
        </w:r>
      </w:hyperlink>
      <w:r w:rsidRPr="00633A71">
        <w:rPr>
          <w:rFonts w:ascii="Arial" w:hAnsi="Arial" w:cs="Arial"/>
          <w:sz w:val="20"/>
          <w:szCs w:val="20"/>
        </w:rPr>
        <w:t xml:space="preserve">  </w:t>
      </w:r>
    </w:p>
    <w:p w14:paraId="5E64D423" w14:textId="50FF0179" w:rsidR="00810C20" w:rsidRPr="00A3063C" w:rsidRDefault="00810C20" w:rsidP="00DB5588">
      <w:pPr>
        <w:spacing w:before="200" w:after="0" w:line="240" w:lineRule="auto"/>
        <w:jc w:val="both"/>
        <w:rPr>
          <w:rFonts w:ascii="Arial" w:hAnsi="Arial" w:cs="Arial"/>
          <w:sz w:val="20"/>
          <w:szCs w:val="20"/>
        </w:rPr>
      </w:pPr>
      <w:r w:rsidRPr="00633A71">
        <w:rPr>
          <w:rFonts w:ascii="Arial" w:hAnsi="Arial" w:cs="Arial"/>
          <w:sz w:val="20"/>
          <w:szCs w:val="20"/>
        </w:rPr>
        <w:t>Daw, T., Brown, K., Rosendo, S. and Pomeroy,</w:t>
      </w:r>
      <w:r w:rsidR="00FF6264">
        <w:rPr>
          <w:rFonts w:ascii="Arial" w:hAnsi="Arial" w:cs="Arial"/>
          <w:sz w:val="20"/>
          <w:szCs w:val="20"/>
        </w:rPr>
        <w:t xml:space="preserve"> </w:t>
      </w:r>
      <w:r w:rsidRPr="00504B5E">
        <w:rPr>
          <w:rFonts w:ascii="Arial" w:hAnsi="Arial" w:cs="Arial"/>
          <w:sz w:val="20"/>
          <w:szCs w:val="20"/>
        </w:rPr>
        <w:t xml:space="preserve">R., 2011. </w:t>
      </w:r>
      <w:r w:rsidRPr="00504B5E">
        <w:rPr>
          <w:rFonts w:ascii="Arial" w:hAnsi="Arial" w:cs="Arial"/>
          <w:bCs/>
          <w:sz w:val="20"/>
          <w:szCs w:val="20"/>
        </w:rPr>
        <w:t>Applying the ecosystem services concept to poverty alleviation: the need to disaggregate human well-being</w:t>
      </w:r>
      <w:r w:rsidRPr="00504B5E">
        <w:rPr>
          <w:rFonts w:ascii="Arial" w:hAnsi="Arial" w:cs="Arial"/>
          <w:b/>
          <w:bCs/>
          <w:sz w:val="20"/>
          <w:szCs w:val="20"/>
        </w:rPr>
        <w:t xml:space="preserve">, </w:t>
      </w:r>
      <w:r w:rsidRPr="00504B5E">
        <w:rPr>
          <w:rFonts w:ascii="Arial" w:hAnsi="Arial" w:cs="Arial"/>
          <w:i/>
          <w:iCs/>
          <w:sz w:val="20"/>
          <w:szCs w:val="20"/>
        </w:rPr>
        <w:t xml:space="preserve">Environmental Conservation </w:t>
      </w:r>
      <w:r w:rsidRPr="00504B5E">
        <w:rPr>
          <w:rFonts w:ascii="Arial" w:hAnsi="Arial" w:cs="Arial"/>
          <w:bCs/>
          <w:sz w:val="20"/>
          <w:szCs w:val="20"/>
        </w:rPr>
        <w:t>38</w:t>
      </w:r>
      <w:r w:rsidRPr="00504B5E">
        <w:rPr>
          <w:rFonts w:ascii="Arial" w:hAnsi="Arial" w:cs="Arial"/>
          <w:b/>
          <w:bCs/>
          <w:sz w:val="20"/>
          <w:szCs w:val="20"/>
        </w:rPr>
        <w:t xml:space="preserve"> </w:t>
      </w:r>
      <w:r w:rsidRPr="00A3063C">
        <w:rPr>
          <w:rFonts w:ascii="Arial" w:hAnsi="Arial" w:cs="Arial"/>
          <w:sz w:val="20"/>
          <w:szCs w:val="20"/>
        </w:rPr>
        <w:t>(4), pp. 370–379</w:t>
      </w:r>
    </w:p>
    <w:p w14:paraId="7609E260" w14:textId="2C267066" w:rsidR="00877972" w:rsidRPr="00504B5E" w:rsidRDefault="00810C20" w:rsidP="00810C20">
      <w:pPr>
        <w:spacing w:before="200" w:after="0" w:line="240" w:lineRule="auto"/>
        <w:jc w:val="both"/>
        <w:rPr>
          <w:rFonts w:ascii="Arial" w:hAnsi="Arial" w:cs="Arial"/>
          <w:sz w:val="20"/>
          <w:szCs w:val="20"/>
        </w:rPr>
      </w:pPr>
      <w:r w:rsidRPr="00A3063C">
        <w:rPr>
          <w:rFonts w:ascii="Arial" w:hAnsi="Arial"/>
          <w:sz w:val="20"/>
          <w:lang w:val="es-MX"/>
        </w:rPr>
        <w:t xml:space="preserve">De </w:t>
      </w:r>
      <w:proofErr w:type="spellStart"/>
      <w:r w:rsidRPr="00A3063C">
        <w:rPr>
          <w:rFonts w:ascii="Arial" w:hAnsi="Arial"/>
          <w:sz w:val="20"/>
          <w:lang w:val="es-MX"/>
        </w:rPr>
        <w:t>Koning</w:t>
      </w:r>
      <w:proofErr w:type="spellEnd"/>
      <w:r w:rsidRPr="00A3063C">
        <w:rPr>
          <w:rFonts w:ascii="Arial" w:hAnsi="Arial"/>
          <w:sz w:val="20"/>
          <w:lang w:val="es-MX"/>
        </w:rPr>
        <w:t xml:space="preserve">, F., Aguiñaga, M., Bravo, M., </w:t>
      </w:r>
      <w:proofErr w:type="spellStart"/>
      <w:r w:rsidRPr="00A3063C">
        <w:rPr>
          <w:rFonts w:ascii="Arial" w:hAnsi="Arial"/>
          <w:sz w:val="20"/>
          <w:lang w:val="es-MX"/>
        </w:rPr>
        <w:t>Chiu</w:t>
      </w:r>
      <w:proofErr w:type="spellEnd"/>
      <w:r w:rsidRPr="00A3063C">
        <w:rPr>
          <w:rFonts w:ascii="Arial" w:hAnsi="Arial"/>
          <w:sz w:val="20"/>
          <w:lang w:val="es-MX"/>
        </w:rPr>
        <w:t>, M., Lascano, M., Lozada, T., &amp; Suarez, L.,</w:t>
      </w:r>
      <w:r w:rsidR="00FF6264">
        <w:rPr>
          <w:rFonts w:ascii="Arial" w:hAnsi="Arial"/>
          <w:sz w:val="20"/>
          <w:lang w:val="es-MX"/>
        </w:rPr>
        <w:t xml:space="preserve"> </w:t>
      </w:r>
      <w:r w:rsidRPr="00A3063C">
        <w:rPr>
          <w:rFonts w:ascii="Arial" w:hAnsi="Arial"/>
          <w:sz w:val="20"/>
          <w:lang w:val="es-MX"/>
        </w:rPr>
        <w:t xml:space="preserve">2011. </w:t>
      </w:r>
      <w:r w:rsidRPr="00633A71">
        <w:rPr>
          <w:rFonts w:ascii="Arial" w:hAnsi="Arial" w:cs="Arial"/>
          <w:sz w:val="20"/>
          <w:szCs w:val="20"/>
        </w:rPr>
        <w:t xml:space="preserve">Bridging the gap between forest conservation and poverty alleviation: the Ecuadorian Socio Bosque </w:t>
      </w:r>
      <w:proofErr w:type="spellStart"/>
      <w:proofErr w:type="gramStart"/>
      <w:r w:rsidRPr="00633A71">
        <w:rPr>
          <w:rFonts w:ascii="Arial" w:hAnsi="Arial" w:cs="Arial"/>
          <w:sz w:val="20"/>
          <w:szCs w:val="20"/>
        </w:rPr>
        <w:t>program.</w:t>
      </w:r>
      <w:r w:rsidRPr="00633A71">
        <w:rPr>
          <w:rFonts w:ascii="Arial" w:hAnsi="Arial" w:cs="Arial"/>
          <w:i/>
          <w:iCs/>
          <w:sz w:val="20"/>
          <w:szCs w:val="20"/>
        </w:rPr>
        <w:t>Environmental</w:t>
      </w:r>
      <w:proofErr w:type="spellEnd"/>
      <w:proofErr w:type="gramEnd"/>
      <w:r w:rsidRPr="00633A71">
        <w:rPr>
          <w:rFonts w:ascii="Arial" w:hAnsi="Arial" w:cs="Arial"/>
          <w:i/>
          <w:iCs/>
          <w:sz w:val="20"/>
          <w:szCs w:val="20"/>
        </w:rPr>
        <w:t xml:space="preserve"> Science &amp; Policy</w:t>
      </w:r>
      <w:r w:rsidRPr="00633A71">
        <w:rPr>
          <w:rFonts w:ascii="Arial" w:hAnsi="Arial" w:cs="Arial"/>
          <w:sz w:val="20"/>
          <w:szCs w:val="20"/>
        </w:rPr>
        <w:t>,</w:t>
      </w:r>
      <w:r w:rsidRPr="00504B5E">
        <w:rPr>
          <w:rFonts w:ascii="Arial" w:hAnsi="Arial" w:cs="Arial"/>
          <w:i/>
          <w:iCs/>
          <w:sz w:val="20"/>
          <w:szCs w:val="20"/>
        </w:rPr>
        <w:t>14</w:t>
      </w:r>
      <w:r w:rsidRPr="00504B5E">
        <w:rPr>
          <w:rFonts w:ascii="Arial" w:hAnsi="Arial" w:cs="Arial"/>
          <w:sz w:val="20"/>
          <w:szCs w:val="20"/>
        </w:rPr>
        <w:t>(5), 531-542</w:t>
      </w:r>
    </w:p>
    <w:p w14:paraId="743E6D6A" w14:textId="3849A80F" w:rsidR="00877972" w:rsidRPr="00A3063C" w:rsidRDefault="00877972" w:rsidP="00B01FDB">
      <w:pPr>
        <w:pStyle w:val="NormalWeb"/>
        <w:spacing w:before="200" w:beforeAutospacing="0" w:after="0" w:afterAutospacing="0" w:line="240" w:lineRule="auto"/>
        <w:rPr>
          <w:rFonts w:ascii="Arial" w:hAnsi="Arial"/>
          <w:sz w:val="20"/>
          <w:szCs w:val="20"/>
        </w:rPr>
      </w:pPr>
      <w:proofErr w:type="spellStart"/>
      <w:r w:rsidRPr="00504B5E">
        <w:rPr>
          <w:rFonts w:ascii="Arial" w:hAnsi="Arial"/>
          <w:sz w:val="20"/>
          <w:szCs w:val="20"/>
        </w:rPr>
        <w:t>Delang</w:t>
      </w:r>
      <w:proofErr w:type="spellEnd"/>
      <w:r w:rsidR="0013728B">
        <w:rPr>
          <w:rFonts w:ascii="Arial" w:hAnsi="Arial"/>
          <w:sz w:val="20"/>
          <w:szCs w:val="20"/>
        </w:rPr>
        <w:t>,</w:t>
      </w:r>
      <w:r w:rsidRPr="00504B5E">
        <w:rPr>
          <w:rFonts w:ascii="Arial" w:hAnsi="Arial"/>
          <w:sz w:val="20"/>
          <w:szCs w:val="20"/>
        </w:rPr>
        <w:t xml:space="preserve"> C. and M. Toro</w:t>
      </w:r>
      <w:r w:rsidR="0013728B">
        <w:rPr>
          <w:rFonts w:ascii="Arial" w:hAnsi="Arial"/>
          <w:sz w:val="20"/>
          <w:szCs w:val="20"/>
        </w:rPr>
        <w:t>, M</w:t>
      </w:r>
      <w:r w:rsidRPr="00504B5E">
        <w:rPr>
          <w:rFonts w:ascii="Arial" w:hAnsi="Arial"/>
          <w:sz w:val="20"/>
          <w:szCs w:val="20"/>
        </w:rPr>
        <w:t>.</w:t>
      </w:r>
      <w:r w:rsidR="00FF6264">
        <w:rPr>
          <w:rFonts w:ascii="Arial" w:hAnsi="Arial"/>
          <w:sz w:val="20"/>
          <w:szCs w:val="20"/>
        </w:rPr>
        <w:t>,</w:t>
      </w:r>
      <w:r w:rsidRPr="00504B5E">
        <w:rPr>
          <w:rFonts w:ascii="Arial" w:hAnsi="Arial"/>
          <w:sz w:val="20"/>
          <w:szCs w:val="20"/>
        </w:rPr>
        <w:t xml:space="preserve"> 2011. </w:t>
      </w:r>
      <w:r w:rsidRPr="00504B5E">
        <w:rPr>
          <w:rFonts w:ascii="Arial" w:hAnsi="Arial"/>
          <w:bCs/>
          <w:sz w:val="20"/>
          <w:szCs w:val="20"/>
        </w:rPr>
        <w:t xml:space="preserve">Hydropower-induced displacement and resettlement in the Lao </w:t>
      </w:r>
      <w:r w:rsidRPr="00FF6264">
        <w:rPr>
          <w:rFonts w:ascii="Arial" w:hAnsi="Arial" w:cs="Arial"/>
          <w:bCs/>
          <w:sz w:val="20"/>
          <w:szCs w:val="20"/>
        </w:rPr>
        <w:t xml:space="preserve">PDR. </w:t>
      </w:r>
      <w:r w:rsidRPr="00FF6264">
        <w:rPr>
          <w:rFonts w:ascii="Arial" w:hAnsi="Arial" w:cs="Arial"/>
          <w:i/>
          <w:iCs/>
          <w:sz w:val="20"/>
          <w:szCs w:val="20"/>
        </w:rPr>
        <w:t>South East Asia Research</w:t>
      </w:r>
      <w:r w:rsidRPr="00FF6264">
        <w:rPr>
          <w:rFonts w:ascii="Arial" w:hAnsi="Arial" w:cs="Arial"/>
          <w:sz w:val="20"/>
          <w:szCs w:val="20"/>
        </w:rPr>
        <w:t xml:space="preserve">, 19, 3, pp 567–594 </w:t>
      </w:r>
      <w:r w:rsidR="0013728B" w:rsidRPr="00FF6264">
        <w:rPr>
          <w:rFonts w:ascii="Arial" w:hAnsi="Arial" w:cs="Arial"/>
          <w:sz w:val="20"/>
          <w:szCs w:val="20"/>
        </w:rPr>
        <w:t xml:space="preserve">Available at: </w:t>
      </w:r>
      <w:hyperlink r:id="rId24" w:history="1">
        <w:r w:rsidR="0013728B" w:rsidRPr="00FF6264">
          <w:rPr>
            <w:rStyle w:val="Hyperlink"/>
            <w:rFonts w:ascii="Arial" w:hAnsi="Arial" w:cs="Arial"/>
            <w:color w:val="auto"/>
            <w:sz w:val="20"/>
            <w:szCs w:val="20"/>
          </w:rPr>
          <w:t>http://dx.</w:t>
        </w:r>
        <w:r w:rsidR="0013728B" w:rsidRPr="00FF6264">
          <w:rPr>
            <w:rStyle w:val="Hyperlink"/>
            <w:rFonts w:ascii="Arial" w:hAnsi="Arial" w:cs="Arial"/>
            <w:bCs/>
            <w:color w:val="auto"/>
            <w:sz w:val="20"/>
            <w:szCs w:val="20"/>
          </w:rPr>
          <w:t>doi</w:t>
        </w:r>
        <w:r w:rsidR="0013728B" w:rsidRPr="00FF6264">
          <w:rPr>
            <w:rStyle w:val="Hyperlink"/>
            <w:rFonts w:ascii="Arial" w:hAnsi="Arial" w:cs="Arial"/>
            <w:color w:val="auto"/>
            <w:sz w:val="20"/>
            <w:szCs w:val="20"/>
          </w:rPr>
          <w:t>.org/</w:t>
        </w:r>
        <w:r w:rsidR="0013728B" w:rsidRPr="00FF6264">
          <w:rPr>
            <w:rStyle w:val="Hyperlink"/>
            <w:rFonts w:ascii="Arial" w:hAnsi="Arial" w:cs="Arial"/>
            <w:bCs/>
            <w:color w:val="auto"/>
            <w:sz w:val="20"/>
            <w:szCs w:val="20"/>
          </w:rPr>
          <w:t>10.5367</w:t>
        </w:r>
        <w:r w:rsidR="0013728B" w:rsidRPr="00FF6264">
          <w:rPr>
            <w:rStyle w:val="Hyperlink"/>
            <w:rFonts w:ascii="Arial" w:hAnsi="Arial" w:cs="Arial"/>
            <w:color w:val="auto"/>
            <w:sz w:val="20"/>
            <w:szCs w:val="20"/>
          </w:rPr>
          <w:t>/</w:t>
        </w:r>
        <w:r w:rsidR="0013728B" w:rsidRPr="00FF6264">
          <w:rPr>
            <w:rStyle w:val="Hyperlink"/>
            <w:rFonts w:ascii="Arial" w:hAnsi="Arial" w:cs="Arial"/>
            <w:bCs/>
            <w:color w:val="auto"/>
            <w:sz w:val="20"/>
            <w:szCs w:val="20"/>
          </w:rPr>
          <w:t>sear</w:t>
        </w:r>
        <w:r w:rsidR="0013728B" w:rsidRPr="00FF6264">
          <w:rPr>
            <w:rStyle w:val="Hyperlink"/>
            <w:rFonts w:ascii="Arial" w:hAnsi="Arial" w:cs="Arial"/>
            <w:color w:val="auto"/>
            <w:sz w:val="20"/>
            <w:szCs w:val="20"/>
          </w:rPr>
          <w:t>.</w:t>
        </w:r>
        <w:r w:rsidR="0013728B" w:rsidRPr="00FF6264">
          <w:rPr>
            <w:rStyle w:val="Hyperlink"/>
            <w:rFonts w:ascii="Arial" w:hAnsi="Arial" w:cs="Arial"/>
            <w:bCs/>
            <w:color w:val="auto"/>
            <w:sz w:val="20"/>
            <w:szCs w:val="20"/>
          </w:rPr>
          <w:t>2011.0056</w:t>
        </w:r>
      </w:hyperlink>
      <w:r w:rsidR="0013728B" w:rsidRPr="00FF6264">
        <w:rPr>
          <w:rFonts w:ascii="Arial" w:hAnsi="Arial" w:cs="Arial"/>
          <w:bCs/>
          <w:sz w:val="20"/>
          <w:szCs w:val="20"/>
        </w:rPr>
        <w:t xml:space="preserve"> Accessed 15th August 2018</w:t>
      </w:r>
      <w:r w:rsidR="0013728B" w:rsidRPr="00FF6264">
        <w:rPr>
          <w:rFonts w:ascii="Arial" w:hAnsi="Arial" w:cs="Arial"/>
          <w:b/>
          <w:bCs/>
          <w:sz w:val="22"/>
          <w:szCs w:val="22"/>
        </w:rPr>
        <w:t xml:space="preserve"> </w:t>
      </w:r>
    </w:p>
    <w:p w14:paraId="5ABC7C34" w14:textId="5DDD77D1" w:rsidR="00810C20" w:rsidRPr="00633A71" w:rsidRDefault="0056262D" w:rsidP="00810C20">
      <w:pPr>
        <w:spacing w:before="200" w:after="0" w:line="240" w:lineRule="auto"/>
        <w:jc w:val="both"/>
        <w:rPr>
          <w:rFonts w:ascii="Arial" w:hAnsi="Arial" w:cs="Arial"/>
          <w:sz w:val="20"/>
          <w:szCs w:val="20"/>
        </w:rPr>
      </w:pPr>
      <w:r>
        <w:rPr>
          <w:rFonts w:ascii="Arial" w:hAnsi="Arial" w:cs="Arial"/>
          <w:bCs/>
          <w:sz w:val="20"/>
          <w:szCs w:val="20"/>
        </w:rPr>
        <w:t xml:space="preserve">Kate, K., </w:t>
      </w:r>
      <w:proofErr w:type="spellStart"/>
      <w:r>
        <w:rPr>
          <w:rFonts w:ascii="Arial" w:hAnsi="Arial" w:cs="Arial"/>
          <w:bCs/>
          <w:sz w:val="20"/>
          <w:szCs w:val="20"/>
        </w:rPr>
        <w:t>Trewek</w:t>
      </w:r>
      <w:proofErr w:type="spellEnd"/>
      <w:r>
        <w:rPr>
          <w:rFonts w:ascii="Arial" w:hAnsi="Arial" w:cs="Arial"/>
          <w:bCs/>
          <w:sz w:val="20"/>
          <w:szCs w:val="20"/>
        </w:rPr>
        <w:t xml:space="preserve">, J. and </w:t>
      </w:r>
      <w:proofErr w:type="spellStart"/>
      <w:r>
        <w:rPr>
          <w:rFonts w:ascii="Arial" w:hAnsi="Arial" w:cs="Arial"/>
          <w:bCs/>
          <w:sz w:val="20"/>
          <w:szCs w:val="20"/>
        </w:rPr>
        <w:t>Ekstrom</w:t>
      </w:r>
      <w:proofErr w:type="spellEnd"/>
      <w:r>
        <w:rPr>
          <w:rFonts w:ascii="Arial" w:hAnsi="Arial" w:cs="Arial"/>
          <w:bCs/>
          <w:sz w:val="20"/>
          <w:szCs w:val="20"/>
        </w:rPr>
        <w:t>, J</w:t>
      </w:r>
      <w:r w:rsidR="007E05BE" w:rsidRPr="00A3063C">
        <w:rPr>
          <w:rFonts w:ascii="Arial" w:hAnsi="Arial" w:cs="Arial"/>
          <w:bCs/>
          <w:sz w:val="20"/>
          <w:szCs w:val="20"/>
        </w:rPr>
        <w:t xml:space="preserve">. </w:t>
      </w:r>
      <w:r w:rsidR="00810C20" w:rsidRPr="00A3063C">
        <w:rPr>
          <w:rFonts w:ascii="Arial" w:hAnsi="Arial" w:cs="Arial"/>
          <w:bCs/>
          <w:sz w:val="20"/>
          <w:szCs w:val="20"/>
        </w:rPr>
        <w:t xml:space="preserve">2010. The use of market-based instruments for biodiversity protection: The case of habitat banking. Technical Report by </w:t>
      </w:r>
      <w:proofErr w:type="spellStart"/>
      <w:r w:rsidR="00810C20" w:rsidRPr="00A3063C">
        <w:rPr>
          <w:rFonts w:ascii="Arial" w:hAnsi="Arial" w:cs="Arial"/>
          <w:bCs/>
          <w:sz w:val="20"/>
          <w:szCs w:val="20"/>
        </w:rPr>
        <w:t>eftec</w:t>
      </w:r>
      <w:proofErr w:type="spellEnd"/>
      <w:r w:rsidR="00810C20" w:rsidRPr="00A3063C">
        <w:rPr>
          <w:rFonts w:ascii="Arial" w:hAnsi="Arial" w:cs="Arial"/>
          <w:bCs/>
          <w:sz w:val="20"/>
          <w:szCs w:val="20"/>
        </w:rPr>
        <w:t xml:space="preserve"> IEEP and others. Available at: </w:t>
      </w:r>
      <w:hyperlink r:id="rId25" w:tgtFrame="_blank" w:history="1">
        <w:r w:rsidR="00810C20" w:rsidRPr="00632DBC">
          <w:rPr>
            <w:rStyle w:val="Hyperlink"/>
            <w:rFonts w:ascii="Arial" w:hAnsi="Arial" w:cs="Arial"/>
            <w:bCs/>
            <w:color w:val="auto"/>
            <w:sz w:val="20"/>
            <w:szCs w:val="20"/>
          </w:rPr>
          <w:t>http://ec.europa.eu/environment/enveco/pdf/eftec_habitat_technical_report.pdf</w:t>
        </w:r>
      </w:hyperlink>
      <w:r w:rsidR="00810C20" w:rsidRPr="00633A71">
        <w:rPr>
          <w:rFonts w:ascii="Arial" w:hAnsi="Arial" w:cs="Arial"/>
          <w:sz w:val="20"/>
          <w:szCs w:val="20"/>
        </w:rPr>
        <w:t xml:space="preserve"> Accessed 2nd June 2014</w:t>
      </w:r>
    </w:p>
    <w:p w14:paraId="0BF5C2B7" w14:textId="4AFF8372" w:rsidR="00810C20" w:rsidRPr="00633A71" w:rsidRDefault="00810C20" w:rsidP="00810C20">
      <w:pPr>
        <w:spacing w:before="200" w:after="0" w:line="240" w:lineRule="auto"/>
        <w:jc w:val="both"/>
        <w:rPr>
          <w:rFonts w:ascii="Arial" w:hAnsi="Arial" w:cs="Arial"/>
          <w:sz w:val="20"/>
          <w:szCs w:val="20"/>
        </w:rPr>
      </w:pPr>
      <w:proofErr w:type="spellStart"/>
      <w:r w:rsidRPr="00633A71">
        <w:rPr>
          <w:rFonts w:ascii="Arial" w:hAnsi="Arial" w:cs="Arial"/>
          <w:sz w:val="20"/>
          <w:szCs w:val="20"/>
        </w:rPr>
        <w:t>Doviet</w:t>
      </w:r>
      <w:proofErr w:type="spellEnd"/>
      <w:r w:rsidRPr="00633A71">
        <w:rPr>
          <w:rFonts w:ascii="Arial" w:hAnsi="Arial" w:cs="Arial"/>
          <w:sz w:val="20"/>
          <w:szCs w:val="20"/>
        </w:rPr>
        <w:t>, F</w:t>
      </w:r>
      <w:r w:rsidR="00447EFC">
        <w:rPr>
          <w:rFonts w:ascii="Arial" w:hAnsi="Arial" w:cs="Arial"/>
          <w:sz w:val="20"/>
          <w:szCs w:val="20"/>
        </w:rPr>
        <w:t>.</w:t>
      </w:r>
      <w:r w:rsidRPr="00633A71">
        <w:rPr>
          <w:rFonts w:ascii="Arial" w:hAnsi="Arial" w:cs="Arial"/>
          <w:sz w:val="20"/>
          <w:szCs w:val="20"/>
        </w:rPr>
        <w:t>, Mabel, M. and Halverson, E., 2011.</w:t>
      </w:r>
      <w:r w:rsidRPr="00504B5E">
        <w:rPr>
          <w:rFonts w:ascii="Arial" w:hAnsi="Arial" w:cs="Arial"/>
          <w:sz w:val="20"/>
          <w:szCs w:val="20"/>
        </w:rPr>
        <w:t xml:space="preserve"> A draft framework for sharing approaches for better multi-stakeholder participation practices. The Forest Carbon Partnership Facility and UN REDD. Available at: </w:t>
      </w:r>
      <w:hyperlink r:id="rId26" w:history="1">
        <w:r w:rsidRPr="00632DBC">
          <w:rPr>
            <w:rStyle w:val="Hyperlink"/>
            <w:rFonts w:ascii="Arial" w:hAnsi="Arial" w:cs="Arial"/>
            <w:color w:val="auto"/>
            <w:sz w:val="20"/>
            <w:szCs w:val="20"/>
          </w:rPr>
          <w:t>http://www.un-redd.org/PublicationsResources/tabid/587/Default.aspx</w:t>
        </w:r>
      </w:hyperlink>
      <w:r w:rsidRPr="00633A71">
        <w:rPr>
          <w:rFonts w:ascii="Arial" w:hAnsi="Arial" w:cs="Arial"/>
          <w:sz w:val="20"/>
          <w:szCs w:val="20"/>
        </w:rPr>
        <w:t xml:space="preserve"> Accessed 22nd May 2014</w:t>
      </w:r>
    </w:p>
    <w:p w14:paraId="6E3BA891" w14:textId="1332BDBF" w:rsidR="00810C20" w:rsidRPr="00504B5E" w:rsidRDefault="00810C20" w:rsidP="00810C20">
      <w:pPr>
        <w:spacing w:before="200" w:after="0" w:line="240" w:lineRule="auto"/>
        <w:jc w:val="both"/>
        <w:rPr>
          <w:rFonts w:ascii="Arial" w:hAnsi="Arial" w:cs="Arial"/>
          <w:sz w:val="20"/>
          <w:szCs w:val="20"/>
        </w:rPr>
      </w:pPr>
      <w:proofErr w:type="spellStart"/>
      <w:r w:rsidRPr="00633A71">
        <w:rPr>
          <w:rFonts w:ascii="Arial" w:hAnsi="Arial" w:cs="Arial"/>
          <w:sz w:val="20"/>
          <w:szCs w:val="20"/>
        </w:rPr>
        <w:t>Ecolabelindex</w:t>
      </w:r>
      <w:proofErr w:type="spellEnd"/>
      <w:r w:rsidRPr="00633A71">
        <w:rPr>
          <w:rFonts w:ascii="Arial" w:hAnsi="Arial" w:cs="Arial"/>
          <w:sz w:val="20"/>
          <w:szCs w:val="20"/>
        </w:rPr>
        <w:t>, 2014. Available at: http://www.ecolabelindex.com/ Accessed 2</w:t>
      </w:r>
      <w:r w:rsidRPr="00504B5E">
        <w:rPr>
          <w:rFonts w:ascii="Arial" w:hAnsi="Arial" w:cs="Arial"/>
          <w:sz w:val="20"/>
          <w:szCs w:val="20"/>
          <w:vertAlign w:val="superscript"/>
        </w:rPr>
        <w:t>nd</w:t>
      </w:r>
      <w:r w:rsidRPr="00504B5E">
        <w:rPr>
          <w:rFonts w:ascii="Arial" w:hAnsi="Arial" w:cs="Arial"/>
          <w:sz w:val="20"/>
          <w:szCs w:val="20"/>
        </w:rPr>
        <w:t xml:space="preserve"> June 2014</w:t>
      </w:r>
    </w:p>
    <w:p w14:paraId="35F04045" w14:textId="6A76A955" w:rsidR="007C24C9" w:rsidRPr="00633A71" w:rsidRDefault="007C24C9" w:rsidP="00810C20">
      <w:pPr>
        <w:spacing w:before="200" w:after="0" w:line="240" w:lineRule="auto"/>
        <w:jc w:val="both"/>
        <w:rPr>
          <w:rFonts w:ascii="Arial" w:hAnsi="Arial"/>
          <w:sz w:val="20"/>
          <w:szCs w:val="20"/>
        </w:rPr>
      </w:pPr>
      <w:r w:rsidRPr="00504B5E">
        <w:rPr>
          <w:rFonts w:ascii="Arial" w:hAnsi="Arial"/>
          <w:sz w:val="20"/>
          <w:szCs w:val="20"/>
        </w:rPr>
        <w:t xml:space="preserve">Environmental Impact Assessment Guidelines. 2011. </w:t>
      </w:r>
      <w:r w:rsidRPr="00504B5E">
        <w:rPr>
          <w:rFonts w:ascii="Arial" w:eastAsia="Arial-BoldMT" w:hAnsi="Arial"/>
          <w:bCs/>
          <w:sz w:val="20"/>
          <w:szCs w:val="20"/>
        </w:rPr>
        <w:t xml:space="preserve">Environmental Management Support Programme - Ministry </w:t>
      </w:r>
      <w:proofErr w:type="gramStart"/>
      <w:r w:rsidRPr="00504B5E">
        <w:rPr>
          <w:rFonts w:ascii="Arial" w:eastAsia="Arial-BoldMT" w:hAnsi="Arial"/>
          <w:bCs/>
          <w:sz w:val="20"/>
          <w:szCs w:val="20"/>
        </w:rPr>
        <w:t>For</w:t>
      </w:r>
      <w:proofErr w:type="gramEnd"/>
      <w:r w:rsidRPr="00504B5E">
        <w:rPr>
          <w:rFonts w:ascii="Arial" w:eastAsia="Arial-BoldMT" w:hAnsi="Arial"/>
          <w:bCs/>
          <w:sz w:val="20"/>
          <w:szCs w:val="20"/>
        </w:rPr>
        <w:t xml:space="preserve"> Foreign Affairs of Government of Finland. </w:t>
      </w:r>
      <w:r w:rsidRPr="00504B5E">
        <w:rPr>
          <w:rFonts w:ascii="Arial" w:hAnsi="Arial"/>
          <w:sz w:val="20"/>
          <w:szCs w:val="20"/>
        </w:rPr>
        <w:t xml:space="preserve">Lao People’s Democratic Republic. Available at: </w:t>
      </w:r>
      <w:hyperlink r:id="rId27" w:history="1">
        <w:r w:rsidRPr="00632DBC">
          <w:rPr>
            <w:rStyle w:val="Hyperlink"/>
            <w:rFonts w:ascii="Arial" w:hAnsi="Arial"/>
            <w:color w:val="auto"/>
            <w:sz w:val="20"/>
            <w:szCs w:val="20"/>
          </w:rPr>
          <w:t>https://countrysafeguardsystems.net/sites/default/files/Environmental%20Impact%20Assessment%20Guidelines%20%282011%29.pdf</w:t>
        </w:r>
      </w:hyperlink>
      <w:r w:rsidRPr="00633A71">
        <w:rPr>
          <w:rFonts w:ascii="Arial" w:hAnsi="Arial"/>
          <w:sz w:val="20"/>
          <w:szCs w:val="20"/>
        </w:rPr>
        <w:t xml:space="preserve"> Accessed 6th October 2017</w:t>
      </w:r>
    </w:p>
    <w:p w14:paraId="01BEA476" w14:textId="14F94549"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ETC</w:t>
      </w:r>
      <w:r w:rsidR="001227FB">
        <w:rPr>
          <w:rFonts w:ascii="Arial" w:hAnsi="Arial" w:cs="Arial"/>
          <w:sz w:val="20"/>
          <w:szCs w:val="20"/>
        </w:rPr>
        <w:t>.</w:t>
      </w:r>
      <w:r w:rsidRPr="00633A71">
        <w:rPr>
          <w:rFonts w:ascii="Arial" w:hAnsi="Arial" w:cs="Arial"/>
          <w:sz w:val="20"/>
          <w:szCs w:val="20"/>
        </w:rPr>
        <w:t xml:space="preserve"> 2001. Andean Groups Hopping Mad About Popping-Bean Patent, 20 March 2001. </w:t>
      </w:r>
      <w:r w:rsidRPr="00504B5E">
        <w:rPr>
          <w:rFonts w:ascii="Arial" w:hAnsi="Arial" w:cs="Arial"/>
          <w:i/>
          <w:sz w:val="20"/>
          <w:szCs w:val="20"/>
        </w:rPr>
        <w:t>News Release, Erosion, Technology and Concentration</w:t>
      </w:r>
      <w:r w:rsidRPr="00504B5E">
        <w:rPr>
          <w:rFonts w:ascii="Arial" w:hAnsi="Arial" w:cs="Arial"/>
          <w:sz w:val="20"/>
          <w:szCs w:val="20"/>
        </w:rPr>
        <w:t>, Action Group</w:t>
      </w:r>
    </w:p>
    <w:p w14:paraId="09B7F7FF"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lastRenderedPageBreak/>
        <w:t xml:space="preserve">FAO, 2003. FAO Multilingual Thesaurus on Land Tenure. Available at: </w:t>
      </w:r>
      <w:hyperlink r:id="rId28" w:history="1">
        <w:r w:rsidRPr="00632DBC">
          <w:rPr>
            <w:rStyle w:val="Hyperlink"/>
            <w:rFonts w:ascii="Arial" w:hAnsi="Arial" w:cs="Arial"/>
            <w:color w:val="auto"/>
            <w:sz w:val="20"/>
            <w:szCs w:val="20"/>
          </w:rPr>
          <w:t>ftp://ftp.fao.org/docrep/fao/005/x2038e/x2038e00.pdf</w:t>
        </w:r>
      </w:hyperlink>
      <w:r w:rsidRPr="00633A71">
        <w:rPr>
          <w:rFonts w:ascii="Arial" w:hAnsi="Arial" w:cs="Arial"/>
          <w:sz w:val="20"/>
          <w:szCs w:val="20"/>
        </w:rPr>
        <w:t xml:space="preserve"> Accessed 21st May 2014</w:t>
      </w:r>
    </w:p>
    <w:p w14:paraId="71B19CCC"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Farhan-Ferrar</w:t>
      </w:r>
      <w:r w:rsidRPr="00504B5E">
        <w:rPr>
          <w:rFonts w:ascii="Arial" w:hAnsi="Arial" w:cs="Arial"/>
          <w:sz w:val="20"/>
          <w:szCs w:val="20"/>
        </w:rPr>
        <w:t xml:space="preserve">i, 2012. Indigenous resource management systems: A holistic approach to nature and livelihoods. Posted March 14, 2012 Available at: </w:t>
      </w:r>
      <w:hyperlink r:id="rId29" w:history="1">
        <w:r w:rsidRPr="00632DBC">
          <w:rPr>
            <w:rStyle w:val="Hyperlink"/>
            <w:rFonts w:ascii="Arial" w:hAnsi="Arial" w:cs="Arial"/>
            <w:color w:val="auto"/>
            <w:sz w:val="20"/>
            <w:szCs w:val="20"/>
          </w:rPr>
          <w:t>http://blog.ecoagriculture.org/2012/03/14/forest_peoples_programme/</w:t>
        </w:r>
      </w:hyperlink>
      <w:r w:rsidRPr="00633A71">
        <w:rPr>
          <w:rFonts w:ascii="Arial" w:hAnsi="Arial" w:cs="Arial"/>
          <w:sz w:val="20"/>
          <w:szCs w:val="20"/>
        </w:rPr>
        <w:t xml:space="preserve"> Accessed 7</w:t>
      </w:r>
      <w:r w:rsidRPr="00633A71">
        <w:rPr>
          <w:rFonts w:ascii="Arial" w:hAnsi="Arial" w:cs="Arial"/>
          <w:sz w:val="20"/>
          <w:szCs w:val="20"/>
          <w:vertAlign w:val="superscript"/>
        </w:rPr>
        <w:t>th</w:t>
      </w:r>
      <w:r w:rsidRPr="00633A71">
        <w:rPr>
          <w:rFonts w:ascii="Arial" w:hAnsi="Arial" w:cs="Arial"/>
          <w:sz w:val="20"/>
          <w:szCs w:val="20"/>
        </w:rPr>
        <w:t xml:space="preserve"> August 2012 </w:t>
      </w:r>
    </w:p>
    <w:p w14:paraId="45D9208E" w14:textId="59B2CC99"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Farooqui, M. and Schultz, M., 2012. Co-chairs' Summary of Dialogue Seminar on Scaling up Biodiversity Finance, Quito 6-9 March 2012. Available at: </w:t>
      </w:r>
      <w:hyperlink r:id="rId30" w:history="1">
        <w:r w:rsidRPr="00632DBC">
          <w:rPr>
            <w:rStyle w:val="Hyperlink"/>
            <w:rFonts w:ascii="Arial" w:hAnsi="Arial" w:cs="Arial"/>
            <w:color w:val="auto"/>
            <w:sz w:val="20"/>
            <w:szCs w:val="20"/>
          </w:rPr>
          <w:t>www.cbd.int/doc/meetings/fin/ds-fb-01/official/ds-fb-01-02-en.pdf</w:t>
        </w:r>
      </w:hyperlink>
      <w:r w:rsidRPr="00633A71">
        <w:rPr>
          <w:rFonts w:ascii="Arial" w:hAnsi="Arial" w:cs="Arial"/>
          <w:sz w:val="20"/>
          <w:szCs w:val="20"/>
        </w:rPr>
        <w:t xml:space="preserve"> Accessed 30</w:t>
      </w:r>
      <w:r w:rsidRPr="00633A71">
        <w:rPr>
          <w:rFonts w:ascii="Arial" w:hAnsi="Arial" w:cs="Arial"/>
          <w:sz w:val="20"/>
          <w:szCs w:val="20"/>
          <w:vertAlign w:val="superscript"/>
        </w:rPr>
        <w:t>th</w:t>
      </w:r>
      <w:r w:rsidRPr="00633A71">
        <w:rPr>
          <w:rFonts w:ascii="Arial" w:hAnsi="Arial" w:cs="Arial"/>
          <w:sz w:val="20"/>
          <w:szCs w:val="20"/>
        </w:rPr>
        <w:t xml:space="preserve"> June 2012</w:t>
      </w:r>
    </w:p>
    <w:p w14:paraId="0D2131A6" w14:textId="6BAF74DB" w:rsidR="00810C20" w:rsidRPr="00633A71" w:rsidRDefault="00810C20" w:rsidP="00810C20">
      <w:pPr>
        <w:spacing w:before="200" w:after="0" w:line="240" w:lineRule="auto"/>
        <w:jc w:val="both"/>
        <w:rPr>
          <w:rFonts w:ascii="Arial" w:hAnsi="Arial" w:cs="Arial"/>
          <w:sz w:val="20"/>
          <w:szCs w:val="20"/>
        </w:rPr>
      </w:pPr>
      <w:proofErr w:type="spellStart"/>
      <w:r w:rsidRPr="00504B5E">
        <w:rPr>
          <w:rFonts w:ascii="Arial" w:hAnsi="Arial" w:cs="Arial"/>
          <w:sz w:val="20"/>
          <w:szCs w:val="20"/>
        </w:rPr>
        <w:t>Fehse</w:t>
      </w:r>
      <w:proofErr w:type="spellEnd"/>
      <w:r w:rsidRPr="00504B5E">
        <w:rPr>
          <w:rFonts w:ascii="Arial" w:hAnsi="Arial" w:cs="Arial"/>
          <w:sz w:val="20"/>
          <w:szCs w:val="20"/>
        </w:rPr>
        <w:t xml:space="preserve">, J., </w:t>
      </w:r>
      <w:r w:rsidR="00FF6264">
        <w:rPr>
          <w:rFonts w:ascii="Arial" w:hAnsi="Arial" w:cs="Arial"/>
          <w:sz w:val="20"/>
          <w:szCs w:val="20"/>
        </w:rPr>
        <w:t xml:space="preserve">2012. </w:t>
      </w:r>
      <w:r w:rsidRPr="00504B5E">
        <w:rPr>
          <w:rFonts w:ascii="Arial" w:hAnsi="Arial" w:cs="Arial"/>
          <w:i/>
          <w:iCs/>
          <w:sz w:val="20"/>
          <w:szCs w:val="20"/>
        </w:rPr>
        <w:t>Private conservation agreements support climate action: Ecuador’s Socio Bosque programme</w:t>
      </w:r>
      <w:r w:rsidRPr="00504B5E">
        <w:rPr>
          <w:rFonts w:ascii="Arial" w:hAnsi="Arial" w:cs="Arial"/>
          <w:sz w:val="20"/>
          <w:szCs w:val="20"/>
        </w:rPr>
        <w:t xml:space="preserve">, Climate and development knowledge </w:t>
      </w:r>
      <w:proofErr w:type="spellStart"/>
      <w:r w:rsidRPr="00504B5E">
        <w:rPr>
          <w:rFonts w:ascii="Arial" w:hAnsi="Arial" w:cs="Arial"/>
          <w:sz w:val="20"/>
          <w:szCs w:val="20"/>
        </w:rPr>
        <w:t>network</w:t>
      </w:r>
      <w:r w:rsidR="00FF6264">
        <w:rPr>
          <w:rFonts w:ascii="Arial" w:hAnsi="Arial" w:cs="Arial"/>
          <w:sz w:val="20"/>
          <w:szCs w:val="20"/>
        </w:rPr>
        <w:t>.</w:t>
      </w:r>
      <w:r w:rsidRPr="00504B5E">
        <w:rPr>
          <w:rFonts w:ascii="Arial" w:hAnsi="Arial" w:cs="Arial"/>
          <w:sz w:val="20"/>
          <w:szCs w:val="20"/>
        </w:rPr>
        <w:t>Available</w:t>
      </w:r>
      <w:proofErr w:type="spellEnd"/>
      <w:r w:rsidRPr="00504B5E">
        <w:rPr>
          <w:rFonts w:ascii="Arial" w:hAnsi="Arial" w:cs="Arial"/>
          <w:sz w:val="20"/>
          <w:szCs w:val="20"/>
        </w:rPr>
        <w:t xml:space="preserve"> at: </w:t>
      </w:r>
      <w:hyperlink r:id="rId31" w:history="1">
        <w:r w:rsidRPr="00632DBC">
          <w:rPr>
            <w:rStyle w:val="Hyperlink"/>
            <w:rFonts w:ascii="Arial" w:hAnsi="Arial" w:cs="Arial"/>
            <w:color w:val="auto"/>
            <w:sz w:val="20"/>
            <w:szCs w:val="20"/>
          </w:rPr>
          <w:t>http://cdkn.org/wp-content/uploads/2012/09/Ecuador-InsideStory__WEB2.pdf</w:t>
        </w:r>
      </w:hyperlink>
      <w:r w:rsidRPr="00633A71">
        <w:rPr>
          <w:rFonts w:ascii="Arial" w:hAnsi="Arial" w:cs="Arial"/>
          <w:sz w:val="20"/>
          <w:szCs w:val="20"/>
        </w:rPr>
        <w:t xml:space="preserve"> Accessed 2nd June 2014</w:t>
      </w:r>
    </w:p>
    <w:p w14:paraId="4D7A74B6" w14:textId="75E16ADD" w:rsidR="00810C20" w:rsidRPr="00504B5E" w:rsidRDefault="00810C20" w:rsidP="00810C20">
      <w:pPr>
        <w:spacing w:before="200" w:after="0" w:line="240" w:lineRule="auto"/>
        <w:jc w:val="both"/>
        <w:rPr>
          <w:rFonts w:ascii="Arial" w:hAnsi="Arial" w:cs="Arial"/>
          <w:sz w:val="20"/>
          <w:szCs w:val="20"/>
        </w:rPr>
      </w:pPr>
      <w:proofErr w:type="spellStart"/>
      <w:r w:rsidRPr="00633A71">
        <w:rPr>
          <w:rFonts w:ascii="Arial" w:hAnsi="Arial" w:cs="Arial"/>
          <w:sz w:val="20"/>
          <w:szCs w:val="20"/>
        </w:rPr>
        <w:t>Folke</w:t>
      </w:r>
      <w:proofErr w:type="spellEnd"/>
      <w:r w:rsidRPr="00633A71">
        <w:rPr>
          <w:rFonts w:ascii="Arial" w:hAnsi="Arial" w:cs="Arial"/>
          <w:sz w:val="20"/>
          <w:szCs w:val="20"/>
        </w:rPr>
        <w:t xml:space="preserve"> C., Carpenter S.</w:t>
      </w:r>
      <w:r w:rsidRPr="00504B5E">
        <w:rPr>
          <w:rFonts w:ascii="Arial" w:hAnsi="Arial" w:cs="Arial"/>
          <w:sz w:val="20"/>
          <w:szCs w:val="20"/>
        </w:rPr>
        <w:t xml:space="preserve">, Walker B., </w:t>
      </w:r>
      <w:proofErr w:type="spellStart"/>
      <w:r w:rsidRPr="00504B5E">
        <w:rPr>
          <w:rFonts w:ascii="Arial" w:hAnsi="Arial" w:cs="Arial"/>
          <w:sz w:val="20"/>
          <w:szCs w:val="20"/>
        </w:rPr>
        <w:t>Scheffer</w:t>
      </w:r>
      <w:proofErr w:type="spellEnd"/>
      <w:r w:rsidRPr="00504B5E">
        <w:rPr>
          <w:rFonts w:ascii="Arial" w:hAnsi="Arial" w:cs="Arial"/>
          <w:sz w:val="20"/>
          <w:szCs w:val="20"/>
        </w:rPr>
        <w:t xml:space="preserve"> M., Chapin T.</w:t>
      </w:r>
      <w:r w:rsidR="00FF6264">
        <w:rPr>
          <w:rFonts w:ascii="Arial" w:hAnsi="Arial" w:cs="Arial"/>
          <w:sz w:val="20"/>
          <w:szCs w:val="20"/>
        </w:rPr>
        <w:t xml:space="preserve"> and</w:t>
      </w:r>
      <w:r w:rsidRPr="00504B5E">
        <w:rPr>
          <w:rFonts w:ascii="Arial" w:hAnsi="Arial" w:cs="Arial"/>
          <w:sz w:val="20"/>
          <w:szCs w:val="20"/>
        </w:rPr>
        <w:t xml:space="preserve"> </w:t>
      </w:r>
      <w:proofErr w:type="spellStart"/>
      <w:r w:rsidRPr="00504B5E">
        <w:rPr>
          <w:rFonts w:ascii="Arial" w:hAnsi="Arial" w:cs="Arial"/>
          <w:sz w:val="20"/>
          <w:szCs w:val="20"/>
        </w:rPr>
        <w:t>Rockström</w:t>
      </w:r>
      <w:proofErr w:type="spellEnd"/>
      <w:r w:rsidRPr="00504B5E">
        <w:rPr>
          <w:rFonts w:ascii="Arial" w:hAnsi="Arial" w:cs="Arial"/>
          <w:sz w:val="20"/>
          <w:szCs w:val="20"/>
        </w:rPr>
        <w:t xml:space="preserve"> J., 2010. Resilience thinking: integrating resilience, adaptability and transformability. </w:t>
      </w:r>
      <w:r w:rsidRPr="00504B5E">
        <w:rPr>
          <w:rFonts w:ascii="Arial" w:hAnsi="Arial" w:cs="Arial"/>
          <w:i/>
          <w:sz w:val="20"/>
          <w:szCs w:val="20"/>
        </w:rPr>
        <w:t>Ecology and Society</w:t>
      </w:r>
      <w:r w:rsidRPr="00504B5E">
        <w:rPr>
          <w:rFonts w:ascii="Arial" w:hAnsi="Arial" w:cs="Arial"/>
          <w:sz w:val="20"/>
          <w:szCs w:val="20"/>
        </w:rPr>
        <w:t xml:space="preserve"> 15(20) </w:t>
      </w:r>
    </w:p>
    <w:p w14:paraId="6DDC47ED" w14:textId="77777777" w:rsidR="00810C20" w:rsidRPr="00A3063C" w:rsidRDefault="00810C20" w:rsidP="00810C20">
      <w:pPr>
        <w:spacing w:before="200" w:after="0" w:line="240" w:lineRule="auto"/>
        <w:jc w:val="both"/>
        <w:rPr>
          <w:rFonts w:ascii="Arial" w:hAnsi="Arial" w:cs="Arial"/>
          <w:sz w:val="20"/>
          <w:szCs w:val="20"/>
        </w:rPr>
      </w:pPr>
      <w:proofErr w:type="spellStart"/>
      <w:r w:rsidRPr="00504B5E">
        <w:rPr>
          <w:rFonts w:ascii="Arial" w:hAnsi="Arial" w:cs="Arial"/>
          <w:sz w:val="20"/>
          <w:szCs w:val="20"/>
        </w:rPr>
        <w:t>Folke</w:t>
      </w:r>
      <w:proofErr w:type="spellEnd"/>
      <w:r w:rsidRPr="00504B5E">
        <w:rPr>
          <w:rFonts w:ascii="Arial" w:hAnsi="Arial" w:cs="Arial"/>
          <w:sz w:val="20"/>
          <w:szCs w:val="20"/>
        </w:rPr>
        <w:t xml:space="preserve"> C., 2006. Resilience: The emergence of a perspective for social–ecological systems analyses. </w:t>
      </w:r>
      <w:r w:rsidRPr="00504B5E">
        <w:rPr>
          <w:rFonts w:ascii="Arial" w:hAnsi="Arial" w:cs="Arial"/>
          <w:i/>
          <w:sz w:val="20"/>
          <w:szCs w:val="20"/>
        </w:rPr>
        <w:t>Global Environmental Change</w:t>
      </w:r>
      <w:r w:rsidRPr="00A3063C">
        <w:rPr>
          <w:rFonts w:ascii="Arial" w:hAnsi="Arial" w:cs="Arial"/>
          <w:sz w:val="20"/>
          <w:szCs w:val="20"/>
        </w:rPr>
        <w:t xml:space="preserve"> 16, pp. 253-267</w:t>
      </w:r>
    </w:p>
    <w:p w14:paraId="36C038D3" w14:textId="77777777" w:rsidR="00810C20" w:rsidRPr="00504B5E" w:rsidRDefault="00810C20" w:rsidP="00810C20">
      <w:pPr>
        <w:spacing w:before="200" w:after="0" w:line="240" w:lineRule="auto"/>
        <w:jc w:val="both"/>
        <w:rPr>
          <w:rFonts w:ascii="Arial" w:hAnsi="Arial" w:cs="Arial"/>
          <w:sz w:val="20"/>
          <w:szCs w:val="20"/>
        </w:rPr>
      </w:pPr>
      <w:r w:rsidRPr="00A3063C">
        <w:rPr>
          <w:rFonts w:ascii="Arial" w:hAnsi="Arial" w:cs="Arial"/>
          <w:sz w:val="20"/>
          <w:szCs w:val="20"/>
        </w:rPr>
        <w:t>FONAFIFO, CONAFOR and Ministry of Environment. 2012. Lessons Learned for REDD+ from PES and Conservation Incentive Programs. Examples from Costa Rica, Mexico, and Ecuador. pp. 164.</w:t>
      </w:r>
      <w:r w:rsidRPr="00A3063C">
        <w:rPr>
          <w:rFonts w:ascii="Arial" w:hAnsi="Arial" w:cs="Arial"/>
          <w:i/>
          <w:sz w:val="20"/>
          <w:szCs w:val="20"/>
        </w:rPr>
        <w:t xml:space="preserve"> The International Bank for Reconstruction and Development/The World Bank. </w:t>
      </w:r>
      <w:r w:rsidRPr="00A3063C">
        <w:rPr>
          <w:rFonts w:ascii="Arial" w:hAnsi="Arial" w:cs="Arial"/>
          <w:sz w:val="20"/>
          <w:szCs w:val="20"/>
        </w:rPr>
        <w:t xml:space="preserve"> Available at: </w:t>
      </w:r>
      <w:hyperlink r:id="rId32" w:history="1">
        <w:r w:rsidRPr="00632DBC">
          <w:rPr>
            <w:rStyle w:val="Hyperlink"/>
            <w:rFonts w:ascii="Arial" w:hAnsi="Arial" w:cs="Arial"/>
            <w:color w:val="auto"/>
            <w:sz w:val="20"/>
            <w:szCs w:val="20"/>
          </w:rPr>
          <w:t>http://www.forestcarbonpartnership.org/sites/forestcarbonpartnership.org/files/Documents/PDF/June2012/redd+_book_english_final.pdf</w:t>
        </w:r>
      </w:hyperlink>
      <w:r w:rsidRPr="00633A71">
        <w:rPr>
          <w:rFonts w:ascii="Arial" w:hAnsi="Arial" w:cs="Arial"/>
          <w:sz w:val="20"/>
          <w:szCs w:val="20"/>
        </w:rPr>
        <w:t xml:space="preserve"> Accessed 5</w:t>
      </w:r>
      <w:r w:rsidRPr="00633A71">
        <w:rPr>
          <w:rFonts w:ascii="Arial" w:hAnsi="Arial" w:cs="Arial"/>
          <w:sz w:val="20"/>
          <w:szCs w:val="20"/>
          <w:vertAlign w:val="superscript"/>
        </w:rPr>
        <w:t>th</w:t>
      </w:r>
      <w:r w:rsidRPr="00633A71">
        <w:rPr>
          <w:rFonts w:ascii="Arial" w:hAnsi="Arial" w:cs="Arial"/>
          <w:sz w:val="20"/>
          <w:szCs w:val="20"/>
        </w:rPr>
        <w:t xml:space="preserve"> August 2012</w:t>
      </w:r>
    </w:p>
    <w:p w14:paraId="0750B585"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Forest Carbon Partnership Facility (FCPF) and UN-REDD, 2012. Guidelines on Stakeholder Engagement in REDD+ Readiness with a Focus on the Participation of Indigenous Peoples and Other Forest-Dependent Communities. Draft. Available at: </w:t>
      </w:r>
      <w:hyperlink r:id="rId33" w:history="1">
        <w:r w:rsidRPr="00632DBC">
          <w:rPr>
            <w:rStyle w:val="Hyperlink"/>
            <w:rFonts w:ascii="Arial" w:hAnsi="Arial" w:cs="Arial"/>
            <w:color w:val="auto"/>
            <w:sz w:val="20"/>
            <w:szCs w:val="20"/>
          </w:rPr>
          <w:t>http://www.forestcarbonpartnership.org/sites/fcp/files/Documents/tagged/FCPF%20UN-REDD%20Stakeholder%20Guidelines%20Note%20Draft%2011-17-10.pdf</w:t>
        </w:r>
      </w:hyperlink>
      <w:r w:rsidRPr="00633A71">
        <w:rPr>
          <w:rFonts w:ascii="Arial" w:hAnsi="Arial" w:cs="Arial"/>
          <w:sz w:val="20"/>
          <w:szCs w:val="20"/>
        </w:rPr>
        <w:t xml:space="preserve"> Accessed 21</w:t>
      </w:r>
      <w:r w:rsidRPr="00633A71">
        <w:rPr>
          <w:rFonts w:ascii="Arial" w:hAnsi="Arial" w:cs="Arial"/>
          <w:sz w:val="20"/>
          <w:szCs w:val="20"/>
          <w:vertAlign w:val="superscript"/>
        </w:rPr>
        <w:t>st</w:t>
      </w:r>
      <w:r w:rsidRPr="00633A71">
        <w:rPr>
          <w:rFonts w:ascii="Arial" w:hAnsi="Arial" w:cs="Arial"/>
          <w:sz w:val="20"/>
          <w:szCs w:val="20"/>
        </w:rPr>
        <w:t xml:space="preserve"> May 2014</w:t>
      </w:r>
    </w:p>
    <w:p w14:paraId="3E507201" w14:textId="77777777" w:rsidR="00810C20" w:rsidRPr="00633A71" w:rsidRDefault="00810C20" w:rsidP="00810C20">
      <w:pPr>
        <w:spacing w:before="200" w:after="0" w:line="240" w:lineRule="auto"/>
        <w:jc w:val="both"/>
        <w:rPr>
          <w:rFonts w:ascii="Arial" w:hAnsi="Arial" w:cs="Arial"/>
          <w:b/>
          <w:bCs/>
          <w:sz w:val="20"/>
          <w:szCs w:val="20"/>
        </w:rPr>
      </w:pPr>
      <w:r w:rsidRPr="00504B5E">
        <w:rPr>
          <w:rFonts w:ascii="Arial" w:hAnsi="Arial" w:cs="Arial"/>
          <w:sz w:val="20"/>
          <w:szCs w:val="20"/>
        </w:rPr>
        <w:t xml:space="preserve">Forest Carbon Portal, 2014. </w:t>
      </w:r>
      <w:proofErr w:type="spellStart"/>
      <w:r w:rsidRPr="00504B5E">
        <w:rPr>
          <w:rFonts w:ascii="Arial" w:hAnsi="Arial" w:cs="Arial"/>
          <w:bCs/>
          <w:sz w:val="20"/>
          <w:szCs w:val="20"/>
        </w:rPr>
        <w:t>Ashaninca</w:t>
      </w:r>
      <w:proofErr w:type="spellEnd"/>
      <w:r w:rsidRPr="00504B5E">
        <w:rPr>
          <w:rFonts w:ascii="Arial" w:hAnsi="Arial" w:cs="Arial"/>
          <w:bCs/>
          <w:sz w:val="20"/>
          <w:szCs w:val="20"/>
        </w:rPr>
        <w:t xml:space="preserve"> Communal Reserve REDD Project. Available at: </w:t>
      </w:r>
      <w:hyperlink r:id="rId34" w:history="1">
        <w:r w:rsidRPr="00632DBC">
          <w:rPr>
            <w:rStyle w:val="Hyperlink"/>
            <w:rFonts w:ascii="Arial" w:hAnsi="Arial" w:cs="Arial"/>
            <w:bCs/>
            <w:color w:val="auto"/>
            <w:sz w:val="20"/>
            <w:szCs w:val="20"/>
          </w:rPr>
          <w:t>http://www.forestcarbonportal.com/project/ashaninca-communal-reserve-redd-project</w:t>
        </w:r>
      </w:hyperlink>
      <w:r w:rsidRPr="00633A71">
        <w:rPr>
          <w:rFonts w:ascii="Arial" w:hAnsi="Arial" w:cs="Arial"/>
          <w:bCs/>
          <w:sz w:val="20"/>
          <w:szCs w:val="20"/>
        </w:rPr>
        <w:t xml:space="preserve"> Accessed 22nd May 2014</w:t>
      </w:r>
    </w:p>
    <w:p w14:paraId="2F325D2B"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Forest Carbon Portal, 2014. Carbon Projects in Mexico Available</w:t>
      </w:r>
      <w:r w:rsidRPr="00504B5E">
        <w:rPr>
          <w:rFonts w:ascii="Arial" w:hAnsi="Arial" w:cs="Arial"/>
          <w:sz w:val="20"/>
          <w:szCs w:val="20"/>
        </w:rPr>
        <w:t xml:space="preserve"> at: </w:t>
      </w:r>
      <w:hyperlink r:id="rId35" w:history="1">
        <w:r w:rsidRPr="00632DBC">
          <w:rPr>
            <w:rStyle w:val="Hyperlink"/>
            <w:rFonts w:ascii="Arial" w:hAnsi="Arial" w:cs="Arial"/>
            <w:color w:val="auto"/>
            <w:sz w:val="20"/>
            <w:szCs w:val="20"/>
          </w:rPr>
          <w:t>http://www.forestcarbonportal.com/project/index.php</w:t>
        </w:r>
      </w:hyperlink>
      <w:r w:rsidRPr="00633A71">
        <w:rPr>
          <w:rFonts w:ascii="Arial" w:hAnsi="Arial" w:cs="Arial"/>
          <w:sz w:val="20"/>
          <w:szCs w:val="20"/>
        </w:rPr>
        <w:t xml:space="preserve"> Accessed 22nd May 2014</w:t>
      </w:r>
    </w:p>
    <w:p w14:paraId="3A2CF511" w14:textId="63CDA3A2"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Forest Peoples Program, 2011.</w:t>
      </w:r>
      <w:r w:rsidRPr="00504B5E">
        <w:rPr>
          <w:rFonts w:ascii="Arial" w:hAnsi="Arial" w:cs="Arial"/>
          <w:sz w:val="20"/>
          <w:szCs w:val="20"/>
        </w:rPr>
        <w:t xml:space="preserve"> Lessons from the field: REDD+ and the rights of indigenous peoples and forest dependent communities, Rights, forests and climate briefing series, November 2011. Available at: </w:t>
      </w:r>
      <w:hyperlink r:id="rId36" w:history="1">
        <w:r w:rsidRPr="00632DBC">
          <w:rPr>
            <w:rStyle w:val="Hyperlink"/>
            <w:rFonts w:ascii="Arial" w:hAnsi="Arial" w:cs="Arial"/>
            <w:color w:val="auto"/>
            <w:sz w:val="20"/>
            <w:szCs w:val="20"/>
          </w:rPr>
          <w:t>http://www.forestpeoples.org/sites/fpp/files/publication/2011/11/lessons-field-briefing-english.pdf</w:t>
        </w:r>
      </w:hyperlink>
      <w:r w:rsidRPr="00633A71">
        <w:rPr>
          <w:rFonts w:ascii="Arial" w:hAnsi="Arial" w:cs="Arial"/>
          <w:sz w:val="20"/>
          <w:szCs w:val="20"/>
        </w:rPr>
        <w:t xml:space="preserve"> Accessed 21st May 2014 </w:t>
      </w:r>
    </w:p>
    <w:p w14:paraId="69C25AB9"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Forest Peoples Program, 2011.</w:t>
      </w:r>
      <w:r w:rsidRPr="00504B5E">
        <w:rPr>
          <w:rFonts w:ascii="Arial" w:hAnsi="Arial" w:cs="Arial"/>
          <w:iCs/>
          <w:sz w:val="20"/>
          <w:szCs w:val="20"/>
        </w:rPr>
        <w:t>Submission to the Convention on Biological Diversity relating to innovative financial mechanisms and the rights of indigenous peoples and local communities</w:t>
      </w:r>
      <w:r w:rsidRPr="00504B5E">
        <w:rPr>
          <w:rFonts w:ascii="Arial" w:hAnsi="Arial" w:cs="Arial"/>
          <w:sz w:val="20"/>
          <w:szCs w:val="20"/>
        </w:rPr>
        <w:t xml:space="preserve">. Available at: </w:t>
      </w:r>
      <w:hyperlink r:id="rId37" w:history="1">
        <w:r w:rsidRPr="00632DBC">
          <w:rPr>
            <w:rStyle w:val="Hyperlink"/>
            <w:rFonts w:ascii="Arial" w:hAnsi="Arial" w:cs="Arial"/>
            <w:color w:val="auto"/>
            <w:sz w:val="20"/>
            <w:szCs w:val="20"/>
          </w:rPr>
          <w:t>http://www.cbd.int/financial/doc/fpp-innovative-financial-mechanisms-2011-en.pdf</w:t>
        </w:r>
      </w:hyperlink>
      <w:r w:rsidRPr="00633A71">
        <w:rPr>
          <w:rFonts w:ascii="Arial" w:hAnsi="Arial" w:cs="Arial"/>
          <w:sz w:val="20"/>
          <w:szCs w:val="20"/>
        </w:rPr>
        <w:t xml:space="preserve"> Accessed 21st May 2014 </w:t>
      </w:r>
    </w:p>
    <w:p w14:paraId="601F6B55" w14:textId="4797174C" w:rsidR="00810C20" w:rsidRPr="00504B5E" w:rsidRDefault="00810C20" w:rsidP="00810C20">
      <w:pPr>
        <w:spacing w:before="200" w:after="0" w:line="240" w:lineRule="auto"/>
        <w:jc w:val="both"/>
        <w:rPr>
          <w:rFonts w:ascii="Arial" w:hAnsi="Arial" w:cs="Arial"/>
          <w:sz w:val="20"/>
          <w:szCs w:val="20"/>
        </w:rPr>
      </w:pPr>
      <w:proofErr w:type="spellStart"/>
      <w:r w:rsidRPr="00002536">
        <w:rPr>
          <w:rFonts w:ascii="Arial" w:hAnsi="Arial" w:cs="Arial"/>
          <w:sz w:val="20"/>
          <w:szCs w:val="20"/>
        </w:rPr>
        <w:t>Ghezae</w:t>
      </w:r>
      <w:proofErr w:type="spellEnd"/>
      <w:r w:rsidRPr="00002536">
        <w:rPr>
          <w:rFonts w:ascii="Arial" w:hAnsi="Arial" w:cs="Arial"/>
          <w:sz w:val="20"/>
          <w:szCs w:val="20"/>
        </w:rPr>
        <w:t xml:space="preserve">, N., </w:t>
      </w:r>
      <w:proofErr w:type="spellStart"/>
      <w:r w:rsidRPr="00002536">
        <w:rPr>
          <w:rFonts w:ascii="Arial" w:hAnsi="Arial" w:cs="Arial"/>
          <w:sz w:val="20"/>
          <w:szCs w:val="20"/>
        </w:rPr>
        <w:t>Berlekom</w:t>
      </w:r>
      <w:proofErr w:type="spellEnd"/>
      <w:r w:rsidRPr="00002536">
        <w:rPr>
          <w:rFonts w:ascii="Arial" w:hAnsi="Arial" w:cs="Arial"/>
          <w:sz w:val="20"/>
          <w:szCs w:val="20"/>
        </w:rPr>
        <w:t xml:space="preserve">, M., </w:t>
      </w:r>
      <w:proofErr w:type="spellStart"/>
      <w:r w:rsidRPr="00002536">
        <w:rPr>
          <w:rFonts w:ascii="Arial" w:hAnsi="Arial" w:cs="Arial"/>
          <w:sz w:val="20"/>
          <w:szCs w:val="20"/>
        </w:rPr>
        <w:t>Engström</w:t>
      </w:r>
      <w:proofErr w:type="spellEnd"/>
      <w:r w:rsidRPr="00002536">
        <w:rPr>
          <w:rFonts w:ascii="Arial" w:hAnsi="Arial" w:cs="Arial"/>
          <w:sz w:val="20"/>
          <w:szCs w:val="20"/>
        </w:rPr>
        <w:t>, L., Eriksson, M.</w:t>
      </w:r>
      <w:r w:rsidRPr="00633A71">
        <w:rPr>
          <w:rFonts w:ascii="Arial" w:hAnsi="Arial" w:cs="Arial"/>
          <w:sz w:val="20"/>
          <w:szCs w:val="20"/>
        </w:rPr>
        <w:t xml:space="preserve">, Gallardo, G., Gerhardt, K., </w:t>
      </w:r>
      <w:proofErr w:type="spellStart"/>
      <w:r w:rsidRPr="00633A71">
        <w:rPr>
          <w:rFonts w:ascii="Arial" w:hAnsi="Arial" w:cs="Arial"/>
          <w:sz w:val="20"/>
          <w:szCs w:val="20"/>
        </w:rPr>
        <w:t>Knutsson</w:t>
      </w:r>
      <w:proofErr w:type="spellEnd"/>
      <w:r w:rsidRPr="00633A71">
        <w:rPr>
          <w:rFonts w:ascii="Arial" w:hAnsi="Arial" w:cs="Arial"/>
          <w:sz w:val="20"/>
          <w:szCs w:val="20"/>
        </w:rPr>
        <w:t xml:space="preserve">, P., Malmer, P., </w:t>
      </w:r>
      <w:proofErr w:type="spellStart"/>
      <w:r w:rsidRPr="00633A71">
        <w:rPr>
          <w:rFonts w:ascii="Arial" w:hAnsi="Arial" w:cs="Arial"/>
          <w:sz w:val="20"/>
          <w:szCs w:val="20"/>
        </w:rPr>
        <w:t>Stephansson</w:t>
      </w:r>
      <w:proofErr w:type="spellEnd"/>
      <w:r w:rsidRPr="00633A71">
        <w:rPr>
          <w:rFonts w:ascii="Arial" w:hAnsi="Arial" w:cs="Arial"/>
          <w:sz w:val="20"/>
          <w:szCs w:val="20"/>
        </w:rPr>
        <w:t>, E., and von Walter, S.</w:t>
      </w:r>
      <w:r w:rsidR="00093271">
        <w:rPr>
          <w:rFonts w:ascii="Arial" w:hAnsi="Arial" w:cs="Arial"/>
          <w:sz w:val="20"/>
          <w:szCs w:val="20"/>
        </w:rPr>
        <w:t>,</w:t>
      </w:r>
      <w:r w:rsidRPr="00633A71">
        <w:rPr>
          <w:rFonts w:ascii="Arial" w:hAnsi="Arial" w:cs="Arial"/>
          <w:sz w:val="20"/>
          <w:szCs w:val="20"/>
        </w:rPr>
        <w:t xml:space="preserve"> 2009</w:t>
      </w:r>
      <w:r w:rsidR="00093271">
        <w:rPr>
          <w:rFonts w:ascii="Arial" w:hAnsi="Arial" w:cs="Arial"/>
          <w:sz w:val="20"/>
          <w:szCs w:val="20"/>
        </w:rPr>
        <w:t>.</w:t>
      </w:r>
      <w:r w:rsidRPr="00633A71">
        <w:rPr>
          <w:rFonts w:ascii="Arial" w:hAnsi="Arial" w:cs="Arial"/>
          <w:sz w:val="20"/>
          <w:szCs w:val="20"/>
        </w:rPr>
        <w:t xml:space="preserve"> </w:t>
      </w:r>
      <w:r w:rsidRPr="00504B5E">
        <w:rPr>
          <w:rFonts w:ascii="Arial" w:hAnsi="Arial" w:cs="Arial"/>
          <w:i/>
          <w:sz w:val="20"/>
          <w:szCs w:val="20"/>
        </w:rPr>
        <w:t xml:space="preserve">Natural Resource Tenure – a crucial aspect of poverty reduction and human rights, </w:t>
      </w:r>
      <w:proofErr w:type="spellStart"/>
      <w:r w:rsidRPr="00504B5E">
        <w:rPr>
          <w:rFonts w:ascii="Arial" w:hAnsi="Arial" w:cs="Arial"/>
          <w:sz w:val="20"/>
          <w:szCs w:val="20"/>
        </w:rPr>
        <w:t>Sida</w:t>
      </w:r>
      <w:proofErr w:type="spellEnd"/>
      <w:r w:rsidRPr="00504B5E">
        <w:rPr>
          <w:rFonts w:ascii="Arial" w:hAnsi="Arial" w:cs="Arial"/>
          <w:sz w:val="20"/>
          <w:szCs w:val="20"/>
        </w:rPr>
        <w:t xml:space="preserve"> Studies No. 23, </w:t>
      </w:r>
      <w:proofErr w:type="spellStart"/>
      <w:r w:rsidRPr="00504B5E">
        <w:rPr>
          <w:rFonts w:ascii="Arial" w:hAnsi="Arial" w:cs="Arial"/>
          <w:i/>
          <w:sz w:val="20"/>
          <w:szCs w:val="20"/>
        </w:rPr>
        <w:t>Editia</w:t>
      </w:r>
      <w:proofErr w:type="spellEnd"/>
      <w:r w:rsidRPr="00504B5E">
        <w:rPr>
          <w:rFonts w:ascii="Arial" w:hAnsi="Arial" w:cs="Arial"/>
          <w:sz w:val="20"/>
          <w:szCs w:val="20"/>
        </w:rPr>
        <w:t xml:space="preserve">, </w:t>
      </w:r>
      <w:proofErr w:type="spellStart"/>
      <w:r w:rsidRPr="00504B5E">
        <w:rPr>
          <w:rFonts w:ascii="Arial" w:hAnsi="Arial" w:cs="Arial"/>
          <w:sz w:val="20"/>
          <w:szCs w:val="20"/>
        </w:rPr>
        <w:t>Nighisty</w:t>
      </w:r>
      <w:proofErr w:type="spellEnd"/>
      <w:r w:rsidRPr="00504B5E">
        <w:rPr>
          <w:rFonts w:ascii="Arial" w:hAnsi="Arial" w:cs="Arial"/>
          <w:sz w:val="20"/>
          <w:szCs w:val="20"/>
        </w:rPr>
        <w:t xml:space="preserve"> </w:t>
      </w:r>
      <w:proofErr w:type="spellStart"/>
      <w:r w:rsidRPr="00504B5E">
        <w:rPr>
          <w:rFonts w:ascii="Arial" w:hAnsi="Arial" w:cs="Arial"/>
          <w:sz w:val="20"/>
          <w:szCs w:val="20"/>
        </w:rPr>
        <w:t>Ghezae</w:t>
      </w:r>
      <w:proofErr w:type="spellEnd"/>
      <w:r w:rsidRPr="00504B5E">
        <w:rPr>
          <w:rFonts w:ascii="Arial" w:hAnsi="Arial" w:cs="Arial"/>
          <w:sz w:val="20"/>
          <w:szCs w:val="20"/>
        </w:rPr>
        <w:t>, Sweden</w:t>
      </w:r>
    </w:p>
    <w:p w14:paraId="3D6BAB37" w14:textId="77777777" w:rsidR="00C37878" w:rsidRPr="00632DBC" w:rsidRDefault="00C37878" w:rsidP="00C37878">
      <w:pPr>
        <w:pStyle w:val="CommentText"/>
        <w:spacing w:after="60"/>
        <w:rPr>
          <w:rFonts w:ascii="Times New Roman" w:hAnsi="Times New Roman"/>
          <w:sz w:val="16"/>
          <w:lang w:val="en-GB"/>
        </w:rPr>
      </w:pPr>
    </w:p>
    <w:p w14:paraId="79D6B85C" w14:textId="480F1B36" w:rsidR="00C37878" w:rsidRPr="00632DBC" w:rsidRDefault="00C37878" w:rsidP="003701DA">
      <w:pPr>
        <w:spacing w:line="240" w:lineRule="auto"/>
        <w:rPr>
          <w:rFonts w:ascii="Arial" w:hAnsi="Arial"/>
          <w:sz w:val="20"/>
        </w:rPr>
      </w:pPr>
      <w:r w:rsidRPr="00632DBC">
        <w:rPr>
          <w:rFonts w:ascii="Arial" w:hAnsi="Arial"/>
          <w:sz w:val="20"/>
        </w:rPr>
        <w:t xml:space="preserve">Hahn, T., McDermott, C., Ituarte-Lima, C., Schultz, M., Green, T., </w:t>
      </w:r>
      <w:proofErr w:type="spellStart"/>
      <w:r w:rsidRPr="00632DBC">
        <w:rPr>
          <w:rFonts w:ascii="Arial" w:hAnsi="Arial"/>
          <w:sz w:val="20"/>
        </w:rPr>
        <w:t>Tuvendal</w:t>
      </w:r>
      <w:proofErr w:type="spellEnd"/>
      <w:r w:rsidRPr="00632DBC">
        <w:rPr>
          <w:rFonts w:ascii="Arial" w:hAnsi="Arial"/>
          <w:sz w:val="20"/>
        </w:rPr>
        <w:t>, M., 2015. Purposes and degrees of commodification: economic instruments for biodiversity and ecosystem services need not rely on markets or monetary valuation. Ecosystem Services 16: 74–82. doi.org/10.1016/j.ecoser.2015.10.012</w:t>
      </w:r>
    </w:p>
    <w:p w14:paraId="30658CF2" w14:textId="2EC963B9" w:rsidR="00810C20" w:rsidRPr="00633A71" w:rsidRDefault="00810C20" w:rsidP="00810C20">
      <w:pPr>
        <w:spacing w:before="200" w:after="0" w:line="240" w:lineRule="auto"/>
        <w:jc w:val="both"/>
        <w:rPr>
          <w:rFonts w:ascii="Arial" w:hAnsi="Arial" w:cs="Arial"/>
          <w:sz w:val="20"/>
          <w:szCs w:val="20"/>
        </w:rPr>
      </w:pPr>
      <w:proofErr w:type="spellStart"/>
      <w:r w:rsidRPr="00633A71">
        <w:rPr>
          <w:rFonts w:ascii="Arial" w:hAnsi="Arial" w:cs="Arial"/>
          <w:sz w:val="20"/>
          <w:szCs w:val="20"/>
        </w:rPr>
        <w:lastRenderedPageBreak/>
        <w:t>Herbertson</w:t>
      </w:r>
      <w:proofErr w:type="spellEnd"/>
      <w:r w:rsidRPr="00633A71">
        <w:rPr>
          <w:rFonts w:ascii="Arial" w:hAnsi="Arial" w:cs="Arial"/>
          <w:sz w:val="20"/>
          <w:szCs w:val="20"/>
        </w:rPr>
        <w:t>, K.</w:t>
      </w:r>
      <w:r w:rsidR="00093271">
        <w:rPr>
          <w:rFonts w:ascii="Arial" w:hAnsi="Arial" w:cs="Arial"/>
          <w:sz w:val="20"/>
          <w:szCs w:val="20"/>
        </w:rPr>
        <w:t>,</w:t>
      </w:r>
      <w:r w:rsidRPr="00633A71">
        <w:rPr>
          <w:rFonts w:ascii="Arial" w:hAnsi="Arial" w:cs="Arial"/>
          <w:sz w:val="20"/>
          <w:szCs w:val="20"/>
        </w:rPr>
        <w:t xml:space="preserve"> 2012. Will safeguards survive the next generation of development finance? </w:t>
      </w:r>
      <w:r w:rsidRPr="00633A71">
        <w:rPr>
          <w:rFonts w:ascii="Arial" w:hAnsi="Arial" w:cs="Arial"/>
          <w:i/>
          <w:sz w:val="20"/>
          <w:szCs w:val="20"/>
        </w:rPr>
        <w:t>International Rivers.</w:t>
      </w:r>
      <w:r w:rsidRPr="00504B5E">
        <w:rPr>
          <w:rFonts w:ascii="Arial" w:hAnsi="Arial" w:cs="Arial"/>
          <w:sz w:val="20"/>
          <w:szCs w:val="20"/>
        </w:rPr>
        <w:t xml:space="preserve"> Available at: </w:t>
      </w:r>
      <w:hyperlink r:id="rId38" w:history="1">
        <w:r w:rsidRPr="00632DBC">
          <w:rPr>
            <w:rStyle w:val="Hyperlink"/>
            <w:rFonts w:ascii="Arial" w:hAnsi="Arial" w:cs="Arial"/>
            <w:color w:val="auto"/>
            <w:sz w:val="20"/>
            <w:szCs w:val="20"/>
          </w:rPr>
          <w:t>http://www.internationalrivers.org/files/attached-files/will_safeguards_survive_june_2012.pdf</w:t>
        </w:r>
      </w:hyperlink>
      <w:r w:rsidRPr="00633A71">
        <w:rPr>
          <w:rFonts w:ascii="Arial" w:hAnsi="Arial" w:cs="Arial"/>
          <w:sz w:val="20"/>
          <w:szCs w:val="20"/>
        </w:rPr>
        <w:t xml:space="preserve"> Accessed 19th July 2012</w:t>
      </w:r>
    </w:p>
    <w:p w14:paraId="42DCFD6D" w14:textId="7F038B2B" w:rsidR="00810C20" w:rsidRPr="00632DBC" w:rsidRDefault="00810C20" w:rsidP="00810C20">
      <w:pPr>
        <w:spacing w:before="200" w:after="0" w:line="240" w:lineRule="auto"/>
        <w:jc w:val="both"/>
        <w:rPr>
          <w:rFonts w:ascii="Arial" w:hAnsi="Arial" w:cs="Arial"/>
          <w:sz w:val="20"/>
          <w:szCs w:val="20"/>
          <w:lang w:bidi="ar-SA"/>
        </w:rPr>
      </w:pPr>
      <w:r w:rsidRPr="00633A71">
        <w:rPr>
          <w:rFonts w:ascii="Arial" w:hAnsi="Arial" w:cs="Arial"/>
          <w:sz w:val="20"/>
          <w:szCs w:val="20"/>
        </w:rPr>
        <w:t>Hossain, K.,</w:t>
      </w:r>
      <w:r w:rsidR="00093271">
        <w:rPr>
          <w:rFonts w:ascii="Arial" w:hAnsi="Arial" w:cs="Arial"/>
          <w:sz w:val="20"/>
          <w:szCs w:val="20"/>
        </w:rPr>
        <w:t xml:space="preserve"> </w:t>
      </w:r>
      <w:r w:rsidRPr="00633A71">
        <w:rPr>
          <w:rFonts w:ascii="Arial" w:hAnsi="Arial" w:cs="Arial"/>
          <w:sz w:val="20"/>
          <w:szCs w:val="20"/>
        </w:rPr>
        <w:t>2000. Human Rights Commissions and Ombudsman Offices: National Experiences Throughout the World</w:t>
      </w:r>
      <w:r w:rsidRPr="00504B5E">
        <w:rPr>
          <w:rFonts w:ascii="Arial" w:hAnsi="Arial" w:cs="Arial"/>
          <w:i/>
          <w:sz w:val="20"/>
          <w:szCs w:val="20"/>
        </w:rPr>
        <w:t xml:space="preserve">. </w:t>
      </w:r>
      <w:proofErr w:type="spellStart"/>
      <w:r w:rsidRPr="00504B5E">
        <w:rPr>
          <w:rFonts w:ascii="Arial" w:hAnsi="Arial" w:cs="Arial"/>
          <w:i/>
          <w:sz w:val="20"/>
          <w:szCs w:val="20"/>
        </w:rPr>
        <w:t>Martinus</w:t>
      </w:r>
      <w:proofErr w:type="spellEnd"/>
      <w:r w:rsidRPr="00504B5E">
        <w:rPr>
          <w:rFonts w:ascii="Arial" w:hAnsi="Arial" w:cs="Arial"/>
          <w:i/>
          <w:sz w:val="20"/>
          <w:szCs w:val="20"/>
        </w:rPr>
        <w:t xml:space="preserve"> </w:t>
      </w:r>
      <w:proofErr w:type="spellStart"/>
      <w:r w:rsidRPr="00504B5E">
        <w:rPr>
          <w:rFonts w:ascii="Arial" w:hAnsi="Arial" w:cs="Arial"/>
          <w:i/>
          <w:sz w:val="20"/>
          <w:szCs w:val="20"/>
        </w:rPr>
        <w:t>Nijhoff</w:t>
      </w:r>
      <w:proofErr w:type="spellEnd"/>
      <w:r w:rsidRPr="00504B5E">
        <w:rPr>
          <w:rFonts w:ascii="Arial" w:hAnsi="Arial" w:cs="Arial"/>
          <w:i/>
          <w:sz w:val="20"/>
          <w:szCs w:val="20"/>
        </w:rPr>
        <w:t xml:space="preserve"> Publishers</w:t>
      </w:r>
      <w:r w:rsidRPr="00504B5E">
        <w:rPr>
          <w:rFonts w:ascii="Arial" w:hAnsi="Arial" w:cs="Arial"/>
          <w:sz w:val="20"/>
          <w:szCs w:val="20"/>
        </w:rPr>
        <w:t xml:space="preserve">. </w:t>
      </w:r>
      <w:r w:rsidRPr="00632DBC">
        <w:rPr>
          <w:rFonts w:ascii="Arial" w:hAnsi="Arial" w:cs="Arial"/>
          <w:i/>
          <w:sz w:val="20"/>
          <w:szCs w:val="20"/>
          <w:lang w:bidi="ar-SA"/>
        </w:rPr>
        <w:t>Dordrecht, Kluwer Law International</w:t>
      </w:r>
      <w:r w:rsidRPr="00632DBC">
        <w:rPr>
          <w:rFonts w:ascii="Arial" w:hAnsi="Arial" w:cs="Arial"/>
          <w:sz w:val="20"/>
          <w:szCs w:val="20"/>
          <w:lang w:bidi="ar-SA"/>
        </w:rPr>
        <w:t xml:space="preserve">, The Hague, The </w:t>
      </w:r>
      <w:proofErr w:type="spellStart"/>
      <w:r w:rsidRPr="00632DBC">
        <w:rPr>
          <w:rFonts w:ascii="Arial" w:hAnsi="Arial" w:cs="Arial"/>
          <w:sz w:val="20"/>
          <w:szCs w:val="20"/>
          <w:lang w:bidi="ar-SA"/>
        </w:rPr>
        <w:t>Nederlands</w:t>
      </w:r>
      <w:proofErr w:type="spellEnd"/>
      <w:r w:rsidRPr="00632DBC">
        <w:rPr>
          <w:rFonts w:ascii="Arial" w:hAnsi="Arial" w:cs="Arial"/>
          <w:sz w:val="20"/>
          <w:szCs w:val="20"/>
          <w:lang w:bidi="ar-SA"/>
        </w:rPr>
        <w:t>.</w:t>
      </w:r>
    </w:p>
    <w:p w14:paraId="32F30C73" w14:textId="45FEDE1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Hough, P. and M. Robertson.</w:t>
      </w:r>
      <w:r w:rsidR="00093271">
        <w:rPr>
          <w:rFonts w:ascii="Arial" w:hAnsi="Arial" w:cs="Arial"/>
          <w:sz w:val="20"/>
          <w:szCs w:val="20"/>
        </w:rPr>
        <w:t>,</w:t>
      </w:r>
      <w:r w:rsidRPr="00633A71">
        <w:rPr>
          <w:rFonts w:ascii="Arial" w:hAnsi="Arial" w:cs="Arial"/>
          <w:sz w:val="20"/>
          <w:szCs w:val="20"/>
        </w:rPr>
        <w:t xml:space="preserve"> 2009. Mitigation under Section 404 of the Clean Water Act: where it comes from, what it means. </w:t>
      </w:r>
      <w:r w:rsidRPr="00633A71">
        <w:rPr>
          <w:rFonts w:ascii="Arial" w:hAnsi="Arial" w:cs="Arial"/>
          <w:i/>
          <w:sz w:val="20"/>
          <w:szCs w:val="20"/>
        </w:rPr>
        <w:t>Wetlands Ecology and Management</w:t>
      </w:r>
      <w:r w:rsidRPr="00633A71">
        <w:rPr>
          <w:rFonts w:ascii="Arial" w:hAnsi="Arial" w:cs="Arial"/>
          <w:sz w:val="20"/>
          <w:szCs w:val="20"/>
        </w:rPr>
        <w:t xml:space="preserve"> 17(1):15-33.</w:t>
      </w:r>
    </w:p>
    <w:p w14:paraId="3131670D" w14:textId="77777777" w:rsidR="00810C20" w:rsidRPr="00632DBC" w:rsidRDefault="00810C20" w:rsidP="00810C20">
      <w:pPr>
        <w:spacing w:before="200" w:after="0" w:line="240" w:lineRule="auto"/>
        <w:jc w:val="both"/>
        <w:rPr>
          <w:rFonts w:ascii="Arial" w:hAnsi="Arial" w:cs="Arial"/>
          <w:sz w:val="20"/>
          <w:szCs w:val="20"/>
          <w:lang w:bidi="ar-SA"/>
        </w:rPr>
      </w:pPr>
      <w:proofErr w:type="spellStart"/>
      <w:r w:rsidRPr="00632DBC">
        <w:rPr>
          <w:rFonts w:ascii="Arial" w:hAnsi="Arial" w:cs="Arial"/>
          <w:sz w:val="20"/>
          <w:szCs w:val="20"/>
          <w:lang w:bidi="ar-SA"/>
        </w:rPr>
        <w:t>Humavindu</w:t>
      </w:r>
      <w:proofErr w:type="spellEnd"/>
      <w:r w:rsidRPr="00632DBC">
        <w:rPr>
          <w:rFonts w:ascii="Arial" w:hAnsi="Arial" w:cs="Arial"/>
          <w:sz w:val="20"/>
          <w:szCs w:val="20"/>
          <w:lang w:bidi="ar-SA"/>
        </w:rPr>
        <w:t xml:space="preserve">, M. and Jonathan, I., 2006. The identification and quantification of best practice in innovative financing for biodiversity conservation and sustainable use in Namibia, DEA Research Discussion Paper, No. 75, July 2006. Available at: </w:t>
      </w:r>
      <w:hyperlink r:id="rId39" w:history="1">
        <w:r w:rsidRPr="00632DBC">
          <w:rPr>
            <w:rStyle w:val="Hyperlink"/>
            <w:rFonts w:ascii="Arial" w:hAnsi="Arial" w:cs="Arial"/>
            <w:color w:val="auto"/>
            <w:sz w:val="20"/>
            <w:szCs w:val="20"/>
            <w:lang w:bidi="ar-SA"/>
          </w:rPr>
          <w:t>http://www.drfn.info:85/pdf/RDP75.pdf</w:t>
        </w:r>
      </w:hyperlink>
      <w:r w:rsidRPr="00632DBC">
        <w:rPr>
          <w:rFonts w:ascii="Arial" w:hAnsi="Arial" w:cs="Arial"/>
          <w:sz w:val="20"/>
          <w:szCs w:val="20"/>
          <w:lang w:bidi="ar-SA"/>
        </w:rPr>
        <w:t xml:space="preserve"> Accessed 22nd May 2014</w:t>
      </w:r>
    </w:p>
    <w:p w14:paraId="09293593" w14:textId="740C0DEB" w:rsidR="007C385E" w:rsidRPr="00504B5E" w:rsidRDefault="00810C20" w:rsidP="00810C20">
      <w:pPr>
        <w:spacing w:before="200" w:after="0" w:line="240" w:lineRule="auto"/>
        <w:jc w:val="both"/>
        <w:rPr>
          <w:rFonts w:ascii="Arial" w:hAnsi="Arial" w:cs="Arial"/>
          <w:sz w:val="20"/>
          <w:szCs w:val="20"/>
        </w:rPr>
      </w:pPr>
      <w:r w:rsidRPr="00002536">
        <w:rPr>
          <w:rFonts w:ascii="Arial" w:hAnsi="Arial" w:cs="Arial"/>
          <w:sz w:val="20"/>
          <w:szCs w:val="20"/>
          <w:lang w:val="es-MX"/>
        </w:rPr>
        <w:t xml:space="preserve">Ibarra, J., </w:t>
      </w:r>
      <w:proofErr w:type="spellStart"/>
      <w:r w:rsidRPr="00002536">
        <w:rPr>
          <w:rFonts w:ascii="Arial" w:hAnsi="Arial" w:cs="Arial"/>
          <w:sz w:val="20"/>
          <w:szCs w:val="20"/>
          <w:lang w:val="es-MX"/>
        </w:rPr>
        <w:t>Barreau</w:t>
      </w:r>
      <w:proofErr w:type="spellEnd"/>
      <w:r w:rsidRPr="00002536">
        <w:rPr>
          <w:rFonts w:ascii="Arial" w:hAnsi="Arial" w:cs="Arial"/>
          <w:sz w:val="20"/>
          <w:szCs w:val="20"/>
          <w:lang w:val="es-MX"/>
        </w:rPr>
        <w:t xml:space="preserve">, A., Del Campo, C., Camacho, C.I, </w:t>
      </w:r>
      <w:proofErr w:type="gramStart"/>
      <w:r w:rsidRPr="00002536">
        <w:rPr>
          <w:rFonts w:ascii="Arial" w:hAnsi="Arial" w:cs="Arial"/>
          <w:sz w:val="20"/>
          <w:szCs w:val="20"/>
          <w:lang w:val="es-MX"/>
        </w:rPr>
        <w:t>Martin ,</w:t>
      </w:r>
      <w:proofErr w:type="gramEnd"/>
      <w:r w:rsidRPr="00002536">
        <w:rPr>
          <w:rFonts w:ascii="Arial" w:hAnsi="Arial" w:cs="Arial"/>
          <w:sz w:val="20"/>
          <w:szCs w:val="20"/>
          <w:lang w:val="es-MX"/>
        </w:rPr>
        <w:t xml:space="preserve">G., and </w:t>
      </w:r>
      <w:proofErr w:type="spellStart"/>
      <w:r w:rsidRPr="00002536">
        <w:rPr>
          <w:rFonts w:ascii="Arial" w:hAnsi="Arial" w:cs="Arial"/>
          <w:sz w:val="20"/>
          <w:szCs w:val="20"/>
          <w:lang w:val="es-MX"/>
        </w:rPr>
        <w:t>McCandless</w:t>
      </w:r>
      <w:proofErr w:type="spellEnd"/>
      <w:r w:rsidRPr="00002536">
        <w:rPr>
          <w:rFonts w:ascii="Arial" w:hAnsi="Arial" w:cs="Arial"/>
          <w:sz w:val="20"/>
          <w:szCs w:val="20"/>
          <w:lang w:val="es-MX"/>
        </w:rPr>
        <w:t xml:space="preserve">, S., 2011. </w:t>
      </w:r>
      <w:r w:rsidRPr="00633A71">
        <w:rPr>
          <w:rFonts w:ascii="Arial" w:hAnsi="Arial" w:cs="Arial"/>
          <w:sz w:val="20"/>
          <w:szCs w:val="20"/>
        </w:rPr>
        <w:t>When formal and market-based conservation mechanisms disrupt food sovereignty: impacts of community conservation and payments for environmental services on an indigenous community of Oaxaca, Mexico</w:t>
      </w:r>
      <w:r w:rsidRPr="00633A71">
        <w:rPr>
          <w:rFonts w:ascii="Arial" w:hAnsi="Arial" w:cs="Arial"/>
          <w:i/>
          <w:sz w:val="20"/>
          <w:szCs w:val="20"/>
        </w:rPr>
        <w:t>, International Forestry Review</w:t>
      </w:r>
      <w:r w:rsidRPr="00504B5E">
        <w:rPr>
          <w:rFonts w:ascii="Arial" w:hAnsi="Arial" w:cs="Arial"/>
          <w:sz w:val="20"/>
          <w:szCs w:val="20"/>
        </w:rPr>
        <w:t xml:space="preserve"> Vol.13(3) </w:t>
      </w:r>
    </w:p>
    <w:p w14:paraId="61E81871" w14:textId="048BFB02" w:rsidR="007C385E" w:rsidRPr="00504B5E" w:rsidRDefault="007C385E" w:rsidP="007C385E">
      <w:pPr>
        <w:spacing w:before="200" w:after="0" w:line="240" w:lineRule="auto"/>
        <w:jc w:val="both"/>
        <w:rPr>
          <w:rFonts w:ascii="Arial" w:hAnsi="Arial" w:cs="Arial"/>
          <w:sz w:val="20"/>
          <w:szCs w:val="20"/>
        </w:rPr>
      </w:pPr>
      <w:r w:rsidRPr="00504B5E">
        <w:rPr>
          <w:rFonts w:ascii="Arial" w:hAnsi="Arial" w:cs="Arial"/>
          <w:sz w:val="20"/>
          <w:szCs w:val="20"/>
        </w:rPr>
        <w:t xml:space="preserve">International Convention on Civil and Political Rights Committee, 2009. Concluding Observations of the Human Rights Committee for the Ninety-Fifth session: Sweden, U.N. Doc. CCPR/C/SWE/CO/6, 20. Human Rights Committee, New York </w:t>
      </w:r>
    </w:p>
    <w:p w14:paraId="14A21559" w14:textId="77777777" w:rsidR="00810C20" w:rsidRPr="00632DBC" w:rsidRDefault="00810C20" w:rsidP="00810C20">
      <w:pPr>
        <w:spacing w:before="200" w:after="0" w:line="240" w:lineRule="auto"/>
        <w:jc w:val="both"/>
        <w:rPr>
          <w:rFonts w:ascii="Arial" w:hAnsi="Arial" w:cs="Arial"/>
          <w:sz w:val="20"/>
          <w:szCs w:val="20"/>
          <w:lang w:bidi="ar-SA"/>
        </w:rPr>
      </w:pPr>
      <w:r w:rsidRPr="00632DBC">
        <w:rPr>
          <w:rFonts w:ascii="Arial" w:hAnsi="Arial" w:cs="Arial"/>
          <w:sz w:val="20"/>
          <w:szCs w:val="20"/>
          <w:lang w:bidi="ar-SA"/>
        </w:rPr>
        <w:t xml:space="preserve">Ituarte-Lima, C., 2009, Categories of Intellectual Property and Biodiversity in Western Inspired Legal Cultures, in: </w:t>
      </w:r>
      <w:r w:rsidRPr="00632DBC">
        <w:rPr>
          <w:rFonts w:ascii="Arial" w:hAnsi="Arial" w:cs="Arial"/>
          <w:i/>
          <w:sz w:val="20"/>
          <w:szCs w:val="20"/>
          <w:lang w:bidi="ar-SA"/>
        </w:rPr>
        <w:t>Law and Anthropology–Current Legal Issues,</w:t>
      </w:r>
      <w:r w:rsidRPr="00632DBC">
        <w:rPr>
          <w:rFonts w:ascii="Arial" w:hAnsi="Arial" w:cs="Arial"/>
          <w:sz w:val="20"/>
          <w:szCs w:val="20"/>
          <w:lang w:bidi="ar-SA"/>
        </w:rPr>
        <w:t xml:space="preserve"> </w:t>
      </w:r>
      <w:proofErr w:type="spellStart"/>
      <w:r w:rsidRPr="00632DBC">
        <w:rPr>
          <w:rFonts w:ascii="Arial" w:hAnsi="Arial" w:cs="Arial"/>
          <w:sz w:val="20"/>
          <w:szCs w:val="20"/>
          <w:lang w:bidi="ar-SA"/>
        </w:rPr>
        <w:t>vol</w:t>
      </w:r>
      <w:proofErr w:type="spellEnd"/>
      <w:r w:rsidRPr="00632DBC">
        <w:rPr>
          <w:rFonts w:ascii="Arial" w:hAnsi="Arial" w:cs="Arial"/>
          <w:sz w:val="20"/>
          <w:szCs w:val="20"/>
          <w:lang w:bidi="ar-SA"/>
        </w:rPr>
        <w:t xml:space="preserve"> 12, </w:t>
      </w:r>
      <w:proofErr w:type="spellStart"/>
      <w:r w:rsidRPr="00632DBC">
        <w:rPr>
          <w:rFonts w:ascii="Arial" w:hAnsi="Arial" w:cs="Arial"/>
          <w:sz w:val="20"/>
          <w:szCs w:val="20"/>
          <w:lang w:bidi="ar-SA"/>
        </w:rPr>
        <w:t>eds</w:t>
      </w:r>
      <w:proofErr w:type="spellEnd"/>
      <w:r w:rsidRPr="00632DBC">
        <w:rPr>
          <w:rFonts w:ascii="Arial" w:hAnsi="Arial" w:cs="Arial"/>
          <w:sz w:val="20"/>
          <w:szCs w:val="20"/>
          <w:lang w:bidi="ar-SA"/>
        </w:rPr>
        <w:t xml:space="preserve"> M Freeman and D Napier, Oxford University Press, Oxford, pp 313-350</w:t>
      </w:r>
    </w:p>
    <w:p w14:paraId="2919B719" w14:textId="77777777" w:rsidR="00810C20" w:rsidRPr="00632DBC" w:rsidRDefault="00810C20" w:rsidP="00810C20">
      <w:pPr>
        <w:spacing w:before="200" w:after="0" w:line="240" w:lineRule="auto"/>
        <w:jc w:val="both"/>
        <w:rPr>
          <w:rFonts w:ascii="Arial" w:hAnsi="Arial" w:cs="Arial"/>
          <w:sz w:val="20"/>
          <w:szCs w:val="20"/>
          <w:lang w:bidi="ar-SA"/>
        </w:rPr>
      </w:pPr>
      <w:r w:rsidRPr="00632DBC">
        <w:rPr>
          <w:rFonts w:ascii="Arial" w:hAnsi="Arial" w:cs="Arial"/>
          <w:sz w:val="20"/>
          <w:szCs w:val="20"/>
          <w:lang w:bidi="ar-SA"/>
        </w:rPr>
        <w:t>Ituarte-Lima, C., 2011. Negotiating Intellectual Property Rights in the Upper Amazon. PhD Thesis, University College London, London</w:t>
      </w:r>
    </w:p>
    <w:p w14:paraId="5A9203A9" w14:textId="77777777" w:rsidR="00810C20" w:rsidRPr="00632DBC" w:rsidRDefault="00810C20" w:rsidP="00810C20">
      <w:pPr>
        <w:spacing w:before="200" w:after="0" w:line="240" w:lineRule="auto"/>
        <w:jc w:val="both"/>
        <w:rPr>
          <w:rFonts w:ascii="Arial" w:hAnsi="Arial" w:cs="Arial"/>
          <w:sz w:val="20"/>
          <w:szCs w:val="20"/>
          <w:lang w:bidi="ar-SA"/>
        </w:rPr>
      </w:pPr>
      <w:r w:rsidRPr="00632DBC">
        <w:rPr>
          <w:rFonts w:ascii="Arial" w:hAnsi="Arial" w:cs="Arial"/>
          <w:sz w:val="20"/>
          <w:szCs w:val="20"/>
          <w:lang w:bidi="ar-SA"/>
        </w:rPr>
        <w:t xml:space="preserve">Ituarte-Lima, C. and Subramanian, S., 2011, Environment-related property laws: a means to achieve equity or inequity? </w:t>
      </w:r>
      <w:r w:rsidRPr="00632DBC">
        <w:rPr>
          <w:rFonts w:ascii="Arial" w:hAnsi="Arial" w:cs="Arial"/>
          <w:i/>
          <w:sz w:val="20"/>
          <w:szCs w:val="20"/>
          <w:lang w:bidi="ar-SA"/>
        </w:rPr>
        <w:t xml:space="preserve">United Nations University Institute of Advanced Studies (UNU-IAS) </w:t>
      </w:r>
      <w:r w:rsidRPr="00632DBC">
        <w:rPr>
          <w:rFonts w:ascii="Arial" w:hAnsi="Arial" w:cs="Arial"/>
          <w:sz w:val="20"/>
          <w:szCs w:val="20"/>
          <w:lang w:bidi="ar-SA"/>
        </w:rPr>
        <w:t xml:space="preserve">Working Paper Nº164, Yokohama, Japan Available at: </w:t>
      </w:r>
      <w:hyperlink r:id="rId40" w:history="1">
        <w:r w:rsidRPr="00632DBC">
          <w:rPr>
            <w:rStyle w:val="Hyperlink"/>
            <w:rFonts w:ascii="Arial" w:hAnsi="Arial" w:cs="Arial"/>
            <w:color w:val="auto"/>
            <w:sz w:val="20"/>
            <w:szCs w:val="20"/>
            <w:lang w:bidi="ar-SA"/>
          </w:rPr>
          <w:t>https://community.iucn.org/rba1/Documents/ItuarteLimaSubramanian2011.pdf?Mobile=1&amp;Source=%2Frba1%2F_layouts%2Fmobile%2Fview.aspx%3FList%3D4dfcbb6c-8249-4f61-baa9-2e84199ea8b5%26View%3D0d9a923a-0dd4-4499-b428-626683fb8fba%26CurrentPage%3D1</w:t>
        </w:r>
      </w:hyperlink>
      <w:r w:rsidRPr="00632DBC">
        <w:rPr>
          <w:rFonts w:ascii="Arial" w:hAnsi="Arial" w:cs="Arial"/>
          <w:sz w:val="20"/>
          <w:szCs w:val="20"/>
          <w:lang w:bidi="ar-SA"/>
        </w:rPr>
        <w:t xml:space="preserve"> Accessed 22</w:t>
      </w:r>
      <w:r w:rsidRPr="00632DBC">
        <w:rPr>
          <w:rFonts w:ascii="Arial" w:hAnsi="Arial" w:cs="Arial"/>
          <w:sz w:val="20"/>
          <w:szCs w:val="20"/>
          <w:vertAlign w:val="superscript"/>
          <w:lang w:bidi="ar-SA"/>
        </w:rPr>
        <w:t>nd</w:t>
      </w:r>
      <w:r w:rsidRPr="00632DBC">
        <w:rPr>
          <w:rFonts w:ascii="Arial" w:hAnsi="Arial" w:cs="Arial"/>
          <w:sz w:val="20"/>
          <w:szCs w:val="20"/>
          <w:lang w:bidi="ar-SA"/>
        </w:rPr>
        <w:t xml:space="preserve"> May 2014</w:t>
      </w:r>
    </w:p>
    <w:p w14:paraId="2EA35279" w14:textId="77777777" w:rsidR="00810C20" w:rsidRPr="00632DBC" w:rsidRDefault="00810C20" w:rsidP="00810C20">
      <w:pPr>
        <w:spacing w:before="200" w:after="0" w:line="240" w:lineRule="auto"/>
        <w:jc w:val="both"/>
        <w:rPr>
          <w:rFonts w:ascii="Arial" w:hAnsi="Arial" w:cs="Arial"/>
          <w:sz w:val="20"/>
          <w:szCs w:val="20"/>
        </w:rPr>
      </w:pPr>
      <w:r w:rsidRPr="00632DBC">
        <w:rPr>
          <w:rFonts w:ascii="Arial" w:hAnsi="Arial" w:cs="Arial"/>
          <w:sz w:val="20"/>
          <w:szCs w:val="20"/>
        </w:rPr>
        <w:t xml:space="preserve">Ituarte-Lima, C and Subramanian, S., 2013. </w:t>
      </w:r>
      <w:proofErr w:type="spellStart"/>
      <w:r w:rsidRPr="00632DBC">
        <w:rPr>
          <w:rFonts w:ascii="Arial" w:hAnsi="Arial" w:cs="Arial"/>
          <w:sz w:val="20"/>
          <w:szCs w:val="20"/>
        </w:rPr>
        <w:t>Retreading</w:t>
      </w:r>
      <w:proofErr w:type="spellEnd"/>
      <w:r w:rsidRPr="00632DBC">
        <w:rPr>
          <w:rFonts w:ascii="Arial" w:hAnsi="Arial" w:cs="Arial"/>
          <w:sz w:val="20"/>
          <w:szCs w:val="20"/>
        </w:rPr>
        <w:t xml:space="preserve"> negotiations on equity in environmental governance: case studies contrasting the evolution of ABS and REDD+’ in </w:t>
      </w:r>
      <w:proofErr w:type="spellStart"/>
      <w:r w:rsidRPr="00632DBC">
        <w:rPr>
          <w:rFonts w:ascii="Arial" w:hAnsi="Arial" w:cs="Arial"/>
          <w:sz w:val="20"/>
          <w:szCs w:val="20"/>
        </w:rPr>
        <w:t>Maes</w:t>
      </w:r>
      <w:proofErr w:type="spellEnd"/>
      <w:r w:rsidRPr="00632DBC">
        <w:rPr>
          <w:rFonts w:ascii="Arial" w:hAnsi="Arial" w:cs="Arial"/>
          <w:sz w:val="20"/>
          <w:szCs w:val="20"/>
        </w:rPr>
        <w:t xml:space="preserve">, F., </w:t>
      </w:r>
      <w:proofErr w:type="spellStart"/>
      <w:r w:rsidRPr="00632DBC">
        <w:rPr>
          <w:rFonts w:ascii="Arial" w:hAnsi="Arial" w:cs="Arial"/>
          <w:sz w:val="20"/>
          <w:szCs w:val="20"/>
        </w:rPr>
        <w:t>Cliquet</w:t>
      </w:r>
      <w:proofErr w:type="spellEnd"/>
      <w:r w:rsidRPr="00632DBC">
        <w:rPr>
          <w:rFonts w:ascii="Arial" w:hAnsi="Arial" w:cs="Arial"/>
          <w:sz w:val="20"/>
          <w:szCs w:val="20"/>
        </w:rPr>
        <w:t>, A., du Plessis, W., McLeod-</w:t>
      </w:r>
      <w:proofErr w:type="spellStart"/>
      <w:r w:rsidRPr="00632DBC">
        <w:rPr>
          <w:rFonts w:ascii="Arial" w:hAnsi="Arial" w:cs="Arial"/>
          <w:sz w:val="20"/>
          <w:szCs w:val="20"/>
        </w:rPr>
        <w:t>Kilmurray</w:t>
      </w:r>
      <w:proofErr w:type="spellEnd"/>
      <w:r w:rsidRPr="00632DBC">
        <w:rPr>
          <w:rFonts w:ascii="Arial" w:hAnsi="Arial" w:cs="Arial"/>
          <w:sz w:val="20"/>
          <w:szCs w:val="20"/>
        </w:rPr>
        <w:t>, H. (</w:t>
      </w:r>
      <w:proofErr w:type="spellStart"/>
      <w:r w:rsidRPr="00632DBC">
        <w:rPr>
          <w:rFonts w:ascii="Arial" w:hAnsi="Arial" w:cs="Arial"/>
          <w:sz w:val="20"/>
          <w:szCs w:val="20"/>
        </w:rPr>
        <w:t>eds</w:t>
      </w:r>
      <w:proofErr w:type="spellEnd"/>
      <w:r w:rsidRPr="00632DBC">
        <w:rPr>
          <w:rFonts w:ascii="Arial" w:hAnsi="Arial" w:cs="Arial"/>
          <w:sz w:val="20"/>
          <w:szCs w:val="20"/>
        </w:rPr>
        <w:t xml:space="preserve">), </w:t>
      </w:r>
      <w:r w:rsidRPr="00632DBC">
        <w:rPr>
          <w:rFonts w:ascii="Arial" w:hAnsi="Arial" w:cs="Arial"/>
          <w:i/>
          <w:iCs/>
          <w:sz w:val="20"/>
          <w:szCs w:val="20"/>
        </w:rPr>
        <w:t>Climate Change and Biodiversity</w:t>
      </w:r>
      <w:r w:rsidRPr="00632DBC">
        <w:rPr>
          <w:rFonts w:ascii="Arial" w:hAnsi="Arial" w:cs="Arial"/>
          <w:sz w:val="20"/>
          <w:szCs w:val="20"/>
        </w:rPr>
        <w:t xml:space="preserve">: </w:t>
      </w:r>
      <w:r w:rsidRPr="00632DBC">
        <w:rPr>
          <w:rFonts w:ascii="Arial" w:hAnsi="Arial" w:cs="Arial"/>
          <w:i/>
          <w:iCs/>
          <w:sz w:val="20"/>
          <w:szCs w:val="20"/>
        </w:rPr>
        <w:t>Linkages at International, National and Local Levels</w:t>
      </w:r>
      <w:r w:rsidRPr="00632DBC">
        <w:rPr>
          <w:rFonts w:ascii="Arial" w:hAnsi="Arial" w:cs="Arial"/>
          <w:sz w:val="20"/>
          <w:szCs w:val="20"/>
        </w:rPr>
        <w:t xml:space="preserve">, IUCN Academy of Environmental Law Series, Edward Elgar Publishing, Surrey and Northampton, United Kingdom </w:t>
      </w:r>
    </w:p>
    <w:p w14:paraId="4A9FAAE5" w14:textId="0D7EE989" w:rsidR="00810C20" w:rsidRPr="00504B5E" w:rsidRDefault="00810C20" w:rsidP="00810C20">
      <w:pPr>
        <w:spacing w:before="100" w:beforeAutospacing="1" w:after="100" w:afterAutospacing="1" w:line="240" w:lineRule="auto"/>
        <w:jc w:val="both"/>
        <w:rPr>
          <w:rFonts w:ascii="Arial" w:hAnsi="Arial" w:cs="Arial"/>
          <w:sz w:val="20"/>
          <w:szCs w:val="20"/>
          <w:lang w:bidi="ar-SA"/>
        </w:rPr>
      </w:pPr>
      <w:r w:rsidRPr="00002536">
        <w:rPr>
          <w:rFonts w:ascii="Arial" w:hAnsi="Arial"/>
          <w:sz w:val="20"/>
          <w:lang w:val="en-US"/>
        </w:rPr>
        <w:t xml:space="preserve">Ituarte-Lima, C., McDermott, C.L. </w:t>
      </w:r>
      <w:r w:rsidR="00554E40" w:rsidRPr="00002536">
        <w:rPr>
          <w:rFonts w:ascii="Arial" w:hAnsi="Arial"/>
          <w:sz w:val="20"/>
          <w:lang w:val="en-US"/>
        </w:rPr>
        <w:t>and</w:t>
      </w:r>
      <w:r w:rsidRPr="00002536">
        <w:rPr>
          <w:rFonts w:ascii="Arial" w:hAnsi="Arial"/>
          <w:sz w:val="20"/>
          <w:lang w:val="en-US"/>
        </w:rPr>
        <w:t xml:space="preserve"> </w:t>
      </w:r>
      <w:proofErr w:type="spellStart"/>
      <w:r w:rsidRPr="00002536">
        <w:rPr>
          <w:rFonts w:ascii="Arial" w:hAnsi="Arial"/>
          <w:sz w:val="20"/>
          <w:lang w:val="en-US"/>
        </w:rPr>
        <w:t>Mulyani</w:t>
      </w:r>
      <w:proofErr w:type="spellEnd"/>
      <w:r w:rsidRPr="00002536">
        <w:rPr>
          <w:rFonts w:ascii="Arial" w:hAnsi="Arial"/>
          <w:sz w:val="20"/>
          <w:lang w:val="en-US"/>
        </w:rPr>
        <w:t xml:space="preserve">, M., 2014. </w:t>
      </w:r>
      <w:r w:rsidRPr="00633A71">
        <w:rPr>
          <w:rFonts w:ascii="Arial" w:hAnsi="Arial" w:cs="Arial"/>
          <w:sz w:val="20"/>
          <w:szCs w:val="20"/>
          <w:lang w:bidi="ar-SA"/>
        </w:rPr>
        <w:t xml:space="preserve">Assessing equity in national legal frameworks for REDD+: The case of Indonesia. </w:t>
      </w:r>
      <w:r w:rsidRPr="00633A71">
        <w:rPr>
          <w:rFonts w:ascii="Arial" w:hAnsi="Arial" w:cs="Arial"/>
          <w:i/>
          <w:iCs/>
          <w:sz w:val="20"/>
          <w:szCs w:val="20"/>
          <w:lang w:bidi="ar-SA"/>
        </w:rPr>
        <w:t>Environmental Science &amp; Policy</w:t>
      </w:r>
      <w:r w:rsidRPr="00504B5E">
        <w:rPr>
          <w:rFonts w:ascii="Arial" w:hAnsi="Arial" w:cs="Arial"/>
          <w:sz w:val="20"/>
          <w:szCs w:val="20"/>
          <w:lang w:bidi="ar-SA"/>
        </w:rPr>
        <w:t>. Available at: http://www.sciencedirect.com/science/article/pii/S1462901114000677 Accessed 2nd June 2014</w:t>
      </w:r>
    </w:p>
    <w:p w14:paraId="6A6C0335" w14:textId="77777777" w:rsidR="00810C20" w:rsidRPr="00632DBC" w:rsidRDefault="00810C20" w:rsidP="00810C20">
      <w:pPr>
        <w:spacing w:before="200" w:after="0" w:line="240" w:lineRule="auto"/>
        <w:jc w:val="both"/>
        <w:rPr>
          <w:rFonts w:ascii="Arial" w:hAnsi="Arial" w:cs="Arial"/>
          <w:sz w:val="20"/>
          <w:szCs w:val="20"/>
        </w:rPr>
      </w:pPr>
      <w:r w:rsidRPr="00632DBC">
        <w:rPr>
          <w:rFonts w:ascii="Arial" w:hAnsi="Arial" w:cs="Arial"/>
          <w:sz w:val="20"/>
          <w:szCs w:val="20"/>
        </w:rPr>
        <w:t xml:space="preserve">IUCN, 2008. World </w:t>
      </w:r>
      <w:proofErr w:type="spellStart"/>
      <w:r w:rsidRPr="00632DBC">
        <w:rPr>
          <w:rFonts w:ascii="Arial" w:hAnsi="Arial" w:cs="Arial"/>
          <w:sz w:val="20"/>
          <w:szCs w:val="20"/>
        </w:rPr>
        <w:t>Comission</w:t>
      </w:r>
      <w:proofErr w:type="spellEnd"/>
      <w:r w:rsidRPr="00632DBC">
        <w:rPr>
          <w:rFonts w:ascii="Arial" w:hAnsi="Arial" w:cs="Arial"/>
          <w:sz w:val="20"/>
          <w:szCs w:val="20"/>
        </w:rPr>
        <w:t xml:space="preserve"> on Protected Areas: Statement of custodians of sacred natural sites and territories Available at: </w:t>
      </w:r>
      <w:hyperlink r:id="rId41" w:history="1">
        <w:r w:rsidRPr="00632DBC">
          <w:rPr>
            <w:rStyle w:val="Hyperlink"/>
            <w:rFonts w:ascii="Arial" w:hAnsi="Arial" w:cs="Arial"/>
            <w:color w:val="auto"/>
            <w:sz w:val="20"/>
            <w:szCs w:val="20"/>
          </w:rPr>
          <w:t>http://www.gaiafoundation.org/sites/default/files/documents/Custodian-Statement-on-Sacred-Natural-Sites1.pdf</w:t>
        </w:r>
      </w:hyperlink>
      <w:r w:rsidRPr="00632DBC">
        <w:rPr>
          <w:rFonts w:ascii="Arial" w:hAnsi="Arial" w:cs="Arial"/>
          <w:sz w:val="20"/>
          <w:szCs w:val="20"/>
        </w:rPr>
        <w:t xml:space="preserve"> Accessed 26</w:t>
      </w:r>
      <w:r w:rsidRPr="00632DBC">
        <w:rPr>
          <w:rFonts w:ascii="Arial" w:hAnsi="Arial" w:cs="Arial"/>
          <w:sz w:val="20"/>
          <w:szCs w:val="20"/>
          <w:vertAlign w:val="superscript"/>
        </w:rPr>
        <w:t>th</w:t>
      </w:r>
      <w:r w:rsidRPr="00632DBC">
        <w:rPr>
          <w:rFonts w:ascii="Arial" w:hAnsi="Arial" w:cs="Arial"/>
          <w:sz w:val="20"/>
          <w:szCs w:val="20"/>
        </w:rPr>
        <w:t xml:space="preserve"> May 2014</w:t>
      </w:r>
    </w:p>
    <w:p w14:paraId="4CC3F74C" w14:textId="77777777" w:rsidR="00810C20" w:rsidRPr="00632DBC" w:rsidRDefault="00810C20" w:rsidP="00810C20">
      <w:pPr>
        <w:spacing w:before="200" w:after="0" w:line="240" w:lineRule="auto"/>
        <w:jc w:val="both"/>
        <w:rPr>
          <w:rFonts w:ascii="Arial" w:hAnsi="Arial" w:cs="Arial"/>
          <w:sz w:val="20"/>
          <w:szCs w:val="20"/>
        </w:rPr>
      </w:pPr>
      <w:r w:rsidRPr="00632DBC">
        <w:rPr>
          <w:rFonts w:ascii="Arial" w:hAnsi="Arial" w:cs="Arial"/>
          <w:sz w:val="20"/>
          <w:szCs w:val="20"/>
        </w:rPr>
        <w:t xml:space="preserve">IUCN, 2012. Recommendation, M054 Sacred natural sites, support for custodian protocols and customary laws in the face of global threats and challenges Available at: </w:t>
      </w:r>
      <w:hyperlink r:id="rId42" w:history="1">
        <w:r w:rsidRPr="00632DBC">
          <w:rPr>
            <w:rStyle w:val="Hyperlink"/>
            <w:rFonts w:ascii="Arial" w:hAnsi="Arial" w:cs="Arial"/>
            <w:color w:val="auto"/>
            <w:sz w:val="20"/>
            <w:szCs w:val="20"/>
          </w:rPr>
          <w:t>https://portals.iucn.org/docs/2012congress/motions/en/M-054-2012-EN.pdf Accessed 26</w:t>
        </w:r>
        <w:r w:rsidRPr="00632DBC">
          <w:rPr>
            <w:rStyle w:val="Hyperlink"/>
            <w:rFonts w:ascii="Arial" w:hAnsi="Arial" w:cs="Arial"/>
            <w:color w:val="auto"/>
            <w:sz w:val="20"/>
            <w:szCs w:val="20"/>
            <w:vertAlign w:val="superscript"/>
          </w:rPr>
          <w:t>th</w:t>
        </w:r>
        <w:r w:rsidRPr="00632DBC">
          <w:rPr>
            <w:rStyle w:val="Hyperlink"/>
            <w:rFonts w:ascii="Arial" w:hAnsi="Arial" w:cs="Arial"/>
            <w:color w:val="auto"/>
            <w:sz w:val="20"/>
            <w:szCs w:val="20"/>
          </w:rPr>
          <w:t xml:space="preserve"> May 2014</w:t>
        </w:r>
      </w:hyperlink>
      <w:r w:rsidRPr="00632DBC">
        <w:rPr>
          <w:rFonts w:ascii="Arial" w:hAnsi="Arial" w:cs="Arial"/>
          <w:sz w:val="20"/>
          <w:szCs w:val="20"/>
        </w:rPr>
        <w:t>.</w:t>
      </w:r>
    </w:p>
    <w:p w14:paraId="14F2FFCB" w14:textId="77777777" w:rsidR="00810C20" w:rsidRPr="00632DBC" w:rsidRDefault="00810C20" w:rsidP="00810C20">
      <w:pPr>
        <w:spacing w:before="200" w:after="0" w:line="240" w:lineRule="auto"/>
        <w:jc w:val="both"/>
        <w:rPr>
          <w:rFonts w:ascii="Arial" w:hAnsi="Arial" w:cs="Arial"/>
          <w:sz w:val="20"/>
          <w:szCs w:val="20"/>
        </w:rPr>
      </w:pPr>
      <w:r w:rsidRPr="00632DBC">
        <w:rPr>
          <w:rFonts w:ascii="Arial" w:hAnsi="Arial" w:cs="Arial"/>
          <w:sz w:val="20"/>
          <w:szCs w:val="20"/>
        </w:rPr>
        <w:t xml:space="preserve">IUCN and ICMM, 2013. Independent Report on biodiversity offsets. Available at: </w:t>
      </w:r>
      <w:hyperlink r:id="rId43" w:history="1">
        <w:r w:rsidRPr="00632DBC">
          <w:rPr>
            <w:rStyle w:val="Hyperlink"/>
            <w:rFonts w:ascii="Arial" w:hAnsi="Arial" w:cs="Arial"/>
            <w:color w:val="auto"/>
            <w:sz w:val="20"/>
            <w:szCs w:val="20"/>
          </w:rPr>
          <w:t>http://www.icmm.com/document/4934</w:t>
        </w:r>
      </w:hyperlink>
      <w:r w:rsidRPr="00632DBC">
        <w:rPr>
          <w:rFonts w:ascii="Arial" w:hAnsi="Arial" w:cs="Arial"/>
          <w:sz w:val="20"/>
          <w:szCs w:val="20"/>
        </w:rPr>
        <w:t xml:space="preserve"> Accessed 2nd June 2014</w:t>
      </w:r>
    </w:p>
    <w:p w14:paraId="494BD8C6"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lastRenderedPageBreak/>
        <w:t>James, D., 2011.</w:t>
      </w:r>
      <w:r w:rsidRPr="00633A71">
        <w:rPr>
          <w:rFonts w:ascii="Arial" w:hAnsi="Arial" w:cs="Arial"/>
          <w:i/>
          <w:sz w:val="20"/>
          <w:szCs w:val="20"/>
        </w:rPr>
        <w:t xml:space="preserve"> </w:t>
      </w:r>
      <w:r w:rsidRPr="00633A71">
        <w:rPr>
          <w:rFonts w:ascii="Arial" w:hAnsi="Arial" w:cs="Arial"/>
          <w:sz w:val="20"/>
          <w:szCs w:val="20"/>
        </w:rPr>
        <w:t xml:space="preserve">Food Security, Farming, and the WTO and CAFTA. Available at: </w:t>
      </w:r>
      <w:hyperlink r:id="rId44" w:history="1">
        <w:r w:rsidRPr="00632DBC">
          <w:rPr>
            <w:rStyle w:val="Hyperlink"/>
            <w:rFonts w:ascii="Arial" w:hAnsi="Arial" w:cs="Arial"/>
            <w:color w:val="auto"/>
            <w:sz w:val="20"/>
            <w:szCs w:val="20"/>
          </w:rPr>
          <w:t>www.globalexchange.org/resources/wto/agriculture</w:t>
        </w:r>
      </w:hyperlink>
      <w:r w:rsidRPr="00633A71">
        <w:rPr>
          <w:rFonts w:ascii="Arial" w:hAnsi="Arial" w:cs="Arial"/>
          <w:sz w:val="20"/>
          <w:szCs w:val="20"/>
        </w:rPr>
        <w:t xml:space="preserve"> Accessed 2</w:t>
      </w:r>
      <w:r w:rsidRPr="00633A71">
        <w:rPr>
          <w:rFonts w:ascii="Arial" w:hAnsi="Arial" w:cs="Arial"/>
          <w:sz w:val="20"/>
          <w:szCs w:val="20"/>
          <w:vertAlign w:val="superscript"/>
        </w:rPr>
        <w:t>nd</w:t>
      </w:r>
      <w:r w:rsidRPr="00633A71">
        <w:rPr>
          <w:rFonts w:ascii="Arial" w:hAnsi="Arial" w:cs="Arial"/>
          <w:sz w:val="20"/>
          <w:szCs w:val="20"/>
        </w:rPr>
        <w:t xml:space="preserve"> August 2012</w:t>
      </w:r>
    </w:p>
    <w:p w14:paraId="7DC80F73" w14:textId="58D1D54E"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Jonas, H., </w:t>
      </w:r>
      <w:proofErr w:type="spellStart"/>
      <w:r w:rsidRPr="00504B5E">
        <w:rPr>
          <w:rFonts w:ascii="Arial" w:hAnsi="Arial" w:cs="Arial"/>
          <w:sz w:val="20"/>
          <w:szCs w:val="20"/>
        </w:rPr>
        <w:t>Makagon</w:t>
      </w:r>
      <w:proofErr w:type="spellEnd"/>
      <w:r w:rsidRPr="00504B5E">
        <w:rPr>
          <w:rFonts w:ascii="Arial" w:hAnsi="Arial" w:cs="Arial"/>
          <w:sz w:val="20"/>
          <w:szCs w:val="20"/>
        </w:rPr>
        <w:t xml:space="preserve">, E. and </w:t>
      </w:r>
      <w:proofErr w:type="spellStart"/>
      <w:r w:rsidRPr="00504B5E">
        <w:rPr>
          <w:rFonts w:ascii="Arial" w:hAnsi="Arial" w:cs="Arial"/>
          <w:sz w:val="20"/>
          <w:szCs w:val="20"/>
        </w:rPr>
        <w:t>Shrumm</w:t>
      </w:r>
      <w:proofErr w:type="spellEnd"/>
      <w:r w:rsidRPr="00504B5E">
        <w:rPr>
          <w:rFonts w:ascii="Arial" w:hAnsi="Arial" w:cs="Arial"/>
          <w:sz w:val="20"/>
          <w:szCs w:val="20"/>
        </w:rPr>
        <w:t xml:space="preserve">, H., 2012. The Living Convention on Biocultural Diversity: A Compendium of Indigenous </w:t>
      </w:r>
      <w:proofErr w:type="spellStart"/>
      <w:r w:rsidRPr="00504B5E">
        <w:rPr>
          <w:rFonts w:ascii="Arial" w:hAnsi="Arial" w:cs="Arial"/>
          <w:sz w:val="20"/>
          <w:szCs w:val="20"/>
        </w:rPr>
        <w:t>people’s</w:t>
      </w:r>
      <w:proofErr w:type="spellEnd"/>
      <w:r w:rsidRPr="00504B5E">
        <w:rPr>
          <w:rFonts w:ascii="Arial" w:hAnsi="Arial" w:cs="Arial"/>
          <w:sz w:val="20"/>
          <w:szCs w:val="20"/>
        </w:rPr>
        <w:t xml:space="preserve"> and local communities’ rights to maintaining the integrity and resilience of territories and other biocultural systems. </w:t>
      </w:r>
      <w:r w:rsidRPr="00504B5E">
        <w:rPr>
          <w:rFonts w:ascii="Arial" w:hAnsi="Arial" w:cs="Arial"/>
          <w:i/>
          <w:sz w:val="20"/>
          <w:szCs w:val="20"/>
        </w:rPr>
        <w:t>Natural Justice</w:t>
      </w:r>
      <w:r w:rsidRPr="00504B5E">
        <w:rPr>
          <w:rFonts w:ascii="Arial" w:hAnsi="Arial" w:cs="Arial"/>
          <w:sz w:val="20"/>
          <w:szCs w:val="20"/>
        </w:rPr>
        <w:t>, South Africa</w:t>
      </w:r>
    </w:p>
    <w:p w14:paraId="7F05A1B7" w14:textId="77777777" w:rsidR="00810C20" w:rsidRPr="00633A71" w:rsidRDefault="00810C20" w:rsidP="00810C20">
      <w:pPr>
        <w:spacing w:before="200" w:after="0" w:line="240" w:lineRule="auto"/>
        <w:jc w:val="both"/>
        <w:rPr>
          <w:rFonts w:ascii="Arial" w:hAnsi="Arial" w:cs="Arial"/>
          <w:sz w:val="20"/>
          <w:szCs w:val="20"/>
        </w:rPr>
      </w:pPr>
      <w:r w:rsidRPr="00A3063C">
        <w:rPr>
          <w:rFonts w:ascii="Arial" w:hAnsi="Arial" w:cs="Arial"/>
          <w:sz w:val="20"/>
          <w:szCs w:val="20"/>
        </w:rPr>
        <w:t xml:space="preserve">Available at: </w:t>
      </w:r>
      <w:hyperlink r:id="rId45" w:history="1">
        <w:r w:rsidRPr="00632DBC">
          <w:rPr>
            <w:rStyle w:val="Hyperlink"/>
            <w:rFonts w:ascii="Arial" w:hAnsi="Arial" w:cs="Arial"/>
            <w:color w:val="auto"/>
            <w:sz w:val="20"/>
            <w:szCs w:val="20"/>
          </w:rPr>
          <w:t>http://naturaljustice.org/wp-content/uploads/pdf/LivingConventiononBioculturalDiversity-FirstEdition2012-1.pdf</w:t>
        </w:r>
      </w:hyperlink>
      <w:r w:rsidRPr="00633A71">
        <w:rPr>
          <w:rFonts w:ascii="Arial" w:hAnsi="Arial" w:cs="Arial"/>
          <w:sz w:val="20"/>
          <w:szCs w:val="20"/>
        </w:rPr>
        <w:t xml:space="preserve"> Accessed 2nd June 2014</w:t>
      </w:r>
    </w:p>
    <w:p w14:paraId="760CA308" w14:textId="04F0F572" w:rsidR="00E370CC"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Kate, K., Bishop, J., and </w:t>
      </w:r>
      <w:proofErr w:type="spellStart"/>
      <w:r w:rsidRPr="00633A71">
        <w:rPr>
          <w:rFonts w:ascii="Arial" w:hAnsi="Arial" w:cs="Arial"/>
          <w:sz w:val="20"/>
          <w:szCs w:val="20"/>
        </w:rPr>
        <w:t>Bayon</w:t>
      </w:r>
      <w:proofErr w:type="spellEnd"/>
      <w:r w:rsidRPr="00633A71">
        <w:rPr>
          <w:rFonts w:ascii="Arial" w:hAnsi="Arial" w:cs="Arial"/>
          <w:sz w:val="20"/>
          <w:szCs w:val="20"/>
        </w:rPr>
        <w:t xml:space="preserve">, R., 2004. </w:t>
      </w:r>
      <w:r w:rsidRPr="00504B5E">
        <w:rPr>
          <w:rFonts w:ascii="Arial" w:hAnsi="Arial" w:cs="Arial"/>
          <w:i/>
          <w:iCs/>
          <w:sz w:val="20"/>
          <w:szCs w:val="20"/>
        </w:rPr>
        <w:t xml:space="preserve">Biodiversity offsets: Views, experience, and the business case. </w:t>
      </w:r>
      <w:r w:rsidRPr="00504B5E">
        <w:rPr>
          <w:rFonts w:ascii="Arial" w:hAnsi="Arial" w:cs="Arial"/>
          <w:sz w:val="20"/>
          <w:szCs w:val="20"/>
        </w:rPr>
        <w:t>IUCN, Gland, Switzerland and Cambridge, UK and Insight Investment, London, UK.</w:t>
      </w:r>
    </w:p>
    <w:p w14:paraId="3DE03C50" w14:textId="10D77BD5" w:rsidR="00E370CC" w:rsidRPr="00633A71" w:rsidRDefault="00E370CC" w:rsidP="00810C20">
      <w:pPr>
        <w:spacing w:before="200" w:after="0" w:line="240" w:lineRule="auto"/>
        <w:jc w:val="both"/>
        <w:rPr>
          <w:rFonts w:ascii="Arial" w:hAnsi="Arial" w:cs="Arial"/>
          <w:sz w:val="20"/>
          <w:szCs w:val="20"/>
        </w:rPr>
      </w:pPr>
      <w:proofErr w:type="spellStart"/>
      <w:r w:rsidRPr="00632DBC">
        <w:rPr>
          <w:rFonts w:ascii="Arial" w:hAnsi="Arial"/>
          <w:sz w:val="20"/>
          <w:lang w:val="es-MX"/>
        </w:rPr>
        <w:t>Koh</w:t>
      </w:r>
      <w:proofErr w:type="spellEnd"/>
      <w:r w:rsidRPr="00632DBC">
        <w:rPr>
          <w:rFonts w:ascii="Arial" w:hAnsi="Arial"/>
          <w:sz w:val="20"/>
          <w:lang w:val="es-MX"/>
        </w:rPr>
        <w:t>, N. S., Hahn, T., Ituarte-Lima, C.</w:t>
      </w:r>
      <w:r w:rsidR="00D3758E">
        <w:rPr>
          <w:rFonts w:ascii="Arial" w:hAnsi="Arial"/>
          <w:sz w:val="20"/>
          <w:lang w:val="es-MX"/>
        </w:rPr>
        <w:t>,</w:t>
      </w:r>
      <w:r w:rsidRPr="00632DBC">
        <w:rPr>
          <w:rFonts w:ascii="Arial" w:hAnsi="Arial"/>
          <w:sz w:val="20"/>
          <w:lang w:val="es-MX"/>
        </w:rPr>
        <w:t xml:space="preserve"> 2017. </w:t>
      </w:r>
      <w:r w:rsidRPr="00632DBC">
        <w:rPr>
          <w:rFonts w:ascii="Arial" w:hAnsi="Arial"/>
          <w:sz w:val="20"/>
        </w:rPr>
        <w:t>Safeguards for enhancing ecological compensation in Sweden. Land Use Policy, Volume 64, May 2017, Pages 186–199</w:t>
      </w:r>
    </w:p>
    <w:p w14:paraId="7915C81D"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iCs/>
          <w:sz w:val="20"/>
          <w:szCs w:val="20"/>
        </w:rPr>
        <w:t>Kohler-</w:t>
      </w:r>
      <w:proofErr w:type="spellStart"/>
      <w:r w:rsidRPr="00633A71">
        <w:rPr>
          <w:rFonts w:ascii="Arial" w:hAnsi="Arial" w:cs="Arial"/>
          <w:iCs/>
          <w:sz w:val="20"/>
          <w:szCs w:val="20"/>
        </w:rPr>
        <w:t>Rollefson</w:t>
      </w:r>
      <w:proofErr w:type="spellEnd"/>
      <w:r w:rsidRPr="00633A71">
        <w:rPr>
          <w:rFonts w:ascii="Arial" w:hAnsi="Arial" w:cs="Arial"/>
          <w:iCs/>
          <w:sz w:val="20"/>
          <w:szCs w:val="20"/>
        </w:rPr>
        <w:t xml:space="preserve">, I., Mathias, E., Singh, H., </w:t>
      </w:r>
      <w:proofErr w:type="spellStart"/>
      <w:r w:rsidRPr="00633A71">
        <w:rPr>
          <w:rFonts w:ascii="Arial" w:hAnsi="Arial" w:cs="Arial"/>
          <w:iCs/>
          <w:sz w:val="20"/>
          <w:szCs w:val="20"/>
        </w:rPr>
        <w:t>Vivekanandan</w:t>
      </w:r>
      <w:proofErr w:type="spellEnd"/>
      <w:r w:rsidRPr="00633A71">
        <w:rPr>
          <w:rFonts w:ascii="Arial" w:hAnsi="Arial" w:cs="Arial"/>
          <w:iCs/>
          <w:sz w:val="20"/>
          <w:szCs w:val="20"/>
        </w:rPr>
        <w:t>, P. and Wanyama, J., 2010</w:t>
      </w:r>
      <w:r w:rsidRPr="00633A71">
        <w:rPr>
          <w:rFonts w:ascii="Arial" w:hAnsi="Arial" w:cs="Arial"/>
          <w:sz w:val="20"/>
          <w:szCs w:val="20"/>
        </w:rPr>
        <w:t>. Livestock k</w:t>
      </w:r>
      <w:r w:rsidRPr="00504B5E">
        <w:rPr>
          <w:rFonts w:ascii="Arial" w:hAnsi="Arial" w:cs="Arial"/>
          <w:sz w:val="20"/>
          <w:szCs w:val="20"/>
        </w:rPr>
        <w:t xml:space="preserve">eepers' rights: the state of discussion. </w:t>
      </w:r>
      <w:r w:rsidRPr="00504B5E">
        <w:rPr>
          <w:rFonts w:ascii="Arial" w:hAnsi="Arial" w:cs="Arial"/>
          <w:i/>
          <w:sz w:val="20"/>
          <w:szCs w:val="20"/>
        </w:rPr>
        <w:t>Animal Genetic Resources</w:t>
      </w:r>
      <w:r w:rsidRPr="00504B5E">
        <w:rPr>
          <w:rFonts w:ascii="Arial" w:hAnsi="Arial" w:cs="Arial"/>
          <w:sz w:val="20"/>
          <w:szCs w:val="20"/>
        </w:rPr>
        <w:t xml:space="preserve"> 47, pp. 119-123 </w:t>
      </w:r>
    </w:p>
    <w:p w14:paraId="53AAFE44" w14:textId="2B04BD4E" w:rsidR="00810C20" w:rsidRPr="00A3063C"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Krause, T., </w:t>
      </w:r>
      <w:r w:rsidR="00D3758E">
        <w:rPr>
          <w:rFonts w:ascii="Arial" w:hAnsi="Arial" w:cs="Arial"/>
          <w:sz w:val="20"/>
          <w:szCs w:val="20"/>
        </w:rPr>
        <w:t>and</w:t>
      </w:r>
      <w:r w:rsidR="00D3758E" w:rsidRPr="00504B5E">
        <w:rPr>
          <w:rFonts w:ascii="Arial" w:hAnsi="Arial" w:cs="Arial"/>
          <w:sz w:val="20"/>
          <w:szCs w:val="20"/>
        </w:rPr>
        <w:t xml:space="preserve"> </w:t>
      </w:r>
      <w:r w:rsidRPr="00504B5E">
        <w:rPr>
          <w:rFonts w:ascii="Arial" w:hAnsi="Arial" w:cs="Arial"/>
          <w:sz w:val="20"/>
          <w:szCs w:val="20"/>
        </w:rPr>
        <w:t>Loft, L., 2013. Benefit distribution and equity in Ecuador's Socio Bosque Program. </w:t>
      </w:r>
      <w:r w:rsidRPr="00504B5E">
        <w:rPr>
          <w:rFonts w:ascii="Arial" w:hAnsi="Arial" w:cs="Arial"/>
          <w:i/>
          <w:iCs/>
          <w:sz w:val="20"/>
          <w:szCs w:val="20"/>
        </w:rPr>
        <w:t>Society &amp; Natural Resources</w:t>
      </w:r>
      <w:r w:rsidRPr="00A3063C">
        <w:rPr>
          <w:rFonts w:ascii="Arial" w:hAnsi="Arial" w:cs="Arial"/>
          <w:sz w:val="20"/>
          <w:szCs w:val="20"/>
        </w:rPr>
        <w:t>, </w:t>
      </w:r>
      <w:r w:rsidRPr="00A3063C">
        <w:rPr>
          <w:rFonts w:ascii="Arial" w:hAnsi="Arial" w:cs="Arial"/>
          <w:i/>
          <w:iCs/>
          <w:sz w:val="20"/>
          <w:szCs w:val="20"/>
        </w:rPr>
        <w:t>26</w:t>
      </w:r>
      <w:r w:rsidRPr="00A3063C">
        <w:rPr>
          <w:rFonts w:ascii="Arial" w:hAnsi="Arial" w:cs="Arial"/>
          <w:sz w:val="20"/>
          <w:szCs w:val="20"/>
        </w:rPr>
        <w:t>(10), 1170-1184</w:t>
      </w:r>
    </w:p>
    <w:p w14:paraId="529E8DDC" w14:textId="27B51AA6" w:rsidR="007E05BE" w:rsidRPr="00A3063C" w:rsidRDefault="00810C20" w:rsidP="007E05BE">
      <w:pPr>
        <w:spacing w:before="200" w:after="0" w:line="240" w:lineRule="auto"/>
        <w:jc w:val="both"/>
        <w:rPr>
          <w:rFonts w:ascii="Arial" w:hAnsi="Arial" w:cs="Arial"/>
          <w:sz w:val="20"/>
          <w:szCs w:val="20"/>
        </w:rPr>
      </w:pPr>
      <w:r w:rsidRPr="00A3063C">
        <w:rPr>
          <w:rFonts w:ascii="Arial" w:hAnsi="Arial" w:cs="Arial"/>
          <w:sz w:val="20"/>
          <w:szCs w:val="20"/>
        </w:rPr>
        <w:t>Krause, T., Collen, W. and Nicholas, K.A., 2013. Evaluating safeguards in a conservation incentive program: participation, consent, and benefit sharing in indigenous communities of the Ecuadorian Amazon. </w:t>
      </w:r>
      <w:r w:rsidRPr="00A3063C">
        <w:rPr>
          <w:rFonts w:ascii="Arial" w:hAnsi="Arial" w:cs="Arial"/>
          <w:i/>
          <w:iCs/>
          <w:sz w:val="20"/>
          <w:szCs w:val="20"/>
        </w:rPr>
        <w:t>Ecology and Society</w:t>
      </w:r>
      <w:r w:rsidRPr="00A3063C">
        <w:rPr>
          <w:rFonts w:ascii="Arial" w:hAnsi="Arial" w:cs="Arial"/>
          <w:sz w:val="20"/>
          <w:szCs w:val="20"/>
        </w:rPr>
        <w:t> </w:t>
      </w:r>
      <w:r w:rsidRPr="00A3063C">
        <w:rPr>
          <w:rFonts w:ascii="Arial" w:hAnsi="Arial" w:cs="Arial"/>
          <w:bCs/>
          <w:sz w:val="20"/>
          <w:szCs w:val="20"/>
        </w:rPr>
        <w:t>18</w:t>
      </w:r>
      <w:r w:rsidRPr="00A3063C">
        <w:rPr>
          <w:rFonts w:ascii="Arial" w:hAnsi="Arial" w:cs="Arial"/>
          <w:sz w:val="20"/>
          <w:szCs w:val="20"/>
        </w:rPr>
        <w:t>(4): 1</w:t>
      </w:r>
    </w:p>
    <w:p w14:paraId="797439CD" w14:textId="1451F1D8" w:rsidR="00D57F72" w:rsidRPr="00A3063C" w:rsidRDefault="00D57F72" w:rsidP="00D57F72">
      <w:pPr>
        <w:autoSpaceDE w:val="0"/>
        <w:autoSpaceDN w:val="0"/>
        <w:adjustRightInd w:val="0"/>
        <w:spacing w:before="200" w:after="0" w:line="240" w:lineRule="auto"/>
        <w:rPr>
          <w:rFonts w:ascii="Arial" w:hAnsi="Arial"/>
          <w:sz w:val="20"/>
          <w:szCs w:val="20"/>
        </w:rPr>
      </w:pPr>
      <w:proofErr w:type="spellStart"/>
      <w:r w:rsidRPr="00A3063C">
        <w:rPr>
          <w:rFonts w:ascii="Arial" w:hAnsi="Arial"/>
          <w:bCs/>
          <w:sz w:val="20"/>
          <w:szCs w:val="20"/>
        </w:rPr>
        <w:t>Jusi</w:t>
      </w:r>
      <w:proofErr w:type="spellEnd"/>
      <w:r w:rsidRPr="00A3063C">
        <w:rPr>
          <w:rFonts w:ascii="Arial" w:hAnsi="Arial"/>
          <w:bCs/>
          <w:sz w:val="20"/>
          <w:szCs w:val="20"/>
        </w:rPr>
        <w:t xml:space="preserve">. S. 2010. Hydropower and sustainable development: a case study of Lao PDR. </w:t>
      </w:r>
      <w:r w:rsidRPr="00A3063C">
        <w:rPr>
          <w:rFonts w:ascii="Arial" w:hAnsi="Arial"/>
          <w:sz w:val="20"/>
          <w:szCs w:val="20"/>
        </w:rPr>
        <w:t xml:space="preserve">WIT Transactions on Ecology and the Environment, Vol 131 </w:t>
      </w:r>
    </w:p>
    <w:p w14:paraId="4F9AFF7F" w14:textId="6DD6A1A1" w:rsidR="00D52F11" w:rsidRPr="00633A71" w:rsidRDefault="00D52F11" w:rsidP="007E05BE">
      <w:pPr>
        <w:spacing w:before="200" w:after="0" w:line="240" w:lineRule="auto"/>
        <w:jc w:val="both"/>
        <w:rPr>
          <w:rFonts w:ascii="Arial" w:hAnsi="Arial"/>
          <w:sz w:val="20"/>
          <w:lang w:val="sv-SE"/>
        </w:rPr>
      </w:pPr>
      <w:proofErr w:type="spellStart"/>
      <w:r w:rsidRPr="0038043D">
        <w:rPr>
          <w:rFonts w:ascii="Arial" w:hAnsi="Arial" w:cs="Arial"/>
          <w:sz w:val="20"/>
          <w:szCs w:val="20"/>
        </w:rPr>
        <w:t>Lerman</w:t>
      </w:r>
      <w:proofErr w:type="spellEnd"/>
      <w:r w:rsidRPr="0038043D">
        <w:rPr>
          <w:rFonts w:ascii="Arial" w:hAnsi="Arial" w:cs="Arial"/>
          <w:sz w:val="20"/>
          <w:szCs w:val="20"/>
        </w:rPr>
        <w:t xml:space="preserve">, P., 2014. </w:t>
      </w:r>
      <w:r w:rsidRPr="0038043D">
        <w:rPr>
          <w:rFonts w:ascii="Arial" w:hAnsi="Arial"/>
          <w:sz w:val="20"/>
          <w:lang w:val="sv-SE"/>
        </w:rPr>
        <w:t>Kapitel 3: Kompensation för kulturmiljöintresse [Chapter 3: Compensation for cultural environmental interests]. In: Danielson, B., Lerman, P., Nordblad, J., Rönn, M., Swedberg, S., Grahn Danielson, B., Rönn, N., Swedberg, S. (Eds.), Kulturarv i samhällsplaneringen −Kompensation av kulturmiljövärden. Rio Kulturlandska</w:t>
      </w:r>
      <w:r w:rsidRPr="00632DBC">
        <w:rPr>
          <w:rFonts w:ascii="Arial" w:hAnsi="Arial"/>
          <w:sz w:val="20"/>
          <w:lang w:val="sv-SE"/>
        </w:rPr>
        <w:t xml:space="preserve">pet and KTH/Arkitektur, Stockholm, pp. 39–82, Retrieved 5 October, 2016, from </w:t>
      </w:r>
      <w:r w:rsidR="00CA0F09">
        <w:fldChar w:fldCharType="begin"/>
      </w:r>
      <w:r w:rsidR="00CA0F09">
        <w:instrText xml:space="preserve"> HYPERLINK "http://www.kulturland.se/wp-%20content/uploads/2014/12/Kompensation%20low.pdf" </w:instrText>
      </w:r>
      <w:r w:rsidR="00CA0F09">
        <w:fldChar w:fldCharType="separate"/>
      </w:r>
      <w:r w:rsidRPr="00632DBC">
        <w:rPr>
          <w:rStyle w:val="Hyperlink"/>
          <w:rFonts w:ascii="Arial" w:hAnsi="Arial"/>
          <w:color w:val="auto"/>
          <w:sz w:val="20"/>
          <w:lang w:val="sv-SE"/>
        </w:rPr>
        <w:t>http://www.kulturland.se/wp- content/uploads/2014/12/Kompensation low.pdf</w:t>
      </w:r>
      <w:r w:rsidR="00CA0F09">
        <w:rPr>
          <w:rStyle w:val="Hyperlink"/>
          <w:rFonts w:ascii="Arial" w:hAnsi="Arial"/>
          <w:color w:val="auto"/>
          <w:sz w:val="20"/>
          <w:lang w:val="sv-SE"/>
        </w:rPr>
        <w:fldChar w:fldCharType="end"/>
      </w:r>
    </w:p>
    <w:p w14:paraId="28D94E12" w14:textId="77777777" w:rsidR="007E05BE" w:rsidRPr="00633A71" w:rsidRDefault="007E05BE" w:rsidP="007E05BE">
      <w:pPr>
        <w:spacing w:before="200" w:line="240" w:lineRule="auto"/>
        <w:rPr>
          <w:rFonts w:ascii="Arial" w:hAnsi="Arial" w:cs="Arial"/>
          <w:sz w:val="20"/>
          <w:szCs w:val="20"/>
        </w:rPr>
      </w:pPr>
      <w:r w:rsidRPr="00633A71">
        <w:rPr>
          <w:rFonts w:ascii="Arial" w:hAnsi="Arial"/>
          <w:sz w:val="20"/>
          <w:lang w:val="sv-SE"/>
        </w:rPr>
        <w:t xml:space="preserve">Libert, A., Ituarte-Lima, C., Elmqvist, T., </w:t>
      </w:r>
      <w:r w:rsidRPr="00002536">
        <w:rPr>
          <w:rFonts w:ascii="Arial" w:hAnsi="Arial"/>
          <w:i/>
          <w:sz w:val="20"/>
          <w:lang w:val="sv-SE"/>
        </w:rPr>
        <w:t>in press.</w:t>
      </w:r>
      <w:r w:rsidRPr="00633A71">
        <w:rPr>
          <w:rFonts w:ascii="Arial" w:hAnsi="Arial"/>
          <w:sz w:val="20"/>
          <w:lang w:val="sv-SE"/>
        </w:rPr>
        <w:t xml:space="preserve"> </w:t>
      </w:r>
      <w:r w:rsidRPr="00633A71">
        <w:rPr>
          <w:rFonts w:ascii="Arial" w:hAnsi="Arial" w:cs="Arial"/>
          <w:sz w:val="20"/>
          <w:szCs w:val="20"/>
        </w:rPr>
        <w:t>Learning from social-ecological crisis for legal resilience building: multilevel dynamics in the coffee rust epidemic.</w:t>
      </w:r>
    </w:p>
    <w:p w14:paraId="3394C827" w14:textId="57D6AB10" w:rsidR="007E05BE" w:rsidRPr="00504B5E" w:rsidRDefault="007E05BE" w:rsidP="007E05BE">
      <w:pPr>
        <w:rPr>
          <w:rFonts w:ascii="Arial" w:hAnsi="Arial"/>
          <w:sz w:val="20"/>
          <w:lang w:val="es-MX"/>
        </w:rPr>
      </w:pPr>
      <w:proofErr w:type="spellStart"/>
      <w:r w:rsidRPr="00504B5E">
        <w:rPr>
          <w:rFonts w:ascii="Arial" w:hAnsi="Arial"/>
          <w:sz w:val="20"/>
          <w:lang w:val="es-MX"/>
        </w:rPr>
        <w:t>Libert-Amico</w:t>
      </w:r>
      <w:proofErr w:type="spellEnd"/>
      <w:r w:rsidRPr="00504B5E">
        <w:rPr>
          <w:rFonts w:ascii="Arial" w:hAnsi="Arial"/>
          <w:sz w:val="20"/>
          <w:lang w:val="es-MX"/>
        </w:rPr>
        <w:t>, A., Wong</w:t>
      </w:r>
      <w:r w:rsidR="00D3758E">
        <w:rPr>
          <w:rFonts w:ascii="Arial" w:hAnsi="Arial"/>
          <w:sz w:val="20"/>
          <w:lang w:val="es-MX"/>
        </w:rPr>
        <w:t>-</w:t>
      </w:r>
      <w:r w:rsidRPr="00504B5E">
        <w:rPr>
          <w:rFonts w:ascii="Arial" w:hAnsi="Arial"/>
          <w:sz w:val="20"/>
          <w:lang w:val="es-MX"/>
        </w:rPr>
        <w:t xml:space="preserve">González, J. </w:t>
      </w:r>
      <w:r w:rsidR="00D3758E">
        <w:rPr>
          <w:rFonts w:ascii="Arial" w:hAnsi="Arial"/>
          <w:sz w:val="20"/>
          <w:lang w:val="es-MX"/>
        </w:rPr>
        <w:t>and</w:t>
      </w:r>
      <w:r w:rsidR="00D3758E" w:rsidRPr="00504B5E">
        <w:rPr>
          <w:rFonts w:ascii="Arial" w:hAnsi="Arial"/>
          <w:sz w:val="20"/>
          <w:lang w:val="es-MX"/>
        </w:rPr>
        <w:t xml:space="preserve"> </w:t>
      </w:r>
      <w:r w:rsidRPr="00504B5E">
        <w:rPr>
          <w:rFonts w:ascii="Arial" w:hAnsi="Arial"/>
          <w:sz w:val="20"/>
          <w:lang w:val="es-MX"/>
        </w:rPr>
        <w:t xml:space="preserve">Paz </w:t>
      </w:r>
      <w:proofErr w:type="spellStart"/>
      <w:r w:rsidRPr="00504B5E">
        <w:rPr>
          <w:rFonts w:ascii="Arial" w:hAnsi="Arial"/>
          <w:sz w:val="20"/>
          <w:lang w:val="es-MX"/>
        </w:rPr>
        <w:t>Pellat</w:t>
      </w:r>
      <w:proofErr w:type="spellEnd"/>
      <w:r w:rsidRPr="00504B5E">
        <w:rPr>
          <w:rFonts w:ascii="Arial" w:hAnsi="Arial"/>
          <w:sz w:val="20"/>
          <w:lang w:val="es-MX"/>
        </w:rPr>
        <w:t>, F.</w:t>
      </w:r>
      <w:r w:rsidR="00D3758E">
        <w:rPr>
          <w:rFonts w:ascii="Arial" w:hAnsi="Arial"/>
          <w:sz w:val="20"/>
          <w:lang w:val="es-MX"/>
        </w:rPr>
        <w:t>,</w:t>
      </w:r>
      <w:r w:rsidRPr="00504B5E">
        <w:rPr>
          <w:rFonts w:ascii="Arial" w:hAnsi="Arial"/>
          <w:sz w:val="20"/>
          <w:lang w:val="es-MX"/>
        </w:rPr>
        <w:t xml:space="preserve"> 2017. Impacto de la roya del cafeto en los almacenes de carbono en la Sierra Madre de Chiapas. In: Paz, F. y R. Torres (eds.). </w:t>
      </w:r>
      <w:r w:rsidRPr="00504B5E">
        <w:rPr>
          <w:rFonts w:ascii="Arial" w:hAnsi="Arial"/>
          <w:i/>
          <w:sz w:val="20"/>
          <w:lang w:val="es-MX"/>
        </w:rPr>
        <w:t>Estado Actual del Conocimiento del Ciclo del Carbono y sus Interacciones en México: Síntesis a 2016</w:t>
      </w:r>
      <w:r w:rsidRPr="00504B5E">
        <w:rPr>
          <w:rFonts w:ascii="Arial" w:hAnsi="Arial"/>
          <w:sz w:val="20"/>
          <w:lang w:val="es-MX"/>
        </w:rPr>
        <w:t xml:space="preserve">. Programa Mexicano del Carbono and Universidad Autónoma del Estado de Hidalgo, Texcoco. </w:t>
      </w:r>
      <w:proofErr w:type="spellStart"/>
      <w:r w:rsidRPr="00504B5E">
        <w:rPr>
          <w:rFonts w:ascii="Arial" w:hAnsi="Arial"/>
          <w:sz w:val="20"/>
          <w:lang w:val="es-MX"/>
        </w:rPr>
        <w:t>pp</w:t>
      </w:r>
      <w:proofErr w:type="spellEnd"/>
      <w:r w:rsidRPr="00504B5E">
        <w:rPr>
          <w:rFonts w:ascii="Arial" w:hAnsi="Arial"/>
          <w:sz w:val="20"/>
          <w:lang w:val="es-MX"/>
        </w:rPr>
        <w:t xml:space="preserve"> 219-225.</w:t>
      </w:r>
    </w:p>
    <w:p w14:paraId="28B2939D" w14:textId="4F70D6A7" w:rsidR="007E05BE" w:rsidRPr="00A3063C" w:rsidRDefault="007E05BE" w:rsidP="007E05BE">
      <w:pPr>
        <w:rPr>
          <w:rFonts w:ascii="Arial" w:hAnsi="Arial"/>
          <w:sz w:val="20"/>
          <w:lang w:val="es-MX"/>
        </w:rPr>
      </w:pPr>
      <w:proofErr w:type="spellStart"/>
      <w:r w:rsidRPr="00504B5E">
        <w:rPr>
          <w:rFonts w:ascii="Arial" w:hAnsi="Arial"/>
          <w:sz w:val="20"/>
          <w:lang w:val="es-MX"/>
        </w:rPr>
        <w:t>Libert</w:t>
      </w:r>
      <w:proofErr w:type="spellEnd"/>
      <w:r w:rsidRPr="00504B5E">
        <w:rPr>
          <w:rFonts w:ascii="Arial" w:hAnsi="Arial"/>
          <w:sz w:val="20"/>
          <w:lang w:val="es-MX"/>
        </w:rPr>
        <w:t xml:space="preserve"> </w:t>
      </w:r>
      <w:proofErr w:type="spellStart"/>
      <w:r w:rsidRPr="00504B5E">
        <w:rPr>
          <w:rFonts w:ascii="Arial" w:hAnsi="Arial"/>
          <w:sz w:val="20"/>
          <w:lang w:val="es-MX"/>
        </w:rPr>
        <w:t>Amico</w:t>
      </w:r>
      <w:proofErr w:type="spellEnd"/>
      <w:r w:rsidRPr="00504B5E">
        <w:rPr>
          <w:rFonts w:ascii="Arial" w:hAnsi="Arial"/>
          <w:sz w:val="20"/>
          <w:lang w:val="es-MX"/>
        </w:rPr>
        <w:t>, A.</w:t>
      </w:r>
      <w:r w:rsidR="00883AA3">
        <w:rPr>
          <w:rFonts w:ascii="Arial" w:hAnsi="Arial"/>
          <w:sz w:val="20"/>
          <w:lang w:val="es-MX"/>
        </w:rPr>
        <w:t>,</w:t>
      </w:r>
      <w:r w:rsidRPr="00504B5E">
        <w:rPr>
          <w:rFonts w:ascii="Arial" w:hAnsi="Arial"/>
          <w:sz w:val="20"/>
          <w:lang w:val="es-MX"/>
        </w:rPr>
        <w:t xml:space="preserve"> 2017. </w:t>
      </w:r>
      <w:r w:rsidRPr="00504B5E">
        <w:rPr>
          <w:rFonts w:ascii="Arial" w:hAnsi="Arial"/>
          <w:i/>
          <w:sz w:val="20"/>
          <w:lang w:val="es-MX"/>
        </w:rPr>
        <w:t>La preparación ante un futuro incierto. Respuestas al cambio climá</w:t>
      </w:r>
      <w:r w:rsidRPr="00A3063C">
        <w:rPr>
          <w:rFonts w:ascii="Arial" w:hAnsi="Arial"/>
          <w:i/>
          <w:sz w:val="20"/>
          <w:lang w:val="es-MX"/>
        </w:rPr>
        <w:t>tico en la Sierra Madre de Chiapas, México</w:t>
      </w:r>
      <w:r w:rsidRPr="00A3063C">
        <w:rPr>
          <w:rFonts w:ascii="Arial" w:hAnsi="Arial"/>
          <w:sz w:val="20"/>
          <w:lang w:val="es-MX"/>
        </w:rPr>
        <w:t xml:space="preserve">. PhD </w:t>
      </w:r>
      <w:proofErr w:type="spellStart"/>
      <w:r w:rsidRPr="00A3063C">
        <w:rPr>
          <w:rFonts w:ascii="Arial" w:hAnsi="Arial"/>
          <w:sz w:val="20"/>
          <w:lang w:val="es-MX"/>
        </w:rPr>
        <w:t>Thesis</w:t>
      </w:r>
      <w:proofErr w:type="spellEnd"/>
      <w:r w:rsidRPr="00A3063C">
        <w:rPr>
          <w:rFonts w:ascii="Arial" w:hAnsi="Arial"/>
          <w:sz w:val="20"/>
          <w:lang w:val="es-MX"/>
        </w:rPr>
        <w:t>, Universidad Autónoma Metropolitana, unidad Xochimilco.</w:t>
      </w:r>
    </w:p>
    <w:p w14:paraId="4D98C39E" w14:textId="65D5B571" w:rsidR="00810C20" w:rsidRPr="00504B5E" w:rsidRDefault="00810C20" w:rsidP="007E05BE">
      <w:pPr>
        <w:rPr>
          <w:rFonts w:ascii="Arial" w:hAnsi="Arial" w:cs="Arial"/>
          <w:sz w:val="20"/>
          <w:szCs w:val="20"/>
        </w:rPr>
      </w:pPr>
      <w:proofErr w:type="spellStart"/>
      <w:r w:rsidRPr="00A3063C">
        <w:rPr>
          <w:rFonts w:ascii="Arial" w:hAnsi="Arial"/>
          <w:sz w:val="20"/>
          <w:lang w:val="es-MX"/>
        </w:rPr>
        <w:t>Mäler</w:t>
      </w:r>
      <w:proofErr w:type="spellEnd"/>
      <w:r w:rsidRPr="00A3063C">
        <w:rPr>
          <w:rFonts w:ascii="Arial" w:hAnsi="Arial"/>
          <w:sz w:val="20"/>
          <w:lang w:val="es-MX"/>
        </w:rPr>
        <w:t xml:space="preserve">, K.-G., 2008. </w:t>
      </w:r>
      <w:r w:rsidRPr="00633A71">
        <w:rPr>
          <w:rFonts w:ascii="Arial" w:hAnsi="Arial" w:cs="Arial"/>
          <w:sz w:val="20"/>
          <w:szCs w:val="20"/>
        </w:rPr>
        <w:t xml:space="preserve">Sustainable development and resilience in ecosystems. </w:t>
      </w:r>
      <w:r w:rsidRPr="00633A71">
        <w:rPr>
          <w:rFonts w:ascii="Arial" w:hAnsi="Arial" w:cs="Arial"/>
          <w:i/>
          <w:sz w:val="20"/>
          <w:szCs w:val="20"/>
        </w:rPr>
        <w:t>Environmental and Resource Economics</w:t>
      </w:r>
      <w:r w:rsidRPr="00504B5E">
        <w:rPr>
          <w:rFonts w:ascii="Arial" w:hAnsi="Arial" w:cs="Arial"/>
          <w:sz w:val="20"/>
          <w:szCs w:val="20"/>
        </w:rPr>
        <w:t xml:space="preserve"> 39 (1), pp. 17–24</w:t>
      </w:r>
    </w:p>
    <w:p w14:paraId="78956461" w14:textId="616D67B7" w:rsidR="00810C20" w:rsidRPr="00504B5E" w:rsidRDefault="00810C20" w:rsidP="00810C20">
      <w:pPr>
        <w:spacing w:before="200" w:after="0" w:line="240" w:lineRule="auto"/>
        <w:jc w:val="both"/>
        <w:rPr>
          <w:rFonts w:ascii="Arial" w:hAnsi="Arial" w:cs="Arial"/>
          <w:sz w:val="20"/>
          <w:szCs w:val="20"/>
        </w:rPr>
      </w:pPr>
      <w:r w:rsidRPr="00083908">
        <w:rPr>
          <w:rFonts w:ascii="Arial" w:hAnsi="Arial" w:cs="Arial"/>
          <w:sz w:val="20"/>
          <w:szCs w:val="20"/>
        </w:rPr>
        <w:t xml:space="preserve">McDermott, C., Coad, L., </w:t>
      </w:r>
      <w:proofErr w:type="spellStart"/>
      <w:r w:rsidRPr="00083908">
        <w:rPr>
          <w:rFonts w:ascii="Arial" w:hAnsi="Arial" w:cs="Arial"/>
          <w:sz w:val="20"/>
          <w:szCs w:val="20"/>
        </w:rPr>
        <w:t>Helfgott</w:t>
      </w:r>
      <w:proofErr w:type="spellEnd"/>
      <w:r w:rsidRPr="00083908">
        <w:rPr>
          <w:rFonts w:ascii="Arial" w:hAnsi="Arial" w:cs="Arial"/>
          <w:sz w:val="20"/>
          <w:szCs w:val="20"/>
        </w:rPr>
        <w:t xml:space="preserve">, A., Schroeder, H., 2012. </w:t>
      </w:r>
      <w:r w:rsidRPr="00504B5E">
        <w:rPr>
          <w:rFonts w:ascii="Arial" w:hAnsi="Arial" w:cs="Arial"/>
          <w:sz w:val="20"/>
          <w:szCs w:val="20"/>
        </w:rPr>
        <w:t xml:space="preserve">Operationalizing social safeguards in REDD +: Actors, interests and ideas. </w:t>
      </w:r>
      <w:r w:rsidRPr="00504B5E">
        <w:rPr>
          <w:rFonts w:ascii="Arial" w:hAnsi="Arial" w:cs="Arial"/>
          <w:i/>
          <w:sz w:val="20"/>
          <w:szCs w:val="20"/>
        </w:rPr>
        <w:t>Environmental Science and Policy</w:t>
      </w:r>
      <w:r w:rsidRPr="00504B5E">
        <w:rPr>
          <w:rFonts w:ascii="Arial" w:hAnsi="Arial" w:cs="Arial"/>
          <w:sz w:val="20"/>
          <w:szCs w:val="20"/>
        </w:rPr>
        <w:t xml:space="preserve"> 21, pp. 63-72</w:t>
      </w:r>
    </w:p>
    <w:p w14:paraId="1638D13B" w14:textId="77777777" w:rsidR="00810C20" w:rsidRPr="00A3063C"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McDermott, M., </w:t>
      </w:r>
      <w:proofErr w:type="spellStart"/>
      <w:r w:rsidRPr="00504B5E">
        <w:rPr>
          <w:rFonts w:ascii="Arial" w:hAnsi="Arial" w:cs="Arial"/>
          <w:sz w:val="20"/>
          <w:szCs w:val="20"/>
        </w:rPr>
        <w:t>Mahanty</w:t>
      </w:r>
      <w:proofErr w:type="spellEnd"/>
      <w:r w:rsidRPr="00504B5E">
        <w:rPr>
          <w:rFonts w:ascii="Arial" w:hAnsi="Arial" w:cs="Arial"/>
          <w:sz w:val="20"/>
          <w:szCs w:val="20"/>
        </w:rPr>
        <w:t xml:space="preserve">, S. and </w:t>
      </w:r>
      <w:proofErr w:type="spellStart"/>
      <w:r w:rsidRPr="00504B5E">
        <w:rPr>
          <w:rFonts w:ascii="Arial" w:hAnsi="Arial" w:cs="Arial"/>
          <w:sz w:val="20"/>
          <w:szCs w:val="20"/>
        </w:rPr>
        <w:t>Schreckenberg</w:t>
      </w:r>
      <w:proofErr w:type="spellEnd"/>
      <w:r w:rsidRPr="00504B5E">
        <w:rPr>
          <w:rFonts w:ascii="Arial" w:hAnsi="Arial" w:cs="Arial"/>
          <w:sz w:val="20"/>
          <w:szCs w:val="20"/>
        </w:rPr>
        <w:t>, K., 2013. Examining equity: A framework fo</w:t>
      </w:r>
      <w:r w:rsidRPr="00A3063C">
        <w:rPr>
          <w:rFonts w:ascii="Arial" w:hAnsi="Arial" w:cs="Arial"/>
          <w:sz w:val="20"/>
          <w:szCs w:val="20"/>
        </w:rPr>
        <w:t xml:space="preserve">r evaluating equity in payments for ecosystem services. </w:t>
      </w:r>
      <w:r w:rsidRPr="00A3063C">
        <w:rPr>
          <w:rFonts w:ascii="Arial" w:hAnsi="Arial" w:cs="Arial"/>
          <w:i/>
          <w:sz w:val="20"/>
          <w:szCs w:val="20"/>
        </w:rPr>
        <w:t>Environmental Science and Policy</w:t>
      </w:r>
      <w:r w:rsidRPr="00A3063C">
        <w:rPr>
          <w:rFonts w:ascii="Arial" w:hAnsi="Arial" w:cs="Arial"/>
          <w:sz w:val="20"/>
          <w:szCs w:val="20"/>
        </w:rPr>
        <w:t xml:space="preserve"> 33, pp.416-427</w:t>
      </w:r>
    </w:p>
    <w:p w14:paraId="1CBF7ECE" w14:textId="3D30CEB1" w:rsidR="00810C20" w:rsidRPr="00A3063C" w:rsidRDefault="00810C20" w:rsidP="00810C20">
      <w:pPr>
        <w:spacing w:before="200" w:after="0" w:line="240" w:lineRule="auto"/>
        <w:jc w:val="both"/>
        <w:rPr>
          <w:rFonts w:ascii="Arial" w:hAnsi="Arial" w:cs="Arial"/>
          <w:sz w:val="20"/>
          <w:szCs w:val="20"/>
        </w:rPr>
      </w:pPr>
      <w:r w:rsidRPr="00A3063C">
        <w:rPr>
          <w:rFonts w:ascii="Arial" w:hAnsi="Arial" w:cs="Arial"/>
          <w:sz w:val="20"/>
          <w:szCs w:val="20"/>
        </w:rPr>
        <w:t>Millennium Ecosystem Assessment (MA), 2005</w:t>
      </w:r>
      <w:r w:rsidR="00883AA3">
        <w:rPr>
          <w:rFonts w:ascii="Arial" w:hAnsi="Arial" w:cs="Arial"/>
          <w:sz w:val="20"/>
          <w:szCs w:val="20"/>
        </w:rPr>
        <w:t>.</w:t>
      </w:r>
      <w:r w:rsidRPr="00A3063C">
        <w:rPr>
          <w:rFonts w:ascii="Arial" w:hAnsi="Arial" w:cs="Arial"/>
          <w:sz w:val="20"/>
          <w:szCs w:val="20"/>
        </w:rPr>
        <w:t xml:space="preserve"> Ecosystems and Human Well-being: Biodiversity Synthesis, </w:t>
      </w:r>
      <w:r w:rsidRPr="00A3063C">
        <w:rPr>
          <w:rFonts w:ascii="Arial" w:hAnsi="Arial" w:cs="Arial"/>
          <w:i/>
          <w:sz w:val="20"/>
          <w:szCs w:val="20"/>
        </w:rPr>
        <w:t>World Resources Institute</w:t>
      </w:r>
      <w:r w:rsidRPr="00A3063C">
        <w:rPr>
          <w:rFonts w:ascii="Arial" w:hAnsi="Arial" w:cs="Arial"/>
          <w:sz w:val="20"/>
          <w:szCs w:val="20"/>
        </w:rPr>
        <w:t>, Washington, DC</w:t>
      </w:r>
    </w:p>
    <w:p w14:paraId="79706B6A" w14:textId="147635C5" w:rsidR="00810C20" w:rsidRPr="00504B5E" w:rsidRDefault="00810C20" w:rsidP="00810C20">
      <w:pPr>
        <w:spacing w:before="200" w:after="0" w:line="240" w:lineRule="auto"/>
        <w:jc w:val="both"/>
        <w:rPr>
          <w:rFonts w:ascii="Arial" w:hAnsi="Arial" w:cs="Arial"/>
          <w:sz w:val="20"/>
          <w:szCs w:val="20"/>
        </w:rPr>
      </w:pPr>
      <w:r w:rsidRPr="00A3063C">
        <w:rPr>
          <w:rFonts w:ascii="Arial" w:hAnsi="Arial"/>
          <w:sz w:val="20"/>
          <w:lang w:val="es-MX"/>
        </w:rPr>
        <w:lastRenderedPageBreak/>
        <w:t xml:space="preserve">Muñoz-Piña, C., Guevara, A., Torres, J. and Braña, J., 2018. </w:t>
      </w:r>
      <w:r w:rsidRPr="00633A71">
        <w:rPr>
          <w:rFonts w:ascii="Arial" w:hAnsi="Arial" w:cs="Arial"/>
          <w:sz w:val="20"/>
          <w:szCs w:val="20"/>
        </w:rPr>
        <w:t xml:space="preserve">Paying for the Hydrological Services of Mexico’s Forests: Analysis, Negotiations and Results. </w:t>
      </w:r>
      <w:r w:rsidRPr="00633A71">
        <w:rPr>
          <w:rFonts w:ascii="Arial" w:hAnsi="Arial" w:cs="Arial"/>
          <w:i/>
          <w:sz w:val="20"/>
          <w:szCs w:val="20"/>
        </w:rPr>
        <w:t>Ecological Economics</w:t>
      </w:r>
      <w:r w:rsidRPr="00633A71">
        <w:rPr>
          <w:rFonts w:ascii="Arial" w:hAnsi="Arial" w:cs="Arial"/>
          <w:sz w:val="20"/>
          <w:szCs w:val="20"/>
        </w:rPr>
        <w:t xml:space="preserve"> 65, pp. 725–736</w:t>
      </w:r>
    </w:p>
    <w:p w14:paraId="68D5C5C1" w14:textId="1E1991B0"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Nigel, D. and Parish, J., 2006. Closing the Gap. Creating Ecologically Representative Protected Area Systems: A Guide to Conducting the Gap Assessments of Protected Area Systems for the Convention on Biological Diversity. </w:t>
      </w:r>
      <w:r w:rsidRPr="00504B5E">
        <w:rPr>
          <w:rFonts w:ascii="Arial" w:hAnsi="Arial" w:cs="Arial"/>
          <w:i/>
          <w:sz w:val="20"/>
          <w:szCs w:val="20"/>
        </w:rPr>
        <w:t>Secretariat of the Convention on Biological Diversity, Montreal,</w:t>
      </w:r>
      <w:r w:rsidRPr="00504B5E">
        <w:rPr>
          <w:rFonts w:ascii="Arial" w:hAnsi="Arial" w:cs="Arial"/>
          <w:sz w:val="20"/>
          <w:szCs w:val="20"/>
        </w:rPr>
        <w:t xml:space="preserve"> Technical Series no. 24 (6), pp. 108. Available at: </w:t>
      </w:r>
      <w:hyperlink r:id="rId46" w:history="1">
        <w:r w:rsidRPr="00632DBC">
          <w:rPr>
            <w:rStyle w:val="Hyperlink"/>
            <w:rFonts w:ascii="Arial" w:hAnsi="Arial" w:cs="Arial"/>
            <w:color w:val="auto"/>
            <w:sz w:val="20"/>
            <w:szCs w:val="20"/>
          </w:rPr>
          <w:t>http://www.cbd.int/doc/publications/cbd-ts-24.pdf</w:t>
        </w:r>
      </w:hyperlink>
      <w:r w:rsidRPr="00633A71">
        <w:rPr>
          <w:rFonts w:ascii="Arial" w:hAnsi="Arial" w:cs="Arial"/>
          <w:sz w:val="20"/>
          <w:szCs w:val="20"/>
        </w:rPr>
        <w:t xml:space="preserve"> Accessed 21st May 2014 </w:t>
      </w:r>
    </w:p>
    <w:p w14:paraId="6C106DE1"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NPPF Department for Communities and Local Government, 2012. Nation</w:t>
      </w:r>
      <w:r w:rsidRPr="00504B5E">
        <w:rPr>
          <w:rFonts w:ascii="Arial" w:hAnsi="Arial" w:cs="Arial"/>
          <w:sz w:val="20"/>
          <w:szCs w:val="20"/>
        </w:rPr>
        <w:t xml:space="preserve">al Planning Policy Framework. Available at: </w:t>
      </w:r>
      <w:hyperlink r:id="rId47" w:history="1">
        <w:r w:rsidRPr="00632DBC">
          <w:rPr>
            <w:rStyle w:val="Hyperlink"/>
            <w:rFonts w:ascii="Arial" w:hAnsi="Arial" w:cs="Arial"/>
            <w:color w:val="auto"/>
            <w:sz w:val="20"/>
            <w:szCs w:val="20"/>
          </w:rPr>
          <w:t>https://www.gov.uk/government/uploads/system/uploads/attachment_data/file/6077/2116950.pdf</w:t>
        </w:r>
      </w:hyperlink>
      <w:r w:rsidRPr="00633A71">
        <w:rPr>
          <w:rFonts w:ascii="Arial" w:hAnsi="Arial" w:cs="Arial"/>
          <w:sz w:val="20"/>
          <w:szCs w:val="20"/>
        </w:rPr>
        <w:t xml:space="preserve"> Accessed 1st October 2012</w:t>
      </w:r>
    </w:p>
    <w:p w14:paraId="4D5438BD"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OECD, 1972. </w:t>
      </w:r>
      <w:r w:rsidRPr="00504B5E">
        <w:rPr>
          <w:rFonts w:ascii="Arial" w:hAnsi="Arial" w:cs="Arial"/>
          <w:i/>
          <w:sz w:val="20"/>
          <w:szCs w:val="20"/>
        </w:rPr>
        <w:t>Guiding Principles Concerning the International Economic Aspects of Environmental Policy</w:t>
      </w:r>
      <w:r w:rsidRPr="00504B5E">
        <w:rPr>
          <w:rFonts w:ascii="Arial" w:hAnsi="Arial" w:cs="Arial"/>
          <w:sz w:val="20"/>
          <w:szCs w:val="20"/>
        </w:rPr>
        <w:t xml:space="preserve"> (adopted by the Council on 26 May 1972) Available at: </w:t>
      </w:r>
      <w:hyperlink r:id="rId48" w:history="1">
        <w:r w:rsidRPr="00632DBC">
          <w:rPr>
            <w:rStyle w:val="Hyperlink"/>
            <w:rFonts w:ascii="Arial" w:hAnsi="Arial" w:cs="Arial"/>
            <w:color w:val="auto"/>
            <w:sz w:val="20"/>
            <w:szCs w:val="20"/>
          </w:rPr>
          <w:t>www.ciesin.org/docs/008-574/008-574.html</w:t>
        </w:r>
      </w:hyperlink>
      <w:r w:rsidRPr="00633A71">
        <w:rPr>
          <w:rFonts w:ascii="Arial" w:hAnsi="Arial" w:cs="Arial"/>
          <w:sz w:val="20"/>
          <w:szCs w:val="20"/>
        </w:rPr>
        <w:t xml:space="preserve"> Accessed 4th August 2012</w:t>
      </w:r>
    </w:p>
    <w:p w14:paraId="331188FF"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OECD, 2005. </w:t>
      </w:r>
      <w:r w:rsidRPr="00504B5E">
        <w:rPr>
          <w:rFonts w:ascii="Arial" w:hAnsi="Arial" w:cs="Arial"/>
          <w:iCs/>
          <w:sz w:val="20"/>
          <w:szCs w:val="20"/>
        </w:rPr>
        <w:t xml:space="preserve">Environmental Fiscal Reform for Poverty Reduction, </w:t>
      </w:r>
      <w:r w:rsidRPr="00504B5E">
        <w:rPr>
          <w:rFonts w:ascii="Arial" w:hAnsi="Arial" w:cs="Arial"/>
          <w:sz w:val="20"/>
          <w:szCs w:val="20"/>
        </w:rPr>
        <w:t xml:space="preserve">DAC Guidelines and Reference Series Available at: </w:t>
      </w:r>
      <w:hyperlink r:id="rId49" w:history="1">
        <w:r w:rsidRPr="00632DBC">
          <w:rPr>
            <w:rStyle w:val="Hyperlink"/>
            <w:rFonts w:ascii="Arial" w:hAnsi="Arial" w:cs="Arial"/>
            <w:color w:val="auto"/>
            <w:sz w:val="20"/>
            <w:szCs w:val="20"/>
          </w:rPr>
          <w:t>http://www.oecd.org/greengrowth/green-development/34996292.pdf</w:t>
        </w:r>
      </w:hyperlink>
      <w:r w:rsidRPr="00633A71">
        <w:rPr>
          <w:rFonts w:ascii="Arial" w:hAnsi="Arial" w:cs="Arial"/>
          <w:sz w:val="20"/>
          <w:szCs w:val="20"/>
        </w:rPr>
        <w:t xml:space="preserve"> Accessed 12th November 2012</w:t>
      </w:r>
    </w:p>
    <w:p w14:paraId="42C16C6A"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OECD, 2013. Scaling-Up Finance Mechanisms for Biodiversity. OECD Publishing. </w:t>
      </w:r>
      <w:proofErr w:type="spellStart"/>
      <w:r w:rsidRPr="00633A71">
        <w:rPr>
          <w:rFonts w:ascii="Arial" w:hAnsi="Arial" w:cs="Arial"/>
          <w:sz w:val="20"/>
          <w:szCs w:val="20"/>
        </w:rPr>
        <w:t>Avalaible</w:t>
      </w:r>
      <w:proofErr w:type="spellEnd"/>
      <w:r w:rsidRPr="00633A71">
        <w:rPr>
          <w:rFonts w:ascii="Arial" w:hAnsi="Arial" w:cs="Arial"/>
          <w:sz w:val="20"/>
          <w:szCs w:val="20"/>
        </w:rPr>
        <w:t xml:space="preserve"> at: </w:t>
      </w:r>
      <w:hyperlink r:id="rId50" w:tgtFrame="_blank" w:tooltip="10.1787/9789264193833-en" w:history="1">
        <w:r w:rsidRPr="00632DBC">
          <w:rPr>
            <w:rStyle w:val="Hyperlink"/>
            <w:rFonts w:ascii="Arial" w:hAnsi="Arial" w:cs="Arial"/>
            <w:color w:val="auto"/>
            <w:sz w:val="20"/>
            <w:szCs w:val="20"/>
          </w:rPr>
          <w:t>10.1787/9789264193833-en</w:t>
        </w:r>
      </w:hyperlink>
      <w:r w:rsidRPr="00633A71">
        <w:rPr>
          <w:rFonts w:ascii="Arial" w:hAnsi="Arial" w:cs="Arial"/>
          <w:sz w:val="20"/>
          <w:szCs w:val="20"/>
        </w:rPr>
        <w:t xml:space="preserve"> Accessed 09</w:t>
      </w:r>
      <w:r w:rsidRPr="00633A71">
        <w:rPr>
          <w:rFonts w:ascii="Arial" w:hAnsi="Arial" w:cs="Arial"/>
          <w:sz w:val="20"/>
          <w:szCs w:val="20"/>
          <w:vertAlign w:val="superscript"/>
        </w:rPr>
        <w:t>th</w:t>
      </w:r>
      <w:r w:rsidRPr="00633A71">
        <w:rPr>
          <w:rFonts w:ascii="Arial" w:hAnsi="Arial" w:cs="Arial"/>
          <w:sz w:val="20"/>
          <w:szCs w:val="20"/>
        </w:rPr>
        <w:t xml:space="preserve"> June 2014</w:t>
      </w:r>
    </w:p>
    <w:p w14:paraId="479BF67D" w14:textId="77777777" w:rsidR="00025D80" w:rsidRPr="00633A71" w:rsidRDefault="00810C20" w:rsidP="00025D80">
      <w:pPr>
        <w:spacing w:before="200" w:after="0" w:line="240" w:lineRule="auto"/>
        <w:jc w:val="both"/>
        <w:rPr>
          <w:rFonts w:ascii="Arial" w:hAnsi="Arial"/>
          <w:sz w:val="20"/>
          <w:lang w:val="es-MX"/>
        </w:rPr>
      </w:pPr>
      <w:r w:rsidRPr="00504B5E">
        <w:rPr>
          <w:rFonts w:ascii="Arial" w:hAnsi="Arial"/>
          <w:sz w:val="20"/>
          <w:lang w:val="es-MX"/>
        </w:rPr>
        <w:t xml:space="preserve">Órgano de difusión del Foro de los Recursos Hídricos (Chimborazo) y la Mesa Provincial de Ambiente de Chimborazo, 2009 </w:t>
      </w:r>
      <w:r w:rsidRPr="00504B5E">
        <w:rPr>
          <w:rFonts w:ascii="Arial" w:hAnsi="Arial"/>
          <w:i/>
          <w:sz w:val="20"/>
          <w:lang w:val="es-MX"/>
        </w:rPr>
        <w:t>Compensación de Servicios Ambientales: Iniciativas y Experiencias</w:t>
      </w:r>
      <w:r w:rsidRPr="00504B5E">
        <w:rPr>
          <w:rFonts w:ascii="Arial" w:hAnsi="Arial"/>
          <w:sz w:val="20"/>
          <w:lang w:val="es-MX"/>
        </w:rPr>
        <w:t xml:space="preserve"> </w:t>
      </w:r>
      <w:proofErr w:type="spellStart"/>
      <w:r w:rsidRPr="00504B5E">
        <w:rPr>
          <w:rFonts w:ascii="Arial" w:hAnsi="Arial"/>
          <w:sz w:val="20"/>
          <w:lang w:val="es-MX"/>
        </w:rPr>
        <w:t>Available</w:t>
      </w:r>
      <w:proofErr w:type="spellEnd"/>
      <w:r w:rsidRPr="00504B5E">
        <w:rPr>
          <w:rFonts w:ascii="Arial" w:hAnsi="Arial"/>
          <w:sz w:val="20"/>
          <w:lang w:val="es-MX"/>
        </w:rPr>
        <w:t xml:space="preserve"> at: </w:t>
      </w:r>
      <w:hyperlink r:id="rId51" w:history="1">
        <w:r w:rsidRPr="00632DBC">
          <w:rPr>
            <w:rStyle w:val="Hyperlink"/>
            <w:rFonts w:ascii="Arial" w:hAnsi="Arial"/>
            <w:color w:val="auto"/>
            <w:sz w:val="20"/>
            <w:lang w:val="es-MX"/>
          </w:rPr>
          <w:t>http://www.agruco.org/bioandes/pdf/FORO4.pdf</w:t>
        </w:r>
      </w:hyperlink>
      <w:r w:rsidRPr="00633A71">
        <w:rPr>
          <w:rFonts w:ascii="Arial" w:hAnsi="Arial"/>
          <w:sz w:val="20"/>
          <w:lang w:val="es-MX"/>
        </w:rPr>
        <w:t xml:space="preserve"> </w:t>
      </w:r>
      <w:proofErr w:type="spellStart"/>
      <w:r w:rsidRPr="00633A71">
        <w:rPr>
          <w:rFonts w:ascii="Arial" w:hAnsi="Arial"/>
          <w:sz w:val="20"/>
          <w:lang w:val="es-MX"/>
        </w:rPr>
        <w:t>Accessed</w:t>
      </w:r>
      <w:proofErr w:type="spellEnd"/>
      <w:r w:rsidRPr="00633A71">
        <w:rPr>
          <w:rFonts w:ascii="Arial" w:hAnsi="Arial"/>
          <w:sz w:val="20"/>
          <w:lang w:val="es-MX"/>
        </w:rPr>
        <w:t xml:space="preserve"> 24th </w:t>
      </w:r>
      <w:proofErr w:type="spellStart"/>
      <w:r w:rsidRPr="00633A71">
        <w:rPr>
          <w:rFonts w:ascii="Arial" w:hAnsi="Arial"/>
          <w:sz w:val="20"/>
          <w:lang w:val="es-MX"/>
        </w:rPr>
        <w:t>September</w:t>
      </w:r>
      <w:proofErr w:type="spellEnd"/>
      <w:r w:rsidRPr="00633A71">
        <w:rPr>
          <w:rFonts w:ascii="Arial" w:hAnsi="Arial"/>
          <w:sz w:val="20"/>
          <w:lang w:val="es-MX"/>
        </w:rPr>
        <w:t xml:space="preserve"> 2012.</w:t>
      </w:r>
    </w:p>
    <w:p w14:paraId="46E671B0" w14:textId="1E897615" w:rsidR="00025D80" w:rsidRPr="00633A71" w:rsidRDefault="00025D80" w:rsidP="00025D80">
      <w:pPr>
        <w:spacing w:before="200" w:after="0" w:line="240" w:lineRule="auto"/>
        <w:jc w:val="both"/>
        <w:rPr>
          <w:rFonts w:ascii="Arial" w:eastAsiaTheme="minorEastAsia" w:hAnsi="Arial" w:cs="Arial"/>
          <w:sz w:val="20"/>
          <w:szCs w:val="20"/>
          <w:lang w:eastAsia="sv-SE" w:bidi="ar-SA"/>
        </w:rPr>
      </w:pPr>
      <w:proofErr w:type="spellStart"/>
      <w:r w:rsidRPr="00002536">
        <w:rPr>
          <w:rFonts w:ascii="Arial" w:eastAsiaTheme="minorEastAsia" w:hAnsi="Arial"/>
          <w:sz w:val="20"/>
          <w:lang w:val="en-US"/>
        </w:rPr>
        <w:t>Osano</w:t>
      </w:r>
      <w:proofErr w:type="spellEnd"/>
      <w:r w:rsidRPr="00002536">
        <w:rPr>
          <w:rFonts w:ascii="Arial" w:eastAsiaTheme="minorEastAsia" w:hAnsi="Arial"/>
          <w:sz w:val="20"/>
          <w:lang w:val="en-US"/>
        </w:rPr>
        <w:t xml:space="preserve">, P., Said, M., de Leeuw, J., </w:t>
      </w:r>
      <w:proofErr w:type="spellStart"/>
      <w:r w:rsidRPr="00002536">
        <w:rPr>
          <w:rFonts w:ascii="Arial" w:eastAsiaTheme="minorEastAsia" w:hAnsi="Arial"/>
          <w:sz w:val="20"/>
          <w:lang w:val="en-US"/>
        </w:rPr>
        <w:t>Ndiwa</w:t>
      </w:r>
      <w:proofErr w:type="spellEnd"/>
      <w:r w:rsidRPr="00002536">
        <w:rPr>
          <w:rFonts w:ascii="Arial" w:eastAsiaTheme="minorEastAsia" w:hAnsi="Arial"/>
          <w:sz w:val="20"/>
          <w:lang w:val="en-US"/>
        </w:rPr>
        <w:t xml:space="preserve">, N., </w:t>
      </w:r>
      <w:proofErr w:type="spellStart"/>
      <w:r w:rsidRPr="00002536">
        <w:rPr>
          <w:rFonts w:ascii="Arial" w:eastAsiaTheme="minorEastAsia" w:hAnsi="Arial"/>
          <w:sz w:val="20"/>
          <w:lang w:val="en-US"/>
        </w:rPr>
        <w:t>Kaelo</w:t>
      </w:r>
      <w:proofErr w:type="spellEnd"/>
      <w:r w:rsidRPr="00002536">
        <w:rPr>
          <w:rFonts w:ascii="Arial" w:eastAsiaTheme="minorEastAsia" w:hAnsi="Arial"/>
          <w:sz w:val="20"/>
          <w:lang w:val="en-US"/>
        </w:rPr>
        <w:t xml:space="preserve">, D., </w:t>
      </w:r>
      <w:proofErr w:type="spellStart"/>
      <w:r w:rsidRPr="00002536">
        <w:rPr>
          <w:rFonts w:ascii="Arial" w:eastAsiaTheme="minorEastAsia" w:hAnsi="Arial"/>
          <w:sz w:val="20"/>
          <w:lang w:val="en-US"/>
        </w:rPr>
        <w:t>Schomers</w:t>
      </w:r>
      <w:proofErr w:type="spellEnd"/>
      <w:r w:rsidRPr="00002536">
        <w:rPr>
          <w:rFonts w:ascii="Arial" w:eastAsiaTheme="minorEastAsia" w:hAnsi="Arial"/>
          <w:sz w:val="20"/>
          <w:lang w:val="en-US"/>
        </w:rPr>
        <w:t xml:space="preserve">, S., </w:t>
      </w:r>
      <w:proofErr w:type="spellStart"/>
      <w:r w:rsidRPr="00002536">
        <w:rPr>
          <w:rFonts w:ascii="Arial" w:eastAsiaTheme="minorEastAsia" w:hAnsi="Arial"/>
          <w:sz w:val="20"/>
          <w:lang w:val="en-US"/>
        </w:rPr>
        <w:t>Birner</w:t>
      </w:r>
      <w:proofErr w:type="spellEnd"/>
      <w:r w:rsidRPr="00002536">
        <w:rPr>
          <w:rFonts w:ascii="Arial" w:eastAsiaTheme="minorEastAsia" w:hAnsi="Arial"/>
          <w:sz w:val="20"/>
          <w:lang w:val="en-US"/>
        </w:rPr>
        <w:t xml:space="preserve">, R., </w:t>
      </w:r>
      <w:proofErr w:type="spellStart"/>
      <w:r w:rsidRPr="00002536">
        <w:rPr>
          <w:rFonts w:ascii="Arial" w:eastAsiaTheme="minorEastAsia" w:hAnsi="Arial"/>
          <w:sz w:val="20"/>
          <w:lang w:val="en-US"/>
        </w:rPr>
        <w:t>Ogutu</w:t>
      </w:r>
      <w:proofErr w:type="spellEnd"/>
      <w:r w:rsidRPr="00002536">
        <w:rPr>
          <w:rFonts w:ascii="Arial" w:eastAsiaTheme="minorEastAsia" w:hAnsi="Arial"/>
          <w:sz w:val="20"/>
          <w:lang w:val="en-US"/>
        </w:rPr>
        <w:t>, J.</w:t>
      </w:r>
      <w:proofErr w:type="gramStart"/>
      <w:r w:rsidR="00E56268" w:rsidRPr="00002536">
        <w:rPr>
          <w:rFonts w:ascii="Arial" w:eastAsiaTheme="minorEastAsia" w:hAnsi="Arial"/>
          <w:sz w:val="20"/>
          <w:lang w:val="en-US"/>
        </w:rPr>
        <w:t>,</w:t>
      </w:r>
      <w:r w:rsidRPr="00002536">
        <w:rPr>
          <w:rFonts w:ascii="Arial" w:eastAsiaTheme="minorEastAsia" w:hAnsi="Arial"/>
          <w:sz w:val="20"/>
          <w:lang w:val="en-US"/>
        </w:rPr>
        <w:t xml:space="preserve">  2013</w:t>
      </w:r>
      <w:proofErr w:type="gramEnd"/>
      <w:r w:rsidRPr="00002536">
        <w:rPr>
          <w:rFonts w:ascii="Arial" w:eastAsiaTheme="minorEastAsia" w:hAnsi="Arial"/>
          <w:sz w:val="20"/>
          <w:lang w:val="en-US"/>
        </w:rPr>
        <w:t xml:space="preserve">. </w:t>
      </w:r>
      <w:r w:rsidRPr="00632DBC">
        <w:rPr>
          <w:rFonts w:ascii="Arial" w:hAnsi="Arial" w:cs="Arial"/>
          <w:bCs/>
          <w:sz w:val="20"/>
          <w:szCs w:val="20"/>
        </w:rPr>
        <w:t xml:space="preserve">Why keep lions instead of livestock? Assessing wildlife tourism-based payment for ecosystem services involving herders in the </w:t>
      </w:r>
      <w:proofErr w:type="spellStart"/>
      <w:r w:rsidRPr="00632DBC">
        <w:rPr>
          <w:rFonts w:ascii="Arial" w:hAnsi="Arial" w:cs="Arial"/>
          <w:bCs/>
          <w:sz w:val="20"/>
          <w:szCs w:val="20"/>
        </w:rPr>
        <w:t>Maasai</w:t>
      </w:r>
      <w:proofErr w:type="spellEnd"/>
      <w:r w:rsidRPr="00632DBC">
        <w:rPr>
          <w:rFonts w:ascii="Arial" w:hAnsi="Arial" w:cs="Arial"/>
          <w:bCs/>
          <w:sz w:val="20"/>
          <w:szCs w:val="20"/>
        </w:rPr>
        <w:t xml:space="preserve"> Mara, Kenya. </w:t>
      </w:r>
      <w:r w:rsidRPr="00633A71">
        <w:rPr>
          <w:rFonts w:ascii="Arial" w:eastAsiaTheme="minorEastAsia" w:hAnsi="Arial" w:cs="Arial"/>
          <w:sz w:val="20"/>
          <w:szCs w:val="20"/>
          <w:lang w:eastAsia="sv-SE" w:bidi="ar-SA"/>
        </w:rPr>
        <w:t>Natural Resources Forum 37(4), 242–256.</w:t>
      </w:r>
    </w:p>
    <w:p w14:paraId="057A955B" w14:textId="72360C8C" w:rsidR="00025D80" w:rsidRPr="00633A71" w:rsidRDefault="00025D80" w:rsidP="00025D80">
      <w:pPr>
        <w:spacing w:before="200" w:after="0" w:line="240" w:lineRule="auto"/>
        <w:jc w:val="both"/>
        <w:rPr>
          <w:rFonts w:ascii="Arial" w:eastAsiaTheme="minorEastAsia" w:hAnsi="Arial"/>
          <w:sz w:val="20"/>
          <w:lang w:val="es-MX"/>
        </w:rPr>
      </w:pPr>
      <w:proofErr w:type="spellStart"/>
      <w:r w:rsidRPr="00633A71">
        <w:rPr>
          <w:rFonts w:ascii="Arial" w:eastAsiaTheme="minorEastAsia" w:hAnsi="Arial" w:cs="Arial"/>
          <w:sz w:val="20"/>
          <w:szCs w:val="20"/>
          <w:lang w:eastAsia="sv-SE" w:bidi="ar-SA"/>
        </w:rPr>
        <w:t>Osano</w:t>
      </w:r>
      <w:proofErr w:type="spellEnd"/>
      <w:r w:rsidRPr="00633A71">
        <w:rPr>
          <w:rFonts w:ascii="Arial" w:eastAsiaTheme="minorEastAsia" w:hAnsi="Arial" w:cs="Arial"/>
          <w:sz w:val="20"/>
          <w:szCs w:val="20"/>
          <w:lang w:eastAsia="sv-SE" w:bidi="ar-SA"/>
        </w:rPr>
        <w:t xml:space="preserve"> P.., Said M.</w:t>
      </w:r>
      <w:r w:rsidRPr="00083908">
        <w:rPr>
          <w:rFonts w:ascii="Arial" w:eastAsiaTheme="minorEastAsia" w:hAnsi="Arial" w:cs="Arial"/>
          <w:sz w:val="20"/>
          <w:szCs w:val="20"/>
          <w:lang w:eastAsia="sv-SE" w:bidi="ar-SA"/>
        </w:rPr>
        <w:t xml:space="preserve">, de Leeuw J., </w:t>
      </w:r>
      <w:proofErr w:type="spellStart"/>
      <w:r w:rsidRPr="00083908">
        <w:rPr>
          <w:rFonts w:ascii="Arial" w:eastAsiaTheme="minorEastAsia" w:hAnsi="Arial" w:cs="Arial"/>
          <w:sz w:val="20"/>
          <w:szCs w:val="20"/>
          <w:lang w:eastAsia="sv-SE" w:bidi="ar-SA"/>
        </w:rPr>
        <w:t>Moiko</w:t>
      </w:r>
      <w:proofErr w:type="spellEnd"/>
      <w:r w:rsidRPr="00083908">
        <w:rPr>
          <w:rFonts w:ascii="Arial" w:eastAsiaTheme="minorEastAsia" w:hAnsi="Arial" w:cs="Arial"/>
          <w:sz w:val="20"/>
          <w:szCs w:val="20"/>
          <w:lang w:eastAsia="sv-SE" w:bidi="ar-SA"/>
        </w:rPr>
        <w:t xml:space="preserve"> S.</w:t>
      </w:r>
      <w:r w:rsidRPr="00633A71">
        <w:rPr>
          <w:rFonts w:ascii="Arial" w:eastAsiaTheme="minorEastAsia" w:hAnsi="Arial" w:cs="Arial"/>
          <w:sz w:val="20"/>
          <w:szCs w:val="20"/>
          <w:lang w:eastAsia="sv-SE" w:bidi="ar-SA"/>
        </w:rPr>
        <w:t xml:space="preserve">, </w:t>
      </w:r>
      <w:proofErr w:type="spellStart"/>
      <w:r w:rsidRPr="00633A71">
        <w:rPr>
          <w:rFonts w:ascii="Arial" w:eastAsiaTheme="minorEastAsia" w:hAnsi="Arial" w:cs="Arial"/>
          <w:sz w:val="20"/>
          <w:szCs w:val="20"/>
          <w:lang w:eastAsia="sv-SE" w:bidi="ar-SA"/>
        </w:rPr>
        <w:t>Kaelo</w:t>
      </w:r>
      <w:proofErr w:type="spellEnd"/>
      <w:r w:rsidRPr="00633A71">
        <w:rPr>
          <w:rFonts w:ascii="Arial" w:eastAsiaTheme="minorEastAsia" w:hAnsi="Arial" w:cs="Arial"/>
          <w:sz w:val="20"/>
          <w:szCs w:val="20"/>
          <w:lang w:eastAsia="sv-SE" w:bidi="ar-SA"/>
        </w:rPr>
        <w:t xml:space="preserve"> D. O., </w:t>
      </w:r>
      <w:proofErr w:type="spellStart"/>
      <w:r w:rsidRPr="00633A71">
        <w:rPr>
          <w:rFonts w:ascii="Arial" w:eastAsiaTheme="minorEastAsia" w:hAnsi="Arial" w:cs="Arial"/>
          <w:sz w:val="20"/>
          <w:szCs w:val="20"/>
          <w:lang w:eastAsia="sv-SE" w:bidi="ar-SA"/>
        </w:rPr>
        <w:t>Schomers</w:t>
      </w:r>
      <w:proofErr w:type="spellEnd"/>
      <w:r w:rsidRPr="00633A71">
        <w:rPr>
          <w:rFonts w:ascii="Arial" w:eastAsiaTheme="minorEastAsia" w:hAnsi="Arial" w:cs="Arial"/>
          <w:sz w:val="20"/>
          <w:szCs w:val="20"/>
          <w:lang w:eastAsia="sv-SE" w:bidi="ar-SA"/>
        </w:rPr>
        <w:t xml:space="preserve">, S., </w:t>
      </w:r>
      <w:proofErr w:type="spellStart"/>
      <w:r w:rsidRPr="00504B5E">
        <w:rPr>
          <w:rFonts w:ascii="Arial" w:eastAsiaTheme="minorEastAsia" w:hAnsi="Arial" w:cs="Arial"/>
          <w:sz w:val="20"/>
          <w:szCs w:val="20"/>
          <w:lang w:eastAsia="sv-SE" w:bidi="ar-SA"/>
        </w:rPr>
        <w:t>Birner</w:t>
      </w:r>
      <w:proofErr w:type="spellEnd"/>
      <w:r w:rsidRPr="00504B5E">
        <w:rPr>
          <w:rFonts w:ascii="Arial" w:eastAsiaTheme="minorEastAsia" w:hAnsi="Arial" w:cs="Arial"/>
          <w:sz w:val="20"/>
          <w:szCs w:val="20"/>
          <w:lang w:eastAsia="sv-SE" w:bidi="ar-SA"/>
        </w:rPr>
        <w:t xml:space="preserve"> R. and </w:t>
      </w:r>
      <w:proofErr w:type="spellStart"/>
      <w:r w:rsidRPr="00504B5E">
        <w:rPr>
          <w:rFonts w:ascii="Arial" w:eastAsiaTheme="minorEastAsia" w:hAnsi="Arial" w:cs="Arial"/>
          <w:sz w:val="20"/>
          <w:szCs w:val="20"/>
          <w:lang w:eastAsia="sv-SE" w:bidi="ar-SA"/>
        </w:rPr>
        <w:t>Ogutu</w:t>
      </w:r>
      <w:proofErr w:type="spellEnd"/>
      <w:r w:rsidRPr="00504B5E">
        <w:rPr>
          <w:rFonts w:ascii="Arial" w:eastAsiaTheme="minorEastAsia" w:hAnsi="Arial" w:cs="Arial"/>
          <w:sz w:val="20"/>
          <w:szCs w:val="20"/>
          <w:lang w:eastAsia="sv-SE" w:bidi="ar-SA"/>
        </w:rPr>
        <w:t xml:space="preserve"> J.</w:t>
      </w:r>
      <w:r w:rsidR="00E56268">
        <w:rPr>
          <w:rFonts w:ascii="Arial" w:eastAsiaTheme="minorEastAsia" w:hAnsi="Arial" w:cs="Arial"/>
          <w:sz w:val="20"/>
          <w:szCs w:val="20"/>
          <w:lang w:eastAsia="sv-SE" w:bidi="ar-SA"/>
        </w:rPr>
        <w:t>,</w:t>
      </w:r>
      <w:r w:rsidRPr="00504B5E">
        <w:rPr>
          <w:rFonts w:ascii="Arial" w:eastAsiaTheme="minorEastAsia" w:hAnsi="Arial" w:cs="Arial"/>
          <w:sz w:val="20"/>
          <w:szCs w:val="20"/>
          <w:lang w:eastAsia="sv-SE" w:bidi="ar-SA"/>
        </w:rPr>
        <w:t xml:space="preserve"> 2013. Pastoralism and ecosystem-based adaptation in Kenyan </w:t>
      </w:r>
      <w:proofErr w:type="spellStart"/>
      <w:r w:rsidRPr="00504B5E">
        <w:rPr>
          <w:rFonts w:ascii="Arial" w:eastAsiaTheme="minorEastAsia" w:hAnsi="Arial" w:cs="Arial"/>
          <w:sz w:val="20"/>
          <w:szCs w:val="20"/>
          <w:lang w:eastAsia="sv-SE" w:bidi="ar-SA"/>
        </w:rPr>
        <w:t>Masailand</w:t>
      </w:r>
      <w:proofErr w:type="spellEnd"/>
      <w:r w:rsidRPr="00504B5E">
        <w:rPr>
          <w:rFonts w:ascii="Arial" w:eastAsiaTheme="minorEastAsia" w:hAnsi="Arial" w:cs="Arial"/>
          <w:sz w:val="20"/>
          <w:szCs w:val="20"/>
          <w:lang w:eastAsia="sv-SE" w:bidi="ar-SA"/>
        </w:rPr>
        <w:t xml:space="preserve"> International Journal of Climate Change Strategies and Management Vol. 5 No. 2, pp. 198-214. </w:t>
      </w:r>
      <w:proofErr w:type="spellStart"/>
      <w:r w:rsidRPr="00504B5E">
        <w:rPr>
          <w:rFonts w:ascii="Arial" w:eastAsiaTheme="minorEastAsia" w:hAnsi="Arial"/>
          <w:sz w:val="20"/>
          <w:lang w:val="es-MX"/>
        </w:rPr>
        <w:t>Available</w:t>
      </w:r>
      <w:proofErr w:type="spellEnd"/>
      <w:r w:rsidRPr="00504B5E">
        <w:rPr>
          <w:rFonts w:ascii="Arial" w:eastAsiaTheme="minorEastAsia" w:hAnsi="Arial"/>
          <w:sz w:val="20"/>
          <w:lang w:val="es-MX"/>
        </w:rPr>
        <w:t xml:space="preserve"> at: </w:t>
      </w:r>
      <w:hyperlink r:id="rId52" w:history="1">
        <w:r w:rsidRPr="00632DBC">
          <w:rPr>
            <w:rStyle w:val="Hyperlink"/>
            <w:rFonts w:ascii="Arial" w:eastAsiaTheme="minorEastAsia" w:hAnsi="Arial"/>
            <w:color w:val="auto"/>
            <w:sz w:val="20"/>
            <w:lang w:val="es-MX"/>
          </w:rPr>
          <w:t>www.emeraldinsight.com/1756-8692.htm</w:t>
        </w:r>
      </w:hyperlink>
    </w:p>
    <w:p w14:paraId="006B9E45" w14:textId="3BCFD31E" w:rsidR="00810C20" w:rsidRPr="00504B5E" w:rsidRDefault="00810C20" w:rsidP="00810C20">
      <w:pPr>
        <w:spacing w:before="200" w:after="0" w:line="240" w:lineRule="auto"/>
        <w:jc w:val="both"/>
        <w:rPr>
          <w:rFonts w:ascii="Arial" w:hAnsi="Arial"/>
          <w:sz w:val="20"/>
          <w:lang w:val="es-MX"/>
        </w:rPr>
      </w:pPr>
      <w:r w:rsidRPr="00633A71">
        <w:rPr>
          <w:rFonts w:ascii="Arial" w:hAnsi="Arial"/>
          <w:sz w:val="20"/>
          <w:lang w:val="es-MX"/>
        </w:rPr>
        <w:t>Pacheco, D.</w:t>
      </w:r>
      <w:r w:rsidR="00A67802">
        <w:rPr>
          <w:rFonts w:ascii="Arial" w:hAnsi="Arial"/>
          <w:sz w:val="20"/>
          <w:lang w:val="es-MX"/>
        </w:rPr>
        <w:t>,</w:t>
      </w:r>
      <w:r w:rsidRPr="00633A71">
        <w:rPr>
          <w:rFonts w:ascii="Arial" w:hAnsi="Arial"/>
          <w:sz w:val="20"/>
          <w:lang w:val="es-MX"/>
        </w:rPr>
        <w:t xml:space="preserve"> 2003. </w:t>
      </w:r>
      <w:r w:rsidRPr="00504B5E">
        <w:rPr>
          <w:rFonts w:ascii="Arial" w:hAnsi="Arial"/>
          <w:i/>
          <w:sz w:val="20"/>
          <w:lang w:val="es-MX"/>
        </w:rPr>
        <w:t>Vivir Bien en Armonía y Equilibrio con la Madre Tierra: una propuesta para el cambio de las relaciones globales entre los seres humanos y la naturaleza</w:t>
      </w:r>
      <w:r w:rsidRPr="00504B5E">
        <w:rPr>
          <w:rFonts w:ascii="Arial" w:hAnsi="Arial"/>
          <w:sz w:val="20"/>
          <w:lang w:val="es-MX"/>
        </w:rPr>
        <w:t>, Fundación de la Cordillera La Paz.</w:t>
      </w:r>
    </w:p>
    <w:p w14:paraId="3BA37557" w14:textId="1E8C5856"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Parker, C., Cranford, M., Oakes, N., Leggett, M., 2012. </w:t>
      </w:r>
      <w:r w:rsidRPr="00633A71">
        <w:rPr>
          <w:rFonts w:ascii="Arial" w:hAnsi="Arial" w:cs="Arial"/>
          <w:i/>
          <w:sz w:val="20"/>
          <w:szCs w:val="20"/>
        </w:rPr>
        <w:t>The Little Biodiversity Finance Book</w:t>
      </w:r>
      <w:r w:rsidRPr="00633A71">
        <w:rPr>
          <w:rFonts w:ascii="Arial" w:hAnsi="Arial" w:cs="Arial"/>
          <w:sz w:val="20"/>
          <w:szCs w:val="20"/>
        </w:rPr>
        <w:t>, Global Canopy Programme; Oxford, United Kingdom</w:t>
      </w:r>
    </w:p>
    <w:p w14:paraId="08D94DE5" w14:textId="2EE2F7F2" w:rsidR="00810C20" w:rsidRPr="00504B5E" w:rsidRDefault="00810C20" w:rsidP="00810C20">
      <w:pPr>
        <w:spacing w:before="200" w:after="0" w:line="240" w:lineRule="auto"/>
        <w:jc w:val="both"/>
        <w:rPr>
          <w:rFonts w:ascii="Arial" w:hAnsi="Arial" w:cs="Arial"/>
          <w:sz w:val="20"/>
          <w:szCs w:val="20"/>
        </w:rPr>
      </w:pPr>
      <w:proofErr w:type="spellStart"/>
      <w:r w:rsidRPr="00504B5E">
        <w:rPr>
          <w:rFonts w:ascii="Arial" w:hAnsi="Arial" w:cs="Arial"/>
          <w:sz w:val="20"/>
          <w:szCs w:val="20"/>
        </w:rPr>
        <w:t>Pattanayak</w:t>
      </w:r>
      <w:proofErr w:type="spellEnd"/>
      <w:r w:rsidRPr="00504B5E">
        <w:rPr>
          <w:rFonts w:ascii="Arial" w:hAnsi="Arial" w:cs="Arial"/>
          <w:sz w:val="20"/>
          <w:szCs w:val="20"/>
        </w:rPr>
        <w:t xml:space="preserve">, S. </w:t>
      </w:r>
      <w:proofErr w:type="spellStart"/>
      <w:r w:rsidRPr="00504B5E">
        <w:rPr>
          <w:rFonts w:ascii="Arial" w:hAnsi="Arial" w:cs="Arial"/>
          <w:sz w:val="20"/>
          <w:szCs w:val="20"/>
        </w:rPr>
        <w:t>Wunder</w:t>
      </w:r>
      <w:proofErr w:type="spellEnd"/>
      <w:r w:rsidRPr="00504B5E">
        <w:rPr>
          <w:rFonts w:ascii="Arial" w:hAnsi="Arial" w:cs="Arial"/>
          <w:sz w:val="20"/>
          <w:szCs w:val="20"/>
        </w:rPr>
        <w:t>, S. and Ferraro, P.</w:t>
      </w:r>
      <w:r w:rsidR="00A67802">
        <w:rPr>
          <w:rFonts w:ascii="Arial" w:hAnsi="Arial" w:cs="Arial"/>
          <w:sz w:val="20"/>
          <w:szCs w:val="20"/>
        </w:rPr>
        <w:t>,</w:t>
      </w:r>
      <w:r w:rsidRPr="00504B5E">
        <w:rPr>
          <w:rFonts w:ascii="Arial" w:hAnsi="Arial" w:cs="Arial"/>
          <w:sz w:val="20"/>
          <w:szCs w:val="20"/>
        </w:rPr>
        <w:t xml:space="preserve"> 2010. Show Me the Money: Do Payments Supply Environmental Services in Developing Countries? </w:t>
      </w:r>
      <w:r w:rsidRPr="00504B5E">
        <w:rPr>
          <w:rFonts w:ascii="Arial" w:hAnsi="Arial" w:cs="Arial"/>
          <w:i/>
          <w:sz w:val="20"/>
          <w:szCs w:val="20"/>
        </w:rPr>
        <w:t>Review of Environmental Economics and Policy</w:t>
      </w:r>
      <w:r w:rsidRPr="00504B5E">
        <w:rPr>
          <w:rFonts w:ascii="Arial" w:hAnsi="Arial" w:cs="Arial"/>
          <w:sz w:val="20"/>
          <w:szCs w:val="20"/>
        </w:rPr>
        <w:t xml:space="preserve"> 4(2), pp. 254-274</w:t>
      </w:r>
    </w:p>
    <w:p w14:paraId="0E8040CE" w14:textId="649C3AE8" w:rsidR="0078527A" w:rsidRPr="00633A71" w:rsidRDefault="0078527A" w:rsidP="0078527A">
      <w:pPr>
        <w:autoSpaceDE w:val="0"/>
        <w:autoSpaceDN w:val="0"/>
        <w:adjustRightInd w:val="0"/>
        <w:spacing w:before="200" w:after="0" w:line="240" w:lineRule="auto"/>
        <w:rPr>
          <w:rFonts w:ascii="Arial" w:hAnsi="Arial"/>
          <w:sz w:val="20"/>
          <w:szCs w:val="20"/>
        </w:rPr>
      </w:pPr>
      <w:r w:rsidRPr="00504B5E">
        <w:rPr>
          <w:rFonts w:ascii="Arial" w:hAnsi="Arial"/>
          <w:iCs/>
          <w:sz w:val="20"/>
          <w:szCs w:val="20"/>
        </w:rPr>
        <w:t>Poverty</w:t>
      </w:r>
      <w:r w:rsidRPr="00A3063C">
        <w:rPr>
          <w:rFonts w:ascii="Palatino Linotype" w:hAnsi="Palatino Linotype" w:cs="Palatino Linotype"/>
          <w:iCs/>
          <w:sz w:val="20"/>
          <w:szCs w:val="20"/>
        </w:rPr>
        <w:t>‐</w:t>
      </w:r>
      <w:r w:rsidRPr="00A3063C">
        <w:rPr>
          <w:rFonts w:ascii="Arial" w:hAnsi="Arial"/>
          <w:iCs/>
          <w:sz w:val="20"/>
          <w:szCs w:val="20"/>
        </w:rPr>
        <w:t>Environment Initiative (PEI) Lao PDR.</w:t>
      </w:r>
      <w:r w:rsidR="00A67802">
        <w:rPr>
          <w:rFonts w:ascii="Arial" w:hAnsi="Arial"/>
          <w:iCs/>
          <w:sz w:val="20"/>
          <w:szCs w:val="20"/>
        </w:rPr>
        <w:t>,</w:t>
      </w:r>
      <w:r w:rsidRPr="00A3063C">
        <w:rPr>
          <w:rFonts w:ascii="Arial" w:hAnsi="Arial"/>
          <w:iCs/>
          <w:sz w:val="20"/>
          <w:szCs w:val="20"/>
        </w:rPr>
        <w:t xml:space="preserve"> 2010.</w:t>
      </w:r>
      <w:r w:rsidRPr="00A3063C">
        <w:rPr>
          <w:rFonts w:ascii="Arial" w:hAnsi="Arial"/>
          <w:bCs/>
          <w:iCs/>
          <w:sz w:val="20"/>
          <w:szCs w:val="20"/>
        </w:rPr>
        <w:t xml:space="preserve"> Economic, social and environmental impacts of investments in plantations. </w:t>
      </w:r>
      <w:r w:rsidRPr="00A3063C">
        <w:rPr>
          <w:rFonts w:ascii="Arial" w:hAnsi="Arial"/>
          <w:iCs/>
          <w:sz w:val="20"/>
          <w:szCs w:val="20"/>
        </w:rPr>
        <w:t xml:space="preserve">Issues Brief 04. </w:t>
      </w:r>
      <w:r w:rsidRPr="00A3063C">
        <w:rPr>
          <w:rFonts w:ascii="Arial" w:hAnsi="Arial"/>
          <w:sz w:val="20"/>
          <w:szCs w:val="20"/>
        </w:rPr>
        <w:t xml:space="preserve">Available at: </w:t>
      </w:r>
      <w:hyperlink r:id="rId53" w:history="1">
        <w:r w:rsidRPr="00632DBC">
          <w:rPr>
            <w:rStyle w:val="Hyperlink"/>
            <w:rFonts w:ascii="Arial" w:hAnsi="Arial"/>
            <w:color w:val="auto"/>
            <w:sz w:val="20"/>
            <w:szCs w:val="20"/>
          </w:rPr>
          <w:t>http://www.unpei.org/sites/default/files/dmdocuments/PEI%20brief%2004_2010_Plantations_english_d.pdf</w:t>
        </w:r>
      </w:hyperlink>
      <w:r w:rsidRPr="00633A71">
        <w:rPr>
          <w:rFonts w:ascii="Arial" w:hAnsi="Arial"/>
          <w:sz w:val="20"/>
          <w:szCs w:val="20"/>
        </w:rPr>
        <w:t xml:space="preserve"> Accessed 10th September 2017</w:t>
      </w:r>
    </w:p>
    <w:p w14:paraId="138E0D7B"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Perrot-</w:t>
      </w:r>
      <w:proofErr w:type="spellStart"/>
      <w:r w:rsidRPr="00633A71">
        <w:rPr>
          <w:rFonts w:ascii="Arial" w:hAnsi="Arial" w:cs="Arial"/>
          <w:sz w:val="20"/>
          <w:szCs w:val="20"/>
        </w:rPr>
        <w:t>Mait</w:t>
      </w:r>
      <w:r w:rsidRPr="00504B5E">
        <w:rPr>
          <w:rFonts w:ascii="Arial" w:hAnsi="Arial" w:cs="Arial"/>
          <w:sz w:val="20"/>
          <w:szCs w:val="20"/>
        </w:rPr>
        <w:t>re</w:t>
      </w:r>
      <w:proofErr w:type="spellEnd"/>
      <w:r w:rsidRPr="00504B5E">
        <w:rPr>
          <w:rFonts w:ascii="Arial" w:hAnsi="Arial" w:cs="Arial"/>
          <w:sz w:val="20"/>
          <w:szCs w:val="20"/>
        </w:rPr>
        <w:t xml:space="preserve">, D., 2006. The Vittel payments for ecosystem services: a “perfect” PES case. </w:t>
      </w:r>
      <w:r w:rsidRPr="00504B5E">
        <w:rPr>
          <w:rFonts w:ascii="Arial" w:hAnsi="Arial" w:cs="Arial"/>
          <w:i/>
          <w:sz w:val="20"/>
          <w:szCs w:val="20"/>
        </w:rPr>
        <w:t>International Institute for Environment and Development</w:t>
      </w:r>
      <w:r w:rsidRPr="00504B5E">
        <w:rPr>
          <w:rFonts w:ascii="Arial" w:hAnsi="Arial" w:cs="Arial"/>
          <w:sz w:val="20"/>
          <w:szCs w:val="20"/>
        </w:rPr>
        <w:t>, London, UK, pp. 1-24</w:t>
      </w:r>
    </w:p>
    <w:p w14:paraId="4BA7DF81" w14:textId="77777777" w:rsidR="00810C20" w:rsidRPr="00A3063C"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Phelps, J., Webb E. L. and Adams, W.M., 2012. Biodiversity co-benefits of policies to reduce forest-carbon emissions. </w:t>
      </w:r>
      <w:r w:rsidRPr="00504B5E">
        <w:rPr>
          <w:rFonts w:ascii="Arial" w:hAnsi="Arial" w:cs="Arial"/>
          <w:i/>
          <w:sz w:val="20"/>
          <w:szCs w:val="20"/>
        </w:rPr>
        <w:t>Nature Climate Change</w:t>
      </w:r>
      <w:r w:rsidRPr="00A3063C">
        <w:rPr>
          <w:rFonts w:ascii="Arial" w:hAnsi="Arial" w:cs="Arial"/>
          <w:sz w:val="20"/>
          <w:szCs w:val="20"/>
        </w:rPr>
        <w:t xml:space="preserve"> 2, pp. 497–503</w:t>
      </w:r>
    </w:p>
    <w:p w14:paraId="02363E12" w14:textId="77777777" w:rsidR="00810C20" w:rsidRPr="00A3063C" w:rsidRDefault="00810C20" w:rsidP="00810C20">
      <w:pPr>
        <w:spacing w:before="200" w:after="0" w:line="240" w:lineRule="auto"/>
        <w:jc w:val="both"/>
        <w:rPr>
          <w:rFonts w:ascii="Arial" w:hAnsi="Arial" w:cs="Arial"/>
          <w:sz w:val="20"/>
          <w:szCs w:val="20"/>
        </w:rPr>
      </w:pPr>
      <w:r w:rsidRPr="00A3063C">
        <w:rPr>
          <w:rFonts w:ascii="Arial" w:hAnsi="Arial" w:cs="Arial"/>
          <w:sz w:val="20"/>
          <w:szCs w:val="20"/>
        </w:rPr>
        <w:lastRenderedPageBreak/>
        <w:t xml:space="preserve">Pilgrim, J. D., </w:t>
      </w:r>
      <w:proofErr w:type="spellStart"/>
      <w:r w:rsidRPr="00A3063C">
        <w:rPr>
          <w:rFonts w:ascii="Arial" w:hAnsi="Arial" w:cs="Arial"/>
          <w:sz w:val="20"/>
          <w:szCs w:val="20"/>
        </w:rPr>
        <w:t>Brownlie</w:t>
      </w:r>
      <w:proofErr w:type="spellEnd"/>
      <w:r w:rsidRPr="00A3063C">
        <w:rPr>
          <w:rFonts w:ascii="Arial" w:hAnsi="Arial" w:cs="Arial"/>
          <w:sz w:val="20"/>
          <w:szCs w:val="20"/>
        </w:rPr>
        <w:t xml:space="preserve">, S., </w:t>
      </w:r>
      <w:proofErr w:type="spellStart"/>
      <w:r w:rsidRPr="00A3063C">
        <w:rPr>
          <w:rFonts w:ascii="Arial" w:hAnsi="Arial" w:cs="Arial"/>
          <w:sz w:val="20"/>
          <w:szCs w:val="20"/>
        </w:rPr>
        <w:t>Ekstrom</w:t>
      </w:r>
      <w:proofErr w:type="spellEnd"/>
      <w:r w:rsidRPr="00A3063C">
        <w:rPr>
          <w:rFonts w:ascii="Arial" w:hAnsi="Arial" w:cs="Arial"/>
          <w:sz w:val="20"/>
          <w:szCs w:val="20"/>
        </w:rPr>
        <w:t xml:space="preserve">, J. M. M., Gardner, T. A., von </w:t>
      </w:r>
      <w:proofErr w:type="spellStart"/>
      <w:r w:rsidRPr="00A3063C">
        <w:rPr>
          <w:rFonts w:ascii="Arial" w:hAnsi="Arial" w:cs="Arial"/>
          <w:sz w:val="20"/>
          <w:szCs w:val="20"/>
        </w:rPr>
        <w:t>Hase</w:t>
      </w:r>
      <w:proofErr w:type="spellEnd"/>
      <w:r w:rsidRPr="00A3063C">
        <w:rPr>
          <w:rFonts w:ascii="Arial" w:hAnsi="Arial" w:cs="Arial"/>
          <w:sz w:val="20"/>
          <w:szCs w:val="20"/>
        </w:rPr>
        <w:t xml:space="preserve">, A., Kate, K. t., </w:t>
      </w:r>
      <w:proofErr w:type="spellStart"/>
      <w:r w:rsidRPr="00A3063C">
        <w:rPr>
          <w:rFonts w:ascii="Arial" w:hAnsi="Arial" w:cs="Arial"/>
          <w:sz w:val="20"/>
          <w:szCs w:val="20"/>
        </w:rPr>
        <w:t>Savy</w:t>
      </w:r>
      <w:proofErr w:type="spellEnd"/>
      <w:r w:rsidRPr="00A3063C">
        <w:rPr>
          <w:rFonts w:ascii="Arial" w:hAnsi="Arial" w:cs="Arial"/>
          <w:sz w:val="20"/>
          <w:szCs w:val="20"/>
        </w:rPr>
        <w:t xml:space="preserve">, C. E., Stephens, R. T. T., Temple, H. J., </w:t>
      </w:r>
      <w:proofErr w:type="spellStart"/>
      <w:r w:rsidRPr="00A3063C">
        <w:rPr>
          <w:rFonts w:ascii="Arial" w:hAnsi="Arial" w:cs="Arial"/>
          <w:sz w:val="20"/>
          <w:szCs w:val="20"/>
        </w:rPr>
        <w:t>Treweek</w:t>
      </w:r>
      <w:proofErr w:type="spellEnd"/>
      <w:r w:rsidRPr="00A3063C">
        <w:rPr>
          <w:rFonts w:ascii="Arial" w:hAnsi="Arial" w:cs="Arial"/>
          <w:sz w:val="20"/>
          <w:szCs w:val="20"/>
        </w:rPr>
        <w:t xml:space="preserve">, J., Ussher, G. T. and Ward, G., 2013. A process for assessing the </w:t>
      </w:r>
      <w:proofErr w:type="spellStart"/>
      <w:r w:rsidRPr="00A3063C">
        <w:rPr>
          <w:rFonts w:ascii="Arial" w:hAnsi="Arial" w:cs="Arial"/>
          <w:sz w:val="20"/>
          <w:szCs w:val="20"/>
        </w:rPr>
        <w:t>offsetability</w:t>
      </w:r>
      <w:proofErr w:type="spellEnd"/>
      <w:r w:rsidRPr="00A3063C">
        <w:rPr>
          <w:rFonts w:ascii="Arial" w:hAnsi="Arial" w:cs="Arial"/>
          <w:sz w:val="20"/>
          <w:szCs w:val="20"/>
        </w:rPr>
        <w:t xml:space="preserve"> of biodiversity impacts. </w:t>
      </w:r>
      <w:r w:rsidRPr="00A3063C">
        <w:rPr>
          <w:rFonts w:ascii="Arial" w:hAnsi="Arial" w:cs="Arial"/>
          <w:i/>
          <w:sz w:val="20"/>
          <w:szCs w:val="20"/>
        </w:rPr>
        <w:t>Conservation Letters</w:t>
      </w:r>
      <w:r w:rsidRPr="00A3063C">
        <w:rPr>
          <w:rFonts w:ascii="Arial" w:hAnsi="Arial" w:cs="Arial"/>
          <w:sz w:val="20"/>
          <w:szCs w:val="20"/>
        </w:rPr>
        <w:t xml:space="preserve"> 6, pp. 376–384</w:t>
      </w:r>
    </w:p>
    <w:p w14:paraId="75F7E2B9" w14:textId="77777777" w:rsidR="00810C20" w:rsidRPr="00633A71" w:rsidRDefault="00810C20" w:rsidP="00810C20">
      <w:pPr>
        <w:spacing w:before="200" w:after="0" w:line="240" w:lineRule="auto"/>
        <w:jc w:val="both"/>
        <w:rPr>
          <w:rFonts w:ascii="Arial" w:hAnsi="Arial" w:cs="Arial"/>
          <w:sz w:val="20"/>
          <w:szCs w:val="20"/>
        </w:rPr>
      </w:pPr>
      <w:r w:rsidRPr="00A3063C">
        <w:rPr>
          <w:rFonts w:ascii="Arial" w:hAnsi="Arial" w:cs="Arial"/>
          <w:sz w:val="20"/>
          <w:szCs w:val="20"/>
        </w:rPr>
        <w:t xml:space="preserve">Plan Vivo, 2008. Plan Vivo Standards Available at: </w:t>
      </w:r>
      <w:hyperlink r:id="rId54" w:history="1">
        <w:r w:rsidRPr="00632DBC">
          <w:rPr>
            <w:rStyle w:val="Hyperlink"/>
            <w:rFonts w:ascii="Arial" w:hAnsi="Arial" w:cs="Arial"/>
            <w:color w:val="auto"/>
            <w:sz w:val="20"/>
            <w:szCs w:val="20"/>
          </w:rPr>
          <w:t>http://www.planvivo.org/documents/standards.pdf</w:t>
        </w:r>
      </w:hyperlink>
      <w:r w:rsidRPr="00633A71">
        <w:rPr>
          <w:rFonts w:ascii="Arial" w:hAnsi="Arial" w:cs="Arial"/>
          <w:sz w:val="20"/>
          <w:szCs w:val="20"/>
        </w:rPr>
        <w:t xml:space="preserve"> Accessed 22nd May 2014</w:t>
      </w:r>
    </w:p>
    <w:p w14:paraId="41C1B72A"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Plan Vivo, 2014. Available at: </w:t>
      </w:r>
      <w:hyperlink r:id="rId55" w:history="1">
        <w:r w:rsidRPr="00632DBC">
          <w:rPr>
            <w:rStyle w:val="Hyperlink"/>
            <w:rFonts w:ascii="Arial" w:hAnsi="Arial" w:cs="Arial"/>
            <w:color w:val="auto"/>
            <w:sz w:val="20"/>
            <w:szCs w:val="20"/>
          </w:rPr>
          <w:t>http://www.planvivo.org</w:t>
        </w:r>
      </w:hyperlink>
      <w:r w:rsidRPr="00633A71">
        <w:rPr>
          <w:rFonts w:ascii="Arial" w:hAnsi="Arial" w:cs="Arial"/>
          <w:sz w:val="20"/>
          <w:szCs w:val="20"/>
        </w:rPr>
        <w:t xml:space="preserve"> Accessed 22</w:t>
      </w:r>
      <w:r w:rsidRPr="00633A71">
        <w:rPr>
          <w:rFonts w:ascii="Arial" w:hAnsi="Arial" w:cs="Arial"/>
          <w:sz w:val="20"/>
          <w:szCs w:val="20"/>
          <w:vertAlign w:val="superscript"/>
        </w:rPr>
        <w:t>nd</w:t>
      </w:r>
      <w:r w:rsidRPr="00633A71">
        <w:rPr>
          <w:rFonts w:ascii="Arial" w:hAnsi="Arial" w:cs="Arial"/>
          <w:sz w:val="20"/>
          <w:szCs w:val="20"/>
        </w:rPr>
        <w:t xml:space="preserve"> May 2014</w:t>
      </w:r>
    </w:p>
    <w:p w14:paraId="3F9C9CA7" w14:textId="77777777" w:rsidR="00810C20" w:rsidRPr="00504B5E" w:rsidRDefault="00810C20" w:rsidP="00810C20">
      <w:pPr>
        <w:spacing w:before="200" w:after="0" w:line="240" w:lineRule="auto"/>
        <w:jc w:val="both"/>
        <w:rPr>
          <w:rFonts w:ascii="Arial" w:hAnsi="Arial" w:cs="Arial"/>
          <w:iCs/>
          <w:sz w:val="20"/>
          <w:szCs w:val="20"/>
        </w:rPr>
      </w:pPr>
      <w:r w:rsidRPr="00504B5E">
        <w:rPr>
          <w:rFonts w:ascii="Arial" w:hAnsi="Arial" w:cs="Arial"/>
          <w:sz w:val="20"/>
          <w:szCs w:val="20"/>
        </w:rPr>
        <w:t xml:space="preserve">Poncelet, C., 2012. </w:t>
      </w:r>
      <w:r w:rsidRPr="00504B5E">
        <w:rPr>
          <w:rFonts w:ascii="Arial" w:hAnsi="Arial" w:cs="Arial"/>
          <w:bCs/>
          <w:sz w:val="20"/>
          <w:szCs w:val="20"/>
        </w:rPr>
        <w:t>Access to Justice in Environmental Matters—Does the European Union Comply with its Obligations?</w:t>
      </w:r>
      <w:r w:rsidRPr="00504B5E">
        <w:rPr>
          <w:rFonts w:ascii="Arial" w:hAnsi="Arial" w:cs="Arial"/>
          <w:i/>
          <w:iCs/>
          <w:sz w:val="20"/>
          <w:szCs w:val="20"/>
        </w:rPr>
        <w:t xml:space="preserve"> Journal of Environmental Law</w:t>
      </w:r>
      <w:r w:rsidRPr="00504B5E">
        <w:rPr>
          <w:rFonts w:ascii="Arial" w:hAnsi="Arial" w:cs="Arial"/>
          <w:iCs/>
          <w:sz w:val="20"/>
          <w:szCs w:val="20"/>
        </w:rPr>
        <w:t xml:space="preserve">, pp. 1-23 </w:t>
      </w:r>
    </w:p>
    <w:p w14:paraId="763276B3" w14:textId="77777777" w:rsidR="00810C20" w:rsidRPr="00A3063C" w:rsidRDefault="00810C20" w:rsidP="00810C20">
      <w:pPr>
        <w:spacing w:before="200" w:after="0" w:line="240" w:lineRule="auto"/>
        <w:jc w:val="both"/>
        <w:rPr>
          <w:rFonts w:ascii="Arial" w:hAnsi="Arial" w:cs="Arial"/>
          <w:sz w:val="20"/>
          <w:szCs w:val="20"/>
        </w:rPr>
      </w:pPr>
      <w:proofErr w:type="spellStart"/>
      <w:r w:rsidRPr="00504B5E">
        <w:rPr>
          <w:rFonts w:ascii="Arial" w:hAnsi="Arial" w:cs="Arial"/>
          <w:sz w:val="20"/>
          <w:szCs w:val="20"/>
        </w:rPr>
        <w:t>Podvin</w:t>
      </w:r>
      <w:proofErr w:type="spellEnd"/>
      <w:r w:rsidRPr="00504B5E">
        <w:rPr>
          <w:rFonts w:ascii="Arial" w:hAnsi="Arial" w:cs="Arial"/>
          <w:sz w:val="20"/>
          <w:szCs w:val="20"/>
        </w:rPr>
        <w:t>, K. J., 2013. Institutional analysis of the Socio Bosque P</w:t>
      </w:r>
      <w:r w:rsidRPr="00A3063C">
        <w:rPr>
          <w:rFonts w:ascii="Arial" w:hAnsi="Arial" w:cs="Arial"/>
          <w:sz w:val="20"/>
          <w:szCs w:val="20"/>
        </w:rPr>
        <w:t xml:space="preserve">rogram: an Ecuadorian forest governance initiative and its interactions with REDD. Master Thesis. </w:t>
      </w:r>
      <w:proofErr w:type="spellStart"/>
      <w:r w:rsidRPr="00A3063C">
        <w:rPr>
          <w:rFonts w:ascii="Arial" w:hAnsi="Arial" w:cs="Arial"/>
          <w:sz w:val="20"/>
          <w:szCs w:val="20"/>
        </w:rPr>
        <w:t>Folleto</w:t>
      </w:r>
      <w:proofErr w:type="spellEnd"/>
      <w:r w:rsidRPr="00A3063C">
        <w:rPr>
          <w:rFonts w:ascii="Arial" w:hAnsi="Arial" w:cs="Arial"/>
          <w:sz w:val="20"/>
          <w:szCs w:val="20"/>
        </w:rPr>
        <w:t xml:space="preserve"> de </w:t>
      </w:r>
      <w:proofErr w:type="spellStart"/>
      <w:r w:rsidRPr="00A3063C">
        <w:rPr>
          <w:rFonts w:ascii="Arial" w:hAnsi="Arial" w:cs="Arial"/>
          <w:sz w:val="20"/>
          <w:szCs w:val="20"/>
        </w:rPr>
        <w:t>Sistematización</w:t>
      </w:r>
      <w:proofErr w:type="spellEnd"/>
      <w:r w:rsidRPr="00A3063C">
        <w:rPr>
          <w:rFonts w:ascii="Arial" w:hAnsi="Arial" w:cs="Arial"/>
          <w:sz w:val="20"/>
          <w:szCs w:val="20"/>
        </w:rPr>
        <w:t xml:space="preserve"> de Socio Bosque</w:t>
      </w:r>
    </w:p>
    <w:p w14:paraId="7A347AD5" w14:textId="0925B04A" w:rsidR="00810C20" w:rsidRPr="00633A71" w:rsidRDefault="00810C20" w:rsidP="00810C20">
      <w:pPr>
        <w:spacing w:before="200" w:after="0" w:line="240" w:lineRule="auto"/>
        <w:jc w:val="both"/>
        <w:rPr>
          <w:rFonts w:ascii="Arial" w:hAnsi="Arial" w:cs="Arial"/>
          <w:sz w:val="20"/>
          <w:szCs w:val="20"/>
        </w:rPr>
      </w:pPr>
      <w:proofErr w:type="spellStart"/>
      <w:proofErr w:type="gramStart"/>
      <w:r w:rsidRPr="00A3063C">
        <w:rPr>
          <w:rFonts w:ascii="Arial" w:hAnsi="Arial" w:cs="Arial"/>
          <w:sz w:val="20"/>
          <w:szCs w:val="20"/>
        </w:rPr>
        <w:t>Potts,J</w:t>
      </w:r>
      <w:proofErr w:type="spellEnd"/>
      <w:r w:rsidRPr="00A3063C">
        <w:rPr>
          <w:rFonts w:ascii="Arial" w:hAnsi="Arial" w:cs="Arial"/>
          <w:sz w:val="20"/>
          <w:szCs w:val="20"/>
        </w:rPr>
        <w:t>.</w:t>
      </w:r>
      <w:proofErr w:type="gramEnd"/>
      <w:r w:rsidRPr="00A3063C">
        <w:rPr>
          <w:rFonts w:ascii="Arial" w:hAnsi="Arial" w:cs="Arial"/>
          <w:sz w:val="20"/>
          <w:szCs w:val="20"/>
        </w:rPr>
        <w:t xml:space="preserve">, </w:t>
      </w:r>
      <w:proofErr w:type="spellStart"/>
      <w:r w:rsidRPr="00A3063C">
        <w:rPr>
          <w:rFonts w:ascii="Arial" w:hAnsi="Arial" w:cs="Arial"/>
          <w:sz w:val="20"/>
          <w:szCs w:val="20"/>
        </w:rPr>
        <w:t>Lynch,M</w:t>
      </w:r>
      <w:proofErr w:type="spellEnd"/>
      <w:r w:rsidRPr="00A3063C">
        <w:rPr>
          <w:rFonts w:ascii="Arial" w:hAnsi="Arial" w:cs="Arial"/>
          <w:sz w:val="20"/>
          <w:szCs w:val="20"/>
        </w:rPr>
        <w:t xml:space="preserve">., </w:t>
      </w:r>
      <w:proofErr w:type="spellStart"/>
      <w:r w:rsidRPr="00A3063C">
        <w:rPr>
          <w:rFonts w:ascii="Arial" w:hAnsi="Arial" w:cs="Arial"/>
          <w:sz w:val="20"/>
          <w:szCs w:val="20"/>
        </w:rPr>
        <w:t>Wilkings,A</w:t>
      </w:r>
      <w:proofErr w:type="spellEnd"/>
      <w:r w:rsidRPr="00A3063C">
        <w:rPr>
          <w:rFonts w:ascii="Arial" w:hAnsi="Arial" w:cs="Arial"/>
          <w:sz w:val="20"/>
          <w:szCs w:val="20"/>
        </w:rPr>
        <w:t xml:space="preserve">., </w:t>
      </w:r>
      <w:proofErr w:type="spellStart"/>
      <w:r w:rsidRPr="00A3063C">
        <w:rPr>
          <w:rFonts w:ascii="Arial" w:hAnsi="Arial" w:cs="Arial"/>
          <w:sz w:val="20"/>
          <w:szCs w:val="20"/>
        </w:rPr>
        <w:t>Huppé,G</w:t>
      </w:r>
      <w:proofErr w:type="spellEnd"/>
      <w:r w:rsidRPr="00A3063C">
        <w:rPr>
          <w:rFonts w:ascii="Arial" w:hAnsi="Arial" w:cs="Arial"/>
          <w:sz w:val="20"/>
          <w:szCs w:val="20"/>
        </w:rPr>
        <w:t xml:space="preserve">., Cunningham, M., </w:t>
      </w:r>
      <w:proofErr w:type="spellStart"/>
      <w:r w:rsidRPr="00A3063C">
        <w:rPr>
          <w:rFonts w:ascii="Arial" w:hAnsi="Arial" w:cs="Arial"/>
          <w:sz w:val="20"/>
          <w:szCs w:val="20"/>
        </w:rPr>
        <w:t>Voora</w:t>
      </w:r>
      <w:proofErr w:type="spellEnd"/>
      <w:r w:rsidRPr="00A3063C">
        <w:rPr>
          <w:rFonts w:ascii="Arial" w:hAnsi="Arial" w:cs="Arial"/>
          <w:sz w:val="20"/>
          <w:szCs w:val="20"/>
        </w:rPr>
        <w:t xml:space="preserve">, V., 2014. The State of Sustainability Initiatives Review 2014: Standards and the Green Economy. IISD, </w:t>
      </w:r>
      <w:proofErr w:type="spellStart"/>
      <w:r w:rsidRPr="00A3063C">
        <w:rPr>
          <w:rFonts w:ascii="Arial" w:hAnsi="Arial" w:cs="Arial"/>
          <w:sz w:val="20"/>
          <w:szCs w:val="20"/>
        </w:rPr>
        <w:t>IIEDAvailable</w:t>
      </w:r>
      <w:proofErr w:type="spellEnd"/>
      <w:r w:rsidRPr="00A3063C">
        <w:rPr>
          <w:rFonts w:ascii="Arial" w:hAnsi="Arial" w:cs="Arial"/>
          <w:sz w:val="20"/>
          <w:szCs w:val="20"/>
        </w:rPr>
        <w:t xml:space="preserve"> at: </w:t>
      </w:r>
      <w:hyperlink r:id="rId56" w:history="1">
        <w:r w:rsidRPr="00632DBC">
          <w:rPr>
            <w:rStyle w:val="Hyperlink"/>
            <w:rFonts w:ascii="Arial" w:hAnsi="Arial" w:cs="Arial"/>
            <w:color w:val="auto"/>
            <w:sz w:val="20"/>
            <w:szCs w:val="20"/>
          </w:rPr>
          <w:t>http://www.iisd.org/pdf/2014/ssi_2014.pdf</w:t>
        </w:r>
      </w:hyperlink>
      <w:r w:rsidRPr="00633A71">
        <w:rPr>
          <w:rFonts w:ascii="Arial" w:hAnsi="Arial" w:cs="Arial"/>
          <w:sz w:val="20"/>
          <w:szCs w:val="20"/>
        </w:rPr>
        <w:t xml:space="preserve"> Accessed 2nd June 2014</w:t>
      </w:r>
    </w:p>
    <w:p w14:paraId="4A593F01"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PPS9 Defra, 2005. Planning shapes the places where people live and work and the country we live in. It plays a key role in supporting the Government’s wider economic, social and environmental objectives and for </w:t>
      </w:r>
      <w:r w:rsidRPr="00504B5E">
        <w:rPr>
          <w:rFonts w:ascii="Arial" w:hAnsi="Arial" w:cs="Arial"/>
          <w:sz w:val="20"/>
          <w:szCs w:val="20"/>
        </w:rPr>
        <w:t xml:space="preserve">sustainable communities. </w:t>
      </w:r>
      <w:r w:rsidRPr="00504B5E">
        <w:rPr>
          <w:rFonts w:ascii="Arial" w:hAnsi="Arial" w:cs="Arial"/>
          <w:i/>
          <w:sz w:val="20"/>
          <w:szCs w:val="20"/>
        </w:rPr>
        <w:t>Crown</w:t>
      </w:r>
      <w:r w:rsidRPr="00504B5E">
        <w:rPr>
          <w:rFonts w:ascii="Arial" w:hAnsi="Arial" w:cs="Arial"/>
          <w:sz w:val="20"/>
          <w:szCs w:val="20"/>
        </w:rPr>
        <w:t xml:space="preserve">, Norwich, UK Available at: </w:t>
      </w:r>
      <w:hyperlink r:id="rId57" w:history="1">
        <w:r w:rsidRPr="00632DBC">
          <w:rPr>
            <w:rStyle w:val="Hyperlink"/>
            <w:rFonts w:ascii="Arial" w:hAnsi="Arial" w:cs="Arial"/>
            <w:color w:val="auto"/>
            <w:sz w:val="20"/>
            <w:szCs w:val="20"/>
          </w:rPr>
          <w:t>http://webarchive.nationalarchives.gov.uk/20120919132719/http://www.communities.gov.uk/documents/planningandbuilding/pdf/147408.pdf</w:t>
        </w:r>
      </w:hyperlink>
      <w:r w:rsidRPr="00633A71">
        <w:rPr>
          <w:rFonts w:ascii="Arial" w:hAnsi="Arial" w:cs="Arial"/>
          <w:sz w:val="20"/>
          <w:szCs w:val="20"/>
        </w:rPr>
        <w:t xml:space="preserve"> Accessed 22nd May 2014</w:t>
      </w:r>
    </w:p>
    <w:p w14:paraId="5CD2EC7E" w14:textId="77777777" w:rsidR="00810C20" w:rsidRPr="00504B5E" w:rsidRDefault="00810C20" w:rsidP="00810C20">
      <w:pPr>
        <w:spacing w:before="100" w:beforeAutospacing="1" w:after="100" w:afterAutospacing="1" w:line="240" w:lineRule="auto"/>
        <w:jc w:val="both"/>
        <w:rPr>
          <w:rFonts w:ascii="Arial" w:hAnsi="Arial" w:cs="Arial"/>
          <w:sz w:val="20"/>
          <w:szCs w:val="20"/>
          <w:lang w:bidi="ar-SA"/>
        </w:rPr>
      </w:pPr>
      <w:r w:rsidRPr="00633A71">
        <w:rPr>
          <w:rFonts w:ascii="Arial" w:hAnsi="Arial" w:cs="Arial"/>
          <w:sz w:val="20"/>
          <w:szCs w:val="20"/>
          <w:lang w:bidi="ar-SA"/>
        </w:rPr>
        <w:t xml:space="preserve">Reed, P., 2011. REDD+ and the Indigenous Question: A Case Study from Ecuador. </w:t>
      </w:r>
      <w:r w:rsidRPr="00504B5E">
        <w:rPr>
          <w:rFonts w:ascii="Arial" w:hAnsi="Arial" w:cs="Arial"/>
          <w:i/>
          <w:iCs/>
          <w:sz w:val="20"/>
          <w:szCs w:val="20"/>
          <w:lang w:bidi="ar-SA"/>
        </w:rPr>
        <w:t>Forests</w:t>
      </w:r>
      <w:r w:rsidRPr="00504B5E">
        <w:rPr>
          <w:rFonts w:ascii="Arial" w:hAnsi="Arial" w:cs="Arial"/>
          <w:sz w:val="20"/>
          <w:szCs w:val="20"/>
          <w:lang w:bidi="ar-SA"/>
        </w:rPr>
        <w:t>, 2(4), pp.525–549</w:t>
      </w:r>
    </w:p>
    <w:p w14:paraId="22C78387"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REDD, 2014. REDD Social and Environmental Standards Available at: </w:t>
      </w:r>
      <w:hyperlink r:id="rId58" w:history="1">
        <w:r w:rsidRPr="00632DBC">
          <w:rPr>
            <w:rStyle w:val="Hyperlink"/>
            <w:rFonts w:ascii="Arial" w:hAnsi="Arial" w:cs="Arial"/>
            <w:color w:val="auto"/>
            <w:sz w:val="20"/>
            <w:szCs w:val="20"/>
          </w:rPr>
          <w:t>http://www.redd-standards.org/</w:t>
        </w:r>
      </w:hyperlink>
      <w:r w:rsidRPr="00633A71">
        <w:rPr>
          <w:rFonts w:ascii="Arial" w:hAnsi="Arial" w:cs="Arial"/>
          <w:sz w:val="20"/>
          <w:szCs w:val="20"/>
        </w:rPr>
        <w:t xml:space="preserve"> Accessed 21</w:t>
      </w:r>
      <w:r w:rsidRPr="00633A71">
        <w:rPr>
          <w:rFonts w:ascii="Arial" w:hAnsi="Arial" w:cs="Arial"/>
          <w:sz w:val="20"/>
          <w:szCs w:val="20"/>
          <w:vertAlign w:val="superscript"/>
        </w:rPr>
        <w:t>st</w:t>
      </w:r>
      <w:r w:rsidRPr="00633A71">
        <w:rPr>
          <w:rFonts w:ascii="Arial" w:hAnsi="Arial" w:cs="Arial"/>
          <w:sz w:val="20"/>
          <w:szCs w:val="20"/>
        </w:rPr>
        <w:t xml:space="preserve"> May 2014</w:t>
      </w:r>
    </w:p>
    <w:p w14:paraId="5B0D9F25" w14:textId="07F99325"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Rights and Resources Initiative, 2011. Summary of the ninth Rights and Resources Initiative Dialogue on forests, governance and climate change, 9 </w:t>
      </w:r>
      <w:proofErr w:type="gramStart"/>
      <w:r w:rsidRPr="00504B5E">
        <w:rPr>
          <w:rFonts w:ascii="Arial" w:hAnsi="Arial" w:cs="Arial"/>
          <w:sz w:val="20"/>
          <w:szCs w:val="20"/>
        </w:rPr>
        <w:t>February,</w:t>
      </w:r>
      <w:proofErr w:type="gramEnd"/>
      <w:r w:rsidRPr="00504B5E">
        <w:rPr>
          <w:rFonts w:ascii="Arial" w:hAnsi="Arial" w:cs="Arial"/>
          <w:sz w:val="20"/>
          <w:szCs w:val="20"/>
        </w:rPr>
        <w:t xml:space="preserve"> 2011. </w:t>
      </w:r>
      <w:r w:rsidRPr="00504B5E">
        <w:rPr>
          <w:rFonts w:ascii="Arial" w:hAnsi="Arial" w:cs="Arial"/>
          <w:i/>
          <w:sz w:val="20"/>
          <w:szCs w:val="20"/>
        </w:rPr>
        <w:t xml:space="preserve">Rights and Resource Initiative Dialogue Bulletin </w:t>
      </w:r>
      <w:r w:rsidRPr="00504B5E">
        <w:rPr>
          <w:rFonts w:ascii="Arial" w:hAnsi="Arial" w:cs="Arial"/>
          <w:sz w:val="20"/>
          <w:szCs w:val="20"/>
        </w:rPr>
        <w:t xml:space="preserve">173 (3) Available at: </w:t>
      </w:r>
      <w:hyperlink r:id="rId59" w:history="1">
        <w:r w:rsidR="003F5363" w:rsidRPr="00632DBC">
          <w:rPr>
            <w:rStyle w:val="Hyperlink"/>
            <w:rFonts w:ascii="Arial" w:hAnsi="Arial" w:cs="Arial"/>
            <w:color w:val="auto"/>
            <w:sz w:val="20"/>
            <w:szCs w:val="20"/>
          </w:rPr>
          <w:t>http://www.iisd.ca/download/pdf/sd/ymbvol173num3e.pdf Accessed 30th July 2012</w:t>
        </w:r>
      </w:hyperlink>
    </w:p>
    <w:p w14:paraId="33C36FD4" w14:textId="56F04082" w:rsidR="003F5363" w:rsidRPr="00633A71" w:rsidRDefault="003F5363" w:rsidP="003F5363">
      <w:pPr>
        <w:spacing w:before="200" w:after="0" w:line="240" w:lineRule="auto"/>
        <w:rPr>
          <w:rFonts w:ascii="Arial" w:hAnsi="Arial" w:cs="Arial"/>
          <w:sz w:val="20"/>
          <w:szCs w:val="20"/>
        </w:rPr>
      </w:pPr>
      <w:proofErr w:type="spellStart"/>
      <w:r w:rsidRPr="00633A71">
        <w:rPr>
          <w:rFonts w:ascii="Arial" w:hAnsi="Arial" w:cs="Arial"/>
          <w:sz w:val="20"/>
          <w:szCs w:val="20"/>
        </w:rPr>
        <w:t>Rundcrantz</w:t>
      </w:r>
      <w:proofErr w:type="spellEnd"/>
      <w:r w:rsidRPr="00633A71">
        <w:rPr>
          <w:rFonts w:ascii="Arial" w:hAnsi="Arial" w:cs="Arial"/>
          <w:sz w:val="20"/>
          <w:szCs w:val="20"/>
        </w:rPr>
        <w:t xml:space="preserve">, K., 2006. Environmental compensation in Swedish road planning. Eur. Environ. 16 (6), 350–367, </w:t>
      </w:r>
      <w:hyperlink r:id="rId60" w:history="1">
        <w:r w:rsidRPr="00632DBC">
          <w:rPr>
            <w:rStyle w:val="Hyperlink"/>
            <w:rFonts w:ascii="Arial" w:hAnsi="Arial" w:cs="Arial"/>
            <w:color w:val="auto"/>
            <w:sz w:val="20"/>
            <w:szCs w:val="20"/>
          </w:rPr>
          <w:t>http://dx.doi.org/10.1002/eet.429</w:t>
        </w:r>
      </w:hyperlink>
      <w:r w:rsidRPr="00633A71">
        <w:rPr>
          <w:rFonts w:ascii="Arial" w:hAnsi="Arial" w:cs="Arial"/>
          <w:sz w:val="20"/>
          <w:szCs w:val="20"/>
        </w:rPr>
        <w:t>.</w:t>
      </w:r>
    </w:p>
    <w:p w14:paraId="349F24C3" w14:textId="77777777" w:rsidR="00810C20" w:rsidRPr="00504B5E" w:rsidRDefault="00810C20" w:rsidP="00810C20">
      <w:pPr>
        <w:spacing w:before="200" w:after="0" w:line="240" w:lineRule="auto"/>
        <w:jc w:val="both"/>
        <w:rPr>
          <w:rFonts w:ascii="Arial" w:hAnsi="Arial" w:cs="Arial"/>
          <w:sz w:val="20"/>
          <w:szCs w:val="20"/>
        </w:rPr>
      </w:pPr>
      <w:proofErr w:type="spellStart"/>
      <w:r w:rsidRPr="00633A71">
        <w:rPr>
          <w:rFonts w:ascii="Arial" w:hAnsi="Arial" w:cs="Arial"/>
          <w:sz w:val="20"/>
          <w:szCs w:val="20"/>
        </w:rPr>
        <w:t>Sahlén</w:t>
      </w:r>
      <w:proofErr w:type="spellEnd"/>
      <w:r w:rsidRPr="00633A71">
        <w:rPr>
          <w:rFonts w:ascii="Arial" w:hAnsi="Arial" w:cs="Arial"/>
          <w:sz w:val="20"/>
          <w:szCs w:val="20"/>
        </w:rPr>
        <w:t xml:space="preserve"> L. and Stage, J., 2012. </w:t>
      </w:r>
      <w:r w:rsidRPr="00504B5E">
        <w:rPr>
          <w:rFonts w:ascii="Arial" w:hAnsi="Arial" w:cs="Arial"/>
          <w:bCs/>
          <w:sz w:val="20"/>
          <w:szCs w:val="20"/>
        </w:rPr>
        <w:t xml:space="preserve">Environmental Fiscal Reform in Namibia: A Potential Approach to Reduce Poverty? </w:t>
      </w:r>
      <w:r w:rsidRPr="00504B5E">
        <w:rPr>
          <w:rFonts w:ascii="Arial" w:hAnsi="Arial" w:cs="Arial"/>
          <w:i/>
          <w:sz w:val="20"/>
          <w:szCs w:val="20"/>
        </w:rPr>
        <w:t>The Journal of Environment and Development,</w:t>
      </w:r>
      <w:r w:rsidRPr="00504B5E">
        <w:rPr>
          <w:rFonts w:ascii="Arial" w:hAnsi="Arial" w:cs="Arial"/>
          <w:sz w:val="20"/>
          <w:szCs w:val="20"/>
        </w:rPr>
        <w:t>21(2), pp.1-25</w:t>
      </w:r>
    </w:p>
    <w:p w14:paraId="585209E8" w14:textId="629D2008" w:rsidR="00810C20" w:rsidRPr="00A3063C"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Sands, P., </w:t>
      </w:r>
      <w:r w:rsidR="00A67802">
        <w:rPr>
          <w:rFonts w:ascii="Arial" w:hAnsi="Arial" w:cs="Arial"/>
          <w:sz w:val="20"/>
          <w:szCs w:val="20"/>
        </w:rPr>
        <w:t>and</w:t>
      </w:r>
      <w:r w:rsidR="00A67802" w:rsidRPr="00504B5E">
        <w:rPr>
          <w:rFonts w:ascii="Arial" w:hAnsi="Arial" w:cs="Arial"/>
          <w:sz w:val="20"/>
          <w:szCs w:val="20"/>
        </w:rPr>
        <w:t xml:space="preserve"> </w:t>
      </w:r>
      <w:r w:rsidRPr="00504B5E">
        <w:rPr>
          <w:rFonts w:ascii="Arial" w:hAnsi="Arial" w:cs="Arial"/>
          <w:sz w:val="20"/>
          <w:szCs w:val="20"/>
        </w:rPr>
        <w:t>Peel, J.,</w:t>
      </w:r>
      <w:r w:rsidR="00A67802">
        <w:rPr>
          <w:rFonts w:ascii="Arial" w:hAnsi="Arial" w:cs="Arial"/>
          <w:sz w:val="20"/>
          <w:szCs w:val="20"/>
        </w:rPr>
        <w:t xml:space="preserve"> </w:t>
      </w:r>
      <w:r w:rsidRPr="00504B5E">
        <w:rPr>
          <w:rFonts w:ascii="Arial" w:hAnsi="Arial" w:cs="Arial"/>
          <w:i/>
          <w:sz w:val="20"/>
          <w:szCs w:val="20"/>
        </w:rPr>
        <w:t>2012.</w:t>
      </w:r>
      <w:r w:rsidRPr="00A3063C">
        <w:rPr>
          <w:rFonts w:ascii="Arial" w:hAnsi="Arial" w:cs="Arial"/>
          <w:iCs/>
          <w:sz w:val="20"/>
          <w:szCs w:val="20"/>
        </w:rPr>
        <w:t>Principles of international environmental law</w:t>
      </w:r>
      <w:r w:rsidRPr="00A3063C">
        <w:rPr>
          <w:rFonts w:ascii="Arial" w:hAnsi="Arial" w:cs="Arial"/>
          <w:sz w:val="20"/>
          <w:szCs w:val="20"/>
        </w:rPr>
        <w:t>.</w:t>
      </w:r>
      <w:r w:rsidRPr="00A3063C">
        <w:rPr>
          <w:rFonts w:ascii="Arial" w:hAnsi="Arial" w:cs="Arial"/>
          <w:i/>
          <w:sz w:val="20"/>
          <w:szCs w:val="20"/>
        </w:rPr>
        <w:t xml:space="preserve"> Cambridge University Press, </w:t>
      </w:r>
      <w:r w:rsidRPr="00A3063C">
        <w:rPr>
          <w:rFonts w:ascii="Arial" w:hAnsi="Arial" w:cs="Arial"/>
          <w:sz w:val="20"/>
          <w:szCs w:val="20"/>
        </w:rPr>
        <w:t>UK</w:t>
      </w:r>
    </w:p>
    <w:p w14:paraId="5E52E48B" w14:textId="77777777" w:rsidR="00810C20" w:rsidRPr="00A3063C" w:rsidRDefault="00810C20" w:rsidP="00810C20">
      <w:pPr>
        <w:spacing w:before="200" w:after="0" w:line="240" w:lineRule="auto"/>
        <w:jc w:val="both"/>
        <w:rPr>
          <w:rFonts w:ascii="Arial" w:hAnsi="Arial" w:cs="Arial"/>
          <w:sz w:val="20"/>
          <w:szCs w:val="20"/>
        </w:rPr>
      </w:pPr>
      <w:r w:rsidRPr="00A3063C">
        <w:rPr>
          <w:rFonts w:ascii="Arial" w:hAnsi="Arial" w:cs="Arial"/>
          <w:sz w:val="20"/>
          <w:szCs w:val="20"/>
        </w:rPr>
        <w:t xml:space="preserve">Schroeder, D. and Pisupati B., 2010. Ethics, Justice and the Convention on Biological Diversity. </w:t>
      </w:r>
      <w:r w:rsidRPr="00A3063C">
        <w:rPr>
          <w:rFonts w:ascii="Arial" w:hAnsi="Arial" w:cs="Arial"/>
          <w:i/>
          <w:sz w:val="20"/>
          <w:szCs w:val="20"/>
        </w:rPr>
        <w:t>United Nations Environmental Programme and University of Central Lancashire,</w:t>
      </w:r>
      <w:r w:rsidRPr="00A3063C">
        <w:rPr>
          <w:rFonts w:ascii="Arial" w:hAnsi="Arial" w:cs="Arial"/>
          <w:sz w:val="20"/>
          <w:szCs w:val="20"/>
        </w:rPr>
        <w:t xml:space="preserve"> UK </w:t>
      </w:r>
    </w:p>
    <w:p w14:paraId="2D168B7A" w14:textId="40E2C03A" w:rsidR="00810C20" w:rsidRPr="00633A71" w:rsidRDefault="00810C20" w:rsidP="00810C20">
      <w:pPr>
        <w:spacing w:before="200" w:after="0" w:line="240" w:lineRule="auto"/>
        <w:jc w:val="both"/>
        <w:rPr>
          <w:rFonts w:ascii="Arial" w:hAnsi="Arial" w:cs="Arial"/>
          <w:sz w:val="20"/>
          <w:szCs w:val="20"/>
        </w:rPr>
      </w:pPr>
      <w:proofErr w:type="spellStart"/>
      <w:r w:rsidRPr="00A3063C">
        <w:rPr>
          <w:rFonts w:ascii="Arial" w:hAnsi="Arial" w:cs="Arial"/>
          <w:sz w:val="20"/>
          <w:szCs w:val="20"/>
        </w:rPr>
        <w:t>Ogwal</w:t>
      </w:r>
      <w:proofErr w:type="spellEnd"/>
      <w:r w:rsidRPr="00A3063C">
        <w:rPr>
          <w:rFonts w:ascii="Arial" w:hAnsi="Arial" w:cs="Arial"/>
          <w:sz w:val="20"/>
          <w:szCs w:val="20"/>
        </w:rPr>
        <w:t>, S. and Schultz, M., 2014. Co-Chairs´ Summary of Second Dialogue Seminar on Scaling up Finance for Biodiversity, Quito 9-12 April 2014. Montreal: Secretariat of the Convention on Biological Diversity.</w:t>
      </w:r>
      <w:r w:rsidRPr="00A3063C">
        <w:rPr>
          <w:rFonts w:ascii="Arial" w:hAnsi="Arial"/>
          <w:sz w:val="20"/>
          <w:szCs w:val="20"/>
        </w:rPr>
        <w:t xml:space="preserve"> </w:t>
      </w:r>
      <w:hyperlink r:id="rId61" w:history="1">
        <w:r w:rsidRPr="00632DBC">
          <w:rPr>
            <w:rStyle w:val="Hyperlink"/>
            <w:rFonts w:ascii="Arial" w:hAnsi="Arial"/>
            <w:color w:val="auto"/>
            <w:sz w:val="20"/>
            <w:szCs w:val="20"/>
          </w:rPr>
          <w:t>http://www.cbd.int/doc/meetings/fin/ds-fb-02/official/ds-fb-02-report-en.pdf</w:t>
        </w:r>
      </w:hyperlink>
      <w:r w:rsidRPr="00633A71">
        <w:rPr>
          <w:rFonts w:ascii="Arial" w:hAnsi="Arial"/>
          <w:sz w:val="20"/>
          <w:szCs w:val="20"/>
        </w:rPr>
        <w:t xml:space="preserve"> </w:t>
      </w:r>
      <w:r w:rsidRPr="00633A71">
        <w:rPr>
          <w:rFonts w:ascii="Arial" w:hAnsi="Arial" w:cs="Arial"/>
          <w:sz w:val="20"/>
          <w:szCs w:val="20"/>
        </w:rPr>
        <w:t>Accessed 10th June 2014</w:t>
      </w:r>
    </w:p>
    <w:p w14:paraId="54F19F23"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Shelton, D., 2006. Human rights and the environment: What specific environmental rights have been recognized? </w:t>
      </w:r>
      <w:r w:rsidRPr="00504B5E">
        <w:rPr>
          <w:rFonts w:ascii="Arial" w:hAnsi="Arial" w:cs="Arial"/>
          <w:i/>
          <w:iCs/>
          <w:sz w:val="20"/>
          <w:szCs w:val="20"/>
        </w:rPr>
        <w:t>Denver Journal of International Law and Policy</w:t>
      </w:r>
      <w:r w:rsidRPr="00504B5E">
        <w:rPr>
          <w:rFonts w:ascii="Arial" w:hAnsi="Arial" w:cs="Arial"/>
          <w:sz w:val="20"/>
          <w:szCs w:val="20"/>
        </w:rPr>
        <w:t xml:space="preserve"> </w:t>
      </w:r>
      <w:r w:rsidRPr="00504B5E">
        <w:rPr>
          <w:rFonts w:ascii="Arial" w:hAnsi="Arial" w:cs="Arial"/>
          <w:iCs/>
          <w:sz w:val="20"/>
          <w:szCs w:val="20"/>
        </w:rPr>
        <w:t>35</w:t>
      </w:r>
      <w:r w:rsidRPr="00504B5E">
        <w:rPr>
          <w:rFonts w:ascii="Arial" w:hAnsi="Arial" w:cs="Arial"/>
          <w:sz w:val="20"/>
          <w:szCs w:val="20"/>
        </w:rPr>
        <w:t>, pp.129–171</w:t>
      </w:r>
    </w:p>
    <w:p w14:paraId="5472D70F" w14:textId="77777777" w:rsidR="00810C20" w:rsidRPr="00A3063C" w:rsidRDefault="00810C20" w:rsidP="00810C20">
      <w:pPr>
        <w:spacing w:before="200" w:after="0" w:line="240" w:lineRule="auto"/>
        <w:jc w:val="both"/>
        <w:rPr>
          <w:rFonts w:ascii="Arial" w:hAnsi="Arial" w:cs="Arial"/>
          <w:sz w:val="20"/>
          <w:szCs w:val="20"/>
        </w:rPr>
      </w:pPr>
      <w:r w:rsidRPr="00A3063C">
        <w:rPr>
          <w:rFonts w:ascii="Arial" w:hAnsi="Arial" w:cs="Arial"/>
          <w:sz w:val="20"/>
          <w:szCs w:val="20"/>
        </w:rPr>
        <w:t xml:space="preserve">Shiva, V., 1997. </w:t>
      </w:r>
      <w:r w:rsidRPr="00A3063C">
        <w:rPr>
          <w:rFonts w:ascii="Arial" w:hAnsi="Arial" w:cs="Arial"/>
          <w:iCs/>
          <w:sz w:val="20"/>
          <w:szCs w:val="20"/>
        </w:rPr>
        <w:t>Biopiracy:</w:t>
      </w:r>
      <w:r w:rsidRPr="00A3063C">
        <w:rPr>
          <w:rFonts w:ascii="Arial" w:hAnsi="Arial" w:cs="Arial"/>
          <w:i/>
          <w:iCs/>
          <w:sz w:val="20"/>
          <w:szCs w:val="20"/>
        </w:rPr>
        <w:t xml:space="preserve"> </w:t>
      </w:r>
      <w:r w:rsidRPr="00A3063C">
        <w:rPr>
          <w:rFonts w:ascii="Arial" w:hAnsi="Arial" w:cs="Arial"/>
          <w:iCs/>
          <w:sz w:val="20"/>
          <w:szCs w:val="20"/>
        </w:rPr>
        <w:t>the plunder of nature and knowledge</w:t>
      </w:r>
      <w:r w:rsidRPr="00A3063C">
        <w:rPr>
          <w:rFonts w:ascii="Arial" w:hAnsi="Arial" w:cs="Arial"/>
          <w:sz w:val="20"/>
          <w:szCs w:val="20"/>
        </w:rPr>
        <w:t xml:space="preserve">. </w:t>
      </w:r>
      <w:r w:rsidRPr="00A3063C">
        <w:rPr>
          <w:rFonts w:ascii="Arial" w:hAnsi="Arial" w:cs="Arial"/>
          <w:i/>
          <w:sz w:val="20"/>
          <w:szCs w:val="20"/>
        </w:rPr>
        <w:t>South End Press</w:t>
      </w:r>
      <w:r w:rsidRPr="00A3063C">
        <w:rPr>
          <w:rFonts w:ascii="Arial" w:hAnsi="Arial" w:cs="Arial"/>
          <w:sz w:val="20"/>
          <w:szCs w:val="20"/>
        </w:rPr>
        <w:t>, Boston</w:t>
      </w:r>
    </w:p>
    <w:p w14:paraId="54B13004" w14:textId="5242EA14" w:rsidR="00810C20" w:rsidRPr="00504B5E" w:rsidRDefault="00810C20" w:rsidP="00810C20">
      <w:pPr>
        <w:spacing w:before="200" w:after="0" w:line="240" w:lineRule="auto"/>
        <w:jc w:val="both"/>
        <w:rPr>
          <w:rFonts w:ascii="Arial" w:hAnsi="Arial" w:cs="Arial"/>
          <w:sz w:val="20"/>
          <w:szCs w:val="20"/>
        </w:rPr>
      </w:pPr>
      <w:r w:rsidRPr="00632DBC">
        <w:rPr>
          <w:rFonts w:ascii="Arial" w:hAnsi="Arial"/>
          <w:sz w:val="20"/>
        </w:rPr>
        <w:lastRenderedPageBreak/>
        <w:t>Sommerville, M., Jones, J</w:t>
      </w:r>
      <w:r w:rsidR="008A0D5D" w:rsidRPr="00632DBC">
        <w:rPr>
          <w:rFonts w:ascii="Arial" w:hAnsi="Arial"/>
          <w:sz w:val="20"/>
        </w:rPr>
        <w:t>.</w:t>
      </w:r>
      <w:r w:rsidR="004D69E9" w:rsidRPr="00632DBC">
        <w:rPr>
          <w:rFonts w:ascii="Arial" w:hAnsi="Arial"/>
          <w:sz w:val="20"/>
        </w:rPr>
        <w:t xml:space="preserve"> </w:t>
      </w:r>
      <w:r w:rsidR="008A0D5D" w:rsidRPr="00632DBC">
        <w:rPr>
          <w:rFonts w:ascii="Arial" w:hAnsi="Arial"/>
          <w:sz w:val="20"/>
        </w:rPr>
        <w:t>and Milner-Gulland, E.</w:t>
      </w:r>
      <w:r w:rsidR="008D1D81">
        <w:rPr>
          <w:rFonts w:ascii="Arial" w:hAnsi="Arial"/>
          <w:sz w:val="20"/>
        </w:rPr>
        <w:t>,</w:t>
      </w:r>
      <w:r w:rsidR="008A0D5D" w:rsidRPr="00632DBC">
        <w:rPr>
          <w:rFonts w:ascii="Arial" w:hAnsi="Arial"/>
          <w:sz w:val="20"/>
        </w:rPr>
        <w:t xml:space="preserve"> </w:t>
      </w:r>
      <w:r w:rsidRPr="00632DBC">
        <w:rPr>
          <w:rFonts w:ascii="Arial" w:hAnsi="Arial"/>
          <w:sz w:val="20"/>
        </w:rPr>
        <w:t xml:space="preserve">2009. </w:t>
      </w:r>
      <w:r w:rsidRPr="00633A71">
        <w:rPr>
          <w:rFonts w:ascii="Arial" w:hAnsi="Arial" w:cs="Arial"/>
          <w:sz w:val="20"/>
          <w:szCs w:val="20"/>
        </w:rPr>
        <w:t xml:space="preserve">A Revised Conceptual Framework for Environmental Services. </w:t>
      </w:r>
      <w:r w:rsidRPr="00633A71">
        <w:rPr>
          <w:rFonts w:ascii="Arial" w:hAnsi="Arial" w:cs="Arial"/>
          <w:i/>
          <w:sz w:val="20"/>
          <w:szCs w:val="20"/>
        </w:rPr>
        <w:t xml:space="preserve">Ecology and Society </w:t>
      </w:r>
      <w:r w:rsidRPr="00504B5E">
        <w:rPr>
          <w:rFonts w:ascii="Arial" w:hAnsi="Arial" w:cs="Arial"/>
          <w:sz w:val="20"/>
          <w:szCs w:val="20"/>
        </w:rPr>
        <w:t>14(2): 34</w:t>
      </w:r>
    </w:p>
    <w:p w14:paraId="2C8BF3EE" w14:textId="77777777" w:rsidR="00810C20" w:rsidRPr="00A3063C" w:rsidRDefault="00810C20" w:rsidP="00810C20">
      <w:pPr>
        <w:spacing w:before="200" w:after="0" w:line="240" w:lineRule="auto"/>
        <w:jc w:val="both"/>
        <w:rPr>
          <w:rFonts w:ascii="Arial" w:hAnsi="Arial" w:cs="Arial"/>
          <w:i/>
          <w:iCs/>
          <w:sz w:val="20"/>
          <w:szCs w:val="20"/>
        </w:rPr>
      </w:pPr>
      <w:r w:rsidRPr="00504B5E">
        <w:rPr>
          <w:rFonts w:ascii="Arial" w:hAnsi="Arial" w:cs="Arial"/>
          <w:iCs/>
          <w:sz w:val="20"/>
          <w:szCs w:val="20"/>
        </w:rPr>
        <w:t>Sullivan, S., 2012</w:t>
      </w:r>
      <w:r w:rsidRPr="00504B5E">
        <w:rPr>
          <w:rFonts w:ascii="Arial" w:hAnsi="Arial" w:cs="Arial"/>
          <w:i/>
          <w:iCs/>
          <w:sz w:val="20"/>
          <w:szCs w:val="20"/>
        </w:rPr>
        <w:t xml:space="preserve">. </w:t>
      </w:r>
      <w:proofErr w:type="spellStart"/>
      <w:r w:rsidRPr="00504B5E">
        <w:rPr>
          <w:rFonts w:ascii="Arial" w:hAnsi="Arial" w:cs="Arial"/>
          <w:iCs/>
          <w:sz w:val="20"/>
          <w:szCs w:val="20"/>
        </w:rPr>
        <w:t>Financialisation</w:t>
      </w:r>
      <w:proofErr w:type="spellEnd"/>
      <w:r w:rsidRPr="00504B5E">
        <w:rPr>
          <w:rFonts w:ascii="Arial" w:hAnsi="Arial" w:cs="Arial"/>
          <w:iCs/>
          <w:sz w:val="20"/>
          <w:szCs w:val="20"/>
        </w:rPr>
        <w:t xml:space="preserve">, Biodiversity Conservation and Equity: Some Currents and Concerns, </w:t>
      </w:r>
      <w:r w:rsidRPr="00504B5E">
        <w:rPr>
          <w:rFonts w:ascii="Arial" w:hAnsi="Arial" w:cs="Arial"/>
          <w:i/>
          <w:iCs/>
          <w:sz w:val="20"/>
          <w:szCs w:val="20"/>
        </w:rPr>
        <w:t>Third World Network</w:t>
      </w:r>
      <w:r w:rsidRPr="00504B5E">
        <w:rPr>
          <w:rFonts w:ascii="Arial" w:hAnsi="Arial" w:cs="Arial"/>
          <w:iCs/>
          <w:sz w:val="20"/>
          <w:szCs w:val="20"/>
        </w:rPr>
        <w:t>, Penang, Malaysia</w:t>
      </w:r>
      <w:r w:rsidRPr="00A3063C">
        <w:rPr>
          <w:rFonts w:ascii="Arial" w:hAnsi="Arial" w:cs="Arial"/>
          <w:i/>
          <w:iCs/>
          <w:sz w:val="20"/>
          <w:szCs w:val="20"/>
        </w:rPr>
        <w:t xml:space="preserve"> </w:t>
      </w:r>
    </w:p>
    <w:p w14:paraId="07F7D307" w14:textId="610EC18B" w:rsidR="002A437C" w:rsidRPr="00633A71" w:rsidRDefault="002A437C" w:rsidP="00810C20">
      <w:pPr>
        <w:spacing w:before="200" w:after="0" w:line="240" w:lineRule="auto"/>
        <w:jc w:val="both"/>
        <w:rPr>
          <w:rFonts w:ascii="Arial" w:hAnsi="Arial" w:cs="Arial"/>
          <w:iCs/>
          <w:sz w:val="20"/>
          <w:szCs w:val="20"/>
        </w:rPr>
      </w:pPr>
      <w:proofErr w:type="spellStart"/>
      <w:r w:rsidRPr="00002536">
        <w:rPr>
          <w:rFonts w:ascii="Arial" w:hAnsi="Arial"/>
          <w:sz w:val="20"/>
          <w:shd w:val="clear" w:color="auto" w:fill="FFFFFF"/>
          <w:lang w:val="en-US"/>
        </w:rPr>
        <w:t>Tengö</w:t>
      </w:r>
      <w:proofErr w:type="spellEnd"/>
      <w:r w:rsidRPr="00002536">
        <w:rPr>
          <w:rFonts w:ascii="Arial" w:hAnsi="Arial"/>
          <w:sz w:val="20"/>
          <w:shd w:val="clear" w:color="auto" w:fill="FFFFFF"/>
          <w:lang w:val="en-US"/>
        </w:rPr>
        <w:t xml:space="preserve">, M., </w:t>
      </w:r>
      <w:proofErr w:type="spellStart"/>
      <w:r w:rsidRPr="00002536">
        <w:rPr>
          <w:rFonts w:ascii="Arial" w:hAnsi="Arial"/>
          <w:sz w:val="20"/>
          <w:shd w:val="clear" w:color="auto" w:fill="FFFFFF"/>
          <w:lang w:val="en-US"/>
        </w:rPr>
        <w:t>Brondizio</w:t>
      </w:r>
      <w:proofErr w:type="spellEnd"/>
      <w:r w:rsidRPr="00002536">
        <w:rPr>
          <w:rFonts w:ascii="Arial" w:hAnsi="Arial"/>
          <w:sz w:val="20"/>
          <w:shd w:val="clear" w:color="auto" w:fill="FFFFFF"/>
          <w:lang w:val="en-US"/>
        </w:rPr>
        <w:t xml:space="preserve">, E., </w:t>
      </w:r>
      <w:proofErr w:type="spellStart"/>
      <w:r w:rsidRPr="00002536">
        <w:rPr>
          <w:rFonts w:ascii="Arial" w:hAnsi="Arial"/>
          <w:sz w:val="20"/>
          <w:shd w:val="clear" w:color="auto" w:fill="FFFFFF"/>
          <w:lang w:val="en-US"/>
        </w:rPr>
        <w:t>Elmqvist</w:t>
      </w:r>
      <w:proofErr w:type="spellEnd"/>
      <w:r w:rsidRPr="00002536">
        <w:rPr>
          <w:rFonts w:ascii="Arial" w:hAnsi="Arial"/>
          <w:sz w:val="20"/>
          <w:shd w:val="clear" w:color="auto" w:fill="FFFFFF"/>
          <w:lang w:val="en-US"/>
        </w:rPr>
        <w:t xml:space="preserve">, T., Malmer, P., </w:t>
      </w:r>
      <w:r w:rsidR="008D1D81" w:rsidRPr="00002536">
        <w:rPr>
          <w:rFonts w:ascii="Arial" w:hAnsi="Arial"/>
          <w:sz w:val="20"/>
          <w:shd w:val="clear" w:color="auto" w:fill="FFFFFF"/>
          <w:lang w:val="en-US"/>
        </w:rPr>
        <w:t xml:space="preserve">and </w:t>
      </w:r>
      <w:proofErr w:type="spellStart"/>
      <w:r w:rsidRPr="00002536">
        <w:rPr>
          <w:rFonts w:ascii="Arial" w:hAnsi="Arial"/>
          <w:sz w:val="20"/>
          <w:shd w:val="clear" w:color="auto" w:fill="FFFFFF"/>
          <w:lang w:val="en-US"/>
        </w:rPr>
        <w:t>Spierenburg</w:t>
      </w:r>
      <w:proofErr w:type="spellEnd"/>
      <w:r w:rsidRPr="00002536">
        <w:rPr>
          <w:rFonts w:ascii="Arial" w:hAnsi="Arial"/>
          <w:sz w:val="20"/>
          <w:shd w:val="clear" w:color="auto" w:fill="FFFFFF"/>
          <w:lang w:val="en-US"/>
        </w:rPr>
        <w:t>, M.</w:t>
      </w:r>
      <w:r w:rsidR="008D1D81" w:rsidRPr="00002536">
        <w:rPr>
          <w:rFonts w:ascii="Arial" w:hAnsi="Arial"/>
          <w:sz w:val="20"/>
          <w:shd w:val="clear" w:color="auto" w:fill="FFFFFF"/>
          <w:lang w:val="en-US"/>
        </w:rPr>
        <w:t>,</w:t>
      </w:r>
      <w:r w:rsidRPr="00002536">
        <w:rPr>
          <w:rFonts w:ascii="Arial" w:hAnsi="Arial"/>
          <w:sz w:val="20"/>
          <w:shd w:val="clear" w:color="auto" w:fill="FFFFFF"/>
          <w:lang w:val="en-US"/>
        </w:rPr>
        <w:t xml:space="preserve"> 2014. </w:t>
      </w:r>
      <w:r w:rsidRPr="00633A71">
        <w:rPr>
          <w:rFonts w:ascii="Arial" w:hAnsi="Arial"/>
          <w:sz w:val="20"/>
          <w:szCs w:val="20"/>
          <w:shd w:val="clear" w:color="auto" w:fill="FFFFFF"/>
        </w:rPr>
        <w:t>Connecting Diverse Knowledge Systems for Enhanced Ecosystem Governance: The Multiple Evidence Base Approach. </w:t>
      </w:r>
      <w:proofErr w:type="spellStart"/>
      <w:r w:rsidRPr="00633A71">
        <w:rPr>
          <w:rFonts w:ascii="Arial" w:hAnsi="Arial"/>
          <w:i/>
          <w:iCs/>
          <w:sz w:val="20"/>
          <w:szCs w:val="20"/>
        </w:rPr>
        <w:t>Ambio</w:t>
      </w:r>
      <w:proofErr w:type="spellEnd"/>
      <w:r w:rsidRPr="00633A71">
        <w:rPr>
          <w:rFonts w:ascii="Arial" w:hAnsi="Arial"/>
          <w:sz w:val="20"/>
          <w:szCs w:val="20"/>
          <w:shd w:val="clear" w:color="auto" w:fill="FFFFFF"/>
        </w:rPr>
        <w:t>, </w:t>
      </w:r>
      <w:r w:rsidRPr="00504B5E">
        <w:rPr>
          <w:rFonts w:ascii="Arial" w:hAnsi="Arial"/>
          <w:i/>
          <w:iCs/>
          <w:sz w:val="20"/>
          <w:szCs w:val="20"/>
        </w:rPr>
        <w:t>43</w:t>
      </w:r>
      <w:r w:rsidRPr="00504B5E">
        <w:rPr>
          <w:rFonts w:ascii="Arial" w:hAnsi="Arial"/>
          <w:sz w:val="20"/>
          <w:szCs w:val="20"/>
          <w:shd w:val="clear" w:color="auto" w:fill="FFFFFF"/>
        </w:rPr>
        <w:t xml:space="preserve">(5), 579–591. </w:t>
      </w:r>
      <w:hyperlink r:id="rId62" w:history="1">
        <w:r w:rsidRPr="00632DBC">
          <w:rPr>
            <w:rStyle w:val="Hyperlink"/>
            <w:rFonts w:ascii="Arial" w:hAnsi="Arial"/>
            <w:color w:val="auto"/>
            <w:sz w:val="20"/>
            <w:szCs w:val="20"/>
            <w:shd w:val="clear" w:color="auto" w:fill="FFFFFF"/>
          </w:rPr>
          <w:t>http://doi.org/10.1007/s13280-014-0501-3</w:t>
        </w:r>
      </w:hyperlink>
    </w:p>
    <w:p w14:paraId="1019A936" w14:textId="0E23D7ED"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The Economics</w:t>
      </w:r>
      <w:r w:rsidR="004D69E9" w:rsidRPr="00504B5E">
        <w:rPr>
          <w:rFonts w:ascii="Arial" w:hAnsi="Arial" w:cs="Arial"/>
          <w:sz w:val="20"/>
          <w:szCs w:val="20"/>
        </w:rPr>
        <w:t xml:space="preserve"> of Ecosystems and Biodiversity</w:t>
      </w:r>
      <w:r w:rsidR="008D1D81">
        <w:rPr>
          <w:rFonts w:ascii="Arial" w:hAnsi="Arial" w:cs="Arial"/>
          <w:sz w:val="20"/>
          <w:szCs w:val="20"/>
        </w:rPr>
        <w:t>,</w:t>
      </w:r>
      <w:r w:rsidRPr="00504B5E">
        <w:rPr>
          <w:rFonts w:ascii="Arial" w:hAnsi="Arial" w:cs="Arial"/>
          <w:sz w:val="20"/>
          <w:szCs w:val="20"/>
        </w:rPr>
        <w:t xml:space="preserve"> 2010. Mainstreaming the Economics of Nature. A synthesis of the approach, conclusions and recommendations of TEEB. Available at: </w:t>
      </w:r>
      <w:hyperlink r:id="rId63" w:history="1">
        <w:r w:rsidRPr="00632DBC">
          <w:rPr>
            <w:rStyle w:val="Hyperlink"/>
            <w:rFonts w:ascii="Arial" w:hAnsi="Arial" w:cs="Arial"/>
            <w:color w:val="auto"/>
            <w:sz w:val="20"/>
            <w:szCs w:val="20"/>
          </w:rPr>
          <w:t>http://www.teebweb.org/wp-content/uploads/Study%20and%20Reports/Reports/Synthesis%20report/TEEB%20Synthesis%20Report%202010.pdf</w:t>
        </w:r>
      </w:hyperlink>
      <w:r w:rsidRPr="00633A71">
        <w:rPr>
          <w:rFonts w:ascii="Arial" w:hAnsi="Arial" w:cs="Arial"/>
          <w:sz w:val="20"/>
          <w:szCs w:val="20"/>
        </w:rPr>
        <w:t xml:space="preserve"> Accessed 21</w:t>
      </w:r>
      <w:r w:rsidRPr="00633A71">
        <w:rPr>
          <w:rFonts w:ascii="Arial" w:hAnsi="Arial" w:cs="Arial"/>
          <w:sz w:val="20"/>
          <w:szCs w:val="20"/>
          <w:vertAlign w:val="superscript"/>
        </w:rPr>
        <w:t>st</w:t>
      </w:r>
      <w:r w:rsidRPr="00633A71">
        <w:rPr>
          <w:rFonts w:ascii="Arial" w:hAnsi="Arial" w:cs="Arial"/>
          <w:sz w:val="20"/>
          <w:szCs w:val="20"/>
        </w:rPr>
        <w:t xml:space="preserve"> May 2014</w:t>
      </w:r>
    </w:p>
    <w:p w14:paraId="437D357D"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The Economics of Ecosystems and Biodiversity, 2010. Chapter 4: Socio-cultural context of ecosystem and biodiversity valuation. The Ecological and Economic Foundations. Available at: </w:t>
      </w:r>
      <w:hyperlink r:id="rId64" w:history="1">
        <w:r w:rsidRPr="00632DBC">
          <w:rPr>
            <w:rStyle w:val="Hyperlink"/>
            <w:rFonts w:ascii="Arial" w:hAnsi="Arial" w:cs="Arial"/>
            <w:color w:val="auto"/>
            <w:sz w:val="20"/>
            <w:szCs w:val="20"/>
          </w:rPr>
          <w:t>http://www.teebweb.org/wp-content/uploads/2013/04/D0-Chapter-4-Socio-cultural-context-of-ecosystem-and-biodiversity-valuation.pdf</w:t>
        </w:r>
      </w:hyperlink>
      <w:r w:rsidRPr="00633A71">
        <w:rPr>
          <w:rFonts w:ascii="Arial" w:hAnsi="Arial" w:cs="Arial"/>
          <w:sz w:val="20"/>
          <w:szCs w:val="20"/>
        </w:rPr>
        <w:t xml:space="preserve"> Accessed 21st May 2014 </w:t>
      </w:r>
    </w:p>
    <w:p w14:paraId="3579D115"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The Economics of Ecosystems and Biodiversity, 2010. Policy Summary. Availabl</w:t>
      </w:r>
      <w:r w:rsidRPr="00504B5E">
        <w:rPr>
          <w:rFonts w:ascii="Arial" w:hAnsi="Arial" w:cs="Arial"/>
          <w:sz w:val="20"/>
          <w:szCs w:val="20"/>
        </w:rPr>
        <w:t xml:space="preserve">e at: </w:t>
      </w:r>
      <w:hyperlink r:id="rId65" w:history="1">
        <w:r w:rsidRPr="00632DBC">
          <w:rPr>
            <w:rStyle w:val="Hyperlink"/>
            <w:rFonts w:ascii="Arial" w:hAnsi="Arial" w:cs="Arial"/>
            <w:color w:val="auto"/>
            <w:sz w:val="20"/>
            <w:szCs w:val="20"/>
          </w:rPr>
          <w:t>http://www.unep.org/pdf/TEEB_D1_Summary.pdf</w:t>
        </w:r>
      </w:hyperlink>
      <w:r w:rsidRPr="00633A71">
        <w:rPr>
          <w:rFonts w:ascii="Arial" w:hAnsi="Arial" w:cs="Arial"/>
          <w:sz w:val="20"/>
          <w:szCs w:val="20"/>
        </w:rPr>
        <w:t xml:space="preserve"> Accessed 22nd May 2014</w:t>
      </w:r>
    </w:p>
    <w:p w14:paraId="1D56CFD9"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The Oxford English Dictionary, 2012. Available at: </w:t>
      </w:r>
      <w:hyperlink r:id="rId66" w:history="1">
        <w:r w:rsidRPr="00632DBC">
          <w:rPr>
            <w:rStyle w:val="Hyperlink"/>
            <w:rFonts w:ascii="Arial" w:hAnsi="Arial" w:cs="Arial"/>
            <w:color w:val="auto"/>
            <w:sz w:val="20"/>
            <w:szCs w:val="20"/>
          </w:rPr>
          <w:t>http://oxforddictionaries.com</w:t>
        </w:r>
      </w:hyperlink>
      <w:r w:rsidRPr="00633A71">
        <w:rPr>
          <w:rFonts w:ascii="Arial" w:hAnsi="Arial" w:cs="Arial"/>
          <w:sz w:val="20"/>
          <w:szCs w:val="20"/>
        </w:rPr>
        <w:t xml:space="preserve"> Accessed 3</w:t>
      </w:r>
      <w:r w:rsidRPr="00633A71">
        <w:rPr>
          <w:rFonts w:ascii="Arial" w:hAnsi="Arial" w:cs="Arial"/>
          <w:sz w:val="20"/>
          <w:szCs w:val="20"/>
          <w:vertAlign w:val="superscript"/>
        </w:rPr>
        <w:t>rd</w:t>
      </w:r>
      <w:r w:rsidRPr="00633A71">
        <w:rPr>
          <w:rFonts w:ascii="Arial" w:hAnsi="Arial" w:cs="Arial"/>
          <w:sz w:val="20"/>
          <w:szCs w:val="20"/>
        </w:rPr>
        <w:t xml:space="preserve"> August 2012</w:t>
      </w:r>
    </w:p>
    <w:p w14:paraId="06097513" w14:textId="40434BD6" w:rsidR="009C2678" w:rsidRPr="00504B5E" w:rsidRDefault="009C2678" w:rsidP="009C2678">
      <w:pPr>
        <w:spacing w:before="200" w:after="0" w:line="240" w:lineRule="auto"/>
        <w:rPr>
          <w:rFonts w:ascii="Arial" w:hAnsi="Arial"/>
          <w:sz w:val="20"/>
          <w:szCs w:val="20"/>
        </w:rPr>
      </w:pPr>
      <w:r w:rsidRPr="00504B5E">
        <w:rPr>
          <w:rFonts w:ascii="Arial" w:hAnsi="Arial"/>
          <w:sz w:val="20"/>
          <w:szCs w:val="20"/>
        </w:rPr>
        <w:t xml:space="preserve">The World Bank. Lao PDR Southeast Asia Disaster Risk Management Project (P160930). 2017. Project Information Document/Integrated Safeguards Data Sheet (PID/ISDS). Report No: PIDISDSC19620 </w:t>
      </w:r>
    </w:p>
    <w:p w14:paraId="26707AAC" w14:textId="160AB02E" w:rsidR="00810C20" w:rsidRPr="00633A71" w:rsidRDefault="00810C20" w:rsidP="00810C20">
      <w:pPr>
        <w:spacing w:before="200" w:after="0" w:line="240" w:lineRule="auto"/>
        <w:jc w:val="both"/>
        <w:rPr>
          <w:rFonts w:ascii="Arial" w:hAnsi="Arial" w:cs="Arial"/>
          <w:sz w:val="20"/>
          <w:szCs w:val="20"/>
        </w:rPr>
      </w:pPr>
      <w:proofErr w:type="spellStart"/>
      <w:r w:rsidRPr="00504B5E">
        <w:rPr>
          <w:rFonts w:ascii="Arial" w:hAnsi="Arial" w:cs="Arial"/>
          <w:sz w:val="20"/>
          <w:szCs w:val="20"/>
        </w:rPr>
        <w:t>Tomich</w:t>
      </w:r>
      <w:proofErr w:type="spellEnd"/>
      <w:r w:rsidRPr="00504B5E">
        <w:rPr>
          <w:rFonts w:ascii="Arial" w:hAnsi="Arial" w:cs="Arial"/>
          <w:sz w:val="20"/>
          <w:szCs w:val="20"/>
        </w:rPr>
        <w:t xml:space="preserve"> T.P. and </w:t>
      </w:r>
      <w:r w:rsidR="002B6C53">
        <w:rPr>
          <w:rFonts w:ascii="Arial" w:hAnsi="Arial" w:cs="Arial"/>
          <w:sz w:val="20"/>
          <w:szCs w:val="20"/>
        </w:rPr>
        <w:t>J.</w:t>
      </w:r>
      <w:r w:rsidRPr="00504B5E">
        <w:rPr>
          <w:rFonts w:ascii="Arial" w:hAnsi="Arial" w:cs="Arial"/>
          <w:sz w:val="20"/>
          <w:szCs w:val="20"/>
        </w:rPr>
        <w:t xml:space="preserve"> Lewis J., 2001. Putting community-based forest management on the map. ASB policy brief 2, Alternatives to Slash-and-Burn Program, Nairobi, Kenya. Available at: </w:t>
      </w:r>
      <w:hyperlink r:id="rId67" w:history="1">
        <w:r w:rsidRPr="00632DBC">
          <w:rPr>
            <w:rStyle w:val="Hyperlink"/>
            <w:rFonts w:ascii="Arial" w:hAnsi="Arial" w:cs="Arial"/>
            <w:color w:val="auto"/>
            <w:sz w:val="20"/>
            <w:szCs w:val="20"/>
          </w:rPr>
          <w:t>www.asb.cgiar.org/PDFwebdocs/PolicyBrief2.pdf</w:t>
        </w:r>
      </w:hyperlink>
      <w:r w:rsidRPr="00633A71">
        <w:rPr>
          <w:rFonts w:ascii="Arial" w:hAnsi="Arial" w:cs="Arial"/>
          <w:sz w:val="20"/>
          <w:szCs w:val="20"/>
        </w:rPr>
        <w:t xml:space="preserve"> Accessed 21st May 2014 </w:t>
      </w:r>
    </w:p>
    <w:p w14:paraId="6377A601" w14:textId="28A1748A" w:rsidR="007D3AC2" w:rsidRPr="00633A71" w:rsidRDefault="007D3AC2" w:rsidP="007D3AC2">
      <w:pPr>
        <w:spacing w:before="200" w:after="0" w:line="240" w:lineRule="auto"/>
        <w:rPr>
          <w:rFonts w:ascii="Arial" w:hAnsi="Arial" w:cs="Arial"/>
          <w:sz w:val="20"/>
          <w:szCs w:val="20"/>
        </w:rPr>
      </w:pPr>
      <w:r w:rsidRPr="00633A71">
        <w:rPr>
          <w:rFonts w:ascii="Arial" w:hAnsi="Arial" w:cs="Arial"/>
          <w:sz w:val="20"/>
          <w:szCs w:val="20"/>
        </w:rPr>
        <w:t xml:space="preserve">UN Human Rights Council, 2016. Report of the Special Rapporteur on the Rights of Indigenous Peoples on the Human Rights Situation of the Sami People in the </w:t>
      </w:r>
      <w:proofErr w:type="spellStart"/>
      <w:r w:rsidRPr="00633A71">
        <w:rPr>
          <w:rFonts w:ascii="Arial" w:hAnsi="Arial" w:cs="Arial"/>
          <w:sz w:val="20"/>
          <w:szCs w:val="20"/>
        </w:rPr>
        <w:t>Sápmi</w:t>
      </w:r>
      <w:proofErr w:type="spellEnd"/>
      <w:r w:rsidRPr="00633A71">
        <w:rPr>
          <w:rFonts w:ascii="Arial" w:hAnsi="Arial" w:cs="Arial"/>
          <w:sz w:val="20"/>
          <w:szCs w:val="20"/>
        </w:rPr>
        <w:t xml:space="preserve"> Region of Norway, Sweden and Finland. UN Human Rights Co</w:t>
      </w:r>
      <w:r w:rsidRPr="00504B5E">
        <w:rPr>
          <w:rFonts w:ascii="Arial" w:hAnsi="Arial" w:cs="Arial"/>
          <w:sz w:val="20"/>
          <w:szCs w:val="20"/>
        </w:rPr>
        <w:t xml:space="preserve">uncil, Retrieved October 18, 2016, from </w:t>
      </w:r>
      <w:hyperlink r:id="rId68" w:history="1">
        <w:r w:rsidRPr="00632DBC">
          <w:rPr>
            <w:rStyle w:val="Hyperlink"/>
            <w:rFonts w:ascii="Arial" w:hAnsi="Arial" w:cs="Arial"/>
            <w:color w:val="auto"/>
            <w:sz w:val="20"/>
            <w:szCs w:val="20"/>
          </w:rPr>
          <w:t>https://documents-dds-ny.un.org/doc/UNDOC/GEN/G16/175/50/PDF/G1617550.pdf?OpenElement</w:t>
        </w:r>
      </w:hyperlink>
      <w:r w:rsidRPr="00633A71">
        <w:rPr>
          <w:rFonts w:ascii="Arial" w:hAnsi="Arial" w:cs="Arial"/>
          <w:sz w:val="20"/>
          <w:szCs w:val="20"/>
        </w:rPr>
        <w:t>.</w:t>
      </w:r>
    </w:p>
    <w:p w14:paraId="575B4C3D" w14:textId="101F5E31" w:rsidR="004D69E9" w:rsidRPr="00504B5E" w:rsidRDefault="004D69E9" w:rsidP="004D69E9">
      <w:pPr>
        <w:spacing w:before="200" w:after="0" w:line="240" w:lineRule="auto"/>
        <w:rPr>
          <w:rFonts w:ascii="Arial" w:hAnsi="Arial"/>
          <w:sz w:val="20"/>
          <w:szCs w:val="20"/>
        </w:rPr>
      </w:pPr>
      <w:r w:rsidRPr="00633A71">
        <w:rPr>
          <w:rFonts w:ascii="Arial" w:hAnsi="Arial"/>
          <w:sz w:val="20"/>
          <w:szCs w:val="20"/>
        </w:rPr>
        <w:t>United Nations, General Ass</w:t>
      </w:r>
      <w:r w:rsidRPr="00504B5E">
        <w:rPr>
          <w:rFonts w:ascii="Arial" w:hAnsi="Arial"/>
          <w:sz w:val="20"/>
          <w:szCs w:val="20"/>
        </w:rPr>
        <w:t>embly</w:t>
      </w:r>
      <w:r w:rsidR="008D1D81">
        <w:rPr>
          <w:rFonts w:ascii="Arial" w:hAnsi="Arial"/>
          <w:sz w:val="20"/>
          <w:szCs w:val="20"/>
        </w:rPr>
        <w:t>,</w:t>
      </w:r>
      <w:r w:rsidRPr="00504B5E">
        <w:rPr>
          <w:rFonts w:ascii="Arial" w:hAnsi="Arial"/>
          <w:sz w:val="20"/>
          <w:szCs w:val="20"/>
        </w:rPr>
        <w:t xml:space="preserve"> 2017. </w:t>
      </w:r>
      <w:r w:rsidRPr="00504B5E">
        <w:rPr>
          <w:rFonts w:ascii="Arial" w:hAnsi="Arial"/>
          <w:bCs/>
          <w:sz w:val="20"/>
          <w:szCs w:val="20"/>
        </w:rPr>
        <w:t xml:space="preserve">Report of the Special Rapporteur on the issue of human rights obligations relating to the enjoyment of a safe, clean, healthy and sustainable environment. </w:t>
      </w:r>
      <w:r w:rsidRPr="00504B5E">
        <w:rPr>
          <w:rFonts w:ascii="Arial" w:hAnsi="Arial"/>
          <w:sz w:val="20"/>
          <w:szCs w:val="20"/>
        </w:rPr>
        <w:t>A/HRC/34/49</w:t>
      </w:r>
      <w:r w:rsidRPr="00504B5E">
        <w:rPr>
          <w:rFonts w:ascii="Arial" w:hAnsi="Arial"/>
          <w:bCs/>
          <w:sz w:val="20"/>
          <w:szCs w:val="20"/>
        </w:rPr>
        <w:t>.</w:t>
      </w:r>
      <w:r w:rsidRPr="00504B5E">
        <w:rPr>
          <w:rFonts w:ascii="Arial" w:hAnsi="Arial"/>
          <w:sz w:val="20"/>
          <w:szCs w:val="20"/>
        </w:rPr>
        <w:t xml:space="preserve"> Available at: </w:t>
      </w:r>
      <w:hyperlink r:id="rId69" w:history="1">
        <w:r w:rsidRPr="00632DBC">
          <w:rPr>
            <w:rStyle w:val="Hyperlink"/>
            <w:rFonts w:ascii="Arial" w:hAnsi="Arial"/>
            <w:color w:val="auto"/>
            <w:sz w:val="20"/>
            <w:szCs w:val="20"/>
          </w:rPr>
          <w:t>https://documents-dds-ny.un.org/doc/UNDOC/GEN/G17/009/97/PDF/G1700997.pdf?OpenElement</w:t>
        </w:r>
      </w:hyperlink>
      <w:r w:rsidRPr="00633A71">
        <w:rPr>
          <w:rFonts w:ascii="Arial" w:hAnsi="Arial"/>
          <w:sz w:val="20"/>
          <w:szCs w:val="20"/>
        </w:rPr>
        <w:t xml:space="preserve"> Accessed 18</w:t>
      </w:r>
      <w:r w:rsidRPr="00633A71">
        <w:rPr>
          <w:rFonts w:ascii="Arial" w:hAnsi="Arial"/>
          <w:sz w:val="20"/>
          <w:szCs w:val="20"/>
          <w:vertAlign w:val="superscript"/>
        </w:rPr>
        <w:t>th</w:t>
      </w:r>
      <w:r w:rsidRPr="00633A71">
        <w:rPr>
          <w:rFonts w:ascii="Arial" w:hAnsi="Arial"/>
          <w:sz w:val="20"/>
          <w:szCs w:val="20"/>
        </w:rPr>
        <w:t xml:space="preserve"> November 2017</w:t>
      </w:r>
    </w:p>
    <w:p w14:paraId="1017E03D" w14:textId="1E6D2F08" w:rsidR="000415E8" w:rsidRPr="00633A71" w:rsidRDefault="000415E8" w:rsidP="000415E8">
      <w:pPr>
        <w:autoSpaceDE w:val="0"/>
        <w:autoSpaceDN w:val="0"/>
        <w:adjustRightInd w:val="0"/>
        <w:spacing w:before="200" w:after="0" w:line="240" w:lineRule="auto"/>
        <w:rPr>
          <w:rFonts w:ascii="Arial" w:hAnsi="Arial"/>
          <w:sz w:val="20"/>
          <w:szCs w:val="20"/>
        </w:rPr>
      </w:pPr>
      <w:r w:rsidRPr="00504B5E">
        <w:rPr>
          <w:rFonts w:ascii="Arial" w:hAnsi="Arial"/>
          <w:sz w:val="20"/>
          <w:szCs w:val="20"/>
        </w:rPr>
        <w:t>UNDP-PEI</w:t>
      </w:r>
      <w:r w:rsidR="008D1D81">
        <w:rPr>
          <w:rFonts w:ascii="Arial" w:hAnsi="Arial"/>
          <w:sz w:val="20"/>
          <w:szCs w:val="20"/>
        </w:rPr>
        <w:t>,</w:t>
      </w:r>
      <w:r w:rsidR="008D1D81" w:rsidRPr="00504B5E">
        <w:rPr>
          <w:rFonts w:ascii="Arial" w:hAnsi="Arial"/>
          <w:sz w:val="20"/>
          <w:szCs w:val="20"/>
        </w:rPr>
        <w:t xml:space="preserve"> </w:t>
      </w:r>
      <w:r w:rsidRPr="00504B5E">
        <w:rPr>
          <w:rFonts w:ascii="Arial" w:hAnsi="Arial"/>
          <w:sz w:val="20"/>
          <w:szCs w:val="20"/>
        </w:rPr>
        <w:t xml:space="preserve">2016. </w:t>
      </w:r>
      <w:r w:rsidRPr="00504B5E">
        <w:rPr>
          <w:rFonts w:ascii="Arial" w:hAnsi="Arial"/>
          <w:bCs/>
          <w:sz w:val="20"/>
          <w:szCs w:val="20"/>
        </w:rPr>
        <w:t xml:space="preserve">Poverty Environment Initiative (PEI) Phase 2. </w:t>
      </w:r>
      <w:r w:rsidRPr="00504B5E">
        <w:rPr>
          <w:rFonts w:ascii="Arial" w:hAnsi="Arial"/>
          <w:sz w:val="20"/>
          <w:szCs w:val="20"/>
        </w:rPr>
        <w:t xml:space="preserve">Project Brief. Project ID: 00078225. Available at: </w:t>
      </w:r>
      <w:hyperlink r:id="rId70" w:history="1">
        <w:r w:rsidRPr="00632DBC">
          <w:rPr>
            <w:rStyle w:val="Hyperlink"/>
            <w:rFonts w:ascii="Arial" w:hAnsi="Arial"/>
            <w:color w:val="auto"/>
            <w:sz w:val="20"/>
            <w:szCs w:val="20"/>
          </w:rPr>
          <w:t>http://www.la.undp.org/content/dam/laopdr/docs/Project%20Briefs_Fact%20Sheets/Environment/FINAL%20PEI%20Project-Brief_Dec2016.pdf</w:t>
        </w:r>
      </w:hyperlink>
      <w:r w:rsidRPr="00633A71">
        <w:rPr>
          <w:rFonts w:ascii="Arial" w:hAnsi="Arial"/>
          <w:sz w:val="20"/>
          <w:szCs w:val="20"/>
        </w:rPr>
        <w:t xml:space="preserve"> Accessed 10th September 2017</w:t>
      </w:r>
    </w:p>
    <w:p w14:paraId="441ECCDC" w14:textId="77777777" w:rsidR="00810C20" w:rsidRPr="00633A71" w:rsidRDefault="00810C20" w:rsidP="00810C20">
      <w:pPr>
        <w:spacing w:before="200" w:after="0" w:line="240" w:lineRule="auto"/>
        <w:jc w:val="both"/>
        <w:rPr>
          <w:rFonts w:ascii="Arial" w:hAnsi="Arial" w:cs="Arial"/>
          <w:iCs/>
          <w:sz w:val="20"/>
          <w:szCs w:val="20"/>
        </w:rPr>
      </w:pPr>
      <w:r w:rsidRPr="00633A71">
        <w:rPr>
          <w:rFonts w:ascii="Arial" w:hAnsi="Arial" w:cs="Arial"/>
          <w:iCs/>
          <w:sz w:val="20"/>
          <w:szCs w:val="20"/>
        </w:rPr>
        <w:t xml:space="preserve">UNEP, 2004. The Use of Economic Instruments in Environmental Policy: </w:t>
      </w:r>
      <w:r w:rsidRPr="00504B5E">
        <w:rPr>
          <w:rFonts w:ascii="Arial" w:hAnsi="Arial" w:cs="Arial"/>
          <w:sz w:val="20"/>
          <w:szCs w:val="20"/>
        </w:rPr>
        <w:t>Opportunities and Challenges</w:t>
      </w:r>
      <w:r w:rsidRPr="00504B5E">
        <w:rPr>
          <w:rFonts w:ascii="Arial" w:hAnsi="Arial" w:cs="Arial"/>
          <w:iCs/>
          <w:sz w:val="20"/>
          <w:szCs w:val="20"/>
        </w:rPr>
        <w:t xml:space="preserve">, </w:t>
      </w:r>
      <w:r w:rsidRPr="00504B5E">
        <w:rPr>
          <w:rFonts w:ascii="Arial" w:hAnsi="Arial" w:cs="Arial"/>
          <w:i/>
          <w:iCs/>
          <w:sz w:val="20"/>
          <w:szCs w:val="20"/>
        </w:rPr>
        <w:t>United Nations Environment Programme</w:t>
      </w:r>
      <w:r w:rsidRPr="00504B5E">
        <w:rPr>
          <w:rFonts w:ascii="Arial" w:hAnsi="Arial" w:cs="Arial"/>
          <w:iCs/>
          <w:sz w:val="20"/>
          <w:szCs w:val="20"/>
        </w:rPr>
        <w:t xml:space="preserve">, Geneva, Switzerland Available at: </w:t>
      </w:r>
      <w:hyperlink r:id="rId71" w:history="1">
        <w:r w:rsidRPr="00632DBC">
          <w:rPr>
            <w:rStyle w:val="Hyperlink"/>
            <w:rFonts w:ascii="Arial" w:hAnsi="Arial" w:cs="Arial"/>
            <w:iCs/>
            <w:color w:val="auto"/>
            <w:sz w:val="20"/>
            <w:szCs w:val="20"/>
          </w:rPr>
          <w:t>http://www.unep.ch/etb/publications/EconInst/econInstruOppChnaFin.pdf</w:t>
        </w:r>
      </w:hyperlink>
      <w:r w:rsidRPr="00633A71">
        <w:rPr>
          <w:rFonts w:ascii="Arial" w:hAnsi="Arial" w:cs="Arial"/>
          <w:iCs/>
          <w:sz w:val="20"/>
          <w:szCs w:val="20"/>
        </w:rPr>
        <w:t xml:space="preserve"> Accessed 22nd May 2014</w:t>
      </w:r>
    </w:p>
    <w:p w14:paraId="13231CE0" w14:textId="5DB20658" w:rsidR="007C24C9" w:rsidRPr="00504B5E" w:rsidRDefault="007C24C9" w:rsidP="007C24C9">
      <w:pPr>
        <w:autoSpaceDE w:val="0"/>
        <w:autoSpaceDN w:val="0"/>
        <w:adjustRightInd w:val="0"/>
        <w:spacing w:before="200" w:after="0" w:line="240" w:lineRule="auto"/>
        <w:rPr>
          <w:rFonts w:ascii="Arial" w:hAnsi="Arial"/>
          <w:sz w:val="20"/>
          <w:szCs w:val="20"/>
        </w:rPr>
      </w:pPr>
      <w:r w:rsidRPr="00633A71">
        <w:rPr>
          <w:rFonts w:ascii="Arial" w:hAnsi="Arial"/>
          <w:sz w:val="20"/>
          <w:szCs w:val="20"/>
        </w:rPr>
        <w:t>UNEP-UNDP</w:t>
      </w:r>
      <w:r w:rsidR="008D1D81">
        <w:rPr>
          <w:rFonts w:ascii="Arial" w:hAnsi="Arial"/>
          <w:sz w:val="20"/>
          <w:szCs w:val="20"/>
        </w:rPr>
        <w:t>,</w:t>
      </w:r>
      <w:r w:rsidR="008D1D81" w:rsidRPr="00633A71">
        <w:rPr>
          <w:rFonts w:ascii="Arial" w:hAnsi="Arial"/>
          <w:sz w:val="20"/>
          <w:szCs w:val="20"/>
        </w:rPr>
        <w:t xml:space="preserve"> </w:t>
      </w:r>
      <w:r w:rsidRPr="00633A71">
        <w:rPr>
          <w:rFonts w:ascii="Arial" w:hAnsi="Arial"/>
          <w:sz w:val="20"/>
          <w:szCs w:val="20"/>
        </w:rPr>
        <w:t>2015. Seeds of CHANGE. The UNDP-UNEP Poverty-Enviro</w:t>
      </w:r>
      <w:r w:rsidRPr="00504B5E">
        <w:rPr>
          <w:rFonts w:ascii="Arial" w:hAnsi="Arial"/>
          <w:sz w:val="20"/>
          <w:szCs w:val="20"/>
        </w:rPr>
        <w:t xml:space="preserve">nment Initiative 2015 Annual Report. Available at: </w:t>
      </w:r>
      <w:hyperlink r:id="rId72" w:history="1">
        <w:r w:rsidRPr="00632DBC">
          <w:rPr>
            <w:rStyle w:val="Hyperlink"/>
            <w:rFonts w:ascii="Arial" w:hAnsi="Arial"/>
            <w:color w:val="auto"/>
            <w:sz w:val="20"/>
            <w:szCs w:val="20"/>
          </w:rPr>
          <w:t>http://unpei.org/sites/default/files/publications/seeds%20of%20change-static-web.pdf</w:t>
        </w:r>
      </w:hyperlink>
      <w:r w:rsidRPr="00633A71">
        <w:rPr>
          <w:rFonts w:ascii="Arial" w:hAnsi="Arial"/>
          <w:sz w:val="20"/>
          <w:szCs w:val="20"/>
        </w:rPr>
        <w:t xml:space="preserve"> Accessed 1</w:t>
      </w:r>
      <w:r w:rsidRPr="00633A71">
        <w:rPr>
          <w:rFonts w:ascii="Arial" w:hAnsi="Arial"/>
          <w:sz w:val="20"/>
          <w:szCs w:val="20"/>
          <w:vertAlign w:val="superscript"/>
        </w:rPr>
        <w:t>st</w:t>
      </w:r>
      <w:r w:rsidRPr="00633A71">
        <w:rPr>
          <w:rFonts w:ascii="Arial" w:hAnsi="Arial"/>
          <w:sz w:val="20"/>
          <w:szCs w:val="20"/>
        </w:rPr>
        <w:t xml:space="preserve"> December 2017.</w:t>
      </w:r>
    </w:p>
    <w:p w14:paraId="4F8CE849" w14:textId="11AA3FE7" w:rsidR="007C24C9" w:rsidRPr="00633A71" w:rsidRDefault="00596024" w:rsidP="0057583C">
      <w:pPr>
        <w:pStyle w:val="Default"/>
        <w:spacing w:before="200"/>
        <w:rPr>
          <w:rFonts w:ascii="Arial" w:hAnsi="Arial"/>
          <w:color w:val="auto"/>
          <w:sz w:val="20"/>
          <w:szCs w:val="20"/>
          <w:lang w:val="en-GB"/>
        </w:rPr>
      </w:pPr>
      <w:r w:rsidRPr="00504B5E">
        <w:rPr>
          <w:rFonts w:ascii="Arial" w:hAnsi="Arial"/>
          <w:color w:val="auto"/>
          <w:sz w:val="20"/>
          <w:szCs w:val="20"/>
          <w:lang w:val="en-GB"/>
        </w:rPr>
        <w:lastRenderedPageBreak/>
        <w:t>UNEP-UNDP Poverty–Environment Initiative</w:t>
      </w:r>
      <w:r w:rsidR="008D1D81">
        <w:rPr>
          <w:rFonts w:ascii="Arial" w:hAnsi="Arial"/>
          <w:color w:val="auto"/>
          <w:sz w:val="20"/>
          <w:szCs w:val="20"/>
          <w:lang w:val="en-GB"/>
        </w:rPr>
        <w:t>,</w:t>
      </w:r>
      <w:r w:rsidR="008D1D81" w:rsidRPr="00504B5E">
        <w:rPr>
          <w:rFonts w:ascii="Arial" w:hAnsi="Arial"/>
          <w:color w:val="auto"/>
          <w:sz w:val="20"/>
          <w:szCs w:val="20"/>
          <w:lang w:val="en-GB"/>
        </w:rPr>
        <w:t xml:space="preserve"> </w:t>
      </w:r>
      <w:r w:rsidRPr="00504B5E">
        <w:rPr>
          <w:rFonts w:ascii="Arial" w:hAnsi="Arial"/>
          <w:color w:val="auto"/>
          <w:sz w:val="20"/>
          <w:szCs w:val="20"/>
          <w:lang w:val="en-GB"/>
        </w:rPr>
        <w:t xml:space="preserve">2010. Guidelines and Checklists to </w:t>
      </w:r>
      <w:r w:rsidRPr="00504B5E">
        <w:rPr>
          <w:rFonts w:ascii="Arial" w:hAnsi="Arial"/>
          <w:bCs/>
          <w:iCs/>
          <w:color w:val="auto"/>
          <w:sz w:val="20"/>
          <w:szCs w:val="20"/>
          <w:lang w:val="en-GB"/>
        </w:rPr>
        <w:t xml:space="preserve">Review </w:t>
      </w:r>
      <w:r w:rsidRPr="00504B5E">
        <w:rPr>
          <w:rFonts w:ascii="Arial" w:hAnsi="Arial"/>
          <w:color w:val="auto"/>
          <w:sz w:val="20"/>
          <w:szCs w:val="20"/>
          <w:lang w:val="en-GB"/>
        </w:rPr>
        <w:t xml:space="preserve">Environmental and Social Impact Assessments. ESIA Component, Lao PDR. Available at: </w:t>
      </w:r>
      <w:hyperlink r:id="rId73" w:history="1">
        <w:r w:rsidRPr="00632DBC">
          <w:rPr>
            <w:rStyle w:val="Hyperlink"/>
            <w:rFonts w:ascii="Arial" w:hAnsi="Arial"/>
            <w:color w:val="auto"/>
            <w:sz w:val="20"/>
            <w:szCs w:val="20"/>
            <w:lang w:val="en-GB"/>
          </w:rPr>
          <w:t>https://www.unpei.org/sites/default/files/e_library_documents/ESIA_review_guidelines_JULY_16_2010_for%20consultations.pdf</w:t>
        </w:r>
      </w:hyperlink>
      <w:r w:rsidRPr="00633A71">
        <w:rPr>
          <w:rFonts w:ascii="Arial" w:hAnsi="Arial"/>
          <w:color w:val="auto"/>
          <w:sz w:val="20"/>
          <w:szCs w:val="20"/>
          <w:lang w:val="en-GB"/>
        </w:rPr>
        <w:t xml:space="preserve"> Accessed 1st September 2017.</w:t>
      </w:r>
    </w:p>
    <w:p w14:paraId="6CA5EC7C" w14:textId="77777777" w:rsidR="00810C20" w:rsidRPr="00504B5E" w:rsidRDefault="00810C20" w:rsidP="00810C20">
      <w:pPr>
        <w:spacing w:before="200" w:after="0" w:line="240" w:lineRule="auto"/>
        <w:jc w:val="both"/>
        <w:rPr>
          <w:rFonts w:ascii="Arial" w:hAnsi="Arial" w:cs="Arial"/>
          <w:iCs/>
          <w:sz w:val="20"/>
          <w:szCs w:val="20"/>
        </w:rPr>
      </w:pPr>
      <w:r w:rsidRPr="00633A71">
        <w:rPr>
          <w:rFonts w:ascii="Arial" w:hAnsi="Arial" w:cs="Arial"/>
          <w:iCs/>
          <w:sz w:val="20"/>
          <w:szCs w:val="20"/>
        </w:rPr>
        <w:t xml:space="preserve">USAID, 2011. </w:t>
      </w:r>
      <w:proofErr w:type="gramStart"/>
      <w:r w:rsidRPr="00633A71">
        <w:rPr>
          <w:rFonts w:ascii="Arial" w:hAnsi="Arial" w:cs="Arial"/>
          <w:iCs/>
          <w:sz w:val="20"/>
          <w:szCs w:val="20"/>
        </w:rPr>
        <w:t>Ecuador :</w:t>
      </w:r>
      <w:proofErr w:type="gramEnd"/>
      <w:r w:rsidRPr="00633A71">
        <w:rPr>
          <w:rFonts w:ascii="Arial" w:hAnsi="Arial" w:cs="Arial"/>
          <w:iCs/>
          <w:sz w:val="20"/>
          <w:szCs w:val="20"/>
        </w:rPr>
        <w:t xml:space="preserve"> Property rights </w:t>
      </w:r>
      <w:r w:rsidRPr="00504B5E">
        <w:rPr>
          <w:rFonts w:ascii="Arial" w:hAnsi="Arial" w:cs="Arial"/>
          <w:iCs/>
          <w:sz w:val="20"/>
          <w:szCs w:val="20"/>
        </w:rPr>
        <w:t>And Resources Governance Profile</w:t>
      </w:r>
    </w:p>
    <w:p w14:paraId="346E45B6" w14:textId="77777777" w:rsidR="00810C20" w:rsidRPr="00633A71" w:rsidRDefault="00810C20" w:rsidP="00810C20">
      <w:pPr>
        <w:spacing w:before="200" w:after="0" w:line="240" w:lineRule="auto"/>
        <w:jc w:val="both"/>
        <w:rPr>
          <w:rFonts w:ascii="Arial" w:hAnsi="Arial" w:cs="Arial"/>
          <w:iCs/>
          <w:sz w:val="20"/>
          <w:szCs w:val="20"/>
        </w:rPr>
      </w:pPr>
      <w:r w:rsidRPr="00504B5E">
        <w:rPr>
          <w:rFonts w:ascii="Arial" w:hAnsi="Arial" w:cs="Arial"/>
          <w:iCs/>
          <w:sz w:val="20"/>
          <w:szCs w:val="20"/>
        </w:rPr>
        <w:t xml:space="preserve">Available at: </w:t>
      </w:r>
      <w:hyperlink r:id="rId74" w:history="1">
        <w:r w:rsidRPr="00632DBC">
          <w:rPr>
            <w:rStyle w:val="Hyperlink"/>
            <w:rFonts w:ascii="Arial" w:hAnsi="Arial" w:cs="Arial"/>
            <w:iCs/>
            <w:color w:val="auto"/>
            <w:sz w:val="20"/>
            <w:szCs w:val="20"/>
          </w:rPr>
          <w:t>http://usaidlandtenure.net/sites/default/files/country-profiles/full-reports/USAID_Land_Tenure_Ecuador_Profile.pdf</w:t>
        </w:r>
      </w:hyperlink>
      <w:r w:rsidRPr="00633A71">
        <w:rPr>
          <w:rFonts w:ascii="Arial" w:hAnsi="Arial" w:cs="Arial"/>
          <w:iCs/>
          <w:sz w:val="20"/>
          <w:szCs w:val="20"/>
        </w:rPr>
        <w:t xml:space="preserve"> Accessed 2nd June 2014</w:t>
      </w:r>
    </w:p>
    <w:p w14:paraId="057529EB"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Van Asselt, H., 2011. Integrating biodiversity in the climate regime’s Forest Rules: options and trade-offs in greening REDD design. </w:t>
      </w:r>
      <w:r w:rsidRPr="00504B5E">
        <w:rPr>
          <w:rFonts w:ascii="Arial" w:hAnsi="Arial" w:cs="Arial"/>
          <w:i/>
          <w:sz w:val="20"/>
          <w:szCs w:val="20"/>
        </w:rPr>
        <w:t>Review of European Community and International Environmental Law</w:t>
      </w:r>
      <w:r w:rsidRPr="00504B5E">
        <w:rPr>
          <w:rFonts w:ascii="Arial" w:hAnsi="Arial" w:cs="Arial"/>
          <w:sz w:val="20"/>
          <w:szCs w:val="20"/>
        </w:rPr>
        <w:t xml:space="preserve"> 20(2), pp. 139-149</w:t>
      </w:r>
    </w:p>
    <w:p w14:paraId="7AD5C4D4" w14:textId="4B6243E7" w:rsidR="00810C20" w:rsidRPr="00633A71" w:rsidRDefault="00810C20" w:rsidP="00810C20">
      <w:pPr>
        <w:spacing w:before="200" w:after="0" w:line="240" w:lineRule="auto"/>
        <w:jc w:val="both"/>
        <w:rPr>
          <w:rFonts w:ascii="Arial" w:hAnsi="Arial" w:cs="Arial"/>
          <w:sz w:val="20"/>
          <w:szCs w:val="20"/>
        </w:rPr>
      </w:pPr>
      <w:proofErr w:type="spellStart"/>
      <w:r w:rsidRPr="00002536">
        <w:rPr>
          <w:rFonts w:ascii="Arial" w:hAnsi="Arial"/>
          <w:sz w:val="20"/>
          <w:lang w:val="en-US"/>
        </w:rPr>
        <w:t>Vatn</w:t>
      </w:r>
      <w:proofErr w:type="spellEnd"/>
      <w:r w:rsidRPr="00002536">
        <w:rPr>
          <w:rFonts w:ascii="Arial" w:hAnsi="Arial"/>
          <w:sz w:val="20"/>
          <w:lang w:val="en-US"/>
        </w:rPr>
        <w:t xml:space="preserve">, A., Barton, D.N., </w:t>
      </w:r>
      <w:proofErr w:type="spellStart"/>
      <w:proofErr w:type="gramStart"/>
      <w:r w:rsidRPr="00002536">
        <w:rPr>
          <w:rFonts w:ascii="Arial" w:hAnsi="Arial"/>
          <w:sz w:val="20"/>
          <w:lang w:val="en-US"/>
        </w:rPr>
        <w:t>Lindhjem,H</w:t>
      </w:r>
      <w:proofErr w:type="spellEnd"/>
      <w:r w:rsidRPr="00002536">
        <w:rPr>
          <w:rFonts w:ascii="Arial" w:hAnsi="Arial"/>
          <w:sz w:val="20"/>
          <w:lang w:val="en-US"/>
        </w:rPr>
        <w:t>.</w:t>
      </w:r>
      <w:proofErr w:type="gramEnd"/>
      <w:r w:rsidRPr="00002536">
        <w:rPr>
          <w:rFonts w:ascii="Arial" w:hAnsi="Arial"/>
          <w:sz w:val="20"/>
          <w:lang w:val="en-US"/>
        </w:rPr>
        <w:t xml:space="preserve">, </w:t>
      </w:r>
      <w:proofErr w:type="spellStart"/>
      <w:r w:rsidRPr="00002536">
        <w:rPr>
          <w:rFonts w:ascii="Arial" w:hAnsi="Arial"/>
          <w:sz w:val="20"/>
          <w:lang w:val="en-US"/>
        </w:rPr>
        <w:t>Movik</w:t>
      </w:r>
      <w:proofErr w:type="spellEnd"/>
      <w:r w:rsidRPr="00002536">
        <w:rPr>
          <w:rFonts w:ascii="Arial" w:hAnsi="Arial"/>
          <w:sz w:val="20"/>
          <w:lang w:val="en-US"/>
        </w:rPr>
        <w:t xml:space="preserve">, S., Ring, I., Santos, R., 2011. </w:t>
      </w:r>
      <w:r w:rsidRPr="00633A71">
        <w:rPr>
          <w:rFonts w:ascii="Arial" w:hAnsi="Arial" w:cs="Arial"/>
          <w:sz w:val="20"/>
          <w:szCs w:val="20"/>
        </w:rPr>
        <w:t xml:space="preserve">Can markets protect biodiversity? An evaluation of different financial mechanisms. </w:t>
      </w:r>
      <w:proofErr w:type="spellStart"/>
      <w:r w:rsidRPr="00633A71">
        <w:rPr>
          <w:rFonts w:ascii="Arial" w:hAnsi="Arial" w:cs="Arial"/>
          <w:sz w:val="20"/>
          <w:szCs w:val="20"/>
        </w:rPr>
        <w:t>Noragric</w:t>
      </w:r>
      <w:proofErr w:type="spellEnd"/>
      <w:r w:rsidRPr="00633A71">
        <w:rPr>
          <w:rFonts w:ascii="Arial" w:hAnsi="Arial" w:cs="Arial"/>
          <w:sz w:val="20"/>
          <w:szCs w:val="20"/>
        </w:rPr>
        <w:t xml:space="preserve"> Report No. 60. </w:t>
      </w:r>
      <w:r w:rsidRPr="00633A71">
        <w:rPr>
          <w:rFonts w:ascii="Arial" w:hAnsi="Arial" w:cs="Arial"/>
          <w:i/>
          <w:sz w:val="20"/>
          <w:szCs w:val="20"/>
        </w:rPr>
        <w:t>Department of International Environment and Development Studies</w:t>
      </w:r>
      <w:r w:rsidRPr="00504B5E">
        <w:rPr>
          <w:rFonts w:ascii="Arial" w:hAnsi="Arial" w:cs="Arial"/>
          <w:sz w:val="20"/>
          <w:szCs w:val="20"/>
        </w:rPr>
        <w:t xml:space="preserve">, </w:t>
      </w:r>
      <w:proofErr w:type="spellStart"/>
      <w:r w:rsidRPr="00504B5E">
        <w:rPr>
          <w:rFonts w:ascii="Arial" w:hAnsi="Arial" w:cs="Arial"/>
          <w:sz w:val="20"/>
          <w:szCs w:val="20"/>
        </w:rPr>
        <w:t>Noragric</w:t>
      </w:r>
      <w:proofErr w:type="spellEnd"/>
      <w:r w:rsidRPr="00504B5E">
        <w:rPr>
          <w:rFonts w:ascii="Arial" w:hAnsi="Arial" w:cs="Arial"/>
          <w:sz w:val="20"/>
          <w:szCs w:val="20"/>
        </w:rPr>
        <w:t xml:space="preserve">. Norwegian University of Life Sciences, UMB Available at: </w:t>
      </w:r>
      <w:hyperlink r:id="rId75" w:history="1">
        <w:r w:rsidRPr="00632DBC">
          <w:rPr>
            <w:rStyle w:val="Hyperlink"/>
            <w:rFonts w:ascii="Arial" w:hAnsi="Arial" w:cs="Arial"/>
            <w:color w:val="auto"/>
            <w:sz w:val="20"/>
            <w:szCs w:val="20"/>
          </w:rPr>
          <w:t>http://www.umb.no/statisk/noragric/publications/reports/2011_nor_rep_60.pdf</w:t>
        </w:r>
      </w:hyperlink>
      <w:r w:rsidRPr="00633A71">
        <w:rPr>
          <w:rFonts w:ascii="Arial" w:hAnsi="Arial" w:cs="Arial"/>
          <w:sz w:val="20"/>
          <w:szCs w:val="20"/>
        </w:rPr>
        <w:t xml:space="preserve"> Accessed 22nd May 2014</w:t>
      </w:r>
    </w:p>
    <w:p w14:paraId="75ECFC83" w14:textId="13D3DD99" w:rsidR="00810C20" w:rsidRPr="00504B5E" w:rsidRDefault="00810C20" w:rsidP="00810C20">
      <w:pPr>
        <w:spacing w:before="200" w:after="0" w:line="240" w:lineRule="auto"/>
        <w:jc w:val="both"/>
        <w:rPr>
          <w:rFonts w:ascii="Arial" w:hAnsi="Arial" w:cs="Arial"/>
          <w:sz w:val="20"/>
          <w:szCs w:val="20"/>
        </w:rPr>
      </w:pPr>
      <w:r w:rsidRPr="00002536">
        <w:rPr>
          <w:rFonts w:ascii="Arial" w:hAnsi="Arial"/>
          <w:sz w:val="20"/>
          <w:lang w:val="en-US"/>
        </w:rPr>
        <w:t>Van Beers, C. and van den Bergh, J.</w:t>
      </w:r>
      <w:r w:rsidRPr="00083908">
        <w:rPr>
          <w:rFonts w:ascii="Arial" w:hAnsi="Arial"/>
          <w:sz w:val="20"/>
        </w:rPr>
        <w:t xml:space="preserve">, 2001. </w:t>
      </w:r>
      <w:r w:rsidRPr="00633A71">
        <w:rPr>
          <w:rFonts w:ascii="Arial" w:hAnsi="Arial" w:cs="Arial"/>
          <w:sz w:val="20"/>
          <w:szCs w:val="20"/>
        </w:rPr>
        <w:t xml:space="preserve">Perseverance of perverse subsidies and their impact on trade and environment, </w:t>
      </w:r>
      <w:r w:rsidRPr="00633A71">
        <w:rPr>
          <w:rFonts w:ascii="Arial" w:hAnsi="Arial" w:cs="Arial"/>
          <w:i/>
          <w:iCs/>
          <w:sz w:val="20"/>
          <w:szCs w:val="20"/>
        </w:rPr>
        <w:t xml:space="preserve">Ecological Economics </w:t>
      </w:r>
      <w:r w:rsidRPr="00633A71">
        <w:rPr>
          <w:rFonts w:ascii="Arial" w:hAnsi="Arial" w:cs="Arial"/>
          <w:sz w:val="20"/>
          <w:szCs w:val="20"/>
        </w:rPr>
        <w:t>36, pp. 475-486</w:t>
      </w:r>
    </w:p>
    <w:p w14:paraId="1FA02567"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World Bank, 2011. Case studies of Payments for Environmental Services financed by the World Bank. Available at: </w:t>
      </w:r>
      <w:hyperlink r:id="rId76" w:history="1">
        <w:r w:rsidRPr="00632DBC">
          <w:rPr>
            <w:rStyle w:val="Hyperlink"/>
            <w:rFonts w:ascii="Arial" w:hAnsi="Arial" w:cs="Arial"/>
            <w:color w:val="auto"/>
            <w:sz w:val="20"/>
            <w:szCs w:val="20"/>
          </w:rPr>
          <w:t>http://web.worldbank.org/WBSITE/EXTERNAL/TOPICS/ENVIRONMENT/EXTEEI/0,,contentMDK:20487983~menuPK:1187844~pagePK:210058~piPK:210062~theSitePK:408050~isCURL:Y,00.html</w:t>
        </w:r>
      </w:hyperlink>
      <w:r w:rsidRPr="00633A71">
        <w:rPr>
          <w:rFonts w:ascii="Arial" w:hAnsi="Arial" w:cs="Arial"/>
          <w:sz w:val="20"/>
          <w:szCs w:val="20"/>
        </w:rPr>
        <w:t xml:space="preserve"> Accessed 1</w:t>
      </w:r>
      <w:r w:rsidRPr="00633A71">
        <w:rPr>
          <w:rFonts w:ascii="Arial" w:hAnsi="Arial" w:cs="Arial"/>
          <w:sz w:val="20"/>
          <w:szCs w:val="20"/>
          <w:vertAlign w:val="superscript"/>
        </w:rPr>
        <w:t>st</w:t>
      </w:r>
      <w:r w:rsidRPr="00633A71">
        <w:rPr>
          <w:rFonts w:ascii="Arial" w:hAnsi="Arial" w:cs="Arial"/>
          <w:sz w:val="20"/>
          <w:szCs w:val="20"/>
        </w:rPr>
        <w:t xml:space="preserve"> October 2012</w:t>
      </w:r>
    </w:p>
    <w:p w14:paraId="5DC7A4FA"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World Bank, 2005. Environmental fiscal reform. What should be done and how to achieve it. </w:t>
      </w:r>
      <w:r w:rsidRPr="00504B5E">
        <w:rPr>
          <w:rFonts w:ascii="Arial" w:hAnsi="Arial" w:cs="Arial"/>
          <w:i/>
          <w:sz w:val="20"/>
          <w:szCs w:val="20"/>
        </w:rPr>
        <w:t>The International Bank for Reconstruction and Development/The World Bank</w:t>
      </w:r>
      <w:r w:rsidRPr="00504B5E">
        <w:rPr>
          <w:rFonts w:ascii="Arial" w:hAnsi="Arial" w:cs="Arial"/>
          <w:sz w:val="20"/>
          <w:szCs w:val="20"/>
        </w:rPr>
        <w:t xml:space="preserve">, Washington, USA. Available at: </w:t>
      </w:r>
      <w:hyperlink r:id="rId77" w:history="1">
        <w:r w:rsidRPr="00632DBC">
          <w:rPr>
            <w:rStyle w:val="Hyperlink"/>
            <w:rFonts w:ascii="Arial" w:hAnsi="Arial" w:cs="Arial"/>
            <w:color w:val="auto"/>
            <w:sz w:val="20"/>
            <w:szCs w:val="20"/>
          </w:rPr>
          <w:t>http://siteresources.worldbank.org/INTRANETENVIRONMENT/Publications/20712869/EnvFiscalReform.pdf</w:t>
        </w:r>
      </w:hyperlink>
      <w:r w:rsidRPr="00633A71">
        <w:rPr>
          <w:rFonts w:ascii="Arial" w:hAnsi="Arial" w:cs="Arial"/>
          <w:sz w:val="20"/>
          <w:szCs w:val="20"/>
        </w:rPr>
        <w:t xml:space="preserve"> Accessed 12</w:t>
      </w:r>
      <w:r w:rsidRPr="00633A71">
        <w:rPr>
          <w:rFonts w:ascii="Arial" w:hAnsi="Arial" w:cs="Arial"/>
          <w:sz w:val="20"/>
          <w:szCs w:val="20"/>
          <w:vertAlign w:val="superscript"/>
        </w:rPr>
        <w:t>th</w:t>
      </w:r>
      <w:r w:rsidRPr="00633A71">
        <w:rPr>
          <w:rFonts w:ascii="Arial" w:hAnsi="Arial" w:cs="Arial"/>
          <w:sz w:val="20"/>
          <w:szCs w:val="20"/>
        </w:rPr>
        <w:t xml:space="preserve"> November 2012 </w:t>
      </w:r>
    </w:p>
    <w:p w14:paraId="4F10EC60"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World Bank, 2012. Environmental Assessment Available at: </w:t>
      </w:r>
      <w:hyperlink r:id="rId78" w:history="1">
        <w:r w:rsidRPr="00632DBC">
          <w:rPr>
            <w:rStyle w:val="Hyperlink"/>
            <w:rFonts w:ascii="Arial" w:hAnsi="Arial" w:cs="Arial"/>
            <w:color w:val="auto"/>
            <w:sz w:val="20"/>
            <w:szCs w:val="20"/>
          </w:rPr>
          <w:t>http://web.worldbank.org/WBSITE/EXTERNAL/PROJECTS/EXTPOLICIES/EXTSAFEPOL/0,,contentMDK:20543912~menuPK:1286357~pagePK:64168445~piPK:64168309~theSitePK:584435,00.html</w:t>
        </w:r>
      </w:hyperlink>
      <w:r w:rsidRPr="00633A71">
        <w:rPr>
          <w:rFonts w:ascii="Arial" w:hAnsi="Arial" w:cs="Arial"/>
          <w:sz w:val="20"/>
          <w:szCs w:val="20"/>
        </w:rPr>
        <w:t xml:space="preserve"> Accessed 21</w:t>
      </w:r>
      <w:r w:rsidRPr="00633A71">
        <w:rPr>
          <w:rFonts w:ascii="Arial" w:hAnsi="Arial" w:cs="Arial"/>
          <w:sz w:val="20"/>
          <w:szCs w:val="20"/>
          <w:vertAlign w:val="superscript"/>
        </w:rPr>
        <w:t>st</w:t>
      </w:r>
      <w:r w:rsidRPr="00633A71">
        <w:rPr>
          <w:rFonts w:ascii="Arial" w:hAnsi="Arial" w:cs="Arial"/>
          <w:sz w:val="20"/>
          <w:szCs w:val="20"/>
        </w:rPr>
        <w:t xml:space="preserve"> May 2014</w:t>
      </w:r>
    </w:p>
    <w:p w14:paraId="57490BBF" w14:textId="77777777" w:rsidR="00810C20" w:rsidRPr="00633A71" w:rsidRDefault="00810C20" w:rsidP="00810C20">
      <w:pPr>
        <w:spacing w:before="200" w:after="0" w:line="240" w:lineRule="auto"/>
        <w:jc w:val="both"/>
        <w:rPr>
          <w:rFonts w:ascii="Arial" w:hAnsi="Arial" w:cs="Arial"/>
          <w:b/>
          <w:sz w:val="20"/>
          <w:szCs w:val="20"/>
        </w:rPr>
      </w:pPr>
      <w:r w:rsidRPr="00504B5E">
        <w:rPr>
          <w:rFonts w:ascii="Arial" w:hAnsi="Arial" w:cs="Arial"/>
          <w:sz w:val="20"/>
          <w:szCs w:val="20"/>
        </w:rPr>
        <w:t xml:space="preserve">World Bank, 2014. Inspection Panel Available at: </w:t>
      </w:r>
      <w:hyperlink r:id="rId79" w:history="1">
        <w:r w:rsidRPr="00632DBC">
          <w:rPr>
            <w:rStyle w:val="Hyperlink"/>
            <w:rFonts w:ascii="Arial" w:hAnsi="Arial" w:cs="Arial"/>
            <w:color w:val="auto"/>
            <w:sz w:val="20"/>
            <w:szCs w:val="20"/>
          </w:rPr>
          <w:t>http://ewebapps.worldbank.org/apps/ip/Pages/Home.aspx</w:t>
        </w:r>
      </w:hyperlink>
      <w:r w:rsidRPr="00633A71">
        <w:rPr>
          <w:rFonts w:ascii="Arial" w:hAnsi="Arial" w:cs="Arial"/>
          <w:sz w:val="20"/>
          <w:szCs w:val="20"/>
        </w:rPr>
        <w:t xml:space="preserve"> Accessed 22nd May 2014</w:t>
      </w:r>
    </w:p>
    <w:p w14:paraId="2854754E"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b/>
          <w:sz w:val="20"/>
          <w:szCs w:val="20"/>
        </w:rPr>
        <w:t>Legal sources cited:</w:t>
      </w:r>
    </w:p>
    <w:p w14:paraId="4B24FFC9" w14:textId="41E8E08B"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Environmental Management Law (EML): Ley de </w:t>
      </w:r>
      <w:proofErr w:type="spellStart"/>
      <w:r w:rsidRPr="00504B5E">
        <w:rPr>
          <w:rFonts w:ascii="Arial" w:hAnsi="Arial" w:cs="Arial"/>
          <w:sz w:val="20"/>
          <w:szCs w:val="20"/>
        </w:rPr>
        <w:t>Gestión</w:t>
      </w:r>
      <w:proofErr w:type="spellEnd"/>
      <w:r w:rsidRPr="00504B5E">
        <w:rPr>
          <w:rFonts w:ascii="Arial" w:hAnsi="Arial" w:cs="Arial"/>
          <w:sz w:val="20"/>
          <w:szCs w:val="20"/>
        </w:rPr>
        <w:t xml:space="preserve"> Ambiental, 2004</w:t>
      </w:r>
      <w:r w:rsidR="002C30B7">
        <w:rPr>
          <w:rFonts w:ascii="Arial" w:hAnsi="Arial" w:cs="Arial"/>
          <w:sz w:val="20"/>
          <w:szCs w:val="20"/>
        </w:rPr>
        <w:t>.</w:t>
      </w:r>
      <w:r w:rsidRPr="00504B5E">
        <w:rPr>
          <w:rFonts w:ascii="Arial" w:hAnsi="Arial" w:cs="Arial"/>
          <w:sz w:val="20"/>
          <w:szCs w:val="20"/>
        </w:rPr>
        <w:t xml:space="preserve"> Available at </w:t>
      </w:r>
      <w:hyperlink r:id="rId80" w:history="1">
        <w:r w:rsidRPr="00632DBC">
          <w:rPr>
            <w:rStyle w:val="Hyperlink"/>
            <w:rFonts w:ascii="Arial" w:hAnsi="Arial" w:cs="Arial"/>
            <w:color w:val="auto"/>
            <w:sz w:val="20"/>
            <w:szCs w:val="20"/>
          </w:rPr>
          <w:t>http://ecuadorforestal.org/wp-content/uploads/2010/05/LEY-DE-GESTION-AMBIENTAL.pdf</w:t>
        </w:r>
      </w:hyperlink>
      <w:r w:rsidRPr="00633A71">
        <w:rPr>
          <w:rFonts w:ascii="Arial" w:hAnsi="Arial" w:cs="Arial"/>
          <w:sz w:val="20"/>
          <w:szCs w:val="20"/>
        </w:rPr>
        <w:t xml:space="preserve"> Accessed 30th April 2014</w:t>
      </w:r>
    </w:p>
    <w:p w14:paraId="6575A2AD" w14:textId="0DA69F6B" w:rsidR="00810C20" w:rsidRPr="00002536" w:rsidRDefault="00810C20" w:rsidP="00810C20">
      <w:pPr>
        <w:spacing w:before="200" w:after="0" w:line="240" w:lineRule="auto"/>
        <w:jc w:val="both"/>
        <w:rPr>
          <w:rFonts w:ascii="Arial" w:hAnsi="Arial"/>
          <w:sz w:val="20"/>
          <w:lang w:val="en-US"/>
        </w:rPr>
      </w:pPr>
      <w:proofErr w:type="spellStart"/>
      <w:r w:rsidRPr="00633A71">
        <w:rPr>
          <w:rFonts w:ascii="Arial" w:hAnsi="Arial"/>
          <w:sz w:val="20"/>
          <w:lang w:val="es-MX"/>
        </w:rPr>
        <w:t>Cons</w:t>
      </w:r>
      <w:r w:rsidRPr="00504B5E">
        <w:rPr>
          <w:rFonts w:ascii="Arial" w:hAnsi="Arial"/>
          <w:sz w:val="20"/>
          <w:lang w:val="es-MX"/>
        </w:rPr>
        <w:t>titution</w:t>
      </w:r>
      <w:proofErr w:type="spellEnd"/>
      <w:r w:rsidRPr="00504B5E">
        <w:rPr>
          <w:rFonts w:ascii="Arial" w:hAnsi="Arial"/>
          <w:sz w:val="20"/>
          <w:lang w:val="es-MX"/>
        </w:rPr>
        <w:t xml:space="preserve"> </w:t>
      </w:r>
      <w:proofErr w:type="spellStart"/>
      <w:r w:rsidRPr="00504B5E">
        <w:rPr>
          <w:rFonts w:ascii="Arial" w:hAnsi="Arial"/>
          <w:sz w:val="20"/>
          <w:lang w:val="es-MX"/>
        </w:rPr>
        <w:t>of</w:t>
      </w:r>
      <w:proofErr w:type="spellEnd"/>
      <w:r w:rsidRPr="00504B5E">
        <w:rPr>
          <w:rFonts w:ascii="Arial" w:hAnsi="Arial"/>
          <w:sz w:val="20"/>
          <w:lang w:val="es-MX"/>
        </w:rPr>
        <w:t xml:space="preserve"> Ecuador (CE): Constitución de la República de Ecuador, 2008</w:t>
      </w:r>
      <w:r w:rsidR="002C30B7">
        <w:rPr>
          <w:rFonts w:ascii="Arial" w:hAnsi="Arial"/>
          <w:sz w:val="20"/>
          <w:lang w:val="es-MX"/>
        </w:rPr>
        <w:t>.</w:t>
      </w:r>
      <w:r w:rsidRPr="00504B5E">
        <w:rPr>
          <w:rFonts w:ascii="Arial" w:hAnsi="Arial"/>
          <w:sz w:val="20"/>
          <w:lang w:val="es-MX"/>
        </w:rPr>
        <w:t xml:space="preserve"> </w:t>
      </w:r>
      <w:r w:rsidRPr="00002536">
        <w:rPr>
          <w:rFonts w:ascii="Arial" w:hAnsi="Arial"/>
          <w:sz w:val="20"/>
          <w:lang w:val="en-US"/>
        </w:rPr>
        <w:t xml:space="preserve">Available at </w:t>
      </w:r>
      <w:hyperlink r:id="rId81" w:history="1">
        <w:r w:rsidRPr="00002536">
          <w:rPr>
            <w:rStyle w:val="Hyperlink"/>
            <w:color w:val="auto"/>
            <w:lang w:val="en-US"/>
          </w:rPr>
          <w:t>http://biblioteca.espe.edu.ec/upload/2008.pdf</w:t>
        </w:r>
      </w:hyperlink>
      <w:r w:rsidRPr="00002536">
        <w:rPr>
          <w:lang w:val="en-US"/>
        </w:rPr>
        <w:t xml:space="preserve"> </w:t>
      </w:r>
      <w:r w:rsidRPr="00002536">
        <w:rPr>
          <w:rFonts w:ascii="Arial" w:hAnsi="Arial"/>
          <w:sz w:val="20"/>
          <w:lang w:val="en-US"/>
        </w:rPr>
        <w:t xml:space="preserve"> Accessed 30th April </w:t>
      </w:r>
    </w:p>
    <w:p w14:paraId="6CEEACD3" w14:textId="41C3DD8A"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Convention on Biological Diversity, Convention on Biological Diversity (CBD)</w:t>
      </w:r>
      <w:r w:rsidR="002C30B7">
        <w:rPr>
          <w:rFonts w:ascii="Arial" w:hAnsi="Arial" w:cs="Arial"/>
          <w:sz w:val="20"/>
          <w:szCs w:val="20"/>
        </w:rPr>
        <w:t>,</w:t>
      </w:r>
      <w:r w:rsidRPr="00633A71">
        <w:rPr>
          <w:rFonts w:ascii="Arial" w:hAnsi="Arial" w:cs="Arial"/>
          <w:sz w:val="20"/>
          <w:szCs w:val="20"/>
        </w:rPr>
        <w:t xml:space="preserve"> 1992</w:t>
      </w:r>
      <w:r w:rsidR="002C30B7">
        <w:rPr>
          <w:rFonts w:ascii="Arial" w:hAnsi="Arial" w:cs="Arial"/>
          <w:sz w:val="20"/>
          <w:szCs w:val="20"/>
        </w:rPr>
        <w:t>.</w:t>
      </w:r>
      <w:r w:rsidRPr="00633A71">
        <w:rPr>
          <w:rFonts w:ascii="Arial" w:hAnsi="Arial" w:cs="Arial"/>
          <w:sz w:val="20"/>
          <w:szCs w:val="20"/>
        </w:rPr>
        <w:t xml:space="preserve"> </w:t>
      </w:r>
      <w:r w:rsidR="002C30B7">
        <w:rPr>
          <w:rFonts w:ascii="Arial" w:hAnsi="Arial" w:cs="Arial"/>
          <w:sz w:val="20"/>
          <w:szCs w:val="20"/>
        </w:rPr>
        <w:t>E</w:t>
      </w:r>
      <w:r w:rsidRPr="00633A71">
        <w:rPr>
          <w:rFonts w:ascii="Arial" w:hAnsi="Arial" w:cs="Arial"/>
          <w:sz w:val="20"/>
          <w:szCs w:val="20"/>
        </w:rPr>
        <w:t xml:space="preserve">ntered into force 29 December 1993. Available at: </w:t>
      </w:r>
      <w:hyperlink r:id="rId82" w:history="1">
        <w:r w:rsidRPr="00632DBC">
          <w:rPr>
            <w:rStyle w:val="Hyperlink"/>
            <w:rFonts w:ascii="Arial" w:hAnsi="Arial" w:cs="Arial"/>
            <w:color w:val="auto"/>
            <w:sz w:val="20"/>
            <w:szCs w:val="20"/>
          </w:rPr>
          <w:t>www.biodiv.org/doc/legal/cbd-en.pdf</w:t>
        </w:r>
      </w:hyperlink>
      <w:r w:rsidRPr="00633A71">
        <w:rPr>
          <w:rFonts w:ascii="Arial" w:hAnsi="Arial" w:cs="Arial"/>
          <w:sz w:val="20"/>
          <w:szCs w:val="20"/>
        </w:rPr>
        <w:t xml:space="preserve"> Accessed 2nd July 2012</w:t>
      </w:r>
    </w:p>
    <w:p w14:paraId="1B68FCA9"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CBD, 2006. COP 8 Decision VIII/28, Voluntary </w:t>
      </w:r>
      <w:r w:rsidRPr="00504B5E">
        <w:rPr>
          <w:rFonts w:ascii="Arial" w:hAnsi="Arial" w:cs="Arial"/>
          <w:sz w:val="20"/>
          <w:szCs w:val="20"/>
        </w:rPr>
        <w:t xml:space="preserve">guidelines on biodiversity-inclusive impact assessment. Available at: </w:t>
      </w:r>
      <w:hyperlink r:id="rId83" w:history="1">
        <w:r w:rsidRPr="00632DBC">
          <w:rPr>
            <w:rStyle w:val="Hyperlink"/>
            <w:rFonts w:ascii="Arial" w:hAnsi="Arial" w:cs="Arial"/>
            <w:color w:val="auto"/>
            <w:sz w:val="20"/>
            <w:szCs w:val="20"/>
          </w:rPr>
          <w:t>http://www.cbd.int/decision/cop/default.shtml?id=11042</w:t>
        </w:r>
      </w:hyperlink>
      <w:r w:rsidRPr="00633A71">
        <w:rPr>
          <w:rFonts w:ascii="Arial" w:hAnsi="Arial" w:cs="Arial"/>
          <w:sz w:val="20"/>
          <w:szCs w:val="20"/>
        </w:rPr>
        <w:t xml:space="preserve"> Accessed 21</w:t>
      </w:r>
      <w:r w:rsidRPr="00633A71">
        <w:rPr>
          <w:rFonts w:ascii="Arial" w:hAnsi="Arial" w:cs="Arial"/>
          <w:sz w:val="20"/>
          <w:szCs w:val="20"/>
          <w:vertAlign w:val="superscript"/>
        </w:rPr>
        <w:t>st</w:t>
      </w:r>
      <w:r w:rsidRPr="00633A71">
        <w:rPr>
          <w:rFonts w:ascii="Arial" w:hAnsi="Arial" w:cs="Arial"/>
          <w:sz w:val="20"/>
          <w:szCs w:val="20"/>
        </w:rPr>
        <w:t xml:space="preserve"> May 2014 </w:t>
      </w:r>
    </w:p>
    <w:p w14:paraId="25B1A95A"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CBD, 2008. COP 9 Decision IX/11, Review of implementation of Articles 20 and 21. Available at: </w:t>
      </w:r>
      <w:hyperlink r:id="rId84" w:history="1">
        <w:r w:rsidRPr="00632DBC">
          <w:rPr>
            <w:rStyle w:val="Hyperlink"/>
            <w:rFonts w:ascii="Arial" w:hAnsi="Arial" w:cs="Arial"/>
            <w:color w:val="auto"/>
            <w:sz w:val="20"/>
            <w:szCs w:val="20"/>
          </w:rPr>
          <w:t>www.cbd.int/decision/cop/?id=11654</w:t>
        </w:r>
      </w:hyperlink>
      <w:r w:rsidRPr="00633A71">
        <w:rPr>
          <w:rFonts w:ascii="Arial" w:hAnsi="Arial" w:cs="Arial"/>
          <w:sz w:val="20"/>
          <w:szCs w:val="20"/>
        </w:rPr>
        <w:t xml:space="preserve"> Accessed 25</w:t>
      </w:r>
      <w:r w:rsidRPr="00633A71">
        <w:rPr>
          <w:rFonts w:ascii="Arial" w:hAnsi="Arial" w:cs="Arial"/>
          <w:sz w:val="20"/>
          <w:szCs w:val="20"/>
          <w:vertAlign w:val="superscript"/>
        </w:rPr>
        <w:t>th</w:t>
      </w:r>
      <w:r w:rsidRPr="00633A71">
        <w:rPr>
          <w:rFonts w:ascii="Arial" w:hAnsi="Arial" w:cs="Arial"/>
          <w:sz w:val="20"/>
          <w:szCs w:val="20"/>
        </w:rPr>
        <w:t xml:space="preserve"> July 2012</w:t>
      </w:r>
    </w:p>
    <w:p w14:paraId="2BBA9FE3"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lastRenderedPageBreak/>
        <w:t xml:space="preserve">CBD, 2010. Co-Chairs summary of Global Expert Workshop on Biodiversity Benefits of Reducing Emissions from Deforestation and Forest Degradation in Developing Countries, UNEP/CBD/WS-REDD/1/3. Nairobi, Kenya, 20-23 September 2010 Available at: </w:t>
      </w:r>
      <w:hyperlink r:id="rId85" w:history="1">
        <w:r w:rsidRPr="00632DBC">
          <w:rPr>
            <w:rStyle w:val="Hyperlink"/>
            <w:rFonts w:ascii="Arial" w:hAnsi="Arial" w:cs="Arial"/>
            <w:color w:val="auto"/>
            <w:sz w:val="20"/>
            <w:szCs w:val="20"/>
          </w:rPr>
          <w:t>http://www.cbd.int/doc/meetings/for/ewredd-01/official/ewredd-01-03-en.pdf</w:t>
        </w:r>
      </w:hyperlink>
      <w:r w:rsidRPr="00633A71">
        <w:rPr>
          <w:rFonts w:ascii="Arial" w:hAnsi="Arial" w:cs="Arial"/>
          <w:sz w:val="20"/>
          <w:szCs w:val="20"/>
        </w:rPr>
        <w:t xml:space="preserve"> Accessed 21st May 2014 </w:t>
      </w:r>
    </w:p>
    <w:p w14:paraId="3194982A"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CBD, 2010. Report of the proceedings of the International Workshop on Innovative Financial Mechanisms, UNEP/CBD/WGRI/3/INF/5, Nairobi, Kenya, 24-28 May 2010 Ava</w:t>
      </w:r>
      <w:r w:rsidRPr="00504B5E">
        <w:rPr>
          <w:rFonts w:ascii="Arial" w:hAnsi="Arial" w:cs="Arial"/>
          <w:sz w:val="20"/>
          <w:szCs w:val="20"/>
        </w:rPr>
        <w:t xml:space="preserve">ilable at: </w:t>
      </w:r>
      <w:hyperlink r:id="rId86" w:history="1">
        <w:r w:rsidRPr="00632DBC">
          <w:rPr>
            <w:rStyle w:val="Hyperlink"/>
            <w:rFonts w:ascii="Arial" w:hAnsi="Arial" w:cs="Arial"/>
            <w:color w:val="auto"/>
            <w:sz w:val="20"/>
            <w:szCs w:val="20"/>
          </w:rPr>
          <w:t>http://www.cbd.int/doc/meetings/wgri/wgri-03/information/wgri-03-inf-05-en.pdf</w:t>
        </w:r>
      </w:hyperlink>
      <w:r w:rsidRPr="00633A71">
        <w:rPr>
          <w:rFonts w:ascii="Arial" w:hAnsi="Arial" w:cs="Arial"/>
          <w:sz w:val="20"/>
          <w:szCs w:val="20"/>
        </w:rPr>
        <w:t xml:space="preserve"> Accessed 22nd May 2014</w:t>
      </w:r>
    </w:p>
    <w:p w14:paraId="2C9E4EC9" w14:textId="77777777" w:rsidR="00810C20" w:rsidRPr="00633A71" w:rsidRDefault="00810C20" w:rsidP="00810C20">
      <w:pPr>
        <w:spacing w:before="200" w:after="0" w:line="240" w:lineRule="auto"/>
        <w:jc w:val="both"/>
        <w:rPr>
          <w:rFonts w:ascii="Arial" w:hAnsi="Arial" w:cs="Arial"/>
          <w:iCs/>
          <w:sz w:val="20"/>
          <w:szCs w:val="20"/>
        </w:rPr>
      </w:pPr>
      <w:r w:rsidRPr="00633A71">
        <w:rPr>
          <w:rFonts w:ascii="Arial" w:hAnsi="Arial" w:cs="Arial"/>
          <w:iCs/>
          <w:sz w:val="20"/>
          <w:szCs w:val="20"/>
        </w:rPr>
        <w:t>CBD, 2011.</w:t>
      </w:r>
      <w:r w:rsidRPr="00504B5E">
        <w:rPr>
          <w:rFonts w:ascii="Arial" w:hAnsi="Arial" w:cs="Arial"/>
          <w:iCs/>
          <w:sz w:val="20"/>
          <w:szCs w:val="20"/>
        </w:rPr>
        <w:t xml:space="preserve"> Workshop Report on Innovative Financial Mechanisms</w:t>
      </w:r>
      <w:r w:rsidRPr="00504B5E">
        <w:rPr>
          <w:rFonts w:ascii="Arial" w:hAnsi="Arial" w:cs="Arial"/>
          <w:i/>
          <w:iCs/>
          <w:sz w:val="20"/>
          <w:szCs w:val="20"/>
        </w:rPr>
        <w:t>,</w:t>
      </w:r>
      <w:r w:rsidRPr="00504B5E">
        <w:rPr>
          <w:rFonts w:ascii="Arial" w:hAnsi="Arial" w:cs="Arial"/>
          <w:iCs/>
          <w:sz w:val="20"/>
          <w:szCs w:val="20"/>
        </w:rPr>
        <w:t xml:space="preserve"> Budapest Hungary, 22-23 March 2011 Available at: </w:t>
      </w:r>
      <w:hyperlink r:id="rId87" w:history="1">
        <w:r w:rsidRPr="00632DBC">
          <w:rPr>
            <w:rStyle w:val="Hyperlink"/>
            <w:rFonts w:ascii="Arial" w:hAnsi="Arial" w:cs="Arial"/>
            <w:iCs/>
            <w:color w:val="auto"/>
            <w:sz w:val="20"/>
            <w:szCs w:val="20"/>
          </w:rPr>
          <w:t>http://www.cbd.int/financial/doc/2011-03-budapest-IFM-report-en.pdf</w:t>
        </w:r>
      </w:hyperlink>
      <w:r w:rsidRPr="00633A71">
        <w:rPr>
          <w:rFonts w:ascii="Arial" w:hAnsi="Arial" w:cs="Arial"/>
          <w:iCs/>
          <w:sz w:val="20"/>
          <w:szCs w:val="20"/>
        </w:rPr>
        <w:t xml:space="preserve"> Accessed 3rd August 2011</w:t>
      </w:r>
    </w:p>
    <w:p w14:paraId="50415274"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iCs/>
          <w:sz w:val="20"/>
          <w:szCs w:val="20"/>
        </w:rPr>
        <w:t>CBD, 2012. COP10 Decision X/3</w:t>
      </w:r>
      <w:r w:rsidRPr="00504B5E">
        <w:rPr>
          <w:rFonts w:ascii="Arial" w:hAnsi="Arial" w:cs="Arial"/>
          <w:sz w:val="20"/>
          <w:szCs w:val="20"/>
        </w:rPr>
        <w:t xml:space="preserve">. Available at: </w:t>
      </w:r>
      <w:hyperlink r:id="rId88" w:history="1">
        <w:r w:rsidRPr="00632DBC">
          <w:rPr>
            <w:rStyle w:val="Hyperlink"/>
            <w:rFonts w:ascii="Arial" w:hAnsi="Arial" w:cs="Arial"/>
            <w:color w:val="auto"/>
            <w:sz w:val="20"/>
            <w:szCs w:val="20"/>
          </w:rPr>
          <w:t>www.cbd.int/decisions/?id=12269</w:t>
        </w:r>
      </w:hyperlink>
      <w:r w:rsidRPr="00633A71">
        <w:rPr>
          <w:rFonts w:ascii="Arial" w:hAnsi="Arial" w:cs="Arial"/>
          <w:sz w:val="20"/>
          <w:szCs w:val="20"/>
        </w:rPr>
        <w:t xml:space="preserve"> Accessed 29</w:t>
      </w:r>
      <w:r w:rsidRPr="00633A71">
        <w:rPr>
          <w:rFonts w:ascii="Arial" w:hAnsi="Arial" w:cs="Arial"/>
          <w:sz w:val="20"/>
          <w:szCs w:val="20"/>
          <w:vertAlign w:val="superscript"/>
        </w:rPr>
        <w:t>th</w:t>
      </w:r>
      <w:r w:rsidRPr="00633A71">
        <w:rPr>
          <w:rFonts w:ascii="Arial" w:hAnsi="Arial" w:cs="Arial"/>
          <w:sz w:val="20"/>
          <w:szCs w:val="20"/>
        </w:rPr>
        <w:t xml:space="preserve"> August 2012</w:t>
      </w:r>
    </w:p>
    <w:p w14:paraId="75051962"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CBD, 2012. Finance Mechanisms for Biodiversity: Examining opportunities and challenges. Co-Chairs Summary of the International Workshop convened by the OECD, World Bank, GEF, and the European Commission, together with Sweden and India, 12 May 2012 - Montreal, Canada. Available at: </w:t>
      </w:r>
      <w:hyperlink r:id="rId89" w:history="1">
        <w:r w:rsidRPr="00632DBC">
          <w:rPr>
            <w:rStyle w:val="Hyperlink"/>
            <w:rFonts w:ascii="Arial" w:hAnsi="Arial" w:cs="Arial"/>
            <w:color w:val="auto"/>
            <w:sz w:val="20"/>
            <w:szCs w:val="20"/>
          </w:rPr>
          <w:t>http://www.cbd.int/doc/meetings/fin/wsfmb-eoc-01/official/wsfmb-eoc-01-chairs-summary-en.pdf</w:t>
        </w:r>
      </w:hyperlink>
      <w:r w:rsidRPr="00633A71">
        <w:rPr>
          <w:rFonts w:ascii="Arial" w:hAnsi="Arial" w:cs="Arial"/>
          <w:sz w:val="20"/>
          <w:szCs w:val="20"/>
        </w:rPr>
        <w:t xml:space="preserve"> Accessed 12th November 2012</w:t>
      </w:r>
    </w:p>
    <w:p w14:paraId="5FABBE5C"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CBD, 2012.</w:t>
      </w:r>
      <w:r w:rsidRPr="00504B5E">
        <w:rPr>
          <w:rFonts w:ascii="Arial" w:hAnsi="Arial" w:cs="Arial"/>
          <w:b/>
          <w:sz w:val="20"/>
          <w:szCs w:val="20"/>
        </w:rPr>
        <w:t xml:space="preserve"> </w:t>
      </w:r>
      <w:r w:rsidRPr="00504B5E">
        <w:rPr>
          <w:rFonts w:ascii="Arial" w:hAnsi="Arial" w:cs="Arial"/>
          <w:sz w:val="20"/>
          <w:szCs w:val="20"/>
        </w:rPr>
        <w:t xml:space="preserve">Report of the ad hoc open-ended working group on review of implementation of the Convention on the work of its fourth meeting, UNEP/CBD/COP/11/4, 21 June 2012.  Available at: </w:t>
      </w:r>
      <w:hyperlink r:id="rId90" w:history="1">
        <w:r w:rsidRPr="00632DBC">
          <w:rPr>
            <w:rStyle w:val="Hyperlink"/>
            <w:rFonts w:ascii="Arial" w:hAnsi="Arial" w:cs="Arial"/>
            <w:color w:val="auto"/>
            <w:sz w:val="20"/>
            <w:szCs w:val="20"/>
          </w:rPr>
          <w:t>http://www.cbd.int/doc/meetings/wgri/wgri-04/official/wgri-04-cop-11-04-en.pdf</w:t>
        </w:r>
      </w:hyperlink>
      <w:r w:rsidRPr="00633A71">
        <w:rPr>
          <w:rFonts w:ascii="Arial" w:hAnsi="Arial" w:cs="Arial"/>
          <w:sz w:val="20"/>
          <w:szCs w:val="20"/>
        </w:rPr>
        <w:t xml:space="preserve"> Accessed 21st May 2014</w:t>
      </w:r>
    </w:p>
    <w:p w14:paraId="5AB2AFB4"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CBD, 2012. COP 11 Synthesis on Innovative Financial Mechanisms, </w:t>
      </w:r>
      <w:proofErr w:type="gramStart"/>
      <w:r w:rsidRPr="00633A71">
        <w:rPr>
          <w:rFonts w:ascii="Arial" w:hAnsi="Arial" w:cs="Arial"/>
          <w:sz w:val="20"/>
          <w:szCs w:val="20"/>
        </w:rPr>
        <w:t>Note</w:t>
      </w:r>
      <w:proofErr w:type="gramEnd"/>
      <w:r w:rsidRPr="00633A71">
        <w:rPr>
          <w:rFonts w:ascii="Arial" w:hAnsi="Arial" w:cs="Arial"/>
          <w:sz w:val="20"/>
          <w:szCs w:val="20"/>
        </w:rPr>
        <w:t xml:space="preserve"> by the Executive Secretary, UNEP/CBD/COP/11/14/Add.3, 28</w:t>
      </w:r>
      <w:r w:rsidRPr="00504B5E">
        <w:rPr>
          <w:rFonts w:ascii="Arial" w:hAnsi="Arial" w:cs="Arial"/>
          <w:sz w:val="20"/>
          <w:szCs w:val="20"/>
          <w:vertAlign w:val="superscript"/>
        </w:rPr>
        <w:t>th</w:t>
      </w:r>
      <w:r w:rsidRPr="00504B5E">
        <w:rPr>
          <w:rFonts w:ascii="Arial" w:hAnsi="Arial" w:cs="Arial"/>
          <w:sz w:val="20"/>
          <w:szCs w:val="20"/>
        </w:rPr>
        <w:t xml:space="preserve"> August 2012. Available at: </w:t>
      </w:r>
      <w:hyperlink r:id="rId91" w:history="1">
        <w:r w:rsidRPr="00632DBC">
          <w:rPr>
            <w:rStyle w:val="Hyperlink"/>
            <w:rFonts w:ascii="Arial" w:hAnsi="Arial" w:cs="Arial"/>
            <w:color w:val="auto"/>
            <w:sz w:val="20"/>
            <w:szCs w:val="20"/>
          </w:rPr>
          <w:t>http://www.cbd.int/doc/meetings/cop/cop-11/official/cop-11-14-add3-en.pdf</w:t>
        </w:r>
      </w:hyperlink>
      <w:r w:rsidRPr="00633A71">
        <w:rPr>
          <w:rFonts w:ascii="Arial" w:hAnsi="Arial" w:cs="Arial"/>
          <w:sz w:val="20"/>
          <w:szCs w:val="20"/>
        </w:rPr>
        <w:t xml:space="preserve"> Accessed 21st May 2014 </w:t>
      </w:r>
    </w:p>
    <w:p w14:paraId="140B75E5"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CBD, 2012. COP 11. Decisions adopted by the Conference of the Parties to the Convention on Biological Diversity at it</w:t>
      </w:r>
      <w:r w:rsidRPr="00504B5E">
        <w:rPr>
          <w:rFonts w:ascii="Arial" w:hAnsi="Arial" w:cs="Arial"/>
          <w:sz w:val="20"/>
          <w:szCs w:val="20"/>
        </w:rPr>
        <w:t xml:space="preserve">s eleventh meeting, UNEP/CBD/COP/DEC/XI/19, 5 December 2012. Available at: </w:t>
      </w:r>
      <w:hyperlink r:id="rId92" w:history="1">
        <w:r w:rsidRPr="00632DBC">
          <w:rPr>
            <w:rStyle w:val="Hyperlink"/>
            <w:rFonts w:ascii="Arial" w:hAnsi="Arial" w:cs="Arial"/>
            <w:color w:val="auto"/>
            <w:sz w:val="20"/>
            <w:szCs w:val="20"/>
          </w:rPr>
          <w:t>https://www.cbd.int/doc/decisions/cop-11/full/cop-11-dec-en.pdf</w:t>
        </w:r>
      </w:hyperlink>
      <w:r w:rsidRPr="00633A71">
        <w:rPr>
          <w:rFonts w:ascii="Arial" w:hAnsi="Arial" w:cs="Arial"/>
          <w:sz w:val="20"/>
          <w:szCs w:val="20"/>
        </w:rPr>
        <w:t xml:space="preserve"> Accessed 21st May 2014 </w:t>
      </w:r>
    </w:p>
    <w:p w14:paraId="16B67C14"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CBD, 2012.</w:t>
      </w:r>
      <w:r w:rsidRPr="00504B5E">
        <w:rPr>
          <w:rFonts w:ascii="Arial" w:hAnsi="Arial" w:cs="Arial"/>
          <w:sz w:val="20"/>
          <w:szCs w:val="20"/>
        </w:rPr>
        <w:t xml:space="preserve"> COP 11 UNEP/CBD/COP/11/24, Note by the Executive Secretary, 24 August 2012 Available at: </w:t>
      </w:r>
      <w:hyperlink r:id="rId93" w:history="1">
        <w:r w:rsidRPr="00632DBC">
          <w:rPr>
            <w:rStyle w:val="Hyperlink"/>
            <w:rFonts w:ascii="Arial" w:hAnsi="Arial" w:cs="Arial"/>
            <w:color w:val="auto"/>
            <w:sz w:val="20"/>
            <w:szCs w:val="20"/>
          </w:rPr>
          <w:t>http://www.cbd.int/cop11/doc/</w:t>
        </w:r>
      </w:hyperlink>
      <w:r w:rsidRPr="00633A71">
        <w:rPr>
          <w:rFonts w:ascii="Arial" w:hAnsi="Arial" w:cs="Arial"/>
          <w:sz w:val="20"/>
          <w:szCs w:val="20"/>
        </w:rPr>
        <w:t xml:space="preserve"> Accessed 1</w:t>
      </w:r>
      <w:r w:rsidRPr="00633A71">
        <w:rPr>
          <w:rFonts w:ascii="Arial" w:hAnsi="Arial" w:cs="Arial"/>
          <w:sz w:val="20"/>
          <w:szCs w:val="20"/>
          <w:vertAlign w:val="superscript"/>
        </w:rPr>
        <w:t>st</w:t>
      </w:r>
      <w:r w:rsidRPr="00633A71">
        <w:rPr>
          <w:rFonts w:ascii="Arial" w:hAnsi="Arial" w:cs="Arial"/>
          <w:sz w:val="20"/>
          <w:szCs w:val="20"/>
        </w:rPr>
        <w:t xml:space="preserve"> October 2012.</w:t>
      </w:r>
    </w:p>
    <w:p w14:paraId="447EE5A8" w14:textId="1216BC25" w:rsidR="005C1A9C" w:rsidRPr="00633A71" w:rsidRDefault="005C1A9C" w:rsidP="005C1A9C">
      <w:pPr>
        <w:pStyle w:val="FootnoteText"/>
        <w:spacing w:before="200" w:after="0"/>
        <w:rPr>
          <w:rFonts w:ascii="Arial" w:hAnsi="Arial"/>
          <w:sz w:val="20"/>
          <w:szCs w:val="20"/>
          <w:lang w:val="en-GB"/>
        </w:rPr>
      </w:pPr>
      <w:r w:rsidRPr="00504B5E">
        <w:rPr>
          <w:rFonts w:ascii="Arial" w:hAnsi="Arial"/>
          <w:sz w:val="20"/>
          <w:szCs w:val="20"/>
          <w:lang w:val="en-GB"/>
        </w:rPr>
        <w:t>Decree on Compensation and Resettlement Management in Development Projects No. 84</w:t>
      </w:r>
      <w:r w:rsidR="00EE6BF5">
        <w:rPr>
          <w:rFonts w:ascii="Arial" w:hAnsi="Arial"/>
          <w:sz w:val="20"/>
          <w:szCs w:val="20"/>
          <w:lang w:val="en-GB"/>
        </w:rPr>
        <w:t>,</w:t>
      </w:r>
      <w:r w:rsidR="00EE6BF5" w:rsidRPr="00504B5E">
        <w:rPr>
          <w:rFonts w:ascii="Arial" w:hAnsi="Arial"/>
          <w:sz w:val="20"/>
          <w:szCs w:val="20"/>
          <w:lang w:val="en-GB"/>
        </w:rPr>
        <w:t xml:space="preserve"> </w:t>
      </w:r>
      <w:r w:rsidRPr="00504B5E">
        <w:rPr>
          <w:rFonts w:ascii="Arial" w:hAnsi="Arial"/>
          <w:sz w:val="20"/>
          <w:szCs w:val="20"/>
          <w:lang w:val="en-GB"/>
        </w:rPr>
        <w:t xml:space="preserve">2016. Available at: </w:t>
      </w:r>
      <w:hyperlink r:id="rId94" w:history="1">
        <w:r w:rsidRPr="00632DBC">
          <w:rPr>
            <w:rStyle w:val="Hyperlink"/>
            <w:rFonts w:ascii="Arial" w:hAnsi="Arial"/>
            <w:color w:val="auto"/>
            <w:sz w:val="20"/>
            <w:szCs w:val="20"/>
            <w:lang w:val="en-GB"/>
          </w:rPr>
          <w:t>http://www.laolandissues.org/wp-content/uploads/2016/06/Decree-84-April-5-2016-replacement-of-decree-192-English.pdf</w:t>
        </w:r>
      </w:hyperlink>
      <w:r w:rsidRPr="00633A71">
        <w:rPr>
          <w:rFonts w:ascii="Arial" w:hAnsi="Arial"/>
          <w:sz w:val="20"/>
          <w:szCs w:val="20"/>
          <w:lang w:val="en-GB"/>
        </w:rPr>
        <w:t xml:space="preserve"> Accessed 8th November 2017</w:t>
      </w:r>
    </w:p>
    <w:p w14:paraId="71C2D358" w14:textId="1EFA68DD" w:rsidR="00810C20" w:rsidRPr="00632DBC" w:rsidRDefault="00810C20" w:rsidP="00810C20">
      <w:pPr>
        <w:spacing w:before="200" w:after="0" w:line="240" w:lineRule="auto"/>
        <w:jc w:val="both"/>
        <w:rPr>
          <w:rStyle w:val="Hyperlink"/>
          <w:rFonts w:ascii="Arial" w:hAnsi="Arial" w:cs="Arial"/>
          <w:color w:val="auto"/>
          <w:sz w:val="20"/>
          <w:szCs w:val="20"/>
        </w:rPr>
      </w:pPr>
      <w:r w:rsidRPr="00504B5E">
        <w:rPr>
          <w:rFonts w:ascii="Arial" w:hAnsi="Arial" w:cs="Arial"/>
          <w:sz w:val="20"/>
          <w:szCs w:val="20"/>
        </w:rPr>
        <w:t>Environmental Court (MÖD) judgement</w:t>
      </w:r>
      <w:r w:rsidR="00EE6BF5">
        <w:rPr>
          <w:rFonts w:ascii="Arial" w:hAnsi="Arial" w:cs="Arial"/>
          <w:sz w:val="20"/>
          <w:szCs w:val="20"/>
        </w:rPr>
        <w:t>,</w:t>
      </w:r>
      <w:r w:rsidRPr="00504B5E">
        <w:rPr>
          <w:rFonts w:ascii="Arial" w:hAnsi="Arial" w:cs="Arial"/>
          <w:sz w:val="20"/>
          <w:szCs w:val="20"/>
        </w:rPr>
        <w:t xml:space="preserve"> 2006:49. </w:t>
      </w:r>
      <w:hyperlink r:id="rId95" w:history="1">
        <w:r w:rsidRPr="00632DBC">
          <w:rPr>
            <w:rStyle w:val="Hyperlink"/>
            <w:rFonts w:ascii="Arial" w:hAnsi="Arial" w:cs="Arial"/>
            <w:color w:val="auto"/>
            <w:sz w:val="20"/>
            <w:szCs w:val="20"/>
          </w:rPr>
          <w:t>https://lagen.nu/dom/mod/2006:49</w:t>
        </w:r>
      </w:hyperlink>
    </w:p>
    <w:p w14:paraId="5A32CD21" w14:textId="77777777" w:rsidR="00810C20" w:rsidRPr="00633A71" w:rsidRDefault="00810C20" w:rsidP="00810C20">
      <w:pPr>
        <w:spacing w:before="200" w:after="0" w:line="240" w:lineRule="auto"/>
        <w:jc w:val="both"/>
        <w:rPr>
          <w:rStyle w:val="Hyperlink"/>
          <w:rFonts w:ascii="Arial" w:hAnsi="Arial" w:cs="Arial"/>
          <w:color w:val="auto"/>
          <w:sz w:val="20"/>
          <w:szCs w:val="20"/>
        </w:rPr>
      </w:pPr>
      <w:r w:rsidRPr="00632DBC">
        <w:rPr>
          <w:rFonts w:ascii="Arial" w:hAnsi="Arial" w:cs="Arial"/>
          <w:sz w:val="20"/>
          <w:szCs w:val="20"/>
          <w:u w:val="single"/>
        </w:rPr>
        <w:t xml:space="preserve">Forest Law (FL) : Ley </w:t>
      </w:r>
      <w:proofErr w:type="spellStart"/>
      <w:r w:rsidRPr="00632DBC">
        <w:rPr>
          <w:rFonts w:ascii="Arial" w:hAnsi="Arial" w:cs="Arial"/>
          <w:sz w:val="20"/>
          <w:szCs w:val="20"/>
          <w:u w:val="single"/>
        </w:rPr>
        <w:t>Forestal</w:t>
      </w:r>
      <w:proofErr w:type="spellEnd"/>
      <w:r w:rsidRPr="00632DBC">
        <w:rPr>
          <w:rFonts w:ascii="Arial" w:hAnsi="Arial" w:cs="Arial"/>
          <w:sz w:val="20"/>
          <w:szCs w:val="20"/>
          <w:u w:val="single"/>
        </w:rPr>
        <w:t xml:space="preserve"> y de </w:t>
      </w:r>
      <w:proofErr w:type="spellStart"/>
      <w:r w:rsidRPr="00632DBC">
        <w:rPr>
          <w:rFonts w:ascii="Arial" w:hAnsi="Arial" w:cs="Arial"/>
          <w:sz w:val="20"/>
          <w:szCs w:val="20"/>
          <w:u w:val="single"/>
        </w:rPr>
        <w:t>Conservación</w:t>
      </w:r>
      <w:proofErr w:type="spellEnd"/>
      <w:r w:rsidRPr="00632DBC">
        <w:rPr>
          <w:rFonts w:ascii="Arial" w:hAnsi="Arial" w:cs="Arial"/>
          <w:sz w:val="20"/>
          <w:szCs w:val="20"/>
          <w:u w:val="single"/>
        </w:rPr>
        <w:t xml:space="preserve"> de Areas </w:t>
      </w:r>
      <w:proofErr w:type="spellStart"/>
      <w:r w:rsidRPr="00632DBC">
        <w:rPr>
          <w:rFonts w:ascii="Arial" w:hAnsi="Arial" w:cs="Arial"/>
          <w:sz w:val="20"/>
          <w:szCs w:val="20"/>
          <w:u w:val="single"/>
        </w:rPr>
        <w:t>Naturales</w:t>
      </w:r>
      <w:proofErr w:type="spellEnd"/>
      <w:r w:rsidRPr="00632DBC">
        <w:rPr>
          <w:rFonts w:ascii="Arial" w:hAnsi="Arial" w:cs="Arial"/>
          <w:sz w:val="20"/>
          <w:szCs w:val="20"/>
          <w:u w:val="single"/>
        </w:rPr>
        <w:t xml:space="preserve"> y Vida Silvestre, 2004 Available at </w:t>
      </w:r>
      <w:hyperlink r:id="rId96" w:history="1">
        <w:r w:rsidRPr="00632DBC">
          <w:rPr>
            <w:rStyle w:val="Hyperlink"/>
            <w:rFonts w:ascii="Arial" w:hAnsi="Arial" w:cs="Arial"/>
            <w:color w:val="auto"/>
            <w:sz w:val="20"/>
            <w:szCs w:val="20"/>
          </w:rPr>
          <w:t>http://simce.ambiente.gob.ec/documentos/ley-forestal-y-conservacion-areas-naturales-y-vida</w:t>
        </w:r>
      </w:hyperlink>
      <w:r w:rsidRPr="00632DBC">
        <w:rPr>
          <w:rFonts w:ascii="Arial" w:hAnsi="Arial" w:cs="Arial"/>
          <w:sz w:val="20"/>
          <w:szCs w:val="20"/>
          <w:u w:val="single"/>
        </w:rPr>
        <w:t xml:space="preserve"> Accessed 30th April 2014 </w:t>
      </w:r>
    </w:p>
    <w:p w14:paraId="69F4560F"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IUCN, 2008. Resolution, 4.038 Recognition and conservation of sacred natural sites in protected areas. Available at: </w:t>
      </w:r>
      <w:hyperlink r:id="rId97" w:history="1">
        <w:r w:rsidRPr="00632DBC">
          <w:rPr>
            <w:rStyle w:val="Hyperlink"/>
            <w:rFonts w:ascii="Arial" w:hAnsi="Arial" w:cs="Arial"/>
            <w:color w:val="auto"/>
            <w:sz w:val="20"/>
            <w:szCs w:val="20"/>
          </w:rPr>
          <w:t>http://intranet.iucn.org/webfiles/doc/IUCNPolicy/Resolutions/2008_WCC_4/English/RES/res_4_038_recognition_and_conservation_of_sacred_natural_sites_in_protected_areas_.pdf</w:t>
        </w:r>
      </w:hyperlink>
      <w:r w:rsidRPr="00633A71">
        <w:rPr>
          <w:rFonts w:ascii="Arial" w:hAnsi="Arial" w:cs="Arial"/>
          <w:sz w:val="20"/>
          <w:szCs w:val="20"/>
        </w:rPr>
        <w:t xml:space="preserve"> Accessed 26</w:t>
      </w:r>
      <w:r w:rsidRPr="00633A71">
        <w:rPr>
          <w:rFonts w:ascii="Arial" w:hAnsi="Arial" w:cs="Arial"/>
          <w:sz w:val="20"/>
          <w:szCs w:val="20"/>
          <w:vertAlign w:val="superscript"/>
        </w:rPr>
        <w:t>th</w:t>
      </w:r>
      <w:r w:rsidRPr="00633A71">
        <w:rPr>
          <w:rFonts w:ascii="Arial" w:hAnsi="Arial" w:cs="Arial"/>
          <w:sz w:val="20"/>
          <w:szCs w:val="20"/>
        </w:rPr>
        <w:t xml:space="preserve"> May 2014</w:t>
      </w:r>
    </w:p>
    <w:p w14:paraId="44AA1BD8" w14:textId="0D3C9616" w:rsidR="00EE2E6E" w:rsidRPr="00633A71" w:rsidRDefault="00EE2E6E" w:rsidP="00EE2E6E">
      <w:pPr>
        <w:pStyle w:val="FootnoteText"/>
        <w:spacing w:before="200" w:after="0"/>
        <w:rPr>
          <w:rFonts w:ascii="Arial" w:hAnsi="Arial"/>
          <w:sz w:val="20"/>
          <w:szCs w:val="20"/>
          <w:lang w:val="en-GB"/>
        </w:rPr>
      </w:pPr>
      <w:r w:rsidRPr="00504B5E">
        <w:rPr>
          <w:rFonts w:ascii="Arial" w:hAnsi="Arial"/>
          <w:sz w:val="20"/>
          <w:szCs w:val="20"/>
          <w:lang w:val="en-GB"/>
        </w:rPr>
        <w:t>Law of Minerals</w:t>
      </w:r>
      <w:r w:rsidR="00EE6BF5">
        <w:rPr>
          <w:rFonts w:ascii="Arial" w:hAnsi="Arial"/>
          <w:sz w:val="20"/>
          <w:szCs w:val="20"/>
          <w:lang w:val="en-GB"/>
        </w:rPr>
        <w:t>,</w:t>
      </w:r>
      <w:r w:rsidR="00EE6BF5" w:rsidRPr="00504B5E">
        <w:rPr>
          <w:rFonts w:ascii="Arial" w:hAnsi="Arial"/>
          <w:sz w:val="20"/>
          <w:szCs w:val="20"/>
          <w:lang w:val="en-GB"/>
        </w:rPr>
        <w:t xml:space="preserve"> </w:t>
      </w:r>
      <w:r w:rsidRPr="00504B5E">
        <w:rPr>
          <w:rFonts w:ascii="Arial" w:hAnsi="Arial"/>
          <w:sz w:val="20"/>
          <w:szCs w:val="20"/>
          <w:lang w:val="en-GB"/>
        </w:rPr>
        <w:t xml:space="preserve">2011. Lao People´s Democratic Republic. Available at: </w:t>
      </w:r>
      <w:hyperlink r:id="rId98" w:history="1">
        <w:r w:rsidRPr="00632DBC">
          <w:rPr>
            <w:rStyle w:val="Hyperlink"/>
            <w:rFonts w:ascii="Arial" w:hAnsi="Arial"/>
            <w:color w:val="auto"/>
            <w:sz w:val="20"/>
            <w:szCs w:val="20"/>
            <w:lang w:val="en-GB"/>
          </w:rPr>
          <w:t>http://extwprlegs1.fao.org/docs/pdf/lao141172.pdf</w:t>
        </w:r>
      </w:hyperlink>
      <w:r w:rsidRPr="00633A71">
        <w:rPr>
          <w:rFonts w:ascii="Arial" w:hAnsi="Arial"/>
          <w:sz w:val="20"/>
          <w:szCs w:val="20"/>
          <w:lang w:val="en-GB"/>
        </w:rPr>
        <w:t xml:space="preserve"> Accessed 15th October 2017.</w:t>
      </w:r>
    </w:p>
    <w:p w14:paraId="5D966CF1" w14:textId="685677C5"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lastRenderedPageBreak/>
        <w:t>Legislative Assembly of the Northern Territory in Australia</w:t>
      </w:r>
      <w:r w:rsidR="00EE6BF5">
        <w:rPr>
          <w:rFonts w:ascii="Arial" w:hAnsi="Arial" w:cs="Arial"/>
          <w:sz w:val="20"/>
          <w:szCs w:val="20"/>
        </w:rPr>
        <w:t>,</w:t>
      </w:r>
      <w:r w:rsidRPr="00633A71">
        <w:rPr>
          <w:rFonts w:ascii="Arial" w:hAnsi="Arial" w:cs="Arial"/>
          <w:sz w:val="20"/>
          <w:szCs w:val="20"/>
        </w:rPr>
        <w:t xml:space="preserve"> 2006</w:t>
      </w:r>
      <w:r w:rsidR="00EE6BF5">
        <w:rPr>
          <w:rFonts w:ascii="Arial" w:hAnsi="Arial" w:cs="Arial"/>
          <w:sz w:val="20"/>
          <w:szCs w:val="20"/>
        </w:rPr>
        <w:t>.</w:t>
      </w:r>
      <w:r w:rsidR="00EE6BF5" w:rsidRPr="00633A71">
        <w:rPr>
          <w:rFonts w:ascii="Arial" w:hAnsi="Arial" w:cs="Arial"/>
          <w:sz w:val="20"/>
          <w:szCs w:val="20"/>
        </w:rPr>
        <w:t xml:space="preserve"> </w:t>
      </w:r>
      <w:r w:rsidRPr="00504B5E">
        <w:rPr>
          <w:rFonts w:ascii="Arial" w:hAnsi="Arial" w:cs="Arial"/>
          <w:i/>
          <w:iCs/>
          <w:sz w:val="20"/>
          <w:szCs w:val="20"/>
        </w:rPr>
        <w:t>Biological Resources Bill 2006 Serial No. 69, Explanatory Statement</w:t>
      </w:r>
      <w:r w:rsidRPr="00504B5E">
        <w:rPr>
          <w:rFonts w:ascii="Arial" w:hAnsi="Arial" w:cs="Arial"/>
          <w:sz w:val="20"/>
          <w:szCs w:val="20"/>
        </w:rPr>
        <w:t xml:space="preserve"> Available at: </w:t>
      </w:r>
      <w:hyperlink r:id="rId99" w:history="1">
        <w:r w:rsidRPr="00632DBC">
          <w:rPr>
            <w:rStyle w:val="Hyperlink"/>
            <w:rFonts w:ascii="Arial" w:hAnsi="Arial" w:cs="Arial"/>
            <w:color w:val="auto"/>
            <w:sz w:val="20"/>
            <w:szCs w:val="20"/>
          </w:rPr>
          <w:t>www.austlii.edu.au/au/legis/nt/bill_es/brb2006220/es.html</w:t>
        </w:r>
      </w:hyperlink>
      <w:r w:rsidRPr="00633A71">
        <w:rPr>
          <w:rFonts w:ascii="Arial" w:hAnsi="Arial" w:cs="Arial"/>
          <w:sz w:val="20"/>
          <w:szCs w:val="20"/>
        </w:rPr>
        <w:t xml:space="preserve"> Accessed 23rd May 2010</w:t>
      </w:r>
    </w:p>
    <w:p w14:paraId="6EDE3E2D" w14:textId="53FF3867" w:rsidR="00810C20" w:rsidRPr="00633A71" w:rsidRDefault="00810C20" w:rsidP="00810C20">
      <w:pPr>
        <w:spacing w:before="200" w:after="0" w:line="240" w:lineRule="auto"/>
        <w:jc w:val="both"/>
        <w:rPr>
          <w:rFonts w:ascii="Arial" w:hAnsi="Arial" w:cs="Arial"/>
          <w:bCs/>
          <w:sz w:val="20"/>
          <w:szCs w:val="20"/>
        </w:rPr>
      </w:pPr>
      <w:r w:rsidRPr="00633A71">
        <w:rPr>
          <w:rFonts w:ascii="Arial" w:hAnsi="Arial"/>
          <w:sz w:val="20"/>
          <w:lang w:val="es-MX"/>
        </w:rPr>
        <w:t xml:space="preserve">Ley No 27811, Ley Que Establece El Régimen de Protección de los Conocimientos Colectivos de los Pueblos Indígenas Vinculados a los Recursos Biológicos/ </w:t>
      </w:r>
      <w:proofErr w:type="spellStart"/>
      <w:r w:rsidRPr="00633A71">
        <w:rPr>
          <w:rFonts w:ascii="Arial" w:hAnsi="Arial"/>
          <w:sz w:val="20"/>
          <w:lang w:val="es-MX"/>
        </w:rPr>
        <w:t>Law</w:t>
      </w:r>
      <w:proofErr w:type="spellEnd"/>
      <w:r w:rsidRPr="00633A71">
        <w:rPr>
          <w:rFonts w:ascii="Arial" w:hAnsi="Arial"/>
          <w:sz w:val="20"/>
          <w:lang w:val="es-MX"/>
        </w:rPr>
        <w:t xml:space="preserve"> 27811, </w:t>
      </w:r>
      <w:proofErr w:type="spellStart"/>
      <w:r w:rsidRPr="00633A71">
        <w:rPr>
          <w:rFonts w:ascii="Arial" w:hAnsi="Arial"/>
          <w:sz w:val="20"/>
          <w:lang w:val="es-MX"/>
        </w:rPr>
        <w:t>Law</w:t>
      </w:r>
      <w:proofErr w:type="spellEnd"/>
      <w:r w:rsidRPr="00633A71">
        <w:rPr>
          <w:rFonts w:ascii="Arial" w:hAnsi="Arial"/>
          <w:sz w:val="20"/>
          <w:lang w:val="es-MX"/>
        </w:rPr>
        <w:t xml:space="preserve"> </w:t>
      </w:r>
      <w:proofErr w:type="spellStart"/>
      <w:r w:rsidRPr="00633A71">
        <w:rPr>
          <w:rFonts w:ascii="Arial" w:hAnsi="Arial"/>
          <w:sz w:val="20"/>
          <w:lang w:val="es-MX"/>
        </w:rPr>
        <w:t>introducing</w:t>
      </w:r>
      <w:proofErr w:type="spellEnd"/>
      <w:r w:rsidRPr="00633A71">
        <w:rPr>
          <w:rFonts w:ascii="Arial" w:hAnsi="Arial"/>
          <w:sz w:val="20"/>
          <w:lang w:val="es-MX"/>
        </w:rPr>
        <w:t xml:space="preserve"> a </w:t>
      </w:r>
      <w:proofErr w:type="spellStart"/>
      <w:r w:rsidRPr="00633A71">
        <w:rPr>
          <w:rFonts w:ascii="Arial" w:hAnsi="Arial"/>
          <w:sz w:val="20"/>
          <w:lang w:val="es-MX"/>
        </w:rPr>
        <w:t>protection</w:t>
      </w:r>
      <w:proofErr w:type="spellEnd"/>
      <w:r w:rsidRPr="00633A71">
        <w:rPr>
          <w:rFonts w:ascii="Arial" w:hAnsi="Arial"/>
          <w:sz w:val="20"/>
          <w:lang w:val="es-MX"/>
        </w:rPr>
        <w:t xml:space="preserve"> </w:t>
      </w:r>
      <w:proofErr w:type="spellStart"/>
      <w:r w:rsidRPr="00633A71">
        <w:rPr>
          <w:rFonts w:ascii="Arial" w:hAnsi="Arial"/>
          <w:sz w:val="20"/>
          <w:lang w:val="es-MX"/>
        </w:rPr>
        <w:t>regime</w:t>
      </w:r>
      <w:proofErr w:type="spellEnd"/>
      <w:r w:rsidRPr="00633A71">
        <w:rPr>
          <w:rFonts w:ascii="Arial" w:hAnsi="Arial"/>
          <w:sz w:val="20"/>
          <w:lang w:val="es-MX"/>
        </w:rPr>
        <w:t xml:space="preserve"> </w:t>
      </w:r>
      <w:proofErr w:type="spellStart"/>
      <w:r w:rsidRPr="00633A71">
        <w:rPr>
          <w:rFonts w:ascii="Arial" w:hAnsi="Arial"/>
          <w:sz w:val="20"/>
          <w:lang w:val="es-MX"/>
        </w:rPr>
        <w:t>for</w:t>
      </w:r>
      <w:proofErr w:type="spellEnd"/>
      <w:r w:rsidRPr="00504B5E">
        <w:rPr>
          <w:rFonts w:ascii="Arial" w:hAnsi="Arial"/>
          <w:sz w:val="20"/>
          <w:lang w:val="es-MX"/>
        </w:rPr>
        <w:t xml:space="preserve"> </w:t>
      </w:r>
      <w:proofErr w:type="spellStart"/>
      <w:r w:rsidRPr="00504B5E">
        <w:rPr>
          <w:rFonts w:ascii="Arial" w:hAnsi="Arial"/>
          <w:sz w:val="20"/>
          <w:lang w:val="es-MX"/>
        </w:rPr>
        <w:t>indigenous</w:t>
      </w:r>
      <w:proofErr w:type="spellEnd"/>
      <w:r w:rsidRPr="00504B5E">
        <w:rPr>
          <w:rFonts w:ascii="Arial" w:hAnsi="Arial"/>
          <w:sz w:val="20"/>
          <w:lang w:val="es-MX"/>
        </w:rPr>
        <w:t xml:space="preserve"> </w:t>
      </w:r>
      <w:proofErr w:type="spellStart"/>
      <w:r w:rsidRPr="00504B5E">
        <w:rPr>
          <w:rFonts w:ascii="Arial" w:hAnsi="Arial"/>
          <w:sz w:val="20"/>
          <w:lang w:val="es-MX"/>
        </w:rPr>
        <w:t>peoples</w:t>
      </w:r>
      <w:proofErr w:type="spellEnd"/>
      <w:r w:rsidRPr="00504B5E">
        <w:rPr>
          <w:rFonts w:ascii="Arial" w:hAnsi="Arial"/>
          <w:sz w:val="20"/>
          <w:lang w:val="es-MX"/>
        </w:rPr>
        <w:t xml:space="preserve">’ </w:t>
      </w:r>
      <w:proofErr w:type="spellStart"/>
      <w:r w:rsidRPr="00504B5E">
        <w:rPr>
          <w:rFonts w:ascii="Arial" w:hAnsi="Arial"/>
          <w:sz w:val="20"/>
          <w:lang w:val="es-MX"/>
        </w:rPr>
        <w:t>collective</w:t>
      </w:r>
      <w:proofErr w:type="spellEnd"/>
      <w:r w:rsidRPr="00504B5E">
        <w:rPr>
          <w:rFonts w:ascii="Arial" w:hAnsi="Arial"/>
          <w:sz w:val="20"/>
          <w:lang w:val="es-MX"/>
        </w:rPr>
        <w:t xml:space="preserve"> </w:t>
      </w:r>
      <w:proofErr w:type="spellStart"/>
      <w:r w:rsidRPr="00504B5E">
        <w:rPr>
          <w:rFonts w:ascii="Arial" w:hAnsi="Arial"/>
          <w:sz w:val="20"/>
          <w:lang w:val="es-MX"/>
        </w:rPr>
        <w:t>knowledge</w:t>
      </w:r>
      <w:proofErr w:type="spellEnd"/>
      <w:r w:rsidRPr="00504B5E">
        <w:rPr>
          <w:rFonts w:ascii="Arial" w:hAnsi="Arial"/>
          <w:sz w:val="20"/>
          <w:lang w:val="es-MX"/>
        </w:rPr>
        <w:t xml:space="preserve"> </w:t>
      </w:r>
      <w:proofErr w:type="spellStart"/>
      <w:r w:rsidRPr="00504B5E">
        <w:rPr>
          <w:rFonts w:ascii="Arial" w:hAnsi="Arial"/>
          <w:sz w:val="20"/>
          <w:lang w:val="es-MX"/>
        </w:rPr>
        <w:t>associated</w:t>
      </w:r>
      <w:proofErr w:type="spellEnd"/>
      <w:r w:rsidRPr="00504B5E">
        <w:rPr>
          <w:rFonts w:ascii="Arial" w:hAnsi="Arial"/>
          <w:sz w:val="20"/>
          <w:lang w:val="es-MX"/>
        </w:rPr>
        <w:t xml:space="preserve"> </w:t>
      </w:r>
      <w:proofErr w:type="spellStart"/>
      <w:r w:rsidRPr="00504B5E">
        <w:rPr>
          <w:rFonts w:ascii="Arial" w:hAnsi="Arial"/>
          <w:sz w:val="20"/>
          <w:lang w:val="es-MX"/>
        </w:rPr>
        <w:t>with</w:t>
      </w:r>
      <w:proofErr w:type="spellEnd"/>
      <w:r w:rsidRPr="00504B5E">
        <w:rPr>
          <w:rFonts w:ascii="Arial" w:hAnsi="Arial"/>
          <w:sz w:val="20"/>
          <w:lang w:val="es-MX"/>
        </w:rPr>
        <w:t xml:space="preserve"> </w:t>
      </w:r>
      <w:proofErr w:type="spellStart"/>
      <w:r w:rsidRPr="00504B5E">
        <w:rPr>
          <w:rFonts w:ascii="Arial" w:hAnsi="Arial"/>
          <w:sz w:val="20"/>
          <w:lang w:val="es-MX"/>
        </w:rPr>
        <w:t>biological</w:t>
      </w:r>
      <w:proofErr w:type="spellEnd"/>
      <w:r w:rsidRPr="00504B5E">
        <w:rPr>
          <w:rFonts w:ascii="Arial" w:hAnsi="Arial"/>
          <w:sz w:val="20"/>
          <w:lang w:val="es-MX"/>
        </w:rPr>
        <w:t xml:space="preserve"> resources</w:t>
      </w:r>
      <w:r w:rsidR="00EE6BF5">
        <w:rPr>
          <w:rFonts w:ascii="Arial" w:hAnsi="Arial"/>
          <w:sz w:val="20"/>
          <w:lang w:val="es-MX"/>
        </w:rPr>
        <w:t>,</w:t>
      </w:r>
      <w:r w:rsidRPr="00504B5E">
        <w:rPr>
          <w:rFonts w:ascii="Arial" w:hAnsi="Arial"/>
          <w:sz w:val="20"/>
          <w:lang w:val="es-MX"/>
        </w:rPr>
        <w:t xml:space="preserve">2002. </w:t>
      </w:r>
      <w:r w:rsidRPr="00633A71">
        <w:rPr>
          <w:rFonts w:ascii="Arial" w:hAnsi="Arial" w:cs="Arial"/>
          <w:bCs/>
          <w:sz w:val="20"/>
          <w:szCs w:val="20"/>
        </w:rPr>
        <w:t xml:space="preserve">Available at: </w:t>
      </w:r>
      <w:hyperlink r:id="rId100" w:history="1">
        <w:r w:rsidRPr="00632DBC">
          <w:rPr>
            <w:rStyle w:val="Hyperlink"/>
            <w:rFonts w:ascii="Arial" w:hAnsi="Arial" w:cs="Arial"/>
            <w:bCs/>
            <w:color w:val="auto"/>
            <w:sz w:val="20"/>
            <w:szCs w:val="20"/>
          </w:rPr>
          <w:t>https://www.cbd.int/abs/measures/measure.shtml?id=7920</w:t>
        </w:r>
      </w:hyperlink>
      <w:r w:rsidRPr="00633A71">
        <w:rPr>
          <w:rFonts w:ascii="Arial" w:hAnsi="Arial" w:cs="Arial"/>
          <w:bCs/>
          <w:sz w:val="20"/>
          <w:szCs w:val="20"/>
        </w:rPr>
        <w:t xml:space="preserve"> Accessed 22nd May 2014</w:t>
      </w:r>
    </w:p>
    <w:p w14:paraId="214DBB02" w14:textId="01239F8A" w:rsidR="00857726" w:rsidRPr="00633A71" w:rsidRDefault="00857726" w:rsidP="00857726">
      <w:pPr>
        <w:pStyle w:val="FootnoteText"/>
        <w:spacing w:before="200" w:after="0"/>
        <w:rPr>
          <w:rFonts w:ascii="Arial" w:hAnsi="Arial"/>
          <w:sz w:val="20"/>
          <w:szCs w:val="20"/>
          <w:lang w:val="en-GB"/>
        </w:rPr>
      </w:pPr>
      <w:r w:rsidRPr="00633A71">
        <w:rPr>
          <w:rFonts w:ascii="Arial" w:hAnsi="Arial"/>
          <w:sz w:val="20"/>
          <w:szCs w:val="20"/>
          <w:lang w:val="en-GB"/>
        </w:rPr>
        <w:t>Mining</w:t>
      </w:r>
      <w:r w:rsidRPr="00504B5E">
        <w:rPr>
          <w:rFonts w:ascii="Arial" w:hAnsi="Arial"/>
          <w:sz w:val="20"/>
          <w:szCs w:val="20"/>
          <w:lang w:val="en-GB"/>
        </w:rPr>
        <w:t xml:space="preserve"> Law</w:t>
      </w:r>
      <w:r w:rsidR="005F6857">
        <w:rPr>
          <w:rFonts w:ascii="Arial" w:hAnsi="Arial"/>
          <w:sz w:val="20"/>
          <w:szCs w:val="20"/>
          <w:lang w:val="en-GB"/>
        </w:rPr>
        <w:t>,</w:t>
      </w:r>
      <w:r w:rsidR="005F6857" w:rsidRPr="00504B5E">
        <w:rPr>
          <w:rFonts w:ascii="Arial" w:hAnsi="Arial"/>
          <w:sz w:val="20"/>
          <w:szCs w:val="20"/>
          <w:lang w:val="en-GB"/>
        </w:rPr>
        <w:t xml:space="preserve"> </w:t>
      </w:r>
      <w:r w:rsidRPr="00504B5E">
        <w:rPr>
          <w:rFonts w:ascii="Arial" w:hAnsi="Arial"/>
          <w:sz w:val="20"/>
          <w:szCs w:val="20"/>
          <w:lang w:val="en-GB"/>
        </w:rPr>
        <w:t xml:space="preserve">1997. Lao People´s Democratic Republic. Available at: </w:t>
      </w:r>
      <w:hyperlink r:id="rId101" w:history="1">
        <w:r w:rsidRPr="00632DBC">
          <w:rPr>
            <w:rStyle w:val="Hyperlink"/>
            <w:rFonts w:ascii="Arial" w:hAnsi="Arial"/>
            <w:color w:val="auto"/>
            <w:sz w:val="20"/>
            <w:szCs w:val="20"/>
            <w:lang w:val="en-GB"/>
          </w:rPr>
          <w:t>http://www.vientianetimes.org.la/Laws%20in%20English/36.%20Law%20on%20Mining%20(1997)%20Eng.pdf</w:t>
        </w:r>
      </w:hyperlink>
      <w:r w:rsidRPr="00633A71">
        <w:rPr>
          <w:rFonts w:ascii="Arial" w:hAnsi="Arial"/>
          <w:sz w:val="20"/>
          <w:szCs w:val="20"/>
          <w:lang w:val="en-GB"/>
        </w:rPr>
        <w:t xml:space="preserve"> Accessed 15th October 2017</w:t>
      </w:r>
    </w:p>
    <w:p w14:paraId="5F044260" w14:textId="6882ADB8" w:rsidR="00810C20" w:rsidRPr="00504B5E" w:rsidRDefault="00810C20" w:rsidP="00810C20">
      <w:pPr>
        <w:spacing w:before="200" w:after="0" w:line="240" w:lineRule="auto"/>
        <w:jc w:val="both"/>
        <w:rPr>
          <w:rFonts w:ascii="Arial" w:hAnsi="Arial" w:cs="Arial"/>
          <w:bCs/>
          <w:sz w:val="20"/>
          <w:szCs w:val="20"/>
        </w:rPr>
      </w:pPr>
      <w:r w:rsidRPr="00002536">
        <w:rPr>
          <w:rFonts w:ascii="Arial" w:hAnsi="Arial" w:cs="Arial"/>
          <w:bCs/>
          <w:sz w:val="20"/>
          <w:szCs w:val="20"/>
          <w:lang w:val="es-MX"/>
        </w:rPr>
        <w:t>M</w:t>
      </w:r>
      <w:r w:rsidR="000C3465" w:rsidRPr="00002536">
        <w:rPr>
          <w:rFonts w:ascii="Arial" w:hAnsi="Arial" w:cs="Arial"/>
          <w:bCs/>
          <w:sz w:val="20"/>
          <w:szCs w:val="20"/>
          <w:lang w:val="es-MX"/>
        </w:rPr>
        <w:t xml:space="preserve">inisterial </w:t>
      </w:r>
      <w:proofErr w:type="spellStart"/>
      <w:r w:rsidR="000C3465" w:rsidRPr="00002536">
        <w:rPr>
          <w:rFonts w:ascii="Arial" w:hAnsi="Arial" w:cs="Arial"/>
          <w:bCs/>
          <w:sz w:val="20"/>
          <w:szCs w:val="20"/>
          <w:lang w:val="es-MX"/>
        </w:rPr>
        <w:t>Agreement</w:t>
      </w:r>
      <w:proofErr w:type="spellEnd"/>
      <w:r w:rsidR="000C3465" w:rsidRPr="00002536">
        <w:rPr>
          <w:rFonts w:ascii="Arial" w:hAnsi="Arial" w:cs="Arial"/>
          <w:bCs/>
          <w:sz w:val="20"/>
          <w:szCs w:val="20"/>
          <w:lang w:val="es-MX"/>
        </w:rPr>
        <w:t xml:space="preserve"> N°169-2008</w:t>
      </w:r>
      <w:r w:rsidR="00EE2E6E" w:rsidRPr="00002536">
        <w:rPr>
          <w:rFonts w:ascii="Arial" w:hAnsi="Arial" w:cs="Arial"/>
          <w:bCs/>
          <w:sz w:val="20"/>
          <w:szCs w:val="20"/>
          <w:lang w:val="es-MX"/>
        </w:rPr>
        <w:t xml:space="preserve">: Acuerdo ministerial </w:t>
      </w:r>
      <w:r w:rsidRPr="00002536">
        <w:rPr>
          <w:rFonts w:ascii="Arial" w:hAnsi="Arial" w:cs="Arial"/>
          <w:bCs/>
          <w:sz w:val="20"/>
          <w:szCs w:val="20"/>
          <w:lang w:val="es-MX"/>
        </w:rPr>
        <w:t>N°169 (14/11/2008, MAE), 2008</w:t>
      </w:r>
      <w:r w:rsidR="005F6857" w:rsidRPr="00002536">
        <w:rPr>
          <w:rFonts w:ascii="Arial" w:hAnsi="Arial" w:cs="Arial"/>
          <w:bCs/>
          <w:sz w:val="20"/>
          <w:szCs w:val="20"/>
          <w:lang w:val="es-MX"/>
        </w:rPr>
        <w:t>.</w:t>
      </w:r>
      <w:r w:rsidRPr="00002536">
        <w:rPr>
          <w:rFonts w:ascii="Arial" w:hAnsi="Arial" w:cs="Arial"/>
          <w:bCs/>
          <w:sz w:val="20"/>
          <w:szCs w:val="20"/>
          <w:lang w:val="es-MX"/>
        </w:rPr>
        <w:t xml:space="preserve"> </w:t>
      </w:r>
      <w:r w:rsidRPr="00504B5E">
        <w:rPr>
          <w:rFonts w:ascii="Arial" w:hAnsi="Arial" w:cs="Arial"/>
          <w:bCs/>
          <w:sz w:val="20"/>
          <w:szCs w:val="20"/>
        </w:rPr>
        <w:t xml:space="preserve">Available at </w:t>
      </w:r>
      <w:hyperlink r:id="rId102" w:history="1">
        <w:r w:rsidRPr="00632DBC">
          <w:rPr>
            <w:rStyle w:val="Hyperlink"/>
            <w:rFonts w:ascii="Arial" w:hAnsi="Arial" w:cs="Arial"/>
            <w:bCs/>
            <w:color w:val="auto"/>
            <w:sz w:val="20"/>
            <w:szCs w:val="20"/>
          </w:rPr>
          <w:t>http://chmecuador.ambiente.gob.ec/admcontenidos/docs/acuerdo%20169.pdf</w:t>
        </w:r>
      </w:hyperlink>
      <w:r w:rsidRPr="00633A71">
        <w:rPr>
          <w:rFonts w:ascii="Arial" w:hAnsi="Arial" w:cs="Arial"/>
          <w:bCs/>
          <w:sz w:val="20"/>
          <w:szCs w:val="20"/>
        </w:rPr>
        <w:t xml:space="preserve"> Accessed 30</w:t>
      </w:r>
      <w:r w:rsidRPr="00633A71">
        <w:rPr>
          <w:rFonts w:ascii="Arial" w:hAnsi="Arial" w:cs="Arial"/>
          <w:bCs/>
          <w:sz w:val="20"/>
          <w:szCs w:val="20"/>
          <w:vertAlign w:val="superscript"/>
        </w:rPr>
        <w:t>th</w:t>
      </w:r>
      <w:r w:rsidRPr="00633A71">
        <w:rPr>
          <w:rFonts w:ascii="Arial" w:hAnsi="Arial" w:cs="Arial"/>
          <w:bCs/>
          <w:sz w:val="20"/>
          <w:szCs w:val="20"/>
        </w:rPr>
        <w:t xml:space="preserve"> April 2014</w:t>
      </w:r>
    </w:p>
    <w:p w14:paraId="3EF6CB88" w14:textId="4EAC159F" w:rsidR="00177A9D" w:rsidRPr="00633A71" w:rsidRDefault="00177A9D" w:rsidP="00810C20">
      <w:pPr>
        <w:spacing w:before="200" w:after="0" w:line="240" w:lineRule="auto"/>
        <w:jc w:val="both"/>
        <w:rPr>
          <w:rFonts w:ascii="Arial" w:hAnsi="Arial" w:cs="Arial"/>
          <w:bCs/>
          <w:sz w:val="20"/>
          <w:szCs w:val="20"/>
        </w:rPr>
      </w:pPr>
      <w:r w:rsidRPr="00504B5E">
        <w:rPr>
          <w:rFonts w:ascii="Arial" w:hAnsi="Arial"/>
          <w:sz w:val="20"/>
          <w:szCs w:val="20"/>
        </w:rPr>
        <w:t xml:space="preserve">Ministerial Agreement No. 8056/MONRE: </w:t>
      </w:r>
      <w:r w:rsidRPr="00504B5E">
        <w:rPr>
          <w:rFonts w:ascii="Arial" w:hAnsi="Arial"/>
          <w:bCs/>
          <w:sz w:val="20"/>
          <w:szCs w:val="20"/>
        </w:rPr>
        <w:t>Ministerial Agreement on the Endorsement and Promulgation of List of Investment Projects and Activities Requiring for Conducting the Initial Environmental Examination or Environmental and Social Impact Assessment</w:t>
      </w:r>
      <w:r w:rsidR="005F6857">
        <w:rPr>
          <w:rFonts w:ascii="Arial" w:hAnsi="Arial"/>
          <w:bCs/>
          <w:sz w:val="20"/>
          <w:szCs w:val="20"/>
        </w:rPr>
        <w:t>,</w:t>
      </w:r>
      <w:r w:rsidR="005F6857" w:rsidRPr="00504B5E">
        <w:rPr>
          <w:rFonts w:ascii="Arial" w:hAnsi="Arial"/>
          <w:bCs/>
          <w:sz w:val="20"/>
          <w:szCs w:val="20"/>
        </w:rPr>
        <w:t xml:space="preserve"> </w:t>
      </w:r>
      <w:r w:rsidRPr="00504B5E">
        <w:rPr>
          <w:rFonts w:ascii="Arial" w:hAnsi="Arial"/>
          <w:bCs/>
          <w:sz w:val="20"/>
          <w:szCs w:val="20"/>
        </w:rPr>
        <w:t xml:space="preserve">2013. </w:t>
      </w:r>
      <w:r w:rsidRPr="00504B5E">
        <w:rPr>
          <w:rFonts w:ascii="Arial" w:hAnsi="Arial"/>
          <w:sz w:val="20"/>
          <w:szCs w:val="20"/>
        </w:rPr>
        <w:t xml:space="preserve">Lao People’s Democratic Republic. Available at: </w:t>
      </w:r>
      <w:hyperlink r:id="rId103" w:history="1">
        <w:r w:rsidRPr="00632DBC">
          <w:rPr>
            <w:rStyle w:val="Hyperlink"/>
            <w:rFonts w:ascii="Arial" w:hAnsi="Arial"/>
            <w:color w:val="auto"/>
            <w:sz w:val="20"/>
            <w:szCs w:val="20"/>
          </w:rPr>
          <w:t>https://www.investlaos.gov.la/images/sampledata/pdf_sample/ESIA-IEE/Ministerial_Agreement_Eng.pdf</w:t>
        </w:r>
      </w:hyperlink>
      <w:r w:rsidRPr="00633A71">
        <w:rPr>
          <w:rFonts w:ascii="Arial" w:hAnsi="Arial"/>
          <w:sz w:val="20"/>
          <w:szCs w:val="20"/>
        </w:rPr>
        <w:t xml:space="preserve"> Accessed 10th September 2017</w:t>
      </w:r>
    </w:p>
    <w:p w14:paraId="3AF13E10" w14:textId="3AC66036" w:rsidR="00177A9D" w:rsidRPr="00633A71" w:rsidRDefault="00177A9D" w:rsidP="00177A9D">
      <w:pPr>
        <w:pStyle w:val="FootnoteText"/>
        <w:spacing w:before="200" w:after="0"/>
        <w:rPr>
          <w:rFonts w:ascii="Arial" w:hAnsi="Arial"/>
          <w:sz w:val="20"/>
          <w:szCs w:val="20"/>
          <w:lang w:val="en-GB"/>
        </w:rPr>
      </w:pPr>
      <w:r w:rsidRPr="00633A71">
        <w:rPr>
          <w:rFonts w:ascii="Arial" w:hAnsi="Arial"/>
          <w:sz w:val="20"/>
          <w:szCs w:val="20"/>
          <w:lang w:val="en-GB"/>
        </w:rPr>
        <w:t>Ministerial Decre</w:t>
      </w:r>
      <w:r w:rsidRPr="00504B5E">
        <w:rPr>
          <w:rFonts w:ascii="Arial" w:hAnsi="Arial"/>
          <w:sz w:val="20"/>
          <w:szCs w:val="20"/>
          <w:lang w:val="en-GB"/>
        </w:rPr>
        <w:t xml:space="preserve">e No. 88/PM: Decree </w:t>
      </w:r>
      <w:r w:rsidRPr="00504B5E">
        <w:rPr>
          <w:rFonts w:ascii="Arial" w:hAnsi="Arial"/>
          <w:bCs/>
          <w:sz w:val="20"/>
          <w:szCs w:val="20"/>
          <w:lang w:val="en-GB"/>
        </w:rPr>
        <w:t>on the Implementation of the Land Law</w:t>
      </w:r>
      <w:r w:rsidR="005F6857">
        <w:rPr>
          <w:rFonts w:ascii="Arial" w:hAnsi="Arial"/>
          <w:bCs/>
          <w:sz w:val="20"/>
          <w:szCs w:val="20"/>
          <w:lang w:val="en-GB"/>
        </w:rPr>
        <w:t>,</w:t>
      </w:r>
      <w:r w:rsidR="005F6857" w:rsidRPr="00504B5E">
        <w:rPr>
          <w:rFonts w:ascii="Arial" w:hAnsi="Arial"/>
          <w:bCs/>
          <w:sz w:val="20"/>
          <w:szCs w:val="20"/>
          <w:lang w:val="en-GB"/>
        </w:rPr>
        <w:t xml:space="preserve"> </w:t>
      </w:r>
      <w:r w:rsidRPr="00504B5E">
        <w:rPr>
          <w:rFonts w:ascii="Arial" w:hAnsi="Arial"/>
          <w:bCs/>
          <w:sz w:val="20"/>
          <w:szCs w:val="20"/>
          <w:lang w:val="en-GB"/>
        </w:rPr>
        <w:t xml:space="preserve">2008. </w:t>
      </w:r>
      <w:r w:rsidRPr="00504B5E">
        <w:rPr>
          <w:rFonts w:ascii="Arial" w:hAnsi="Arial"/>
          <w:sz w:val="20"/>
          <w:szCs w:val="20"/>
          <w:lang w:val="en-GB"/>
        </w:rPr>
        <w:t xml:space="preserve">Lao People’s Democratic Republic. Available at: </w:t>
      </w:r>
      <w:hyperlink r:id="rId104" w:history="1">
        <w:r w:rsidRPr="00632DBC">
          <w:rPr>
            <w:rStyle w:val="Hyperlink"/>
            <w:rFonts w:ascii="Arial" w:hAnsi="Arial"/>
            <w:color w:val="auto"/>
            <w:sz w:val="20"/>
            <w:szCs w:val="20"/>
            <w:lang w:val="en-GB"/>
          </w:rPr>
          <w:t>http://www.laolandissues.org/wp-content/uploads/2012/03/Decree-88-Final-Eng.doc</w:t>
        </w:r>
      </w:hyperlink>
      <w:r w:rsidRPr="00633A71">
        <w:rPr>
          <w:rFonts w:ascii="Arial" w:hAnsi="Arial"/>
          <w:sz w:val="20"/>
          <w:szCs w:val="20"/>
          <w:lang w:val="en-GB"/>
        </w:rPr>
        <w:t xml:space="preserve"> Accessed 14th September 2017</w:t>
      </w:r>
    </w:p>
    <w:p w14:paraId="26DD548A" w14:textId="6765C8B0" w:rsidR="008C28C6" w:rsidRPr="00633A71" w:rsidRDefault="008C28C6" w:rsidP="00177A9D">
      <w:pPr>
        <w:pStyle w:val="FootnoteText"/>
        <w:spacing w:before="200" w:after="0"/>
        <w:rPr>
          <w:rFonts w:ascii="Arial" w:hAnsi="Arial"/>
          <w:sz w:val="20"/>
          <w:szCs w:val="20"/>
          <w:lang w:val="en-GB"/>
        </w:rPr>
      </w:pPr>
      <w:r w:rsidRPr="00504B5E">
        <w:rPr>
          <w:rFonts w:ascii="Arial" w:hAnsi="Arial"/>
          <w:sz w:val="20"/>
          <w:szCs w:val="20"/>
          <w:lang w:val="en-GB"/>
        </w:rPr>
        <w:t>Ministerial Decree No. 112/PM: Decree on Environmental Impact Assessment</w:t>
      </w:r>
      <w:r w:rsidR="005F6857">
        <w:rPr>
          <w:rFonts w:ascii="Arial" w:hAnsi="Arial"/>
          <w:sz w:val="20"/>
          <w:szCs w:val="20"/>
          <w:lang w:val="en-GB"/>
        </w:rPr>
        <w:t>,</w:t>
      </w:r>
      <w:r w:rsidR="005F6857" w:rsidRPr="00504B5E">
        <w:rPr>
          <w:rFonts w:ascii="Arial" w:hAnsi="Arial"/>
          <w:sz w:val="20"/>
          <w:szCs w:val="20"/>
          <w:lang w:val="en-GB"/>
        </w:rPr>
        <w:t xml:space="preserve"> </w:t>
      </w:r>
      <w:r w:rsidRPr="00504B5E">
        <w:rPr>
          <w:rFonts w:ascii="Arial" w:hAnsi="Arial"/>
          <w:sz w:val="20"/>
          <w:szCs w:val="20"/>
          <w:lang w:val="en-GB"/>
        </w:rPr>
        <w:t xml:space="preserve">2010. Lao People’s Democratic Republic. Available at: </w:t>
      </w:r>
      <w:hyperlink r:id="rId105" w:history="1">
        <w:r w:rsidRPr="00632DBC">
          <w:rPr>
            <w:rStyle w:val="Hyperlink"/>
            <w:rFonts w:ascii="Arial" w:hAnsi="Arial"/>
            <w:color w:val="auto"/>
            <w:sz w:val="20"/>
            <w:szCs w:val="20"/>
            <w:lang w:val="en-GB"/>
          </w:rPr>
          <w:t>http://www.laolandissues.org/wp-content/uploads/2011/12/EIA-Decree-112-PM-2010-Inofficial-transl.-Eng.pdf</w:t>
        </w:r>
      </w:hyperlink>
      <w:r w:rsidRPr="00633A71">
        <w:rPr>
          <w:rFonts w:ascii="Arial" w:hAnsi="Arial"/>
          <w:sz w:val="20"/>
          <w:szCs w:val="20"/>
          <w:lang w:val="en-GB"/>
        </w:rPr>
        <w:t xml:space="preserve"> Accessed 10th September 2017</w:t>
      </w:r>
    </w:p>
    <w:p w14:paraId="538DFE66" w14:textId="46D0F64F" w:rsidR="003215BE" w:rsidRPr="00633A71" w:rsidRDefault="003215BE" w:rsidP="00177A9D">
      <w:pPr>
        <w:pStyle w:val="FootnoteText"/>
        <w:spacing w:before="200" w:after="0"/>
        <w:rPr>
          <w:rFonts w:ascii="Arial" w:hAnsi="Arial"/>
          <w:sz w:val="20"/>
          <w:szCs w:val="20"/>
          <w:lang w:val="en-GB"/>
        </w:rPr>
      </w:pPr>
      <w:r w:rsidRPr="00504B5E">
        <w:rPr>
          <w:rFonts w:ascii="Arial" w:hAnsi="Arial"/>
          <w:sz w:val="20"/>
          <w:szCs w:val="20"/>
          <w:lang w:val="en-GB"/>
        </w:rPr>
        <w:t>Ministerial Decree No. 192/PM: Decree on Compensation and Resettlement Management in Development Projects</w:t>
      </w:r>
      <w:r w:rsidR="005F6857">
        <w:rPr>
          <w:rFonts w:ascii="Arial" w:hAnsi="Arial"/>
          <w:sz w:val="20"/>
          <w:szCs w:val="20"/>
          <w:lang w:val="en-GB"/>
        </w:rPr>
        <w:t>,</w:t>
      </w:r>
      <w:r w:rsidR="005F6857" w:rsidRPr="00504B5E">
        <w:rPr>
          <w:rFonts w:ascii="Arial" w:hAnsi="Arial"/>
          <w:sz w:val="20"/>
          <w:szCs w:val="20"/>
          <w:lang w:val="en-GB"/>
        </w:rPr>
        <w:t xml:space="preserve"> </w:t>
      </w:r>
      <w:r w:rsidRPr="00504B5E">
        <w:rPr>
          <w:rFonts w:ascii="Arial" w:hAnsi="Arial"/>
          <w:sz w:val="20"/>
          <w:szCs w:val="20"/>
          <w:lang w:val="en-GB"/>
        </w:rPr>
        <w:t xml:space="preserve">2005. Lao People’s Democratic Republic. Available at: </w:t>
      </w:r>
      <w:hyperlink r:id="rId106" w:history="1">
        <w:r w:rsidRPr="00632DBC">
          <w:rPr>
            <w:rStyle w:val="Hyperlink"/>
            <w:rFonts w:ascii="Arial" w:hAnsi="Arial"/>
            <w:color w:val="auto"/>
            <w:sz w:val="20"/>
            <w:szCs w:val="20"/>
            <w:lang w:val="en-GB"/>
          </w:rPr>
          <w:t>http://www.laolandissues.org/wp-content/uploads/2011/12/Approved-Resettlement-Decree-192-PM-Eng-2005.pdf</w:t>
        </w:r>
      </w:hyperlink>
      <w:r w:rsidRPr="00633A71">
        <w:rPr>
          <w:rFonts w:ascii="Arial" w:hAnsi="Arial"/>
          <w:sz w:val="20"/>
          <w:szCs w:val="20"/>
          <w:lang w:val="en-GB"/>
        </w:rPr>
        <w:t xml:space="preserve"> Accessed 8th November 2017.</w:t>
      </w:r>
    </w:p>
    <w:p w14:paraId="7B7C891C" w14:textId="5985FD87" w:rsidR="00FB4C28" w:rsidRPr="00633A71" w:rsidRDefault="00FB4C28" w:rsidP="00FB4C28">
      <w:pPr>
        <w:autoSpaceDE w:val="0"/>
        <w:autoSpaceDN w:val="0"/>
        <w:adjustRightInd w:val="0"/>
        <w:spacing w:before="200" w:after="0" w:line="240" w:lineRule="auto"/>
        <w:rPr>
          <w:rFonts w:ascii="Arial" w:hAnsi="Arial"/>
          <w:sz w:val="20"/>
          <w:szCs w:val="20"/>
        </w:rPr>
      </w:pPr>
      <w:r w:rsidRPr="00504B5E">
        <w:rPr>
          <w:rFonts w:ascii="Arial" w:hAnsi="Arial"/>
          <w:sz w:val="20"/>
          <w:szCs w:val="20"/>
        </w:rPr>
        <w:t>Ministerial Instruction 8029/MONRE:</w:t>
      </w:r>
      <w:r w:rsidR="008C28C6" w:rsidRPr="00504B5E">
        <w:rPr>
          <w:rFonts w:ascii="Arial" w:hAnsi="Arial"/>
          <w:bCs/>
          <w:sz w:val="20"/>
          <w:szCs w:val="20"/>
        </w:rPr>
        <w:t xml:space="preserve"> Ministerial Inst</w:t>
      </w:r>
      <w:r w:rsidRPr="00504B5E">
        <w:rPr>
          <w:rFonts w:ascii="Arial" w:hAnsi="Arial"/>
          <w:bCs/>
          <w:sz w:val="20"/>
          <w:szCs w:val="20"/>
        </w:rPr>
        <w:t>ruction on the Process of Initial Environmental Examination of the Investment Projects and Activities</w:t>
      </w:r>
      <w:r w:rsidR="005F6857">
        <w:rPr>
          <w:rFonts w:ascii="Arial" w:hAnsi="Arial"/>
          <w:bCs/>
          <w:sz w:val="20"/>
          <w:szCs w:val="20"/>
        </w:rPr>
        <w:t>,</w:t>
      </w:r>
      <w:r w:rsidR="005F6857" w:rsidRPr="00504B5E">
        <w:rPr>
          <w:rFonts w:ascii="Arial" w:hAnsi="Arial"/>
          <w:bCs/>
          <w:sz w:val="20"/>
          <w:szCs w:val="20"/>
        </w:rPr>
        <w:t xml:space="preserve"> </w:t>
      </w:r>
      <w:r w:rsidRPr="00504B5E">
        <w:rPr>
          <w:rFonts w:ascii="Arial" w:hAnsi="Arial"/>
          <w:bCs/>
          <w:sz w:val="20"/>
          <w:szCs w:val="20"/>
        </w:rPr>
        <w:t xml:space="preserve">2013. </w:t>
      </w:r>
      <w:r w:rsidRPr="00504B5E">
        <w:rPr>
          <w:rFonts w:ascii="Arial" w:hAnsi="Arial"/>
          <w:sz w:val="20"/>
          <w:szCs w:val="20"/>
        </w:rPr>
        <w:t xml:space="preserve">Lao People’s Democratic Republic. Available at: </w:t>
      </w:r>
      <w:hyperlink r:id="rId107" w:history="1">
        <w:r w:rsidRPr="00632DBC">
          <w:rPr>
            <w:rStyle w:val="Hyperlink"/>
            <w:rFonts w:ascii="Arial" w:hAnsi="Arial"/>
            <w:color w:val="auto"/>
            <w:sz w:val="20"/>
            <w:szCs w:val="20"/>
          </w:rPr>
          <w:t>https://www.investlaos.gov.la/images/sampledata/pdf_sample/ESIA-IEE/IEE_Ministerial_Instruction_Eng.pdf</w:t>
        </w:r>
      </w:hyperlink>
      <w:r w:rsidR="00177A9D" w:rsidRPr="00633A71">
        <w:rPr>
          <w:rFonts w:ascii="Arial" w:hAnsi="Arial"/>
          <w:sz w:val="20"/>
          <w:szCs w:val="20"/>
        </w:rPr>
        <w:t xml:space="preserve"> </w:t>
      </w:r>
      <w:r w:rsidRPr="00633A71">
        <w:rPr>
          <w:rFonts w:ascii="Arial" w:hAnsi="Arial"/>
          <w:sz w:val="20"/>
          <w:szCs w:val="20"/>
        </w:rPr>
        <w:t>Accessed 10th September 2017</w:t>
      </w:r>
    </w:p>
    <w:p w14:paraId="012EBF36" w14:textId="045C132A" w:rsidR="00FB4C28" w:rsidRPr="00633A71" w:rsidRDefault="00FB4C28" w:rsidP="00FB4C28">
      <w:pPr>
        <w:pStyle w:val="FootnoteText"/>
        <w:spacing w:before="200" w:after="0"/>
        <w:rPr>
          <w:rFonts w:ascii="Arial" w:hAnsi="Arial"/>
          <w:sz w:val="20"/>
          <w:szCs w:val="20"/>
          <w:lang w:val="en-GB"/>
        </w:rPr>
      </w:pPr>
      <w:r w:rsidRPr="00504B5E">
        <w:rPr>
          <w:rFonts w:ascii="Arial" w:hAnsi="Arial"/>
          <w:sz w:val="20"/>
          <w:szCs w:val="20"/>
          <w:lang w:val="en-GB"/>
        </w:rPr>
        <w:t>Ministerial Instruction 8030/MONRE:</w:t>
      </w:r>
      <w:r w:rsidRPr="00504B5E">
        <w:rPr>
          <w:rFonts w:ascii="Arial" w:hAnsi="Arial"/>
          <w:bCs/>
          <w:sz w:val="20"/>
          <w:szCs w:val="20"/>
          <w:lang w:val="en-GB"/>
        </w:rPr>
        <w:t xml:space="preserve"> </w:t>
      </w:r>
      <w:r w:rsidRPr="00504B5E">
        <w:rPr>
          <w:rFonts w:ascii="Arial" w:hAnsi="Arial"/>
          <w:bCs/>
          <w:iCs/>
          <w:sz w:val="20"/>
          <w:szCs w:val="20"/>
          <w:lang w:val="en-GB"/>
        </w:rPr>
        <w:t>Ministerial Instruction on Environmental and Social Impact Assessment Process of the Investment Projects and Activities</w:t>
      </w:r>
      <w:r w:rsidR="005F6857">
        <w:rPr>
          <w:rFonts w:ascii="Arial" w:hAnsi="Arial"/>
          <w:bCs/>
          <w:iCs/>
          <w:sz w:val="20"/>
          <w:szCs w:val="20"/>
          <w:lang w:val="en-GB"/>
        </w:rPr>
        <w:t>,</w:t>
      </w:r>
      <w:r w:rsidR="005F6857" w:rsidRPr="00504B5E">
        <w:rPr>
          <w:rFonts w:ascii="Arial" w:hAnsi="Arial"/>
          <w:bCs/>
          <w:iCs/>
          <w:sz w:val="20"/>
          <w:szCs w:val="20"/>
          <w:lang w:val="en-GB"/>
        </w:rPr>
        <w:t xml:space="preserve"> </w:t>
      </w:r>
      <w:r w:rsidRPr="00504B5E">
        <w:rPr>
          <w:rFonts w:ascii="Arial" w:hAnsi="Arial"/>
          <w:bCs/>
          <w:iCs/>
          <w:sz w:val="20"/>
          <w:szCs w:val="20"/>
          <w:lang w:val="en-GB"/>
        </w:rPr>
        <w:t xml:space="preserve">2013. </w:t>
      </w:r>
      <w:r w:rsidRPr="00504B5E">
        <w:rPr>
          <w:rFonts w:ascii="Arial" w:hAnsi="Arial"/>
          <w:sz w:val="20"/>
          <w:szCs w:val="20"/>
          <w:lang w:val="en-GB"/>
        </w:rPr>
        <w:t xml:space="preserve">Lao People’s Democratic Republic. Available at: </w:t>
      </w:r>
      <w:hyperlink r:id="rId108" w:history="1">
        <w:r w:rsidRPr="00632DBC">
          <w:rPr>
            <w:rStyle w:val="Hyperlink"/>
            <w:rFonts w:ascii="Arial" w:hAnsi="Arial"/>
            <w:color w:val="auto"/>
            <w:sz w:val="20"/>
            <w:szCs w:val="20"/>
            <w:lang w:val="en-GB"/>
          </w:rPr>
          <w:t>https://www.resourcedata.org/dataset/rgi--on-environmental-and-social-impact-assessment-process-of-the-investment-projects-and-activities</w:t>
        </w:r>
      </w:hyperlink>
      <w:r w:rsidRPr="00633A71">
        <w:rPr>
          <w:rFonts w:ascii="Arial" w:hAnsi="Arial"/>
          <w:sz w:val="20"/>
          <w:szCs w:val="20"/>
          <w:lang w:val="en-GB"/>
        </w:rPr>
        <w:t xml:space="preserve"> Accessed 10th September 2017.</w:t>
      </w:r>
    </w:p>
    <w:p w14:paraId="41734ACC" w14:textId="5B57F40B"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Organic Law of Citizen Participation (OLCP): Ley </w:t>
      </w:r>
      <w:proofErr w:type="spellStart"/>
      <w:r w:rsidRPr="00504B5E">
        <w:rPr>
          <w:rFonts w:ascii="Arial" w:hAnsi="Arial" w:cs="Arial"/>
          <w:sz w:val="20"/>
          <w:szCs w:val="20"/>
        </w:rPr>
        <w:t>orgánica</w:t>
      </w:r>
      <w:proofErr w:type="spellEnd"/>
      <w:r w:rsidRPr="00504B5E">
        <w:rPr>
          <w:rFonts w:ascii="Arial" w:hAnsi="Arial" w:cs="Arial"/>
          <w:sz w:val="20"/>
          <w:szCs w:val="20"/>
        </w:rPr>
        <w:t xml:space="preserve"> de </w:t>
      </w:r>
      <w:proofErr w:type="spellStart"/>
      <w:r w:rsidRPr="00504B5E">
        <w:rPr>
          <w:rFonts w:ascii="Arial" w:hAnsi="Arial" w:cs="Arial"/>
          <w:sz w:val="20"/>
          <w:szCs w:val="20"/>
        </w:rPr>
        <w:t>participación</w:t>
      </w:r>
      <w:proofErr w:type="spellEnd"/>
      <w:r w:rsidRPr="00504B5E">
        <w:rPr>
          <w:rFonts w:ascii="Arial" w:hAnsi="Arial" w:cs="Arial"/>
          <w:sz w:val="20"/>
          <w:szCs w:val="20"/>
        </w:rPr>
        <w:t xml:space="preserve"> </w:t>
      </w:r>
      <w:proofErr w:type="spellStart"/>
      <w:r w:rsidRPr="00504B5E">
        <w:rPr>
          <w:rFonts w:ascii="Arial" w:hAnsi="Arial" w:cs="Arial"/>
          <w:sz w:val="20"/>
          <w:szCs w:val="20"/>
        </w:rPr>
        <w:t>ciudadana</w:t>
      </w:r>
      <w:proofErr w:type="spellEnd"/>
      <w:r w:rsidRPr="00504B5E">
        <w:rPr>
          <w:rFonts w:ascii="Arial" w:hAnsi="Arial" w:cs="Arial"/>
          <w:sz w:val="20"/>
          <w:szCs w:val="20"/>
        </w:rPr>
        <w:t xml:space="preserve">, 2011 Available at </w:t>
      </w:r>
      <w:hyperlink r:id="rId109" w:history="1">
        <w:r w:rsidRPr="00632DBC">
          <w:rPr>
            <w:rStyle w:val="Hyperlink"/>
            <w:rFonts w:ascii="Arial" w:hAnsi="Arial" w:cs="Arial"/>
            <w:color w:val="auto"/>
            <w:sz w:val="20"/>
            <w:szCs w:val="20"/>
          </w:rPr>
          <w:t>http://www.oas.org/juridico/PDFs/mesicic4_ecu_org6.pdf</w:t>
        </w:r>
      </w:hyperlink>
      <w:r w:rsidRPr="00633A71">
        <w:rPr>
          <w:rFonts w:ascii="Arial" w:hAnsi="Arial" w:cs="Arial"/>
          <w:sz w:val="20"/>
          <w:szCs w:val="20"/>
        </w:rPr>
        <w:t xml:space="preserve"> : Accessed 30th April 2014</w:t>
      </w:r>
    </w:p>
    <w:p w14:paraId="7F09397D" w14:textId="3AFE6E8E"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Penal Code (PC): Código Penal, 2013 Available at: </w:t>
      </w:r>
      <w:hyperlink r:id="rId110" w:history="1">
        <w:r w:rsidRPr="00632DBC">
          <w:rPr>
            <w:rStyle w:val="Hyperlink"/>
            <w:rFonts w:ascii="Arial" w:hAnsi="Arial" w:cs="Arial"/>
            <w:color w:val="auto"/>
            <w:sz w:val="20"/>
            <w:szCs w:val="20"/>
          </w:rPr>
          <w:t>http://www.miliarium.com/paginas/leyes/internacional/Ecuador/General/cp.pdf</w:t>
        </w:r>
      </w:hyperlink>
      <w:r w:rsidR="008C28C6" w:rsidRPr="00633A71">
        <w:rPr>
          <w:rFonts w:ascii="Arial" w:hAnsi="Arial" w:cs="Arial"/>
          <w:sz w:val="20"/>
          <w:szCs w:val="20"/>
        </w:rPr>
        <w:t xml:space="preserve"> </w:t>
      </w:r>
      <w:r w:rsidRPr="00633A71">
        <w:rPr>
          <w:rFonts w:ascii="Arial" w:hAnsi="Arial" w:cs="Arial"/>
          <w:sz w:val="20"/>
          <w:szCs w:val="20"/>
        </w:rPr>
        <w:t>Accessed 30</w:t>
      </w:r>
      <w:r w:rsidRPr="00633A71">
        <w:rPr>
          <w:rFonts w:ascii="Arial" w:hAnsi="Arial" w:cs="Arial"/>
          <w:sz w:val="20"/>
          <w:szCs w:val="20"/>
          <w:vertAlign w:val="superscript"/>
        </w:rPr>
        <w:t>th</w:t>
      </w:r>
      <w:r w:rsidRPr="00504B5E">
        <w:rPr>
          <w:rFonts w:ascii="Arial" w:hAnsi="Arial" w:cs="Arial"/>
          <w:sz w:val="20"/>
          <w:szCs w:val="20"/>
        </w:rPr>
        <w:t xml:space="preserve"> April 2014</w:t>
      </w:r>
    </w:p>
    <w:p w14:paraId="1DF95D2D" w14:textId="583A3644" w:rsidR="00D169CC" w:rsidRPr="00504B5E" w:rsidRDefault="00D169CC" w:rsidP="00D169CC">
      <w:pPr>
        <w:pStyle w:val="FootnoteText"/>
        <w:spacing w:before="200" w:after="0"/>
        <w:rPr>
          <w:rFonts w:ascii="Arial" w:hAnsi="Arial"/>
          <w:sz w:val="20"/>
          <w:szCs w:val="20"/>
          <w:lang w:val="en-GB"/>
        </w:rPr>
      </w:pPr>
      <w:r w:rsidRPr="00504B5E">
        <w:rPr>
          <w:rFonts w:ascii="Arial" w:hAnsi="Arial"/>
          <w:bCs/>
          <w:iCs/>
          <w:sz w:val="20"/>
          <w:szCs w:val="20"/>
          <w:lang w:val="en-GB"/>
        </w:rPr>
        <w:t>Regulation No. 1770/STEA: Regulation on Environment Assessment in the Lao PDR</w:t>
      </w:r>
      <w:r w:rsidR="005F6857">
        <w:rPr>
          <w:rFonts w:ascii="Arial" w:hAnsi="Arial"/>
          <w:bCs/>
          <w:iCs/>
          <w:sz w:val="20"/>
          <w:szCs w:val="20"/>
          <w:lang w:val="en-GB"/>
        </w:rPr>
        <w:t>,</w:t>
      </w:r>
      <w:r w:rsidR="005F6857" w:rsidRPr="00504B5E">
        <w:rPr>
          <w:rFonts w:ascii="Arial" w:hAnsi="Arial"/>
          <w:bCs/>
          <w:iCs/>
          <w:sz w:val="20"/>
          <w:szCs w:val="20"/>
          <w:lang w:val="en-GB"/>
        </w:rPr>
        <w:t xml:space="preserve"> </w:t>
      </w:r>
      <w:r w:rsidRPr="00504B5E">
        <w:rPr>
          <w:rFonts w:ascii="Arial" w:hAnsi="Arial"/>
          <w:bCs/>
          <w:iCs/>
          <w:sz w:val="20"/>
          <w:szCs w:val="20"/>
          <w:lang w:val="en-GB"/>
        </w:rPr>
        <w:t xml:space="preserve">2000. </w:t>
      </w:r>
      <w:r w:rsidRPr="00504B5E">
        <w:rPr>
          <w:rFonts w:ascii="Arial" w:hAnsi="Arial"/>
          <w:sz w:val="20"/>
          <w:szCs w:val="20"/>
          <w:lang w:val="en-GB"/>
        </w:rPr>
        <w:t>Lao People´s Democratic Republic.</w:t>
      </w:r>
    </w:p>
    <w:p w14:paraId="1FEF7842"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Secretariat of the Convention on Biological Diversity, </w:t>
      </w:r>
      <w:r w:rsidRPr="00632DBC">
        <w:rPr>
          <w:rFonts w:ascii="Arial" w:hAnsi="Arial" w:cs="Arial"/>
          <w:sz w:val="20"/>
          <w:szCs w:val="20"/>
        </w:rPr>
        <w:fldChar w:fldCharType="begin" w:fldLock="1"/>
      </w:r>
      <w:r w:rsidRPr="00632DBC">
        <w:rPr>
          <w:rFonts w:ascii="Arial" w:hAnsi="Arial" w:cs="Arial"/>
          <w:sz w:val="20"/>
          <w:szCs w:val="20"/>
        </w:rPr>
        <w:instrText xml:space="preserve">ADDIN Mendeley Bibliography CSL_BIBLIOGRAPHY </w:instrText>
      </w:r>
      <w:r w:rsidRPr="00632DBC">
        <w:rPr>
          <w:rFonts w:ascii="Arial" w:hAnsi="Arial" w:cs="Arial"/>
          <w:sz w:val="20"/>
          <w:szCs w:val="20"/>
        </w:rPr>
        <w:fldChar w:fldCharType="end"/>
      </w:r>
      <w:r w:rsidRPr="00632DBC">
        <w:fldChar w:fldCharType="begin" w:fldLock="1"/>
      </w:r>
      <w:r w:rsidRPr="00632DBC">
        <w:fldChar w:fldCharType="separate"/>
      </w:r>
      <w:r w:rsidRPr="00632DBC">
        <w:rPr>
          <w:rFonts w:ascii="Arial" w:hAnsi="Arial" w:cs="Arial"/>
          <w:sz w:val="20"/>
          <w:szCs w:val="20"/>
        </w:rPr>
        <w:t>{Formatting Citation}</w:t>
      </w:r>
      <w:r w:rsidRPr="00632DBC">
        <w:rPr>
          <w:rFonts w:ascii="Arial" w:hAnsi="Arial" w:cs="Arial"/>
          <w:sz w:val="20"/>
          <w:szCs w:val="20"/>
        </w:rPr>
        <w:fldChar w:fldCharType="end"/>
      </w:r>
      <w:r w:rsidRPr="00633A71">
        <w:rPr>
          <w:rFonts w:ascii="Arial" w:hAnsi="Arial" w:cs="Arial"/>
          <w:sz w:val="20"/>
          <w:szCs w:val="20"/>
        </w:rPr>
        <w:t xml:space="preserve">2010. Global Biodiversity Outlook 3. Montréal, Canada Available at: </w:t>
      </w:r>
      <w:hyperlink r:id="rId111" w:history="1">
        <w:r w:rsidRPr="00632DBC">
          <w:rPr>
            <w:rStyle w:val="Hyperlink"/>
            <w:rFonts w:ascii="Arial" w:hAnsi="Arial" w:cs="Arial"/>
            <w:color w:val="auto"/>
            <w:sz w:val="20"/>
            <w:szCs w:val="20"/>
          </w:rPr>
          <w:t>http://www.cbd.int/gbo3/?pub=6667&amp;section=6673</w:t>
        </w:r>
      </w:hyperlink>
      <w:r w:rsidRPr="00633A71">
        <w:rPr>
          <w:rFonts w:ascii="Arial" w:hAnsi="Arial" w:cs="Arial"/>
          <w:sz w:val="20"/>
          <w:szCs w:val="20"/>
        </w:rPr>
        <w:t xml:space="preserve"> Accessed 21</w:t>
      </w:r>
      <w:r w:rsidRPr="00633A71">
        <w:rPr>
          <w:rFonts w:ascii="Arial" w:hAnsi="Arial" w:cs="Arial"/>
          <w:sz w:val="20"/>
          <w:szCs w:val="20"/>
          <w:vertAlign w:val="superscript"/>
        </w:rPr>
        <w:t>st</w:t>
      </w:r>
      <w:r w:rsidRPr="00633A71">
        <w:rPr>
          <w:rFonts w:ascii="Arial" w:hAnsi="Arial" w:cs="Arial"/>
          <w:sz w:val="20"/>
          <w:szCs w:val="20"/>
        </w:rPr>
        <w:t xml:space="preserve"> May 2014</w:t>
      </w:r>
    </w:p>
    <w:p w14:paraId="40E53B97"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Secretariat of the Convention on Biological Diversity, 2010. Nagoya Protocol on Access to Genetic Resources and the Fair and Equitable Sharing of Benefits arising from their Utilization to the Convention </w:t>
      </w:r>
      <w:r w:rsidRPr="00504B5E">
        <w:rPr>
          <w:rFonts w:ascii="Arial" w:hAnsi="Arial" w:cs="Arial"/>
          <w:sz w:val="20"/>
          <w:szCs w:val="20"/>
        </w:rPr>
        <w:lastRenderedPageBreak/>
        <w:t xml:space="preserve">on Biological Diversity. Montreal, Canada Available at: </w:t>
      </w:r>
      <w:hyperlink r:id="rId112" w:history="1">
        <w:r w:rsidRPr="00632DBC">
          <w:rPr>
            <w:rStyle w:val="Hyperlink"/>
            <w:rFonts w:ascii="Arial" w:hAnsi="Arial" w:cs="Arial"/>
            <w:color w:val="auto"/>
            <w:sz w:val="20"/>
            <w:szCs w:val="20"/>
          </w:rPr>
          <w:t>http://www.cbd.int/abs/doc/protocol/nagoya-protocol-en.pdf</w:t>
        </w:r>
      </w:hyperlink>
      <w:r w:rsidRPr="00633A71">
        <w:rPr>
          <w:rFonts w:ascii="Arial" w:hAnsi="Arial" w:cs="Arial"/>
          <w:sz w:val="20"/>
          <w:szCs w:val="20"/>
        </w:rPr>
        <w:t xml:space="preserve"> Accessed 21st May 2014</w:t>
      </w:r>
    </w:p>
    <w:p w14:paraId="352BF1DD"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SCBD, 2012. Synthesis on innovative financial mechanisms (Agenda item 4.1, for the up-coming CBD-COP11 in October 2012), Note by the Executive Secretary, UNEP/CBD/COP/11/14/Add.3, and 28 August 2012 Available at: </w:t>
      </w:r>
      <w:hyperlink r:id="rId113" w:tgtFrame="_blank" w:history="1">
        <w:r w:rsidRPr="00632DBC">
          <w:rPr>
            <w:rStyle w:val="Hyperlink"/>
            <w:rFonts w:ascii="Arial" w:hAnsi="Arial" w:cs="Arial"/>
            <w:color w:val="auto"/>
            <w:sz w:val="20"/>
            <w:szCs w:val="20"/>
          </w:rPr>
          <w:t>https://www.cbd.int/doc/meetings/cop/cop-11/official/cop-11-14-add3-en.pdf</w:t>
        </w:r>
      </w:hyperlink>
      <w:r w:rsidRPr="00633A71">
        <w:rPr>
          <w:rFonts w:ascii="Arial" w:hAnsi="Arial" w:cs="Arial"/>
          <w:sz w:val="20"/>
          <w:szCs w:val="20"/>
        </w:rPr>
        <w:t xml:space="preserve"> Accessed 21st May 2014 </w:t>
      </w:r>
    </w:p>
    <w:p w14:paraId="71EA753D" w14:textId="4C40BA99"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Unified Manual of Socio Bosque (UMSB): Manual </w:t>
      </w:r>
      <w:proofErr w:type="spellStart"/>
      <w:r w:rsidRPr="00633A71">
        <w:rPr>
          <w:rFonts w:ascii="Arial" w:hAnsi="Arial" w:cs="Arial"/>
          <w:sz w:val="20"/>
          <w:szCs w:val="20"/>
        </w:rPr>
        <w:t>Operativo</w:t>
      </w:r>
      <w:proofErr w:type="spellEnd"/>
      <w:r w:rsidRPr="00633A71">
        <w:rPr>
          <w:rFonts w:ascii="Arial" w:hAnsi="Arial" w:cs="Arial"/>
          <w:sz w:val="20"/>
          <w:szCs w:val="20"/>
        </w:rPr>
        <w:t xml:space="preserve"> </w:t>
      </w:r>
      <w:proofErr w:type="spellStart"/>
      <w:r w:rsidRPr="00633A71">
        <w:rPr>
          <w:rFonts w:ascii="Arial" w:hAnsi="Arial" w:cs="Arial"/>
          <w:sz w:val="20"/>
          <w:szCs w:val="20"/>
        </w:rPr>
        <w:t>Unif</w:t>
      </w:r>
      <w:r w:rsidRPr="00504B5E">
        <w:rPr>
          <w:rFonts w:ascii="Arial" w:hAnsi="Arial" w:cs="Arial"/>
          <w:sz w:val="20"/>
          <w:szCs w:val="20"/>
        </w:rPr>
        <w:t>icado</w:t>
      </w:r>
      <w:proofErr w:type="spellEnd"/>
      <w:r w:rsidRPr="00504B5E">
        <w:rPr>
          <w:rFonts w:ascii="Arial" w:hAnsi="Arial" w:cs="Arial"/>
          <w:sz w:val="20"/>
          <w:szCs w:val="20"/>
        </w:rPr>
        <w:t xml:space="preserve"> del Proyecto Socio Bosque, 2012 Available at </w:t>
      </w:r>
      <w:hyperlink r:id="rId114" w:history="1">
        <w:r w:rsidRPr="00632DBC">
          <w:rPr>
            <w:rStyle w:val="Hyperlink"/>
            <w:rFonts w:ascii="Arial" w:hAnsi="Arial" w:cs="Arial"/>
            <w:color w:val="auto"/>
            <w:sz w:val="20"/>
            <w:szCs w:val="20"/>
          </w:rPr>
          <w:t>http://sociobosque.ambiente.gob.ec/files/MANUAL%20OPERATIVO%20SB%20UNIFICADO%202012.pdf</w:t>
        </w:r>
      </w:hyperlink>
      <w:r w:rsidRPr="00633A71">
        <w:rPr>
          <w:rFonts w:ascii="Arial" w:hAnsi="Arial" w:cs="Arial"/>
          <w:sz w:val="20"/>
          <w:szCs w:val="20"/>
        </w:rPr>
        <w:t xml:space="preserve"> Accessed 30</w:t>
      </w:r>
      <w:r w:rsidRPr="00633A71">
        <w:rPr>
          <w:rFonts w:ascii="Arial" w:hAnsi="Arial" w:cs="Arial"/>
          <w:sz w:val="20"/>
          <w:szCs w:val="20"/>
          <w:vertAlign w:val="superscript"/>
        </w:rPr>
        <w:t>th</w:t>
      </w:r>
      <w:r w:rsidRPr="00633A71">
        <w:rPr>
          <w:rFonts w:ascii="Arial" w:hAnsi="Arial" w:cs="Arial"/>
          <w:sz w:val="20"/>
          <w:szCs w:val="20"/>
        </w:rPr>
        <w:t xml:space="preserve"> April 2014</w:t>
      </w:r>
    </w:p>
    <w:p w14:paraId="4AA089B7"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Unified Text of Second Environmental Legislation (UTSEL): </w:t>
      </w:r>
      <w:proofErr w:type="spellStart"/>
      <w:r w:rsidRPr="00504B5E">
        <w:rPr>
          <w:rFonts w:ascii="Arial" w:hAnsi="Arial" w:cs="Arial"/>
          <w:sz w:val="20"/>
          <w:szCs w:val="20"/>
        </w:rPr>
        <w:t>Texto</w:t>
      </w:r>
      <w:proofErr w:type="spellEnd"/>
      <w:r w:rsidRPr="00504B5E">
        <w:rPr>
          <w:rFonts w:ascii="Arial" w:hAnsi="Arial" w:cs="Arial"/>
          <w:sz w:val="20"/>
          <w:szCs w:val="20"/>
        </w:rPr>
        <w:t xml:space="preserve"> </w:t>
      </w:r>
      <w:proofErr w:type="spellStart"/>
      <w:r w:rsidRPr="00504B5E">
        <w:rPr>
          <w:rFonts w:ascii="Arial" w:hAnsi="Arial" w:cs="Arial"/>
          <w:sz w:val="20"/>
          <w:szCs w:val="20"/>
        </w:rPr>
        <w:t>Unificado</w:t>
      </w:r>
      <w:proofErr w:type="spellEnd"/>
      <w:r w:rsidRPr="00504B5E">
        <w:rPr>
          <w:rFonts w:ascii="Arial" w:hAnsi="Arial" w:cs="Arial"/>
          <w:sz w:val="20"/>
          <w:szCs w:val="20"/>
        </w:rPr>
        <w:t xml:space="preserve"> de </w:t>
      </w:r>
      <w:proofErr w:type="spellStart"/>
      <w:r w:rsidRPr="00504B5E">
        <w:rPr>
          <w:rFonts w:ascii="Arial" w:hAnsi="Arial" w:cs="Arial"/>
          <w:sz w:val="20"/>
          <w:szCs w:val="20"/>
        </w:rPr>
        <w:t>Legislación</w:t>
      </w:r>
      <w:proofErr w:type="spellEnd"/>
      <w:r w:rsidRPr="00504B5E">
        <w:rPr>
          <w:rFonts w:ascii="Arial" w:hAnsi="Arial" w:cs="Arial"/>
          <w:sz w:val="20"/>
          <w:szCs w:val="20"/>
        </w:rPr>
        <w:t xml:space="preserve"> </w:t>
      </w:r>
      <w:proofErr w:type="spellStart"/>
      <w:r w:rsidRPr="00504B5E">
        <w:rPr>
          <w:rFonts w:ascii="Arial" w:hAnsi="Arial" w:cs="Arial"/>
          <w:sz w:val="20"/>
          <w:szCs w:val="20"/>
        </w:rPr>
        <w:t>Secundaria</w:t>
      </w:r>
      <w:proofErr w:type="spellEnd"/>
      <w:r w:rsidRPr="00504B5E">
        <w:rPr>
          <w:rFonts w:ascii="Arial" w:hAnsi="Arial" w:cs="Arial"/>
          <w:sz w:val="20"/>
          <w:szCs w:val="20"/>
        </w:rPr>
        <w:t xml:space="preserve">, 2003 Available at </w:t>
      </w:r>
      <w:hyperlink r:id="rId115" w:history="1">
        <w:r w:rsidRPr="00632DBC">
          <w:rPr>
            <w:rStyle w:val="Hyperlink"/>
            <w:rFonts w:ascii="Arial" w:hAnsi="Arial" w:cs="Arial"/>
            <w:color w:val="auto"/>
            <w:sz w:val="20"/>
            <w:szCs w:val="20"/>
          </w:rPr>
          <w:t>http://www.quitoambiente.gob.ec/index.php?option=com_k2&amp;view=item&amp;id=125:texto-unificado-de-legislaci%C3%B3n-ambiental-secundaria-del-ministerio-de-ambiente-tulas&amp;lang=es</w:t>
        </w:r>
      </w:hyperlink>
      <w:r w:rsidRPr="00633A71">
        <w:rPr>
          <w:rFonts w:ascii="Arial" w:hAnsi="Arial" w:cs="Arial"/>
          <w:sz w:val="20"/>
          <w:szCs w:val="20"/>
        </w:rPr>
        <w:t xml:space="preserve"> accessed 30</w:t>
      </w:r>
      <w:r w:rsidRPr="00633A71">
        <w:rPr>
          <w:rFonts w:ascii="Arial" w:hAnsi="Arial" w:cs="Arial"/>
          <w:sz w:val="20"/>
          <w:szCs w:val="20"/>
          <w:vertAlign w:val="superscript"/>
        </w:rPr>
        <w:t>th</w:t>
      </w:r>
      <w:r w:rsidRPr="00633A71">
        <w:rPr>
          <w:rFonts w:ascii="Arial" w:hAnsi="Arial" w:cs="Arial"/>
          <w:sz w:val="20"/>
          <w:szCs w:val="20"/>
        </w:rPr>
        <w:t xml:space="preserve"> April 2014 </w:t>
      </w:r>
    </w:p>
    <w:p w14:paraId="0BD00255"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CBD, 2014 “Analysis on the implications of the use of the term “Indigenous Peoples and Local Communities” for the Convention and its protocols” UNEP/CBD/COP/12/5/Add.1, 25 June 2014. Available at: </w:t>
      </w:r>
      <w:hyperlink r:id="rId116" w:history="1">
        <w:r w:rsidRPr="00632DBC">
          <w:rPr>
            <w:rStyle w:val="Hyperlink"/>
            <w:rFonts w:ascii="Arial" w:hAnsi="Arial" w:cs="Arial"/>
            <w:color w:val="auto"/>
            <w:sz w:val="20"/>
            <w:szCs w:val="20"/>
          </w:rPr>
          <w:t>http://www.cbd.int/doc/meetings/cop/cop-12/official/cop-12-05-add1-en.pdf</w:t>
        </w:r>
      </w:hyperlink>
      <w:r w:rsidRPr="00633A71">
        <w:rPr>
          <w:rFonts w:ascii="Arial" w:hAnsi="Arial" w:cs="Arial"/>
          <w:sz w:val="20"/>
          <w:szCs w:val="20"/>
        </w:rPr>
        <w:t xml:space="preserve"> Accessed 4 September 2014.</w:t>
      </w:r>
    </w:p>
    <w:p w14:paraId="45F629FB"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United Nations Economic Commission for Europe, 1998. Convention on Access to Information, Public </w:t>
      </w:r>
      <w:r w:rsidRPr="00504B5E">
        <w:rPr>
          <w:rFonts w:ascii="Arial" w:hAnsi="Arial" w:cs="Arial"/>
          <w:sz w:val="20"/>
          <w:szCs w:val="20"/>
        </w:rPr>
        <w:t xml:space="preserve">Participation in Decision-making and Access to Justice in Environmental Matters, Aarhus, Denmark. Available at: </w:t>
      </w:r>
      <w:hyperlink r:id="rId117" w:history="1">
        <w:r w:rsidRPr="00632DBC">
          <w:rPr>
            <w:rStyle w:val="Hyperlink"/>
            <w:rFonts w:ascii="Arial" w:hAnsi="Arial" w:cs="Arial"/>
            <w:color w:val="auto"/>
            <w:sz w:val="20"/>
            <w:szCs w:val="20"/>
          </w:rPr>
          <w:t>http://www.unece.org/env/pp/introduction.html</w:t>
        </w:r>
      </w:hyperlink>
      <w:r w:rsidRPr="00633A71">
        <w:rPr>
          <w:rFonts w:ascii="Arial" w:hAnsi="Arial" w:cs="Arial"/>
          <w:sz w:val="20"/>
          <w:szCs w:val="20"/>
        </w:rPr>
        <w:t xml:space="preserve"> Accessed 22nd May 2014</w:t>
      </w:r>
    </w:p>
    <w:p w14:paraId="0FB55761"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United Nation</w:t>
      </w:r>
      <w:r w:rsidRPr="00504B5E">
        <w:rPr>
          <w:rFonts w:ascii="Arial" w:hAnsi="Arial" w:cs="Arial"/>
          <w:sz w:val="20"/>
          <w:szCs w:val="20"/>
        </w:rPr>
        <w:t xml:space="preserve">s Framework Convention </w:t>
      </w:r>
      <w:proofErr w:type="gramStart"/>
      <w:r w:rsidRPr="00504B5E">
        <w:rPr>
          <w:rFonts w:ascii="Arial" w:hAnsi="Arial" w:cs="Arial"/>
          <w:sz w:val="20"/>
          <w:szCs w:val="20"/>
        </w:rPr>
        <w:t>On</w:t>
      </w:r>
      <w:proofErr w:type="gramEnd"/>
      <w:r w:rsidRPr="00504B5E">
        <w:rPr>
          <w:rFonts w:ascii="Arial" w:hAnsi="Arial" w:cs="Arial"/>
          <w:sz w:val="20"/>
          <w:szCs w:val="20"/>
        </w:rPr>
        <w:t xml:space="preserve"> Climate Change, 1992. United Nations Framework Convention on Climate Change, 21</w:t>
      </w:r>
      <w:r w:rsidRPr="00504B5E">
        <w:rPr>
          <w:rFonts w:ascii="Arial" w:hAnsi="Arial" w:cs="Arial"/>
          <w:sz w:val="20"/>
          <w:szCs w:val="20"/>
          <w:vertAlign w:val="superscript"/>
        </w:rPr>
        <w:t>st</w:t>
      </w:r>
      <w:r w:rsidRPr="00504B5E">
        <w:rPr>
          <w:rFonts w:ascii="Arial" w:hAnsi="Arial" w:cs="Arial"/>
          <w:sz w:val="20"/>
          <w:szCs w:val="20"/>
        </w:rPr>
        <w:t xml:space="preserve"> March 1994 Available at: </w:t>
      </w:r>
      <w:hyperlink r:id="rId118" w:history="1">
        <w:r w:rsidRPr="00632DBC">
          <w:rPr>
            <w:rStyle w:val="Hyperlink"/>
            <w:rFonts w:ascii="Arial" w:hAnsi="Arial" w:cs="Arial"/>
            <w:color w:val="auto"/>
            <w:sz w:val="20"/>
            <w:szCs w:val="20"/>
          </w:rPr>
          <w:t>http://unfccc.int/resource/docs/convkp/conveng.pdf</w:t>
        </w:r>
      </w:hyperlink>
      <w:r w:rsidRPr="00633A71">
        <w:rPr>
          <w:rFonts w:ascii="Arial" w:hAnsi="Arial" w:cs="Arial"/>
          <w:sz w:val="20"/>
          <w:szCs w:val="20"/>
        </w:rPr>
        <w:t xml:space="preserve"> Accessed 2nd August 2010</w:t>
      </w:r>
    </w:p>
    <w:p w14:paraId="3AE5EBDF"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UNFCC, 2008. COP 13. Actions taken by the Conference of the Parties at its thirteenth session, FCCC/CP/2007/6/Add.1*, Bali, Indonesia, 3 to 15 December, 2007 Available at: </w:t>
      </w:r>
      <w:hyperlink r:id="rId119" w:anchor="page=3" w:history="1">
        <w:r w:rsidRPr="00632DBC">
          <w:rPr>
            <w:rStyle w:val="Hyperlink"/>
            <w:rFonts w:ascii="Arial" w:hAnsi="Arial" w:cs="Arial"/>
            <w:color w:val="auto"/>
            <w:sz w:val="20"/>
            <w:szCs w:val="20"/>
          </w:rPr>
          <w:t>http://unfccc.int/resource/docs/2007/cop13/eng/06a01.pdf#page=3</w:t>
        </w:r>
      </w:hyperlink>
      <w:r w:rsidRPr="00633A71">
        <w:rPr>
          <w:rFonts w:ascii="Arial" w:hAnsi="Arial" w:cs="Arial"/>
          <w:sz w:val="20"/>
          <w:szCs w:val="20"/>
        </w:rPr>
        <w:t xml:space="preserve"> Accessed 22</w:t>
      </w:r>
      <w:r w:rsidRPr="00633A71">
        <w:rPr>
          <w:rFonts w:ascii="Arial" w:hAnsi="Arial" w:cs="Arial"/>
          <w:sz w:val="20"/>
          <w:szCs w:val="20"/>
          <w:vertAlign w:val="superscript"/>
        </w:rPr>
        <w:t>nd</w:t>
      </w:r>
      <w:r w:rsidRPr="00633A71">
        <w:rPr>
          <w:rFonts w:ascii="Arial" w:hAnsi="Arial" w:cs="Arial"/>
          <w:sz w:val="20"/>
          <w:szCs w:val="20"/>
        </w:rPr>
        <w:t xml:space="preserve"> May 2014</w:t>
      </w:r>
    </w:p>
    <w:p w14:paraId="2196965E" w14:textId="77777777" w:rsidR="00810C20" w:rsidRPr="00504B5E"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UNFCC, 2011. COP 16. Action taken by the Conference of the Parties at its sixteenth session, FCCC/CP/2010/7/Add.1, Cancun, Mexico, 29 November-10 December, 2010 Available at: </w:t>
      </w:r>
      <w:hyperlink r:id="rId120" w:anchor="page=2" w:history="1">
        <w:r w:rsidRPr="00632DBC">
          <w:rPr>
            <w:rStyle w:val="Hyperlink"/>
            <w:rFonts w:ascii="Arial" w:hAnsi="Arial" w:cs="Arial"/>
            <w:color w:val="auto"/>
            <w:sz w:val="20"/>
            <w:szCs w:val="20"/>
          </w:rPr>
          <w:t>http://unfccc.int/resource/docs/2010/cop16/eng/07a01.pdf#page=2</w:t>
        </w:r>
      </w:hyperlink>
      <w:r w:rsidRPr="00633A71">
        <w:rPr>
          <w:rFonts w:ascii="Arial" w:hAnsi="Arial" w:cs="Arial"/>
          <w:sz w:val="20"/>
          <w:szCs w:val="20"/>
        </w:rPr>
        <w:t xml:space="preserve"> Accessed 22</w:t>
      </w:r>
      <w:r w:rsidRPr="00633A71">
        <w:rPr>
          <w:rFonts w:ascii="Arial" w:hAnsi="Arial" w:cs="Arial"/>
          <w:sz w:val="20"/>
          <w:szCs w:val="20"/>
          <w:vertAlign w:val="superscript"/>
        </w:rPr>
        <w:t>nd</w:t>
      </w:r>
      <w:r w:rsidRPr="00633A71">
        <w:rPr>
          <w:rFonts w:ascii="Arial" w:hAnsi="Arial" w:cs="Arial"/>
          <w:sz w:val="20"/>
          <w:szCs w:val="20"/>
        </w:rPr>
        <w:t xml:space="preserve"> May 2014</w:t>
      </w:r>
    </w:p>
    <w:p w14:paraId="29134B26"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 xml:space="preserve">UNFCC, 2011. </w:t>
      </w:r>
      <w:r w:rsidRPr="00504B5E">
        <w:rPr>
          <w:rFonts w:ascii="Arial" w:hAnsi="Arial" w:cs="Arial"/>
          <w:bCs/>
          <w:sz w:val="20"/>
          <w:szCs w:val="20"/>
        </w:rPr>
        <w:t>Expert Meeting on “Guidance on systems for providing information on how safeguards for REDD-plus activities are addressed and respected”, Panama City, Panama, 8 - 9 October, 2011</w:t>
      </w:r>
      <w:r w:rsidRPr="00504B5E">
        <w:rPr>
          <w:rFonts w:ascii="Arial" w:hAnsi="Arial" w:cs="Arial"/>
          <w:sz w:val="20"/>
          <w:szCs w:val="20"/>
        </w:rPr>
        <w:t xml:space="preserve"> Available at: </w:t>
      </w:r>
      <w:hyperlink r:id="rId121" w:history="1">
        <w:r w:rsidRPr="00632DBC">
          <w:rPr>
            <w:rStyle w:val="Hyperlink"/>
            <w:rFonts w:ascii="Arial" w:hAnsi="Arial" w:cs="Arial"/>
            <w:color w:val="auto"/>
            <w:sz w:val="20"/>
            <w:szCs w:val="20"/>
          </w:rPr>
          <w:t>http://unfccc.int/methods/redd/items/6149.php</w:t>
        </w:r>
      </w:hyperlink>
      <w:r w:rsidRPr="00633A71">
        <w:rPr>
          <w:rFonts w:ascii="Arial" w:hAnsi="Arial" w:cs="Arial"/>
          <w:sz w:val="20"/>
          <w:szCs w:val="20"/>
        </w:rPr>
        <w:t xml:space="preserve"> Accessed 21st May 2014 </w:t>
      </w:r>
    </w:p>
    <w:p w14:paraId="6436B0B7"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UNFCC, 2012. COP 17. Actions taken by the Conference of the Parties at its seventeenth session. FCCC/CP/2011/9/Add.2, 28 November to 11 December 2011 Available at: </w:t>
      </w:r>
      <w:hyperlink r:id="rId122" w:history="1">
        <w:r w:rsidRPr="00632DBC">
          <w:rPr>
            <w:rStyle w:val="Hyperlink"/>
            <w:rFonts w:ascii="Arial" w:hAnsi="Arial" w:cs="Arial"/>
            <w:color w:val="auto"/>
            <w:sz w:val="20"/>
            <w:szCs w:val="20"/>
          </w:rPr>
          <w:t>http://unfccc.int/resource/docs/2011/cop17/eng/09a02.pdf</w:t>
        </w:r>
      </w:hyperlink>
      <w:r w:rsidRPr="00633A71">
        <w:rPr>
          <w:rFonts w:ascii="Arial" w:hAnsi="Arial" w:cs="Arial"/>
          <w:sz w:val="20"/>
          <w:szCs w:val="20"/>
        </w:rPr>
        <w:t xml:space="preserve"> Accessed 26</w:t>
      </w:r>
      <w:r w:rsidRPr="00633A71">
        <w:rPr>
          <w:rFonts w:ascii="Arial" w:hAnsi="Arial" w:cs="Arial"/>
          <w:sz w:val="20"/>
          <w:szCs w:val="20"/>
          <w:vertAlign w:val="superscript"/>
        </w:rPr>
        <w:t>th</w:t>
      </w:r>
      <w:r w:rsidRPr="00633A71">
        <w:rPr>
          <w:rFonts w:ascii="Arial" w:hAnsi="Arial" w:cs="Arial"/>
          <w:sz w:val="20"/>
          <w:szCs w:val="20"/>
        </w:rPr>
        <w:t xml:space="preserve"> July 2012 </w:t>
      </w:r>
    </w:p>
    <w:p w14:paraId="21265A5D" w14:textId="6A436F00"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t>UNEP</w:t>
      </w:r>
      <w:r w:rsidR="005F6857">
        <w:rPr>
          <w:rFonts w:ascii="Arial" w:hAnsi="Arial" w:cs="Arial"/>
          <w:sz w:val="20"/>
          <w:szCs w:val="20"/>
        </w:rPr>
        <w:t>,</w:t>
      </w:r>
      <w:r w:rsidR="005F6857" w:rsidRPr="00504B5E">
        <w:rPr>
          <w:rFonts w:ascii="Arial" w:hAnsi="Arial" w:cs="Arial"/>
          <w:sz w:val="20"/>
          <w:szCs w:val="20"/>
        </w:rPr>
        <w:t xml:space="preserve"> </w:t>
      </w:r>
      <w:r w:rsidRPr="00504B5E">
        <w:rPr>
          <w:rFonts w:ascii="Arial" w:hAnsi="Arial" w:cs="Arial"/>
          <w:sz w:val="20"/>
          <w:szCs w:val="20"/>
        </w:rPr>
        <w:t xml:space="preserve">2007 and 2012. Global Environment Outlook.  Available at: </w:t>
      </w:r>
      <w:hyperlink r:id="rId123" w:history="1">
        <w:r w:rsidRPr="00632DBC">
          <w:rPr>
            <w:rStyle w:val="Hyperlink"/>
            <w:rFonts w:ascii="Arial" w:hAnsi="Arial" w:cs="Arial"/>
            <w:color w:val="auto"/>
            <w:sz w:val="20"/>
            <w:szCs w:val="20"/>
          </w:rPr>
          <w:t>www.grid.unep.ch/activities/assessment/geo</w:t>
        </w:r>
      </w:hyperlink>
      <w:r w:rsidRPr="00633A71">
        <w:rPr>
          <w:rFonts w:ascii="Arial" w:hAnsi="Arial" w:cs="Arial"/>
          <w:sz w:val="20"/>
          <w:szCs w:val="20"/>
        </w:rPr>
        <w:t xml:space="preserve"> Accessed 21st May 2014</w:t>
      </w:r>
    </w:p>
    <w:p w14:paraId="57655B41" w14:textId="77777777" w:rsidR="00810C20" w:rsidRPr="00633A71"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 xml:space="preserve">UNEP, 2012. Review of Implementation of the Strategy for Resource Mobilization, </w:t>
      </w:r>
      <w:r w:rsidRPr="00504B5E">
        <w:rPr>
          <w:rFonts w:ascii="Arial" w:hAnsi="Arial" w:cs="Arial"/>
          <w:i/>
          <w:sz w:val="20"/>
          <w:szCs w:val="20"/>
        </w:rPr>
        <w:t xml:space="preserve">Draft recommendation submitted by the Chair, the Ad Hoc Open-Ended Working Group on Review of Implementation of the Convention. </w:t>
      </w:r>
      <w:r w:rsidRPr="00504B5E">
        <w:rPr>
          <w:rFonts w:ascii="Arial" w:hAnsi="Arial" w:cs="Arial"/>
          <w:sz w:val="20"/>
          <w:szCs w:val="20"/>
        </w:rPr>
        <w:t xml:space="preserve">Decision UNEP/CBD/WG-RI/4/L.7, Agenda Item 6. Available at: </w:t>
      </w:r>
      <w:hyperlink r:id="rId124" w:history="1">
        <w:r w:rsidRPr="00632DBC">
          <w:rPr>
            <w:rStyle w:val="Hyperlink"/>
            <w:rFonts w:ascii="Arial" w:hAnsi="Arial" w:cs="Arial"/>
            <w:color w:val="auto"/>
            <w:sz w:val="20"/>
            <w:szCs w:val="20"/>
          </w:rPr>
          <w:t>www.cbd.int/doc/meetings/wgri/wgri-04/in-session/wgri-04-L-07-en.doc</w:t>
        </w:r>
      </w:hyperlink>
      <w:r w:rsidRPr="00633A71">
        <w:rPr>
          <w:rFonts w:ascii="Arial" w:hAnsi="Arial" w:cs="Arial"/>
          <w:sz w:val="20"/>
          <w:szCs w:val="20"/>
        </w:rPr>
        <w:t xml:space="preserve"> Accessed 1st July 2012</w:t>
      </w:r>
    </w:p>
    <w:p w14:paraId="666AB2AA" w14:textId="77777777" w:rsidR="00810C20" w:rsidRPr="00504B5E" w:rsidRDefault="00810C20" w:rsidP="00810C20">
      <w:pPr>
        <w:spacing w:before="200" w:after="0" w:line="240" w:lineRule="auto"/>
        <w:jc w:val="both"/>
        <w:rPr>
          <w:rFonts w:ascii="Arial" w:hAnsi="Arial" w:cs="Arial"/>
          <w:sz w:val="20"/>
          <w:szCs w:val="20"/>
        </w:rPr>
      </w:pPr>
      <w:r w:rsidRPr="00633A71">
        <w:rPr>
          <w:rFonts w:ascii="Arial" w:hAnsi="Arial" w:cs="Arial"/>
          <w:sz w:val="20"/>
          <w:szCs w:val="20"/>
        </w:rPr>
        <w:t>United Nations General Assembl</w:t>
      </w:r>
      <w:r w:rsidRPr="00504B5E">
        <w:rPr>
          <w:rFonts w:ascii="Arial" w:hAnsi="Arial" w:cs="Arial"/>
          <w:sz w:val="20"/>
          <w:szCs w:val="20"/>
        </w:rPr>
        <w:t xml:space="preserve">y, 2012. The Future We Want Rio +20. Resolution 66/288, A/RES/66/288 United Nations General Assembly, Sixty-sixth session Agenda item19. Available at: </w:t>
      </w:r>
      <w:hyperlink r:id="rId125" w:history="1">
        <w:r w:rsidRPr="00632DBC">
          <w:rPr>
            <w:rStyle w:val="Hyperlink"/>
            <w:rFonts w:ascii="Arial" w:hAnsi="Arial" w:cs="Arial"/>
            <w:color w:val="auto"/>
            <w:sz w:val="20"/>
            <w:szCs w:val="20"/>
          </w:rPr>
          <w:t>http://daccess-dds-ny.un.org/doc/UNDOC/GEN/N11/476/10/PDF/N1147610.pdf?OpenElement</w:t>
        </w:r>
      </w:hyperlink>
      <w:r w:rsidRPr="00633A71">
        <w:rPr>
          <w:rFonts w:ascii="Arial" w:hAnsi="Arial" w:cs="Arial"/>
          <w:sz w:val="20"/>
          <w:szCs w:val="20"/>
          <w:u w:val="single"/>
        </w:rPr>
        <w:t xml:space="preserve"> </w:t>
      </w:r>
      <w:r w:rsidRPr="00633A71">
        <w:rPr>
          <w:rFonts w:ascii="Arial" w:hAnsi="Arial" w:cs="Arial"/>
          <w:sz w:val="20"/>
          <w:szCs w:val="20"/>
        </w:rPr>
        <w:t>Accessed 11</w:t>
      </w:r>
      <w:r w:rsidRPr="00633A71">
        <w:rPr>
          <w:rFonts w:ascii="Arial" w:hAnsi="Arial" w:cs="Arial"/>
          <w:sz w:val="20"/>
          <w:szCs w:val="20"/>
          <w:vertAlign w:val="superscript"/>
        </w:rPr>
        <w:t>th</w:t>
      </w:r>
      <w:r w:rsidRPr="00504B5E">
        <w:rPr>
          <w:rFonts w:ascii="Arial" w:hAnsi="Arial" w:cs="Arial"/>
          <w:sz w:val="20"/>
          <w:szCs w:val="20"/>
        </w:rPr>
        <w:t xml:space="preserve"> November 2012</w:t>
      </w:r>
    </w:p>
    <w:p w14:paraId="26550CBC" w14:textId="77777777" w:rsidR="00810C20" w:rsidRPr="00633A71" w:rsidRDefault="00810C20" w:rsidP="00810C20">
      <w:pPr>
        <w:spacing w:before="200" w:after="0" w:line="240" w:lineRule="auto"/>
        <w:jc w:val="both"/>
        <w:rPr>
          <w:rFonts w:ascii="Arial" w:hAnsi="Arial" w:cs="Arial"/>
          <w:sz w:val="20"/>
          <w:szCs w:val="20"/>
        </w:rPr>
      </w:pPr>
      <w:r w:rsidRPr="00504B5E">
        <w:rPr>
          <w:rFonts w:ascii="Arial" w:hAnsi="Arial" w:cs="Arial"/>
          <w:sz w:val="20"/>
          <w:szCs w:val="20"/>
        </w:rPr>
        <w:lastRenderedPageBreak/>
        <w:t xml:space="preserve">UN REDD Programme, 2014. Social and Environmental Principles and Criteria. Eight UN-REDD Programme Policy Board Meeting. Asunción, Paraguay, March 2012.  Available at: </w:t>
      </w:r>
      <w:hyperlink r:id="rId126" w:history="1">
        <w:r w:rsidRPr="00632DBC">
          <w:rPr>
            <w:rStyle w:val="Hyperlink"/>
            <w:rFonts w:ascii="Arial" w:hAnsi="Arial" w:cs="Arial"/>
            <w:color w:val="auto"/>
            <w:sz w:val="20"/>
            <w:szCs w:val="20"/>
          </w:rPr>
          <w:t>http://www.un-redd.org/Multiple_Benefits_SEPC/tabid/54130/Default.aspx</w:t>
        </w:r>
      </w:hyperlink>
      <w:r w:rsidRPr="00633A71">
        <w:rPr>
          <w:rFonts w:ascii="Arial" w:hAnsi="Arial" w:cs="Arial"/>
          <w:sz w:val="20"/>
          <w:szCs w:val="20"/>
        </w:rPr>
        <w:t xml:space="preserve"> Accessed 21st May 2014 </w:t>
      </w:r>
    </w:p>
    <w:p w14:paraId="69B01E89" w14:textId="380630A9" w:rsidR="00D169CC" w:rsidRPr="00633A71" w:rsidRDefault="00D169CC" w:rsidP="00D169CC">
      <w:pPr>
        <w:pStyle w:val="FootnoteText"/>
        <w:spacing w:before="200" w:after="0"/>
        <w:rPr>
          <w:rFonts w:ascii="Arial" w:hAnsi="Arial"/>
          <w:sz w:val="20"/>
          <w:szCs w:val="20"/>
          <w:lang w:val="en-GB"/>
        </w:rPr>
      </w:pPr>
      <w:r w:rsidRPr="00633A71">
        <w:rPr>
          <w:rFonts w:ascii="Arial" w:hAnsi="Arial"/>
          <w:sz w:val="20"/>
          <w:szCs w:val="20"/>
          <w:lang w:val="en-GB"/>
        </w:rPr>
        <w:t>Water and Water Resources Law</w:t>
      </w:r>
      <w:r w:rsidR="005F6857">
        <w:rPr>
          <w:rFonts w:ascii="Arial" w:hAnsi="Arial"/>
          <w:sz w:val="20"/>
          <w:szCs w:val="20"/>
          <w:lang w:val="en-GB"/>
        </w:rPr>
        <w:t>,</w:t>
      </w:r>
      <w:r w:rsidR="005F6857" w:rsidRPr="00633A71">
        <w:rPr>
          <w:rFonts w:ascii="Arial" w:hAnsi="Arial"/>
          <w:sz w:val="20"/>
          <w:szCs w:val="20"/>
          <w:lang w:val="en-GB"/>
        </w:rPr>
        <w:t xml:space="preserve"> </w:t>
      </w:r>
      <w:r w:rsidRPr="00633A71">
        <w:rPr>
          <w:rFonts w:ascii="Arial" w:hAnsi="Arial"/>
          <w:sz w:val="20"/>
          <w:szCs w:val="20"/>
          <w:lang w:val="en-GB"/>
        </w:rPr>
        <w:t>1996. Lao People´s Democra</w:t>
      </w:r>
      <w:r w:rsidRPr="00504B5E">
        <w:rPr>
          <w:rFonts w:ascii="Arial" w:hAnsi="Arial"/>
          <w:sz w:val="20"/>
          <w:szCs w:val="20"/>
          <w:lang w:val="en-GB"/>
        </w:rPr>
        <w:t xml:space="preserve">tic Republic. Available at: </w:t>
      </w:r>
      <w:hyperlink r:id="rId127" w:history="1">
        <w:r w:rsidRPr="00632DBC">
          <w:rPr>
            <w:rStyle w:val="Hyperlink"/>
            <w:rFonts w:ascii="Arial" w:hAnsi="Arial"/>
            <w:color w:val="auto"/>
            <w:sz w:val="20"/>
            <w:szCs w:val="20"/>
            <w:lang w:val="en-GB"/>
          </w:rPr>
          <w:t>http://www.vientianetimes.org.la/Laws%20in%20English/32.%20Law%20on%20Water%20and%20Water%20Resources%20(1996)%20Eng.pdf</w:t>
        </w:r>
      </w:hyperlink>
      <w:r w:rsidRPr="00633A71">
        <w:rPr>
          <w:rFonts w:ascii="Arial" w:hAnsi="Arial"/>
          <w:sz w:val="20"/>
          <w:szCs w:val="20"/>
          <w:lang w:val="en-GB"/>
        </w:rPr>
        <w:t xml:space="preserve"> Accessed 15th October 2017.</w:t>
      </w:r>
    </w:p>
    <w:p w14:paraId="436736DA" w14:textId="77777777" w:rsidR="00D169CC" w:rsidRPr="00504B5E" w:rsidRDefault="00D169CC" w:rsidP="00810C20">
      <w:pPr>
        <w:spacing w:before="200" w:after="0" w:line="240" w:lineRule="auto"/>
        <w:jc w:val="both"/>
        <w:rPr>
          <w:rFonts w:ascii="Arial" w:hAnsi="Arial" w:cs="Arial"/>
          <w:sz w:val="20"/>
          <w:szCs w:val="20"/>
        </w:rPr>
      </w:pPr>
    </w:p>
    <w:p w14:paraId="27D64E22" w14:textId="77777777" w:rsidR="00810C20" w:rsidRPr="00632DBC" w:rsidRDefault="00810C20" w:rsidP="00810C20">
      <w:pPr>
        <w:spacing w:after="0" w:line="240" w:lineRule="auto"/>
        <w:jc w:val="both"/>
        <w:rPr>
          <w:rFonts w:ascii="Arial" w:hAnsi="Arial" w:cs="Arial"/>
          <w:b/>
          <w:smallCaps/>
          <w:spacing w:val="5"/>
          <w:sz w:val="20"/>
          <w:szCs w:val="20"/>
        </w:rPr>
      </w:pPr>
      <w:r w:rsidRPr="00632DBC">
        <w:rPr>
          <w:rFonts w:ascii="Arial" w:hAnsi="Arial" w:cs="Arial"/>
          <w:b/>
          <w:sz w:val="20"/>
          <w:szCs w:val="20"/>
        </w:rPr>
        <w:br w:type="page"/>
      </w:r>
    </w:p>
    <w:p w14:paraId="3105F1A7" w14:textId="4CA57CFC" w:rsidR="00B701D8" w:rsidRPr="00633A71" w:rsidRDefault="00B701D8" w:rsidP="00B701D8">
      <w:pPr>
        <w:pStyle w:val="Heading1"/>
        <w:rPr>
          <w:lang w:val="en-GB"/>
        </w:rPr>
      </w:pPr>
      <w:bookmarkStart w:id="192" w:name="_Toc529199446"/>
      <w:bookmarkStart w:id="193" w:name="_Toc382590321"/>
      <w:r w:rsidRPr="00633A71">
        <w:rPr>
          <w:lang w:val="en-GB"/>
        </w:rPr>
        <w:lastRenderedPageBreak/>
        <w:t>Appendices</w:t>
      </w:r>
      <w:bookmarkEnd w:id="192"/>
    </w:p>
    <w:p w14:paraId="4748008C" w14:textId="0B6146C8" w:rsidR="00810C20" w:rsidRPr="00632DBC" w:rsidRDefault="00810C20" w:rsidP="00181B24">
      <w:pPr>
        <w:pStyle w:val="Heading3"/>
        <w:rPr>
          <w:b/>
          <w:szCs w:val="22"/>
        </w:rPr>
      </w:pPr>
      <w:bookmarkStart w:id="194" w:name="_Toc529199447"/>
      <w:r w:rsidRPr="00633A71">
        <w:t>Appendix 1. Compilation of views and comments, and description of adjustments and further dev</w:t>
      </w:r>
      <w:r w:rsidRPr="00504B5E">
        <w:t>elopment</w:t>
      </w:r>
      <w:bookmarkEnd w:id="193"/>
      <w:bookmarkEnd w:id="194"/>
    </w:p>
    <w:p w14:paraId="7DC67249" w14:textId="77777777" w:rsidR="00181B24" w:rsidRPr="00632DBC" w:rsidRDefault="00181B24" w:rsidP="00810C20">
      <w:pPr>
        <w:pStyle w:val="Corps"/>
        <w:jc w:val="both"/>
        <w:rPr>
          <w:rFonts w:ascii="Times New Roman"/>
          <w:color w:val="auto"/>
          <w:lang w:val="en-GB"/>
        </w:rPr>
      </w:pPr>
    </w:p>
    <w:p w14:paraId="3049D825" w14:textId="77777777" w:rsidR="00810C20" w:rsidRPr="00632DBC" w:rsidRDefault="00810C20" w:rsidP="00810C20">
      <w:pPr>
        <w:pStyle w:val="Corps"/>
        <w:jc w:val="both"/>
        <w:rPr>
          <w:rFonts w:ascii="Times New Roman"/>
          <w:b/>
          <w:color w:val="auto"/>
          <w:lang w:val="en-GB"/>
        </w:rPr>
      </w:pPr>
      <w:r w:rsidRPr="00632DBC">
        <w:rPr>
          <w:rFonts w:ascii="Times New Roman"/>
          <w:color w:val="auto"/>
          <w:lang w:val="en-GB"/>
        </w:rPr>
        <w:t xml:space="preserve">Below is a table which describes the adjustments and further developments included in UNEP/CBD/WGRI/5/INF/7 </w:t>
      </w:r>
      <w:r w:rsidRPr="00632DBC">
        <w:rPr>
          <w:rFonts w:ascii="Times New Roman"/>
          <w:color w:val="auto"/>
          <w:lang w:val="en-GB"/>
        </w:rPr>
        <w:t>“</w:t>
      </w:r>
      <w:r w:rsidRPr="00632DBC">
        <w:rPr>
          <w:rFonts w:ascii="Times New Roman"/>
          <w:color w:val="auto"/>
          <w:lang w:val="en-GB"/>
        </w:rPr>
        <w:t>Identifying guiding principles for safeguards in financing biodiversity and lessons learned from risks, benefits and safeguards in country-specific mechanisms</w:t>
      </w:r>
      <w:r w:rsidRPr="00632DBC">
        <w:rPr>
          <w:rFonts w:ascii="Times New Roman"/>
          <w:color w:val="auto"/>
          <w:lang w:val="en-GB"/>
        </w:rPr>
        <w:t>”</w:t>
      </w:r>
      <w:r w:rsidRPr="00632DBC">
        <w:rPr>
          <w:rFonts w:ascii="Times New Roman"/>
          <w:color w:val="auto"/>
          <w:lang w:val="en-GB"/>
        </w:rPr>
        <w:t xml:space="preserve">, a revised and expanded version of Discussion Paper </w:t>
      </w:r>
      <w:r w:rsidRPr="00632DBC">
        <w:rPr>
          <w:rFonts w:ascii="Times New Roman"/>
          <w:color w:val="auto"/>
          <w:lang w:val="en-GB"/>
        </w:rPr>
        <w:t>“</w:t>
      </w:r>
      <w:r w:rsidRPr="00632DBC">
        <w:rPr>
          <w:rFonts w:ascii="Times New Roman"/>
          <w:color w:val="auto"/>
          <w:lang w:val="en-GB"/>
        </w:rPr>
        <w:t>Safeguards for scaling-up biodiversity financing and possible guiding principles</w:t>
      </w:r>
      <w:r w:rsidRPr="00632DBC">
        <w:rPr>
          <w:rFonts w:ascii="Times New Roman"/>
          <w:color w:val="auto"/>
          <w:lang w:val="en-GB"/>
        </w:rPr>
        <w:t>””</w:t>
      </w:r>
      <w:r w:rsidRPr="00632DBC">
        <w:rPr>
          <w:rFonts w:ascii="Times New Roman"/>
          <w:color w:val="auto"/>
          <w:lang w:val="en-GB"/>
        </w:rPr>
        <w:t xml:space="preserve"> (UNEP/CBD/COP/11/INF/7). The adjustments and further development were made in order to respond to comments and inputs received by Parties and other relevant stakeholders following Decision UNEP/CBD/COP/DEC/XI/4 which </w:t>
      </w:r>
      <w:r w:rsidRPr="00632DBC">
        <w:rPr>
          <w:rFonts w:ascii="Times New Roman"/>
          <w:color w:val="auto"/>
          <w:lang w:val="en-GB"/>
        </w:rPr>
        <w:t>“</w:t>
      </w:r>
      <w:r w:rsidRPr="00632DBC">
        <w:rPr>
          <w:rFonts w:ascii="Times New Roman"/>
          <w:color w:val="auto"/>
          <w:lang w:val="en-GB"/>
        </w:rPr>
        <w:t>requests the Executive Secretary to further develop the paper for submission to WGRI-5 based on comments from Parties and other stakeholders and requests WGRI-5 to prepare a recommendation for the consideration by the Conference of the Parties at its twelfth meeting</w:t>
      </w:r>
      <w:r w:rsidRPr="00632DBC">
        <w:rPr>
          <w:rFonts w:ascii="Times New Roman"/>
          <w:color w:val="auto"/>
          <w:lang w:val="en-GB"/>
        </w:rPr>
        <w:t>”</w:t>
      </w:r>
      <w:r w:rsidRPr="00632DBC">
        <w:rPr>
          <w:rFonts w:ascii="Times New Roman"/>
          <w:color w:val="auto"/>
          <w:lang w:val="en-GB"/>
        </w:rPr>
        <w:t xml:space="preserve">. The submissions mentioned below are in response to SCBD Notification (SCBD/ITS/RS//LZ/81526) which invited CBD Parties and relevant stakeholders to make submissions, commenting and providing inputs to the above-mentioned Discussion Paper. </w:t>
      </w:r>
    </w:p>
    <w:p w14:paraId="1BF5E2C1" w14:textId="77777777" w:rsidR="00810C20" w:rsidRPr="00632DBC" w:rsidRDefault="00810C20" w:rsidP="00810C20">
      <w:pPr>
        <w:pStyle w:val="Corps"/>
        <w:jc w:val="both"/>
        <w:rPr>
          <w:rFonts w:ascii="Times New Roman"/>
          <w:color w:val="auto"/>
          <w:lang w:val="en-GB"/>
        </w:rPr>
      </w:pPr>
    </w:p>
    <w:p w14:paraId="4308BB63" w14:textId="77777777" w:rsidR="00810C20" w:rsidRPr="00632DBC" w:rsidRDefault="00810C20" w:rsidP="00810C20">
      <w:pPr>
        <w:pStyle w:val="Corps"/>
        <w:jc w:val="both"/>
        <w:rPr>
          <w:rFonts w:ascii="Times New Roman"/>
          <w:b/>
          <w:color w:val="auto"/>
          <w:lang w:val="en-GB"/>
        </w:rPr>
      </w:pPr>
      <w:r w:rsidRPr="00632DBC">
        <w:rPr>
          <w:rFonts w:ascii="Times New Roman"/>
          <w:b/>
          <w:color w:val="auto"/>
          <w:lang w:val="en-GB"/>
        </w:rPr>
        <w:t>Table 1</w:t>
      </w:r>
    </w:p>
    <w:p w14:paraId="4109A46C" w14:textId="77777777" w:rsidR="00810C20" w:rsidRPr="00632DBC" w:rsidRDefault="00810C20" w:rsidP="00810C20">
      <w:pPr>
        <w:pStyle w:val="Corps"/>
        <w:jc w:val="both"/>
        <w:rPr>
          <w:color w:val="auto"/>
          <w:lang w:val="en-GB"/>
        </w:rPr>
      </w:pP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119"/>
        <w:gridCol w:w="3119"/>
      </w:tblGrid>
      <w:tr w:rsidR="00633A71" w:rsidRPr="00632DBC" w14:paraId="19F2EF8E" w14:textId="77777777" w:rsidTr="00CF7E8B">
        <w:trPr>
          <w:trHeight w:val="916"/>
        </w:trPr>
        <w:tc>
          <w:tcPr>
            <w:tcW w:w="3119" w:type="dxa"/>
            <w:tcBorders>
              <w:bottom w:val="single" w:sz="4" w:space="0" w:color="000000"/>
            </w:tcBorders>
            <w:shd w:val="clear" w:color="auto" w:fill="BFBFBF"/>
          </w:tcPr>
          <w:p w14:paraId="29F5ACCF" w14:textId="77777777" w:rsidR="00810C20" w:rsidRPr="00633A71" w:rsidRDefault="00810C20" w:rsidP="00CF7E8B">
            <w:pPr>
              <w:rPr>
                <w:rFonts w:ascii="Times New Roman" w:hAnsi="Times New Roman"/>
                <w:sz w:val="18"/>
              </w:rPr>
            </w:pPr>
            <w:r w:rsidRPr="00633A71">
              <w:rPr>
                <w:rFonts w:ascii="Times New Roman Bold" w:hAnsi="Calibri"/>
                <w:b/>
                <w:bCs/>
                <w:sz w:val="18"/>
                <w:szCs w:val="18"/>
              </w:rPr>
              <w:t>Submissions to the SCBD by Parties and relevant stakeholders</w:t>
            </w:r>
          </w:p>
        </w:tc>
        <w:tc>
          <w:tcPr>
            <w:tcW w:w="3119" w:type="dxa"/>
            <w:tcBorders>
              <w:bottom w:val="single" w:sz="4" w:space="0" w:color="000000"/>
            </w:tcBorders>
            <w:shd w:val="clear" w:color="auto" w:fill="BFBFBF"/>
          </w:tcPr>
          <w:p w14:paraId="50F3586A" w14:textId="77777777" w:rsidR="00810C20" w:rsidRPr="00504B5E" w:rsidRDefault="00810C20" w:rsidP="00CF7E8B">
            <w:pPr>
              <w:rPr>
                <w:rFonts w:ascii="Times New Roman" w:hAnsi="Times New Roman"/>
                <w:sz w:val="18"/>
              </w:rPr>
            </w:pPr>
            <w:r w:rsidRPr="00633A71">
              <w:rPr>
                <w:rFonts w:ascii="Times New Roman Bold" w:hAnsi="Calibri"/>
                <w:b/>
                <w:bCs/>
                <w:sz w:val="18"/>
                <w:szCs w:val="18"/>
              </w:rPr>
              <w:t>Main comments to the Discussion Paper (UNEP/CBD/COP/11/INF/7)</w:t>
            </w:r>
          </w:p>
        </w:tc>
        <w:tc>
          <w:tcPr>
            <w:tcW w:w="3119" w:type="dxa"/>
            <w:tcBorders>
              <w:bottom w:val="single" w:sz="4" w:space="0" w:color="000000"/>
            </w:tcBorders>
            <w:shd w:val="clear" w:color="auto" w:fill="BFBFBF"/>
          </w:tcPr>
          <w:p w14:paraId="2293C4D5" w14:textId="77777777" w:rsidR="00810C20" w:rsidRPr="00504B5E" w:rsidRDefault="00810C20" w:rsidP="00CF7E8B">
            <w:pPr>
              <w:rPr>
                <w:rFonts w:ascii="Times New Roman" w:hAnsi="Times New Roman"/>
                <w:sz w:val="18"/>
              </w:rPr>
            </w:pPr>
            <w:r w:rsidRPr="00504B5E">
              <w:rPr>
                <w:rFonts w:ascii="Times New Roman Bold" w:hAnsi="Calibri"/>
                <w:b/>
                <w:bCs/>
                <w:sz w:val="18"/>
                <w:szCs w:val="18"/>
              </w:rPr>
              <w:t xml:space="preserve">Adjustments made in this revised version </w:t>
            </w:r>
            <w:proofErr w:type="gramStart"/>
            <w:r w:rsidRPr="00504B5E">
              <w:rPr>
                <w:rFonts w:ascii="Times New Roman Bold" w:hAnsi="Calibri"/>
                <w:b/>
                <w:bCs/>
                <w:sz w:val="18"/>
                <w:szCs w:val="18"/>
              </w:rPr>
              <w:t>in order to</w:t>
            </w:r>
            <w:proofErr w:type="gramEnd"/>
            <w:r w:rsidRPr="00504B5E">
              <w:rPr>
                <w:rFonts w:ascii="Times New Roman Bold" w:hAnsi="Calibri"/>
                <w:b/>
                <w:bCs/>
                <w:sz w:val="18"/>
                <w:szCs w:val="18"/>
              </w:rPr>
              <w:t xml:space="preserve"> address the comments to the Discussion Paper </w:t>
            </w:r>
          </w:p>
        </w:tc>
      </w:tr>
      <w:tr w:rsidR="00633A71" w:rsidRPr="00632DBC" w14:paraId="36E0C3EC" w14:textId="77777777" w:rsidTr="00CF7E8B">
        <w:trPr>
          <w:trHeight w:val="240"/>
        </w:trPr>
        <w:tc>
          <w:tcPr>
            <w:tcW w:w="3119" w:type="dxa"/>
            <w:vMerge w:val="restart"/>
            <w:shd w:val="clear" w:color="auto" w:fill="auto"/>
          </w:tcPr>
          <w:p w14:paraId="17DCDBB4" w14:textId="77777777" w:rsidR="00810C20" w:rsidRPr="00632DBC" w:rsidRDefault="00810C20" w:rsidP="00CF7E8B">
            <w:pPr>
              <w:rPr>
                <w:rFonts w:ascii="Times New Roman" w:hAnsi="Calibri"/>
                <w:b/>
                <w:sz w:val="18"/>
                <w:szCs w:val="18"/>
              </w:rPr>
            </w:pPr>
          </w:p>
          <w:p w14:paraId="0EE535F3" w14:textId="77777777" w:rsidR="00810C20" w:rsidRPr="00632DBC" w:rsidRDefault="00810C20" w:rsidP="00CF7E8B">
            <w:pPr>
              <w:rPr>
                <w:rFonts w:ascii="Times New Roman" w:hAnsi="Times New Roman"/>
                <w:sz w:val="18"/>
              </w:rPr>
            </w:pPr>
            <w:r w:rsidRPr="00632DBC">
              <w:rPr>
                <w:rFonts w:ascii="Times New Roman" w:hAnsi="Calibri"/>
                <w:b/>
                <w:sz w:val="18"/>
                <w:szCs w:val="18"/>
              </w:rPr>
              <w:t xml:space="preserve">European Union submission </w:t>
            </w:r>
          </w:p>
        </w:tc>
        <w:tc>
          <w:tcPr>
            <w:tcW w:w="3119" w:type="dxa"/>
            <w:shd w:val="clear" w:color="auto" w:fill="auto"/>
          </w:tcPr>
          <w:p w14:paraId="0A536F8A" w14:textId="77777777" w:rsidR="00810C20" w:rsidRPr="00632DBC" w:rsidRDefault="00810C20" w:rsidP="00CF7E8B">
            <w:pPr>
              <w:rPr>
                <w:rFonts w:ascii="Times New Roman" w:hAnsi="Times New Roman"/>
                <w:sz w:val="18"/>
                <w:szCs w:val="24"/>
              </w:rPr>
            </w:pPr>
          </w:p>
          <w:p w14:paraId="3DEAC6D1"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paper should explore more deeply the benefits arising from synergies between social and environmental objectives; strengthen biodiversity safeguards as well as the safeguards that could apply to fiscal reform.</w:t>
            </w:r>
          </w:p>
        </w:tc>
        <w:tc>
          <w:tcPr>
            <w:tcW w:w="3119" w:type="dxa"/>
            <w:shd w:val="clear" w:color="auto" w:fill="auto"/>
          </w:tcPr>
          <w:p w14:paraId="72DA16EA" w14:textId="77777777" w:rsidR="00810C20" w:rsidRPr="00632DBC" w:rsidRDefault="00810C20" w:rsidP="00CF7E8B">
            <w:pPr>
              <w:rPr>
                <w:rFonts w:ascii="Times New Roman" w:hAnsi="Times New Roman"/>
                <w:sz w:val="18"/>
                <w:szCs w:val="24"/>
              </w:rPr>
            </w:pPr>
          </w:p>
          <w:p w14:paraId="33AE0ACA"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Guideline 1: “Biodiversity </w:t>
            </w:r>
            <w:r w:rsidRPr="00632DBC">
              <w:rPr>
                <w:rFonts w:ascii="Times New Roman" w:hAnsi="Times New Roman"/>
                <w:bCs/>
                <w:iCs/>
                <w:sz w:val="18"/>
                <w:szCs w:val="24"/>
              </w:rPr>
              <w:t>Underpins Local Livelihoods and Resilience”</w:t>
            </w:r>
            <w:r w:rsidRPr="00632DBC">
              <w:rPr>
                <w:rFonts w:ascii="Times New Roman" w:hAnsi="Times New Roman"/>
                <w:sz w:val="18"/>
                <w:szCs w:val="24"/>
              </w:rPr>
              <w:t xml:space="preserve"> deepens the analysis of the benefits arising from synergies between social and environmental objectives. A new example of safeguards related to fiscal reform is included. </w:t>
            </w:r>
          </w:p>
        </w:tc>
      </w:tr>
      <w:tr w:rsidR="00633A71" w:rsidRPr="00632DBC" w14:paraId="65CE4684" w14:textId="77777777" w:rsidTr="00CF7E8B">
        <w:trPr>
          <w:trHeight w:val="240"/>
        </w:trPr>
        <w:tc>
          <w:tcPr>
            <w:tcW w:w="3119" w:type="dxa"/>
            <w:vMerge/>
            <w:shd w:val="clear" w:color="auto" w:fill="auto"/>
          </w:tcPr>
          <w:p w14:paraId="67C8F4B9" w14:textId="77777777" w:rsidR="00810C20" w:rsidRPr="00632DBC" w:rsidRDefault="00810C20" w:rsidP="00CF7E8B">
            <w:pPr>
              <w:jc w:val="both"/>
              <w:rPr>
                <w:rFonts w:ascii="Times New Roman" w:hAnsi="Calibri"/>
                <w:b/>
                <w:sz w:val="18"/>
                <w:szCs w:val="18"/>
              </w:rPr>
            </w:pPr>
          </w:p>
        </w:tc>
        <w:tc>
          <w:tcPr>
            <w:tcW w:w="3119" w:type="dxa"/>
            <w:shd w:val="clear" w:color="auto" w:fill="auto"/>
          </w:tcPr>
          <w:p w14:paraId="23613BB2" w14:textId="77777777" w:rsidR="00810C20" w:rsidRPr="00633A71" w:rsidRDefault="00810C20" w:rsidP="00CF7E8B">
            <w:pPr>
              <w:rPr>
                <w:rFonts w:ascii="Times New Roman" w:hAnsi="Times New Roman"/>
                <w:sz w:val="18"/>
              </w:rPr>
            </w:pPr>
            <w:r w:rsidRPr="00632DBC">
              <w:rPr>
                <w:rFonts w:ascii="Times New Roman" w:hAnsi="Times New Roman"/>
                <w:sz w:val="18"/>
                <w:szCs w:val="24"/>
              </w:rPr>
              <w:t>Markets for green products and biodiversity co-benefits in climate change funding should be added as IFM</w:t>
            </w:r>
            <w:r w:rsidRPr="00633A71">
              <w:rPr>
                <w:rFonts w:ascii="Times New Roman" w:hAnsi="Times New Roman"/>
                <w:sz w:val="18"/>
                <w:szCs w:val="24"/>
                <w:vertAlign w:val="superscript"/>
              </w:rPr>
              <w:footnoteReference w:id="264"/>
            </w:r>
          </w:p>
        </w:tc>
        <w:tc>
          <w:tcPr>
            <w:tcW w:w="3119" w:type="dxa"/>
            <w:shd w:val="clear" w:color="auto" w:fill="auto"/>
          </w:tcPr>
          <w:p w14:paraId="643BD103" w14:textId="77777777" w:rsidR="00810C20" w:rsidRPr="00633A71" w:rsidRDefault="00810C20" w:rsidP="00CF7E8B">
            <w:pPr>
              <w:rPr>
                <w:rFonts w:ascii="Times New Roman" w:hAnsi="Times New Roman"/>
                <w:sz w:val="18"/>
              </w:rPr>
            </w:pPr>
            <w:r w:rsidRPr="00633A71">
              <w:rPr>
                <w:rFonts w:ascii="Times New Roman" w:hAnsi="Times New Roman"/>
                <w:sz w:val="18"/>
                <w:szCs w:val="24"/>
              </w:rPr>
              <w:t xml:space="preserve">New sections 6.5 “Markets for green products” and 6.6 “Climate financing with co-benefits to biodiversity” have been developed to respond to this comment.  </w:t>
            </w:r>
          </w:p>
        </w:tc>
      </w:tr>
      <w:tr w:rsidR="00633A71" w:rsidRPr="00632DBC" w14:paraId="60B246A0" w14:textId="77777777" w:rsidTr="00CF7E8B">
        <w:trPr>
          <w:trHeight w:val="240"/>
        </w:trPr>
        <w:tc>
          <w:tcPr>
            <w:tcW w:w="3119" w:type="dxa"/>
            <w:vMerge/>
            <w:shd w:val="clear" w:color="auto" w:fill="auto"/>
          </w:tcPr>
          <w:p w14:paraId="35741B68" w14:textId="77777777" w:rsidR="00810C20" w:rsidRPr="00632DBC" w:rsidRDefault="00810C20" w:rsidP="00CF7E8B">
            <w:pPr>
              <w:jc w:val="both"/>
              <w:rPr>
                <w:rFonts w:ascii="Times New Roman" w:hAnsi="Calibri"/>
                <w:b/>
                <w:sz w:val="18"/>
                <w:szCs w:val="18"/>
              </w:rPr>
            </w:pPr>
          </w:p>
        </w:tc>
        <w:tc>
          <w:tcPr>
            <w:tcW w:w="3119" w:type="dxa"/>
            <w:shd w:val="clear" w:color="auto" w:fill="auto"/>
          </w:tcPr>
          <w:p w14:paraId="424C3C5F"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EU suggest </w:t>
            </w:r>
            <w:proofErr w:type="gramStart"/>
            <w:r w:rsidRPr="00632DBC">
              <w:rPr>
                <w:rFonts w:ascii="Times New Roman" w:hAnsi="Times New Roman"/>
                <w:sz w:val="18"/>
                <w:szCs w:val="24"/>
              </w:rPr>
              <w:t>to build</w:t>
            </w:r>
            <w:proofErr w:type="gramEnd"/>
            <w:r w:rsidRPr="00632DBC">
              <w:rPr>
                <w:rFonts w:ascii="Times New Roman" w:hAnsi="Times New Roman"/>
                <w:sz w:val="18"/>
                <w:szCs w:val="24"/>
              </w:rPr>
              <w:t xml:space="preserve"> on EU submission of information concerning IFM pursuant to decision X/3, A, paragraph 8 (29 June 2011). Among the relevant instruments to consider in safeguarding efforts are Nagoya Protocol on Access and Benefit Sharing and the United </w:t>
            </w:r>
            <w:r w:rsidRPr="00632DBC">
              <w:rPr>
                <w:rFonts w:ascii="Times New Roman" w:hAnsi="Times New Roman"/>
                <w:sz w:val="18"/>
                <w:szCs w:val="24"/>
              </w:rPr>
              <w:lastRenderedPageBreak/>
              <w:t>Nations Declaration of the Rights of Indigenous Peoples (UNDRIP).</w:t>
            </w:r>
          </w:p>
        </w:tc>
        <w:tc>
          <w:tcPr>
            <w:tcW w:w="3119" w:type="dxa"/>
            <w:shd w:val="clear" w:color="auto" w:fill="auto"/>
          </w:tcPr>
          <w:p w14:paraId="01B4EF51" w14:textId="3B36C52B" w:rsidR="00810C20" w:rsidRPr="00632DBC" w:rsidRDefault="00810C20" w:rsidP="00CF7E8B">
            <w:pPr>
              <w:rPr>
                <w:rFonts w:ascii="Times New Roman" w:hAnsi="Times New Roman"/>
                <w:sz w:val="18"/>
              </w:rPr>
            </w:pPr>
            <w:r w:rsidRPr="00632DBC">
              <w:rPr>
                <w:rFonts w:ascii="Times New Roman" w:hAnsi="Times New Roman"/>
                <w:sz w:val="18"/>
                <w:szCs w:val="24"/>
              </w:rPr>
              <w:lastRenderedPageBreak/>
              <w:t>The main findings now mention the Nagoya Protocol on Access and Benefit Sharing. Guideline 2 “</w:t>
            </w:r>
            <w:r w:rsidRPr="00632DBC">
              <w:rPr>
                <w:rFonts w:ascii="Times New Roman" w:hAnsi="Times New Roman"/>
                <w:bCs/>
                <w:iCs/>
                <w:sz w:val="18"/>
                <w:szCs w:val="24"/>
              </w:rPr>
              <w:t xml:space="preserve">People’s Rights, </w:t>
            </w:r>
            <w:r w:rsidR="003F6434" w:rsidRPr="00632DBC">
              <w:rPr>
                <w:rFonts w:ascii="Times New Roman" w:hAnsi="Times New Roman"/>
                <w:bCs/>
                <w:iCs/>
                <w:sz w:val="18"/>
                <w:szCs w:val="24"/>
              </w:rPr>
              <w:t>Responsibilities and Effective Participation</w:t>
            </w:r>
            <w:r w:rsidRPr="00632DBC">
              <w:rPr>
                <w:rFonts w:ascii="Times New Roman" w:hAnsi="Times New Roman"/>
                <w:bCs/>
                <w:iCs/>
                <w:sz w:val="18"/>
                <w:szCs w:val="24"/>
              </w:rPr>
              <w:t>”</w:t>
            </w:r>
            <w:r w:rsidRPr="00632DBC">
              <w:rPr>
                <w:rFonts w:ascii="Times New Roman" w:hAnsi="Times New Roman"/>
                <w:sz w:val="18"/>
                <w:szCs w:val="24"/>
              </w:rPr>
              <w:t xml:space="preserve"> and Guideline 3 “Local and country-driven/specific processes linked to the international level” now specifies that BFM should consider the </w:t>
            </w:r>
            <w:r w:rsidRPr="00632DBC">
              <w:rPr>
                <w:rFonts w:ascii="Times New Roman" w:hAnsi="Times New Roman"/>
                <w:sz w:val="18"/>
                <w:szCs w:val="24"/>
              </w:rPr>
              <w:lastRenderedPageBreak/>
              <w:t xml:space="preserve">UNDRIP among other internationally agreed commitments. </w:t>
            </w:r>
          </w:p>
          <w:p w14:paraId="154DB1FF"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Table 2 “</w:t>
            </w:r>
            <w:r w:rsidRPr="00632DBC">
              <w:rPr>
                <w:rFonts w:ascii="Times New Roman" w:hAnsi="Times New Roman"/>
                <w:bCs/>
                <w:sz w:val="18"/>
                <w:szCs w:val="24"/>
              </w:rPr>
              <w:t xml:space="preserve">International legal instruments informing the guidelines” now contains also relevant treaties such as the Nagoya Protocol </w:t>
            </w:r>
            <w:proofErr w:type="gramStart"/>
            <w:r w:rsidRPr="00632DBC">
              <w:rPr>
                <w:rFonts w:ascii="Times New Roman" w:hAnsi="Times New Roman"/>
                <w:bCs/>
                <w:sz w:val="18"/>
                <w:szCs w:val="24"/>
              </w:rPr>
              <w:t>in order to</w:t>
            </w:r>
            <w:proofErr w:type="gramEnd"/>
            <w:r w:rsidRPr="00632DBC">
              <w:rPr>
                <w:rFonts w:ascii="Times New Roman" w:hAnsi="Times New Roman"/>
                <w:bCs/>
                <w:sz w:val="18"/>
                <w:szCs w:val="24"/>
              </w:rPr>
              <w:t xml:space="preserve"> operationalize ABS.</w:t>
            </w:r>
          </w:p>
        </w:tc>
      </w:tr>
      <w:tr w:rsidR="00633A71" w:rsidRPr="00632DBC" w14:paraId="007C9655" w14:textId="77777777" w:rsidTr="00CF7E8B">
        <w:trPr>
          <w:trHeight w:val="480"/>
        </w:trPr>
        <w:tc>
          <w:tcPr>
            <w:tcW w:w="3119" w:type="dxa"/>
            <w:vMerge/>
            <w:shd w:val="clear" w:color="auto" w:fill="auto"/>
          </w:tcPr>
          <w:p w14:paraId="324C4171" w14:textId="77777777" w:rsidR="00810C20" w:rsidRPr="00632DBC" w:rsidRDefault="00810C20" w:rsidP="00CF7E8B">
            <w:pPr>
              <w:jc w:val="both"/>
              <w:rPr>
                <w:rFonts w:ascii="Times New Roman" w:hAnsi="Calibri"/>
                <w:b/>
                <w:sz w:val="18"/>
                <w:szCs w:val="18"/>
              </w:rPr>
            </w:pPr>
          </w:p>
        </w:tc>
        <w:tc>
          <w:tcPr>
            <w:tcW w:w="3119" w:type="dxa"/>
            <w:shd w:val="clear" w:color="auto" w:fill="auto"/>
          </w:tcPr>
          <w:p w14:paraId="3277534F" w14:textId="77777777" w:rsidR="00810C20" w:rsidRPr="00632DBC" w:rsidRDefault="00810C20" w:rsidP="00CF7E8B">
            <w:pPr>
              <w:rPr>
                <w:rFonts w:ascii="Times New Roman" w:hAnsi="Times New Roman"/>
                <w:sz w:val="18"/>
              </w:rPr>
            </w:pPr>
            <w:r w:rsidRPr="00632DBC">
              <w:rPr>
                <w:rFonts w:ascii="Times New Roman" w:hAnsi="Times New Roman"/>
                <w:sz w:val="18"/>
                <w:szCs w:val="24"/>
              </w:rPr>
              <w:t>Highlight experiences of the World Bank that provide relevant insights on safeguarding approaches.</w:t>
            </w:r>
          </w:p>
          <w:p w14:paraId="26C3CD93" w14:textId="77777777" w:rsidR="00810C20" w:rsidRPr="00632DBC" w:rsidRDefault="00810C20" w:rsidP="00CF7E8B">
            <w:pPr>
              <w:rPr>
                <w:rFonts w:ascii="Times New Roman" w:hAnsi="Times New Roman"/>
                <w:sz w:val="18"/>
              </w:rPr>
            </w:pPr>
          </w:p>
        </w:tc>
        <w:tc>
          <w:tcPr>
            <w:tcW w:w="3119" w:type="dxa"/>
            <w:shd w:val="clear" w:color="auto" w:fill="auto"/>
          </w:tcPr>
          <w:p w14:paraId="40B24C01" w14:textId="77777777" w:rsidR="00810C20" w:rsidRPr="00632DBC" w:rsidRDefault="00810C20" w:rsidP="00CF7E8B">
            <w:pPr>
              <w:rPr>
                <w:rFonts w:ascii="Times New Roman" w:hAnsi="Times New Roman"/>
                <w:sz w:val="18"/>
                <w:szCs w:val="24"/>
              </w:rPr>
            </w:pPr>
            <w:r w:rsidRPr="00632DBC">
              <w:rPr>
                <w:rFonts w:ascii="Times New Roman" w:hAnsi="Times New Roman"/>
                <w:sz w:val="18"/>
                <w:szCs w:val="24"/>
              </w:rPr>
              <w:t>The paper refers to the World Bank in several parts of the paper such as in Section 3 “Evolving notion of safeguards”.</w:t>
            </w:r>
          </w:p>
          <w:p w14:paraId="131AA6C5" w14:textId="4791E23A" w:rsidR="00810C20" w:rsidRPr="00632DBC" w:rsidRDefault="00810C20" w:rsidP="00CF7E8B">
            <w:pPr>
              <w:rPr>
                <w:rFonts w:ascii="Times New Roman" w:hAnsi="Times New Roman"/>
                <w:sz w:val="18"/>
              </w:rPr>
            </w:pPr>
            <w:r w:rsidRPr="00632DBC">
              <w:rPr>
                <w:rFonts w:ascii="Times New Roman" w:hAnsi="Times New Roman"/>
                <w:sz w:val="18"/>
                <w:szCs w:val="24"/>
              </w:rPr>
              <w:t>As part of the proposed roadmap to operationalize the guidelines, the paper suggests the SCBD to engage in dialogue with the World Bank’s Inspection Panel.</w:t>
            </w:r>
          </w:p>
        </w:tc>
      </w:tr>
      <w:tr w:rsidR="00633A71" w:rsidRPr="00632DBC" w14:paraId="5917673E" w14:textId="77777777" w:rsidTr="00CF7E8B">
        <w:trPr>
          <w:trHeight w:val="480"/>
        </w:trPr>
        <w:tc>
          <w:tcPr>
            <w:tcW w:w="3119" w:type="dxa"/>
            <w:vMerge/>
            <w:shd w:val="clear" w:color="auto" w:fill="auto"/>
          </w:tcPr>
          <w:p w14:paraId="469FE849" w14:textId="77777777" w:rsidR="00810C20" w:rsidRPr="00632DBC" w:rsidRDefault="00810C20" w:rsidP="00CF7E8B">
            <w:pPr>
              <w:jc w:val="both"/>
              <w:rPr>
                <w:rFonts w:ascii="Times New Roman" w:hAnsi="Calibri"/>
                <w:b/>
                <w:sz w:val="18"/>
                <w:szCs w:val="18"/>
              </w:rPr>
            </w:pPr>
          </w:p>
        </w:tc>
        <w:tc>
          <w:tcPr>
            <w:tcW w:w="3119" w:type="dxa"/>
            <w:shd w:val="clear" w:color="auto" w:fill="auto"/>
          </w:tcPr>
          <w:p w14:paraId="7F9F1534"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use of performance standards should also be covered.</w:t>
            </w:r>
          </w:p>
        </w:tc>
        <w:tc>
          <w:tcPr>
            <w:tcW w:w="3119" w:type="dxa"/>
            <w:shd w:val="clear" w:color="auto" w:fill="auto"/>
          </w:tcPr>
          <w:p w14:paraId="14FD6BA5" w14:textId="77777777" w:rsidR="00810C20" w:rsidRPr="00632DBC" w:rsidRDefault="00810C20" w:rsidP="00CF7E8B">
            <w:pPr>
              <w:rPr>
                <w:rFonts w:ascii="Times New Roman" w:hAnsi="Times New Roman"/>
                <w:sz w:val="18"/>
              </w:rPr>
            </w:pPr>
            <w:r w:rsidRPr="00632DBC">
              <w:rPr>
                <w:rFonts w:ascii="Times New Roman" w:hAnsi="Times New Roman"/>
                <w:sz w:val="18"/>
                <w:szCs w:val="24"/>
              </w:rPr>
              <w:t>Reference to performance standards has been added to the paper in Section 6.2 “Biodiversity offsets” and in the new Section 6.5 “Market for Green Products”.</w:t>
            </w:r>
          </w:p>
        </w:tc>
      </w:tr>
      <w:tr w:rsidR="00633A71" w:rsidRPr="00632DBC" w14:paraId="4BE8CD06" w14:textId="77777777" w:rsidTr="00CF7E8B">
        <w:trPr>
          <w:trHeight w:val="72"/>
        </w:trPr>
        <w:tc>
          <w:tcPr>
            <w:tcW w:w="3119" w:type="dxa"/>
            <w:vMerge w:val="restart"/>
            <w:shd w:val="clear" w:color="auto" w:fill="auto"/>
          </w:tcPr>
          <w:p w14:paraId="71E0883E" w14:textId="77777777" w:rsidR="00810C20" w:rsidRPr="00632DBC" w:rsidRDefault="00810C20" w:rsidP="00CF7E8B">
            <w:pPr>
              <w:jc w:val="both"/>
              <w:rPr>
                <w:rFonts w:ascii="Times New Roman" w:hAnsi="Times New Roman"/>
                <w:sz w:val="18"/>
              </w:rPr>
            </w:pPr>
            <w:r w:rsidRPr="00632DBC">
              <w:rPr>
                <w:rFonts w:ascii="Times New Roman" w:hAnsi="Times New Roman"/>
                <w:b/>
                <w:sz w:val="18"/>
                <w:szCs w:val="24"/>
              </w:rPr>
              <w:t xml:space="preserve">India submission </w:t>
            </w:r>
          </w:p>
        </w:tc>
        <w:tc>
          <w:tcPr>
            <w:tcW w:w="3119" w:type="dxa"/>
            <w:shd w:val="clear" w:color="auto" w:fill="auto"/>
          </w:tcPr>
          <w:p w14:paraId="4DD7A0BE" w14:textId="77777777" w:rsidR="00810C20" w:rsidRPr="00632DBC" w:rsidRDefault="00810C20" w:rsidP="00CF7E8B">
            <w:pPr>
              <w:rPr>
                <w:rFonts w:ascii="Times New Roman" w:hAnsi="Times New Roman"/>
                <w:sz w:val="18"/>
              </w:rPr>
            </w:pPr>
            <w:r w:rsidRPr="00632DBC">
              <w:rPr>
                <w:rFonts w:ascii="Times New Roman" w:hAnsi="Times New Roman"/>
                <w:sz w:val="18"/>
                <w:szCs w:val="24"/>
              </w:rPr>
              <w:t>Refer to States’ sovereignty over natural resources and autonomy in biodiversity conservation in decision-making.</w:t>
            </w:r>
          </w:p>
        </w:tc>
        <w:tc>
          <w:tcPr>
            <w:tcW w:w="3119" w:type="dxa"/>
            <w:shd w:val="clear" w:color="auto" w:fill="auto"/>
          </w:tcPr>
          <w:p w14:paraId="643E7A5A" w14:textId="3593A27F" w:rsidR="00810C20" w:rsidRPr="00632DBC" w:rsidRDefault="00810C20" w:rsidP="0091485C">
            <w:pPr>
              <w:rPr>
                <w:rFonts w:ascii="Times New Roman" w:hAnsi="Times New Roman"/>
                <w:sz w:val="18"/>
              </w:rPr>
            </w:pPr>
            <w:r w:rsidRPr="00632DBC">
              <w:rPr>
                <w:rFonts w:ascii="Times New Roman" w:hAnsi="Times New Roman"/>
                <w:sz w:val="18"/>
                <w:szCs w:val="24"/>
              </w:rPr>
              <w:t>Under Section 4 “Safeguards in existing legal, and policy instruments and standards”, and in the proposed operational roadmap, the paper explicitly refers that States have sovereign rights over their biological resources and associated national autonomy in decision-making.</w:t>
            </w:r>
          </w:p>
        </w:tc>
      </w:tr>
      <w:tr w:rsidR="00633A71" w:rsidRPr="00632DBC" w14:paraId="605D1D11" w14:textId="77777777" w:rsidTr="00CF7E8B">
        <w:trPr>
          <w:trHeight w:val="69"/>
        </w:trPr>
        <w:tc>
          <w:tcPr>
            <w:tcW w:w="3119" w:type="dxa"/>
            <w:vMerge/>
            <w:shd w:val="clear" w:color="auto" w:fill="auto"/>
          </w:tcPr>
          <w:p w14:paraId="3D0E4276" w14:textId="77777777" w:rsidR="00810C20" w:rsidRPr="00632DBC" w:rsidRDefault="00810C20" w:rsidP="00CF7E8B">
            <w:pPr>
              <w:jc w:val="both"/>
              <w:rPr>
                <w:rFonts w:ascii="Times New Roman" w:hAnsi="Times New Roman"/>
                <w:b/>
                <w:sz w:val="18"/>
              </w:rPr>
            </w:pPr>
          </w:p>
        </w:tc>
        <w:tc>
          <w:tcPr>
            <w:tcW w:w="3119" w:type="dxa"/>
            <w:shd w:val="clear" w:color="auto" w:fill="auto"/>
          </w:tcPr>
          <w:p w14:paraId="67187631"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Provide more </w:t>
            </w:r>
            <w:r w:rsidRPr="00632DBC">
              <w:rPr>
                <w:rFonts w:ascii="Times New Roman" w:hAnsi="Times New Roman"/>
                <w:sz w:val="18"/>
              </w:rPr>
              <w:t>“</w:t>
            </w:r>
            <w:r w:rsidRPr="00632DBC">
              <w:rPr>
                <w:rFonts w:ascii="Times New Roman" w:hAnsi="Times New Roman"/>
                <w:sz w:val="18"/>
                <w:szCs w:val="24"/>
              </w:rPr>
              <w:t>best practices</w:t>
            </w:r>
            <w:r w:rsidRPr="00632DBC">
              <w:rPr>
                <w:rFonts w:ascii="Times New Roman" w:hAnsi="Times New Roman"/>
                <w:sz w:val="18"/>
              </w:rPr>
              <w:t>”</w:t>
            </w:r>
            <w:r w:rsidRPr="00632DBC">
              <w:rPr>
                <w:rFonts w:ascii="Times New Roman" w:hAnsi="Times New Roman"/>
                <w:sz w:val="18"/>
                <w:szCs w:val="24"/>
              </w:rPr>
              <w:t xml:space="preserve"> by giving more examples and drawing more lessons from past experiences.</w:t>
            </w:r>
          </w:p>
        </w:tc>
        <w:tc>
          <w:tcPr>
            <w:tcW w:w="3119" w:type="dxa"/>
            <w:shd w:val="clear" w:color="auto" w:fill="auto"/>
          </w:tcPr>
          <w:p w14:paraId="307B2106" w14:textId="09D6ECF1" w:rsidR="00810C20" w:rsidRPr="00632DBC" w:rsidRDefault="00810C20" w:rsidP="00CF7E8B">
            <w:pPr>
              <w:rPr>
                <w:rFonts w:ascii="Times New Roman" w:hAnsi="Times New Roman"/>
                <w:sz w:val="18"/>
              </w:rPr>
            </w:pPr>
            <w:r w:rsidRPr="00632DBC">
              <w:rPr>
                <w:rFonts w:ascii="Times New Roman" w:hAnsi="Times New Roman"/>
                <w:sz w:val="18"/>
                <w:szCs w:val="24"/>
              </w:rPr>
              <w:t>As part of the proposed</w:t>
            </w:r>
            <w:r w:rsidR="0091485C" w:rsidRPr="00632DBC">
              <w:rPr>
                <w:rFonts w:ascii="Times New Roman" w:hAnsi="Times New Roman"/>
                <w:sz w:val="18"/>
                <w:szCs w:val="24"/>
              </w:rPr>
              <w:t xml:space="preserve"> </w:t>
            </w:r>
            <w:r w:rsidRPr="00632DBC">
              <w:rPr>
                <w:rFonts w:ascii="Times New Roman" w:hAnsi="Times New Roman"/>
                <w:sz w:val="18"/>
                <w:szCs w:val="24"/>
              </w:rPr>
              <w:t>roadmap to operationalize the guidelines, the paper suggests that States and relevant stakeholders identify the national policies and legal provisions relevant for safeguards and the process of scaling up biodiversity financing.</w:t>
            </w:r>
          </w:p>
          <w:p w14:paraId="7EAEBA3E" w14:textId="77777777" w:rsidR="00810C20" w:rsidRPr="00632DBC" w:rsidRDefault="00810C20" w:rsidP="00CF7E8B">
            <w:pPr>
              <w:rPr>
                <w:rFonts w:ascii="Times New Roman" w:hAnsi="Times New Roman"/>
                <w:sz w:val="18"/>
              </w:rPr>
            </w:pPr>
            <w:r w:rsidRPr="00632DBC">
              <w:rPr>
                <w:rFonts w:ascii="Times New Roman" w:hAnsi="Times New Roman"/>
                <w:sz w:val="18"/>
                <w:szCs w:val="24"/>
              </w:rPr>
              <w:t>Section 4 “Safeguards in existing legal and policy instruments and standards” Table 3</w:t>
            </w:r>
            <w:r w:rsidRPr="00632DBC">
              <w:rPr>
                <w:rFonts w:ascii="Times New Roman" w:hAnsi="Times New Roman"/>
                <w:sz w:val="18"/>
              </w:rPr>
              <w:t xml:space="preserve"> </w:t>
            </w:r>
            <w:r w:rsidRPr="00632DBC">
              <w:rPr>
                <w:rFonts w:ascii="Times New Roman" w:hAnsi="Times New Roman"/>
                <w:sz w:val="18"/>
                <w:szCs w:val="24"/>
              </w:rPr>
              <w:t xml:space="preserve">draws lessons learned </w:t>
            </w:r>
            <w:proofErr w:type="spellStart"/>
            <w:r w:rsidRPr="00632DBC">
              <w:rPr>
                <w:rFonts w:ascii="Times New Roman" w:hAnsi="Times New Roman"/>
                <w:sz w:val="18"/>
                <w:szCs w:val="24"/>
              </w:rPr>
              <w:t>form</w:t>
            </w:r>
            <w:proofErr w:type="spellEnd"/>
            <w:r w:rsidRPr="00632DBC">
              <w:rPr>
                <w:rFonts w:ascii="Times New Roman" w:hAnsi="Times New Roman"/>
                <w:sz w:val="18"/>
                <w:szCs w:val="24"/>
              </w:rPr>
              <w:t xml:space="preserve"> Socio Bosque program in Ecuador</w:t>
            </w:r>
          </w:p>
          <w:p w14:paraId="102BDF47" w14:textId="7DEAFF20" w:rsidR="00810C20" w:rsidRPr="00632DBC" w:rsidRDefault="00810C20" w:rsidP="00CF7E8B">
            <w:pPr>
              <w:rPr>
                <w:rFonts w:ascii="Times New Roman" w:hAnsi="Times New Roman"/>
                <w:sz w:val="18"/>
              </w:rPr>
            </w:pPr>
            <w:r w:rsidRPr="00632DBC">
              <w:rPr>
                <w:rFonts w:ascii="Times New Roman" w:hAnsi="Times New Roman"/>
                <w:sz w:val="18"/>
                <w:szCs w:val="24"/>
              </w:rPr>
              <w:t>Section 6.5 “Markets for Green Products” in Box 1</w:t>
            </w:r>
            <w:r w:rsidR="00A14CC2" w:rsidRPr="00632DBC">
              <w:rPr>
                <w:rFonts w:ascii="Times New Roman" w:hAnsi="Times New Roman"/>
                <w:sz w:val="18"/>
                <w:szCs w:val="24"/>
              </w:rPr>
              <w:t>2</w:t>
            </w:r>
            <w:r w:rsidRPr="00632DBC">
              <w:rPr>
                <w:rFonts w:ascii="Times New Roman" w:hAnsi="Times New Roman"/>
                <w:sz w:val="18"/>
              </w:rPr>
              <w:t xml:space="preserve"> </w:t>
            </w:r>
            <w:r w:rsidRPr="00632DBC">
              <w:rPr>
                <w:rFonts w:ascii="Times New Roman" w:hAnsi="Times New Roman"/>
                <w:sz w:val="18"/>
                <w:szCs w:val="24"/>
              </w:rPr>
              <w:t xml:space="preserve">“Label IP-Suisse - System and criteria for biodiversity” provides an example of Switzerland. </w:t>
            </w:r>
          </w:p>
          <w:p w14:paraId="7E2158EB" w14:textId="77777777" w:rsidR="00810C20" w:rsidRPr="00632DBC" w:rsidRDefault="00810C20" w:rsidP="00CF7E8B">
            <w:pPr>
              <w:rPr>
                <w:rFonts w:ascii="Times New Roman" w:hAnsi="Times New Roman"/>
                <w:sz w:val="18"/>
              </w:rPr>
            </w:pPr>
            <w:r w:rsidRPr="00632DBC">
              <w:rPr>
                <w:rFonts w:ascii="Times New Roman" w:hAnsi="Times New Roman"/>
                <w:sz w:val="18"/>
                <w:szCs w:val="24"/>
              </w:rPr>
              <w:t>Both have been included responding to this comment.</w:t>
            </w:r>
          </w:p>
        </w:tc>
      </w:tr>
      <w:tr w:rsidR="00633A71" w:rsidRPr="00632DBC" w14:paraId="69423E4F" w14:textId="77777777" w:rsidTr="00CF7E8B">
        <w:trPr>
          <w:trHeight w:val="69"/>
        </w:trPr>
        <w:tc>
          <w:tcPr>
            <w:tcW w:w="3119" w:type="dxa"/>
            <w:vMerge/>
            <w:shd w:val="clear" w:color="auto" w:fill="auto"/>
          </w:tcPr>
          <w:p w14:paraId="6F30EC04" w14:textId="77777777" w:rsidR="00810C20" w:rsidRPr="00632DBC" w:rsidRDefault="00810C20" w:rsidP="00CF7E8B">
            <w:pPr>
              <w:jc w:val="both"/>
              <w:rPr>
                <w:rFonts w:ascii="Times New Roman" w:hAnsi="Times New Roman"/>
                <w:b/>
                <w:sz w:val="18"/>
              </w:rPr>
            </w:pPr>
          </w:p>
        </w:tc>
        <w:tc>
          <w:tcPr>
            <w:tcW w:w="3119" w:type="dxa"/>
            <w:shd w:val="clear" w:color="auto" w:fill="auto"/>
          </w:tcPr>
          <w:p w14:paraId="42DB434C"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Request to revise some terms considered as politically loaded such as </w:t>
            </w:r>
            <w:r w:rsidRPr="00632DBC">
              <w:rPr>
                <w:rFonts w:ascii="Times New Roman" w:hAnsi="Times New Roman"/>
                <w:sz w:val="18"/>
                <w:szCs w:val="24"/>
              </w:rPr>
              <w:lastRenderedPageBreak/>
              <w:t>“free prior informed consent” and “self-determination” and the term “broader processes”.</w:t>
            </w:r>
          </w:p>
        </w:tc>
        <w:tc>
          <w:tcPr>
            <w:tcW w:w="3119" w:type="dxa"/>
            <w:shd w:val="clear" w:color="auto" w:fill="auto"/>
          </w:tcPr>
          <w:p w14:paraId="70B19F89" w14:textId="3FB7D1C6" w:rsidR="00810C20" w:rsidRPr="00632DBC" w:rsidRDefault="00810C20" w:rsidP="00CF7E8B">
            <w:pPr>
              <w:rPr>
                <w:rFonts w:ascii="Times New Roman" w:hAnsi="Times New Roman"/>
                <w:sz w:val="18"/>
              </w:rPr>
            </w:pPr>
            <w:r w:rsidRPr="00632DBC">
              <w:rPr>
                <w:rFonts w:ascii="Times New Roman" w:hAnsi="Times New Roman"/>
                <w:sz w:val="18"/>
                <w:szCs w:val="24"/>
              </w:rPr>
              <w:lastRenderedPageBreak/>
              <w:t xml:space="preserve">Reference to “self-determination” is no longer mentioned in the paper; the term </w:t>
            </w:r>
            <w:r w:rsidRPr="00632DBC">
              <w:rPr>
                <w:rFonts w:ascii="Times New Roman" w:hAnsi="Times New Roman"/>
                <w:sz w:val="18"/>
                <w:szCs w:val="24"/>
              </w:rPr>
              <w:lastRenderedPageBreak/>
              <w:t>“broader processes” is specified to refer to national broader processes</w:t>
            </w:r>
            <w:r w:rsidR="00756FE4" w:rsidRPr="00632DBC">
              <w:rPr>
                <w:rFonts w:ascii="Times New Roman" w:hAnsi="Times New Roman"/>
                <w:sz w:val="18"/>
                <w:szCs w:val="24"/>
              </w:rPr>
              <w:t xml:space="preserve"> and Guideline 2 was adjusted</w:t>
            </w:r>
            <w:r w:rsidRPr="00632DBC">
              <w:rPr>
                <w:rFonts w:ascii="Times New Roman" w:hAnsi="Times New Roman"/>
                <w:sz w:val="18"/>
                <w:szCs w:val="24"/>
              </w:rPr>
              <w:t xml:space="preserve">. </w:t>
            </w:r>
          </w:p>
        </w:tc>
      </w:tr>
      <w:tr w:rsidR="00633A71" w:rsidRPr="00632DBC" w14:paraId="6ECA9CF1" w14:textId="77777777" w:rsidTr="00CF7E8B">
        <w:trPr>
          <w:trHeight w:val="69"/>
        </w:trPr>
        <w:tc>
          <w:tcPr>
            <w:tcW w:w="3119" w:type="dxa"/>
            <w:vMerge/>
            <w:shd w:val="clear" w:color="auto" w:fill="auto"/>
          </w:tcPr>
          <w:p w14:paraId="2D5D3A23" w14:textId="77777777" w:rsidR="00810C20" w:rsidRPr="00632DBC" w:rsidRDefault="00810C20" w:rsidP="00CF7E8B">
            <w:pPr>
              <w:jc w:val="both"/>
              <w:rPr>
                <w:rFonts w:ascii="Times New Roman" w:hAnsi="Times New Roman"/>
                <w:b/>
                <w:sz w:val="18"/>
              </w:rPr>
            </w:pPr>
          </w:p>
        </w:tc>
        <w:tc>
          <w:tcPr>
            <w:tcW w:w="3119" w:type="dxa"/>
            <w:shd w:val="clear" w:color="auto" w:fill="auto"/>
          </w:tcPr>
          <w:p w14:paraId="6C8C1798" w14:textId="77777777" w:rsidR="00810C20" w:rsidRPr="00632DBC" w:rsidRDefault="00810C20" w:rsidP="00CF7E8B">
            <w:pPr>
              <w:rPr>
                <w:rFonts w:ascii="Times New Roman" w:hAnsi="Times New Roman"/>
                <w:sz w:val="18"/>
              </w:rPr>
            </w:pPr>
            <w:r w:rsidRPr="00632DBC">
              <w:rPr>
                <w:rFonts w:ascii="Times New Roman" w:hAnsi="Times New Roman"/>
                <w:sz w:val="18"/>
                <w:szCs w:val="24"/>
              </w:rPr>
              <w:t>ABS should be included as an IFM.</w:t>
            </w:r>
          </w:p>
        </w:tc>
        <w:tc>
          <w:tcPr>
            <w:tcW w:w="3119" w:type="dxa"/>
            <w:shd w:val="clear" w:color="auto" w:fill="auto"/>
          </w:tcPr>
          <w:p w14:paraId="55721BFA" w14:textId="77777777" w:rsidR="00810C20" w:rsidRPr="00632DBC" w:rsidRDefault="00810C20" w:rsidP="00CF7E8B">
            <w:pPr>
              <w:rPr>
                <w:rFonts w:ascii="Times New Roman" w:hAnsi="Times New Roman"/>
                <w:bCs/>
                <w:sz w:val="18"/>
              </w:rPr>
            </w:pPr>
            <w:r w:rsidRPr="00632DBC">
              <w:rPr>
                <w:rFonts w:ascii="Times New Roman" w:hAnsi="Times New Roman"/>
                <w:sz w:val="18"/>
                <w:szCs w:val="24"/>
              </w:rPr>
              <w:t>In Section 5 “Possible elements and guidelines in BFMs” Table 1. “</w:t>
            </w:r>
            <w:r w:rsidRPr="00632DBC">
              <w:rPr>
                <w:rFonts w:ascii="Times New Roman" w:hAnsi="Times New Roman"/>
                <w:bCs/>
                <w:sz w:val="18"/>
                <w:szCs w:val="24"/>
              </w:rPr>
              <w:t>International legal instruments informing the guidelines” has a section for legally binding and non-binding treaties related to intellectual property and heritage.</w:t>
            </w:r>
          </w:p>
          <w:p w14:paraId="15A8261B" w14:textId="3B4A6D54" w:rsidR="00810C20" w:rsidRPr="00632DBC" w:rsidRDefault="00810C20" w:rsidP="00CF7E8B">
            <w:pPr>
              <w:rPr>
                <w:rFonts w:ascii="Times New Roman" w:hAnsi="Times New Roman"/>
                <w:sz w:val="18"/>
              </w:rPr>
            </w:pPr>
            <w:r w:rsidRPr="00632DBC">
              <w:rPr>
                <w:rFonts w:ascii="Times New Roman" w:hAnsi="Times New Roman"/>
                <w:bCs/>
                <w:sz w:val="18"/>
                <w:szCs w:val="24"/>
              </w:rPr>
              <w:t xml:space="preserve">Examples of ABS safeguards in Peru and Australia have been included in Box </w:t>
            </w:r>
            <w:r w:rsidR="00D64C02" w:rsidRPr="00632DBC">
              <w:rPr>
                <w:rFonts w:ascii="Times New Roman" w:hAnsi="Times New Roman"/>
                <w:bCs/>
                <w:sz w:val="18"/>
                <w:szCs w:val="24"/>
              </w:rPr>
              <w:t>9</w:t>
            </w:r>
            <w:r w:rsidRPr="00632DBC">
              <w:rPr>
                <w:rFonts w:ascii="Times New Roman" w:hAnsi="Times New Roman"/>
                <w:bCs/>
                <w:sz w:val="18"/>
                <w:szCs w:val="24"/>
              </w:rPr>
              <w:t>.</w:t>
            </w:r>
          </w:p>
        </w:tc>
      </w:tr>
      <w:tr w:rsidR="00633A71" w:rsidRPr="00632DBC" w14:paraId="0FC3242E" w14:textId="77777777" w:rsidTr="00CF7E8B">
        <w:trPr>
          <w:trHeight w:val="69"/>
        </w:trPr>
        <w:tc>
          <w:tcPr>
            <w:tcW w:w="3119" w:type="dxa"/>
            <w:vMerge/>
            <w:shd w:val="clear" w:color="auto" w:fill="auto"/>
          </w:tcPr>
          <w:p w14:paraId="6DF3C029" w14:textId="77777777" w:rsidR="00810C20" w:rsidRPr="00632DBC" w:rsidRDefault="00810C20" w:rsidP="00CF7E8B">
            <w:pPr>
              <w:jc w:val="both"/>
              <w:rPr>
                <w:rFonts w:ascii="Times New Roman" w:hAnsi="Times New Roman"/>
                <w:b/>
                <w:sz w:val="18"/>
              </w:rPr>
            </w:pPr>
          </w:p>
        </w:tc>
        <w:tc>
          <w:tcPr>
            <w:tcW w:w="3119" w:type="dxa"/>
            <w:shd w:val="clear" w:color="auto" w:fill="auto"/>
          </w:tcPr>
          <w:p w14:paraId="3B1FD36A"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lack of capabilities of local communities to negotiate and discuss complex questions, in ABS agreements, should be acknowledged.</w:t>
            </w:r>
          </w:p>
        </w:tc>
        <w:tc>
          <w:tcPr>
            <w:tcW w:w="3119" w:type="dxa"/>
            <w:shd w:val="clear" w:color="auto" w:fill="auto"/>
          </w:tcPr>
          <w:p w14:paraId="4EFE6059"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need of capacity building is now mentioned in various sections of the paper; reference is also made to consider Independent Legal Advice for local communities.</w:t>
            </w:r>
          </w:p>
        </w:tc>
      </w:tr>
      <w:tr w:rsidR="00633A71" w:rsidRPr="00632DBC" w14:paraId="0883C5C9" w14:textId="77777777" w:rsidTr="00CF7E8B">
        <w:trPr>
          <w:trHeight w:val="69"/>
        </w:trPr>
        <w:tc>
          <w:tcPr>
            <w:tcW w:w="3119" w:type="dxa"/>
            <w:vMerge/>
            <w:shd w:val="clear" w:color="auto" w:fill="auto"/>
          </w:tcPr>
          <w:p w14:paraId="4C4FB720" w14:textId="77777777" w:rsidR="00810C20" w:rsidRPr="00632DBC" w:rsidRDefault="00810C20" w:rsidP="00CF7E8B">
            <w:pPr>
              <w:jc w:val="both"/>
              <w:rPr>
                <w:rFonts w:ascii="Times New Roman" w:hAnsi="Times New Roman"/>
                <w:b/>
                <w:sz w:val="18"/>
              </w:rPr>
            </w:pPr>
          </w:p>
        </w:tc>
        <w:tc>
          <w:tcPr>
            <w:tcW w:w="3119" w:type="dxa"/>
            <w:shd w:val="clear" w:color="auto" w:fill="auto"/>
          </w:tcPr>
          <w:p w14:paraId="29312C3B" w14:textId="77777777" w:rsidR="00810C20" w:rsidRPr="00632DBC" w:rsidRDefault="00810C20" w:rsidP="00CF7E8B">
            <w:pPr>
              <w:rPr>
                <w:rFonts w:ascii="Times New Roman" w:hAnsi="Times New Roman"/>
                <w:sz w:val="18"/>
              </w:rPr>
            </w:pPr>
            <w:r w:rsidRPr="00632DBC">
              <w:rPr>
                <w:rFonts w:ascii="Times New Roman" w:hAnsi="Times New Roman"/>
                <w:sz w:val="18"/>
                <w:szCs w:val="24"/>
              </w:rPr>
              <w:t>Importance of nationally-driven both substantive and procedural safeguards and that, in case needed, country processes can be complemented with technical assistance.</w:t>
            </w:r>
          </w:p>
        </w:tc>
        <w:tc>
          <w:tcPr>
            <w:tcW w:w="3119" w:type="dxa"/>
            <w:shd w:val="clear" w:color="auto" w:fill="auto"/>
          </w:tcPr>
          <w:p w14:paraId="5E7A9299"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Referred as national-driven, in Section 4 “Safeguards in existing legal and policy instruments and standards”, in the paragraph that explains existing safeguards. </w:t>
            </w:r>
          </w:p>
          <w:p w14:paraId="1F56D625"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Adjustments were made in the section as well. </w:t>
            </w:r>
          </w:p>
          <w:p w14:paraId="616205C2" w14:textId="77777777" w:rsidR="00810C20" w:rsidRPr="00632DBC" w:rsidRDefault="00810C20" w:rsidP="00CF7E8B">
            <w:pPr>
              <w:rPr>
                <w:rFonts w:ascii="Times New Roman" w:hAnsi="Times New Roman"/>
                <w:sz w:val="18"/>
              </w:rPr>
            </w:pPr>
            <w:r w:rsidRPr="00632DBC">
              <w:rPr>
                <w:rFonts w:ascii="Times New Roman" w:hAnsi="Times New Roman"/>
                <w:sz w:val="18"/>
                <w:szCs w:val="24"/>
              </w:rPr>
              <w:t>New paragraph was included to respond to this comment under Section 5.3 “Local and country-driven/specific processes linked to the international level”.</w:t>
            </w:r>
          </w:p>
        </w:tc>
      </w:tr>
      <w:tr w:rsidR="00633A71" w:rsidRPr="00632DBC" w14:paraId="6CAC8585" w14:textId="77777777" w:rsidTr="00CF7E8B">
        <w:trPr>
          <w:trHeight w:val="1184"/>
        </w:trPr>
        <w:tc>
          <w:tcPr>
            <w:tcW w:w="3119" w:type="dxa"/>
            <w:vMerge/>
            <w:shd w:val="clear" w:color="auto" w:fill="auto"/>
          </w:tcPr>
          <w:p w14:paraId="42476F7C" w14:textId="77777777" w:rsidR="00810C20" w:rsidRPr="00632DBC" w:rsidRDefault="00810C20" w:rsidP="00CF7E8B">
            <w:pPr>
              <w:jc w:val="both"/>
              <w:rPr>
                <w:rFonts w:ascii="Times New Roman" w:hAnsi="Times New Roman"/>
                <w:b/>
                <w:sz w:val="18"/>
              </w:rPr>
            </w:pPr>
          </w:p>
        </w:tc>
        <w:tc>
          <w:tcPr>
            <w:tcW w:w="3119" w:type="dxa"/>
            <w:shd w:val="clear" w:color="auto" w:fill="auto"/>
          </w:tcPr>
          <w:p w14:paraId="498CBC1E" w14:textId="77777777" w:rsidR="00810C20" w:rsidRPr="00632DBC" w:rsidRDefault="00810C20" w:rsidP="00CF7E8B">
            <w:pPr>
              <w:rPr>
                <w:rFonts w:ascii="Times New Roman" w:hAnsi="Times New Roman"/>
                <w:sz w:val="18"/>
              </w:rPr>
            </w:pPr>
            <w:r w:rsidRPr="00632DBC">
              <w:rPr>
                <w:rFonts w:ascii="Times New Roman" w:hAnsi="Times New Roman"/>
                <w:sz w:val="18"/>
                <w:szCs w:val="24"/>
              </w:rPr>
              <w:t>Valuation of nature and biodiversity does not need to be market based.</w:t>
            </w:r>
          </w:p>
        </w:tc>
        <w:tc>
          <w:tcPr>
            <w:tcW w:w="3119" w:type="dxa"/>
            <w:shd w:val="clear" w:color="auto" w:fill="auto"/>
          </w:tcPr>
          <w:p w14:paraId="37199D18" w14:textId="31510F5A" w:rsidR="00810C20" w:rsidRPr="00632DBC" w:rsidRDefault="00810C20" w:rsidP="00CF7E8B">
            <w:pPr>
              <w:rPr>
                <w:rFonts w:ascii="Times New Roman" w:hAnsi="Times New Roman"/>
                <w:sz w:val="18"/>
              </w:rPr>
            </w:pPr>
            <w:r w:rsidRPr="00632DBC">
              <w:rPr>
                <w:rFonts w:ascii="Times New Roman" w:hAnsi="Times New Roman"/>
                <w:sz w:val="18"/>
                <w:szCs w:val="24"/>
              </w:rPr>
              <w:t xml:space="preserve">This has been reflected in Section 2 “Valuation of biodiversity” in the Box </w:t>
            </w:r>
            <w:r w:rsidR="00652724" w:rsidRPr="00632DBC">
              <w:rPr>
                <w:rFonts w:ascii="Times New Roman" w:hAnsi="Times New Roman"/>
                <w:sz w:val="18"/>
                <w:szCs w:val="24"/>
              </w:rPr>
              <w:t>4</w:t>
            </w:r>
            <w:r w:rsidRPr="00632DBC">
              <w:rPr>
                <w:rFonts w:ascii="Times New Roman" w:hAnsi="Times New Roman"/>
                <w:sz w:val="18"/>
                <w:szCs w:val="24"/>
              </w:rPr>
              <w:t xml:space="preserve"> “Values and markets”.</w:t>
            </w:r>
          </w:p>
        </w:tc>
      </w:tr>
      <w:tr w:rsidR="00633A71" w:rsidRPr="00632DBC" w14:paraId="40120569" w14:textId="77777777" w:rsidTr="00CF7E8B">
        <w:trPr>
          <w:trHeight w:val="1155"/>
        </w:trPr>
        <w:tc>
          <w:tcPr>
            <w:tcW w:w="3119" w:type="dxa"/>
            <w:vMerge/>
            <w:shd w:val="clear" w:color="auto" w:fill="auto"/>
          </w:tcPr>
          <w:p w14:paraId="318B3D6C" w14:textId="77777777" w:rsidR="00810C20" w:rsidRPr="00632DBC" w:rsidRDefault="00810C20" w:rsidP="00CF7E8B">
            <w:pPr>
              <w:jc w:val="both"/>
              <w:rPr>
                <w:rFonts w:ascii="Times New Roman" w:hAnsi="Times New Roman"/>
                <w:b/>
                <w:sz w:val="18"/>
              </w:rPr>
            </w:pPr>
          </w:p>
        </w:tc>
        <w:tc>
          <w:tcPr>
            <w:tcW w:w="3119" w:type="dxa"/>
            <w:shd w:val="clear" w:color="auto" w:fill="auto"/>
          </w:tcPr>
          <w:p w14:paraId="45C026AF" w14:textId="022E471A" w:rsidR="00810C20" w:rsidRPr="00632DBC" w:rsidRDefault="00810C20" w:rsidP="00CF7E8B">
            <w:pPr>
              <w:rPr>
                <w:rFonts w:ascii="Times New Roman" w:hAnsi="Times New Roman"/>
                <w:sz w:val="18"/>
              </w:rPr>
            </w:pPr>
            <w:r w:rsidRPr="00632DBC">
              <w:rPr>
                <w:rFonts w:ascii="Times New Roman" w:hAnsi="Times New Roman"/>
                <w:sz w:val="18"/>
                <w:szCs w:val="24"/>
              </w:rPr>
              <w:t>Discussion about social safeguards should also include local communities that rely on locally provided ecosystem services and not only indigenous people</w:t>
            </w:r>
            <w:r w:rsidR="00342ECB" w:rsidRPr="00632DBC">
              <w:rPr>
                <w:rFonts w:ascii="Times New Roman" w:hAnsi="Times New Roman"/>
                <w:sz w:val="18"/>
                <w:szCs w:val="24"/>
              </w:rPr>
              <w:t>s</w:t>
            </w:r>
            <w:r w:rsidRPr="00632DBC">
              <w:rPr>
                <w:rFonts w:ascii="Times New Roman" w:hAnsi="Times New Roman"/>
                <w:sz w:val="18"/>
                <w:szCs w:val="24"/>
              </w:rPr>
              <w:t>.</w:t>
            </w:r>
          </w:p>
        </w:tc>
        <w:tc>
          <w:tcPr>
            <w:tcW w:w="3119" w:type="dxa"/>
            <w:shd w:val="clear" w:color="auto" w:fill="auto"/>
          </w:tcPr>
          <w:p w14:paraId="7798E83B" w14:textId="77777777" w:rsidR="00810C20" w:rsidRPr="00632DBC" w:rsidRDefault="00810C20" w:rsidP="00CF7E8B">
            <w:pPr>
              <w:rPr>
                <w:rFonts w:ascii="Times New Roman" w:hAnsi="Times New Roman"/>
                <w:sz w:val="18"/>
              </w:rPr>
            </w:pPr>
            <w:r w:rsidRPr="00632DBC">
              <w:rPr>
                <w:rFonts w:ascii="Times New Roman" w:hAnsi="Times New Roman"/>
                <w:sz w:val="18"/>
                <w:szCs w:val="24"/>
              </w:rPr>
              <w:t>Adjustments to include local communities have been done in the text.</w:t>
            </w:r>
          </w:p>
        </w:tc>
      </w:tr>
      <w:tr w:rsidR="00633A71" w:rsidRPr="00632DBC" w14:paraId="3B2094D4" w14:textId="77777777" w:rsidTr="00CF7E8B">
        <w:trPr>
          <w:trHeight w:val="29"/>
        </w:trPr>
        <w:tc>
          <w:tcPr>
            <w:tcW w:w="3119" w:type="dxa"/>
            <w:vMerge w:val="restart"/>
            <w:shd w:val="clear" w:color="auto" w:fill="auto"/>
          </w:tcPr>
          <w:p w14:paraId="0E666F3B" w14:textId="77777777" w:rsidR="00810C20" w:rsidRPr="00632DBC" w:rsidRDefault="00810C20" w:rsidP="00CF7E8B">
            <w:pPr>
              <w:jc w:val="both"/>
              <w:rPr>
                <w:rFonts w:ascii="Times New Roman" w:hAnsi="Times New Roman"/>
                <w:sz w:val="18"/>
              </w:rPr>
            </w:pPr>
            <w:r w:rsidRPr="00632DBC">
              <w:rPr>
                <w:rFonts w:ascii="Times New Roman" w:hAnsi="Times New Roman"/>
                <w:b/>
                <w:sz w:val="18"/>
                <w:szCs w:val="24"/>
              </w:rPr>
              <w:t>Peru submission</w:t>
            </w:r>
          </w:p>
        </w:tc>
        <w:tc>
          <w:tcPr>
            <w:tcW w:w="3119" w:type="dxa"/>
            <w:shd w:val="clear" w:color="auto" w:fill="auto"/>
          </w:tcPr>
          <w:p w14:paraId="0AC5D4FF" w14:textId="77777777" w:rsidR="00810C20" w:rsidRPr="00632DBC" w:rsidRDefault="00810C20" w:rsidP="00CF7E8B">
            <w:pPr>
              <w:rPr>
                <w:rFonts w:ascii="Times New Roman" w:hAnsi="Times New Roman"/>
                <w:sz w:val="18"/>
              </w:rPr>
            </w:pPr>
            <w:r w:rsidRPr="00632DBC">
              <w:rPr>
                <w:rFonts w:ascii="Times New Roman" w:hAnsi="Times New Roman"/>
                <w:sz w:val="18"/>
                <w:szCs w:val="24"/>
              </w:rPr>
              <w:t>Specify the need of coherency between the plans and programs in place to achieve the Millennium Development Goals and BFMs.</w:t>
            </w:r>
          </w:p>
        </w:tc>
        <w:tc>
          <w:tcPr>
            <w:tcW w:w="3119" w:type="dxa"/>
            <w:shd w:val="clear" w:color="auto" w:fill="auto"/>
          </w:tcPr>
          <w:p w14:paraId="6288F4B4" w14:textId="59E5840C" w:rsidR="00810C20" w:rsidRPr="00632DBC" w:rsidRDefault="00810C20" w:rsidP="00CF7E8B">
            <w:pPr>
              <w:rPr>
                <w:rFonts w:ascii="Times New Roman" w:hAnsi="Times New Roman"/>
                <w:sz w:val="18"/>
              </w:rPr>
            </w:pPr>
            <w:r w:rsidRPr="00632DBC">
              <w:rPr>
                <w:rFonts w:ascii="Times New Roman" w:hAnsi="Times New Roman"/>
                <w:sz w:val="18"/>
                <w:szCs w:val="24"/>
              </w:rPr>
              <w:t xml:space="preserve">As part of the </w:t>
            </w:r>
            <w:r w:rsidR="003A65CE" w:rsidRPr="00632DBC">
              <w:rPr>
                <w:rFonts w:ascii="Times New Roman" w:hAnsi="Times New Roman"/>
                <w:sz w:val="18"/>
                <w:szCs w:val="24"/>
              </w:rPr>
              <w:t>adopted</w:t>
            </w:r>
            <w:r w:rsidRPr="00632DBC">
              <w:rPr>
                <w:rFonts w:ascii="Times New Roman" w:hAnsi="Times New Roman"/>
                <w:sz w:val="18"/>
                <w:szCs w:val="24"/>
              </w:rPr>
              <w:t xml:space="preserve"> roadmap to operationalize the guidelines, the paper suggests the SCBD to engage in dialogue with the organizations in the Millennium Development Goals and post-2015 development agenda.</w:t>
            </w:r>
          </w:p>
        </w:tc>
      </w:tr>
      <w:tr w:rsidR="00633A71" w:rsidRPr="00632DBC" w14:paraId="3CDAB1B2" w14:textId="77777777" w:rsidTr="00CF7E8B">
        <w:trPr>
          <w:trHeight w:val="26"/>
        </w:trPr>
        <w:tc>
          <w:tcPr>
            <w:tcW w:w="3119" w:type="dxa"/>
            <w:vMerge/>
            <w:shd w:val="clear" w:color="auto" w:fill="auto"/>
          </w:tcPr>
          <w:p w14:paraId="6BFA5105" w14:textId="77777777" w:rsidR="00810C20" w:rsidRPr="00632DBC" w:rsidRDefault="00810C20" w:rsidP="00CF7E8B">
            <w:pPr>
              <w:jc w:val="both"/>
              <w:rPr>
                <w:rFonts w:ascii="Times New Roman" w:hAnsi="Times New Roman"/>
                <w:b/>
                <w:sz w:val="18"/>
              </w:rPr>
            </w:pPr>
          </w:p>
        </w:tc>
        <w:tc>
          <w:tcPr>
            <w:tcW w:w="3119" w:type="dxa"/>
            <w:shd w:val="clear" w:color="auto" w:fill="auto"/>
          </w:tcPr>
          <w:p w14:paraId="7D031C02"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Principles should recognize biodiversity social value too, beyond its economics </w:t>
            </w:r>
            <w:r w:rsidRPr="00632DBC">
              <w:rPr>
                <w:rFonts w:ascii="Times New Roman" w:hAnsi="Times New Roman"/>
                <w:sz w:val="18"/>
                <w:szCs w:val="24"/>
              </w:rPr>
              <w:lastRenderedPageBreak/>
              <w:t>inputs and help to solve property rights and natural resources access conflicts.</w:t>
            </w:r>
          </w:p>
        </w:tc>
        <w:tc>
          <w:tcPr>
            <w:tcW w:w="3119" w:type="dxa"/>
            <w:shd w:val="clear" w:color="auto" w:fill="auto"/>
          </w:tcPr>
          <w:p w14:paraId="7B5667D8" w14:textId="34F9C075" w:rsidR="00810C20" w:rsidRPr="00632DBC" w:rsidRDefault="00810C20" w:rsidP="00CF7E8B">
            <w:pPr>
              <w:rPr>
                <w:rFonts w:ascii="Times New Roman" w:hAnsi="Times New Roman"/>
                <w:sz w:val="18"/>
              </w:rPr>
            </w:pPr>
            <w:r w:rsidRPr="00632DBC">
              <w:rPr>
                <w:rFonts w:ascii="Times New Roman" w:hAnsi="Times New Roman"/>
                <w:sz w:val="18"/>
                <w:szCs w:val="24"/>
              </w:rPr>
              <w:lastRenderedPageBreak/>
              <w:t>Guideline 1 “</w:t>
            </w:r>
            <w:r w:rsidRPr="00632DBC">
              <w:rPr>
                <w:rFonts w:ascii="Times New Roman" w:hAnsi="Times New Roman"/>
                <w:bCs/>
                <w:iCs/>
                <w:sz w:val="18"/>
                <w:szCs w:val="24"/>
              </w:rPr>
              <w:t>Biodiversity Underpins Local Livelihoods and Resilience</w:t>
            </w:r>
            <w:r w:rsidRPr="00632DBC">
              <w:rPr>
                <w:rFonts w:ascii="Times New Roman" w:hAnsi="Times New Roman"/>
                <w:sz w:val="18"/>
                <w:szCs w:val="24"/>
              </w:rPr>
              <w:t>” and Guideline 2 “</w:t>
            </w:r>
            <w:r w:rsidRPr="00632DBC">
              <w:rPr>
                <w:rFonts w:ascii="Times New Roman" w:hAnsi="Times New Roman"/>
                <w:bCs/>
                <w:iCs/>
                <w:sz w:val="18"/>
                <w:szCs w:val="24"/>
              </w:rPr>
              <w:t xml:space="preserve">People’s Rights, </w:t>
            </w:r>
            <w:r w:rsidR="003F6434" w:rsidRPr="00632DBC">
              <w:rPr>
                <w:rFonts w:ascii="Times New Roman" w:hAnsi="Times New Roman"/>
                <w:bCs/>
                <w:iCs/>
                <w:sz w:val="18"/>
                <w:szCs w:val="24"/>
              </w:rPr>
              <w:lastRenderedPageBreak/>
              <w:t>Responsibilities and Effective Participation</w:t>
            </w:r>
            <w:r w:rsidRPr="00632DBC">
              <w:rPr>
                <w:rFonts w:ascii="Times New Roman" w:hAnsi="Times New Roman"/>
                <w:bCs/>
                <w:iCs/>
                <w:sz w:val="18"/>
                <w:szCs w:val="24"/>
              </w:rPr>
              <w:t>”</w:t>
            </w:r>
            <w:r w:rsidRPr="00632DBC">
              <w:rPr>
                <w:rFonts w:ascii="Times New Roman" w:hAnsi="Times New Roman"/>
                <w:sz w:val="18"/>
                <w:szCs w:val="24"/>
              </w:rPr>
              <w:t xml:space="preserve"> now have been further developed </w:t>
            </w:r>
            <w:proofErr w:type="gramStart"/>
            <w:r w:rsidRPr="00632DBC">
              <w:rPr>
                <w:rFonts w:ascii="Times New Roman" w:hAnsi="Times New Roman"/>
                <w:sz w:val="18"/>
                <w:szCs w:val="24"/>
              </w:rPr>
              <w:t>in order to</w:t>
            </w:r>
            <w:proofErr w:type="gramEnd"/>
            <w:r w:rsidRPr="00632DBC">
              <w:rPr>
                <w:rFonts w:ascii="Times New Roman" w:hAnsi="Times New Roman"/>
                <w:sz w:val="18"/>
                <w:szCs w:val="24"/>
              </w:rPr>
              <w:t xml:space="preserve"> respond to this comment.</w:t>
            </w:r>
          </w:p>
        </w:tc>
      </w:tr>
      <w:tr w:rsidR="00633A71" w:rsidRPr="00632DBC" w14:paraId="25B82E8D" w14:textId="77777777" w:rsidTr="00CF7E8B">
        <w:trPr>
          <w:trHeight w:val="26"/>
        </w:trPr>
        <w:tc>
          <w:tcPr>
            <w:tcW w:w="3119" w:type="dxa"/>
            <w:vMerge/>
            <w:shd w:val="clear" w:color="auto" w:fill="auto"/>
          </w:tcPr>
          <w:p w14:paraId="2CDFC69E" w14:textId="77777777" w:rsidR="00810C20" w:rsidRPr="00632DBC" w:rsidRDefault="00810C20" w:rsidP="00CF7E8B">
            <w:pPr>
              <w:jc w:val="both"/>
              <w:rPr>
                <w:rFonts w:ascii="Times New Roman" w:hAnsi="Times New Roman"/>
                <w:b/>
                <w:sz w:val="18"/>
              </w:rPr>
            </w:pPr>
          </w:p>
        </w:tc>
        <w:tc>
          <w:tcPr>
            <w:tcW w:w="3119" w:type="dxa"/>
            <w:shd w:val="clear" w:color="auto" w:fill="auto"/>
          </w:tcPr>
          <w:p w14:paraId="1FD363C8"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paper should remind the need for BFM to be grounded in the country.</w:t>
            </w:r>
          </w:p>
        </w:tc>
        <w:tc>
          <w:tcPr>
            <w:tcW w:w="3119" w:type="dxa"/>
            <w:shd w:val="clear" w:color="auto" w:fill="auto"/>
          </w:tcPr>
          <w:p w14:paraId="0BA7B4F8"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This point came back in many discussions (SRC dialogue with Jonas </w:t>
            </w:r>
            <w:proofErr w:type="spellStart"/>
            <w:r w:rsidRPr="00632DBC">
              <w:rPr>
                <w:rFonts w:ascii="Times New Roman" w:hAnsi="Times New Roman"/>
                <w:sz w:val="18"/>
                <w:szCs w:val="24"/>
              </w:rPr>
              <w:t>Ebbesson</w:t>
            </w:r>
            <w:proofErr w:type="spellEnd"/>
            <w:r w:rsidRPr="00632DBC">
              <w:rPr>
                <w:rFonts w:ascii="Times New Roman" w:hAnsi="Times New Roman"/>
                <w:sz w:val="18"/>
                <w:szCs w:val="24"/>
              </w:rPr>
              <w:t xml:space="preserve">) and reports (Policy Brief on “Best Practices in Governance and Biodiversity Safeguards for REDD-Plus”, Swiss-Philippine Initiative, 2012) and we have now </w:t>
            </w:r>
            <w:proofErr w:type="gramStart"/>
            <w:r w:rsidRPr="00632DBC">
              <w:rPr>
                <w:rFonts w:ascii="Times New Roman" w:hAnsi="Times New Roman"/>
                <w:sz w:val="18"/>
                <w:szCs w:val="24"/>
              </w:rPr>
              <w:t>develop</w:t>
            </w:r>
            <w:proofErr w:type="gramEnd"/>
            <w:r w:rsidRPr="00632DBC">
              <w:rPr>
                <w:rFonts w:ascii="Times New Roman" w:hAnsi="Times New Roman"/>
                <w:sz w:val="18"/>
                <w:szCs w:val="24"/>
              </w:rPr>
              <w:t xml:space="preserve"> this point more comprehensibly in the paper e.g. in Guideline 3 “</w:t>
            </w:r>
            <w:r w:rsidRPr="00632DBC">
              <w:rPr>
                <w:rFonts w:ascii="Times New Roman" w:hAnsi="Times New Roman"/>
                <w:bCs/>
                <w:iCs/>
                <w:sz w:val="18"/>
                <w:szCs w:val="24"/>
              </w:rPr>
              <w:t xml:space="preserve">Local and country-driven/specific processes linked to the international level”. </w:t>
            </w:r>
          </w:p>
          <w:p w14:paraId="3BD6423F" w14:textId="77777777" w:rsidR="00810C20" w:rsidRPr="00632DBC" w:rsidRDefault="00810C20" w:rsidP="00CF7E8B">
            <w:pPr>
              <w:rPr>
                <w:rFonts w:ascii="Times New Roman" w:hAnsi="Times New Roman"/>
                <w:sz w:val="18"/>
              </w:rPr>
            </w:pPr>
          </w:p>
        </w:tc>
      </w:tr>
      <w:tr w:rsidR="00633A71" w:rsidRPr="00632DBC" w14:paraId="49B23B54" w14:textId="77777777" w:rsidTr="00CF7E8B">
        <w:trPr>
          <w:trHeight w:val="26"/>
        </w:trPr>
        <w:tc>
          <w:tcPr>
            <w:tcW w:w="3119" w:type="dxa"/>
            <w:vMerge/>
            <w:shd w:val="clear" w:color="auto" w:fill="auto"/>
          </w:tcPr>
          <w:p w14:paraId="25DE8B86" w14:textId="77777777" w:rsidR="00810C20" w:rsidRPr="00632DBC" w:rsidRDefault="00810C20" w:rsidP="00CF7E8B">
            <w:pPr>
              <w:jc w:val="both"/>
              <w:rPr>
                <w:rFonts w:ascii="Times New Roman" w:hAnsi="Times New Roman"/>
                <w:b/>
                <w:sz w:val="18"/>
              </w:rPr>
            </w:pPr>
          </w:p>
        </w:tc>
        <w:tc>
          <w:tcPr>
            <w:tcW w:w="3119" w:type="dxa"/>
            <w:shd w:val="clear" w:color="auto" w:fill="auto"/>
          </w:tcPr>
          <w:p w14:paraId="659B6546" w14:textId="77777777" w:rsidR="00810C20" w:rsidRPr="00632DBC" w:rsidRDefault="00810C20" w:rsidP="00CF7E8B">
            <w:pPr>
              <w:rPr>
                <w:rFonts w:ascii="Times New Roman" w:hAnsi="Times New Roman"/>
                <w:sz w:val="18"/>
              </w:rPr>
            </w:pPr>
            <w:r w:rsidRPr="00632DBC">
              <w:rPr>
                <w:rFonts w:ascii="Times New Roman" w:hAnsi="Times New Roman"/>
                <w:sz w:val="18"/>
                <w:szCs w:val="24"/>
              </w:rPr>
              <w:t>BFM should be aligned with an institutional framework but also remain flexible.</w:t>
            </w:r>
          </w:p>
        </w:tc>
        <w:tc>
          <w:tcPr>
            <w:tcW w:w="3119" w:type="dxa"/>
            <w:shd w:val="clear" w:color="auto" w:fill="auto"/>
            <w:vAlign w:val="center"/>
          </w:tcPr>
          <w:p w14:paraId="15892738" w14:textId="0DC6AF63" w:rsidR="00810C20" w:rsidRPr="00632DBC" w:rsidRDefault="00810C20" w:rsidP="00E8580E">
            <w:pPr>
              <w:rPr>
                <w:rFonts w:ascii="Times New Roman" w:hAnsi="Times New Roman"/>
                <w:sz w:val="18"/>
              </w:rPr>
            </w:pPr>
            <w:r w:rsidRPr="00632DBC">
              <w:rPr>
                <w:rFonts w:ascii="Times New Roman" w:hAnsi="Times New Roman"/>
                <w:sz w:val="18"/>
                <w:szCs w:val="24"/>
              </w:rPr>
              <w:t xml:space="preserve">The paper refers to resilience and flexibility in relation to institutions. UNFFCCC-COP decisions referring to safeguards, states that they need to be flexible. </w:t>
            </w:r>
          </w:p>
        </w:tc>
      </w:tr>
      <w:tr w:rsidR="00633A71" w:rsidRPr="00632DBC" w14:paraId="602B393E" w14:textId="77777777" w:rsidTr="00CF7E8B">
        <w:trPr>
          <w:trHeight w:val="26"/>
        </w:trPr>
        <w:tc>
          <w:tcPr>
            <w:tcW w:w="3119" w:type="dxa"/>
            <w:vMerge/>
            <w:shd w:val="clear" w:color="auto" w:fill="auto"/>
          </w:tcPr>
          <w:p w14:paraId="559AD0E4" w14:textId="77777777" w:rsidR="00810C20" w:rsidRPr="00632DBC" w:rsidRDefault="00810C20" w:rsidP="00CF7E8B">
            <w:pPr>
              <w:jc w:val="both"/>
              <w:rPr>
                <w:rFonts w:ascii="Times New Roman" w:hAnsi="Times New Roman"/>
                <w:b/>
                <w:sz w:val="18"/>
              </w:rPr>
            </w:pPr>
          </w:p>
        </w:tc>
        <w:tc>
          <w:tcPr>
            <w:tcW w:w="3119" w:type="dxa"/>
            <w:shd w:val="clear" w:color="auto" w:fill="auto"/>
          </w:tcPr>
          <w:p w14:paraId="2F4CB0B1" w14:textId="77777777" w:rsidR="00810C20" w:rsidRPr="00632DBC" w:rsidRDefault="00810C20" w:rsidP="00CF7E8B">
            <w:pPr>
              <w:rPr>
                <w:rFonts w:ascii="Times New Roman" w:hAnsi="Times New Roman"/>
                <w:sz w:val="18"/>
              </w:rPr>
            </w:pPr>
            <w:r w:rsidRPr="00632DBC">
              <w:rPr>
                <w:rFonts w:ascii="Times New Roman" w:hAnsi="Times New Roman"/>
                <w:sz w:val="18"/>
                <w:szCs w:val="24"/>
              </w:rPr>
              <w:t>Peru recognizes the importance of Indigenous and local community rights and their reliance on locally provided ecosystem services.</w:t>
            </w:r>
          </w:p>
        </w:tc>
        <w:tc>
          <w:tcPr>
            <w:tcW w:w="3119" w:type="dxa"/>
            <w:shd w:val="clear" w:color="auto" w:fill="auto"/>
          </w:tcPr>
          <w:p w14:paraId="2C23456D" w14:textId="77777777" w:rsidR="00810C20" w:rsidRPr="00632DBC" w:rsidRDefault="00810C20" w:rsidP="00CF7E8B">
            <w:pPr>
              <w:rPr>
                <w:rFonts w:ascii="Times New Roman" w:hAnsi="Times New Roman"/>
                <w:sz w:val="18"/>
              </w:rPr>
            </w:pPr>
            <w:r w:rsidRPr="00632DBC">
              <w:rPr>
                <w:rFonts w:ascii="Times New Roman" w:hAnsi="Times New Roman"/>
                <w:sz w:val="18"/>
                <w:szCs w:val="24"/>
              </w:rPr>
              <w:t>Section 5.3 “Local and country-driven/specific processes linked to the international level” Paragraph 3 was added responding to Peru’s comment on local communities and ecosystem services.</w:t>
            </w:r>
          </w:p>
        </w:tc>
      </w:tr>
      <w:tr w:rsidR="00633A71" w:rsidRPr="00632DBC" w14:paraId="4A1B948F" w14:textId="77777777" w:rsidTr="00CF7E8B">
        <w:trPr>
          <w:trHeight w:val="56"/>
        </w:trPr>
        <w:tc>
          <w:tcPr>
            <w:tcW w:w="3119" w:type="dxa"/>
            <w:vMerge w:val="restart"/>
            <w:shd w:val="clear" w:color="auto" w:fill="auto"/>
          </w:tcPr>
          <w:p w14:paraId="753FE6C6" w14:textId="77777777" w:rsidR="00810C20" w:rsidRPr="00632DBC" w:rsidRDefault="00810C20" w:rsidP="00CF7E8B">
            <w:pPr>
              <w:jc w:val="both"/>
              <w:rPr>
                <w:rFonts w:ascii="Times New Roman" w:hAnsi="Times New Roman"/>
                <w:sz w:val="18"/>
              </w:rPr>
            </w:pPr>
            <w:r w:rsidRPr="00632DBC">
              <w:rPr>
                <w:rFonts w:ascii="Times New Roman" w:hAnsi="Times New Roman"/>
                <w:b/>
                <w:sz w:val="18"/>
                <w:szCs w:val="24"/>
              </w:rPr>
              <w:t>Switzerland Submission</w:t>
            </w:r>
          </w:p>
          <w:p w14:paraId="2F851F4F" w14:textId="77777777" w:rsidR="00810C20" w:rsidRPr="00632DBC" w:rsidRDefault="00810C20" w:rsidP="00CF7E8B">
            <w:pPr>
              <w:jc w:val="both"/>
              <w:rPr>
                <w:rFonts w:ascii="Times New Roman" w:hAnsi="Times New Roman"/>
                <w:sz w:val="18"/>
              </w:rPr>
            </w:pPr>
          </w:p>
        </w:tc>
        <w:tc>
          <w:tcPr>
            <w:tcW w:w="3119" w:type="dxa"/>
            <w:shd w:val="clear" w:color="auto" w:fill="auto"/>
          </w:tcPr>
          <w:p w14:paraId="210EEA66" w14:textId="77777777" w:rsidR="00810C20" w:rsidRPr="00632DBC" w:rsidRDefault="00810C20" w:rsidP="00CF7E8B">
            <w:pPr>
              <w:rPr>
                <w:rFonts w:ascii="Times New Roman" w:hAnsi="Times New Roman"/>
                <w:sz w:val="18"/>
              </w:rPr>
            </w:pPr>
            <w:r w:rsidRPr="00632DBC">
              <w:rPr>
                <w:rFonts w:ascii="Times New Roman" w:hAnsi="Times New Roman"/>
                <w:sz w:val="18"/>
                <w:szCs w:val="24"/>
              </w:rPr>
              <w:t>Add a more comprehensive definition of “proper institutional framework” including transparency, conditionality of payments on performance and sanctions.</w:t>
            </w:r>
          </w:p>
        </w:tc>
        <w:tc>
          <w:tcPr>
            <w:tcW w:w="3119" w:type="dxa"/>
            <w:shd w:val="clear" w:color="auto" w:fill="auto"/>
          </w:tcPr>
          <w:p w14:paraId="54431695" w14:textId="37339651" w:rsidR="00810C20" w:rsidRPr="00632DBC" w:rsidRDefault="00810C20" w:rsidP="00CF7E8B">
            <w:pPr>
              <w:rPr>
                <w:rFonts w:ascii="Times New Roman" w:hAnsi="Times New Roman"/>
                <w:sz w:val="18"/>
              </w:rPr>
            </w:pPr>
            <w:r w:rsidRPr="00632DBC">
              <w:rPr>
                <w:rFonts w:ascii="Times New Roman" w:hAnsi="Times New Roman"/>
                <w:sz w:val="18"/>
                <w:szCs w:val="24"/>
              </w:rPr>
              <w:t>Section 5.4 “</w:t>
            </w:r>
            <w:r w:rsidR="003F6434" w:rsidRPr="00632DBC">
              <w:rPr>
                <w:rFonts w:ascii="Times New Roman" w:hAnsi="Times New Roman"/>
                <w:sz w:val="18"/>
                <w:szCs w:val="24"/>
              </w:rPr>
              <w:t>Governance, institutional frameworks, transparency, accountability and compliance</w:t>
            </w:r>
            <w:r w:rsidRPr="00632DBC">
              <w:rPr>
                <w:rFonts w:ascii="Times New Roman" w:hAnsi="Times New Roman"/>
                <w:sz w:val="18"/>
                <w:szCs w:val="24"/>
              </w:rPr>
              <w:t>”, Guideline 4 “Appropriate institutional frameworks, transparency, accountability, and compliance mechanisms with enforceable rights and responsibilities, constitute prerequisites for safeguards in financing biodiversity to function properly</w:t>
            </w:r>
            <w:r w:rsidRPr="00632DBC">
              <w:rPr>
                <w:rFonts w:ascii="Times New Roman" w:hAnsi="Times New Roman"/>
                <w:i/>
                <w:iCs/>
                <w:sz w:val="18"/>
                <w:szCs w:val="24"/>
              </w:rPr>
              <w:t xml:space="preserve">” </w:t>
            </w:r>
            <w:r w:rsidRPr="00632DBC">
              <w:rPr>
                <w:rFonts w:ascii="Times New Roman" w:hAnsi="Times New Roman"/>
                <w:sz w:val="18"/>
                <w:szCs w:val="24"/>
              </w:rPr>
              <w:t xml:space="preserve">now includes transparency and compliance mechanisms with enforceable rights and responsibilities (which includes sanctions and conditionality of payments) as prerequisites for effective safeguarding. </w:t>
            </w:r>
          </w:p>
          <w:p w14:paraId="2CC62F91" w14:textId="77777777" w:rsidR="00810C20" w:rsidRPr="00632DBC" w:rsidRDefault="00810C20" w:rsidP="00CF7E8B">
            <w:pPr>
              <w:rPr>
                <w:rFonts w:ascii="Times New Roman" w:hAnsi="Times New Roman"/>
                <w:sz w:val="18"/>
              </w:rPr>
            </w:pPr>
            <w:r w:rsidRPr="00632DBC">
              <w:rPr>
                <w:rFonts w:ascii="Times New Roman" w:hAnsi="Times New Roman"/>
                <w:sz w:val="18"/>
                <w:szCs w:val="24"/>
              </w:rPr>
              <w:t>Conditionality of payments on performance and sanctions have been also addressed in Section 6.1</w:t>
            </w:r>
            <w:r w:rsidRPr="00632DBC">
              <w:rPr>
                <w:rFonts w:ascii="Times New Roman" w:hAnsi="Times New Roman"/>
                <w:sz w:val="18"/>
              </w:rPr>
              <w:t xml:space="preserve"> “Payments for Ecosystem Services”</w:t>
            </w:r>
            <w:r w:rsidRPr="00632DBC">
              <w:rPr>
                <w:rFonts w:ascii="Times New Roman" w:hAnsi="Times New Roman"/>
                <w:sz w:val="18"/>
                <w:szCs w:val="24"/>
              </w:rPr>
              <w:t xml:space="preserve"> Paragraph 1 when discussing payments for ecosystem services.</w:t>
            </w:r>
          </w:p>
        </w:tc>
      </w:tr>
      <w:tr w:rsidR="00633A71" w:rsidRPr="00632DBC" w14:paraId="1AA2DAE1" w14:textId="77777777" w:rsidTr="00CF7E8B">
        <w:trPr>
          <w:trHeight w:val="56"/>
        </w:trPr>
        <w:tc>
          <w:tcPr>
            <w:tcW w:w="3119" w:type="dxa"/>
            <w:vMerge/>
            <w:shd w:val="clear" w:color="auto" w:fill="auto"/>
          </w:tcPr>
          <w:p w14:paraId="1F1F0559" w14:textId="77777777" w:rsidR="00810C20" w:rsidRPr="00632DBC" w:rsidRDefault="00810C20" w:rsidP="00CF7E8B">
            <w:pPr>
              <w:jc w:val="both"/>
              <w:rPr>
                <w:rFonts w:ascii="Times New Roman" w:hAnsi="Times New Roman"/>
                <w:b/>
                <w:sz w:val="18"/>
              </w:rPr>
            </w:pPr>
          </w:p>
        </w:tc>
        <w:tc>
          <w:tcPr>
            <w:tcW w:w="3119" w:type="dxa"/>
            <w:shd w:val="clear" w:color="auto" w:fill="auto"/>
          </w:tcPr>
          <w:p w14:paraId="041CE12E" w14:textId="77777777" w:rsidR="00810C20" w:rsidRPr="00632DBC" w:rsidRDefault="00810C20" w:rsidP="00CF7E8B">
            <w:pPr>
              <w:rPr>
                <w:rFonts w:ascii="Times New Roman" w:hAnsi="Times New Roman"/>
                <w:sz w:val="18"/>
              </w:rPr>
            </w:pPr>
            <w:r w:rsidRPr="00632DBC">
              <w:rPr>
                <w:rFonts w:ascii="Times New Roman" w:hAnsi="Times New Roman"/>
                <w:sz w:val="18"/>
                <w:szCs w:val="24"/>
              </w:rPr>
              <w:t>Include participation as part of Guideline 2.</w:t>
            </w:r>
          </w:p>
        </w:tc>
        <w:tc>
          <w:tcPr>
            <w:tcW w:w="3119" w:type="dxa"/>
            <w:shd w:val="clear" w:color="auto" w:fill="auto"/>
          </w:tcPr>
          <w:p w14:paraId="62F75DE0" w14:textId="2FD57AAE" w:rsidR="00810C20" w:rsidRPr="00632DBC" w:rsidRDefault="00810C20" w:rsidP="00CF7E8B">
            <w:pPr>
              <w:rPr>
                <w:rFonts w:ascii="Times New Roman" w:hAnsi="Times New Roman"/>
                <w:sz w:val="18"/>
              </w:rPr>
            </w:pPr>
            <w:r w:rsidRPr="00632DBC">
              <w:rPr>
                <w:rFonts w:ascii="Times New Roman" w:hAnsi="Times New Roman"/>
                <w:sz w:val="18"/>
                <w:szCs w:val="24"/>
              </w:rPr>
              <w:t>Guideline 2 explicitly refers to participation “</w:t>
            </w:r>
            <w:r w:rsidRPr="00632DBC">
              <w:rPr>
                <w:rFonts w:ascii="Times New Roman" w:hAnsi="Times New Roman"/>
                <w:bCs/>
                <w:iCs/>
                <w:sz w:val="18"/>
                <w:szCs w:val="24"/>
              </w:rPr>
              <w:t xml:space="preserve">People’s Rights, </w:t>
            </w:r>
            <w:r w:rsidR="003F6434" w:rsidRPr="00632DBC">
              <w:rPr>
                <w:rFonts w:ascii="Times New Roman" w:hAnsi="Times New Roman"/>
                <w:bCs/>
                <w:iCs/>
                <w:sz w:val="18"/>
                <w:szCs w:val="24"/>
              </w:rPr>
              <w:t>Responsibilities and Effective Participation</w:t>
            </w:r>
            <w:r w:rsidRPr="00632DBC">
              <w:rPr>
                <w:rFonts w:ascii="Times New Roman" w:hAnsi="Times New Roman"/>
                <w:bCs/>
                <w:iCs/>
                <w:sz w:val="18"/>
                <w:szCs w:val="24"/>
              </w:rPr>
              <w:t>”</w:t>
            </w:r>
          </w:p>
          <w:p w14:paraId="46D9551C" w14:textId="5981F931" w:rsidR="00810C20" w:rsidRPr="00632DBC" w:rsidRDefault="00810C20" w:rsidP="00CF7E8B">
            <w:pPr>
              <w:rPr>
                <w:rFonts w:ascii="Times New Roman" w:hAnsi="Times New Roman"/>
                <w:sz w:val="18"/>
              </w:rPr>
            </w:pPr>
            <w:r w:rsidRPr="00632DBC">
              <w:rPr>
                <w:rFonts w:ascii="Times New Roman" w:hAnsi="Times New Roman"/>
                <w:sz w:val="18"/>
                <w:szCs w:val="24"/>
              </w:rPr>
              <w:t xml:space="preserve"> In section </w:t>
            </w:r>
            <w:proofErr w:type="gramStart"/>
            <w:r w:rsidRPr="00632DBC">
              <w:rPr>
                <w:rFonts w:ascii="Times New Roman" w:hAnsi="Times New Roman"/>
                <w:sz w:val="18"/>
                <w:szCs w:val="24"/>
              </w:rPr>
              <w:t>5.2 ”People’s</w:t>
            </w:r>
            <w:proofErr w:type="gramEnd"/>
            <w:r w:rsidRPr="00632DBC">
              <w:rPr>
                <w:rFonts w:ascii="Times New Roman" w:hAnsi="Times New Roman"/>
                <w:sz w:val="18"/>
                <w:szCs w:val="24"/>
              </w:rPr>
              <w:t xml:space="preserve"> Rights, </w:t>
            </w:r>
            <w:r w:rsidR="003F6434" w:rsidRPr="00632DBC">
              <w:rPr>
                <w:rFonts w:ascii="Times New Roman" w:hAnsi="Times New Roman"/>
                <w:sz w:val="18"/>
                <w:szCs w:val="24"/>
              </w:rPr>
              <w:t>Responsibilities and Effective Participation</w:t>
            </w:r>
            <w:r w:rsidRPr="00632DBC">
              <w:rPr>
                <w:rFonts w:ascii="Times New Roman" w:hAnsi="Times New Roman"/>
                <w:sz w:val="18"/>
                <w:szCs w:val="24"/>
              </w:rPr>
              <w:t xml:space="preserve">” paragraph 5 also makes reference to participation.  </w:t>
            </w:r>
          </w:p>
        </w:tc>
      </w:tr>
      <w:tr w:rsidR="00633A71" w:rsidRPr="00632DBC" w14:paraId="04E4BF51" w14:textId="77777777" w:rsidTr="00CF7E8B">
        <w:trPr>
          <w:trHeight w:val="56"/>
        </w:trPr>
        <w:tc>
          <w:tcPr>
            <w:tcW w:w="3119" w:type="dxa"/>
            <w:vMerge/>
            <w:shd w:val="clear" w:color="auto" w:fill="auto"/>
          </w:tcPr>
          <w:p w14:paraId="74B3BD0E" w14:textId="77777777" w:rsidR="00810C20" w:rsidRPr="00632DBC" w:rsidRDefault="00810C20" w:rsidP="00CF7E8B">
            <w:pPr>
              <w:jc w:val="both"/>
              <w:rPr>
                <w:rFonts w:ascii="Times New Roman" w:hAnsi="Times New Roman"/>
                <w:b/>
                <w:sz w:val="18"/>
              </w:rPr>
            </w:pPr>
          </w:p>
        </w:tc>
        <w:tc>
          <w:tcPr>
            <w:tcW w:w="3119" w:type="dxa"/>
            <w:shd w:val="clear" w:color="auto" w:fill="auto"/>
          </w:tcPr>
          <w:p w14:paraId="2E68C1B1" w14:textId="77777777" w:rsidR="00810C20" w:rsidRPr="00632DBC" w:rsidRDefault="00810C20" w:rsidP="00CF7E8B">
            <w:pPr>
              <w:rPr>
                <w:rFonts w:ascii="Times New Roman" w:hAnsi="Times New Roman"/>
                <w:sz w:val="18"/>
              </w:rPr>
            </w:pPr>
            <w:r w:rsidRPr="00632DBC">
              <w:rPr>
                <w:rFonts w:ascii="Times New Roman" w:hAnsi="Times New Roman"/>
                <w:sz w:val="18"/>
                <w:szCs w:val="24"/>
              </w:rPr>
              <w:t>Include lessons learned from REDD+ safeguards.</w:t>
            </w:r>
          </w:p>
        </w:tc>
        <w:tc>
          <w:tcPr>
            <w:tcW w:w="3119" w:type="dxa"/>
            <w:shd w:val="clear" w:color="auto" w:fill="auto"/>
          </w:tcPr>
          <w:p w14:paraId="03DB63AB"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A new Section 6.6 on climate financing with a focus on REDD+ was included. </w:t>
            </w:r>
          </w:p>
          <w:p w14:paraId="128B4BB9" w14:textId="550798EC" w:rsidR="00810C20" w:rsidRPr="00632DBC" w:rsidRDefault="00810C20" w:rsidP="00CF7E8B">
            <w:pPr>
              <w:rPr>
                <w:rFonts w:ascii="Times New Roman" w:hAnsi="Times New Roman"/>
                <w:sz w:val="18"/>
              </w:rPr>
            </w:pPr>
            <w:r w:rsidRPr="00632DBC">
              <w:rPr>
                <w:rFonts w:ascii="Times New Roman" w:hAnsi="Times New Roman"/>
                <w:sz w:val="18"/>
                <w:szCs w:val="24"/>
              </w:rPr>
              <w:t xml:space="preserve">As part of the </w:t>
            </w:r>
            <w:r w:rsidR="003A65CE" w:rsidRPr="00632DBC">
              <w:rPr>
                <w:rFonts w:ascii="Times New Roman" w:hAnsi="Times New Roman"/>
                <w:sz w:val="18"/>
                <w:szCs w:val="24"/>
              </w:rPr>
              <w:t>adopted</w:t>
            </w:r>
            <w:r w:rsidRPr="00632DBC">
              <w:rPr>
                <w:rFonts w:ascii="Times New Roman" w:hAnsi="Times New Roman"/>
                <w:sz w:val="18"/>
                <w:szCs w:val="24"/>
              </w:rPr>
              <w:t xml:space="preserve"> roadmap to operationalize the guidelines, the paper suggests the SCBD to engage in dialogue with UNFCCC.</w:t>
            </w:r>
          </w:p>
        </w:tc>
      </w:tr>
      <w:tr w:rsidR="00633A71" w:rsidRPr="00632DBC" w14:paraId="1E144C40" w14:textId="77777777" w:rsidTr="00CF7E8B">
        <w:trPr>
          <w:trHeight w:val="56"/>
        </w:trPr>
        <w:tc>
          <w:tcPr>
            <w:tcW w:w="3119" w:type="dxa"/>
            <w:vMerge/>
            <w:shd w:val="clear" w:color="auto" w:fill="auto"/>
          </w:tcPr>
          <w:p w14:paraId="568C485D" w14:textId="77777777" w:rsidR="00810C20" w:rsidRPr="00632DBC" w:rsidRDefault="00810C20" w:rsidP="00CF7E8B">
            <w:pPr>
              <w:jc w:val="both"/>
              <w:rPr>
                <w:rFonts w:ascii="Times New Roman" w:hAnsi="Times New Roman"/>
                <w:b/>
                <w:sz w:val="18"/>
              </w:rPr>
            </w:pPr>
          </w:p>
        </w:tc>
        <w:tc>
          <w:tcPr>
            <w:tcW w:w="3119" w:type="dxa"/>
            <w:shd w:val="clear" w:color="auto" w:fill="auto"/>
          </w:tcPr>
          <w:p w14:paraId="5EC0EBA1"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safeguards and principles related to biodiversity offsets should emphasize the importance of the mitigation hierarchy and specify that this mechanism should be “a last resort after all reasonable measures have been taken first to avoid and minimize the impact of a development project”.</w:t>
            </w:r>
          </w:p>
        </w:tc>
        <w:tc>
          <w:tcPr>
            <w:tcW w:w="3119" w:type="dxa"/>
            <w:shd w:val="clear" w:color="auto" w:fill="auto"/>
          </w:tcPr>
          <w:p w14:paraId="2A1C6325" w14:textId="77777777" w:rsidR="00810C20" w:rsidRPr="00632DBC" w:rsidRDefault="00810C20" w:rsidP="00CF7E8B">
            <w:pPr>
              <w:rPr>
                <w:rFonts w:ascii="Times New Roman" w:hAnsi="Times New Roman"/>
                <w:sz w:val="18"/>
              </w:rPr>
            </w:pPr>
            <w:r w:rsidRPr="00632DBC">
              <w:rPr>
                <w:rFonts w:ascii="Times New Roman" w:hAnsi="Times New Roman"/>
                <w:sz w:val="18"/>
                <w:szCs w:val="24"/>
              </w:rPr>
              <w:t>Section 6.2 “Biodiversity Offsets” was further developed highlighting the importance of mitigation hierarchy and including new references such as the Policy Brief on “Best Practices in Governance and Biodiversity Safeguards for REDD-Plus” (Swiss-Philippine Initiative, 2012) suggest by Switzerland as well as the IUCN &amp; ICMM’s Independent Report on biodiversity offsets (January 2013) which both consider biodiversity offsets as a “last resort” mechanism and the mitigation hierarchy as a keystone.</w:t>
            </w:r>
          </w:p>
        </w:tc>
      </w:tr>
      <w:tr w:rsidR="00633A71" w:rsidRPr="00632DBC" w14:paraId="14DA013B" w14:textId="77777777" w:rsidTr="00CF7E8B">
        <w:trPr>
          <w:trHeight w:val="56"/>
        </w:trPr>
        <w:tc>
          <w:tcPr>
            <w:tcW w:w="3119" w:type="dxa"/>
            <w:vMerge/>
            <w:shd w:val="clear" w:color="auto" w:fill="auto"/>
          </w:tcPr>
          <w:p w14:paraId="0BBDE382" w14:textId="77777777" w:rsidR="00810C20" w:rsidRPr="00632DBC" w:rsidRDefault="00810C20" w:rsidP="00CF7E8B">
            <w:pPr>
              <w:jc w:val="both"/>
              <w:rPr>
                <w:rFonts w:ascii="Times New Roman" w:hAnsi="Times New Roman"/>
                <w:b/>
                <w:sz w:val="18"/>
              </w:rPr>
            </w:pPr>
          </w:p>
        </w:tc>
        <w:tc>
          <w:tcPr>
            <w:tcW w:w="3119" w:type="dxa"/>
            <w:shd w:val="clear" w:color="auto" w:fill="auto"/>
          </w:tcPr>
          <w:p w14:paraId="0ECDA4CE" w14:textId="77777777" w:rsidR="00810C20" w:rsidRPr="00632DBC" w:rsidRDefault="00810C20" w:rsidP="00CF7E8B">
            <w:pPr>
              <w:rPr>
                <w:rFonts w:ascii="Times New Roman" w:hAnsi="Times New Roman"/>
                <w:sz w:val="18"/>
                <w:szCs w:val="24"/>
              </w:rPr>
            </w:pPr>
            <w:r w:rsidRPr="00632DBC">
              <w:rPr>
                <w:rFonts w:ascii="Times New Roman" w:hAnsi="Times New Roman"/>
                <w:sz w:val="18"/>
                <w:szCs w:val="24"/>
              </w:rPr>
              <w:t xml:space="preserve">Address the six mechanisms under Goal 4 of the strategy of resource mobilization and include ABS as a IFM. </w:t>
            </w:r>
          </w:p>
          <w:p w14:paraId="02383D9E" w14:textId="77777777" w:rsidR="00810C20" w:rsidRPr="00632DBC" w:rsidRDefault="00810C20" w:rsidP="00CF7E8B">
            <w:pPr>
              <w:rPr>
                <w:rFonts w:ascii="Times New Roman" w:hAnsi="Times New Roman"/>
                <w:sz w:val="18"/>
              </w:rPr>
            </w:pPr>
            <w:r w:rsidRPr="00632DBC">
              <w:rPr>
                <w:rFonts w:ascii="Times New Roman" w:hAnsi="Times New Roman"/>
                <w:sz w:val="18"/>
                <w:szCs w:val="24"/>
              </w:rPr>
              <w:t>A comment was provided on the role of markets for green products, giving the example of Label IP-Suisse.</w:t>
            </w:r>
          </w:p>
        </w:tc>
        <w:tc>
          <w:tcPr>
            <w:tcW w:w="3119" w:type="dxa"/>
            <w:shd w:val="clear" w:color="auto" w:fill="auto"/>
          </w:tcPr>
          <w:p w14:paraId="42A09484" w14:textId="77777777" w:rsidR="00810C20" w:rsidRPr="00632DBC" w:rsidRDefault="00810C20" w:rsidP="00CF7E8B">
            <w:pPr>
              <w:rPr>
                <w:rFonts w:ascii="Times New Roman" w:hAnsi="Times New Roman"/>
                <w:sz w:val="18"/>
                <w:szCs w:val="24"/>
              </w:rPr>
            </w:pPr>
            <w:r w:rsidRPr="00632DBC">
              <w:rPr>
                <w:rFonts w:ascii="Times New Roman" w:hAnsi="Times New Roman"/>
                <w:sz w:val="18"/>
                <w:szCs w:val="24"/>
              </w:rPr>
              <w:t xml:space="preserve">New sections 6.5 “Market for Green products” and 6.6 “Climate financing with co-benefits to biodiversity” were developed </w:t>
            </w:r>
            <w:proofErr w:type="gramStart"/>
            <w:r w:rsidRPr="00632DBC">
              <w:rPr>
                <w:rFonts w:ascii="Times New Roman" w:hAnsi="Times New Roman"/>
                <w:sz w:val="18"/>
                <w:szCs w:val="24"/>
              </w:rPr>
              <w:t>in order to</w:t>
            </w:r>
            <w:proofErr w:type="gramEnd"/>
            <w:r w:rsidRPr="00632DBC">
              <w:rPr>
                <w:rFonts w:ascii="Times New Roman" w:hAnsi="Times New Roman"/>
                <w:sz w:val="18"/>
                <w:szCs w:val="24"/>
              </w:rPr>
              <w:t xml:space="preserve"> cover the six mechanisms under Goal 4 of the strategy for resource mobilization.  </w:t>
            </w:r>
          </w:p>
          <w:p w14:paraId="256E55B0" w14:textId="1A432B94" w:rsidR="00810C20" w:rsidRPr="00632DBC" w:rsidRDefault="00810C20" w:rsidP="00CF7E8B">
            <w:pPr>
              <w:rPr>
                <w:rFonts w:ascii="Times New Roman" w:hAnsi="Times New Roman"/>
                <w:sz w:val="18"/>
              </w:rPr>
            </w:pPr>
            <w:r w:rsidRPr="00632DBC">
              <w:rPr>
                <w:rFonts w:ascii="Times New Roman" w:hAnsi="Times New Roman"/>
                <w:sz w:val="18"/>
                <w:szCs w:val="24"/>
              </w:rPr>
              <w:t>The IP-Suisse example is included in a new illustrative box 1</w:t>
            </w:r>
            <w:r w:rsidR="00A14CC2" w:rsidRPr="00632DBC">
              <w:rPr>
                <w:rFonts w:ascii="Times New Roman" w:hAnsi="Times New Roman"/>
                <w:sz w:val="18"/>
                <w:szCs w:val="24"/>
              </w:rPr>
              <w:t>2</w:t>
            </w:r>
            <w:r w:rsidRPr="00632DBC">
              <w:rPr>
                <w:rFonts w:ascii="Times New Roman" w:hAnsi="Times New Roman"/>
                <w:sz w:val="18"/>
                <w:szCs w:val="24"/>
              </w:rPr>
              <w:t xml:space="preserve"> under section 6.5 “Markets for Green Products”.</w:t>
            </w:r>
          </w:p>
        </w:tc>
      </w:tr>
      <w:tr w:rsidR="00633A71" w:rsidRPr="00632DBC" w14:paraId="774B5B55" w14:textId="77777777" w:rsidTr="00CF7E8B">
        <w:trPr>
          <w:trHeight w:val="29"/>
        </w:trPr>
        <w:tc>
          <w:tcPr>
            <w:tcW w:w="3119" w:type="dxa"/>
            <w:vMerge w:val="restart"/>
            <w:shd w:val="clear" w:color="auto" w:fill="auto"/>
          </w:tcPr>
          <w:p w14:paraId="0A6DE212" w14:textId="77777777" w:rsidR="00810C20" w:rsidRPr="00632DBC" w:rsidRDefault="00810C20" w:rsidP="00CF7E8B">
            <w:pPr>
              <w:jc w:val="both"/>
              <w:rPr>
                <w:rFonts w:ascii="Times New Roman" w:hAnsi="Times New Roman"/>
                <w:sz w:val="18"/>
              </w:rPr>
            </w:pPr>
            <w:r w:rsidRPr="00632DBC">
              <w:rPr>
                <w:rFonts w:ascii="Times New Roman" w:hAnsi="Times New Roman"/>
                <w:b/>
                <w:sz w:val="18"/>
                <w:szCs w:val="24"/>
              </w:rPr>
              <w:t xml:space="preserve">IUCN Submission </w:t>
            </w:r>
          </w:p>
        </w:tc>
        <w:tc>
          <w:tcPr>
            <w:tcW w:w="3119" w:type="dxa"/>
            <w:shd w:val="clear" w:color="auto" w:fill="auto"/>
          </w:tcPr>
          <w:p w14:paraId="34867168" w14:textId="77777777" w:rsidR="00810C20" w:rsidRPr="00632DBC" w:rsidRDefault="00810C20" w:rsidP="00CF7E8B">
            <w:pPr>
              <w:rPr>
                <w:rFonts w:ascii="Times New Roman" w:hAnsi="Times New Roman"/>
                <w:sz w:val="18"/>
              </w:rPr>
            </w:pPr>
            <w:r w:rsidRPr="00632DBC">
              <w:rPr>
                <w:rFonts w:ascii="Times New Roman" w:hAnsi="Times New Roman"/>
                <w:sz w:val="18"/>
                <w:szCs w:val="24"/>
              </w:rPr>
              <w:t>Include a principle referring to general benefits to biodiversity independent of the benefits to local livelihoods.</w:t>
            </w:r>
          </w:p>
        </w:tc>
        <w:tc>
          <w:tcPr>
            <w:tcW w:w="3119" w:type="dxa"/>
            <w:shd w:val="clear" w:color="auto" w:fill="auto"/>
          </w:tcPr>
          <w:p w14:paraId="24B96458" w14:textId="77777777" w:rsidR="00810C20" w:rsidRPr="00632DBC" w:rsidRDefault="00810C20" w:rsidP="00CF7E8B">
            <w:pPr>
              <w:rPr>
                <w:rFonts w:ascii="Times New Roman" w:hAnsi="Times New Roman"/>
                <w:sz w:val="18"/>
                <w:szCs w:val="24"/>
              </w:rPr>
            </w:pPr>
            <w:r w:rsidRPr="00632DBC">
              <w:rPr>
                <w:rFonts w:ascii="Times New Roman" w:hAnsi="Times New Roman"/>
                <w:sz w:val="18"/>
                <w:szCs w:val="24"/>
              </w:rPr>
              <w:t xml:space="preserve">The title has been adjusted Guideline 1 “The underpinning role of biodiversity and ecosystem functions for local livelihoods and resilience, as well as biodiversity’s intrinsic values, shall be recognized in the design and implementation of Financing Mechanisms” This guideline has been further developed in the main text </w:t>
            </w:r>
            <w:proofErr w:type="gramStart"/>
            <w:r w:rsidRPr="00632DBC">
              <w:rPr>
                <w:rFonts w:ascii="Times New Roman" w:hAnsi="Times New Roman"/>
                <w:sz w:val="18"/>
                <w:szCs w:val="24"/>
              </w:rPr>
              <w:t>in order to</w:t>
            </w:r>
            <w:proofErr w:type="gramEnd"/>
            <w:r w:rsidRPr="00632DBC">
              <w:rPr>
                <w:rFonts w:ascii="Times New Roman" w:hAnsi="Times New Roman"/>
                <w:sz w:val="18"/>
                <w:szCs w:val="24"/>
              </w:rPr>
              <w:t xml:space="preserve"> strengthen biodiversity safeguards.</w:t>
            </w:r>
          </w:p>
        </w:tc>
      </w:tr>
      <w:tr w:rsidR="00633A71" w:rsidRPr="00632DBC" w14:paraId="26D581EF" w14:textId="77777777" w:rsidTr="00CF7E8B">
        <w:trPr>
          <w:trHeight w:val="26"/>
        </w:trPr>
        <w:tc>
          <w:tcPr>
            <w:tcW w:w="3119" w:type="dxa"/>
            <w:vMerge/>
            <w:shd w:val="clear" w:color="auto" w:fill="auto"/>
          </w:tcPr>
          <w:p w14:paraId="20FBC424" w14:textId="77777777" w:rsidR="00810C20" w:rsidRPr="00632DBC" w:rsidRDefault="00810C20" w:rsidP="00CF7E8B">
            <w:pPr>
              <w:jc w:val="both"/>
              <w:rPr>
                <w:rFonts w:ascii="Times New Roman" w:hAnsi="Times New Roman"/>
                <w:b/>
                <w:sz w:val="18"/>
              </w:rPr>
            </w:pPr>
          </w:p>
        </w:tc>
        <w:tc>
          <w:tcPr>
            <w:tcW w:w="3119" w:type="dxa"/>
            <w:shd w:val="clear" w:color="auto" w:fill="auto"/>
          </w:tcPr>
          <w:p w14:paraId="75A06115"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The principles should acknowledge the burden that strict requirements </w:t>
            </w:r>
            <w:r w:rsidRPr="00632DBC">
              <w:rPr>
                <w:rFonts w:ascii="Times New Roman" w:hAnsi="Times New Roman"/>
                <w:sz w:val="18"/>
                <w:szCs w:val="24"/>
              </w:rPr>
              <w:lastRenderedPageBreak/>
              <w:t>represent and should thus stress more the need for investments in building capacity and appropriate safeguards.</w:t>
            </w:r>
          </w:p>
        </w:tc>
        <w:tc>
          <w:tcPr>
            <w:tcW w:w="3119" w:type="dxa"/>
            <w:shd w:val="clear" w:color="auto" w:fill="auto"/>
          </w:tcPr>
          <w:p w14:paraId="24B951D3" w14:textId="7C06BEC4" w:rsidR="00810C20" w:rsidRPr="00632DBC" w:rsidRDefault="00810C20" w:rsidP="00CF7E8B">
            <w:pPr>
              <w:rPr>
                <w:rFonts w:ascii="Times New Roman" w:hAnsi="Times New Roman"/>
                <w:sz w:val="18"/>
              </w:rPr>
            </w:pPr>
            <w:r w:rsidRPr="00632DBC">
              <w:rPr>
                <w:rFonts w:ascii="Times New Roman" w:hAnsi="Times New Roman"/>
                <w:sz w:val="18"/>
                <w:szCs w:val="24"/>
              </w:rPr>
              <w:lastRenderedPageBreak/>
              <w:t>Section 5.2 “</w:t>
            </w:r>
            <w:r w:rsidR="003F6434" w:rsidRPr="00632DBC">
              <w:rPr>
                <w:rFonts w:ascii="Times New Roman" w:hAnsi="Times New Roman"/>
                <w:sz w:val="18"/>
                <w:szCs w:val="24"/>
              </w:rPr>
              <w:t xml:space="preserve">Governance, institutional frameworks, transparency, </w:t>
            </w:r>
            <w:r w:rsidR="003F6434" w:rsidRPr="00632DBC">
              <w:rPr>
                <w:rFonts w:ascii="Times New Roman" w:hAnsi="Times New Roman"/>
                <w:sz w:val="18"/>
                <w:szCs w:val="24"/>
              </w:rPr>
              <w:lastRenderedPageBreak/>
              <w:t>accountability and compliance</w:t>
            </w:r>
            <w:r w:rsidRPr="00632DBC">
              <w:rPr>
                <w:rFonts w:ascii="Times New Roman" w:hAnsi="Times New Roman"/>
                <w:sz w:val="18"/>
                <w:szCs w:val="24"/>
              </w:rPr>
              <w:t>” among others now addresses capacity building.</w:t>
            </w:r>
          </w:p>
          <w:p w14:paraId="7484D468" w14:textId="77777777" w:rsidR="00810C20" w:rsidRPr="00632DBC" w:rsidRDefault="00810C20" w:rsidP="00CF7E8B">
            <w:pPr>
              <w:rPr>
                <w:rFonts w:ascii="Times New Roman" w:hAnsi="Times New Roman"/>
                <w:sz w:val="18"/>
              </w:rPr>
            </w:pPr>
          </w:p>
        </w:tc>
      </w:tr>
      <w:tr w:rsidR="00633A71" w:rsidRPr="00632DBC" w14:paraId="18805D13" w14:textId="77777777" w:rsidTr="00CF7E8B">
        <w:trPr>
          <w:trHeight w:val="26"/>
        </w:trPr>
        <w:tc>
          <w:tcPr>
            <w:tcW w:w="3119" w:type="dxa"/>
            <w:vMerge/>
            <w:shd w:val="clear" w:color="auto" w:fill="auto"/>
          </w:tcPr>
          <w:p w14:paraId="67E673E1" w14:textId="77777777" w:rsidR="00810C20" w:rsidRPr="00632DBC" w:rsidRDefault="00810C20" w:rsidP="00CF7E8B">
            <w:pPr>
              <w:jc w:val="both"/>
              <w:rPr>
                <w:rFonts w:ascii="Times New Roman" w:hAnsi="Times New Roman"/>
                <w:b/>
                <w:sz w:val="18"/>
              </w:rPr>
            </w:pPr>
          </w:p>
        </w:tc>
        <w:tc>
          <w:tcPr>
            <w:tcW w:w="3119" w:type="dxa"/>
            <w:shd w:val="clear" w:color="auto" w:fill="auto"/>
          </w:tcPr>
          <w:p w14:paraId="0EF87893"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principles should also advocate for a strong involvement of the private sector.</w:t>
            </w:r>
          </w:p>
        </w:tc>
        <w:tc>
          <w:tcPr>
            <w:tcW w:w="3119" w:type="dxa"/>
            <w:shd w:val="clear" w:color="auto" w:fill="auto"/>
          </w:tcPr>
          <w:p w14:paraId="6D366036" w14:textId="77777777" w:rsidR="00810C20" w:rsidRPr="00632DBC" w:rsidRDefault="00810C20" w:rsidP="00CF7E8B">
            <w:pPr>
              <w:rPr>
                <w:rFonts w:ascii="Times New Roman" w:hAnsi="Times New Roman"/>
                <w:sz w:val="18"/>
                <w:szCs w:val="24"/>
              </w:rPr>
            </w:pPr>
            <w:r w:rsidRPr="00632DBC">
              <w:rPr>
                <w:rFonts w:ascii="Times New Roman" w:hAnsi="Times New Roman"/>
                <w:sz w:val="18"/>
                <w:szCs w:val="24"/>
              </w:rPr>
              <w:t xml:space="preserve">Section 6.3 “Environmental Fiscal Reform” refers to the example of South Africa involving green jobs. </w:t>
            </w:r>
          </w:p>
          <w:p w14:paraId="5A15FC64" w14:textId="77777777" w:rsidR="00810C20" w:rsidRPr="00632DBC" w:rsidRDefault="00810C20" w:rsidP="00CF7E8B">
            <w:pPr>
              <w:rPr>
                <w:rFonts w:ascii="Times New Roman" w:hAnsi="Times New Roman"/>
                <w:sz w:val="18"/>
              </w:rPr>
            </w:pPr>
            <w:r w:rsidRPr="00632DBC">
              <w:rPr>
                <w:rFonts w:ascii="Times New Roman" w:hAnsi="Times New Roman"/>
                <w:sz w:val="18"/>
                <w:szCs w:val="24"/>
              </w:rPr>
              <w:t>New sections 6.5 “Markets for Green products”, 6.6 “Climate financing with co-benefits to biodiversity” and 8.2 “Safeguards on offsets” address private sector as well.</w:t>
            </w:r>
          </w:p>
        </w:tc>
      </w:tr>
      <w:tr w:rsidR="00633A71" w:rsidRPr="00632DBC" w14:paraId="68CA8BB6" w14:textId="77777777" w:rsidTr="00CF7E8B">
        <w:trPr>
          <w:trHeight w:val="26"/>
        </w:trPr>
        <w:tc>
          <w:tcPr>
            <w:tcW w:w="3119" w:type="dxa"/>
            <w:vMerge/>
            <w:shd w:val="clear" w:color="auto" w:fill="auto"/>
          </w:tcPr>
          <w:p w14:paraId="0F7F6617" w14:textId="77777777" w:rsidR="00810C20" w:rsidRPr="00632DBC" w:rsidRDefault="00810C20" w:rsidP="00CF7E8B">
            <w:pPr>
              <w:jc w:val="both"/>
              <w:rPr>
                <w:rFonts w:ascii="Times New Roman" w:hAnsi="Times New Roman"/>
                <w:b/>
                <w:sz w:val="18"/>
              </w:rPr>
            </w:pPr>
          </w:p>
        </w:tc>
        <w:tc>
          <w:tcPr>
            <w:tcW w:w="3119" w:type="dxa"/>
            <w:shd w:val="clear" w:color="auto" w:fill="auto"/>
          </w:tcPr>
          <w:p w14:paraId="257C3F13"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paper would gain from cataloguing the safeguards relevant to each BFM in terms of risks and opportunities.</w:t>
            </w:r>
          </w:p>
        </w:tc>
        <w:tc>
          <w:tcPr>
            <w:tcW w:w="3119" w:type="dxa"/>
            <w:shd w:val="clear" w:color="auto" w:fill="auto"/>
          </w:tcPr>
          <w:p w14:paraId="2A8C70A7"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In section 8. 2 “Concluding remarks”, among others, different BFMs are linked to risks and opportunities and safeguards. </w:t>
            </w:r>
            <w:proofErr w:type="gramStart"/>
            <w:r w:rsidRPr="00632DBC">
              <w:rPr>
                <w:rFonts w:ascii="Times New Roman" w:hAnsi="Times New Roman"/>
                <w:sz w:val="18"/>
                <w:szCs w:val="24"/>
              </w:rPr>
              <w:t>In order to</w:t>
            </w:r>
            <w:proofErr w:type="gramEnd"/>
            <w:r w:rsidRPr="00632DBC">
              <w:rPr>
                <w:rFonts w:ascii="Times New Roman" w:hAnsi="Times New Roman"/>
                <w:sz w:val="18"/>
                <w:szCs w:val="24"/>
              </w:rPr>
              <w:t xml:space="preserve"> address safeguards of the six BFMs under Goal 4, two new sections (6.5 “Markets for green products” and 6.6. “Climate financing with co-benefits to biodiversity”) have been included.</w:t>
            </w:r>
          </w:p>
        </w:tc>
      </w:tr>
      <w:tr w:rsidR="00633A71" w:rsidRPr="00632DBC" w14:paraId="06E2BF38" w14:textId="77777777" w:rsidTr="00CF7E8B">
        <w:trPr>
          <w:trHeight w:val="26"/>
        </w:trPr>
        <w:tc>
          <w:tcPr>
            <w:tcW w:w="3119" w:type="dxa"/>
            <w:vMerge/>
            <w:shd w:val="clear" w:color="auto" w:fill="auto"/>
          </w:tcPr>
          <w:p w14:paraId="3D5EA52D" w14:textId="77777777" w:rsidR="00810C20" w:rsidRPr="00632DBC" w:rsidRDefault="00810C20" w:rsidP="00CF7E8B">
            <w:pPr>
              <w:jc w:val="both"/>
              <w:rPr>
                <w:rFonts w:ascii="Times New Roman" w:hAnsi="Times New Roman"/>
                <w:b/>
                <w:sz w:val="18"/>
              </w:rPr>
            </w:pPr>
          </w:p>
        </w:tc>
        <w:tc>
          <w:tcPr>
            <w:tcW w:w="3119" w:type="dxa"/>
            <w:shd w:val="clear" w:color="auto" w:fill="auto"/>
          </w:tcPr>
          <w:p w14:paraId="72F383F0"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paper would gain from referring at natural capital accounting.</w:t>
            </w:r>
          </w:p>
        </w:tc>
        <w:tc>
          <w:tcPr>
            <w:tcW w:w="3119" w:type="dxa"/>
            <w:shd w:val="clear" w:color="auto" w:fill="auto"/>
          </w:tcPr>
          <w:p w14:paraId="0319912B"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paper provides refers to natural capital accounting and the Gaborone the Declaration (2012).</w:t>
            </w:r>
          </w:p>
        </w:tc>
      </w:tr>
      <w:tr w:rsidR="00633A71" w:rsidRPr="00632DBC" w14:paraId="1A8C0AFD" w14:textId="77777777" w:rsidTr="00CF7E8B">
        <w:trPr>
          <w:trHeight w:val="20"/>
        </w:trPr>
        <w:tc>
          <w:tcPr>
            <w:tcW w:w="3119" w:type="dxa"/>
            <w:vMerge w:val="restart"/>
            <w:shd w:val="clear" w:color="auto" w:fill="auto"/>
          </w:tcPr>
          <w:p w14:paraId="43CE7B59"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Quito II, 9-12 April 2014.</w:t>
            </w:r>
          </w:p>
          <w:p w14:paraId="635ED20C"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 xml:space="preserve">Participants: State Members representatives and key actors on financing biodiversity, including experts active in CBD discussions on resource mobilization </w:t>
            </w:r>
            <w:proofErr w:type="gramStart"/>
            <w:r w:rsidRPr="00632DBC">
              <w:rPr>
                <w:rFonts w:ascii="Times New Roman" w:hAnsi="Times New Roman"/>
                <w:b/>
                <w:sz w:val="18"/>
                <w:szCs w:val="24"/>
              </w:rPr>
              <w:t>and also</w:t>
            </w:r>
            <w:proofErr w:type="gramEnd"/>
            <w:r w:rsidRPr="00632DBC">
              <w:rPr>
                <w:rFonts w:ascii="Times New Roman" w:hAnsi="Times New Roman"/>
                <w:b/>
                <w:sz w:val="18"/>
                <w:szCs w:val="24"/>
              </w:rPr>
              <w:t xml:space="preserve"> from related processes, as well as national level actors from sectors dealing with financing of biodiversity and ecosystem services, intergovernmental and non-governmental organizations, social movements, farmer organizations, indigenous and local communities, scientists and private sector.</w:t>
            </w:r>
          </w:p>
          <w:p w14:paraId="47AD0747" w14:textId="77777777" w:rsidR="00810C20" w:rsidRPr="00632DBC" w:rsidRDefault="00810C20" w:rsidP="00CF7E8B">
            <w:pPr>
              <w:jc w:val="both"/>
              <w:rPr>
                <w:rFonts w:ascii="Times New Roman" w:hAnsi="Times New Roman"/>
                <w:b/>
                <w:i/>
                <w:iCs/>
                <w:sz w:val="18"/>
              </w:rPr>
            </w:pPr>
            <w:r w:rsidRPr="00632DBC">
              <w:rPr>
                <w:rFonts w:ascii="Times New Roman" w:hAnsi="Times New Roman"/>
                <w:b/>
                <w:sz w:val="18"/>
                <w:szCs w:val="24"/>
              </w:rPr>
              <w:t xml:space="preserve">Presentation and focus/working group on “Governance Safeguards and Equity”. </w:t>
            </w:r>
          </w:p>
          <w:p w14:paraId="53FCFE5E" w14:textId="77777777" w:rsidR="00810C20" w:rsidRPr="00633A71" w:rsidRDefault="00132089" w:rsidP="00CF7E8B">
            <w:pPr>
              <w:jc w:val="both"/>
              <w:rPr>
                <w:rFonts w:ascii="Calibri" w:hAnsi="Calibri"/>
                <w:b/>
              </w:rPr>
            </w:pPr>
            <w:hyperlink r:id="rId128" w:history="1">
              <w:r w:rsidR="00810C20" w:rsidRPr="00632DBC">
                <w:rPr>
                  <w:rStyle w:val="Hyperlink"/>
                  <w:rFonts w:ascii="Times New Roman" w:hAnsi="Times New Roman"/>
                  <w:b/>
                  <w:bCs/>
                  <w:color w:val="auto"/>
                  <w:sz w:val="18"/>
                  <w:szCs w:val="24"/>
                </w:rPr>
                <w:t>http://www.dialogueseminars.net/quito/quito_home.html</w:t>
              </w:r>
            </w:hyperlink>
          </w:p>
        </w:tc>
        <w:tc>
          <w:tcPr>
            <w:tcW w:w="3119" w:type="dxa"/>
            <w:shd w:val="clear" w:color="auto" w:fill="auto"/>
          </w:tcPr>
          <w:p w14:paraId="2BB7323E" w14:textId="77777777" w:rsidR="00810C20" w:rsidRPr="00633A71" w:rsidRDefault="00810C20" w:rsidP="00CF7E8B">
            <w:pPr>
              <w:rPr>
                <w:rFonts w:ascii="Times New Roman" w:hAnsi="Times New Roman"/>
                <w:sz w:val="18"/>
              </w:rPr>
            </w:pPr>
            <w:r w:rsidRPr="00633A71">
              <w:rPr>
                <w:rFonts w:ascii="Times New Roman" w:hAnsi="Times New Roman"/>
                <w:sz w:val="18"/>
                <w:szCs w:val="24"/>
              </w:rPr>
              <w:t>Importance of country driven safeguards and sharing associated lessons learned.</w:t>
            </w:r>
          </w:p>
        </w:tc>
        <w:tc>
          <w:tcPr>
            <w:tcW w:w="3119" w:type="dxa"/>
            <w:shd w:val="clear" w:color="auto" w:fill="auto"/>
          </w:tcPr>
          <w:p w14:paraId="2E0F430D" w14:textId="1F828A66" w:rsidR="00810C20" w:rsidRPr="00504B5E" w:rsidRDefault="00810C20" w:rsidP="00CF7E8B">
            <w:pPr>
              <w:rPr>
                <w:rFonts w:ascii="Times New Roman" w:hAnsi="Times New Roman"/>
                <w:sz w:val="18"/>
              </w:rPr>
            </w:pPr>
            <w:r w:rsidRPr="00504B5E">
              <w:rPr>
                <w:rFonts w:ascii="Times New Roman" w:hAnsi="Times New Roman"/>
                <w:sz w:val="18"/>
                <w:szCs w:val="24"/>
              </w:rPr>
              <w:t xml:space="preserve">As part of the </w:t>
            </w:r>
            <w:r w:rsidR="003A65CE" w:rsidRPr="00504B5E">
              <w:rPr>
                <w:rFonts w:ascii="Times New Roman" w:hAnsi="Times New Roman"/>
                <w:sz w:val="18"/>
                <w:szCs w:val="24"/>
              </w:rPr>
              <w:t>adopted</w:t>
            </w:r>
            <w:r w:rsidRPr="00504B5E">
              <w:rPr>
                <w:rFonts w:ascii="Times New Roman" w:hAnsi="Times New Roman"/>
                <w:sz w:val="18"/>
                <w:szCs w:val="24"/>
              </w:rPr>
              <w:t xml:space="preserve"> roadmap to operationalize the guidelines, national autonomy and decision-making is recognized and it is suggested that States and relevant stakeholders identify the national policies and legal provisions relevant for safeguards and the process of scaling up biodiversity financing.</w:t>
            </w:r>
          </w:p>
        </w:tc>
      </w:tr>
      <w:tr w:rsidR="00633A71" w:rsidRPr="00632DBC" w14:paraId="5410E801" w14:textId="77777777" w:rsidTr="00CF7E8B">
        <w:trPr>
          <w:trHeight w:val="20"/>
        </w:trPr>
        <w:tc>
          <w:tcPr>
            <w:tcW w:w="3119" w:type="dxa"/>
            <w:vMerge/>
            <w:shd w:val="clear" w:color="auto" w:fill="auto"/>
          </w:tcPr>
          <w:p w14:paraId="098E4768" w14:textId="77777777" w:rsidR="00810C20" w:rsidRPr="00632DBC" w:rsidRDefault="00810C20" w:rsidP="00CF7E8B">
            <w:pPr>
              <w:jc w:val="both"/>
              <w:rPr>
                <w:rFonts w:ascii="Times New Roman" w:hAnsi="Times New Roman"/>
                <w:sz w:val="18"/>
              </w:rPr>
            </w:pPr>
          </w:p>
        </w:tc>
        <w:tc>
          <w:tcPr>
            <w:tcW w:w="3119" w:type="dxa"/>
            <w:shd w:val="clear" w:color="auto" w:fill="auto"/>
          </w:tcPr>
          <w:p w14:paraId="32561CCD"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Suggestion to engage in dialogue with global organizations such as </w:t>
            </w:r>
            <w:r w:rsidRPr="00632DBC">
              <w:rPr>
                <w:rFonts w:ascii="Times New Roman" w:hAnsi="Times New Roman"/>
                <w:bCs/>
                <w:sz w:val="18"/>
                <w:szCs w:val="24"/>
              </w:rPr>
              <w:t>International Development Law Organization (IDLO).</w:t>
            </w:r>
          </w:p>
          <w:p w14:paraId="2C9BAAE8" w14:textId="77777777" w:rsidR="00810C20" w:rsidRPr="00632DBC" w:rsidRDefault="00810C20" w:rsidP="00CF7E8B">
            <w:pPr>
              <w:rPr>
                <w:rFonts w:ascii="Times New Roman" w:hAnsi="Times New Roman"/>
                <w:sz w:val="18"/>
              </w:rPr>
            </w:pPr>
          </w:p>
        </w:tc>
        <w:tc>
          <w:tcPr>
            <w:tcW w:w="3119" w:type="dxa"/>
            <w:shd w:val="clear" w:color="auto" w:fill="auto"/>
          </w:tcPr>
          <w:p w14:paraId="6AF8563A" w14:textId="6E043DC6" w:rsidR="00810C20" w:rsidRPr="00632DBC" w:rsidRDefault="00810C20" w:rsidP="00CF7E8B">
            <w:pPr>
              <w:rPr>
                <w:rFonts w:ascii="Times New Roman" w:hAnsi="Times New Roman"/>
                <w:sz w:val="18"/>
              </w:rPr>
            </w:pPr>
            <w:r w:rsidRPr="00632DBC">
              <w:rPr>
                <w:rFonts w:ascii="Times New Roman" w:hAnsi="Times New Roman"/>
                <w:sz w:val="18"/>
                <w:szCs w:val="24"/>
              </w:rPr>
              <w:t xml:space="preserve">As part of the </w:t>
            </w:r>
            <w:r w:rsidR="003A65CE" w:rsidRPr="00632DBC">
              <w:rPr>
                <w:rFonts w:ascii="Times New Roman" w:hAnsi="Times New Roman"/>
                <w:sz w:val="18"/>
                <w:szCs w:val="24"/>
              </w:rPr>
              <w:t>adopted</w:t>
            </w:r>
            <w:r w:rsidRPr="00632DBC">
              <w:rPr>
                <w:rFonts w:ascii="Times New Roman" w:hAnsi="Times New Roman"/>
                <w:sz w:val="18"/>
                <w:szCs w:val="24"/>
              </w:rPr>
              <w:t xml:space="preserve"> roadmap to operationalize the guidelines, IDLO is referred to as a relevant partner for discussing safeguards.</w:t>
            </w:r>
          </w:p>
        </w:tc>
      </w:tr>
      <w:tr w:rsidR="00633A71" w:rsidRPr="00632DBC" w14:paraId="31D3D689" w14:textId="77777777" w:rsidTr="00CF7E8B">
        <w:trPr>
          <w:trHeight w:val="20"/>
        </w:trPr>
        <w:tc>
          <w:tcPr>
            <w:tcW w:w="3119" w:type="dxa"/>
            <w:vMerge/>
            <w:shd w:val="clear" w:color="auto" w:fill="auto"/>
          </w:tcPr>
          <w:p w14:paraId="27A14ECC" w14:textId="77777777" w:rsidR="00810C20" w:rsidRPr="00632DBC" w:rsidRDefault="00810C20" w:rsidP="00CF7E8B">
            <w:pPr>
              <w:jc w:val="both"/>
              <w:rPr>
                <w:rFonts w:ascii="Times New Roman" w:hAnsi="Times New Roman"/>
                <w:sz w:val="18"/>
              </w:rPr>
            </w:pPr>
          </w:p>
        </w:tc>
        <w:tc>
          <w:tcPr>
            <w:tcW w:w="3119" w:type="dxa"/>
            <w:shd w:val="clear" w:color="auto" w:fill="auto"/>
          </w:tcPr>
          <w:p w14:paraId="7258B92E" w14:textId="77777777" w:rsidR="00810C20" w:rsidRPr="00632DBC" w:rsidRDefault="00810C20" w:rsidP="00CF7E8B">
            <w:pPr>
              <w:rPr>
                <w:rFonts w:ascii="Times New Roman" w:hAnsi="Times New Roman"/>
                <w:sz w:val="18"/>
              </w:rPr>
            </w:pPr>
            <w:r w:rsidRPr="00632DBC">
              <w:rPr>
                <w:rFonts w:ascii="Times New Roman" w:hAnsi="Times New Roman"/>
                <w:sz w:val="18"/>
                <w:szCs w:val="24"/>
              </w:rPr>
              <w:t xml:space="preserve">ABS should be included as a BFM. </w:t>
            </w:r>
          </w:p>
        </w:tc>
        <w:tc>
          <w:tcPr>
            <w:tcW w:w="3119" w:type="dxa"/>
            <w:shd w:val="clear" w:color="auto" w:fill="auto"/>
            <w:vAlign w:val="center"/>
          </w:tcPr>
          <w:p w14:paraId="50C50814" w14:textId="77777777" w:rsidR="00810C20" w:rsidRPr="00632DBC" w:rsidRDefault="00810C20" w:rsidP="00CF7E8B">
            <w:pPr>
              <w:rPr>
                <w:rFonts w:ascii="Times New Roman" w:hAnsi="Times New Roman"/>
                <w:sz w:val="18"/>
              </w:rPr>
            </w:pPr>
            <w:r w:rsidRPr="00632DBC">
              <w:rPr>
                <w:rFonts w:ascii="Times New Roman" w:hAnsi="Times New Roman"/>
                <w:sz w:val="18"/>
                <w:szCs w:val="24"/>
              </w:rPr>
              <w:t>The main findings now mention the Nagoya Protocol on Access and Benefit Sharing and ABS, as potential mechanisms to mobilize resources for biodiversity.</w:t>
            </w:r>
          </w:p>
        </w:tc>
      </w:tr>
      <w:tr w:rsidR="00633A71" w:rsidRPr="00632DBC" w14:paraId="04E989B5" w14:textId="77777777" w:rsidTr="00CF7E8B">
        <w:trPr>
          <w:trHeight w:val="828"/>
        </w:trPr>
        <w:tc>
          <w:tcPr>
            <w:tcW w:w="3119" w:type="dxa"/>
            <w:vMerge w:val="restart"/>
            <w:shd w:val="clear" w:color="auto" w:fill="auto"/>
          </w:tcPr>
          <w:p w14:paraId="26DA157F"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 xml:space="preserve">The Third Meeting </w:t>
            </w:r>
            <w:proofErr w:type="gramStart"/>
            <w:r w:rsidRPr="00632DBC">
              <w:rPr>
                <w:rFonts w:ascii="Times New Roman" w:hAnsi="Times New Roman"/>
                <w:b/>
                <w:sz w:val="18"/>
                <w:szCs w:val="24"/>
              </w:rPr>
              <w:t>Of</w:t>
            </w:r>
            <w:proofErr w:type="gramEnd"/>
            <w:r w:rsidRPr="00632DBC">
              <w:rPr>
                <w:rFonts w:ascii="Times New Roman" w:hAnsi="Times New Roman"/>
                <w:b/>
                <w:sz w:val="18"/>
                <w:szCs w:val="24"/>
              </w:rPr>
              <w:t xml:space="preserve"> The Global Partnership For Business And Biodiversity, Montreal, Canada, 2-3 of October 2013. </w:t>
            </w:r>
          </w:p>
          <w:p w14:paraId="177766CE"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lastRenderedPageBreak/>
              <w:t>Participants: businesses, business associations, governments, intergovernmental and non-governmental organizations and academia.</w:t>
            </w:r>
          </w:p>
          <w:p w14:paraId="5AAFB31E" w14:textId="77777777" w:rsidR="00810C20" w:rsidRPr="00632DBC" w:rsidRDefault="00810C20" w:rsidP="00CF7E8B">
            <w:pPr>
              <w:jc w:val="both"/>
              <w:rPr>
                <w:rFonts w:ascii="Times New Roman" w:hAnsi="Times New Roman"/>
                <w:b/>
                <w:sz w:val="18"/>
                <w:szCs w:val="24"/>
              </w:rPr>
            </w:pPr>
            <w:r w:rsidRPr="00632DBC">
              <w:rPr>
                <w:rFonts w:ascii="Times New Roman" w:hAnsi="Times New Roman"/>
                <w:b/>
                <w:sz w:val="18"/>
                <w:szCs w:val="24"/>
              </w:rPr>
              <w:t>Presentation at Panel “Safeguards &amp; mechanisms”, Q&amp;A and panel discussion.</w:t>
            </w:r>
          </w:p>
          <w:p w14:paraId="21776E47" w14:textId="77777777" w:rsidR="00810C20" w:rsidRPr="00633A71" w:rsidRDefault="00132089" w:rsidP="00CF7E8B">
            <w:pPr>
              <w:jc w:val="both"/>
              <w:rPr>
                <w:rFonts w:ascii="Times New Roman" w:hAnsi="Times New Roman"/>
                <w:b/>
                <w:sz w:val="18"/>
              </w:rPr>
            </w:pPr>
            <w:hyperlink r:id="rId129" w:history="1">
              <w:r w:rsidR="00810C20" w:rsidRPr="00632DBC">
                <w:rPr>
                  <w:rStyle w:val="Hyperlink"/>
                  <w:rFonts w:ascii="Times New Roman" w:hAnsi="Times New Roman"/>
                  <w:b/>
                  <w:color w:val="auto"/>
                  <w:sz w:val="18"/>
                  <w:szCs w:val="24"/>
                </w:rPr>
                <w:t>http://www.cbd.int/business/bc/3m.shtml</w:t>
              </w:r>
            </w:hyperlink>
          </w:p>
        </w:tc>
        <w:tc>
          <w:tcPr>
            <w:tcW w:w="3119" w:type="dxa"/>
            <w:shd w:val="clear" w:color="auto" w:fill="auto"/>
          </w:tcPr>
          <w:p w14:paraId="7DCE4E3D" w14:textId="77777777" w:rsidR="00810C20" w:rsidRPr="00633A71" w:rsidRDefault="00810C20" w:rsidP="00CF7E8B">
            <w:pPr>
              <w:rPr>
                <w:rFonts w:ascii="Times New Roman" w:hAnsi="Calibri"/>
                <w:sz w:val="18"/>
                <w:szCs w:val="18"/>
              </w:rPr>
            </w:pPr>
            <w:r w:rsidRPr="00633A71">
              <w:rPr>
                <w:rFonts w:ascii="Times New Roman" w:hAnsi="Calibri"/>
                <w:sz w:val="18"/>
                <w:szCs w:val="18"/>
              </w:rPr>
              <w:lastRenderedPageBreak/>
              <w:t>Importance of participation in PES, Biodiversity offsets and REDD+.</w:t>
            </w:r>
          </w:p>
        </w:tc>
        <w:tc>
          <w:tcPr>
            <w:tcW w:w="3119" w:type="dxa"/>
            <w:shd w:val="clear" w:color="auto" w:fill="auto"/>
          </w:tcPr>
          <w:p w14:paraId="6E9C800E" w14:textId="72FEDA9E" w:rsidR="00810C20" w:rsidRPr="00A3063C" w:rsidRDefault="00810C20" w:rsidP="00CF7E8B">
            <w:pPr>
              <w:rPr>
                <w:rFonts w:ascii="Times New Roman" w:hAnsi="Calibri"/>
                <w:sz w:val="18"/>
                <w:szCs w:val="18"/>
              </w:rPr>
            </w:pPr>
            <w:r w:rsidRPr="00504B5E">
              <w:rPr>
                <w:rFonts w:ascii="Times New Roman" w:hAnsi="Calibri"/>
                <w:sz w:val="18"/>
                <w:szCs w:val="18"/>
              </w:rPr>
              <w:t xml:space="preserve">In Section 5.2 </w:t>
            </w:r>
            <w:r w:rsidRPr="00504B5E">
              <w:rPr>
                <w:rFonts w:ascii="Times New Roman" w:hAnsi="Calibri"/>
                <w:sz w:val="18"/>
                <w:szCs w:val="18"/>
              </w:rPr>
              <w:t>“</w:t>
            </w:r>
            <w:r w:rsidRPr="00504B5E">
              <w:rPr>
                <w:rFonts w:ascii="Times New Roman" w:hAnsi="Calibri"/>
                <w:sz w:val="18"/>
                <w:szCs w:val="18"/>
              </w:rPr>
              <w:t>People</w:t>
            </w:r>
            <w:r w:rsidRPr="00504B5E">
              <w:rPr>
                <w:rFonts w:ascii="Times New Roman" w:hAnsi="Calibri"/>
                <w:sz w:val="18"/>
                <w:szCs w:val="18"/>
              </w:rPr>
              <w:t>’</w:t>
            </w:r>
            <w:r w:rsidRPr="00504B5E">
              <w:rPr>
                <w:rFonts w:ascii="Times New Roman" w:hAnsi="Calibri"/>
                <w:sz w:val="18"/>
                <w:szCs w:val="18"/>
              </w:rPr>
              <w:t xml:space="preserve">s rights, </w:t>
            </w:r>
            <w:r w:rsidR="003F6434" w:rsidRPr="00504B5E">
              <w:rPr>
                <w:rFonts w:ascii="Times New Roman" w:hAnsi="Calibri"/>
                <w:sz w:val="18"/>
                <w:szCs w:val="18"/>
              </w:rPr>
              <w:t>responsibilities and effective participation</w:t>
            </w:r>
            <w:r w:rsidRPr="00A3063C">
              <w:rPr>
                <w:rFonts w:ascii="Times New Roman" w:hAnsi="Calibri"/>
                <w:sz w:val="18"/>
                <w:szCs w:val="18"/>
              </w:rPr>
              <w:t>”</w:t>
            </w:r>
            <w:r w:rsidRPr="00A3063C">
              <w:rPr>
                <w:rFonts w:ascii="Times New Roman" w:hAnsi="Calibri"/>
                <w:sz w:val="18"/>
                <w:szCs w:val="18"/>
              </w:rPr>
              <w:t xml:space="preserve"> a new paragraph has been developed </w:t>
            </w:r>
            <w:proofErr w:type="gramStart"/>
            <w:r w:rsidRPr="00A3063C">
              <w:rPr>
                <w:rFonts w:ascii="Times New Roman" w:hAnsi="Calibri"/>
                <w:sz w:val="18"/>
                <w:szCs w:val="18"/>
              </w:rPr>
              <w:t>in order to</w:t>
            </w:r>
            <w:proofErr w:type="gramEnd"/>
            <w:r w:rsidRPr="00A3063C">
              <w:rPr>
                <w:rFonts w:ascii="Times New Roman" w:hAnsi="Calibri"/>
                <w:sz w:val="18"/>
                <w:szCs w:val="18"/>
              </w:rPr>
              <w:t xml:space="preserve"> respond to this comment stating that procedural </w:t>
            </w:r>
            <w:r w:rsidRPr="00A3063C">
              <w:rPr>
                <w:rFonts w:ascii="Times New Roman" w:hAnsi="Calibri"/>
                <w:sz w:val="18"/>
                <w:szCs w:val="18"/>
              </w:rPr>
              <w:lastRenderedPageBreak/>
              <w:t>safeguards should also include the participation of relevant stakeholders.</w:t>
            </w:r>
          </w:p>
        </w:tc>
      </w:tr>
      <w:tr w:rsidR="00633A71" w:rsidRPr="00632DBC" w14:paraId="2407B158" w14:textId="77777777" w:rsidTr="00CF7E8B">
        <w:trPr>
          <w:trHeight w:val="826"/>
        </w:trPr>
        <w:tc>
          <w:tcPr>
            <w:tcW w:w="3119" w:type="dxa"/>
            <w:vMerge/>
            <w:shd w:val="clear" w:color="auto" w:fill="auto"/>
          </w:tcPr>
          <w:p w14:paraId="0E549888" w14:textId="77777777" w:rsidR="00810C20" w:rsidRPr="00632DBC" w:rsidRDefault="00810C20" w:rsidP="00CF7E8B">
            <w:pPr>
              <w:jc w:val="both"/>
              <w:rPr>
                <w:rFonts w:ascii="Times New Roman" w:hAnsi="Times New Roman"/>
                <w:b/>
                <w:sz w:val="18"/>
              </w:rPr>
            </w:pPr>
          </w:p>
        </w:tc>
        <w:tc>
          <w:tcPr>
            <w:tcW w:w="3119" w:type="dxa"/>
            <w:shd w:val="clear" w:color="auto" w:fill="auto"/>
          </w:tcPr>
          <w:p w14:paraId="5E6C6096" w14:textId="77777777" w:rsidR="00810C20" w:rsidRPr="00632DBC" w:rsidRDefault="00810C20" w:rsidP="00CF7E8B">
            <w:pPr>
              <w:rPr>
                <w:rFonts w:ascii="Times New Roman" w:hAnsi="Calibri"/>
                <w:sz w:val="18"/>
                <w:szCs w:val="18"/>
              </w:rPr>
            </w:pPr>
            <w:r w:rsidRPr="00632DBC">
              <w:rPr>
                <w:rFonts w:ascii="Times New Roman" w:hAnsi="Calibri"/>
                <w:sz w:val="18"/>
                <w:szCs w:val="18"/>
              </w:rPr>
              <w:t>Panellists highlighted the importance of free prior informed consent (FPIC) in safeguarding approaches.</w:t>
            </w:r>
          </w:p>
        </w:tc>
        <w:tc>
          <w:tcPr>
            <w:tcW w:w="3119" w:type="dxa"/>
            <w:shd w:val="clear" w:color="auto" w:fill="auto"/>
          </w:tcPr>
          <w:p w14:paraId="7EC249C2" w14:textId="00D3C140" w:rsidR="00810C20" w:rsidRPr="00632DBC" w:rsidRDefault="00810C20" w:rsidP="00CF7E8B">
            <w:pPr>
              <w:rPr>
                <w:rFonts w:ascii="Times New Roman" w:hAnsi="Calibri"/>
                <w:sz w:val="18"/>
                <w:szCs w:val="18"/>
              </w:rPr>
            </w:pPr>
            <w:r w:rsidRPr="00632DBC">
              <w:rPr>
                <w:rFonts w:ascii="Times New Roman" w:hAnsi="Calibri"/>
                <w:sz w:val="18"/>
                <w:szCs w:val="18"/>
              </w:rPr>
              <w:t xml:space="preserve">The paper kept the originally used terminology of </w:t>
            </w:r>
            <w:r w:rsidRPr="00632DBC">
              <w:rPr>
                <w:rFonts w:ascii="Times New Roman" w:hAnsi="Calibri"/>
                <w:sz w:val="18"/>
                <w:szCs w:val="18"/>
              </w:rPr>
              <w:t>“</w:t>
            </w:r>
            <w:r w:rsidRPr="00632DBC">
              <w:rPr>
                <w:rFonts w:ascii="Times New Roman" w:hAnsi="Calibri"/>
                <w:sz w:val="18"/>
                <w:szCs w:val="18"/>
              </w:rPr>
              <w:t>free prior informed consent</w:t>
            </w:r>
            <w:r w:rsidRPr="00632DBC">
              <w:rPr>
                <w:rFonts w:ascii="Times New Roman" w:hAnsi="Calibri"/>
                <w:sz w:val="18"/>
                <w:szCs w:val="18"/>
              </w:rPr>
              <w:t>”</w:t>
            </w:r>
            <w:r w:rsidRPr="00632DBC">
              <w:rPr>
                <w:rFonts w:ascii="Times New Roman" w:hAnsi="Calibri"/>
                <w:sz w:val="18"/>
                <w:szCs w:val="18"/>
              </w:rPr>
              <w:t xml:space="preserve"> as well as </w:t>
            </w:r>
            <w:r w:rsidRPr="00632DBC">
              <w:rPr>
                <w:rFonts w:ascii="Times New Roman" w:hAnsi="Calibri"/>
                <w:sz w:val="18"/>
                <w:szCs w:val="18"/>
              </w:rPr>
              <w:t>“</w:t>
            </w:r>
            <w:r w:rsidRPr="00632DBC">
              <w:rPr>
                <w:rFonts w:ascii="Times New Roman" w:hAnsi="Calibri"/>
                <w:sz w:val="18"/>
                <w:szCs w:val="18"/>
              </w:rPr>
              <w:t>prior informed consent</w:t>
            </w:r>
            <w:r w:rsidRPr="00632DBC">
              <w:rPr>
                <w:rFonts w:ascii="Times New Roman" w:hAnsi="Calibri"/>
                <w:sz w:val="18"/>
                <w:szCs w:val="18"/>
              </w:rPr>
              <w:t>”</w:t>
            </w:r>
            <w:r w:rsidRPr="00632DBC">
              <w:rPr>
                <w:rFonts w:ascii="Times New Roman" w:hAnsi="Calibri"/>
                <w:sz w:val="18"/>
                <w:szCs w:val="18"/>
              </w:rPr>
              <w:t xml:space="preserve"> (Section 5.2 </w:t>
            </w:r>
            <w:r w:rsidRPr="00632DBC">
              <w:rPr>
                <w:rFonts w:ascii="Times New Roman" w:hAnsi="Calibri"/>
                <w:sz w:val="18"/>
                <w:szCs w:val="18"/>
              </w:rPr>
              <w:t>“</w:t>
            </w:r>
            <w:r w:rsidRPr="00632DBC">
              <w:rPr>
                <w:rFonts w:ascii="Times New Roman" w:hAnsi="Calibri"/>
                <w:sz w:val="18"/>
                <w:szCs w:val="18"/>
              </w:rPr>
              <w:t>People</w:t>
            </w:r>
            <w:r w:rsidRPr="00632DBC">
              <w:rPr>
                <w:rFonts w:ascii="Times New Roman" w:hAnsi="Calibri"/>
                <w:sz w:val="18"/>
                <w:szCs w:val="18"/>
              </w:rPr>
              <w:t>’</w:t>
            </w:r>
            <w:r w:rsidRPr="00632DBC">
              <w:rPr>
                <w:rFonts w:ascii="Times New Roman" w:hAnsi="Calibri"/>
                <w:sz w:val="18"/>
                <w:szCs w:val="18"/>
              </w:rPr>
              <w:t xml:space="preserve">s rights, </w:t>
            </w:r>
            <w:r w:rsidR="003F6434" w:rsidRPr="00632DBC">
              <w:rPr>
                <w:rFonts w:ascii="Times New Roman" w:hAnsi="Calibri"/>
                <w:sz w:val="18"/>
                <w:szCs w:val="18"/>
              </w:rPr>
              <w:t>responsibilities and effective participation</w:t>
            </w:r>
            <w:r w:rsidRPr="00632DBC">
              <w:rPr>
                <w:rFonts w:ascii="Times New Roman" w:hAnsi="Calibri"/>
                <w:sz w:val="18"/>
                <w:szCs w:val="18"/>
              </w:rPr>
              <w:t>”</w:t>
            </w:r>
            <w:r w:rsidRPr="00632DBC">
              <w:rPr>
                <w:rFonts w:ascii="Times New Roman" w:hAnsi="Calibri"/>
                <w:sz w:val="18"/>
                <w:szCs w:val="18"/>
              </w:rPr>
              <w:t xml:space="preserve">, Guideline 2). </w:t>
            </w:r>
          </w:p>
          <w:p w14:paraId="7E948D8F" w14:textId="77777777" w:rsidR="00810C20" w:rsidRPr="00632DBC" w:rsidRDefault="00810C20" w:rsidP="00CF7E8B">
            <w:pPr>
              <w:rPr>
                <w:rFonts w:ascii="Times New Roman" w:hAnsi="Calibri"/>
                <w:sz w:val="18"/>
                <w:szCs w:val="18"/>
              </w:rPr>
            </w:pPr>
            <w:r w:rsidRPr="00632DBC">
              <w:rPr>
                <w:rFonts w:ascii="Times New Roman" w:hAnsi="Calibri"/>
                <w:sz w:val="18"/>
                <w:szCs w:val="18"/>
              </w:rPr>
              <w:t>A new paragraph has been included under Section 5.2.</w:t>
            </w:r>
          </w:p>
        </w:tc>
      </w:tr>
      <w:tr w:rsidR="00633A71" w:rsidRPr="00632DBC" w14:paraId="312B810B" w14:textId="77777777" w:rsidTr="00CF7E8B">
        <w:trPr>
          <w:trHeight w:val="1240"/>
        </w:trPr>
        <w:tc>
          <w:tcPr>
            <w:tcW w:w="3119" w:type="dxa"/>
            <w:vMerge w:val="restart"/>
            <w:shd w:val="clear" w:color="auto" w:fill="auto"/>
          </w:tcPr>
          <w:p w14:paraId="562B4353" w14:textId="77777777" w:rsidR="008C7C30" w:rsidRPr="00632DBC" w:rsidRDefault="008C7C30" w:rsidP="00CF7E8B">
            <w:pPr>
              <w:jc w:val="both"/>
              <w:rPr>
                <w:rFonts w:ascii="Times New Roman" w:hAnsi="Times New Roman"/>
                <w:b/>
                <w:bCs/>
                <w:sz w:val="18"/>
              </w:rPr>
            </w:pPr>
            <w:r w:rsidRPr="00632DBC">
              <w:rPr>
                <w:rFonts w:ascii="Times New Roman" w:hAnsi="Times New Roman"/>
                <w:b/>
                <w:sz w:val="18"/>
                <w:szCs w:val="24"/>
              </w:rPr>
              <w:t xml:space="preserve">Focus group at the Seventh Trondheim Conference </w:t>
            </w:r>
            <w:proofErr w:type="gramStart"/>
            <w:r w:rsidRPr="00632DBC">
              <w:rPr>
                <w:rFonts w:ascii="Times New Roman" w:hAnsi="Times New Roman"/>
                <w:b/>
                <w:sz w:val="18"/>
                <w:szCs w:val="24"/>
              </w:rPr>
              <w:t>On</w:t>
            </w:r>
            <w:proofErr w:type="gramEnd"/>
            <w:r w:rsidRPr="00632DBC">
              <w:rPr>
                <w:rFonts w:ascii="Times New Roman" w:hAnsi="Times New Roman"/>
                <w:b/>
                <w:sz w:val="18"/>
                <w:szCs w:val="24"/>
              </w:rPr>
              <w:t xml:space="preserve"> Biodiversity: Ecology And Economy For A Sustainable Society (Trondheim, Norway, 27-31 May 2013)</w:t>
            </w:r>
          </w:p>
          <w:p w14:paraId="54C2B67F" w14:textId="77777777" w:rsidR="008C7C30" w:rsidRPr="00632DBC" w:rsidRDefault="008C7C30" w:rsidP="00CF7E8B">
            <w:pPr>
              <w:jc w:val="both"/>
              <w:rPr>
                <w:rFonts w:ascii="Times New Roman" w:hAnsi="Times New Roman"/>
                <w:b/>
                <w:bCs/>
                <w:sz w:val="18"/>
              </w:rPr>
            </w:pPr>
            <w:r w:rsidRPr="00632DBC">
              <w:rPr>
                <w:rFonts w:ascii="Times New Roman" w:hAnsi="Times New Roman"/>
                <w:b/>
                <w:sz w:val="18"/>
                <w:szCs w:val="24"/>
              </w:rPr>
              <w:t>Organized by Norwegian Government in cooperation with the United Nations Environment Programme (UNEP), the Secretariat of the Convention on Biological Diversity (CBD), the Food and Agriculture Organization (FAO) and the United Nations Development Programme (UNDP)</w:t>
            </w:r>
          </w:p>
          <w:p w14:paraId="4CDFFCD4" w14:textId="77777777" w:rsidR="008C7C30" w:rsidRPr="00632DBC" w:rsidRDefault="008C7C30" w:rsidP="00CF7E8B">
            <w:pPr>
              <w:jc w:val="both"/>
              <w:rPr>
                <w:rFonts w:ascii="Times New Roman" w:hAnsi="Times New Roman"/>
                <w:b/>
                <w:bCs/>
                <w:sz w:val="18"/>
              </w:rPr>
            </w:pPr>
            <w:r w:rsidRPr="00632DBC">
              <w:rPr>
                <w:rFonts w:ascii="Times New Roman" w:hAnsi="Times New Roman"/>
                <w:b/>
                <w:sz w:val="18"/>
                <w:szCs w:val="24"/>
              </w:rPr>
              <w:t>Participants: Member States, relevant UN entities and selected international organizations and institutions that are involved in supporting the implementation of the CBD.</w:t>
            </w:r>
          </w:p>
          <w:p w14:paraId="47F330EC" w14:textId="77777777" w:rsidR="008C7C30" w:rsidRPr="00632DBC" w:rsidRDefault="008C7C30" w:rsidP="00CF7E8B">
            <w:pPr>
              <w:jc w:val="both"/>
              <w:rPr>
                <w:rFonts w:ascii="Times New Roman" w:hAnsi="Times New Roman"/>
                <w:b/>
                <w:sz w:val="18"/>
              </w:rPr>
            </w:pPr>
            <w:r w:rsidRPr="00632DBC">
              <w:rPr>
                <w:rFonts w:ascii="Times New Roman" w:hAnsi="Times New Roman"/>
                <w:b/>
                <w:sz w:val="18"/>
                <w:szCs w:val="24"/>
              </w:rPr>
              <w:t>Presentation and focus group.</w:t>
            </w:r>
          </w:p>
          <w:p w14:paraId="238F1CEE" w14:textId="77777777" w:rsidR="008C7C30" w:rsidRPr="00632DBC" w:rsidRDefault="00132089" w:rsidP="00CF7E8B">
            <w:pPr>
              <w:jc w:val="both"/>
              <w:rPr>
                <w:rStyle w:val="Hyperlink"/>
                <w:rFonts w:ascii="Times New Roman" w:hAnsi="Times New Roman"/>
                <w:b/>
                <w:color w:val="auto"/>
                <w:sz w:val="18"/>
                <w:szCs w:val="24"/>
              </w:rPr>
            </w:pPr>
            <w:hyperlink r:id="rId130" w:history="1">
              <w:r w:rsidR="008C7C30" w:rsidRPr="00632DBC">
                <w:rPr>
                  <w:rStyle w:val="Hyperlink"/>
                  <w:rFonts w:ascii="Times New Roman" w:hAnsi="Times New Roman"/>
                  <w:b/>
                  <w:color w:val="auto"/>
                  <w:sz w:val="18"/>
                  <w:szCs w:val="24"/>
                </w:rPr>
                <w:t>http://www.cbd.int/doc/notifications/2013/ntf-2013-002-trondheim-en.pdf</w:t>
              </w:r>
            </w:hyperlink>
          </w:p>
          <w:p w14:paraId="57A8BAC1" w14:textId="144DC08E" w:rsidR="00294E11" w:rsidRPr="00633A71" w:rsidRDefault="00132089" w:rsidP="00CF7E8B">
            <w:pPr>
              <w:jc w:val="both"/>
              <w:rPr>
                <w:rFonts w:ascii="Times New Roman" w:hAnsi="Times New Roman"/>
                <w:b/>
                <w:sz w:val="18"/>
              </w:rPr>
            </w:pPr>
            <w:hyperlink r:id="rId131" w:history="1">
              <w:r w:rsidR="00294E11" w:rsidRPr="00632DBC">
                <w:rPr>
                  <w:rStyle w:val="Hyperlink"/>
                  <w:rFonts w:ascii="Times New Roman" w:hAnsi="Times New Roman"/>
                  <w:b/>
                  <w:color w:val="auto"/>
                  <w:sz w:val="18"/>
                </w:rPr>
                <w:t>https://www.cbd.int/sbstta/doc/trondheim-07-cochairs-report-en.pdf</w:t>
              </w:r>
            </w:hyperlink>
          </w:p>
        </w:tc>
        <w:tc>
          <w:tcPr>
            <w:tcW w:w="3119" w:type="dxa"/>
            <w:shd w:val="clear" w:color="auto" w:fill="auto"/>
          </w:tcPr>
          <w:p w14:paraId="7F1162F7" w14:textId="132A51C9" w:rsidR="008C7C30" w:rsidRPr="00504B5E" w:rsidRDefault="008C7C30" w:rsidP="00CF7E8B">
            <w:pPr>
              <w:rPr>
                <w:rFonts w:ascii="Times New Roman" w:hAnsi="Calibri"/>
                <w:sz w:val="18"/>
                <w:szCs w:val="18"/>
              </w:rPr>
            </w:pPr>
            <w:r w:rsidRPr="00633A71">
              <w:rPr>
                <w:rFonts w:ascii="Times New Roman" w:hAnsi="Calibri"/>
                <w:sz w:val="18"/>
                <w:szCs w:val="18"/>
              </w:rPr>
              <w:t xml:space="preserve">Include more references to lessons </w:t>
            </w:r>
            <w:r w:rsidR="007452C8" w:rsidRPr="00633A71">
              <w:rPr>
                <w:rFonts w:ascii="Times New Roman" w:hAnsi="Calibri"/>
                <w:sz w:val="18"/>
                <w:szCs w:val="18"/>
              </w:rPr>
              <w:t>learned</w:t>
            </w:r>
            <w:r w:rsidRPr="00504B5E">
              <w:rPr>
                <w:rFonts w:ascii="Times New Roman" w:hAnsi="Calibri"/>
                <w:sz w:val="18"/>
                <w:szCs w:val="18"/>
              </w:rPr>
              <w:t xml:space="preserve"> from countries safeguarding experiences and provide more concrete examples of national implementation.</w:t>
            </w:r>
          </w:p>
        </w:tc>
        <w:tc>
          <w:tcPr>
            <w:tcW w:w="3119" w:type="dxa"/>
            <w:shd w:val="clear" w:color="auto" w:fill="auto"/>
          </w:tcPr>
          <w:p w14:paraId="590E8A4D" w14:textId="657556DE" w:rsidR="008C7C30" w:rsidRPr="00504B5E" w:rsidRDefault="008C7C30" w:rsidP="00CF7E8B">
            <w:pPr>
              <w:rPr>
                <w:rFonts w:ascii="Times New Roman" w:hAnsi="Calibri"/>
                <w:sz w:val="18"/>
                <w:szCs w:val="18"/>
              </w:rPr>
            </w:pPr>
            <w:r w:rsidRPr="00504B5E">
              <w:rPr>
                <w:rFonts w:ascii="Times New Roman" w:hAnsi="Calibri"/>
                <w:sz w:val="18"/>
                <w:szCs w:val="18"/>
              </w:rPr>
              <w:t>As part of the proposed roadmap to operationalize the guidelines, the paper suggests that States and relevant stakeholders identify the national policies and legal provisions relevant for safeguards and the process of scaling up biodiversity financing.</w:t>
            </w:r>
          </w:p>
          <w:p w14:paraId="1DDC8D75" w14:textId="77777777" w:rsidR="008C7C30" w:rsidRPr="00504B5E" w:rsidRDefault="008C7C30" w:rsidP="00CF7E8B">
            <w:pPr>
              <w:rPr>
                <w:rFonts w:ascii="Times New Roman" w:hAnsi="Calibri"/>
                <w:sz w:val="18"/>
                <w:szCs w:val="18"/>
              </w:rPr>
            </w:pPr>
            <w:r w:rsidRPr="00504B5E">
              <w:rPr>
                <w:rFonts w:ascii="Times New Roman" w:hAnsi="Calibri"/>
                <w:sz w:val="18"/>
                <w:szCs w:val="18"/>
              </w:rPr>
              <w:t>New examples of Ecuador, Switzerland and France have been included.</w:t>
            </w:r>
          </w:p>
        </w:tc>
      </w:tr>
      <w:tr w:rsidR="00633A71" w:rsidRPr="00632DBC" w14:paraId="10ECFEC5" w14:textId="77777777" w:rsidTr="008C7C30">
        <w:trPr>
          <w:trHeight w:val="1700"/>
        </w:trPr>
        <w:tc>
          <w:tcPr>
            <w:tcW w:w="3119" w:type="dxa"/>
            <w:vMerge/>
            <w:shd w:val="clear" w:color="auto" w:fill="auto"/>
          </w:tcPr>
          <w:p w14:paraId="6D025E08" w14:textId="77777777" w:rsidR="008C7C30" w:rsidRPr="00632DBC" w:rsidRDefault="008C7C30" w:rsidP="00CF7E8B">
            <w:pPr>
              <w:jc w:val="both"/>
              <w:rPr>
                <w:rFonts w:ascii="Times New Roman" w:hAnsi="Times New Roman"/>
                <w:b/>
                <w:sz w:val="18"/>
              </w:rPr>
            </w:pPr>
          </w:p>
        </w:tc>
        <w:tc>
          <w:tcPr>
            <w:tcW w:w="3119" w:type="dxa"/>
            <w:tcBorders>
              <w:bottom w:val="single" w:sz="4" w:space="0" w:color="auto"/>
            </w:tcBorders>
            <w:shd w:val="clear" w:color="auto" w:fill="auto"/>
          </w:tcPr>
          <w:p w14:paraId="0EDE4D59" w14:textId="77777777" w:rsidR="008C7C30" w:rsidRPr="00632DBC" w:rsidRDefault="008C7C30" w:rsidP="00CF7E8B">
            <w:pPr>
              <w:rPr>
                <w:rFonts w:ascii="Times New Roman" w:hAnsi="Calibri"/>
                <w:sz w:val="18"/>
                <w:szCs w:val="18"/>
              </w:rPr>
            </w:pPr>
            <w:r w:rsidRPr="00632DBC">
              <w:rPr>
                <w:rFonts w:ascii="Times New Roman" w:hAnsi="Calibri"/>
                <w:sz w:val="18"/>
                <w:szCs w:val="18"/>
              </w:rPr>
              <w:t>Emphasis on the involvement of relevant actors.</w:t>
            </w:r>
          </w:p>
        </w:tc>
        <w:tc>
          <w:tcPr>
            <w:tcW w:w="3119" w:type="dxa"/>
            <w:tcBorders>
              <w:bottom w:val="single" w:sz="4" w:space="0" w:color="auto"/>
            </w:tcBorders>
            <w:shd w:val="clear" w:color="auto" w:fill="auto"/>
          </w:tcPr>
          <w:p w14:paraId="014A0D4D" w14:textId="77777777" w:rsidR="008C7C30" w:rsidRPr="00632DBC" w:rsidRDefault="008C7C30" w:rsidP="00CF7E8B">
            <w:pPr>
              <w:rPr>
                <w:rFonts w:ascii="Times New Roman" w:hAnsi="Calibri"/>
                <w:sz w:val="18"/>
                <w:szCs w:val="18"/>
              </w:rPr>
            </w:pPr>
            <w:r w:rsidRPr="00632DBC">
              <w:rPr>
                <w:rFonts w:ascii="Times New Roman" w:hAnsi="Calibri"/>
                <w:sz w:val="18"/>
                <w:szCs w:val="18"/>
              </w:rPr>
              <w:t>The importance of participation and involving key stakeholders that are affecting or affected by the outcomes of the mechanisms is now highlighted throughout the paper.</w:t>
            </w:r>
          </w:p>
        </w:tc>
      </w:tr>
      <w:tr w:rsidR="00633A71" w:rsidRPr="00632DBC" w14:paraId="6ECE5C62" w14:textId="77777777" w:rsidTr="008C7C30">
        <w:trPr>
          <w:trHeight w:val="2450"/>
        </w:trPr>
        <w:tc>
          <w:tcPr>
            <w:tcW w:w="3119" w:type="dxa"/>
            <w:vMerge/>
            <w:shd w:val="clear" w:color="auto" w:fill="auto"/>
          </w:tcPr>
          <w:p w14:paraId="17C8056A" w14:textId="77777777" w:rsidR="008C7C30" w:rsidRPr="00632DBC" w:rsidRDefault="008C7C30" w:rsidP="00CF7E8B">
            <w:pPr>
              <w:jc w:val="both"/>
              <w:rPr>
                <w:rFonts w:ascii="Times New Roman" w:hAnsi="Times New Roman"/>
                <w:b/>
                <w:sz w:val="18"/>
              </w:rPr>
            </w:pPr>
          </w:p>
        </w:tc>
        <w:tc>
          <w:tcPr>
            <w:tcW w:w="3119" w:type="dxa"/>
            <w:tcBorders>
              <w:top w:val="single" w:sz="4" w:space="0" w:color="auto"/>
            </w:tcBorders>
            <w:shd w:val="clear" w:color="auto" w:fill="auto"/>
          </w:tcPr>
          <w:p w14:paraId="6F846329" w14:textId="6022752F" w:rsidR="008C7C30" w:rsidRPr="00632DBC" w:rsidRDefault="008C7C30" w:rsidP="008C7C30">
            <w:pPr>
              <w:widowControl w:val="0"/>
              <w:autoSpaceDE w:val="0"/>
              <w:autoSpaceDN w:val="0"/>
              <w:adjustRightInd w:val="0"/>
              <w:spacing w:after="0" w:line="240" w:lineRule="auto"/>
              <w:rPr>
                <w:rFonts w:ascii="Times New Roman" w:eastAsiaTheme="minorEastAsia" w:hAnsi="Times New Roman"/>
                <w:sz w:val="18"/>
                <w:szCs w:val="18"/>
                <w:lang w:eastAsia="sv-SE" w:bidi="ar-SA"/>
              </w:rPr>
            </w:pPr>
            <w:r w:rsidRPr="00632DBC">
              <w:rPr>
                <w:rFonts w:ascii="Times New Roman" w:eastAsiaTheme="minorEastAsia" w:hAnsi="Times New Roman"/>
                <w:sz w:val="18"/>
                <w:szCs w:val="18"/>
                <w:lang w:eastAsia="sv-SE" w:bidi="ar-SA"/>
              </w:rPr>
              <w:t>Specific substantive and procedural safeguards that respond to the risks and opportunities of each biodiversity financing mechanism are needed, and safeguarding efforts can be made more effective by harmonizing different safeguards in scaling-up biodiversity financing.</w:t>
            </w:r>
          </w:p>
        </w:tc>
        <w:tc>
          <w:tcPr>
            <w:tcW w:w="3119" w:type="dxa"/>
            <w:tcBorders>
              <w:top w:val="single" w:sz="4" w:space="0" w:color="auto"/>
            </w:tcBorders>
            <w:shd w:val="clear" w:color="auto" w:fill="auto"/>
          </w:tcPr>
          <w:p w14:paraId="1320B254" w14:textId="6EC79A02" w:rsidR="00C16E57" w:rsidRPr="00632DBC" w:rsidRDefault="00C16E57" w:rsidP="00C16E57">
            <w:pPr>
              <w:rPr>
                <w:rFonts w:ascii="Times New Roman" w:hAnsi="Calibri"/>
                <w:sz w:val="18"/>
                <w:szCs w:val="18"/>
              </w:rPr>
            </w:pPr>
            <w:r w:rsidRPr="00632DBC">
              <w:rPr>
                <w:rFonts w:ascii="Times New Roman" w:hAnsi="Calibri"/>
                <w:sz w:val="18"/>
                <w:szCs w:val="18"/>
              </w:rPr>
              <w:t xml:space="preserve">Lessons learnt from concrete cases were included. Special attention was paid to the correlation between substantive and procedural safeguards. </w:t>
            </w:r>
          </w:p>
          <w:p w14:paraId="10C427E0" w14:textId="77777777" w:rsidR="00C16E57" w:rsidRPr="00632DBC" w:rsidRDefault="00C16E57" w:rsidP="00C16E57">
            <w:pPr>
              <w:rPr>
                <w:rFonts w:ascii="Times New Roman" w:hAnsi="Calibri"/>
                <w:sz w:val="18"/>
                <w:szCs w:val="18"/>
              </w:rPr>
            </w:pPr>
          </w:p>
          <w:p w14:paraId="44DD09D0" w14:textId="6865F437" w:rsidR="008C7C30" w:rsidRPr="00632DBC" w:rsidRDefault="00C16E57" w:rsidP="00C16E57">
            <w:pPr>
              <w:rPr>
                <w:rFonts w:ascii="Times New Roman" w:hAnsi="Calibri"/>
                <w:sz w:val="18"/>
                <w:szCs w:val="18"/>
              </w:rPr>
            </w:pPr>
            <w:r w:rsidRPr="00632DBC">
              <w:rPr>
                <w:rFonts w:ascii="Times New Roman" w:hAnsi="Calibri"/>
                <w:sz w:val="18"/>
                <w:szCs w:val="18"/>
              </w:rPr>
              <w:t xml:space="preserve"> </w:t>
            </w:r>
          </w:p>
        </w:tc>
      </w:tr>
      <w:tr w:rsidR="00633A71" w:rsidRPr="00632DBC" w14:paraId="23C1F214" w14:textId="77777777" w:rsidTr="00CF7E8B">
        <w:trPr>
          <w:trHeight w:val="800"/>
        </w:trPr>
        <w:tc>
          <w:tcPr>
            <w:tcW w:w="3119" w:type="dxa"/>
            <w:vMerge w:val="restart"/>
            <w:shd w:val="clear" w:color="auto" w:fill="auto"/>
          </w:tcPr>
          <w:p w14:paraId="6EF67D18" w14:textId="435E392C" w:rsidR="00810C20" w:rsidRPr="00632DBC" w:rsidRDefault="00810C20" w:rsidP="00CF7E8B">
            <w:pPr>
              <w:jc w:val="both"/>
              <w:rPr>
                <w:rFonts w:ascii="Times New Roman" w:hAnsi="Times New Roman"/>
                <w:b/>
                <w:sz w:val="18"/>
              </w:rPr>
            </w:pPr>
            <w:r w:rsidRPr="00632DBC">
              <w:rPr>
                <w:rFonts w:ascii="Times New Roman" w:hAnsi="Times New Roman"/>
                <w:b/>
                <w:sz w:val="18"/>
                <w:szCs w:val="24"/>
              </w:rPr>
              <w:t xml:space="preserve">Dialogue SRC – Faculty of Law, Stockholm University. Discussant, Jonas </w:t>
            </w:r>
            <w:proofErr w:type="spellStart"/>
            <w:r w:rsidRPr="00632DBC">
              <w:rPr>
                <w:rFonts w:ascii="Times New Roman" w:hAnsi="Times New Roman"/>
                <w:b/>
                <w:sz w:val="18"/>
                <w:szCs w:val="24"/>
              </w:rPr>
              <w:t>Ebbesson</w:t>
            </w:r>
            <w:proofErr w:type="spellEnd"/>
            <w:r w:rsidRPr="00632DBC">
              <w:rPr>
                <w:rFonts w:ascii="Times New Roman" w:hAnsi="Times New Roman"/>
                <w:b/>
                <w:sz w:val="18"/>
                <w:szCs w:val="24"/>
              </w:rPr>
              <w:t xml:space="preserve">, Professor of Environmental Law at Stockholm University and Chair of the Aarhus Compliance Committee. </w:t>
            </w:r>
          </w:p>
          <w:p w14:paraId="0129E989"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Participants: researchers at students from SRC and Faculty of Law, Stockholm University.</w:t>
            </w:r>
          </w:p>
          <w:p w14:paraId="3FF0E68A" w14:textId="77777777" w:rsidR="00810C20" w:rsidRPr="00632DBC" w:rsidRDefault="00810C20" w:rsidP="00CF7E8B">
            <w:pPr>
              <w:jc w:val="both"/>
              <w:rPr>
                <w:rFonts w:ascii="Times New Roman" w:hAnsi="Times New Roman"/>
                <w:b/>
                <w:sz w:val="18"/>
              </w:rPr>
            </w:pPr>
            <w:r w:rsidRPr="00632DBC">
              <w:rPr>
                <w:rFonts w:ascii="Times New Roman" w:hAnsi="Times New Roman"/>
                <w:b/>
                <w:sz w:val="18"/>
                <w:szCs w:val="24"/>
              </w:rPr>
              <w:lastRenderedPageBreak/>
              <w:t>Presentation, discussant reply and Q&amp;A.</w:t>
            </w:r>
          </w:p>
        </w:tc>
        <w:tc>
          <w:tcPr>
            <w:tcW w:w="3119" w:type="dxa"/>
            <w:shd w:val="clear" w:color="auto" w:fill="auto"/>
          </w:tcPr>
          <w:p w14:paraId="17C917B3" w14:textId="77777777" w:rsidR="00810C20" w:rsidRPr="00632DBC" w:rsidRDefault="00810C20" w:rsidP="00CF7E8B">
            <w:pPr>
              <w:rPr>
                <w:rFonts w:ascii="Times New Roman" w:hAnsi="Times New Roman"/>
                <w:sz w:val="18"/>
              </w:rPr>
            </w:pPr>
            <w:r w:rsidRPr="00632DBC">
              <w:rPr>
                <w:rFonts w:ascii="Times New Roman" w:hAnsi="Times New Roman"/>
                <w:sz w:val="18"/>
                <w:szCs w:val="24"/>
              </w:rPr>
              <w:lastRenderedPageBreak/>
              <w:t>Emphasis on multilevel governance including the local-level and its relationship to human rights.</w:t>
            </w:r>
          </w:p>
        </w:tc>
        <w:tc>
          <w:tcPr>
            <w:tcW w:w="3119" w:type="dxa"/>
            <w:shd w:val="clear" w:color="auto" w:fill="auto"/>
            <w:vAlign w:val="center"/>
          </w:tcPr>
          <w:p w14:paraId="189EEB9F" w14:textId="6A80CF73" w:rsidR="00810C20" w:rsidRPr="00632DBC" w:rsidRDefault="00810C20" w:rsidP="00CF7E8B">
            <w:pPr>
              <w:rPr>
                <w:rFonts w:ascii="Times New Roman" w:hAnsi="Calibri"/>
                <w:sz w:val="18"/>
                <w:szCs w:val="18"/>
              </w:rPr>
            </w:pPr>
            <w:r w:rsidRPr="00632DBC">
              <w:rPr>
                <w:rFonts w:ascii="Times New Roman" w:hAnsi="Calibri"/>
                <w:sz w:val="18"/>
                <w:szCs w:val="18"/>
              </w:rPr>
              <w:t xml:space="preserve">As part of the proposed roadmap to operationalize the guidelines, the paper suggests </w:t>
            </w:r>
            <w:proofErr w:type="gramStart"/>
            <w:r w:rsidRPr="00632DBC">
              <w:rPr>
                <w:rFonts w:ascii="Times New Roman" w:hAnsi="Calibri"/>
                <w:sz w:val="18"/>
                <w:szCs w:val="18"/>
              </w:rPr>
              <w:t>to engage</w:t>
            </w:r>
            <w:proofErr w:type="gramEnd"/>
            <w:r w:rsidRPr="00632DBC">
              <w:rPr>
                <w:rFonts w:ascii="Times New Roman" w:hAnsi="Calibri"/>
                <w:sz w:val="18"/>
                <w:szCs w:val="18"/>
              </w:rPr>
              <w:t xml:space="preserve"> in dialogue with bodies such as the Human Rights Council and the </w:t>
            </w:r>
            <w:r w:rsidR="00026B10" w:rsidRPr="00632DBC">
              <w:rPr>
                <w:rFonts w:ascii="Times New Roman" w:hAnsi="Calibri"/>
                <w:sz w:val="18"/>
                <w:szCs w:val="18"/>
              </w:rPr>
              <w:t xml:space="preserve">UN </w:t>
            </w:r>
            <w:r w:rsidRPr="00632DBC">
              <w:rPr>
                <w:rFonts w:ascii="Times New Roman" w:hAnsi="Calibri"/>
                <w:sz w:val="18"/>
                <w:szCs w:val="18"/>
              </w:rPr>
              <w:t xml:space="preserve">Permanent Forum </w:t>
            </w:r>
            <w:r w:rsidR="00026B10" w:rsidRPr="00632DBC">
              <w:rPr>
                <w:rFonts w:ascii="Times New Roman" w:hAnsi="Calibri"/>
                <w:sz w:val="18"/>
                <w:szCs w:val="18"/>
              </w:rPr>
              <w:t>on</w:t>
            </w:r>
            <w:r w:rsidRPr="00632DBC">
              <w:rPr>
                <w:rFonts w:ascii="Times New Roman" w:hAnsi="Calibri"/>
                <w:sz w:val="18"/>
                <w:szCs w:val="18"/>
              </w:rPr>
              <w:t xml:space="preserve"> Indigenous </w:t>
            </w:r>
            <w:r w:rsidR="00026B10" w:rsidRPr="00632DBC">
              <w:rPr>
                <w:rFonts w:ascii="Times New Roman" w:hAnsi="Calibri"/>
                <w:sz w:val="18"/>
                <w:szCs w:val="18"/>
              </w:rPr>
              <w:t>Issues</w:t>
            </w:r>
            <w:r w:rsidRPr="00632DBC">
              <w:rPr>
                <w:rFonts w:ascii="Times New Roman" w:hAnsi="Calibri"/>
                <w:sz w:val="18"/>
                <w:szCs w:val="18"/>
              </w:rPr>
              <w:t>.</w:t>
            </w:r>
          </w:p>
        </w:tc>
      </w:tr>
      <w:tr w:rsidR="00633A71" w:rsidRPr="00632DBC" w14:paraId="0AA8BDCE" w14:textId="77777777" w:rsidTr="00CF7E8B">
        <w:trPr>
          <w:trHeight w:val="480"/>
        </w:trPr>
        <w:tc>
          <w:tcPr>
            <w:tcW w:w="3119" w:type="dxa"/>
            <w:vMerge/>
            <w:shd w:val="clear" w:color="auto" w:fill="auto"/>
          </w:tcPr>
          <w:p w14:paraId="6270AF66" w14:textId="77777777" w:rsidR="00810C20" w:rsidRPr="00632DBC" w:rsidRDefault="00810C20" w:rsidP="00CF7E8B">
            <w:pPr>
              <w:jc w:val="both"/>
              <w:rPr>
                <w:rFonts w:ascii="Times New Roman" w:hAnsi="Times New Roman"/>
                <w:b/>
                <w:sz w:val="18"/>
              </w:rPr>
            </w:pPr>
          </w:p>
        </w:tc>
        <w:tc>
          <w:tcPr>
            <w:tcW w:w="3119" w:type="dxa"/>
            <w:shd w:val="clear" w:color="auto" w:fill="auto"/>
          </w:tcPr>
          <w:p w14:paraId="1805B67F" w14:textId="77777777" w:rsidR="00810C20" w:rsidRPr="00632DBC" w:rsidRDefault="00810C20" w:rsidP="00CF7E8B">
            <w:pPr>
              <w:rPr>
                <w:rFonts w:ascii="Times New Roman" w:hAnsi="Calibri"/>
                <w:sz w:val="18"/>
                <w:szCs w:val="18"/>
              </w:rPr>
            </w:pPr>
            <w:r w:rsidRPr="00632DBC">
              <w:rPr>
                <w:rFonts w:ascii="Times New Roman" w:hAnsi="Calibri"/>
                <w:sz w:val="18"/>
                <w:szCs w:val="18"/>
              </w:rPr>
              <w:t xml:space="preserve">Need to stress the importance of country-specific safeguards. </w:t>
            </w:r>
          </w:p>
        </w:tc>
        <w:tc>
          <w:tcPr>
            <w:tcW w:w="3119" w:type="dxa"/>
            <w:shd w:val="clear" w:color="auto" w:fill="auto"/>
          </w:tcPr>
          <w:p w14:paraId="2E36E2D4" w14:textId="33C2C326" w:rsidR="00810C20" w:rsidRPr="00632DBC" w:rsidRDefault="00810C20" w:rsidP="00CF7E8B">
            <w:pPr>
              <w:rPr>
                <w:rFonts w:ascii="Times New Roman" w:hAnsi="Calibri"/>
                <w:sz w:val="18"/>
                <w:szCs w:val="18"/>
              </w:rPr>
            </w:pPr>
            <w:r w:rsidRPr="00632DBC">
              <w:rPr>
                <w:rFonts w:ascii="Times New Roman" w:hAnsi="Calibri"/>
                <w:sz w:val="18"/>
                <w:szCs w:val="18"/>
              </w:rPr>
              <w:t xml:space="preserve">As part of the </w:t>
            </w:r>
            <w:r w:rsidR="003A65CE" w:rsidRPr="00632DBC">
              <w:rPr>
                <w:rFonts w:ascii="Times New Roman" w:hAnsi="Calibri"/>
                <w:sz w:val="18"/>
                <w:szCs w:val="18"/>
              </w:rPr>
              <w:t>adopted</w:t>
            </w:r>
            <w:r w:rsidRPr="00632DBC">
              <w:rPr>
                <w:rFonts w:ascii="Times New Roman" w:hAnsi="Calibri"/>
                <w:sz w:val="18"/>
                <w:szCs w:val="18"/>
              </w:rPr>
              <w:t xml:space="preserve"> roadmap to operationalize the guidelines, the paper suggests that States and relevant stakeholders identify the national policies and legal provisions relevant </w:t>
            </w:r>
            <w:r w:rsidRPr="00632DBC">
              <w:rPr>
                <w:rFonts w:ascii="Times New Roman" w:hAnsi="Calibri"/>
                <w:sz w:val="18"/>
                <w:szCs w:val="18"/>
              </w:rPr>
              <w:lastRenderedPageBreak/>
              <w:t>for safeguards and the process of scaling up biodiversity financing.</w:t>
            </w:r>
          </w:p>
        </w:tc>
      </w:tr>
      <w:tr w:rsidR="00633A71" w:rsidRPr="00632DBC" w14:paraId="7CCADCD7" w14:textId="77777777" w:rsidTr="00CF7E8B">
        <w:trPr>
          <w:trHeight w:val="480"/>
        </w:trPr>
        <w:tc>
          <w:tcPr>
            <w:tcW w:w="3119" w:type="dxa"/>
            <w:vMerge/>
            <w:shd w:val="clear" w:color="auto" w:fill="auto"/>
          </w:tcPr>
          <w:p w14:paraId="068632B3" w14:textId="77777777" w:rsidR="00810C20" w:rsidRPr="00632DBC" w:rsidRDefault="00810C20" w:rsidP="00CF7E8B">
            <w:pPr>
              <w:jc w:val="both"/>
              <w:rPr>
                <w:rFonts w:ascii="Times New Roman" w:hAnsi="Times New Roman"/>
                <w:b/>
                <w:sz w:val="18"/>
              </w:rPr>
            </w:pPr>
          </w:p>
        </w:tc>
        <w:tc>
          <w:tcPr>
            <w:tcW w:w="3119" w:type="dxa"/>
            <w:shd w:val="clear" w:color="auto" w:fill="auto"/>
          </w:tcPr>
          <w:p w14:paraId="6553AC9B" w14:textId="77777777" w:rsidR="00810C20" w:rsidRPr="00632DBC" w:rsidRDefault="00810C20" w:rsidP="00CF7E8B">
            <w:pPr>
              <w:rPr>
                <w:rFonts w:ascii="Times New Roman" w:hAnsi="Calibri"/>
                <w:sz w:val="18"/>
                <w:szCs w:val="18"/>
              </w:rPr>
            </w:pPr>
            <w:r w:rsidRPr="00632DBC">
              <w:rPr>
                <w:rFonts w:ascii="Times New Roman" w:hAnsi="Calibri"/>
                <w:sz w:val="18"/>
                <w:szCs w:val="18"/>
              </w:rPr>
              <w:t>Importance of compliance mechanisms with enforceable rights and responsibilities.</w:t>
            </w:r>
          </w:p>
        </w:tc>
        <w:tc>
          <w:tcPr>
            <w:tcW w:w="3119" w:type="dxa"/>
            <w:shd w:val="clear" w:color="auto" w:fill="auto"/>
          </w:tcPr>
          <w:p w14:paraId="56119D42" w14:textId="5F68CCE8" w:rsidR="00810C20" w:rsidRPr="00632DBC" w:rsidRDefault="00810C20" w:rsidP="00CF7E8B">
            <w:pPr>
              <w:rPr>
                <w:rFonts w:ascii="Times New Roman" w:hAnsi="Calibri"/>
                <w:sz w:val="18"/>
                <w:szCs w:val="18"/>
              </w:rPr>
            </w:pPr>
            <w:r w:rsidRPr="00632DBC">
              <w:rPr>
                <w:rFonts w:ascii="Times New Roman" w:hAnsi="Calibri"/>
                <w:sz w:val="18"/>
                <w:szCs w:val="18"/>
              </w:rPr>
              <w:t xml:space="preserve">Guideline 4 </w:t>
            </w:r>
            <w:r w:rsidRPr="00632DBC">
              <w:rPr>
                <w:rFonts w:ascii="Times New Roman" w:hAnsi="Calibri"/>
                <w:sz w:val="18"/>
                <w:szCs w:val="18"/>
              </w:rPr>
              <w:t>“</w:t>
            </w:r>
            <w:r w:rsidR="003F6434" w:rsidRPr="00632DBC">
              <w:rPr>
                <w:rFonts w:ascii="Times New Roman" w:hAnsi="Calibri"/>
                <w:sz w:val="18"/>
                <w:szCs w:val="18"/>
              </w:rPr>
              <w:t>Governance, institutional frameworks, transparency, accountability and compliance</w:t>
            </w:r>
            <w:r w:rsidRPr="00632DBC">
              <w:rPr>
                <w:rFonts w:ascii="Times New Roman" w:hAnsi="Calibri"/>
                <w:sz w:val="18"/>
                <w:szCs w:val="18"/>
              </w:rPr>
              <w:t>”</w:t>
            </w:r>
            <w:r w:rsidRPr="00632DBC">
              <w:rPr>
                <w:rFonts w:ascii="Times New Roman" w:hAnsi="Calibri"/>
                <w:sz w:val="18"/>
                <w:szCs w:val="18"/>
              </w:rPr>
              <w:t xml:space="preserve"> now includes transparency and compliance mechanisms with enforceable rights and responsibilities.</w:t>
            </w:r>
          </w:p>
        </w:tc>
      </w:tr>
      <w:tr w:rsidR="00633A71" w:rsidRPr="00632DBC" w14:paraId="12E4E5D6" w14:textId="77777777" w:rsidTr="00CF7E8B">
        <w:trPr>
          <w:trHeight w:val="1059"/>
        </w:trPr>
        <w:tc>
          <w:tcPr>
            <w:tcW w:w="3119" w:type="dxa"/>
            <w:vMerge w:val="restart"/>
            <w:shd w:val="clear" w:color="auto" w:fill="auto"/>
          </w:tcPr>
          <w:p w14:paraId="0D872B94"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Focus Group at the Bonn Experts Workshop on Community-Based Monitoring and Information Systems (April 2013)</w:t>
            </w:r>
          </w:p>
          <w:p w14:paraId="159F8FD4" w14:textId="77777777" w:rsidR="00810C20" w:rsidRPr="00632DBC" w:rsidRDefault="00810C20" w:rsidP="00CF7E8B">
            <w:pPr>
              <w:jc w:val="both"/>
              <w:rPr>
                <w:rFonts w:ascii="Times New Roman" w:hAnsi="Times New Roman"/>
                <w:b/>
                <w:bCs/>
                <w:sz w:val="18"/>
              </w:rPr>
            </w:pPr>
          </w:p>
          <w:p w14:paraId="255D814C" w14:textId="446A626C"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Participants: different stakeholders (NGOs, academia and intergovernmental organizations) that share interests and expertise on Traditional knowledge, biodiversity, human well-being and the rights of Indigenous people</w:t>
            </w:r>
            <w:r w:rsidR="00342ECB" w:rsidRPr="00632DBC">
              <w:rPr>
                <w:rFonts w:ascii="Times New Roman" w:hAnsi="Times New Roman"/>
                <w:b/>
                <w:sz w:val="18"/>
                <w:szCs w:val="24"/>
              </w:rPr>
              <w:t>s</w:t>
            </w:r>
            <w:r w:rsidRPr="00632DBC">
              <w:rPr>
                <w:rFonts w:ascii="Times New Roman" w:hAnsi="Times New Roman"/>
                <w:b/>
                <w:sz w:val="18"/>
                <w:szCs w:val="24"/>
              </w:rPr>
              <w:t xml:space="preserve">. </w:t>
            </w:r>
          </w:p>
          <w:p w14:paraId="0F360CD1" w14:textId="77777777" w:rsidR="00810C20" w:rsidRPr="00632DBC" w:rsidRDefault="00810C20" w:rsidP="00CF7E8B">
            <w:pPr>
              <w:jc w:val="both"/>
              <w:rPr>
                <w:rFonts w:ascii="Times New Roman" w:hAnsi="Times New Roman"/>
                <w:b/>
                <w:bCs/>
                <w:sz w:val="18"/>
              </w:rPr>
            </w:pPr>
          </w:p>
          <w:p w14:paraId="279656FD"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Presentation, Q&amp;A and focus group.</w:t>
            </w:r>
          </w:p>
          <w:p w14:paraId="4D93F011" w14:textId="77777777" w:rsidR="00810C20" w:rsidRPr="00632DBC" w:rsidRDefault="00810C20" w:rsidP="00CF7E8B">
            <w:pPr>
              <w:jc w:val="both"/>
              <w:rPr>
                <w:rFonts w:ascii="Times New Roman" w:hAnsi="Times New Roman"/>
                <w:b/>
                <w:bCs/>
                <w:sz w:val="18"/>
              </w:rPr>
            </w:pPr>
          </w:p>
          <w:p w14:paraId="3F6D92F1" w14:textId="77777777" w:rsidR="00810C20" w:rsidRPr="00633A71" w:rsidRDefault="00132089" w:rsidP="00CF7E8B">
            <w:pPr>
              <w:jc w:val="both"/>
              <w:rPr>
                <w:rFonts w:ascii="Times New Roman" w:hAnsi="Times New Roman"/>
                <w:b/>
                <w:sz w:val="18"/>
              </w:rPr>
            </w:pPr>
            <w:hyperlink r:id="rId132" w:history="1">
              <w:r w:rsidR="00810C20" w:rsidRPr="00632DBC">
                <w:rPr>
                  <w:rStyle w:val="Hyperlink"/>
                  <w:rFonts w:ascii="Times New Roman" w:hAnsi="Times New Roman"/>
                  <w:b/>
                  <w:color w:val="auto"/>
                  <w:sz w:val="18"/>
                  <w:szCs w:val="24"/>
                </w:rPr>
                <w:t>http://www.tebtebba.org/index.php/content/271-developing-and-implementing-cbmis-the-global-workshop-and-the-philippine-workshop-reports</w:t>
              </w:r>
            </w:hyperlink>
          </w:p>
        </w:tc>
        <w:tc>
          <w:tcPr>
            <w:tcW w:w="3119" w:type="dxa"/>
            <w:shd w:val="clear" w:color="auto" w:fill="auto"/>
          </w:tcPr>
          <w:p w14:paraId="69AB0E6D" w14:textId="77777777" w:rsidR="00810C20" w:rsidRPr="00633A71" w:rsidRDefault="00810C20" w:rsidP="00CF7E8B">
            <w:pPr>
              <w:widowControl w:val="0"/>
              <w:rPr>
                <w:rFonts w:ascii="Times New Roman" w:hAnsi="Calibri"/>
                <w:sz w:val="18"/>
                <w:szCs w:val="18"/>
              </w:rPr>
            </w:pPr>
            <w:r w:rsidRPr="00633A71">
              <w:rPr>
                <w:rFonts w:ascii="Times New Roman" w:hAnsi="Calibri"/>
                <w:sz w:val="18"/>
                <w:szCs w:val="18"/>
              </w:rPr>
              <w:t>The paper should build on already existing safeguards and organizations and put more emphasis on human rights and indigenous rights.</w:t>
            </w:r>
          </w:p>
        </w:tc>
        <w:tc>
          <w:tcPr>
            <w:tcW w:w="3119" w:type="dxa"/>
            <w:shd w:val="clear" w:color="auto" w:fill="auto"/>
          </w:tcPr>
          <w:p w14:paraId="6255547F" w14:textId="188F7FC2" w:rsidR="00810C20" w:rsidRPr="00A3063C" w:rsidRDefault="00810C20" w:rsidP="00CF7E8B">
            <w:pPr>
              <w:widowControl w:val="0"/>
              <w:rPr>
                <w:rFonts w:ascii="Times New Roman" w:hAnsi="Calibri"/>
                <w:sz w:val="18"/>
                <w:szCs w:val="18"/>
              </w:rPr>
            </w:pPr>
            <w:r w:rsidRPr="00504B5E">
              <w:rPr>
                <w:rFonts w:ascii="Times New Roman" w:hAnsi="Calibri"/>
                <w:sz w:val="18"/>
                <w:szCs w:val="18"/>
              </w:rPr>
              <w:t xml:space="preserve">As part of the </w:t>
            </w:r>
            <w:r w:rsidR="003A65CE" w:rsidRPr="00504B5E">
              <w:rPr>
                <w:rFonts w:ascii="Times New Roman" w:hAnsi="Calibri"/>
                <w:sz w:val="18"/>
                <w:szCs w:val="18"/>
              </w:rPr>
              <w:t>adopted</w:t>
            </w:r>
            <w:r w:rsidRPr="00504B5E">
              <w:rPr>
                <w:rFonts w:ascii="Times New Roman" w:hAnsi="Calibri"/>
                <w:sz w:val="18"/>
                <w:szCs w:val="18"/>
              </w:rPr>
              <w:t xml:space="preserve"> roadmap to operationalize the guidelines, the paper suggests </w:t>
            </w:r>
            <w:proofErr w:type="gramStart"/>
            <w:r w:rsidRPr="00504B5E">
              <w:rPr>
                <w:rFonts w:ascii="Times New Roman" w:hAnsi="Calibri"/>
                <w:sz w:val="18"/>
                <w:szCs w:val="18"/>
              </w:rPr>
              <w:t>to engage</w:t>
            </w:r>
            <w:proofErr w:type="gramEnd"/>
            <w:r w:rsidRPr="00504B5E">
              <w:rPr>
                <w:rFonts w:ascii="Times New Roman" w:hAnsi="Calibri"/>
                <w:sz w:val="18"/>
                <w:szCs w:val="18"/>
              </w:rPr>
              <w:t xml:space="preserve"> in dialogue with bodies such as IDLO, Human Rights Council and the </w:t>
            </w:r>
            <w:r w:rsidR="00026B10" w:rsidRPr="00504B5E">
              <w:rPr>
                <w:rFonts w:ascii="Times New Roman" w:hAnsi="Calibri"/>
                <w:sz w:val="18"/>
                <w:szCs w:val="18"/>
              </w:rPr>
              <w:t xml:space="preserve">UN </w:t>
            </w:r>
            <w:r w:rsidRPr="00504B5E">
              <w:rPr>
                <w:rFonts w:ascii="Times New Roman" w:hAnsi="Calibri"/>
                <w:sz w:val="18"/>
                <w:szCs w:val="18"/>
              </w:rPr>
              <w:t xml:space="preserve">Permanent Forum </w:t>
            </w:r>
            <w:r w:rsidR="00026B10" w:rsidRPr="00A3063C">
              <w:rPr>
                <w:rFonts w:ascii="Times New Roman" w:hAnsi="Calibri"/>
                <w:sz w:val="18"/>
                <w:szCs w:val="18"/>
              </w:rPr>
              <w:t>on</w:t>
            </w:r>
            <w:r w:rsidRPr="00A3063C">
              <w:rPr>
                <w:rFonts w:ascii="Times New Roman" w:hAnsi="Calibri"/>
                <w:sz w:val="18"/>
                <w:szCs w:val="18"/>
              </w:rPr>
              <w:t xml:space="preserve"> Indigenous </w:t>
            </w:r>
            <w:r w:rsidR="00026B10" w:rsidRPr="00A3063C">
              <w:rPr>
                <w:rFonts w:ascii="Times New Roman" w:hAnsi="Calibri"/>
                <w:sz w:val="18"/>
                <w:szCs w:val="18"/>
              </w:rPr>
              <w:t>Issues</w:t>
            </w:r>
            <w:r w:rsidRPr="00A3063C">
              <w:rPr>
                <w:rFonts w:ascii="Times New Roman" w:hAnsi="Calibri"/>
                <w:sz w:val="18"/>
                <w:szCs w:val="18"/>
              </w:rPr>
              <w:t xml:space="preserve">. </w:t>
            </w:r>
          </w:p>
          <w:p w14:paraId="7E97715D" w14:textId="77777777" w:rsidR="00810C20" w:rsidRPr="00A3063C" w:rsidRDefault="00810C20" w:rsidP="00CF7E8B">
            <w:pPr>
              <w:jc w:val="both"/>
              <w:rPr>
                <w:rFonts w:ascii="Times New Roman" w:hAnsi="Calibri"/>
                <w:sz w:val="18"/>
                <w:szCs w:val="18"/>
              </w:rPr>
            </w:pPr>
            <w:r w:rsidRPr="00A3063C">
              <w:rPr>
                <w:rFonts w:ascii="Times New Roman" w:hAnsi="Calibri"/>
                <w:sz w:val="18"/>
                <w:szCs w:val="18"/>
              </w:rPr>
              <w:t>Guideline 2 and Guideline 3</w:t>
            </w:r>
            <w:r w:rsidRPr="00A3063C">
              <w:rPr>
                <w:rFonts w:ascii="Times New Roman" w:hAnsi="Calibri"/>
                <w:sz w:val="18"/>
                <w:szCs w:val="18"/>
              </w:rPr>
              <w:t>”</w:t>
            </w:r>
            <w:r w:rsidRPr="00A3063C">
              <w:rPr>
                <w:rFonts w:ascii="Times New Roman" w:hAnsi="Calibri"/>
                <w:sz w:val="18"/>
                <w:szCs w:val="18"/>
              </w:rPr>
              <w:t xml:space="preserve"> now </w:t>
            </w:r>
            <w:proofErr w:type="spellStart"/>
            <w:r w:rsidRPr="00A3063C">
              <w:rPr>
                <w:rFonts w:ascii="Times New Roman" w:hAnsi="Calibri"/>
                <w:sz w:val="18"/>
                <w:szCs w:val="18"/>
              </w:rPr>
              <w:t>specif</w:t>
            </w:r>
            <w:proofErr w:type="spellEnd"/>
            <w:r w:rsidRPr="00A3063C">
              <w:rPr>
                <w:rFonts w:ascii="Times New Roman" w:hAnsi="Calibri"/>
                <w:sz w:val="18"/>
                <w:szCs w:val="18"/>
              </w:rPr>
              <w:t xml:space="preserve"> that BFM should consider the UNDRIP among other internationally agreed commitments.</w:t>
            </w:r>
          </w:p>
        </w:tc>
      </w:tr>
      <w:tr w:rsidR="00633A71" w:rsidRPr="00632DBC" w14:paraId="0BAB0F61" w14:textId="77777777" w:rsidTr="00CF7E8B">
        <w:trPr>
          <w:trHeight w:val="1057"/>
        </w:trPr>
        <w:tc>
          <w:tcPr>
            <w:tcW w:w="3119" w:type="dxa"/>
            <w:vMerge/>
            <w:shd w:val="clear" w:color="auto" w:fill="auto"/>
          </w:tcPr>
          <w:p w14:paraId="72520FB1" w14:textId="77777777" w:rsidR="00810C20" w:rsidRPr="00632DBC" w:rsidRDefault="00810C20" w:rsidP="00CF7E8B">
            <w:pPr>
              <w:jc w:val="both"/>
              <w:rPr>
                <w:rFonts w:ascii="Times New Roman" w:hAnsi="Times New Roman"/>
                <w:b/>
                <w:sz w:val="18"/>
              </w:rPr>
            </w:pPr>
          </w:p>
        </w:tc>
        <w:tc>
          <w:tcPr>
            <w:tcW w:w="3119" w:type="dxa"/>
            <w:shd w:val="clear" w:color="auto" w:fill="auto"/>
          </w:tcPr>
          <w:p w14:paraId="5130E80B" w14:textId="77777777" w:rsidR="00810C20" w:rsidRPr="00632DBC" w:rsidRDefault="00810C20" w:rsidP="00CF7E8B">
            <w:pPr>
              <w:widowControl w:val="0"/>
              <w:rPr>
                <w:rFonts w:ascii="Times New Roman" w:hAnsi="Calibri"/>
                <w:sz w:val="18"/>
                <w:szCs w:val="18"/>
              </w:rPr>
            </w:pPr>
            <w:r w:rsidRPr="00632DBC">
              <w:rPr>
                <w:rFonts w:ascii="Times New Roman" w:hAnsi="Calibri"/>
                <w:sz w:val="18"/>
                <w:szCs w:val="18"/>
              </w:rPr>
              <w:t>Include participation of relevant stakeholders as well as transparency in communication and information.</w:t>
            </w:r>
          </w:p>
        </w:tc>
        <w:tc>
          <w:tcPr>
            <w:tcW w:w="3119" w:type="dxa"/>
            <w:shd w:val="clear" w:color="auto" w:fill="auto"/>
          </w:tcPr>
          <w:p w14:paraId="5C42D9D1" w14:textId="77777777" w:rsidR="00810C20" w:rsidRPr="00632DBC" w:rsidRDefault="00810C20" w:rsidP="00CF7E8B">
            <w:pPr>
              <w:widowControl w:val="0"/>
              <w:rPr>
                <w:rFonts w:ascii="Times New Roman" w:hAnsi="Calibri"/>
                <w:sz w:val="18"/>
                <w:szCs w:val="18"/>
              </w:rPr>
            </w:pPr>
            <w:r w:rsidRPr="00632DBC">
              <w:rPr>
                <w:rFonts w:ascii="Times New Roman" w:hAnsi="Calibri"/>
                <w:sz w:val="18"/>
                <w:szCs w:val="18"/>
              </w:rPr>
              <w:t xml:space="preserve">In Section 5, Guideline 2 and 4  were further developed: </w:t>
            </w:r>
            <w:r w:rsidRPr="00632DBC">
              <w:rPr>
                <w:rFonts w:ascii="Times New Roman" w:hAnsi="Calibri"/>
                <w:bCs/>
                <w:iCs/>
                <w:sz w:val="18"/>
                <w:szCs w:val="18"/>
              </w:rPr>
              <w:t>Guideline 2.-</w:t>
            </w:r>
            <w:r w:rsidRPr="00632DBC">
              <w:rPr>
                <w:rFonts w:ascii="Times New Roman" w:hAnsi="Calibri"/>
                <w:b/>
                <w:bCs/>
                <w:i/>
                <w:iCs/>
                <w:sz w:val="18"/>
                <w:szCs w:val="18"/>
              </w:rPr>
              <w:t xml:space="preserve"> </w:t>
            </w:r>
            <w:r w:rsidRPr="00632DBC">
              <w:rPr>
                <w:rFonts w:ascii="Times New Roman" w:hAnsi="Calibri"/>
                <w:b/>
                <w:bCs/>
                <w:i/>
                <w:iCs/>
                <w:sz w:val="18"/>
                <w:szCs w:val="18"/>
              </w:rPr>
              <w:t>“</w:t>
            </w:r>
            <w:r w:rsidRPr="00632DBC">
              <w:rPr>
                <w:rFonts w:ascii="Times New Roman" w:hAnsi="Calibri"/>
                <w:sz w:val="18"/>
                <w:szCs w:val="18"/>
              </w:rPr>
              <w:t>Rights and duties in financing mechanisms should be defined in a fair and equitable manner, with the effective participation of all actors concerned and with the prior informed consent of indigenous peoples and local communities in projects that may have consequences for their rights, as recognised in some national legislation, or free prior informed consent as recognised in other national legislation and the United Nations Declaration of the Rights of Indigenous Peoples (UNDRIP)</w:t>
            </w:r>
            <w:r w:rsidRPr="00632DBC">
              <w:rPr>
                <w:rFonts w:ascii="Times New Roman" w:hAnsi="Calibri"/>
                <w:sz w:val="18"/>
                <w:szCs w:val="18"/>
              </w:rPr>
              <w:t>”</w:t>
            </w:r>
            <w:r w:rsidRPr="00632DBC">
              <w:rPr>
                <w:rFonts w:ascii="Times New Roman" w:hAnsi="Calibri"/>
                <w:sz w:val="18"/>
                <w:szCs w:val="18"/>
              </w:rPr>
              <w:t xml:space="preserve"> and Guideline 4 </w:t>
            </w:r>
            <w:r w:rsidRPr="00632DBC">
              <w:rPr>
                <w:rFonts w:ascii="Times New Roman" w:hAnsi="Calibri"/>
                <w:sz w:val="18"/>
                <w:szCs w:val="18"/>
              </w:rPr>
              <w:t>“</w:t>
            </w:r>
            <w:r w:rsidRPr="00632DBC">
              <w:rPr>
                <w:rFonts w:ascii="Times New Roman" w:hAnsi="Calibri"/>
                <w:sz w:val="18"/>
                <w:szCs w:val="18"/>
              </w:rPr>
              <w:t>Appropriate institutional frameworks, transparency, accountability, and compliance mechanisms with enforceable rights and responsibilities, constitute prerequisites for safeguards in financing biodiversity to function properly</w:t>
            </w:r>
            <w:r w:rsidRPr="00632DBC">
              <w:rPr>
                <w:rFonts w:ascii="Times New Roman" w:hAnsi="Calibri"/>
                <w:sz w:val="18"/>
                <w:szCs w:val="18"/>
              </w:rPr>
              <w:t>”</w:t>
            </w:r>
            <w:r w:rsidRPr="00632DBC">
              <w:rPr>
                <w:rFonts w:ascii="Times New Roman" w:hAnsi="Calibri"/>
                <w:sz w:val="18"/>
                <w:szCs w:val="18"/>
              </w:rPr>
              <w:t xml:space="preserve"> also refer to these elements. </w:t>
            </w:r>
          </w:p>
        </w:tc>
      </w:tr>
      <w:tr w:rsidR="00633A71" w:rsidRPr="00632DBC" w14:paraId="5B42D7AB" w14:textId="77777777" w:rsidTr="00CF7E8B">
        <w:trPr>
          <w:trHeight w:val="1057"/>
        </w:trPr>
        <w:tc>
          <w:tcPr>
            <w:tcW w:w="3119" w:type="dxa"/>
            <w:vMerge/>
            <w:shd w:val="clear" w:color="auto" w:fill="auto"/>
          </w:tcPr>
          <w:p w14:paraId="3C79B7A8" w14:textId="77777777" w:rsidR="00810C20" w:rsidRPr="00632DBC" w:rsidRDefault="00810C20" w:rsidP="00CF7E8B">
            <w:pPr>
              <w:jc w:val="both"/>
              <w:rPr>
                <w:rFonts w:ascii="Times New Roman" w:hAnsi="Times New Roman"/>
                <w:b/>
                <w:sz w:val="18"/>
              </w:rPr>
            </w:pPr>
          </w:p>
        </w:tc>
        <w:tc>
          <w:tcPr>
            <w:tcW w:w="3119" w:type="dxa"/>
            <w:shd w:val="clear" w:color="auto" w:fill="auto"/>
          </w:tcPr>
          <w:p w14:paraId="24878372" w14:textId="77777777" w:rsidR="00810C20" w:rsidRPr="00632DBC" w:rsidRDefault="00810C20" w:rsidP="00CF7E8B">
            <w:pPr>
              <w:widowControl w:val="0"/>
              <w:rPr>
                <w:rFonts w:ascii="Times New Roman" w:hAnsi="Calibri"/>
                <w:sz w:val="18"/>
                <w:szCs w:val="18"/>
              </w:rPr>
            </w:pPr>
            <w:r w:rsidRPr="00632DBC">
              <w:rPr>
                <w:rFonts w:ascii="Times New Roman" w:hAnsi="Calibri"/>
                <w:sz w:val="18"/>
                <w:szCs w:val="18"/>
              </w:rPr>
              <w:t>Safeguards could be interpreted as performance indicators or tools and guiding principles should guide how the impacts should be measured and how safeguards should be judged. Examples of previous certification schemes could be used as baseline.</w:t>
            </w:r>
          </w:p>
        </w:tc>
        <w:tc>
          <w:tcPr>
            <w:tcW w:w="3119" w:type="dxa"/>
            <w:shd w:val="clear" w:color="auto" w:fill="auto"/>
          </w:tcPr>
          <w:p w14:paraId="7DCA76F7" w14:textId="77777777" w:rsidR="00810C20" w:rsidRPr="00632DBC" w:rsidRDefault="00810C20" w:rsidP="00CF7E8B">
            <w:pPr>
              <w:widowControl w:val="0"/>
              <w:rPr>
                <w:rFonts w:ascii="Times New Roman" w:hAnsi="Calibri"/>
                <w:sz w:val="18"/>
                <w:szCs w:val="18"/>
              </w:rPr>
            </w:pPr>
            <w:r w:rsidRPr="00632DBC">
              <w:rPr>
                <w:rFonts w:ascii="Times New Roman" w:hAnsi="Calibri"/>
                <w:sz w:val="18"/>
                <w:szCs w:val="18"/>
              </w:rPr>
              <w:t xml:space="preserve">Section 4. </w:t>
            </w:r>
            <w:r w:rsidRPr="00632DBC">
              <w:rPr>
                <w:rFonts w:ascii="Times New Roman" w:hAnsi="Calibri"/>
                <w:sz w:val="18"/>
                <w:szCs w:val="18"/>
              </w:rPr>
              <w:t>“</w:t>
            </w:r>
            <w:r w:rsidRPr="00632DBC">
              <w:rPr>
                <w:rFonts w:ascii="Times New Roman" w:hAnsi="Calibri"/>
                <w:sz w:val="18"/>
                <w:szCs w:val="18"/>
              </w:rPr>
              <w:t>Safeguards in existing legal and policy instruments and standards</w:t>
            </w:r>
            <w:r w:rsidRPr="00632DBC">
              <w:rPr>
                <w:rFonts w:ascii="Times New Roman" w:hAnsi="Calibri"/>
                <w:sz w:val="18"/>
                <w:szCs w:val="18"/>
              </w:rPr>
              <w:t>”</w:t>
            </w:r>
            <w:r w:rsidRPr="00632DBC">
              <w:rPr>
                <w:rFonts w:ascii="Times New Roman" w:hAnsi="Calibri"/>
                <w:sz w:val="18"/>
                <w:szCs w:val="18"/>
              </w:rPr>
              <w:t xml:space="preserve"> last paragraph mentions that BFMs could learn from international guidelines and standards for designing safeguards that address monitoring and compliance.</w:t>
            </w:r>
          </w:p>
        </w:tc>
      </w:tr>
      <w:tr w:rsidR="00633A71" w:rsidRPr="00632DBC" w14:paraId="4B3BE35A" w14:textId="77777777" w:rsidTr="00CF7E8B">
        <w:trPr>
          <w:trHeight w:val="967"/>
        </w:trPr>
        <w:tc>
          <w:tcPr>
            <w:tcW w:w="3119" w:type="dxa"/>
            <w:vMerge w:val="restart"/>
            <w:shd w:val="clear" w:color="auto" w:fill="auto"/>
          </w:tcPr>
          <w:p w14:paraId="2E58915D"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lastRenderedPageBreak/>
              <w:t xml:space="preserve">Seminar on Landscapes in a Carbon Focused World, Gothenburg, 26 October 2012. </w:t>
            </w:r>
          </w:p>
          <w:p w14:paraId="16CD7940" w14:textId="77777777" w:rsidR="00810C20" w:rsidRPr="00632DBC" w:rsidRDefault="00810C20" w:rsidP="00CF7E8B">
            <w:pPr>
              <w:jc w:val="both"/>
              <w:rPr>
                <w:rFonts w:ascii="Times New Roman" w:hAnsi="Times New Roman"/>
                <w:b/>
                <w:bCs/>
                <w:sz w:val="18"/>
              </w:rPr>
            </w:pPr>
            <w:r w:rsidRPr="00632DBC">
              <w:rPr>
                <w:rFonts w:ascii="Times New Roman" w:hAnsi="Times New Roman"/>
                <w:b/>
                <w:sz w:val="18"/>
                <w:szCs w:val="24"/>
              </w:rPr>
              <w:t>Participants: Stakeholders that share interests and expertise on Landscape approach to discuss climate change governance, sustainability, resilience and improvement of agriculture.</w:t>
            </w:r>
          </w:p>
          <w:p w14:paraId="63B14545" w14:textId="77777777" w:rsidR="00810C20" w:rsidRPr="00632DBC" w:rsidRDefault="00810C20" w:rsidP="00CF7E8B">
            <w:pPr>
              <w:jc w:val="both"/>
              <w:rPr>
                <w:rFonts w:ascii="Times New Roman" w:hAnsi="Times New Roman"/>
                <w:b/>
                <w:sz w:val="18"/>
              </w:rPr>
            </w:pPr>
            <w:r w:rsidRPr="00632DBC">
              <w:rPr>
                <w:rFonts w:ascii="Times New Roman" w:hAnsi="Times New Roman"/>
                <w:b/>
                <w:sz w:val="18"/>
                <w:szCs w:val="24"/>
              </w:rPr>
              <w:t>Presentation and Q&amp;A.</w:t>
            </w:r>
          </w:p>
          <w:p w14:paraId="22BB4AAD" w14:textId="77777777" w:rsidR="00810C20" w:rsidRPr="00633A71" w:rsidRDefault="00132089" w:rsidP="00CF7E8B">
            <w:pPr>
              <w:jc w:val="both"/>
              <w:rPr>
                <w:rFonts w:ascii="Times New Roman" w:hAnsi="Times New Roman"/>
                <w:b/>
                <w:sz w:val="18"/>
              </w:rPr>
            </w:pPr>
            <w:hyperlink r:id="rId133" w:history="1">
              <w:r w:rsidR="00810C20" w:rsidRPr="00632DBC">
                <w:rPr>
                  <w:rStyle w:val="Hyperlink"/>
                  <w:rFonts w:ascii="Times New Roman" w:hAnsi="Times New Roman"/>
                  <w:b/>
                  <w:color w:val="auto"/>
                  <w:sz w:val="18"/>
                  <w:szCs w:val="24"/>
                </w:rPr>
                <w:t>http://www.siani.se/event/landscapes-carbon</w:t>
              </w:r>
            </w:hyperlink>
          </w:p>
        </w:tc>
        <w:tc>
          <w:tcPr>
            <w:tcW w:w="3119" w:type="dxa"/>
            <w:shd w:val="clear" w:color="auto" w:fill="auto"/>
          </w:tcPr>
          <w:p w14:paraId="062C83D3" w14:textId="77777777" w:rsidR="00810C20" w:rsidRPr="00633A71" w:rsidRDefault="00810C20" w:rsidP="00CF7E8B">
            <w:pPr>
              <w:rPr>
                <w:rFonts w:ascii="Times New Roman" w:hAnsi="Calibri"/>
                <w:sz w:val="18"/>
                <w:szCs w:val="18"/>
              </w:rPr>
            </w:pPr>
            <w:r w:rsidRPr="00633A71">
              <w:rPr>
                <w:rFonts w:ascii="Times New Roman" w:hAnsi="Calibri"/>
                <w:sz w:val="18"/>
                <w:szCs w:val="18"/>
              </w:rPr>
              <w:t>Importance of safeguards in REDD+ and of considering climate dimension in environmental initiatives.</w:t>
            </w:r>
          </w:p>
        </w:tc>
        <w:tc>
          <w:tcPr>
            <w:tcW w:w="3119" w:type="dxa"/>
            <w:shd w:val="clear" w:color="auto" w:fill="auto"/>
            <w:vAlign w:val="center"/>
          </w:tcPr>
          <w:p w14:paraId="74C9F93C" w14:textId="1D8598AF" w:rsidR="00810C20" w:rsidRPr="00632DBC" w:rsidRDefault="00810C20" w:rsidP="00CF7E8B">
            <w:pPr>
              <w:pStyle w:val="Corps"/>
              <w:rPr>
                <w:rFonts w:ascii="Times New Roman"/>
                <w:color w:val="auto"/>
                <w:sz w:val="18"/>
                <w:szCs w:val="18"/>
                <w:lang w:val="en-GB"/>
              </w:rPr>
            </w:pPr>
            <w:r w:rsidRPr="00632DBC">
              <w:rPr>
                <w:rFonts w:ascii="Times New Roman"/>
                <w:color w:val="auto"/>
                <w:sz w:val="18"/>
                <w:szCs w:val="18"/>
                <w:lang w:val="en-GB"/>
              </w:rPr>
              <w:t xml:space="preserve">As part of the </w:t>
            </w:r>
            <w:r w:rsidR="003A65CE" w:rsidRPr="00632DBC">
              <w:rPr>
                <w:rFonts w:ascii="Times New Roman"/>
                <w:color w:val="auto"/>
                <w:sz w:val="18"/>
                <w:szCs w:val="18"/>
                <w:lang w:val="en-GB"/>
              </w:rPr>
              <w:t>adopted</w:t>
            </w:r>
            <w:r w:rsidRPr="00632DBC">
              <w:rPr>
                <w:rFonts w:ascii="Times New Roman"/>
                <w:color w:val="auto"/>
                <w:sz w:val="18"/>
                <w:szCs w:val="18"/>
                <w:lang w:val="en-GB"/>
              </w:rPr>
              <w:t xml:space="preserve"> roadmap to operationalize the guidelines, the paper suggests the SCBD to engage in dialogue with UNFCCC.</w:t>
            </w:r>
          </w:p>
          <w:p w14:paraId="036B6CDC" w14:textId="77777777" w:rsidR="00810C20" w:rsidRPr="00504B5E" w:rsidRDefault="00810C20" w:rsidP="00CF7E8B">
            <w:pPr>
              <w:rPr>
                <w:rFonts w:ascii="Times New Roman" w:hAnsi="Calibri"/>
                <w:sz w:val="18"/>
                <w:szCs w:val="18"/>
              </w:rPr>
            </w:pPr>
            <w:r w:rsidRPr="00633A71">
              <w:rPr>
                <w:rFonts w:ascii="Times New Roman" w:hAnsi="Calibri"/>
                <w:sz w:val="18"/>
                <w:szCs w:val="18"/>
              </w:rPr>
              <w:t xml:space="preserve">A new Section 6.6 </w:t>
            </w:r>
            <w:r w:rsidRPr="00633A71">
              <w:rPr>
                <w:rFonts w:ascii="Times New Roman" w:hAnsi="Calibri"/>
                <w:sz w:val="18"/>
                <w:szCs w:val="18"/>
              </w:rPr>
              <w:t>“</w:t>
            </w:r>
            <w:r w:rsidRPr="00633A71">
              <w:rPr>
                <w:rFonts w:ascii="Times New Roman" w:hAnsi="Calibri"/>
                <w:sz w:val="18"/>
                <w:szCs w:val="18"/>
              </w:rPr>
              <w:t>Climate financing with co-benefits to biodiversity</w:t>
            </w:r>
            <w:r w:rsidRPr="00504B5E">
              <w:rPr>
                <w:rFonts w:ascii="Times New Roman" w:hAnsi="Calibri"/>
                <w:sz w:val="18"/>
                <w:szCs w:val="18"/>
              </w:rPr>
              <w:t>”</w:t>
            </w:r>
            <w:r w:rsidRPr="00504B5E">
              <w:rPr>
                <w:rFonts w:ascii="Times New Roman" w:hAnsi="Calibri"/>
                <w:sz w:val="18"/>
                <w:szCs w:val="18"/>
              </w:rPr>
              <w:t xml:space="preserve"> has been added to address climate change mechanisms with possible co-benefits to biodiversity. </w:t>
            </w:r>
          </w:p>
        </w:tc>
      </w:tr>
      <w:tr w:rsidR="00633A71" w:rsidRPr="00632DBC" w14:paraId="7028D50C" w14:textId="77777777" w:rsidTr="00CF7E8B">
        <w:trPr>
          <w:trHeight w:val="966"/>
        </w:trPr>
        <w:tc>
          <w:tcPr>
            <w:tcW w:w="3119" w:type="dxa"/>
            <w:vMerge/>
            <w:shd w:val="clear" w:color="auto" w:fill="BFBFBF"/>
          </w:tcPr>
          <w:p w14:paraId="538DCCB6" w14:textId="77777777" w:rsidR="00810C20" w:rsidRPr="00632DBC" w:rsidRDefault="00810C20" w:rsidP="00CF7E8B">
            <w:pPr>
              <w:jc w:val="both"/>
              <w:rPr>
                <w:rFonts w:ascii="Times New Roman" w:hAnsi="Times New Roman"/>
                <w:b/>
                <w:sz w:val="18"/>
              </w:rPr>
            </w:pPr>
          </w:p>
        </w:tc>
        <w:tc>
          <w:tcPr>
            <w:tcW w:w="3119" w:type="dxa"/>
            <w:shd w:val="clear" w:color="auto" w:fill="auto"/>
          </w:tcPr>
          <w:p w14:paraId="01F333DE" w14:textId="77777777" w:rsidR="00810C20" w:rsidRPr="00632DBC" w:rsidRDefault="00810C20" w:rsidP="00CF7E8B">
            <w:pPr>
              <w:rPr>
                <w:rFonts w:ascii="Times New Roman" w:hAnsi="Calibri"/>
                <w:sz w:val="18"/>
                <w:szCs w:val="18"/>
              </w:rPr>
            </w:pPr>
            <w:r w:rsidRPr="00632DBC">
              <w:rPr>
                <w:rFonts w:ascii="Times New Roman" w:hAnsi="Calibri"/>
                <w:sz w:val="18"/>
                <w:szCs w:val="18"/>
              </w:rPr>
              <w:t>Mention landscape approach and tools used in articulating customary norms with to with environmental law and policy.</w:t>
            </w:r>
          </w:p>
        </w:tc>
        <w:tc>
          <w:tcPr>
            <w:tcW w:w="3119" w:type="dxa"/>
            <w:shd w:val="clear" w:color="auto" w:fill="auto"/>
          </w:tcPr>
          <w:p w14:paraId="6A1985A4" w14:textId="77777777" w:rsidR="00810C20" w:rsidRPr="00632DBC" w:rsidRDefault="00810C20" w:rsidP="00CF7E8B">
            <w:pPr>
              <w:rPr>
                <w:rFonts w:ascii="Times New Roman" w:hAnsi="Calibri"/>
                <w:sz w:val="18"/>
                <w:szCs w:val="18"/>
              </w:rPr>
            </w:pPr>
            <w:r w:rsidRPr="00632DBC">
              <w:rPr>
                <w:rFonts w:ascii="Times New Roman" w:hAnsi="Calibri"/>
                <w:sz w:val="18"/>
                <w:szCs w:val="18"/>
              </w:rPr>
              <w:t xml:space="preserve">Section 4. </w:t>
            </w:r>
            <w:r w:rsidRPr="00632DBC">
              <w:rPr>
                <w:rFonts w:ascii="Times New Roman" w:hAnsi="Calibri"/>
                <w:sz w:val="18"/>
                <w:szCs w:val="18"/>
              </w:rPr>
              <w:t>“</w:t>
            </w:r>
            <w:r w:rsidRPr="00632DBC">
              <w:rPr>
                <w:rFonts w:ascii="Times New Roman" w:hAnsi="Calibri"/>
                <w:sz w:val="18"/>
                <w:szCs w:val="18"/>
              </w:rPr>
              <w:t>Safeguards in existing legal and policy instruments and standards</w:t>
            </w:r>
            <w:r w:rsidRPr="00632DBC">
              <w:rPr>
                <w:rFonts w:ascii="Times New Roman" w:hAnsi="Calibri"/>
                <w:sz w:val="18"/>
                <w:szCs w:val="18"/>
              </w:rPr>
              <w:t>”</w:t>
            </w:r>
            <w:r w:rsidRPr="00632DBC">
              <w:rPr>
                <w:rFonts w:ascii="Times New Roman" w:hAnsi="Calibri"/>
                <w:sz w:val="18"/>
                <w:szCs w:val="18"/>
              </w:rPr>
              <w:t xml:space="preserve"> refers to bio-cultural community protocols in an extended way as means of articulating customary norms with environmental law and policy. Landscapes and seascapes are now mentioned in various sections in the paper.   </w:t>
            </w:r>
          </w:p>
        </w:tc>
      </w:tr>
    </w:tbl>
    <w:p w14:paraId="6982107D" w14:textId="77777777" w:rsidR="00810C20" w:rsidRPr="00632DBC" w:rsidRDefault="00810C20" w:rsidP="00810C20">
      <w:pPr>
        <w:spacing w:after="0" w:line="240" w:lineRule="auto"/>
      </w:pPr>
    </w:p>
    <w:p w14:paraId="3DBF713D" w14:textId="77777777" w:rsidR="00810C20" w:rsidRPr="00632DBC" w:rsidRDefault="00810C20" w:rsidP="00810C20">
      <w:pPr>
        <w:pStyle w:val="Corps"/>
        <w:jc w:val="both"/>
        <w:rPr>
          <w:rFonts w:ascii="Times New Roman"/>
          <w:b/>
          <w:color w:val="auto"/>
          <w:lang w:val="en-GB"/>
        </w:rPr>
      </w:pPr>
      <w:r w:rsidRPr="00632DBC">
        <w:rPr>
          <w:color w:val="auto"/>
          <w:lang w:val="en-GB"/>
        </w:rPr>
        <w:br w:type="page"/>
      </w:r>
      <w:r w:rsidRPr="00632DBC">
        <w:rPr>
          <w:rFonts w:ascii="Times New Roman"/>
          <w:b/>
          <w:color w:val="auto"/>
          <w:lang w:val="en-GB"/>
        </w:rPr>
        <w:lastRenderedPageBreak/>
        <w:t xml:space="preserve">Table 2 </w:t>
      </w:r>
    </w:p>
    <w:p w14:paraId="7468053A" w14:textId="77777777" w:rsidR="00810C20" w:rsidRPr="00632DBC" w:rsidRDefault="00810C20" w:rsidP="00810C20">
      <w:pPr>
        <w:pStyle w:val="Corps"/>
        <w:jc w:val="both"/>
        <w:rPr>
          <w:rFonts w:ascii="Times New Roman"/>
          <w:b/>
          <w:color w:val="auto"/>
          <w:lang w:val="en-GB"/>
        </w:rPr>
      </w:pPr>
    </w:p>
    <w:p w14:paraId="559D7AA1" w14:textId="5BE67AA1" w:rsidR="00810C20" w:rsidRPr="00632DBC" w:rsidRDefault="00810C20" w:rsidP="00810C20">
      <w:pPr>
        <w:pStyle w:val="Corps"/>
        <w:jc w:val="both"/>
        <w:rPr>
          <w:rFonts w:ascii="Times New Roman"/>
          <w:color w:val="auto"/>
          <w:lang w:val="en-GB"/>
        </w:rPr>
      </w:pPr>
      <w:r w:rsidRPr="00632DBC">
        <w:rPr>
          <w:rFonts w:ascii="Times New Roman"/>
          <w:color w:val="auto"/>
          <w:lang w:val="en-GB"/>
        </w:rPr>
        <w:t xml:space="preserve">Below are the main comments received to UNEP/CBD/WGRI/5/INF/7 </w:t>
      </w:r>
      <w:r w:rsidRPr="00632DBC">
        <w:rPr>
          <w:rFonts w:ascii="Times New Roman"/>
          <w:color w:val="auto"/>
          <w:lang w:val="en-GB"/>
        </w:rPr>
        <w:t>“</w:t>
      </w:r>
      <w:r w:rsidRPr="00632DBC">
        <w:rPr>
          <w:rFonts w:ascii="Times New Roman"/>
          <w:color w:val="auto"/>
          <w:lang w:val="en-GB"/>
        </w:rPr>
        <w:t>Identifying guiding principles for safeguards in financing biodiversity and lessons learned from risks, benefits and safeguards in country-specific mechanisms</w:t>
      </w:r>
      <w:r w:rsidRPr="00632DBC">
        <w:rPr>
          <w:rFonts w:ascii="Times New Roman"/>
          <w:color w:val="auto"/>
          <w:lang w:val="en-GB"/>
        </w:rPr>
        <w:t>”</w:t>
      </w:r>
      <w:r w:rsidRPr="00632DBC">
        <w:rPr>
          <w:rFonts w:ascii="Times New Roman"/>
          <w:color w:val="auto"/>
          <w:lang w:val="en-GB"/>
        </w:rPr>
        <w:t xml:space="preserve">, a revised and expanded version of Discussion Paper </w:t>
      </w:r>
      <w:r w:rsidRPr="00632DBC">
        <w:rPr>
          <w:rFonts w:ascii="Times New Roman"/>
          <w:color w:val="auto"/>
          <w:lang w:val="en-GB"/>
        </w:rPr>
        <w:t>“</w:t>
      </w:r>
      <w:r w:rsidRPr="00632DBC">
        <w:rPr>
          <w:rFonts w:ascii="Times New Roman"/>
          <w:color w:val="auto"/>
          <w:lang w:val="en-GB"/>
        </w:rPr>
        <w:t>Safeguards for scaling-up biodiversity financing and possible guiding principles</w:t>
      </w:r>
      <w:r w:rsidRPr="00632DBC">
        <w:rPr>
          <w:rFonts w:ascii="Times New Roman"/>
          <w:color w:val="auto"/>
          <w:lang w:val="en-GB"/>
        </w:rPr>
        <w:t>”</w:t>
      </w:r>
      <w:r w:rsidRPr="00632DBC">
        <w:rPr>
          <w:rFonts w:ascii="Times New Roman"/>
          <w:color w:val="auto"/>
          <w:lang w:val="en-GB"/>
        </w:rPr>
        <w:t xml:space="preserve"> (UNEP/CBD/COP/11/INF/7) at WGRI-5 and to a draft of this paper at the International Workshop on Financing for Biodiversity in the </w:t>
      </w:r>
      <w:proofErr w:type="spellStart"/>
      <w:r w:rsidRPr="00632DBC">
        <w:rPr>
          <w:rFonts w:ascii="Times New Roman"/>
          <w:color w:val="auto"/>
          <w:lang w:val="en-GB"/>
        </w:rPr>
        <w:t>Ittingen</w:t>
      </w:r>
      <w:proofErr w:type="spellEnd"/>
      <w:r w:rsidRPr="00632DBC">
        <w:rPr>
          <w:rFonts w:ascii="Times New Roman"/>
          <w:color w:val="auto"/>
          <w:lang w:val="en-GB"/>
        </w:rPr>
        <w:t xml:space="preserve">, Switzerland. A description of adjustments and further developments </w:t>
      </w:r>
      <w:proofErr w:type="gramStart"/>
      <w:r w:rsidRPr="00632DBC">
        <w:rPr>
          <w:rFonts w:ascii="Times New Roman"/>
          <w:color w:val="auto"/>
          <w:lang w:val="en-GB"/>
        </w:rPr>
        <w:t>in order to</w:t>
      </w:r>
      <w:proofErr w:type="gramEnd"/>
      <w:r w:rsidRPr="00632DBC">
        <w:rPr>
          <w:rFonts w:ascii="Times New Roman"/>
          <w:color w:val="auto"/>
          <w:lang w:val="en-GB"/>
        </w:rPr>
        <w:t xml:space="preserve"> address these comments is also summarised. </w:t>
      </w:r>
    </w:p>
    <w:p w14:paraId="1576565F" w14:textId="77777777" w:rsidR="00810C20" w:rsidRPr="00632DBC" w:rsidRDefault="00810C20" w:rsidP="00810C20">
      <w:pPr>
        <w:pStyle w:val="Corps"/>
        <w:jc w:val="both"/>
        <w:rPr>
          <w:rFonts w:ascii="Times New Roman"/>
          <w:b/>
          <w:color w:val="auto"/>
          <w:lang w:val="en-GB"/>
        </w:rPr>
      </w:pPr>
    </w:p>
    <w:p w14:paraId="77DC32DB" w14:textId="77777777" w:rsidR="00810C20" w:rsidRPr="00632DBC" w:rsidRDefault="00810C20" w:rsidP="00810C20">
      <w:pPr>
        <w:pStyle w:val="Corps"/>
        <w:jc w:val="both"/>
        <w:rPr>
          <w:rFonts w:ascii="Times New Roman"/>
          <w:b/>
          <w:color w:val="auto"/>
          <w:lang w:val="en-GB"/>
        </w:rPr>
      </w:pPr>
      <w:r w:rsidRPr="00632DBC">
        <w:rPr>
          <w:rFonts w:ascii="Times New Roman"/>
          <w:b/>
          <w:color w:val="auto"/>
          <w:lang w:val="en-GB"/>
        </w:rPr>
        <w:t xml:space="preserve">International Workshop on Financing for Biodiversity, </w:t>
      </w:r>
      <w:proofErr w:type="spellStart"/>
      <w:r w:rsidRPr="00632DBC">
        <w:rPr>
          <w:rFonts w:ascii="Times New Roman"/>
          <w:b/>
          <w:color w:val="auto"/>
          <w:lang w:val="en-GB"/>
        </w:rPr>
        <w:t>Kartause</w:t>
      </w:r>
      <w:proofErr w:type="spellEnd"/>
      <w:r w:rsidRPr="00632DBC">
        <w:rPr>
          <w:rFonts w:ascii="Times New Roman"/>
          <w:b/>
          <w:color w:val="auto"/>
          <w:lang w:val="en-GB"/>
        </w:rPr>
        <w:t xml:space="preserve"> </w:t>
      </w:r>
      <w:proofErr w:type="spellStart"/>
      <w:r w:rsidRPr="00632DBC">
        <w:rPr>
          <w:rFonts w:ascii="Times New Roman"/>
          <w:b/>
          <w:color w:val="auto"/>
          <w:lang w:val="en-GB"/>
        </w:rPr>
        <w:t>Ittingen</w:t>
      </w:r>
      <w:proofErr w:type="spellEnd"/>
      <w:r w:rsidRPr="00632DBC">
        <w:rPr>
          <w:rFonts w:ascii="Times New Roman"/>
          <w:b/>
          <w:color w:val="auto"/>
          <w:lang w:val="en-GB"/>
        </w:rPr>
        <w:t xml:space="preserve">, Switzerland, 18-19 August 2014. </w:t>
      </w:r>
    </w:p>
    <w:p w14:paraId="5597EC2D" w14:textId="77777777" w:rsidR="00810C20" w:rsidRPr="00632DBC" w:rsidRDefault="00810C20" w:rsidP="00810C20">
      <w:pPr>
        <w:pStyle w:val="Corps"/>
        <w:jc w:val="both"/>
        <w:rPr>
          <w:rFonts w:ascii="Times New Roman"/>
          <w:color w:val="auto"/>
          <w:lang w:val="en-GB"/>
        </w:rPr>
      </w:pPr>
      <w:r w:rsidRPr="00632DBC">
        <w:rPr>
          <w:rFonts w:ascii="Times New Roman"/>
          <w:color w:val="auto"/>
          <w:lang w:val="en-GB"/>
        </w:rPr>
        <w:t>A draft of this paper became part of the meeting documents for this workshop (see http://www.cbd.int/doc/?meeting=RMWS-2014-05). Presentation via video link (around 50 participants).</w:t>
      </w:r>
    </w:p>
    <w:p w14:paraId="404C547D" w14:textId="77777777" w:rsidR="00810C20" w:rsidRPr="00632DBC" w:rsidRDefault="00810C20" w:rsidP="00810C20">
      <w:pPr>
        <w:pStyle w:val="Corps"/>
        <w:jc w:val="both"/>
        <w:rPr>
          <w:rFonts w:ascii="Times New Roman"/>
          <w:color w:val="auto"/>
          <w:lang w:val="en-GB"/>
        </w:rPr>
      </w:pPr>
    </w:p>
    <w:p w14:paraId="4B520697" w14:textId="77777777" w:rsidR="00810C20" w:rsidRPr="00633A71" w:rsidRDefault="00810C20" w:rsidP="00810C20">
      <w:pPr>
        <w:spacing w:after="0" w:line="240" w:lineRule="auto"/>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003"/>
        <w:gridCol w:w="5177"/>
      </w:tblGrid>
      <w:tr w:rsidR="00633A71" w:rsidRPr="00632DBC" w14:paraId="0D07B75D" w14:textId="77777777" w:rsidTr="00CF7E8B">
        <w:trPr>
          <w:trHeight w:val="916"/>
        </w:trPr>
        <w:tc>
          <w:tcPr>
            <w:tcW w:w="4003" w:type="dxa"/>
            <w:shd w:val="clear" w:color="auto" w:fill="FFFFFF"/>
          </w:tcPr>
          <w:p w14:paraId="24D3BE20" w14:textId="77777777" w:rsidR="00810C20" w:rsidRPr="00633A71" w:rsidRDefault="00810C20" w:rsidP="00CF7E8B">
            <w:pPr>
              <w:rPr>
                <w:rFonts w:ascii="Times New Roman" w:hAnsi="Times New Roman"/>
                <w:sz w:val="18"/>
                <w:szCs w:val="18"/>
              </w:rPr>
            </w:pPr>
            <w:r w:rsidRPr="00633A71">
              <w:rPr>
                <w:rFonts w:ascii="Times New Roman" w:hAnsi="Times New Roman"/>
                <w:b/>
                <w:bCs/>
                <w:sz w:val="18"/>
                <w:szCs w:val="18"/>
              </w:rPr>
              <w:t>Main comments to the Discussion Paper (UNEP/CBD/WGRI/5/INF/7)</w:t>
            </w:r>
          </w:p>
        </w:tc>
        <w:tc>
          <w:tcPr>
            <w:tcW w:w="5177" w:type="dxa"/>
            <w:shd w:val="clear" w:color="auto" w:fill="FFFFFF"/>
          </w:tcPr>
          <w:p w14:paraId="6A31A159" w14:textId="77777777" w:rsidR="00810C20" w:rsidRPr="00504B5E" w:rsidRDefault="00810C20" w:rsidP="00CF7E8B">
            <w:pPr>
              <w:rPr>
                <w:rFonts w:ascii="Times New Roman" w:hAnsi="Times New Roman"/>
                <w:sz w:val="18"/>
                <w:szCs w:val="18"/>
              </w:rPr>
            </w:pPr>
            <w:r w:rsidRPr="00504B5E">
              <w:rPr>
                <w:rFonts w:ascii="Times New Roman" w:hAnsi="Times New Roman"/>
                <w:b/>
                <w:bCs/>
                <w:sz w:val="18"/>
                <w:szCs w:val="18"/>
              </w:rPr>
              <w:t xml:space="preserve">Adjustments and further developments </w:t>
            </w:r>
            <w:proofErr w:type="gramStart"/>
            <w:r w:rsidRPr="00504B5E">
              <w:rPr>
                <w:rFonts w:ascii="Times New Roman" w:hAnsi="Times New Roman"/>
                <w:b/>
                <w:bCs/>
                <w:sz w:val="18"/>
                <w:szCs w:val="18"/>
              </w:rPr>
              <w:t>in order to</w:t>
            </w:r>
            <w:proofErr w:type="gramEnd"/>
            <w:r w:rsidRPr="00504B5E">
              <w:rPr>
                <w:rFonts w:ascii="Times New Roman" w:hAnsi="Times New Roman"/>
                <w:b/>
                <w:bCs/>
                <w:sz w:val="18"/>
                <w:szCs w:val="18"/>
              </w:rPr>
              <w:t xml:space="preserve"> address the comments to the Discussion Paper (UNEP/CBD/WGRI/5/INF/7) </w:t>
            </w:r>
          </w:p>
        </w:tc>
      </w:tr>
      <w:tr w:rsidR="00633A71" w:rsidRPr="00632DBC" w14:paraId="52F6AAED" w14:textId="77777777" w:rsidTr="00CF7E8B">
        <w:trPr>
          <w:trHeight w:val="916"/>
        </w:trPr>
        <w:tc>
          <w:tcPr>
            <w:tcW w:w="4003" w:type="dxa"/>
            <w:shd w:val="clear" w:color="auto" w:fill="FFFFFF"/>
          </w:tcPr>
          <w:p w14:paraId="7C123111" w14:textId="77777777" w:rsidR="00810C20" w:rsidRPr="00632DBC" w:rsidRDefault="00810C20" w:rsidP="00CF7E8B">
            <w:pPr>
              <w:rPr>
                <w:rFonts w:ascii="Times New Roman" w:hAnsi="Times New Roman"/>
                <w:bCs/>
                <w:i/>
                <w:sz w:val="18"/>
                <w:szCs w:val="18"/>
              </w:rPr>
            </w:pPr>
            <w:r w:rsidRPr="00632DBC">
              <w:rPr>
                <w:rFonts w:ascii="Times New Roman" w:hAnsi="Times New Roman"/>
                <w:bCs/>
                <w:i/>
                <w:sz w:val="18"/>
                <w:szCs w:val="18"/>
              </w:rPr>
              <w:t>Comments on guiding principles and voluntary guidelines</w:t>
            </w:r>
          </w:p>
          <w:p w14:paraId="60F1418D" w14:textId="77E76519" w:rsidR="00810C20" w:rsidRPr="00632DBC" w:rsidRDefault="00810C20" w:rsidP="00CF7E8B">
            <w:pPr>
              <w:rPr>
                <w:rFonts w:ascii="Times New Roman" w:hAnsi="Times New Roman"/>
                <w:bCs/>
                <w:sz w:val="18"/>
                <w:szCs w:val="18"/>
              </w:rPr>
            </w:pPr>
            <w:r w:rsidRPr="00632DBC">
              <w:rPr>
                <w:rFonts w:ascii="Times New Roman" w:hAnsi="Times New Roman"/>
                <w:bCs/>
                <w:sz w:val="18"/>
                <w:szCs w:val="18"/>
              </w:rPr>
              <w:t xml:space="preserve">One country </w:t>
            </w:r>
            <w:r w:rsidR="003A65CE" w:rsidRPr="00632DBC">
              <w:rPr>
                <w:rFonts w:ascii="Times New Roman" w:hAnsi="Times New Roman"/>
                <w:bCs/>
                <w:sz w:val="18"/>
                <w:szCs w:val="18"/>
              </w:rPr>
              <w:t>adopted</w:t>
            </w:r>
            <w:r w:rsidRPr="00632DBC">
              <w:rPr>
                <w:rFonts w:ascii="Times New Roman" w:hAnsi="Times New Roman"/>
                <w:bCs/>
                <w:sz w:val="18"/>
                <w:szCs w:val="18"/>
              </w:rPr>
              <w:t xml:space="preserve"> to change wording from “guiding principles” to “guidelines”, due to legal considerations at national level in this country; another country representative mentioned that his/her country could only accept voluntary guidelines. </w:t>
            </w:r>
          </w:p>
          <w:p w14:paraId="226C991D" w14:textId="77777777" w:rsidR="00810C20" w:rsidRPr="00633A71" w:rsidRDefault="00810C20" w:rsidP="00CF7E8B">
            <w:pPr>
              <w:rPr>
                <w:rFonts w:ascii="Times New Roman" w:hAnsi="Times New Roman"/>
                <w:bCs/>
                <w:sz w:val="18"/>
                <w:szCs w:val="18"/>
              </w:rPr>
            </w:pPr>
            <w:r w:rsidRPr="00632DBC">
              <w:rPr>
                <w:rFonts w:ascii="Times New Roman" w:hAnsi="Times New Roman"/>
                <w:bCs/>
                <w:sz w:val="18"/>
                <w:szCs w:val="18"/>
              </w:rPr>
              <w:t xml:space="preserve">In WGRI5 report UNEP/CBD/COP/12/4 Decision 5/10, </w:t>
            </w:r>
            <w:r w:rsidRPr="00632DBC">
              <w:rPr>
                <w:rFonts w:ascii="Times New Roman" w:hAnsi="Times New Roman"/>
                <w:bCs/>
                <w:i/>
                <w:sz w:val="18"/>
                <w:szCs w:val="18"/>
              </w:rPr>
              <w:t>Requests</w:t>
            </w:r>
            <w:r w:rsidRPr="00632DBC">
              <w:rPr>
                <w:rFonts w:ascii="Times New Roman" w:hAnsi="Times New Roman"/>
                <w:bCs/>
                <w:sz w:val="18"/>
                <w:szCs w:val="18"/>
              </w:rPr>
              <w:t xml:space="preserve"> the Executive Secretary to develop, for consideration by the Conference of the Parties at its twelfth meeting, para 1d “Draft options for voluntary guidelines based on the challenges and possible risks of these mechanisms as identified in the document on possible risks and benefits of country-specific innovative financial mechanisms and safeguards”;</w:t>
            </w:r>
            <w:r w:rsidRPr="00633A71">
              <w:rPr>
                <w:rFonts w:ascii="Times New Roman" w:hAnsi="Times New Roman"/>
                <w:bCs/>
                <w:sz w:val="18"/>
                <w:szCs w:val="18"/>
                <w:vertAlign w:val="superscript"/>
              </w:rPr>
              <w:footnoteReference w:id="265"/>
            </w:r>
          </w:p>
          <w:p w14:paraId="3B3AADAD" w14:textId="77777777" w:rsidR="00810C20" w:rsidRPr="00633A71" w:rsidRDefault="00810C20" w:rsidP="00CF7E8B">
            <w:pPr>
              <w:rPr>
                <w:rFonts w:ascii="Times New Roman" w:hAnsi="Times New Roman"/>
                <w:bCs/>
                <w:sz w:val="18"/>
                <w:szCs w:val="18"/>
              </w:rPr>
            </w:pPr>
          </w:p>
        </w:tc>
        <w:tc>
          <w:tcPr>
            <w:tcW w:w="5177" w:type="dxa"/>
            <w:shd w:val="clear" w:color="auto" w:fill="FFFFFF"/>
          </w:tcPr>
          <w:p w14:paraId="55258BE8" w14:textId="77777777" w:rsidR="00810C20" w:rsidRPr="00504B5E" w:rsidRDefault="00810C20" w:rsidP="00CF7E8B">
            <w:pPr>
              <w:jc w:val="both"/>
              <w:rPr>
                <w:rFonts w:ascii="Times New Roman" w:hAnsi="Times New Roman"/>
                <w:bCs/>
                <w:sz w:val="18"/>
                <w:szCs w:val="18"/>
              </w:rPr>
            </w:pPr>
            <w:r w:rsidRPr="00633A71">
              <w:rPr>
                <w:rFonts w:ascii="Times New Roman" w:hAnsi="Times New Roman"/>
                <w:bCs/>
                <w:sz w:val="18"/>
                <w:szCs w:val="18"/>
              </w:rPr>
              <w:t>The title and content in this paper has been adapted in accordance with the Decision from WGRI5 5/10 para</w:t>
            </w:r>
            <w:r w:rsidRPr="00504B5E">
              <w:rPr>
                <w:rFonts w:ascii="Times New Roman" w:hAnsi="Times New Roman"/>
                <w:bCs/>
                <w:sz w:val="18"/>
                <w:szCs w:val="18"/>
              </w:rPr>
              <w:t xml:space="preserve"> 1d related </w:t>
            </w:r>
            <w:proofErr w:type="gramStart"/>
            <w:r w:rsidRPr="00504B5E">
              <w:rPr>
                <w:rFonts w:ascii="Times New Roman" w:hAnsi="Times New Roman"/>
                <w:bCs/>
                <w:sz w:val="18"/>
                <w:szCs w:val="18"/>
              </w:rPr>
              <w:t>to ”voluntary</w:t>
            </w:r>
            <w:proofErr w:type="gramEnd"/>
            <w:r w:rsidRPr="00504B5E">
              <w:rPr>
                <w:rFonts w:ascii="Times New Roman" w:hAnsi="Times New Roman"/>
                <w:bCs/>
                <w:sz w:val="18"/>
                <w:szCs w:val="18"/>
              </w:rPr>
              <w:t xml:space="preserve"> guidelines” instead of ”Guiding principles”.</w:t>
            </w:r>
          </w:p>
          <w:p w14:paraId="1C7516C1" w14:textId="512EA458" w:rsidR="00810C20" w:rsidRPr="00A3063C" w:rsidRDefault="00810C20" w:rsidP="00CF7E8B">
            <w:pPr>
              <w:jc w:val="both"/>
              <w:rPr>
                <w:rFonts w:ascii="Times New Roman" w:hAnsi="Times New Roman"/>
                <w:bCs/>
                <w:sz w:val="18"/>
                <w:szCs w:val="18"/>
              </w:rPr>
            </w:pPr>
            <w:r w:rsidRPr="00504B5E">
              <w:rPr>
                <w:rFonts w:ascii="Times New Roman" w:hAnsi="Times New Roman"/>
                <w:b/>
                <w:bCs/>
                <w:sz w:val="18"/>
                <w:szCs w:val="18"/>
              </w:rPr>
              <w:t xml:space="preserve">Comments from authors: </w:t>
            </w:r>
            <w:r w:rsidRPr="00504B5E">
              <w:rPr>
                <w:rFonts w:ascii="Times New Roman" w:hAnsi="Times New Roman"/>
                <w:bCs/>
                <w:sz w:val="18"/>
                <w:szCs w:val="18"/>
              </w:rPr>
              <w:t xml:space="preserve">While each country faces unique challenges and will develop context-driven and specific solutions, Guiding Principles can aim to provide governments with direction and a more elements for them to choose, design and implement mechanisms for financing biodiversity in a way </w:t>
            </w:r>
            <w:r w:rsidR="00756FE4" w:rsidRPr="00504B5E">
              <w:rPr>
                <w:rFonts w:ascii="Times New Roman" w:hAnsi="Times New Roman"/>
                <w:bCs/>
                <w:sz w:val="18"/>
                <w:szCs w:val="18"/>
              </w:rPr>
              <w:t>that fosters the achievement of</w:t>
            </w:r>
            <w:r w:rsidRPr="00A3063C">
              <w:rPr>
                <w:rFonts w:ascii="Times New Roman" w:hAnsi="Times New Roman"/>
                <w:bCs/>
                <w:sz w:val="18"/>
                <w:szCs w:val="18"/>
              </w:rPr>
              <w:t xml:space="preserve"> the three CBD objectives. Because these 4 principles are non-binding, they can be more readily amended and expanded through the Convention on Biological Diversity's processes as we learn more about lessons learned by Parties and other stakeholders’ effective solutions. Guiding principles would recognise that according to Article 3 of the Convention on Biological Diversity, States have, in accordance with the Charter of the United Nations and the principles of international law, the sovereign right over their own resources and the right of pursuing their own environmental policies. Yet, </w:t>
            </w:r>
            <w:proofErr w:type="gramStart"/>
            <w:r w:rsidRPr="00A3063C">
              <w:rPr>
                <w:rFonts w:ascii="Times New Roman" w:hAnsi="Times New Roman"/>
                <w:bCs/>
                <w:sz w:val="18"/>
                <w:szCs w:val="18"/>
              </w:rPr>
              <w:t>in order to</w:t>
            </w:r>
            <w:proofErr w:type="gramEnd"/>
            <w:r w:rsidRPr="00A3063C">
              <w:rPr>
                <w:rFonts w:ascii="Times New Roman" w:hAnsi="Times New Roman"/>
                <w:bCs/>
                <w:sz w:val="18"/>
                <w:szCs w:val="18"/>
              </w:rPr>
              <w:t xml:space="preserve"> respond to the Decision 5/10 para 1d from WGRI5 the wording is changed to Guidelines</w:t>
            </w:r>
          </w:p>
        </w:tc>
      </w:tr>
      <w:tr w:rsidR="00633A71" w:rsidRPr="00632DBC" w14:paraId="12234326" w14:textId="77777777" w:rsidTr="00CF7E8B">
        <w:trPr>
          <w:trHeight w:val="916"/>
        </w:trPr>
        <w:tc>
          <w:tcPr>
            <w:tcW w:w="4003" w:type="dxa"/>
            <w:shd w:val="clear" w:color="auto" w:fill="FFFFFF"/>
          </w:tcPr>
          <w:p w14:paraId="5C082482" w14:textId="77777777" w:rsidR="00810C20" w:rsidRPr="00632DBC" w:rsidRDefault="00810C20" w:rsidP="00CF7E8B">
            <w:pPr>
              <w:rPr>
                <w:rFonts w:ascii="Times New Roman" w:hAnsi="Times New Roman"/>
                <w:bCs/>
                <w:i/>
                <w:sz w:val="18"/>
                <w:szCs w:val="18"/>
              </w:rPr>
            </w:pPr>
            <w:r w:rsidRPr="00632DBC">
              <w:rPr>
                <w:rFonts w:ascii="Times New Roman" w:hAnsi="Times New Roman"/>
                <w:bCs/>
                <w:i/>
                <w:sz w:val="18"/>
                <w:szCs w:val="18"/>
              </w:rPr>
              <w:t xml:space="preserve">Need to clarify the differences and inter-relations of country driven </w:t>
            </w:r>
            <w:proofErr w:type="gramStart"/>
            <w:r w:rsidRPr="00632DBC">
              <w:rPr>
                <w:rFonts w:ascii="Times New Roman" w:hAnsi="Times New Roman"/>
                <w:bCs/>
                <w:i/>
                <w:sz w:val="18"/>
                <w:szCs w:val="18"/>
              </w:rPr>
              <w:t>and  country</w:t>
            </w:r>
            <w:proofErr w:type="gramEnd"/>
            <w:r w:rsidRPr="00632DBC">
              <w:rPr>
                <w:rFonts w:ascii="Times New Roman" w:hAnsi="Times New Roman"/>
                <w:bCs/>
                <w:i/>
                <w:sz w:val="18"/>
                <w:szCs w:val="18"/>
              </w:rPr>
              <w:t xml:space="preserve"> specific processes </w:t>
            </w:r>
          </w:p>
        </w:tc>
        <w:tc>
          <w:tcPr>
            <w:tcW w:w="5177" w:type="dxa"/>
            <w:shd w:val="clear" w:color="auto" w:fill="FFFFFF"/>
          </w:tcPr>
          <w:p w14:paraId="3F6D63F9" w14:textId="77777777" w:rsidR="00810C20" w:rsidRPr="00632DBC" w:rsidRDefault="00810C20" w:rsidP="00CF7E8B">
            <w:pPr>
              <w:jc w:val="both"/>
              <w:rPr>
                <w:rFonts w:ascii="Times New Roman" w:hAnsi="Times New Roman"/>
                <w:bCs/>
                <w:sz w:val="18"/>
                <w:szCs w:val="18"/>
              </w:rPr>
            </w:pPr>
            <w:r w:rsidRPr="00632DBC">
              <w:rPr>
                <w:rFonts w:ascii="Times New Roman" w:hAnsi="Times New Roman"/>
                <w:bCs/>
                <w:sz w:val="18"/>
                <w:szCs w:val="18"/>
              </w:rPr>
              <w:t xml:space="preserve">Text added under Guideline 3 </w:t>
            </w:r>
            <w:proofErr w:type="gramStart"/>
            <w:r w:rsidRPr="00632DBC">
              <w:rPr>
                <w:rFonts w:ascii="Times New Roman" w:hAnsi="Times New Roman"/>
                <w:bCs/>
                <w:sz w:val="18"/>
                <w:szCs w:val="18"/>
              </w:rPr>
              <w:t>in order to</w:t>
            </w:r>
            <w:proofErr w:type="gramEnd"/>
            <w:r w:rsidRPr="00632DBC">
              <w:rPr>
                <w:rFonts w:ascii="Times New Roman" w:hAnsi="Times New Roman"/>
                <w:bCs/>
                <w:sz w:val="18"/>
                <w:szCs w:val="18"/>
              </w:rPr>
              <w:t xml:space="preserve"> respond to this comment.  </w:t>
            </w:r>
          </w:p>
          <w:p w14:paraId="62A10BA4" w14:textId="71BA8EE5" w:rsidR="00810C20" w:rsidRPr="00632DBC" w:rsidRDefault="00810C20" w:rsidP="00CF7E8B">
            <w:pPr>
              <w:jc w:val="both"/>
              <w:rPr>
                <w:rFonts w:ascii="Times New Roman" w:hAnsi="Times New Roman"/>
                <w:bCs/>
                <w:sz w:val="18"/>
                <w:szCs w:val="18"/>
              </w:rPr>
            </w:pPr>
            <w:r w:rsidRPr="00632DBC">
              <w:rPr>
                <w:rFonts w:ascii="Times New Roman" w:hAnsi="Times New Roman"/>
                <w:b/>
                <w:bCs/>
                <w:sz w:val="18"/>
                <w:szCs w:val="18"/>
              </w:rPr>
              <w:t>Further comments from the authors</w:t>
            </w:r>
            <w:r w:rsidRPr="00632DBC">
              <w:rPr>
                <w:rFonts w:ascii="Times New Roman" w:hAnsi="Times New Roman"/>
                <w:bCs/>
                <w:sz w:val="18"/>
                <w:szCs w:val="18"/>
              </w:rPr>
              <w:t>: If process</w:t>
            </w:r>
            <w:r w:rsidR="00756FE4" w:rsidRPr="00632DBC">
              <w:rPr>
                <w:rFonts w:ascii="Times New Roman" w:hAnsi="Times New Roman"/>
                <w:bCs/>
                <w:sz w:val="18"/>
                <w:szCs w:val="18"/>
              </w:rPr>
              <w:t xml:space="preserve">es </w:t>
            </w:r>
            <w:r w:rsidRPr="00632DBC">
              <w:rPr>
                <w:rFonts w:ascii="Times New Roman" w:hAnsi="Times New Roman"/>
                <w:bCs/>
                <w:sz w:val="18"/>
                <w:szCs w:val="18"/>
              </w:rPr>
              <w:t xml:space="preserve">are country driven, the result should be that they are also specific processes. For example, even when Mexico and Indonesia are emerging economies, the national legislation enacted to implement REDD+ in these two countries is quite different responding to distinctive ecological, cultural and other contextual factors. Likewise, they are specific in the sense that the need to respond to specific challenges </w:t>
            </w:r>
            <w:r w:rsidRPr="00632DBC">
              <w:rPr>
                <w:rFonts w:ascii="Times New Roman" w:hAnsi="Times New Roman"/>
                <w:bCs/>
                <w:sz w:val="18"/>
                <w:szCs w:val="18"/>
              </w:rPr>
              <w:lastRenderedPageBreak/>
              <w:t>and opportunities as well as to local values e.g. implementing a REDD+, PES or ABS in Indonesia with hundreds of languages, islands and ethnic groups is quite different from implementing it in Costa Rica with a relatively more homogenous population.</w:t>
            </w:r>
          </w:p>
          <w:p w14:paraId="574877A8" w14:textId="77777777" w:rsidR="00810C20" w:rsidRPr="00632DBC" w:rsidRDefault="00810C20" w:rsidP="00CF7E8B">
            <w:pPr>
              <w:jc w:val="both"/>
              <w:rPr>
                <w:rFonts w:ascii="Times New Roman" w:hAnsi="Times New Roman"/>
                <w:bCs/>
                <w:sz w:val="18"/>
                <w:szCs w:val="18"/>
              </w:rPr>
            </w:pPr>
            <w:r w:rsidRPr="00632DBC">
              <w:rPr>
                <w:rFonts w:ascii="Times New Roman" w:hAnsi="Times New Roman"/>
                <w:bCs/>
                <w:sz w:val="18"/>
                <w:szCs w:val="18"/>
              </w:rPr>
              <w:t>If the Tobin tax would be agreed at the international level, it would still require country driven/specific processes for its implementation and for providing coherency with national legislation.</w:t>
            </w:r>
          </w:p>
        </w:tc>
      </w:tr>
      <w:tr w:rsidR="00633A71" w:rsidRPr="00632DBC" w14:paraId="24E473F2" w14:textId="77777777" w:rsidTr="00CF7E8B">
        <w:trPr>
          <w:trHeight w:val="916"/>
        </w:trPr>
        <w:tc>
          <w:tcPr>
            <w:tcW w:w="4003" w:type="dxa"/>
            <w:shd w:val="clear" w:color="auto" w:fill="FFFFFF"/>
          </w:tcPr>
          <w:p w14:paraId="6DD3B77C" w14:textId="77777777" w:rsidR="00810C20" w:rsidRPr="00632DBC" w:rsidRDefault="00810C20" w:rsidP="00CF7E8B">
            <w:pPr>
              <w:rPr>
                <w:rFonts w:ascii="Times New Roman" w:hAnsi="Times New Roman"/>
                <w:bCs/>
                <w:i/>
                <w:sz w:val="18"/>
                <w:szCs w:val="18"/>
              </w:rPr>
            </w:pPr>
            <w:r w:rsidRPr="00632DBC">
              <w:rPr>
                <w:rFonts w:ascii="Times New Roman" w:hAnsi="Times New Roman"/>
                <w:bCs/>
                <w:i/>
                <w:sz w:val="18"/>
                <w:szCs w:val="18"/>
              </w:rPr>
              <w:lastRenderedPageBreak/>
              <w:t xml:space="preserve">Include reporting the impacts of new and additional biodiversity finance mechanisms (BFM) applied in country and ensure that the proper regulatory frameworks are set in place, including appropriate social and environmental safeguards </w:t>
            </w:r>
          </w:p>
          <w:p w14:paraId="3332108E" w14:textId="410E5092" w:rsidR="00810C20" w:rsidRPr="00632DBC" w:rsidDel="00D070ED" w:rsidRDefault="00810C20" w:rsidP="00094BE4">
            <w:pPr>
              <w:spacing w:after="122" w:line="240" w:lineRule="auto"/>
              <w:rPr>
                <w:rFonts w:ascii="Times New Roman" w:hAnsi="Times New Roman"/>
                <w:bCs/>
                <w:i/>
                <w:sz w:val="18"/>
                <w:szCs w:val="18"/>
              </w:rPr>
            </w:pPr>
          </w:p>
        </w:tc>
        <w:tc>
          <w:tcPr>
            <w:tcW w:w="5177" w:type="dxa"/>
            <w:shd w:val="clear" w:color="auto" w:fill="FFFFFF"/>
          </w:tcPr>
          <w:p w14:paraId="22B1DBD9" w14:textId="77777777" w:rsidR="00810C20" w:rsidRPr="00632DBC" w:rsidRDefault="00810C20" w:rsidP="00CF7E8B">
            <w:pPr>
              <w:jc w:val="both"/>
              <w:rPr>
                <w:rFonts w:ascii="Times New Roman" w:hAnsi="Times New Roman"/>
                <w:bCs/>
                <w:sz w:val="18"/>
                <w:szCs w:val="18"/>
              </w:rPr>
            </w:pPr>
            <w:r w:rsidRPr="00632DBC">
              <w:rPr>
                <w:rFonts w:ascii="Times New Roman" w:hAnsi="Times New Roman"/>
                <w:bCs/>
                <w:sz w:val="18"/>
                <w:szCs w:val="18"/>
              </w:rPr>
              <w:t>A new paragraph was included as part of the operational roadmap.</w:t>
            </w:r>
          </w:p>
          <w:p w14:paraId="1C4BD985" w14:textId="77777777" w:rsidR="00810C20" w:rsidRPr="00632DBC" w:rsidRDefault="00810C20" w:rsidP="00CF7E8B">
            <w:pPr>
              <w:jc w:val="both"/>
              <w:rPr>
                <w:rFonts w:ascii="Times New Roman" w:hAnsi="Times New Roman"/>
                <w:bCs/>
                <w:sz w:val="18"/>
                <w:szCs w:val="18"/>
              </w:rPr>
            </w:pPr>
          </w:p>
        </w:tc>
      </w:tr>
      <w:tr w:rsidR="00633A71" w:rsidRPr="00632DBC" w14:paraId="75A7DF46" w14:textId="77777777" w:rsidTr="00CF7E8B">
        <w:trPr>
          <w:trHeight w:val="916"/>
        </w:trPr>
        <w:tc>
          <w:tcPr>
            <w:tcW w:w="4003" w:type="dxa"/>
            <w:shd w:val="clear" w:color="auto" w:fill="FFFFFF"/>
          </w:tcPr>
          <w:p w14:paraId="6B40E054" w14:textId="77777777" w:rsidR="00810C20" w:rsidRPr="00632DBC" w:rsidDel="00D070ED" w:rsidRDefault="00810C20" w:rsidP="00CF7E8B">
            <w:pPr>
              <w:rPr>
                <w:rFonts w:ascii="Times New Roman" w:hAnsi="Times New Roman"/>
                <w:bCs/>
                <w:i/>
                <w:sz w:val="18"/>
                <w:szCs w:val="18"/>
              </w:rPr>
            </w:pPr>
            <w:r w:rsidRPr="00632DBC">
              <w:rPr>
                <w:rFonts w:ascii="Times New Roman" w:hAnsi="Times New Roman"/>
                <w:bCs/>
                <w:i/>
                <w:sz w:val="18"/>
                <w:szCs w:val="18"/>
              </w:rPr>
              <w:t>Complement UNFCCC Decisions relevant to REDD+ and safeguards</w:t>
            </w:r>
          </w:p>
        </w:tc>
        <w:tc>
          <w:tcPr>
            <w:tcW w:w="5177" w:type="dxa"/>
            <w:shd w:val="clear" w:color="auto" w:fill="FFFFFF"/>
          </w:tcPr>
          <w:p w14:paraId="7B6F3DEE" w14:textId="1DEB929A" w:rsidR="00810C20" w:rsidRPr="00632DBC" w:rsidRDefault="00810C20" w:rsidP="00E8580E">
            <w:pPr>
              <w:jc w:val="both"/>
              <w:rPr>
                <w:rFonts w:ascii="Times New Roman" w:hAnsi="Times New Roman"/>
                <w:bCs/>
                <w:sz w:val="18"/>
                <w:szCs w:val="18"/>
              </w:rPr>
            </w:pPr>
            <w:r w:rsidRPr="00632DBC">
              <w:rPr>
                <w:rFonts w:ascii="Times New Roman" w:hAnsi="Times New Roman"/>
                <w:bCs/>
                <w:sz w:val="18"/>
                <w:szCs w:val="18"/>
              </w:rPr>
              <w:t xml:space="preserve">Additions were made in the text specifically in Section 3 </w:t>
            </w:r>
            <w:proofErr w:type="gramStart"/>
            <w:r w:rsidRPr="00632DBC">
              <w:rPr>
                <w:rFonts w:ascii="Times New Roman" w:hAnsi="Times New Roman"/>
                <w:bCs/>
                <w:sz w:val="18"/>
                <w:szCs w:val="18"/>
              </w:rPr>
              <w:t>in order to</w:t>
            </w:r>
            <w:proofErr w:type="gramEnd"/>
            <w:r w:rsidRPr="00632DBC">
              <w:rPr>
                <w:rFonts w:ascii="Times New Roman" w:hAnsi="Times New Roman"/>
                <w:bCs/>
                <w:sz w:val="18"/>
                <w:szCs w:val="18"/>
              </w:rPr>
              <w:t xml:space="preserve"> include further relevant UNFCCC-COP Dec</w:t>
            </w:r>
            <w:r w:rsidR="00094BE4" w:rsidRPr="00632DBC">
              <w:rPr>
                <w:rFonts w:ascii="Times New Roman" w:hAnsi="Times New Roman"/>
                <w:bCs/>
                <w:sz w:val="18"/>
                <w:szCs w:val="18"/>
              </w:rPr>
              <w:t>isions referring to safeguards.</w:t>
            </w:r>
          </w:p>
        </w:tc>
      </w:tr>
    </w:tbl>
    <w:p w14:paraId="442D7E89" w14:textId="77777777" w:rsidR="00810C20" w:rsidRPr="00632DBC" w:rsidRDefault="00810C20" w:rsidP="00810C20">
      <w:pPr>
        <w:spacing w:after="0" w:line="240" w:lineRule="auto"/>
      </w:pPr>
    </w:p>
    <w:p w14:paraId="205C1C39" w14:textId="77777777" w:rsidR="00810C20" w:rsidRPr="00632DBC" w:rsidRDefault="00810C20" w:rsidP="00810C20">
      <w:pPr>
        <w:spacing w:line="240" w:lineRule="auto"/>
        <w:jc w:val="both"/>
        <w:rPr>
          <w:rFonts w:ascii="Times New Roman" w:hAnsi="Times New Roman"/>
          <w:bCs/>
          <w:sz w:val="18"/>
          <w:szCs w:val="18"/>
        </w:rPr>
      </w:pPr>
      <w:r w:rsidRPr="00632DBC">
        <w:rPr>
          <w:rFonts w:ascii="Times New Roman" w:hAnsi="Times New Roman"/>
          <w:b/>
        </w:rPr>
        <w:t xml:space="preserve">International Workshop on Financing for Biodiversity, </w:t>
      </w:r>
      <w:proofErr w:type="spellStart"/>
      <w:r w:rsidRPr="00632DBC">
        <w:rPr>
          <w:rFonts w:ascii="Times New Roman" w:hAnsi="Times New Roman"/>
          <w:b/>
        </w:rPr>
        <w:t>Kartause</w:t>
      </w:r>
      <w:proofErr w:type="spellEnd"/>
      <w:r w:rsidRPr="00632DBC">
        <w:rPr>
          <w:rFonts w:ascii="Times New Roman" w:hAnsi="Times New Roman"/>
          <w:b/>
        </w:rPr>
        <w:t xml:space="preserve"> </w:t>
      </w:r>
      <w:proofErr w:type="spellStart"/>
      <w:r w:rsidRPr="00632DBC">
        <w:rPr>
          <w:rFonts w:ascii="Times New Roman" w:hAnsi="Times New Roman"/>
          <w:b/>
        </w:rPr>
        <w:t>Ittingen</w:t>
      </w:r>
      <w:proofErr w:type="spellEnd"/>
      <w:r w:rsidRPr="00632DBC">
        <w:rPr>
          <w:rFonts w:ascii="Times New Roman" w:hAnsi="Times New Roman"/>
          <w:b/>
        </w:rPr>
        <w:t>, Switzerland, 18-19 August 2014</w:t>
      </w:r>
      <w:r w:rsidRPr="00632DBC">
        <w:rPr>
          <w:rFonts w:ascii="Times New Roman" w:hAnsi="Times New Roman"/>
          <w:bCs/>
          <w:sz w:val="18"/>
          <w:szCs w:val="18"/>
        </w:rPr>
        <w:t xml:space="preserve"> </w:t>
      </w:r>
    </w:p>
    <w:p w14:paraId="08B37101" w14:textId="77777777" w:rsidR="00810C20" w:rsidRPr="00632DBC" w:rsidRDefault="00810C20" w:rsidP="00810C20">
      <w:pPr>
        <w:pStyle w:val="Corps"/>
        <w:jc w:val="both"/>
        <w:rPr>
          <w:rFonts w:ascii="Times New Roman"/>
          <w:color w:val="auto"/>
          <w:lang w:val="en-GB"/>
        </w:rPr>
      </w:pPr>
      <w:r w:rsidRPr="00632DBC">
        <w:rPr>
          <w:rFonts w:ascii="Times New Roman"/>
          <w:color w:val="auto"/>
          <w:lang w:val="en-GB"/>
        </w:rPr>
        <w:t>A draft of this paper became part of the meeting documents for this workshop (see http://www.cbd.int/doc/?meeting=RMWS-2014-05). Presentation via video link (around 50 participants).</w:t>
      </w:r>
    </w:p>
    <w:p w14:paraId="6702F2FA" w14:textId="77777777" w:rsidR="00810C20" w:rsidRPr="00633A71" w:rsidRDefault="00810C20" w:rsidP="00810C20">
      <w:pPr>
        <w:spacing w:after="0" w:line="240" w:lineRule="auto"/>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003"/>
        <w:gridCol w:w="5177"/>
      </w:tblGrid>
      <w:tr w:rsidR="00633A71" w:rsidRPr="00632DBC" w14:paraId="0B1376BA" w14:textId="77777777" w:rsidTr="00CF7E8B">
        <w:trPr>
          <w:trHeight w:val="916"/>
        </w:trPr>
        <w:tc>
          <w:tcPr>
            <w:tcW w:w="4003" w:type="dxa"/>
            <w:shd w:val="clear" w:color="auto" w:fill="FFFFFF"/>
          </w:tcPr>
          <w:p w14:paraId="773042D3" w14:textId="77777777" w:rsidR="00810C20" w:rsidRPr="00633A71" w:rsidRDefault="00810C20" w:rsidP="00CF7E8B">
            <w:pPr>
              <w:rPr>
                <w:rFonts w:ascii="Times New Roman" w:hAnsi="Times New Roman"/>
                <w:sz w:val="18"/>
                <w:szCs w:val="18"/>
              </w:rPr>
            </w:pPr>
            <w:r w:rsidRPr="00633A71">
              <w:rPr>
                <w:rFonts w:ascii="Times New Roman" w:hAnsi="Times New Roman"/>
                <w:b/>
                <w:bCs/>
                <w:sz w:val="18"/>
                <w:szCs w:val="18"/>
              </w:rPr>
              <w:t>Main comments to the Discussion Paper (UNEP/CBD/WGRI/5/INF/7)</w:t>
            </w:r>
          </w:p>
        </w:tc>
        <w:tc>
          <w:tcPr>
            <w:tcW w:w="5177" w:type="dxa"/>
            <w:shd w:val="clear" w:color="auto" w:fill="FFFFFF"/>
          </w:tcPr>
          <w:p w14:paraId="118088F9" w14:textId="77777777" w:rsidR="00810C20" w:rsidRPr="00504B5E" w:rsidRDefault="00810C20" w:rsidP="00CF7E8B">
            <w:pPr>
              <w:rPr>
                <w:rFonts w:ascii="Times New Roman" w:hAnsi="Times New Roman"/>
                <w:sz w:val="18"/>
                <w:szCs w:val="18"/>
              </w:rPr>
            </w:pPr>
            <w:r w:rsidRPr="00504B5E">
              <w:rPr>
                <w:rFonts w:ascii="Times New Roman" w:hAnsi="Times New Roman"/>
                <w:b/>
                <w:bCs/>
                <w:sz w:val="18"/>
                <w:szCs w:val="18"/>
              </w:rPr>
              <w:t xml:space="preserve">Adjustments and further developments </w:t>
            </w:r>
            <w:proofErr w:type="gramStart"/>
            <w:r w:rsidRPr="00504B5E">
              <w:rPr>
                <w:rFonts w:ascii="Times New Roman" w:hAnsi="Times New Roman"/>
                <w:b/>
                <w:bCs/>
                <w:sz w:val="18"/>
                <w:szCs w:val="18"/>
              </w:rPr>
              <w:t>in order to</w:t>
            </w:r>
            <w:proofErr w:type="gramEnd"/>
            <w:r w:rsidRPr="00504B5E">
              <w:rPr>
                <w:rFonts w:ascii="Times New Roman" w:hAnsi="Times New Roman"/>
                <w:b/>
                <w:bCs/>
                <w:sz w:val="18"/>
                <w:szCs w:val="18"/>
              </w:rPr>
              <w:t xml:space="preserve"> address the comments to the Discussion Paper (UNEP/CBD/WGRI/5/INF/7) </w:t>
            </w:r>
          </w:p>
        </w:tc>
      </w:tr>
      <w:tr w:rsidR="00633A71" w:rsidRPr="00632DBC" w14:paraId="73AB909E" w14:textId="77777777" w:rsidTr="00CF7E8B">
        <w:trPr>
          <w:trHeight w:val="916"/>
        </w:trPr>
        <w:tc>
          <w:tcPr>
            <w:tcW w:w="4003" w:type="dxa"/>
            <w:shd w:val="clear" w:color="auto" w:fill="FFFFFF"/>
          </w:tcPr>
          <w:p w14:paraId="04BE6EE1" w14:textId="26444806" w:rsidR="00810C20" w:rsidRPr="00632DBC" w:rsidRDefault="00810C20" w:rsidP="00CF7E8B">
            <w:pPr>
              <w:spacing w:line="240" w:lineRule="auto"/>
              <w:jc w:val="both"/>
              <w:rPr>
                <w:rFonts w:ascii="Times New Roman" w:hAnsi="Times New Roman"/>
                <w:bCs/>
                <w:sz w:val="18"/>
                <w:szCs w:val="18"/>
              </w:rPr>
            </w:pPr>
            <w:r w:rsidRPr="00632DBC">
              <w:rPr>
                <w:rFonts w:ascii="Times New Roman" w:hAnsi="Times New Roman"/>
                <w:bCs/>
                <w:sz w:val="18"/>
                <w:szCs w:val="18"/>
              </w:rPr>
              <w:t>Regarding in Guideline 2, some participants commented upon the term “free prior informed consent”</w:t>
            </w:r>
            <w:r w:rsidR="00036178" w:rsidRPr="00632DBC">
              <w:rPr>
                <w:rFonts w:ascii="Times New Roman" w:hAnsi="Times New Roman"/>
                <w:bCs/>
                <w:sz w:val="18"/>
                <w:szCs w:val="18"/>
              </w:rPr>
              <w:t xml:space="preserve"> and </w:t>
            </w:r>
            <w:r w:rsidRPr="00632DBC">
              <w:rPr>
                <w:rFonts w:ascii="Times New Roman" w:hAnsi="Times New Roman"/>
                <w:bCs/>
                <w:sz w:val="18"/>
                <w:szCs w:val="18"/>
              </w:rPr>
              <w:t>that they would prefer the term “prior informed consent”, referring to their national legislation.</w:t>
            </w:r>
          </w:p>
        </w:tc>
        <w:tc>
          <w:tcPr>
            <w:tcW w:w="5177" w:type="dxa"/>
            <w:shd w:val="clear" w:color="auto" w:fill="FFFFFF"/>
          </w:tcPr>
          <w:p w14:paraId="18B04EC9" w14:textId="77777777" w:rsidR="00810C20" w:rsidRPr="00632DBC" w:rsidRDefault="00810C20" w:rsidP="00CF7E8B">
            <w:pPr>
              <w:spacing w:line="240" w:lineRule="auto"/>
              <w:jc w:val="both"/>
              <w:rPr>
                <w:rFonts w:ascii="Times New Roman" w:hAnsi="Times New Roman"/>
                <w:bCs/>
                <w:sz w:val="18"/>
                <w:szCs w:val="18"/>
              </w:rPr>
            </w:pPr>
            <w:r w:rsidRPr="00632DBC">
              <w:rPr>
                <w:rFonts w:ascii="Times New Roman" w:hAnsi="Times New Roman"/>
                <w:bCs/>
                <w:sz w:val="18"/>
                <w:szCs w:val="18"/>
              </w:rPr>
              <w:t>Considering the inclusive approach of this discussion paper as well as considering the differences in national legislations, Guideline 2 was adjusted:</w:t>
            </w:r>
            <w:r w:rsidRPr="00632DBC">
              <w:rPr>
                <w:rFonts w:ascii="Times New Roman" w:hAnsi="Calibri"/>
                <w:sz w:val="18"/>
                <w:szCs w:val="18"/>
              </w:rPr>
              <w:t xml:space="preserve"> Rights and duties in financing mechanisms should be defined in a fair and equitable manner, with the effective participation of all actors concerned and with the prior informed consent of indigenous peoples and local communities in projects that may have consequences for their rights, as recognised in some national legislation, or free prior informed consent as recognised in other national legislation and the United Nations Declaration of the Rights of Indigenous Peoples (UNDRIP)</w:t>
            </w:r>
          </w:p>
          <w:p w14:paraId="3ECB2C78" w14:textId="77777777" w:rsidR="00810C20" w:rsidRPr="00632DBC" w:rsidRDefault="00810C20" w:rsidP="00CF7E8B">
            <w:pPr>
              <w:spacing w:line="240" w:lineRule="auto"/>
              <w:jc w:val="both"/>
              <w:rPr>
                <w:rFonts w:ascii="Times New Roman" w:hAnsi="Times New Roman"/>
                <w:bCs/>
                <w:sz w:val="18"/>
                <w:szCs w:val="18"/>
              </w:rPr>
            </w:pPr>
            <w:r w:rsidRPr="00632DBC">
              <w:rPr>
                <w:rFonts w:ascii="Times New Roman" w:hAnsi="Times New Roman"/>
                <w:bCs/>
                <w:sz w:val="18"/>
                <w:szCs w:val="18"/>
              </w:rPr>
              <w:t xml:space="preserve">The following paragraphs were also included:  </w:t>
            </w:r>
          </w:p>
          <w:p w14:paraId="1375BAF5" w14:textId="68B7850B" w:rsidR="00810C20" w:rsidRPr="00632DBC" w:rsidRDefault="00810C20" w:rsidP="00CF7E8B">
            <w:pPr>
              <w:spacing w:line="240" w:lineRule="auto"/>
              <w:jc w:val="both"/>
              <w:rPr>
                <w:rFonts w:ascii="Times New Roman" w:hAnsi="Times New Roman"/>
                <w:bCs/>
                <w:sz w:val="18"/>
                <w:szCs w:val="18"/>
              </w:rPr>
            </w:pPr>
            <w:r w:rsidRPr="00632DBC">
              <w:rPr>
                <w:rFonts w:ascii="Times New Roman" w:hAnsi="Times New Roman"/>
                <w:bCs/>
                <w:sz w:val="18"/>
                <w:szCs w:val="18"/>
              </w:rPr>
              <w:t xml:space="preserve">In the participatory process involved in this discussion paper, some people referred to “free prior informed consent” (FPIC) and others to “prior informed </w:t>
            </w:r>
            <w:proofErr w:type="gramStart"/>
            <w:r w:rsidRPr="00632DBC">
              <w:rPr>
                <w:rFonts w:ascii="Times New Roman" w:hAnsi="Times New Roman"/>
                <w:bCs/>
                <w:sz w:val="18"/>
                <w:szCs w:val="18"/>
              </w:rPr>
              <w:t>consent”(</w:t>
            </w:r>
            <w:proofErr w:type="gramEnd"/>
            <w:r w:rsidRPr="00632DBC">
              <w:rPr>
                <w:rFonts w:ascii="Times New Roman" w:hAnsi="Times New Roman"/>
                <w:bCs/>
                <w:sz w:val="18"/>
                <w:szCs w:val="18"/>
              </w:rPr>
              <w:t xml:space="preserve">PIC). In the panel “Safeguards and mechanisms” (The Third Meeting </w:t>
            </w:r>
            <w:proofErr w:type="gramStart"/>
            <w:r w:rsidRPr="00632DBC">
              <w:rPr>
                <w:rFonts w:ascii="Times New Roman" w:hAnsi="Times New Roman"/>
                <w:bCs/>
                <w:sz w:val="18"/>
                <w:szCs w:val="18"/>
              </w:rPr>
              <w:t>Of</w:t>
            </w:r>
            <w:proofErr w:type="gramEnd"/>
            <w:r w:rsidRPr="00632DBC">
              <w:rPr>
                <w:rFonts w:ascii="Times New Roman" w:hAnsi="Times New Roman"/>
                <w:bCs/>
                <w:sz w:val="18"/>
                <w:szCs w:val="18"/>
              </w:rPr>
              <w:t xml:space="preserve"> The Global Partnership For Business And Biodiversity in Montreal) and in the Bonn workshop on Community Monitoring</w:t>
            </w:r>
            <w:r w:rsidR="00036178" w:rsidRPr="00632DBC">
              <w:rPr>
                <w:rFonts w:ascii="Times New Roman" w:hAnsi="Times New Roman"/>
                <w:bCs/>
                <w:sz w:val="18"/>
                <w:szCs w:val="18"/>
              </w:rPr>
              <w:t xml:space="preserve"> and Information Systems, some </w:t>
            </w:r>
            <w:r w:rsidRPr="00632DBC">
              <w:rPr>
                <w:rFonts w:ascii="Times New Roman" w:hAnsi="Times New Roman"/>
                <w:bCs/>
                <w:sz w:val="18"/>
                <w:szCs w:val="18"/>
              </w:rPr>
              <w:t>participants</w:t>
            </w:r>
            <w:r w:rsidR="00094BE4" w:rsidRPr="00632DBC">
              <w:rPr>
                <w:rFonts w:ascii="Times New Roman" w:hAnsi="Times New Roman"/>
                <w:bCs/>
                <w:sz w:val="18"/>
                <w:szCs w:val="18"/>
              </w:rPr>
              <w:t xml:space="preserve"> highlighted the importance of </w:t>
            </w:r>
            <w:r w:rsidRPr="00632DBC">
              <w:rPr>
                <w:rFonts w:ascii="Times New Roman" w:hAnsi="Times New Roman"/>
                <w:bCs/>
                <w:sz w:val="18"/>
                <w:szCs w:val="18"/>
              </w:rPr>
              <w:t xml:space="preserve">“free prior informed consent”. Certain national legislation (e.g. Forest Law (LGDFS) Article 134 Bis in Mexico), international declarations such as the UNDRIP and Conventions such as Convention for the Safeguarding of the Intangible Cultural Heritage refer to this concept as FPIC. </w:t>
            </w:r>
          </w:p>
          <w:p w14:paraId="269207CC" w14:textId="7FCAE68F" w:rsidR="00810C20" w:rsidRPr="00504B5E" w:rsidRDefault="00810C20" w:rsidP="00CF7E8B">
            <w:pPr>
              <w:spacing w:line="240" w:lineRule="auto"/>
              <w:jc w:val="both"/>
              <w:rPr>
                <w:rFonts w:ascii="Times New Roman" w:hAnsi="Times New Roman"/>
                <w:bCs/>
                <w:sz w:val="18"/>
                <w:szCs w:val="18"/>
              </w:rPr>
            </w:pPr>
            <w:r w:rsidRPr="00632DBC">
              <w:rPr>
                <w:rFonts w:ascii="Times New Roman" w:hAnsi="Times New Roman"/>
                <w:bCs/>
                <w:sz w:val="18"/>
                <w:szCs w:val="18"/>
              </w:rPr>
              <w:t xml:space="preserve">In the submission by India as well as some participants in the International Workshop on Financing for Biodiversity in the </w:t>
            </w:r>
            <w:proofErr w:type="spellStart"/>
            <w:r w:rsidRPr="00632DBC">
              <w:rPr>
                <w:rFonts w:ascii="Times New Roman" w:hAnsi="Times New Roman"/>
                <w:bCs/>
                <w:sz w:val="18"/>
                <w:szCs w:val="18"/>
              </w:rPr>
              <w:t>Ittingen</w:t>
            </w:r>
            <w:proofErr w:type="spellEnd"/>
            <w:r w:rsidRPr="00632DBC">
              <w:rPr>
                <w:rFonts w:ascii="Times New Roman" w:hAnsi="Times New Roman"/>
                <w:bCs/>
                <w:sz w:val="18"/>
                <w:szCs w:val="18"/>
              </w:rPr>
              <w:t xml:space="preserve">, Switzerland, 2014 preferred the wording “PIC”; </w:t>
            </w:r>
            <w:r w:rsidR="00584647">
              <w:rPr>
                <w:rFonts w:ascii="Times New Roman" w:hAnsi="Times New Roman"/>
                <w:bCs/>
                <w:sz w:val="18"/>
                <w:szCs w:val="18"/>
              </w:rPr>
              <w:t xml:space="preserve">I and this is the term </w:t>
            </w:r>
            <w:r w:rsidR="00584647">
              <w:rPr>
                <w:rFonts w:ascii="Times New Roman" w:hAnsi="Times New Roman"/>
                <w:bCs/>
                <w:sz w:val="18"/>
                <w:szCs w:val="18"/>
              </w:rPr>
              <w:lastRenderedPageBreak/>
              <w:t>used i</w:t>
            </w:r>
            <w:r w:rsidRPr="00633A71">
              <w:rPr>
                <w:rFonts w:ascii="Times New Roman" w:hAnsi="Times New Roman"/>
                <w:bCs/>
                <w:sz w:val="18"/>
                <w:szCs w:val="18"/>
              </w:rPr>
              <w:t xml:space="preserve">n the national legislation of other </w:t>
            </w:r>
            <w:r w:rsidR="00584647">
              <w:rPr>
                <w:rFonts w:ascii="Times New Roman" w:hAnsi="Times New Roman"/>
                <w:bCs/>
                <w:sz w:val="18"/>
                <w:szCs w:val="18"/>
              </w:rPr>
              <w:t xml:space="preserve">some </w:t>
            </w:r>
            <w:r w:rsidRPr="00633A71">
              <w:rPr>
                <w:rFonts w:ascii="Times New Roman" w:hAnsi="Times New Roman"/>
                <w:bCs/>
                <w:sz w:val="18"/>
                <w:szCs w:val="18"/>
              </w:rPr>
              <w:t xml:space="preserve">countries (see e.g. Peruvian Law 27811 in Box </w:t>
            </w:r>
            <w:r w:rsidR="00D64C02" w:rsidRPr="00633A71">
              <w:rPr>
                <w:rFonts w:ascii="Times New Roman" w:hAnsi="Times New Roman"/>
                <w:bCs/>
                <w:sz w:val="18"/>
                <w:szCs w:val="18"/>
              </w:rPr>
              <w:t>9</w:t>
            </w:r>
            <w:r w:rsidRPr="00633A71">
              <w:rPr>
                <w:rFonts w:ascii="Times New Roman" w:hAnsi="Times New Roman"/>
                <w:bCs/>
                <w:sz w:val="18"/>
                <w:szCs w:val="18"/>
              </w:rPr>
              <w:t>). Some view tha</w:t>
            </w:r>
            <w:r w:rsidRPr="00504B5E">
              <w:rPr>
                <w:rFonts w:ascii="Times New Roman" w:hAnsi="Times New Roman"/>
                <w:bCs/>
                <w:sz w:val="18"/>
                <w:szCs w:val="18"/>
              </w:rPr>
              <w:t>t informed consent, in advance (prior), and in good faith implies that it is “freely” given; this was a view also expressed in the process involved in developing this discussion paper.</w:t>
            </w:r>
          </w:p>
          <w:p w14:paraId="38280DF0" w14:textId="63CD24C6" w:rsidR="00810C20" w:rsidRPr="00504B5E" w:rsidRDefault="00810C20" w:rsidP="00036178">
            <w:pPr>
              <w:spacing w:line="240" w:lineRule="auto"/>
              <w:jc w:val="both"/>
              <w:rPr>
                <w:rFonts w:ascii="Times New Roman" w:hAnsi="Times New Roman"/>
                <w:bCs/>
                <w:sz w:val="18"/>
                <w:szCs w:val="18"/>
              </w:rPr>
            </w:pPr>
            <w:r w:rsidRPr="00504B5E">
              <w:rPr>
                <w:rFonts w:ascii="Times New Roman" w:hAnsi="Times New Roman"/>
                <w:bCs/>
                <w:sz w:val="18"/>
                <w:szCs w:val="18"/>
              </w:rPr>
              <w:t>Furthermore, this guideline recognises that States have the sovereign right over their own natural resources and the right of pursuing their own environmental policies in accordance w</w:t>
            </w:r>
            <w:r w:rsidR="00036178" w:rsidRPr="00504B5E">
              <w:rPr>
                <w:rFonts w:ascii="Times New Roman" w:hAnsi="Times New Roman"/>
                <w:bCs/>
                <w:sz w:val="18"/>
                <w:szCs w:val="18"/>
              </w:rPr>
              <w:t>ith their national legislation.</w:t>
            </w:r>
          </w:p>
        </w:tc>
      </w:tr>
      <w:tr w:rsidR="00633A71" w:rsidRPr="00632DBC" w14:paraId="241FABAB" w14:textId="77777777" w:rsidTr="00CF7E8B">
        <w:trPr>
          <w:trHeight w:val="916"/>
        </w:trPr>
        <w:tc>
          <w:tcPr>
            <w:tcW w:w="4003" w:type="dxa"/>
            <w:tcBorders>
              <w:top w:val="single" w:sz="4" w:space="0" w:color="000000"/>
              <w:left w:val="single" w:sz="4" w:space="0" w:color="000000"/>
              <w:bottom w:val="single" w:sz="4" w:space="0" w:color="000000"/>
              <w:right w:val="single" w:sz="4" w:space="0" w:color="000000"/>
            </w:tcBorders>
            <w:shd w:val="clear" w:color="auto" w:fill="FFFFFF"/>
          </w:tcPr>
          <w:p w14:paraId="17D7F4D6" w14:textId="031E5B4F" w:rsidR="00810C20" w:rsidRPr="00632DBC" w:rsidDel="00D070ED" w:rsidRDefault="00810C20" w:rsidP="00CF7E8B">
            <w:pPr>
              <w:spacing w:line="240" w:lineRule="auto"/>
              <w:jc w:val="both"/>
              <w:rPr>
                <w:rFonts w:ascii="Times New Roman" w:hAnsi="Times New Roman"/>
                <w:bCs/>
                <w:sz w:val="18"/>
                <w:szCs w:val="18"/>
              </w:rPr>
            </w:pPr>
            <w:r w:rsidRPr="00632DBC">
              <w:rPr>
                <w:rFonts w:ascii="Times New Roman" w:hAnsi="Times New Roman"/>
                <w:bCs/>
                <w:sz w:val="18"/>
                <w:szCs w:val="18"/>
              </w:rPr>
              <w:lastRenderedPageBreak/>
              <w:t xml:space="preserve">A question was raised on how general or specific the </w:t>
            </w:r>
            <w:r w:rsidR="003A65CE" w:rsidRPr="00632DBC">
              <w:rPr>
                <w:rFonts w:ascii="Times New Roman" w:hAnsi="Times New Roman"/>
                <w:bCs/>
                <w:sz w:val="18"/>
                <w:szCs w:val="18"/>
              </w:rPr>
              <w:t>adopted</w:t>
            </w:r>
            <w:r w:rsidRPr="00632DBC">
              <w:rPr>
                <w:rFonts w:ascii="Times New Roman" w:hAnsi="Times New Roman"/>
                <w:bCs/>
                <w:sz w:val="18"/>
                <w:szCs w:val="18"/>
              </w:rPr>
              <w:t xml:space="preserve"> guidelines should be. </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14:paraId="52D87DE6" w14:textId="77777777" w:rsidR="00810C20" w:rsidRPr="00632DBC" w:rsidRDefault="00810C20" w:rsidP="00CF7E8B">
            <w:pPr>
              <w:spacing w:line="240" w:lineRule="auto"/>
              <w:jc w:val="both"/>
              <w:rPr>
                <w:rFonts w:ascii="Times New Roman" w:hAnsi="Times New Roman"/>
                <w:bCs/>
                <w:sz w:val="18"/>
                <w:szCs w:val="18"/>
              </w:rPr>
            </w:pPr>
            <w:r w:rsidRPr="00632DBC">
              <w:rPr>
                <w:rFonts w:ascii="Times New Roman" w:hAnsi="Times New Roman"/>
                <w:bCs/>
                <w:sz w:val="18"/>
                <w:szCs w:val="18"/>
              </w:rPr>
              <w:t xml:space="preserve">In the introduction, the following paragraph is included </w:t>
            </w:r>
            <w:proofErr w:type="gramStart"/>
            <w:r w:rsidRPr="00632DBC">
              <w:rPr>
                <w:rFonts w:ascii="Times New Roman" w:hAnsi="Times New Roman"/>
                <w:bCs/>
                <w:sz w:val="18"/>
                <w:szCs w:val="18"/>
              </w:rPr>
              <w:t>in order to</w:t>
            </w:r>
            <w:proofErr w:type="gramEnd"/>
            <w:r w:rsidRPr="00632DBC">
              <w:rPr>
                <w:rFonts w:ascii="Times New Roman" w:hAnsi="Times New Roman"/>
                <w:bCs/>
                <w:sz w:val="18"/>
                <w:szCs w:val="18"/>
              </w:rPr>
              <w:t xml:space="preserve"> </w:t>
            </w:r>
            <w:proofErr w:type="spellStart"/>
            <w:r w:rsidRPr="00632DBC">
              <w:rPr>
                <w:rFonts w:ascii="Times New Roman" w:hAnsi="Times New Roman"/>
                <w:bCs/>
                <w:sz w:val="18"/>
                <w:szCs w:val="18"/>
              </w:rPr>
              <w:t>to</w:t>
            </w:r>
            <w:proofErr w:type="spellEnd"/>
            <w:r w:rsidRPr="00632DBC">
              <w:rPr>
                <w:rFonts w:ascii="Times New Roman" w:hAnsi="Times New Roman"/>
                <w:bCs/>
                <w:sz w:val="18"/>
                <w:szCs w:val="18"/>
              </w:rPr>
              <w:t xml:space="preserve"> respond to this issue:</w:t>
            </w:r>
          </w:p>
          <w:p w14:paraId="5662B752" w14:textId="21146CD9" w:rsidR="00810C20" w:rsidRPr="00632DBC" w:rsidRDefault="00810C20" w:rsidP="00CF7E8B">
            <w:pPr>
              <w:tabs>
                <w:tab w:val="left" w:pos="450"/>
              </w:tabs>
              <w:spacing w:line="240" w:lineRule="auto"/>
              <w:jc w:val="both"/>
              <w:rPr>
                <w:rFonts w:ascii="Times New Roman" w:hAnsi="Times New Roman"/>
                <w:bCs/>
                <w:sz w:val="18"/>
                <w:szCs w:val="18"/>
              </w:rPr>
            </w:pPr>
            <w:r w:rsidRPr="00632DBC">
              <w:rPr>
                <w:rFonts w:ascii="Times New Roman" w:hAnsi="Times New Roman"/>
                <w:bCs/>
                <w:sz w:val="18"/>
                <w:szCs w:val="18"/>
              </w:rPr>
              <w:t xml:space="preserve">“This paper addresses how to develop and implement safeguards for scaling up biodiversity financing under CBD and proposes guidelines and elements for an operational roadmap. We focus especially on the so-called “new and innovative financial mechanisms” (IFMs) under the CBD’s strategy for resource mobilization (Decision IX/11) which are: payments for ecosystems services, biodiversity offsets, environmental fiscal reform, international development finance, markets for green products and climate financing with co-benefits to biodiversity. These mechanisms under Goal 4 are distinct in nature. As OECD (2013) highlights, these mechanisms may vary in terms of their purpose, their applicability as well as in the amount of finance they have been able to mobilise and the opportunities to scale-up. Likewise, distinct design and implementation considerations need to be </w:t>
            </w:r>
            <w:proofErr w:type="gramStart"/>
            <w:r w:rsidRPr="00632DBC">
              <w:rPr>
                <w:rFonts w:ascii="Times New Roman" w:hAnsi="Times New Roman"/>
                <w:bCs/>
                <w:sz w:val="18"/>
                <w:szCs w:val="18"/>
              </w:rPr>
              <w:t>taken into account</w:t>
            </w:r>
            <w:proofErr w:type="gramEnd"/>
            <w:r w:rsidRPr="00632DBC">
              <w:rPr>
                <w:rFonts w:ascii="Times New Roman" w:hAnsi="Times New Roman"/>
                <w:bCs/>
                <w:sz w:val="18"/>
                <w:szCs w:val="18"/>
              </w:rPr>
              <w:t xml:space="preserve"> depending on the type of mechanism. The </w:t>
            </w:r>
            <w:r w:rsidR="004546E2" w:rsidRPr="00632DBC">
              <w:rPr>
                <w:rFonts w:ascii="Times New Roman" w:hAnsi="Times New Roman"/>
                <w:bCs/>
                <w:sz w:val="18"/>
                <w:szCs w:val="18"/>
              </w:rPr>
              <w:t>adopted guidelines</w:t>
            </w:r>
            <w:r w:rsidRPr="00632DBC">
              <w:rPr>
                <w:rFonts w:ascii="Times New Roman" w:hAnsi="Times New Roman"/>
                <w:bCs/>
                <w:sz w:val="18"/>
                <w:szCs w:val="18"/>
              </w:rPr>
              <w:t xml:space="preserve"> in Section 5 are relatively general because they aim to be applicable to all the BFMs while also taking into consideration the interconnectedness of BFMs’ risks and opportunities.  A step-wise approach is suggested including the </w:t>
            </w:r>
            <w:r w:rsidR="003A65CE" w:rsidRPr="00632DBC">
              <w:rPr>
                <w:rFonts w:ascii="Times New Roman" w:hAnsi="Times New Roman"/>
                <w:bCs/>
                <w:sz w:val="18"/>
                <w:szCs w:val="18"/>
              </w:rPr>
              <w:t>adopted</w:t>
            </w:r>
            <w:r w:rsidRPr="00632DBC">
              <w:rPr>
                <w:rFonts w:ascii="Times New Roman" w:hAnsi="Times New Roman"/>
                <w:bCs/>
                <w:sz w:val="18"/>
                <w:szCs w:val="18"/>
              </w:rPr>
              <w:t xml:space="preserve"> elements for an operational roadmap in Section 7, which can then contribute to further specify the guidelines and methodologies for safeguards </w:t>
            </w:r>
            <w:proofErr w:type="gramStart"/>
            <w:r w:rsidRPr="00632DBC">
              <w:rPr>
                <w:rFonts w:ascii="Times New Roman" w:hAnsi="Times New Roman"/>
                <w:bCs/>
                <w:sz w:val="18"/>
                <w:szCs w:val="18"/>
              </w:rPr>
              <w:t>in particular BFMs</w:t>
            </w:r>
            <w:proofErr w:type="gramEnd"/>
            <w:r w:rsidRPr="00632DBC">
              <w:rPr>
                <w:rFonts w:ascii="Times New Roman" w:hAnsi="Times New Roman"/>
                <w:bCs/>
                <w:sz w:val="18"/>
                <w:szCs w:val="18"/>
              </w:rPr>
              <w:t xml:space="preserve"> as well as for safeguards addressing the linkages of BFMs’ risks and opportunities</w:t>
            </w:r>
            <w:r w:rsidR="00F36DF7" w:rsidRPr="00632DBC">
              <w:rPr>
                <w:rFonts w:ascii="Times New Roman" w:hAnsi="Times New Roman"/>
                <w:bCs/>
                <w:sz w:val="18"/>
                <w:szCs w:val="18"/>
              </w:rPr>
              <w:t>”.</w:t>
            </w:r>
          </w:p>
        </w:tc>
      </w:tr>
    </w:tbl>
    <w:p w14:paraId="6E0981A8" w14:textId="77777777" w:rsidR="00810C20" w:rsidRPr="00632DBC" w:rsidRDefault="00810C20" w:rsidP="00810C20">
      <w:pPr>
        <w:spacing w:after="0" w:line="240" w:lineRule="auto"/>
        <w:rPr>
          <w:rFonts w:ascii="Helvetica" w:hAnsi="Helvetica" w:cs="Helvetica"/>
          <w:u w:color="000000"/>
          <w:bdr w:val="nil"/>
          <w:lang w:eastAsia="sv-SE" w:bidi="ar-SA"/>
        </w:rPr>
      </w:pPr>
      <w:r w:rsidRPr="00632DBC">
        <w:br w:type="page"/>
      </w:r>
    </w:p>
    <w:p w14:paraId="3A908FCE" w14:textId="4C975F99" w:rsidR="00810C20" w:rsidRPr="00633A71" w:rsidRDefault="00810C20" w:rsidP="00094BE4">
      <w:pPr>
        <w:pStyle w:val="Heading3"/>
      </w:pPr>
      <w:bookmarkStart w:id="195" w:name="_Toc263943529"/>
      <w:bookmarkStart w:id="196" w:name="_Toc382590322"/>
      <w:bookmarkStart w:id="197" w:name="_Toc529199448"/>
      <w:r w:rsidRPr="00633A71">
        <w:lastRenderedPageBreak/>
        <w:t>Appendix 2. Definitions</w:t>
      </w:r>
      <w:bookmarkEnd w:id="195"/>
      <w:bookmarkEnd w:id="196"/>
      <w:bookmarkEnd w:id="197"/>
    </w:p>
    <w:p w14:paraId="56E9AAC6" w14:textId="77777777" w:rsidR="00810C20" w:rsidRPr="00633A71" w:rsidRDefault="00810C20" w:rsidP="00810C20">
      <w:pPr>
        <w:spacing w:after="0" w:line="240" w:lineRule="auto"/>
        <w:jc w:val="both"/>
        <w:rPr>
          <w:rFonts w:ascii="Times New Roman" w:hAnsi="Times New Roman"/>
          <w:b/>
        </w:rPr>
      </w:pPr>
    </w:p>
    <w:p w14:paraId="5D495F12" w14:textId="77777777" w:rsidR="00810C20" w:rsidRPr="00633A71" w:rsidRDefault="00810C20" w:rsidP="00810C20">
      <w:pPr>
        <w:spacing w:after="0" w:line="240" w:lineRule="auto"/>
        <w:jc w:val="both"/>
        <w:rPr>
          <w:rFonts w:ascii="Times New Roman" w:hAnsi="Times New Roman"/>
        </w:rPr>
      </w:pPr>
      <w:r w:rsidRPr="00504B5E">
        <w:rPr>
          <w:rFonts w:ascii="Times New Roman" w:hAnsi="Times New Roman"/>
          <w:b/>
        </w:rPr>
        <w:t>Definitions</w:t>
      </w:r>
      <w:r w:rsidRPr="00633A71">
        <w:rPr>
          <w:rFonts w:ascii="Times New Roman" w:hAnsi="Times New Roman"/>
          <w:vertAlign w:val="superscript"/>
        </w:rPr>
        <w:footnoteReference w:id="266"/>
      </w:r>
    </w:p>
    <w:p w14:paraId="62D11A04" w14:textId="77777777" w:rsidR="00810C20" w:rsidRPr="00504B5E" w:rsidRDefault="00810C20" w:rsidP="00810C20">
      <w:pPr>
        <w:spacing w:before="60" w:after="0" w:line="240" w:lineRule="auto"/>
        <w:jc w:val="both"/>
        <w:rPr>
          <w:rFonts w:ascii="Times New Roman" w:hAnsi="Times New Roman"/>
          <w:i/>
        </w:rPr>
      </w:pPr>
      <w:r w:rsidRPr="00633A71">
        <w:rPr>
          <w:rFonts w:ascii="Times New Roman" w:hAnsi="Times New Roman"/>
          <w:i/>
        </w:rPr>
        <w:t>Biological diversity</w:t>
      </w:r>
      <w:r w:rsidRPr="00504B5E">
        <w:rPr>
          <w:rFonts w:ascii="Times New Roman" w:hAnsi="Times New Roman"/>
        </w:rPr>
        <w:t xml:space="preserve"> is the variability among living organisms from all sources and the ecological complexes of which they are part: this includes diversity within species, between species and of ecosystems.</w:t>
      </w:r>
    </w:p>
    <w:p w14:paraId="0ADFFB8D" w14:textId="77777777" w:rsidR="00810C20" w:rsidRPr="00504B5E" w:rsidRDefault="00810C20" w:rsidP="00810C20">
      <w:pPr>
        <w:spacing w:before="60" w:after="0" w:line="240" w:lineRule="auto"/>
        <w:jc w:val="both"/>
        <w:rPr>
          <w:rFonts w:ascii="Times New Roman" w:hAnsi="Times New Roman"/>
          <w:i/>
        </w:rPr>
      </w:pPr>
      <w:r w:rsidRPr="00504B5E">
        <w:rPr>
          <w:rFonts w:ascii="Times New Roman" w:hAnsi="Times New Roman"/>
          <w:i/>
        </w:rPr>
        <w:t>Biological resources</w:t>
      </w:r>
      <w:r w:rsidRPr="00504B5E">
        <w:rPr>
          <w:rFonts w:ascii="Times New Roman" w:hAnsi="Times New Roman"/>
        </w:rPr>
        <w:t xml:space="preserve"> </w:t>
      </w:r>
      <w:proofErr w:type="gramStart"/>
      <w:r w:rsidRPr="00504B5E">
        <w:rPr>
          <w:rFonts w:ascii="Times New Roman" w:hAnsi="Times New Roman"/>
        </w:rPr>
        <w:t>includes</w:t>
      </w:r>
      <w:proofErr w:type="gramEnd"/>
      <w:r w:rsidRPr="00504B5E">
        <w:rPr>
          <w:rFonts w:ascii="Times New Roman" w:hAnsi="Times New Roman"/>
        </w:rPr>
        <w:t xml:space="preserve"> genetic resources, organisms or parts thereof, populations, or any other biotic component of ecosystems with actual or potential use or value for humanity.</w:t>
      </w:r>
      <w:r w:rsidRPr="00504B5E">
        <w:rPr>
          <w:rFonts w:ascii="Times New Roman" w:hAnsi="Times New Roman"/>
          <w:i/>
        </w:rPr>
        <w:t xml:space="preserve"> </w:t>
      </w:r>
    </w:p>
    <w:p w14:paraId="4DC1F982" w14:textId="77777777" w:rsidR="00810C20" w:rsidRPr="00A3063C" w:rsidRDefault="00810C20" w:rsidP="00810C20">
      <w:pPr>
        <w:spacing w:before="60" w:after="0" w:line="240" w:lineRule="auto"/>
        <w:jc w:val="both"/>
        <w:rPr>
          <w:rFonts w:ascii="Times New Roman" w:hAnsi="Times New Roman"/>
        </w:rPr>
      </w:pPr>
      <w:r w:rsidRPr="00A3063C">
        <w:rPr>
          <w:rFonts w:ascii="Times New Roman" w:hAnsi="Times New Roman"/>
          <w:i/>
        </w:rPr>
        <w:t>Ecosystems</w:t>
      </w:r>
      <w:r w:rsidRPr="00A3063C">
        <w:rPr>
          <w:rFonts w:ascii="Times New Roman" w:hAnsi="Times New Roman"/>
        </w:rPr>
        <w:t xml:space="preserve"> are dynamic complexes of plant, animal and micro-organism communities and their non-living environment interacting as a functional unit. </w:t>
      </w:r>
    </w:p>
    <w:p w14:paraId="258DCD4A" w14:textId="77777777" w:rsidR="00810C20" w:rsidRPr="00633A71" w:rsidRDefault="00810C20" w:rsidP="00810C20">
      <w:pPr>
        <w:spacing w:before="60" w:after="0" w:line="240" w:lineRule="auto"/>
        <w:jc w:val="both"/>
        <w:rPr>
          <w:rFonts w:ascii="Times New Roman" w:hAnsi="Times New Roman"/>
        </w:rPr>
      </w:pPr>
      <w:r w:rsidRPr="00A3063C">
        <w:rPr>
          <w:rFonts w:ascii="Times New Roman" w:hAnsi="Times New Roman"/>
          <w:i/>
        </w:rPr>
        <w:t>Ecosystem services</w:t>
      </w:r>
      <w:r w:rsidRPr="00A3063C">
        <w:rPr>
          <w:rFonts w:ascii="Times New Roman" w:hAnsi="Times New Roman"/>
        </w:rPr>
        <w:t xml:space="preserve"> are the benefits that people receive from ecosystems. Some of these, such as the provisioning services (or goods) like food, timber and fresh water, are well-known and routinely included in assessments. Others, such as the habitat services, regulating services arising from Earth’s natural processes (e.g., carbon storage and sequestration, watershed protection, storm protection, pollination, nutrient cycling) and cultural services (e.g., recreation and spiritual values), are often overlooked because they are to a lesser extent traded in the market and internalised in traditional cost-benefit analyses.</w:t>
      </w:r>
      <w:r w:rsidRPr="00633A71">
        <w:rPr>
          <w:rFonts w:ascii="Times New Roman" w:hAnsi="Times New Roman"/>
          <w:vertAlign w:val="superscript"/>
        </w:rPr>
        <w:footnoteReference w:id="267"/>
      </w:r>
    </w:p>
    <w:p w14:paraId="4C095A49" w14:textId="77777777" w:rsidR="00810C20" w:rsidRPr="00504B5E" w:rsidRDefault="00810C20" w:rsidP="00810C20">
      <w:pPr>
        <w:spacing w:before="60" w:after="0" w:line="240" w:lineRule="auto"/>
        <w:jc w:val="both"/>
        <w:rPr>
          <w:rFonts w:ascii="Times New Roman" w:hAnsi="Times New Roman"/>
        </w:rPr>
      </w:pPr>
      <w:r w:rsidRPr="00633A71">
        <w:rPr>
          <w:rFonts w:ascii="Times New Roman" w:hAnsi="Times New Roman"/>
          <w:i/>
        </w:rPr>
        <w:t>Socio-ecological resilience</w:t>
      </w:r>
      <w:r w:rsidRPr="00504B5E">
        <w:rPr>
          <w:rFonts w:ascii="Times New Roman" w:hAnsi="Times New Roman"/>
        </w:rPr>
        <w:t xml:space="preserve"> is the capacity of linked social and ecological systems to absorb disturbance and adapt or reorganise </w:t>
      </w:r>
      <w:proofErr w:type="gramStart"/>
      <w:r w:rsidRPr="00504B5E">
        <w:rPr>
          <w:rFonts w:ascii="Times New Roman" w:hAnsi="Times New Roman"/>
        </w:rPr>
        <w:t>so as to</w:t>
      </w:r>
      <w:proofErr w:type="gramEnd"/>
      <w:r w:rsidRPr="00504B5E">
        <w:rPr>
          <w:rFonts w:ascii="Times New Roman" w:hAnsi="Times New Roman"/>
        </w:rPr>
        <w:t xml:space="preserve"> still retain essentially the same function, structure and identity. </w:t>
      </w:r>
    </w:p>
    <w:p w14:paraId="1DD98A86" w14:textId="77777777" w:rsidR="00810C20" w:rsidRPr="00504B5E" w:rsidRDefault="00810C20" w:rsidP="00810C20">
      <w:pPr>
        <w:spacing w:after="0" w:line="240" w:lineRule="auto"/>
        <w:rPr>
          <w:rFonts w:ascii="Times New Roman" w:hAnsi="Times New Roman"/>
        </w:rPr>
      </w:pPr>
      <w:r w:rsidRPr="00504B5E">
        <w:rPr>
          <w:rFonts w:ascii="Times New Roman" w:hAnsi="Times New Roman"/>
        </w:rPr>
        <w:br w:type="page"/>
      </w:r>
    </w:p>
    <w:p w14:paraId="3DA3EEA7" w14:textId="77777777" w:rsidR="00810C20" w:rsidRPr="00504B5E" w:rsidRDefault="00810C20" w:rsidP="00810C20">
      <w:pPr>
        <w:spacing w:line="240" w:lineRule="auto"/>
        <w:ind w:right="567"/>
        <w:jc w:val="both"/>
        <w:rPr>
          <w:rFonts w:ascii="Times New Roman" w:hAnsi="Times New Roman"/>
        </w:rPr>
      </w:pPr>
    </w:p>
    <w:bookmarkEnd w:id="1"/>
    <w:p w14:paraId="3CABBA2B" w14:textId="77777777" w:rsidR="00530D32" w:rsidRPr="00504B5E" w:rsidRDefault="00530D32"/>
    <w:sectPr w:rsidR="00530D32" w:rsidRPr="00504B5E" w:rsidSect="00CF7E8B">
      <w:pgSz w:w="11906" w:h="16838"/>
      <w:pgMar w:top="1134" w:right="1417" w:bottom="1276" w:left="1417"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AFEE" w14:textId="77777777" w:rsidR="00CA0F09" w:rsidRDefault="00CA0F09" w:rsidP="00810C20">
      <w:pPr>
        <w:spacing w:after="0" w:line="240" w:lineRule="auto"/>
      </w:pPr>
      <w:r>
        <w:separator/>
      </w:r>
    </w:p>
  </w:endnote>
  <w:endnote w:type="continuationSeparator" w:id="0">
    <w:p w14:paraId="4808EEA0" w14:textId="77777777" w:rsidR="00CA0F09" w:rsidRDefault="00CA0F09" w:rsidP="00810C20">
      <w:pPr>
        <w:spacing w:after="0" w:line="240" w:lineRule="auto"/>
      </w:pPr>
      <w:r>
        <w:continuationSeparator/>
      </w:r>
    </w:p>
  </w:endnote>
  <w:endnote w:type="continuationNotice" w:id="1">
    <w:p w14:paraId="298044AD" w14:textId="77777777" w:rsidR="00CA0F09" w:rsidRDefault="00CA0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Helvetica">
    <w:altName w:val="Arial"/>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tlingGothicFB Narrow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abon-Roman">
    <w:altName w:val="Cambria"/>
    <w:panose1 w:val="00000000000000000000"/>
    <w:charset w:val="00"/>
    <w:family w:val="roman"/>
    <w:notTrueType/>
    <w:pitch w:val="default"/>
    <w:sig w:usb0="00000003" w:usb1="00000000" w:usb2="00000000" w:usb3="00000000" w:csb0="00000001" w:csb1="00000000"/>
  </w:font>
  <w:font w:name="‡≠nVˇ">
    <w:altName w:val="Cambria"/>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BoldMT">
    <w:altName w:val="Arial Unicode MS"/>
    <w:panose1 w:val="00000000000000000000"/>
    <w:charset w:val="00"/>
    <w:family w:val="swiss"/>
    <w:notTrueType/>
    <w:pitch w:val="default"/>
    <w:sig w:usb0="00000003" w:usb1="080E0000" w:usb2="00000010"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9C12" w14:textId="77777777" w:rsidR="00002536" w:rsidRDefault="00002536">
    <w:pPr>
      <w:pStyle w:val="Footer"/>
      <w:jc w:val="right"/>
    </w:pPr>
  </w:p>
  <w:p w14:paraId="503C3023" w14:textId="77777777" w:rsidR="00002536" w:rsidRDefault="00002536">
    <w:pPr>
      <w:pStyle w:val="Footer"/>
      <w:jc w:val="right"/>
    </w:pPr>
  </w:p>
  <w:p w14:paraId="300F8123" w14:textId="13775780" w:rsidR="00002536" w:rsidRDefault="0000253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7506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5060">
      <w:rPr>
        <w:b/>
        <w:noProof/>
      </w:rPr>
      <w:t>112</w:t>
    </w:r>
    <w:r>
      <w:rPr>
        <w:b/>
        <w:sz w:val="24"/>
        <w:szCs w:val="24"/>
      </w:rPr>
      <w:fldChar w:fldCharType="end"/>
    </w:r>
  </w:p>
  <w:p w14:paraId="5DD9EE0F" w14:textId="77777777" w:rsidR="00002536" w:rsidRDefault="0000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D243" w14:textId="77777777" w:rsidR="00CA0F09" w:rsidRDefault="00CA0F09" w:rsidP="00810C20">
      <w:pPr>
        <w:spacing w:after="0" w:line="240" w:lineRule="auto"/>
      </w:pPr>
      <w:r>
        <w:separator/>
      </w:r>
    </w:p>
  </w:footnote>
  <w:footnote w:type="continuationSeparator" w:id="0">
    <w:p w14:paraId="4FDBBE6B" w14:textId="77777777" w:rsidR="00CA0F09" w:rsidRDefault="00CA0F09" w:rsidP="00810C20">
      <w:pPr>
        <w:spacing w:after="0" w:line="240" w:lineRule="auto"/>
      </w:pPr>
      <w:r>
        <w:continuationSeparator/>
      </w:r>
    </w:p>
  </w:footnote>
  <w:footnote w:type="continuationNotice" w:id="1">
    <w:p w14:paraId="6E98E471" w14:textId="77777777" w:rsidR="00CA0F09" w:rsidRDefault="00CA0F09">
      <w:pPr>
        <w:spacing w:after="0" w:line="240" w:lineRule="auto"/>
      </w:pPr>
    </w:p>
  </w:footnote>
  <w:footnote w:id="2">
    <w:p w14:paraId="21F8D521" w14:textId="77777777" w:rsidR="00C1575D" w:rsidRPr="004F5CFD" w:rsidRDefault="00C1575D" w:rsidP="00C1575D">
      <w:pPr>
        <w:pStyle w:val="FootnoteText"/>
        <w:rPr>
          <w:sz w:val="18"/>
          <w:szCs w:val="18"/>
          <w:lang w:val="en-US"/>
        </w:rPr>
      </w:pPr>
      <w:r w:rsidRPr="004F5CFD">
        <w:rPr>
          <w:sz w:val="22"/>
          <w:szCs w:val="22"/>
          <w:vertAlign w:val="superscript"/>
        </w:rPr>
        <w:t>*</w:t>
      </w:r>
      <w:r>
        <w:rPr>
          <w:sz w:val="18"/>
          <w:szCs w:val="18"/>
        </w:rPr>
        <w:t xml:space="preserve"> </w:t>
      </w:r>
      <w:r w:rsidRPr="004F5CFD">
        <w:rPr>
          <w:sz w:val="18"/>
          <w:szCs w:val="18"/>
        </w:rPr>
        <w:t>CBD/COP/14/1.</w:t>
      </w:r>
    </w:p>
  </w:footnote>
  <w:footnote w:id="3">
    <w:p w14:paraId="3580A319" w14:textId="77777777" w:rsidR="00002536" w:rsidRPr="000639BA" w:rsidRDefault="00002536" w:rsidP="00810C20">
      <w:pPr>
        <w:pStyle w:val="Corps"/>
        <w:spacing w:after="60"/>
        <w:jc w:val="both"/>
        <w:rPr>
          <w:sz w:val="16"/>
          <w:szCs w:val="16"/>
          <w:lang w:val="en-GB"/>
        </w:rPr>
      </w:pPr>
      <w:r w:rsidRPr="000639BA">
        <w:rPr>
          <w:rFonts w:ascii="Times New Roman" w:eastAsia="Times New Roman" w:hAnsi="Times New Roman" w:cs="Times New Roman"/>
          <w:sz w:val="16"/>
          <w:szCs w:val="16"/>
          <w:vertAlign w:val="superscript"/>
        </w:rPr>
        <w:footnoteRef/>
      </w:r>
      <w:r w:rsidRPr="000639BA">
        <w:rPr>
          <w:rFonts w:ascii="Times New Roman"/>
          <w:sz w:val="16"/>
          <w:szCs w:val="16"/>
          <w:lang w:val="en-US"/>
        </w:rPr>
        <w:t>CBD-COP Decision XI/4</w:t>
      </w:r>
      <w:r w:rsidRPr="000639BA">
        <w:rPr>
          <w:rFonts w:ascii="Trebuchet MS"/>
          <w:sz w:val="16"/>
          <w:szCs w:val="16"/>
          <w:lang w:val="en-GB" w:bidi="en-US"/>
        </w:rPr>
        <w:t xml:space="preserve"> </w:t>
      </w:r>
      <w:r w:rsidRPr="000639BA">
        <w:rPr>
          <w:rFonts w:hAnsi="Times New Roman"/>
          <w:sz w:val="16"/>
          <w:szCs w:val="16"/>
          <w:lang w:val="en-GB"/>
        </w:rPr>
        <w:t>“</w:t>
      </w:r>
      <w:r w:rsidRPr="000639BA">
        <w:rPr>
          <w:rFonts w:ascii="Times New Roman"/>
          <w:sz w:val="16"/>
          <w:szCs w:val="16"/>
          <w:lang w:val="en-US"/>
        </w:rPr>
        <w:t>requests the Executive Secretary to further develop the paper for submission to WGRI-5 based on comments from Parties and other stakeholders and requests WGRI-5 to prepare a recommendation for the consideration by the Conference of the Parties at its twelfth meeting</w:t>
      </w:r>
      <w:r w:rsidRPr="000639BA">
        <w:rPr>
          <w:rFonts w:hAnsi="Times New Roman"/>
          <w:sz w:val="16"/>
          <w:szCs w:val="16"/>
          <w:lang w:val="en-GB"/>
        </w:rPr>
        <w:t>”</w:t>
      </w:r>
      <w:r w:rsidRPr="000639BA">
        <w:rPr>
          <w:rFonts w:hAnsi="Times New Roman"/>
          <w:sz w:val="16"/>
          <w:szCs w:val="16"/>
          <w:lang w:val="en-GB"/>
        </w:rPr>
        <w:t xml:space="preserve"> </w:t>
      </w:r>
      <w:r w:rsidRPr="000639BA">
        <w:rPr>
          <w:rFonts w:ascii="Times New Roman"/>
          <w:sz w:val="16"/>
          <w:szCs w:val="16"/>
          <w:lang w:val="en-GB"/>
        </w:rPr>
        <w:t>UNEP/CBD/COP/DEC/XI/4, 5 December 2012.</w:t>
      </w:r>
    </w:p>
  </w:footnote>
  <w:footnote w:id="4">
    <w:p w14:paraId="22FDC8BB" w14:textId="77777777" w:rsidR="00002536" w:rsidRPr="000639BA" w:rsidRDefault="00002536" w:rsidP="00810C20">
      <w:pPr>
        <w:pStyle w:val="FootnoteText"/>
      </w:pPr>
      <w:r w:rsidRPr="000639BA">
        <w:rPr>
          <w:rStyle w:val="FootnoteReference"/>
        </w:rPr>
        <w:footnoteRef/>
      </w:r>
      <w:r w:rsidRPr="000639BA">
        <w:t xml:space="preserve"> </w:t>
      </w:r>
      <w:r w:rsidRPr="000639BA">
        <w:rPr>
          <w:szCs w:val="22"/>
        </w:rPr>
        <w:t xml:space="preserve"> UNEP/CBD/WGRI/5/INF/7.</w:t>
      </w:r>
    </w:p>
  </w:footnote>
  <w:footnote w:id="5">
    <w:p w14:paraId="7D0A6ED1" w14:textId="77777777" w:rsidR="00002536" w:rsidRPr="000639BA" w:rsidRDefault="00002536" w:rsidP="00810C20">
      <w:pPr>
        <w:pStyle w:val="Corps"/>
        <w:spacing w:after="60"/>
        <w:jc w:val="both"/>
        <w:rPr>
          <w:sz w:val="16"/>
          <w:szCs w:val="16"/>
          <w:lang w:val="en-GB"/>
        </w:rPr>
      </w:pPr>
      <w:r w:rsidRPr="000639BA">
        <w:rPr>
          <w:rFonts w:ascii="Times New Roman" w:eastAsia="Times New Roman" w:hAnsi="Times New Roman" w:cs="Times New Roman"/>
          <w:sz w:val="16"/>
          <w:szCs w:val="16"/>
          <w:vertAlign w:val="superscript"/>
        </w:rPr>
        <w:footnoteRef/>
      </w:r>
      <w:r w:rsidRPr="000639BA">
        <w:rPr>
          <w:rFonts w:ascii="Times New Roman"/>
          <w:sz w:val="16"/>
          <w:szCs w:val="16"/>
          <w:lang w:val="en-GB"/>
        </w:rPr>
        <w:t xml:space="preserve"> </w:t>
      </w:r>
      <w:r w:rsidRPr="000639BA">
        <w:rPr>
          <w:rFonts w:ascii="Times New Roman"/>
          <w:sz w:val="16"/>
          <w:szCs w:val="16"/>
          <w:lang w:val="en-US"/>
        </w:rPr>
        <w:t xml:space="preserve">Decision XI/19. Biodiversity and climate change related issues: Advice on the application of relevant safeguards for biodiversity </w:t>
      </w:r>
      <w:proofErr w:type="gramStart"/>
      <w:r w:rsidRPr="000639BA">
        <w:rPr>
          <w:rFonts w:ascii="Times New Roman"/>
          <w:sz w:val="16"/>
          <w:szCs w:val="16"/>
          <w:lang w:val="en-US"/>
        </w:rPr>
        <w:t>with regard to</w:t>
      </w:r>
      <w:proofErr w:type="gramEnd"/>
      <w:r w:rsidRPr="000639BA">
        <w:rPr>
          <w:rFonts w:ascii="Times New Roman"/>
          <w:sz w:val="16"/>
          <w:szCs w:val="16"/>
          <w:lang w:val="en-US"/>
        </w:rPr>
        <w:t xml:space="preserve"> policy approaches and positive incentives on issues relating to reducing emissions from deforestation and forest degradation and the role of conservation, sustainable management of forests and enhancement of forest carbon stocks in developing countries, UNEP/CBD/COP/DEC/XI/19, 5 December 2012.</w:t>
      </w:r>
    </w:p>
  </w:footnote>
  <w:footnote w:id="6">
    <w:p w14:paraId="144A53AC" w14:textId="77777777" w:rsidR="00002536" w:rsidRPr="000639BA" w:rsidRDefault="00002536" w:rsidP="00810C20">
      <w:pPr>
        <w:pStyle w:val="FootnoteText"/>
        <w:jc w:val="both"/>
      </w:pPr>
      <w:r w:rsidRPr="000639BA">
        <w:rPr>
          <w:vertAlign w:val="superscript"/>
        </w:rPr>
        <w:footnoteRef/>
      </w:r>
      <w:r w:rsidRPr="000639BA">
        <w:t xml:space="preserve"> Annex “Indicative List of Indicators for the Strategic Plan for Biodiversity 2011–2020, UNEP/CBD/COP/DEC/XI/3, 5 December 2012.</w:t>
      </w:r>
    </w:p>
  </w:footnote>
  <w:footnote w:id="7">
    <w:p w14:paraId="027897D3" w14:textId="77777777" w:rsidR="00002536" w:rsidRPr="000639BA" w:rsidRDefault="00002536" w:rsidP="00810C20">
      <w:pPr>
        <w:pStyle w:val="FootnoteText"/>
        <w:jc w:val="both"/>
      </w:pPr>
      <w:r w:rsidRPr="000639BA">
        <w:rPr>
          <w:vertAlign w:val="superscript"/>
        </w:rPr>
        <w:footnoteRef/>
      </w:r>
      <w:r w:rsidRPr="000639BA">
        <w:t xml:space="preserve"> Report of the Ad Hoc Open-Ended Working Group on Review of Implementation of the CBD on the Work of its Fourth Meeting, UNEP/CBD/COP/11/4, 21 June 2012, page 22.</w:t>
      </w:r>
    </w:p>
  </w:footnote>
  <w:footnote w:id="8">
    <w:p w14:paraId="67651ED1" w14:textId="77777777" w:rsidR="00002536" w:rsidRPr="000639BA" w:rsidRDefault="00002536" w:rsidP="00810C20">
      <w:pPr>
        <w:pStyle w:val="FootnoteText"/>
      </w:pPr>
      <w:r w:rsidRPr="000639BA">
        <w:rPr>
          <w:vertAlign w:val="superscript"/>
        </w:rPr>
        <w:footnoteRef/>
      </w:r>
      <w:r w:rsidRPr="000639BA">
        <w:t xml:space="preserve"> COP 9 Decision IX/11, Review of implementation of Articles 20 and 21, </w:t>
      </w:r>
      <w:hyperlink r:id="rId1" w:history="1">
        <w:r w:rsidRPr="000639BA">
          <w:rPr>
            <w:rStyle w:val="Hyperlink1"/>
          </w:rPr>
          <w:t>www.cbd.int/decision/cop/?id=11654</w:t>
        </w:r>
      </w:hyperlink>
      <w:r w:rsidRPr="000639BA">
        <w:t>, accessed 25 July 2012</w:t>
      </w:r>
    </w:p>
  </w:footnote>
  <w:footnote w:id="9">
    <w:p w14:paraId="71825A29" w14:textId="46D7C2FC" w:rsidR="00002536" w:rsidRPr="000639BA" w:rsidRDefault="00002536">
      <w:pPr>
        <w:pStyle w:val="FootnoteText"/>
        <w:rPr>
          <w:lang w:val="en-US"/>
        </w:rPr>
      </w:pPr>
      <w:r w:rsidRPr="000639BA">
        <w:rPr>
          <w:rStyle w:val="FootnoteReference"/>
        </w:rPr>
        <w:footnoteRef/>
      </w:r>
      <w:r w:rsidRPr="000639BA">
        <w:t xml:space="preserve"> </w:t>
      </w:r>
      <w:r w:rsidRPr="000639BA">
        <w:rPr>
          <w:lang w:val="en-US"/>
        </w:rPr>
        <w:t xml:space="preserve">CBD/SBI/2/20 </w:t>
      </w:r>
      <w:proofErr w:type="spellStart"/>
      <w:r w:rsidRPr="000639BA">
        <w:rPr>
          <w:lang w:val="en-US"/>
        </w:rPr>
        <w:t>recomends</w:t>
      </w:r>
      <w:proofErr w:type="spellEnd"/>
      <w:r w:rsidRPr="000639BA">
        <w:rPr>
          <w:lang w:val="en-US"/>
        </w:rPr>
        <w:t xml:space="preserve"> CBD-COP14 to take</w:t>
      </w:r>
      <w:r w:rsidRPr="000639BA">
        <w:t xml:space="preserve"> note, that </w:t>
      </w:r>
      <w:proofErr w:type="gramStart"/>
      <w:r w:rsidRPr="000639BA">
        <w:t xml:space="preserve">the </w:t>
      </w:r>
      <w:r w:rsidRPr="000639BA">
        <w:rPr>
          <w:lang w:val="en-US"/>
        </w:rPr>
        <w:t>”</w:t>
      </w:r>
      <w:r w:rsidRPr="000639BA">
        <w:t>processes</w:t>
      </w:r>
      <w:proofErr w:type="gramEnd"/>
      <w:r w:rsidRPr="000639BA">
        <w:t xml:space="preserve"> undertaken by the operating entities of the financial mechanism of the United Nations Framework Convention on Climate Change to design, establish and apply safeguard systems that would cover all climate-related financing under their responsibility</w:t>
      </w:r>
      <w:r w:rsidRPr="000639BA">
        <w:rPr>
          <w:lang w:val="en-US"/>
        </w:rPr>
        <w:t>”.</w:t>
      </w:r>
    </w:p>
  </w:footnote>
  <w:footnote w:id="10">
    <w:p w14:paraId="176A267B" w14:textId="707081D0" w:rsidR="00002536" w:rsidRPr="000639BA" w:rsidRDefault="00002536" w:rsidP="0059461E">
      <w:pPr>
        <w:pStyle w:val="FootnoteText"/>
      </w:pPr>
      <w:r w:rsidRPr="000639BA">
        <w:rPr>
          <w:rStyle w:val="FootnoteReference"/>
        </w:rPr>
        <w:footnoteRef/>
      </w:r>
      <w:r w:rsidRPr="000639BA">
        <w:rPr>
          <w:lang w:val="en-US"/>
        </w:rPr>
        <w:t xml:space="preserve"> </w:t>
      </w:r>
      <w:r w:rsidRPr="000639BA">
        <w:rPr>
          <w:szCs w:val="18"/>
          <w:lang w:val="en-US"/>
        </w:rPr>
        <w:t xml:space="preserve">See e.g. on Ituarte-Lima, C. (2017), Transformative biodiversity law and Agenda 2030: mainstreaming biodiversity and justice through human rights, in Butter, B. Risk, Resilience, Inequality and Environmental Law, Edward Elgar Publishing, Knox (2015), Report of the Independent Expert on the issue of human rights obligations relating to the enjoyment of a safe, clean, healthy and sustainable environment to the Human Rights Council, 3 February 2015, A/HRC/28/61, Special Feature on Law and Social-Ecological Resilience, Part II, Contributions from Law for Social- Ecological Resilience Symposium Stockholm, Sweden, 2010, (2013) 18 </w:t>
      </w:r>
      <w:r w:rsidRPr="000639BA">
        <w:rPr>
          <w:i/>
          <w:iCs/>
          <w:szCs w:val="18"/>
        </w:rPr>
        <w:t xml:space="preserve">Ecology and Society </w:t>
      </w:r>
      <w:r w:rsidRPr="000639BA">
        <w:rPr>
          <w:szCs w:val="18"/>
          <w:lang w:val="en-US"/>
        </w:rPr>
        <w:t>&lt;http://www.ecologyandsociety.org/issues/view.php/feature/98&gt;, accessed</w:t>
      </w:r>
      <w:r w:rsidRPr="000639BA">
        <w:rPr>
          <w:szCs w:val="18"/>
        </w:rPr>
        <w:t xml:space="preserve"> 12 January 2016, </w:t>
      </w:r>
      <w:proofErr w:type="spellStart"/>
      <w:r w:rsidRPr="000639BA">
        <w:rPr>
          <w:szCs w:val="18"/>
          <w:lang w:val="en-US"/>
        </w:rPr>
        <w:t>Ahjand</w:t>
      </w:r>
      <w:proofErr w:type="spellEnd"/>
      <w:r w:rsidRPr="000639BA">
        <w:rPr>
          <w:szCs w:val="18"/>
          <w:lang w:val="en-US"/>
        </w:rPr>
        <w:t xml:space="preserve"> S </w:t>
      </w:r>
      <w:proofErr w:type="spellStart"/>
      <w:r w:rsidRPr="000639BA">
        <w:rPr>
          <w:szCs w:val="18"/>
          <w:lang w:val="en-US"/>
        </w:rPr>
        <w:t>Garmestani</w:t>
      </w:r>
      <w:proofErr w:type="spellEnd"/>
      <w:r w:rsidRPr="000639BA">
        <w:rPr>
          <w:szCs w:val="18"/>
          <w:lang w:val="en-US"/>
        </w:rPr>
        <w:t xml:space="preserve"> and Craig R Allen (</w:t>
      </w:r>
      <w:proofErr w:type="spellStart"/>
      <w:r w:rsidRPr="000639BA">
        <w:rPr>
          <w:szCs w:val="18"/>
          <w:lang w:val="en-US"/>
        </w:rPr>
        <w:t>eds</w:t>
      </w:r>
      <w:proofErr w:type="spellEnd"/>
      <w:r w:rsidRPr="000639BA">
        <w:rPr>
          <w:szCs w:val="18"/>
          <w:lang w:val="en-US"/>
        </w:rPr>
        <w:t xml:space="preserve">) </w:t>
      </w:r>
      <w:r w:rsidRPr="000639BA">
        <w:rPr>
          <w:i/>
          <w:szCs w:val="18"/>
          <w:lang w:val="en-US"/>
        </w:rPr>
        <w:t>Social-ecological resilience and law</w:t>
      </w:r>
      <w:r w:rsidRPr="000639BA">
        <w:rPr>
          <w:szCs w:val="18"/>
          <w:lang w:val="en-US"/>
        </w:rPr>
        <w:t xml:space="preserve"> (Columbia University Press 2014), Simon West and </w:t>
      </w:r>
      <w:proofErr w:type="spellStart"/>
      <w:r w:rsidRPr="000639BA">
        <w:rPr>
          <w:szCs w:val="18"/>
          <w:lang w:val="en-US"/>
        </w:rPr>
        <w:t>Lisen</w:t>
      </w:r>
      <w:proofErr w:type="spellEnd"/>
      <w:r w:rsidRPr="000639BA">
        <w:rPr>
          <w:szCs w:val="18"/>
          <w:lang w:val="en-US"/>
        </w:rPr>
        <w:t xml:space="preserve"> Schultz ‘Learning for resilience in the European Court of Human Rights: adjudication as an adaptive governance practice’ (2015) 20 (1) </w:t>
      </w:r>
      <w:r w:rsidRPr="000639BA">
        <w:rPr>
          <w:i/>
          <w:szCs w:val="18"/>
          <w:lang w:val="en-US"/>
        </w:rPr>
        <w:t xml:space="preserve">Ecology and Society </w:t>
      </w:r>
      <w:r w:rsidRPr="000639BA">
        <w:rPr>
          <w:szCs w:val="18"/>
          <w:lang w:val="en-US"/>
        </w:rPr>
        <w:t>31.</w:t>
      </w:r>
    </w:p>
  </w:footnote>
  <w:footnote w:id="11">
    <w:p w14:paraId="10254329" w14:textId="77777777" w:rsidR="00002536" w:rsidRPr="000639BA" w:rsidRDefault="00002536" w:rsidP="00CC297E">
      <w:pPr>
        <w:pStyle w:val="FootnoteText"/>
        <w:rPr>
          <w:lang w:val="en-US"/>
        </w:rPr>
      </w:pPr>
      <w:r w:rsidRPr="000639BA">
        <w:rPr>
          <w:rStyle w:val="FootnoteReference"/>
        </w:rPr>
        <w:footnoteRef/>
      </w:r>
      <w:r w:rsidRPr="000639BA">
        <w:t xml:space="preserve"> The people participating on the working group on </w:t>
      </w:r>
      <w:r w:rsidRPr="000639BA">
        <w:rPr>
          <w:lang w:val="en-US"/>
        </w:rPr>
        <w:t xml:space="preserve">“Governance Safeguards and Equity” in Quito II were not included in this list as this event followed the </w:t>
      </w:r>
      <w:proofErr w:type="spellStart"/>
      <w:r w:rsidRPr="000639BA">
        <w:rPr>
          <w:lang w:val="en-US"/>
        </w:rPr>
        <w:t>Chathman</w:t>
      </w:r>
      <w:proofErr w:type="spellEnd"/>
      <w:r w:rsidRPr="000639BA">
        <w:rPr>
          <w:lang w:val="en-US"/>
        </w:rPr>
        <w:t xml:space="preserve"> House Rule.</w:t>
      </w:r>
    </w:p>
    <w:p w14:paraId="008E257C" w14:textId="77777777" w:rsidR="00002536" w:rsidRPr="000639BA" w:rsidRDefault="00002536" w:rsidP="00CC297E">
      <w:pPr>
        <w:pStyle w:val="FootnoteText"/>
      </w:pPr>
    </w:p>
  </w:footnote>
  <w:footnote w:id="12">
    <w:p w14:paraId="321E86D0" w14:textId="77777777" w:rsidR="00002536" w:rsidRPr="000639BA" w:rsidRDefault="00002536" w:rsidP="00810C20">
      <w:pPr>
        <w:pStyle w:val="FootnoteText"/>
        <w:jc w:val="both"/>
      </w:pPr>
      <w:r w:rsidRPr="000639BA">
        <w:rPr>
          <w:rStyle w:val="FootnoteReference"/>
          <w:color w:val="000000"/>
        </w:rPr>
        <w:footnoteRef/>
      </w:r>
      <w:r w:rsidRPr="000639BA">
        <w:rPr>
          <w:rStyle w:val="FootnoteReference"/>
          <w:color w:val="000000"/>
        </w:rPr>
        <w:t xml:space="preserve"> </w:t>
      </w:r>
      <w:r w:rsidRPr="000639BA">
        <w:t>Millennium Ecosystem Assessment (MA) 2005, Ecosystems and Human Well-being: Biodiversity Synthesis, World Resources Institute, Washington, DC; UNEP 2007 and 2012, Global Environment Outlook, www.grid.unep.ch/activities/assessment/geo; Secretariat of the Convention on Biological Diversity (2010) Global Biodiversity Outlook 3. Montréal; United Nations General Assembly, 2012, The Future We Want Rio +20, Resolution 66/288, A/RES/66/288 United Nations General Assembly, Sixty-sixth session Agenda item 19. http://daccess-dds-ny.un.org/doc/UNDOC/GEN/N11/476/10/PDF/N1147610.pdf?OpenElement, Accessed 11 November 2012.</w:t>
      </w:r>
    </w:p>
  </w:footnote>
  <w:footnote w:id="13">
    <w:p w14:paraId="5826BA98" w14:textId="77777777" w:rsidR="00002536" w:rsidRPr="000639BA" w:rsidRDefault="00002536" w:rsidP="00810C20">
      <w:pPr>
        <w:pStyle w:val="FootnoteText"/>
        <w:jc w:val="both"/>
      </w:pPr>
      <w:r w:rsidRPr="000639BA">
        <w:rPr>
          <w:rStyle w:val="FootnoteReference"/>
          <w:color w:val="000000"/>
        </w:rPr>
        <w:footnoteRef/>
      </w:r>
      <w:r w:rsidRPr="000639BA">
        <w:rPr>
          <w:rStyle w:val="FootnoteReference"/>
          <w:color w:val="000000"/>
        </w:rPr>
        <w:t xml:space="preserve"> </w:t>
      </w:r>
      <w:r w:rsidRPr="000639BA">
        <w:t>Article 1, Convention on Biological Diversity, Convention on Biological Diversity (CBD) 1992, entered into force 29 December 1993, accessed 2 July 2012, www.biodiv.org/doc/legal/cbd-en.pdf.</w:t>
      </w:r>
    </w:p>
  </w:footnote>
  <w:footnote w:id="14">
    <w:p w14:paraId="60D13BAC" w14:textId="77777777" w:rsidR="00002536" w:rsidRPr="000639BA" w:rsidRDefault="00002536" w:rsidP="00810C20">
      <w:pPr>
        <w:pStyle w:val="FootnoteText"/>
        <w:jc w:val="both"/>
      </w:pPr>
      <w:r w:rsidRPr="000639BA">
        <w:rPr>
          <w:rStyle w:val="FootnoteReference"/>
          <w:color w:val="000000"/>
        </w:rPr>
        <w:footnoteRef/>
      </w:r>
      <w:r w:rsidRPr="000639BA">
        <w:rPr>
          <w:rStyle w:val="FootnoteReference"/>
          <w:color w:val="000000"/>
        </w:rPr>
        <w:t xml:space="preserve"> </w:t>
      </w:r>
      <w:r w:rsidRPr="000639BA">
        <w:t xml:space="preserve">COP 9 Decision IX/11, Review of implementation of Articles 20 and 21, </w:t>
      </w:r>
      <w:hyperlink r:id="rId2" w:history="1">
        <w:r w:rsidRPr="000639BA">
          <w:rPr>
            <w:rStyle w:val="Hyperlink"/>
          </w:rPr>
          <w:t>www.cbd.int/decision/cop/?id=11654</w:t>
        </w:r>
      </w:hyperlink>
      <w:r w:rsidRPr="000639BA">
        <w:t>, accessed 25 July 2012.</w:t>
      </w:r>
    </w:p>
  </w:footnote>
  <w:footnote w:id="15">
    <w:p w14:paraId="55EB293F" w14:textId="77777777" w:rsidR="00002536" w:rsidRPr="000639BA" w:rsidRDefault="00002536" w:rsidP="00810C20">
      <w:pPr>
        <w:pStyle w:val="FootnoteText"/>
        <w:jc w:val="both"/>
      </w:pPr>
      <w:r w:rsidRPr="000639BA">
        <w:rPr>
          <w:rStyle w:val="FootnoteReference"/>
          <w:color w:val="000000"/>
        </w:rPr>
        <w:footnoteRef/>
      </w:r>
      <w:r w:rsidRPr="000639BA">
        <w:t xml:space="preserve"> Report of the ad hoc open-ended working group on review of implementation of the CBD on the work of its fourth meeting, UNEP/CBD/COP/11/4, 21 June 2012 (see page 22).</w:t>
      </w:r>
    </w:p>
  </w:footnote>
  <w:footnote w:id="16">
    <w:p w14:paraId="399A4814" w14:textId="77777777" w:rsidR="00002536" w:rsidRPr="000639BA" w:rsidRDefault="00002536" w:rsidP="00810C20">
      <w:pPr>
        <w:pStyle w:val="FootnoteText"/>
        <w:jc w:val="both"/>
        <w:rPr>
          <w:lang w:val="fr-FR"/>
        </w:rPr>
      </w:pPr>
      <w:r w:rsidRPr="000639BA">
        <w:rPr>
          <w:rStyle w:val="FootnoteReference"/>
        </w:rPr>
        <w:footnoteRef/>
      </w:r>
      <w:r w:rsidRPr="000639BA">
        <w:rPr>
          <w:lang w:val="fr-FR"/>
        </w:rPr>
        <w:t xml:space="preserve"> Parr. 20, Page 37, </w:t>
      </w:r>
      <w:proofErr w:type="spellStart"/>
      <w:r w:rsidRPr="000639BA">
        <w:rPr>
          <w:lang w:val="fr-FR"/>
        </w:rPr>
        <w:t>Decsion</w:t>
      </w:r>
      <w:proofErr w:type="spellEnd"/>
      <w:r w:rsidRPr="000639BA">
        <w:rPr>
          <w:lang w:val="fr-FR"/>
        </w:rPr>
        <w:t xml:space="preserve"> XI/4. </w:t>
      </w:r>
    </w:p>
  </w:footnote>
  <w:footnote w:id="17">
    <w:p w14:paraId="6ECBFA35" w14:textId="77777777" w:rsidR="00002536" w:rsidRPr="000639BA" w:rsidRDefault="00002536" w:rsidP="00810C20">
      <w:pPr>
        <w:pStyle w:val="FootnoteText"/>
        <w:jc w:val="both"/>
      </w:pPr>
      <w:r w:rsidRPr="000639BA">
        <w:rPr>
          <w:rStyle w:val="FootnoteReference"/>
        </w:rPr>
        <w:footnoteRef/>
      </w:r>
      <w:r w:rsidRPr="000639BA">
        <w:rPr>
          <w:lang w:val="fr-FR"/>
        </w:rPr>
        <w:t xml:space="preserve">  </w:t>
      </w:r>
      <w:proofErr w:type="spellStart"/>
      <w:r w:rsidRPr="000639BA">
        <w:rPr>
          <w:lang w:val="fr-FR"/>
        </w:rPr>
        <w:t>Decsion</w:t>
      </w:r>
      <w:proofErr w:type="spellEnd"/>
      <w:r w:rsidRPr="000639BA">
        <w:rPr>
          <w:lang w:val="fr-FR"/>
        </w:rPr>
        <w:t xml:space="preserve"> XI/4. </w:t>
      </w:r>
      <w:r w:rsidRPr="000639BA">
        <w:t>Review of Implementation of the Strategy for Resource Mobilization, including the establishment of targets  Parr. 21</w:t>
      </w:r>
    </w:p>
  </w:footnote>
  <w:footnote w:id="18">
    <w:p w14:paraId="224AC661" w14:textId="77777777" w:rsidR="00002536" w:rsidRPr="000639BA" w:rsidRDefault="00002536" w:rsidP="00810C20">
      <w:pPr>
        <w:pStyle w:val="FootnoteText"/>
        <w:jc w:val="both"/>
      </w:pPr>
      <w:r w:rsidRPr="000639BA">
        <w:rPr>
          <w:rStyle w:val="FootnoteReference"/>
          <w:color w:val="000000"/>
        </w:rPr>
        <w:footnoteRef/>
      </w:r>
      <w:r w:rsidRPr="000639BA">
        <w:t xml:space="preserve"> COP 9 Decision IX/11, Review of implementation of Articles 20 and 21, </w:t>
      </w:r>
      <w:hyperlink r:id="rId3" w:history="1">
        <w:r w:rsidRPr="000639BA">
          <w:rPr>
            <w:rStyle w:val="Hyperlink"/>
            <w:bCs/>
            <w:color w:val="000000"/>
          </w:rPr>
          <w:t>www.cbd.int/decision/cop/?id=11654</w:t>
        </w:r>
      </w:hyperlink>
      <w:r w:rsidRPr="000639BA">
        <w:t>, accessed 25 July 2012.</w:t>
      </w:r>
    </w:p>
  </w:footnote>
  <w:footnote w:id="19">
    <w:p w14:paraId="29A94C49" w14:textId="77777777" w:rsidR="00002536" w:rsidRPr="000639BA" w:rsidRDefault="00002536" w:rsidP="00810C20">
      <w:pPr>
        <w:pStyle w:val="FootnoteText"/>
        <w:jc w:val="both"/>
      </w:pPr>
      <w:r w:rsidRPr="000639BA">
        <w:rPr>
          <w:rStyle w:val="FootnoteReference"/>
          <w:color w:val="000000"/>
        </w:rPr>
        <w:footnoteRef/>
      </w:r>
      <w:r w:rsidRPr="000639BA">
        <w:rPr>
          <w:iCs/>
        </w:rPr>
        <w:t xml:space="preserve"> See point 8(c) of CBD COP10 Decision X/3, </w:t>
      </w:r>
      <w:r w:rsidRPr="000639BA">
        <w:t>accessed 29 August 2012, www.cbd.int/decisions/?id=12269. The W</w:t>
      </w:r>
      <w:r w:rsidRPr="000639BA">
        <w:rPr>
          <w:iCs/>
        </w:rPr>
        <w:t>orld People‘s Conference on Climate Change and the Rights of Mother Earth</w:t>
      </w:r>
      <w:r w:rsidRPr="000639BA">
        <w:t xml:space="preserve"> took place in April 2010 in Cochabamba, Bolivia with the participation of people from 140 countries. The initiative called for the building of a Global People’s Movement for Mother Earth “based on the principles of complementarity and respect for the diversity of origin and visions among its members, constituting a broad and democratic space for coordination and joint worldwide actions”. Accessed 29 August 2012, </w:t>
      </w:r>
      <w:r w:rsidRPr="000639BA">
        <w:rPr>
          <w:i/>
          <w:iCs/>
        </w:rPr>
        <w:t>pwccc.wordpress.com/2010/04/24/peoples-agreement/.</w:t>
      </w:r>
    </w:p>
  </w:footnote>
  <w:footnote w:id="20">
    <w:p w14:paraId="5EE04636" w14:textId="77777777" w:rsidR="00002536" w:rsidRPr="000639BA" w:rsidRDefault="00002536" w:rsidP="00810C20">
      <w:pPr>
        <w:pStyle w:val="FootnoteText"/>
        <w:jc w:val="both"/>
      </w:pPr>
      <w:r w:rsidRPr="000639BA">
        <w:rPr>
          <w:rStyle w:val="FootnoteReference"/>
          <w:color w:val="000000"/>
        </w:rPr>
        <w:footnoteRef/>
      </w:r>
      <w:r w:rsidRPr="000639BA">
        <w:t xml:space="preserve"> Ibidem.</w:t>
      </w:r>
    </w:p>
  </w:footnote>
  <w:footnote w:id="21">
    <w:p w14:paraId="5CF28093" w14:textId="77777777" w:rsidR="00002536" w:rsidRPr="000639BA" w:rsidRDefault="00002536" w:rsidP="00810C20">
      <w:pPr>
        <w:pStyle w:val="FootnoteText"/>
        <w:jc w:val="both"/>
      </w:pPr>
      <w:r w:rsidRPr="000639BA">
        <w:rPr>
          <w:rStyle w:val="FootnoteReference"/>
          <w:color w:val="000000"/>
        </w:rPr>
        <w:footnoteRef/>
      </w:r>
      <w:r w:rsidRPr="000639BA">
        <w:t xml:space="preserve"> See </w:t>
      </w:r>
      <w:r w:rsidRPr="000639BA">
        <w:rPr>
          <w:rFonts w:eastAsia="Malgun Gothic"/>
        </w:rPr>
        <w:t xml:space="preserve">Draft Decision UNEP/CBD/WG-RI/4/L.7, 11 May 2012, </w:t>
      </w:r>
      <w:r w:rsidRPr="000639BA">
        <w:t xml:space="preserve">Agenda Item 6: Review of Implementation of the Strategy for Resource Mobilization, </w:t>
      </w:r>
      <w:r w:rsidRPr="000639BA">
        <w:rPr>
          <w:i/>
        </w:rPr>
        <w:t>Draft recommendation submitted by the Chair, the Ad Hoc Open-Ended Working Group on Review of Implementation of the Convention</w:t>
      </w:r>
      <w:r w:rsidRPr="000639BA">
        <w:rPr>
          <w:rFonts w:eastAsia="Malgun Gothic"/>
        </w:rPr>
        <w:t xml:space="preserve">, </w:t>
      </w:r>
      <w:hyperlink r:id="rId4" w:history="1">
        <w:r w:rsidRPr="000639BA">
          <w:rPr>
            <w:rStyle w:val="Hyperlink"/>
            <w:color w:val="000000"/>
          </w:rPr>
          <w:t>www.cbd.int/doc/meetings/wgri/wgri-04/in-session/wgri-04-L-07-en.doc</w:t>
        </w:r>
      </w:hyperlink>
      <w:r w:rsidRPr="000639BA">
        <w:t xml:space="preserve">, accessed 1 July 2012. </w:t>
      </w:r>
    </w:p>
  </w:footnote>
  <w:footnote w:id="22">
    <w:p w14:paraId="5E3B6403" w14:textId="77777777" w:rsidR="00002536" w:rsidRPr="000639BA" w:rsidRDefault="00002536" w:rsidP="00810C20">
      <w:pPr>
        <w:pStyle w:val="FootnoteText"/>
        <w:jc w:val="both"/>
      </w:pPr>
      <w:r w:rsidRPr="000639BA">
        <w:rPr>
          <w:rStyle w:val="FootnoteReference"/>
          <w:color w:val="000000"/>
        </w:rPr>
        <w:footnoteRef/>
      </w:r>
      <w:r w:rsidRPr="000639BA">
        <w:t xml:space="preserve"> Farooqui, M.F. and Schultz, M., 2012, page 5. One of the Quito Dialogue recommendations to the CBD Secretariat is to develop a report on lessons learned and possible risks of biodiversity financing mechanism.</w:t>
      </w:r>
    </w:p>
  </w:footnote>
  <w:footnote w:id="23">
    <w:p w14:paraId="2778B469" w14:textId="77777777" w:rsidR="00002536" w:rsidRPr="000639BA" w:rsidRDefault="00002536" w:rsidP="00810C20">
      <w:pPr>
        <w:pStyle w:val="FootnoteText"/>
        <w:jc w:val="both"/>
      </w:pPr>
      <w:r w:rsidRPr="000639BA">
        <w:rPr>
          <w:rStyle w:val="FootnoteReference"/>
        </w:rPr>
        <w:footnoteRef/>
      </w:r>
      <w:r w:rsidRPr="000639BA">
        <w:t xml:space="preserve"> </w:t>
      </w:r>
      <w:r w:rsidRPr="000639BA">
        <w:rPr>
          <w:i/>
        </w:rPr>
        <w:t>Report of the Ad Hoc Open-Ended Working Group on Review of Implementation of the CBD on the Work of its Fourth Meeting,</w:t>
      </w:r>
      <w:r w:rsidRPr="000639BA">
        <w:t xml:space="preserve"> UNEP/CBD/COP/11/4, 21 June 2012, page 22.</w:t>
      </w:r>
    </w:p>
  </w:footnote>
  <w:footnote w:id="24">
    <w:p w14:paraId="5CADFA82" w14:textId="77777777" w:rsidR="00002536" w:rsidRPr="000639BA" w:rsidRDefault="00002536" w:rsidP="00810C20">
      <w:pPr>
        <w:pStyle w:val="FootnoteText"/>
        <w:jc w:val="both"/>
      </w:pPr>
      <w:r w:rsidRPr="000639BA">
        <w:rPr>
          <w:rStyle w:val="FootnoteReference"/>
        </w:rPr>
        <w:footnoteRef/>
      </w:r>
      <w:r w:rsidRPr="000639BA">
        <w:t xml:space="preserve"> Page 11 and 12, </w:t>
      </w:r>
      <w:r w:rsidRPr="000639BA">
        <w:rPr>
          <w:i/>
        </w:rPr>
        <w:t>Synthesis on Innovative Financial Mechanisms</w:t>
      </w:r>
      <w:r w:rsidRPr="000639BA">
        <w:t>, Note by the Executive Secretary, UNEP/CBD/COP/11/14/Add.3, 28 August 2012.</w:t>
      </w:r>
    </w:p>
  </w:footnote>
  <w:footnote w:id="25">
    <w:p w14:paraId="19702951" w14:textId="77777777" w:rsidR="00002536" w:rsidRPr="000639BA" w:rsidRDefault="00002536" w:rsidP="00810C20">
      <w:pPr>
        <w:pStyle w:val="FootnoteText"/>
        <w:jc w:val="both"/>
      </w:pPr>
      <w:r w:rsidRPr="000639BA">
        <w:rPr>
          <w:rStyle w:val="FootnoteReference"/>
        </w:rPr>
        <w:footnoteRef/>
      </w:r>
      <w:r w:rsidRPr="000639BA">
        <w:t xml:space="preserve"> Ibidem.</w:t>
      </w:r>
    </w:p>
  </w:footnote>
  <w:footnote w:id="26">
    <w:p w14:paraId="7EEDC4F7" w14:textId="77777777" w:rsidR="00002536" w:rsidRPr="000639BA" w:rsidRDefault="00002536" w:rsidP="00810C20">
      <w:pPr>
        <w:pStyle w:val="FootnoteText"/>
      </w:pPr>
      <w:r w:rsidRPr="000639BA">
        <w:rPr>
          <w:rStyle w:val="FootnoteReference"/>
        </w:rPr>
        <w:footnoteRef/>
      </w:r>
      <w:r w:rsidRPr="000639BA">
        <w:t xml:space="preserve"> </w:t>
      </w:r>
      <w:r w:rsidRPr="000639BA">
        <w:rPr>
          <w:szCs w:val="22"/>
        </w:rPr>
        <w:t xml:space="preserve"> UNEP/CBD/WGRI/5/INF/7.</w:t>
      </w:r>
    </w:p>
  </w:footnote>
  <w:footnote w:id="27">
    <w:p w14:paraId="02AA2EF2" w14:textId="77777777" w:rsidR="00002536" w:rsidRPr="000639BA" w:rsidRDefault="00002536" w:rsidP="00810C20">
      <w:pPr>
        <w:pStyle w:val="FootnoteText"/>
      </w:pPr>
      <w:r w:rsidRPr="000639BA">
        <w:rPr>
          <w:rStyle w:val="FootnoteReference"/>
        </w:rPr>
        <w:footnoteRef/>
      </w:r>
      <w:r w:rsidRPr="000639BA">
        <w:t xml:space="preserve"> </w:t>
      </w:r>
      <w:r w:rsidRPr="000639BA">
        <w:rPr>
          <w:szCs w:val="22"/>
        </w:rPr>
        <w:t xml:space="preserve"> UNEP/CBD/WGRI/5/INF/7.</w:t>
      </w:r>
    </w:p>
  </w:footnote>
  <w:footnote w:id="28">
    <w:p w14:paraId="55D7AD17" w14:textId="77777777" w:rsidR="00002536" w:rsidRPr="000639BA" w:rsidRDefault="00002536" w:rsidP="00810C20">
      <w:pPr>
        <w:pStyle w:val="FootnoteText"/>
      </w:pPr>
      <w:r w:rsidRPr="000639BA">
        <w:rPr>
          <w:rStyle w:val="FootnoteReference"/>
        </w:rPr>
        <w:footnoteRef/>
      </w:r>
      <w:r w:rsidRPr="000639BA">
        <w:t xml:space="preserve"> </w:t>
      </w:r>
      <w:proofErr w:type="spellStart"/>
      <w:r w:rsidRPr="000639BA">
        <w:t>Ogwal</w:t>
      </w:r>
      <w:proofErr w:type="spellEnd"/>
      <w:r w:rsidRPr="000639BA">
        <w:t xml:space="preserve">, S.F. and Schultz, M., 2014. </w:t>
      </w:r>
      <w:r w:rsidRPr="000639BA">
        <w:rPr>
          <w:i/>
          <w:iCs/>
        </w:rPr>
        <w:t xml:space="preserve">Co-Chairs´ Summary of Second Dialogue Seminar on Scaling up Finance for Biodiversity, Quito 9-12 April 2014. </w:t>
      </w:r>
      <w:r w:rsidRPr="000639BA">
        <w:t xml:space="preserve">Montreal: Secretariat of the Convention on Biological Diversity. </w:t>
      </w:r>
      <w:hyperlink r:id="rId5" w:history="1">
        <w:r w:rsidRPr="000639BA">
          <w:rPr>
            <w:rStyle w:val="Hyperlink"/>
          </w:rPr>
          <w:t>http://www.cbd.int/doc/meetings/fin/ds-fb-02/official/ds-fb-02-report-en.pdf</w:t>
        </w:r>
      </w:hyperlink>
      <w:r w:rsidRPr="000639BA">
        <w:t>.</w:t>
      </w:r>
    </w:p>
  </w:footnote>
  <w:footnote w:id="29">
    <w:p w14:paraId="4E182785" w14:textId="77777777" w:rsidR="00002536" w:rsidRPr="000639BA" w:rsidRDefault="00002536" w:rsidP="00810C20">
      <w:pPr>
        <w:pStyle w:val="FootnoteText"/>
        <w:jc w:val="both"/>
      </w:pPr>
      <w:r w:rsidRPr="000639BA">
        <w:rPr>
          <w:rStyle w:val="FootnoteReference"/>
        </w:rPr>
        <w:footnoteRef/>
      </w:r>
      <w:r w:rsidRPr="000639BA">
        <w:t xml:space="preserve"> See Farooqui, M.F. and Schultz, M., 2012. Co-chairs' Summary of Dialogue Seminar on Scaling up Biodiversity Finance, Quito 6-9 March 2012, www.cbd.int/doc/meetings/fin/ds-fb-01/official/ds-fb-01-02-en.pdf, accessed 30 June 2012. At the Quito dialogue seminar, participants discussed that the term “innovative financing mechanisms” was inappropriate to refer to the breadth of mechanisms discussed under the CBD’s strategy for resource mobilization and that “biodiversity financing mechanisms” would constitute a better alternative. </w:t>
      </w:r>
    </w:p>
  </w:footnote>
  <w:footnote w:id="30">
    <w:p w14:paraId="24F0DECB" w14:textId="77777777" w:rsidR="00002536" w:rsidRPr="000639BA" w:rsidRDefault="00002536" w:rsidP="00794D32">
      <w:pPr>
        <w:pStyle w:val="NormalWeb"/>
        <w:spacing w:before="0" w:beforeAutospacing="0" w:after="60" w:afterAutospacing="0"/>
        <w:rPr>
          <w:rFonts w:ascii="Times" w:eastAsiaTheme="minorEastAsia" w:hAnsi="Times"/>
          <w:sz w:val="16"/>
          <w:szCs w:val="16"/>
          <w:lang w:val="en-US" w:eastAsia="sv-SE" w:bidi="ar-SA"/>
        </w:rPr>
      </w:pPr>
      <w:r w:rsidRPr="000639BA">
        <w:rPr>
          <w:rStyle w:val="FootnoteReference"/>
          <w:sz w:val="16"/>
          <w:szCs w:val="16"/>
        </w:rPr>
        <w:footnoteRef/>
      </w:r>
      <w:r w:rsidRPr="000639BA">
        <w:rPr>
          <w:sz w:val="16"/>
          <w:szCs w:val="16"/>
        </w:rPr>
        <w:t xml:space="preserve"> </w:t>
      </w:r>
      <w:r w:rsidRPr="000639BA">
        <w:rPr>
          <w:sz w:val="16"/>
          <w:szCs w:val="16"/>
          <w:lang w:val="en-US"/>
        </w:rPr>
        <w:t xml:space="preserve">For a detailed account of what FPIC entails, see section two in the annex of </w:t>
      </w:r>
      <w:r w:rsidRPr="000639BA">
        <w:rPr>
          <w:rFonts w:eastAsiaTheme="minorEastAsia"/>
          <w:sz w:val="16"/>
          <w:szCs w:val="16"/>
          <w:lang w:val="en-US" w:eastAsia="sv-SE" w:bidi="ar-SA"/>
        </w:rPr>
        <w:t>CBD/COP/DEC/XIII/18</w:t>
      </w:r>
    </w:p>
  </w:footnote>
  <w:footnote w:id="31">
    <w:p w14:paraId="0FB0F3D5" w14:textId="77777777" w:rsidR="00002536" w:rsidRPr="000639BA" w:rsidRDefault="00002536" w:rsidP="00810C20">
      <w:pPr>
        <w:pStyle w:val="FootnoteText"/>
        <w:jc w:val="both"/>
      </w:pPr>
      <w:r w:rsidRPr="000639BA">
        <w:rPr>
          <w:rStyle w:val="FootnoteReference"/>
          <w:color w:val="000000"/>
        </w:rPr>
        <w:footnoteRef/>
      </w:r>
      <w:r w:rsidRPr="000639BA">
        <w:rPr>
          <w:rStyle w:val="FootnoteReference"/>
          <w:color w:val="000000"/>
        </w:rPr>
        <w:t xml:space="preserve"> </w:t>
      </w:r>
      <w:r w:rsidRPr="000639BA">
        <w:t>The names and organizations of the people interviewed are listed in the acknowledgements.</w:t>
      </w:r>
    </w:p>
  </w:footnote>
  <w:footnote w:id="32">
    <w:p w14:paraId="1286F60B" w14:textId="77777777" w:rsidR="00002536" w:rsidRPr="000639BA" w:rsidRDefault="00002536" w:rsidP="00810C20">
      <w:pPr>
        <w:pStyle w:val="FootnoteText"/>
      </w:pPr>
      <w:r w:rsidRPr="000639BA">
        <w:rPr>
          <w:rStyle w:val="FootnoteReference"/>
        </w:rPr>
        <w:footnoteRef/>
      </w:r>
      <w:r w:rsidRPr="000639BA">
        <w:t xml:space="preserve"> http://www.cbd.int/doc/notifications/2013/ntf-2013-089-business-en.pdf.</w:t>
      </w:r>
    </w:p>
  </w:footnote>
  <w:footnote w:id="33">
    <w:p w14:paraId="5E99B84B" w14:textId="77777777" w:rsidR="00002536" w:rsidRPr="000639BA" w:rsidRDefault="00002536" w:rsidP="00810C20">
      <w:pPr>
        <w:pStyle w:val="FootnoteText"/>
      </w:pPr>
      <w:r w:rsidRPr="000639BA">
        <w:rPr>
          <w:rStyle w:val="FootnoteReference"/>
        </w:rPr>
        <w:footnoteRef/>
      </w:r>
      <w:r w:rsidRPr="000639BA">
        <w:t xml:space="preserve"> http://www.siani.se/video/legal-landscapes-biodiversity-and-social-safeguards-video.</w:t>
      </w:r>
    </w:p>
  </w:footnote>
  <w:footnote w:id="34">
    <w:p w14:paraId="4A400D35" w14:textId="77777777" w:rsidR="00002536" w:rsidRPr="000639BA" w:rsidRDefault="00002536" w:rsidP="00810C20">
      <w:pPr>
        <w:pStyle w:val="FootnoteText"/>
        <w:jc w:val="both"/>
      </w:pPr>
      <w:r w:rsidRPr="000639BA">
        <w:rPr>
          <w:rStyle w:val="FootnoteReference"/>
        </w:rPr>
        <w:footnoteRef/>
      </w:r>
      <w:r w:rsidRPr="000639BA">
        <w:t xml:space="preserve"> MA 2005, Synthesis, page 98-99. </w:t>
      </w:r>
    </w:p>
  </w:footnote>
  <w:footnote w:id="35">
    <w:p w14:paraId="16477CAE" w14:textId="77777777" w:rsidR="00002536" w:rsidRPr="000639BA" w:rsidRDefault="00002536" w:rsidP="00810C20">
      <w:pPr>
        <w:pStyle w:val="FootnoteText"/>
      </w:pPr>
      <w:r w:rsidRPr="000639BA">
        <w:rPr>
          <w:rStyle w:val="FootnoteReference"/>
        </w:rPr>
        <w:footnoteRef/>
      </w:r>
      <w:r w:rsidRPr="000639BA">
        <w:t xml:space="preserve"> The Economics of Ecosystems and Biodiversity, 2010. Mainstreaming the Economics of Nature. A synthesis of the approach, conclusions and recommendations of TEEB Available at: </w:t>
      </w:r>
      <w:hyperlink r:id="rId6" w:history="1">
        <w:r w:rsidRPr="000639BA">
          <w:rPr>
            <w:rStyle w:val="Hyperlink"/>
          </w:rPr>
          <w:t>http://www.teebweb.org/wp-content/uploads/Study%20and%20Reports/Reports/Synthesis%20report/TEEB%20Synthesis%20Report%202010.pdf</w:t>
        </w:r>
      </w:hyperlink>
      <w:r w:rsidRPr="000639BA">
        <w:t xml:space="preserve"> Accessed 21</w:t>
      </w:r>
      <w:r w:rsidRPr="000639BA">
        <w:rPr>
          <w:vertAlign w:val="superscript"/>
        </w:rPr>
        <w:t>st</w:t>
      </w:r>
      <w:r w:rsidRPr="000639BA">
        <w:t xml:space="preserve"> May 2014 See page 25.</w:t>
      </w:r>
    </w:p>
  </w:footnote>
  <w:footnote w:id="36">
    <w:p w14:paraId="4F86CB31" w14:textId="77777777" w:rsidR="00002536" w:rsidRPr="000639BA" w:rsidRDefault="00002536" w:rsidP="00810C20">
      <w:pPr>
        <w:pStyle w:val="FootnoteText"/>
        <w:jc w:val="both"/>
      </w:pPr>
      <w:r w:rsidRPr="000639BA">
        <w:rPr>
          <w:rStyle w:val="FootnoteReference"/>
        </w:rPr>
        <w:footnoteRef/>
      </w:r>
      <w:r w:rsidRPr="000639BA">
        <w:t xml:space="preserve"> TEEB 2010, Synthesis Report.</w:t>
      </w:r>
    </w:p>
  </w:footnote>
  <w:footnote w:id="37">
    <w:p w14:paraId="012E088C" w14:textId="77777777" w:rsidR="00002536" w:rsidRPr="000639BA" w:rsidRDefault="00002536" w:rsidP="00810C20">
      <w:pPr>
        <w:pStyle w:val="FootnoteText"/>
        <w:jc w:val="both"/>
      </w:pPr>
      <w:r w:rsidRPr="000639BA">
        <w:rPr>
          <w:rStyle w:val="FootnoteReference"/>
        </w:rPr>
        <w:footnoteRef/>
      </w:r>
      <w:r w:rsidRPr="000639BA">
        <w:t xml:space="preserve"> See e.g. Co-chairs summary, International Workshop on Finance Mechanisms for Biodiversity: Examining Opportunities and Challenges, convened by the OECD, World Bank, GEF, and the European Commission, together with Sweden and India, 12 May 2012 - Montreal, Canada, </w:t>
      </w:r>
      <w:hyperlink r:id="rId7" w:history="1">
        <w:r w:rsidRPr="000639BA">
          <w:rPr>
            <w:rStyle w:val="Hyperlink"/>
          </w:rPr>
          <w:t>http://www.cbd.int/doc/meetings/fin/wsfmb-eoc-01/official/wsfmb-eoc-01-chairs-summary-en.pdf</w:t>
        </w:r>
      </w:hyperlink>
      <w:r w:rsidRPr="000639BA">
        <w:t>, accessed 12 November 2012.</w:t>
      </w:r>
    </w:p>
  </w:footnote>
  <w:footnote w:id="38">
    <w:p w14:paraId="5E0A8BFE" w14:textId="77777777" w:rsidR="00002536" w:rsidRPr="000639BA" w:rsidRDefault="00002536" w:rsidP="00810C20">
      <w:pPr>
        <w:pStyle w:val="FootnoteText"/>
        <w:jc w:val="both"/>
        <w:rPr>
          <w:i/>
          <w:iCs/>
          <w:sz w:val="20"/>
          <w:szCs w:val="20"/>
        </w:rPr>
      </w:pPr>
      <w:r w:rsidRPr="000639BA">
        <w:rPr>
          <w:rStyle w:val="FootnoteReference"/>
        </w:rPr>
        <w:footnoteRef/>
      </w:r>
      <w:r w:rsidRPr="000639BA">
        <w:t xml:space="preserve"> See Farooqui, M.F. and Schultz, M., 2012, page 5. See also </w:t>
      </w:r>
      <w:r w:rsidRPr="000639BA">
        <w:rPr>
          <w:iCs/>
        </w:rPr>
        <w:t>Sullivan, S., 2012</w:t>
      </w:r>
      <w:r w:rsidRPr="000639BA">
        <w:rPr>
          <w:i/>
          <w:iCs/>
        </w:rPr>
        <w:t xml:space="preserve">, </w:t>
      </w:r>
      <w:proofErr w:type="spellStart"/>
      <w:r w:rsidRPr="000639BA">
        <w:rPr>
          <w:i/>
          <w:iCs/>
        </w:rPr>
        <w:t>Financialisation</w:t>
      </w:r>
      <w:proofErr w:type="spellEnd"/>
      <w:r w:rsidRPr="000639BA">
        <w:rPr>
          <w:i/>
          <w:iCs/>
        </w:rPr>
        <w:t xml:space="preserve">, Biodiversity Conservation and Equity: Some Currents and Concerns, </w:t>
      </w:r>
      <w:r w:rsidRPr="000639BA">
        <w:rPr>
          <w:iCs/>
        </w:rPr>
        <w:t>Third World Network, Penang, Malaysia</w:t>
      </w:r>
      <w:r w:rsidRPr="000639BA">
        <w:rPr>
          <w:i/>
          <w:iCs/>
        </w:rPr>
        <w:t>.</w:t>
      </w:r>
      <w:r w:rsidRPr="000639BA">
        <w:rPr>
          <w:i/>
          <w:iCs/>
          <w:sz w:val="20"/>
          <w:szCs w:val="20"/>
        </w:rPr>
        <w:t xml:space="preserve"> </w:t>
      </w:r>
    </w:p>
  </w:footnote>
  <w:footnote w:id="39">
    <w:p w14:paraId="55A984C3" w14:textId="27A08C36" w:rsidR="00002536" w:rsidRPr="000639BA" w:rsidRDefault="00002536" w:rsidP="006B3323">
      <w:pPr>
        <w:pStyle w:val="FootnoteText"/>
        <w:jc w:val="both"/>
      </w:pPr>
      <w:r w:rsidRPr="000639BA">
        <w:rPr>
          <w:rStyle w:val="FootnoteReference"/>
        </w:rPr>
        <w:footnoteRef/>
      </w:r>
      <w:r w:rsidRPr="000639BA">
        <w:t xml:space="preserve"> </w:t>
      </w:r>
      <w:r w:rsidRPr="000639BA">
        <w:rPr>
          <w:color w:val="000000"/>
        </w:rPr>
        <w:t xml:space="preserve">The Oxford English Dictionary defines “corporatize” as “to convert (a state organization) into an independent commercial company.” </w:t>
      </w:r>
      <w:hyperlink r:id="rId8" w:history="1">
        <w:r w:rsidRPr="000639BA">
          <w:rPr>
            <w:rStyle w:val="Hyperlink"/>
          </w:rPr>
          <w:t>http://oxforddictionaries.com/definition/american_english/corporatize</w:t>
        </w:r>
      </w:hyperlink>
      <w:r w:rsidRPr="000639BA">
        <w:rPr>
          <w:color w:val="000000"/>
        </w:rPr>
        <w:t>, accessed 3 August 2012. See e.g. James, D., 2011,</w:t>
      </w:r>
      <w:r w:rsidRPr="000639BA">
        <w:rPr>
          <w:i/>
          <w:color w:val="000000"/>
        </w:rPr>
        <w:t xml:space="preserve"> Food Security, Farming, and the WTO and CAFTA</w:t>
      </w:r>
      <w:r w:rsidRPr="000639BA">
        <w:rPr>
          <w:color w:val="000000"/>
        </w:rPr>
        <w:t xml:space="preserve">, </w:t>
      </w:r>
      <w:hyperlink r:id="rId9" w:history="1">
        <w:r w:rsidRPr="000639BA">
          <w:rPr>
            <w:rStyle w:val="Hyperlink"/>
          </w:rPr>
          <w:t>www.globalexchange.org/resources/wto/agriculture</w:t>
        </w:r>
      </w:hyperlink>
      <w:r w:rsidRPr="000639BA">
        <w:rPr>
          <w:rStyle w:val="Hyperlink"/>
        </w:rPr>
        <w:t>,</w:t>
      </w:r>
      <w:r w:rsidRPr="000639BA">
        <w:rPr>
          <w:color w:val="000000"/>
        </w:rPr>
        <w:t xml:space="preserve">  accessed 2 August 2012. On intellectual property rights, see e.g. Shiva</w:t>
      </w:r>
      <w:r w:rsidRPr="000639BA">
        <w:rPr>
          <w:lang w:eastAsia="en-US"/>
        </w:rPr>
        <w:t xml:space="preserve">, V., 1997, </w:t>
      </w:r>
      <w:r w:rsidRPr="000639BA">
        <w:rPr>
          <w:i/>
          <w:iCs/>
          <w:lang w:eastAsia="en-US"/>
        </w:rPr>
        <w:t>Biopiracy: the plunder of nature and knowledge</w:t>
      </w:r>
      <w:r w:rsidRPr="000639BA">
        <w:rPr>
          <w:lang w:eastAsia="en-US"/>
        </w:rPr>
        <w:t xml:space="preserve">, South End Press, Boston, and ETC 2001, </w:t>
      </w:r>
      <w:r w:rsidRPr="000639BA">
        <w:rPr>
          <w:i/>
          <w:lang w:eastAsia="en-US"/>
        </w:rPr>
        <w:t>Andean Groups Hopping Mad About Popping-Bean Patent</w:t>
      </w:r>
      <w:r w:rsidRPr="000639BA">
        <w:rPr>
          <w:lang w:eastAsia="en-US"/>
        </w:rPr>
        <w:t xml:space="preserve">, 20 March, News Release by the Erosion, Technology and Concentration Action Group, viewed 4 May 2004, </w:t>
      </w:r>
      <w:hyperlink r:id="rId10" w:history="1">
        <w:r w:rsidRPr="000639BA">
          <w:rPr>
            <w:rStyle w:val="Hyperlink"/>
            <w:lang w:eastAsia="en-US"/>
          </w:rPr>
          <w:t>www.etcgroup.org</w:t>
        </w:r>
      </w:hyperlink>
      <w:r w:rsidRPr="000639BA">
        <w:rPr>
          <w:color w:val="000000"/>
        </w:rPr>
        <w:t xml:space="preserve">. </w:t>
      </w:r>
    </w:p>
  </w:footnote>
  <w:footnote w:id="40">
    <w:p w14:paraId="7A992A90" w14:textId="177CDF8E" w:rsidR="00002536" w:rsidRPr="000639BA" w:rsidRDefault="00002536" w:rsidP="006B3323">
      <w:pPr>
        <w:pStyle w:val="CommentText"/>
        <w:spacing w:after="60"/>
        <w:rPr>
          <w:rFonts w:ascii="Times New Roman" w:hAnsi="Times New Roman"/>
          <w:sz w:val="16"/>
          <w:szCs w:val="16"/>
          <w:lang w:val="en-US"/>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w:t>
      </w:r>
      <w:r w:rsidRPr="000639BA">
        <w:rPr>
          <w:rFonts w:ascii="Times New Roman" w:hAnsi="Times New Roman"/>
          <w:sz w:val="16"/>
          <w:szCs w:val="16"/>
          <w:lang w:val="en-US"/>
        </w:rPr>
        <w:t xml:space="preserve">Hahn, T., McDermott, C., Ituarte-Lima, C., Schultz, M., Green, T., </w:t>
      </w:r>
      <w:proofErr w:type="spellStart"/>
      <w:r w:rsidRPr="000639BA">
        <w:rPr>
          <w:rFonts w:ascii="Times New Roman" w:hAnsi="Times New Roman"/>
          <w:sz w:val="16"/>
          <w:szCs w:val="16"/>
          <w:lang w:val="en-US"/>
        </w:rPr>
        <w:t>Tuvendal</w:t>
      </w:r>
      <w:proofErr w:type="spellEnd"/>
      <w:r w:rsidRPr="000639BA">
        <w:rPr>
          <w:rFonts w:ascii="Times New Roman" w:hAnsi="Times New Roman"/>
          <w:sz w:val="16"/>
          <w:szCs w:val="16"/>
          <w:lang w:val="en-US"/>
        </w:rPr>
        <w:t>, M., 2015. Purposes and degrees of commodification: economic instruments for biodiversity and ecosystem services need not rely on markets or monetary valuation. Ecosystem Services 16: 74–82. doi.org/10.1016/j.ecoser.2015.10.012</w:t>
      </w:r>
    </w:p>
  </w:footnote>
  <w:footnote w:id="41">
    <w:p w14:paraId="63570AF3" w14:textId="77777777" w:rsidR="00002536" w:rsidRPr="000639BA" w:rsidRDefault="00002536" w:rsidP="00810C20">
      <w:pPr>
        <w:pStyle w:val="FootnoteText"/>
        <w:jc w:val="both"/>
        <w:rPr>
          <w:lang w:val="en-US"/>
        </w:rPr>
      </w:pPr>
      <w:r w:rsidRPr="000639BA">
        <w:rPr>
          <w:rStyle w:val="FootnoteReference"/>
        </w:rPr>
        <w:footnoteRef/>
      </w:r>
      <w:r w:rsidRPr="000639BA">
        <w:t xml:space="preserve"> </w:t>
      </w:r>
      <w:proofErr w:type="spellStart"/>
      <w:r w:rsidRPr="000639BA">
        <w:t>Vatn</w:t>
      </w:r>
      <w:proofErr w:type="spellEnd"/>
      <w:r w:rsidRPr="000639BA">
        <w:t xml:space="preserve">, A., D.N. Barton, H. </w:t>
      </w:r>
      <w:proofErr w:type="spellStart"/>
      <w:r w:rsidRPr="000639BA">
        <w:t>Lindhjem</w:t>
      </w:r>
      <w:proofErr w:type="spellEnd"/>
      <w:r w:rsidRPr="000639BA">
        <w:t xml:space="preserve"> and S. </w:t>
      </w:r>
      <w:proofErr w:type="spellStart"/>
      <w:r w:rsidRPr="000639BA">
        <w:t>Movik</w:t>
      </w:r>
      <w:proofErr w:type="spellEnd"/>
      <w:r w:rsidRPr="000639BA">
        <w:t xml:space="preserve">, (with I. Ring and R. Santos), 2011, </w:t>
      </w:r>
      <w:r w:rsidRPr="000639BA">
        <w:rPr>
          <w:i/>
        </w:rPr>
        <w:t>Can markets protect biodiversity? An evaluation of different financial mechanisms.</w:t>
      </w:r>
      <w:r w:rsidRPr="000639BA">
        <w:t xml:space="preserve"> </w:t>
      </w:r>
      <w:proofErr w:type="spellStart"/>
      <w:r w:rsidRPr="000639BA">
        <w:t>Noragric</w:t>
      </w:r>
      <w:proofErr w:type="spellEnd"/>
      <w:r w:rsidRPr="000639BA">
        <w:t xml:space="preserve"> Report No. 60. Department of International Environment and Development Studies, </w:t>
      </w:r>
      <w:proofErr w:type="spellStart"/>
      <w:r w:rsidRPr="000639BA">
        <w:t>Noragric</w:t>
      </w:r>
      <w:proofErr w:type="spellEnd"/>
      <w:r w:rsidRPr="000639BA">
        <w:t xml:space="preserve">. Norwegian University of Life Sciences, UMB. </w:t>
      </w:r>
      <w:hyperlink r:id="rId11" w:history="1">
        <w:r w:rsidRPr="000639BA">
          <w:rPr>
            <w:rStyle w:val="Hyperlink"/>
          </w:rPr>
          <w:t>http://www.umb.no/statisk/noragric/publications/reports/2011_nor_rep_60.pdf</w:t>
        </w:r>
      </w:hyperlink>
      <w:r w:rsidRPr="000639BA">
        <w:t xml:space="preserve"> .</w:t>
      </w:r>
    </w:p>
  </w:footnote>
  <w:footnote w:id="42">
    <w:p w14:paraId="1D4BEB83" w14:textId="77777777" w:rsidR="00002536" w:rsidRPr="000639BA" w:rsidRDefault="00002536" w:rsidP="00810C20">
      <w:pPr>
        <w:pStyle w:val="FootnoteText"/>
      </w:pPr>
      <w:r w:rsidRPr="000639BA">
        <w:rPr>
          <w:rStyle w:val="FootnoteReference"/>
        </w:rPr>
        <w:footnoteRef/>
      </w:r>
      <w:r w:rsidRPr="000639BA">
        <w:t xml:space="preserve"> Input from India’s  submission with comments on Discussion Paper on ‘safeguards for scaling-up biodiversity finance and possible guiding principles’ (UNEP/CBD/COP/11/INF/7).</w:t>
      </w:r>
    </w:p>
  </w:footnote>
  <w:footnote w:id="43">
    <w:p w14:paraId="0496D543" w14:textId="77777777" w:rsidR="00002536" w:rsidRPr="000639BA" w:rsidRDefault="00002536" w:rsidP="00810C20">
      <w:pPr>
        <w:pStyle w:val="FootnoteText"/>
        <w:jc w:val="both"/>
      </w:pPr>
      <w:r w:rsidRPr="000639BA">
        <w:rPr>
          <w:rStyle w:val="FootnoteReference"/>
        </w:rPr>
        <w:footnoteRef/>
      </w:r>
      <w:r w:rsidRPr="000639BA">
        <w:t xml:space="preserve"> </w:t>
      </w:r>
      <w:proofErr w:type="spellStart"/>
      <w:r w:rsidRPr="000639BA">
        <w:t>Herbertson</w:t>
      </w:r>
      <w:proofErr w:type="spellEnd"/>
      <w:r w:rsidRPr="000639BA">
        <w:t xml:space="preserve">, K. 2012, Will safeguards survive the next generation of development finance? </w:t>
      </w:r>
      <w:r w:rsidRPr="000639BA">
        <w:rPr>
          <w:i/>
        </w:rPr>
        <w:t>International Rivers</w:t>
      </w:r>
      <w:r w:rsidRPr="000639BA">
        <w:t xml:space="preserve">, accessed 19 July 2012, </w:t>
      </w:r>
      <w:hyperlink r:id="rId12" w:history="1">
        <w:r w:rsidRPr="000639BA">
          <w:rPr>
            <w:rStyle w:val="Hyperlink"/>
          </w:rPr>
          <w:t>www.internationalrivers.org/files/attached-files/will_safeguards_survive_june_2012.pdf</w:t>
        </w:r>
      </w:hyperlink>
      <w:r w:rsidRPr="000639BA">
        <w:t>.</w:t>
      </w:r>
    </w:p>
  </w:footnote>
  <w:footnote w:id="44">
    <w:p w14:paraId="2980288F" w14:textId="77777777" w:rsidR="00002536" w:rsidRPr="000639BA" w:rsidRDefault="00002536" w:rsidP="00810C20">
      <w:pPr>
        <w:pStyle w:val="FootnoteText"/>
      </w:pPr>
      <w:r w:rsidRPr="000639BA">
        <w:rPr>
          <w:rStyle w:val="FootnoteReference"/>
        </w:rPr>
        <w:footnoteRef/>
      </w:r>
      <w:r w:rsidRPr="000639BA">
        <w:t>http://web.worldbank.org/WBSITE/EXTERNAL/TOPICS/ENVIRONMENT/0,,contentMDK:20274458~menuPK:549248~pagePK:210058~piPK:210062~theSitePK:244381,00.html.</w:t>
      </w:r>
    </w:p>
  </w:footnote>
  <w:footnote w:id="45">
    <w:p w14:paraId="34A0B8C9" w14:textId="77777777" w:rsidR="00002536" w:rsidRPr="000639BA" w:rsidRDefault="00002536" w:rsidP="00810C20">
      <w:pPr>
        <w:pStyle w:val="FootnoteText"/>
        <w:rPr>
          <w:color w:val="0000FF"/>
        </w:rPr>
      </w:pPr>
      <w:r w:rsidRPr="000639BA">
        <w:rPr>
          <w:rStyle w:val="FootnoteReference"/>
        </w:rPr>
        <w:footnoteRef/>
      </w:r>
      <w:r w:rsidRPr="000639BA">
        <w:t xml:space="preserve"> </w:t>
      </w:r>
      <w:r w:rsidRPr="000639BA">
        <w:rPr>
          <w:color w:val="000000"/>
        </w:rPr>
        <w:t>See World Bank (2012)</w:t>
      </w:r>
      <w:r w:rsidRPr="000639BA">
        <w:rPr>
          <w:i/>
          <w:color w:val="000000"/>
        </w:rPr>
        <w:t xml:space="preserve"> Environmental Assessment</w:t>
      </w:r>
      <w:r w:rsidRPr="000639BA">
        <w:rPr>
          <w:color w:val="000000"/>
        </w:rPr>
        <w:t xml:space="preserve">. </w:t>
      </w:r>
      <w:hyperlink r:id="rId13" w:history="1">
        <w:r w:rsidRPr="000639BA">
          <w:rPr>
            <w:rStyle w:val="Hyperlink"/>
          </w:rPr>
          <w:t>http://web.worldbank.org/WBSITE/EXTERNAL/PROJECTS/EXTPOLICIES/EXTSAFEPOL/0,,contentMDK:20543912~menuPK:1286357~pagePK:64168445~piPK:64168309~theSitePK:584435,00.html</w:t>
        </w:r>
      </w:hyperlink>
      <w:r w:rsidRPr="000639BA">
        <w:rPr>
          <w:color w:val="000000"/>
        </w:rPr>
        <w:t xml:space="preserve"> </w:t>
      </w:r>
    </w:p>
  </w:footnote>
  <w:footnote w:id="46">
    <w:p w14:paraId="14DDD1C3" w14:textId="77777777" w:rsidR="00002536" w:rsidRPr="000639BA" w:rsidRDefault="00002536" w:rsidP="00810C20">
      <w:pPr>
        <w:pStyle w:val="FootnoteText"/>
        <w:jc w:val="both"/>
      </w:pPr>
      <w:r w:rsidRPr="000639BA">
        <w:rPr>
          <w:rStyle w:val="FootnoteReference"/>
        </w:rPr>
        <w:footnoteRef/>
      </w:r>
      <w:r w:rsidRPr="000639BA">
        <w:t xml:space="preserve"> </w:t>
      </w:r>
      <w:r w:rsidRPr="000639BA">
        <w:rPr>
          <w:lang w:eastAsia="en-US" w:bidi="en-US"/>
        </w:rPr>
        <w:t xml:space="preserve">COP 9 Decision IX/11, </w:t>
      </w:r>
      <w:r w:rsidRPr="000639BA">
        <w:rPr>
          <w:i/>
          <w:lang w:eastAsia="en-US" w:bidi="en-US"/>
        </w:rPr>
        <w:t>Review of implementation of Articles 20 and 21</w:t>
      </w:r>
      <w:r w:rsidRPr="000639BA">
        <w:rPr>
          <w:lang w:eastAsia="en-US" w:bidi="en-US"/>
        </w:rPr>
        <w:t xml:space="preserve">, </w:t>
      </w:r>
      <w:hyperlink r:id="rId14" w:history="1">
        <w:r w:rsidRPr="000639BA">
          <w:rPr>
            <w:rStyle w:val="Hyperlink"/>
            <w:lang w:eastAsia="en-US" w:bidi="en-US"/>
          </w:rPr>
          <w:t>https://www.cbd.int/decision/cop/?id=11654</w:t>
        </w:r>
      </w:hyperlink>
      <w:r w:rsidRPr="000639BA">
        <w:rPr>
          <w:lang w:eastAsia="en-US" w:bidi="en-US"/>
        </w:rPr>
        <w:t>, accessed 16 September 2012.</w:t>
      </w:r>
    </w:p>
  </w:footnote>
  <w:footnote w:id="47">
    <w:p w14:paraId="1CC4D80B" w14:textId="77777777" w:rsidR="00002536" w:rsidRPr="000639BA" w:rsidRDefault="00002536" w:rsidP="00810C20">
      <w:pPr>
        <w:pStyle w:val="FootnoteText"/>
        <w:jc w:val="both"/>
      </w:pPr>
      <w:r w:rsidRPr="000639BA">
        <w:rPr>
          <w:rStyle w:val="FootnoteReference"/>
        </w:rPr>
        <w:footnoteRef/>
      </w:r>
      <w:r w:rsidRPr="000639BA">
        <w:t xml:space="preserve"> </w:t>
      </w:r>
      <w:r w:rsidRPr="000639BA">
        <w:rPr>
          <w:lang w:eastAsia="en-US" w:bidi="en-US"/>
        </w:rPr>
        <w:t xml:space="preserve">Information about projects with PES components financed by the World Bank can be found at </w:t>
      </w:r>
      <w:hyperlink r:id="rId15" w:history="1">
        <w:r w:rsidRPr="000639BA">
          <w:rPr>
            <w:rStyle w:val="Hyperlink"/>
            <w:lang w:eastAsia="en-US" w:bidi="en-US"/>
          </w:rPr>
          <w:t>http://web.worldbank.org/WBSITE/EXTERNAL/TOPICS/ENVIRONMENT/EXTEEI/0,,contentMDK:20487983~menuPK:1187844~pagePK:210058~piPK:210062~theSitePK:408050~isCURL:Y,00.html</w:t>
        </w:r>
      </w:hyperlink>
      <w:r w:rsidRPr="000639BA">
        <w:rPr>
          <w:lang w:eastAsia="en-US" w:bidi="en-US"/>
        </w:rPr>
        <w:t xml:space="preserve">  Accessed 21</w:t>
      </w:r>
      <w:r w:rsidRPr="000639BA">
        <w:rPr>
          <w:vertAlign w:val="superscript"/>
          <w:lang w:eastAsia="en-US" w:bidi="en-US"/>
        </w:rPr>
        <w:t>st</w:t>
      </w:r>
      <w:r w:rsidRPr="000639BA">
        <w:rPr>
          <w:lang w:eastAsia="en-US" w:bidi="en-US"/>
        </w:rPr>
        <w:t xml:space="preserve"> May 2014.</w:t>
      </w:r>
    </w:p>
  </w:footnote>
  <w:footnote w:id="48">
    <w:p w14:paraId="46A0EC4C" w14:textId="77777777" w:rsidR="00002536" w:rsidRPr="000639BA" w:rsidRDefault="00002536" w:rsidP="00810C20">
      <w:pPr>
        <w:pStyle w:val="FootnoteText"/>
        <w:jc w:val="both"/>
        <w:rPr>
          <w:color w:val="0000FF"/>
        </w:rPr>
      </w:pPr>
      <w:r w:rsidRPr="000639BA">
        <w:rPr>
          <w:rStyle w:val="FootnoteReference"/>
        </w:rPr>
        <w:footnoteRef/>
      </w:r>
      <w:r w:rsidRPr="000639BA">
        <w:t xml:space="preserve"> United Nations Framework Convention on Climate Change (UNFCCC) 1992, entered into force 21 March 1994; accessed 2 August 2010, </w:t>
      </w:r>
      <w:r w:rsidRPr="000639BA">
        <w:rPr>
          <w:color w:val="0000FF"/>
        </w:rPr>
        <w:t xml:space="preserve">http://unfccc.int/resource/docs/convkp/conveng.pdf. </w:t>
      </w:r>
    </w:p>
  </w:footnote>
  <w:footnote w:id="49">
    <w:p w14:paraId="2695F255" w14:textId="77777777" w:rsidR="00002536" w:rsidRPr="000639BA" w:rsidRDefault="00002536" w:rsidP="00810C20">
      <w:pPr>
        <w:pStyle w:val="FootnoteText"/>
        <w:jc w:val="both"/>
      </w:pPr>
      <w:r w:rsidRPr="000639BA">
        <w:rPr>
          <w:rStyle w:val="FootnoteReference"/>
        </w:rPr>
        <w:footnoteRef/>
      </w:r>
      <w:r w:rsidRPr="000639BA">
        <w:t xml:space="preserve"> The history of this policy integration process is described on www.cbd.int/forest/redd-plus.</w:t>
      </w:r>
    </w:p>
  </w:footnote>
  <w:footnote w:id="50">
    <w:p w14:paraId="617E6EBC" w14:textId="77777777" w:rsidR="00002536" w:rsidRPr="000639BA" w:rsidRDefault="00002536" w:rsidP="00810C20">
      <w:pPr>
        <w:pStyle w:val="FootnoteText"/>
        <w:jc w:val="both"/>
      </w:pPr>
      <w:r w:rsidRPr="000639BA">
        <w:rPr>
          <w:rStyle w:val="FootnoteReference"/>
        </w:rPr>
        <w:footnoteRef/>
      </w:r>
      <w:r w:rsidRPr="000639BA">
        <w:t xml:space="preserve"> UNFCCC 2011, </w:t>
      </w:r>
      <w:r w:rsidRPr="000639BA">
        <w:rPr>
          <w:i/>
        </w:rPr>
        <w:t>Guidance on systems for providing information on how safeguards for REDD-plus activities are addressed and respected,</w:t>
      </w:r>
      <w:r w:rsidRPr="000639BA">
        <w:t xml:space="preserve"> </w:t>
      </w:r>
      <w:hyperlink r:id="rId16" w:tgtFrame="_blank" w:tooltip="This external link will open in a new window" w:history="1">
        <w:r w:rsidRPr="000639BA">
          <w:rPr>
            <w:rStyle w:val="Hyperlink"/>
          </w:rPr>
          <w:t>http://unfccc.int/methods_science/redd/items/6149.php</w:t>
        </w:r>
      </w:hyperlink>
    </w:p>
  </w:footnote>
  <w:footnote w:id="51">
    <w:p w14:paraId="06742F96" w14:textId="77777777" w:rsidR="00002536" w:rsidRPr="000639BA" w:rsidRDefault="00002536" w:rsidP="00810C20">
      <w:pPr>
        <w:pStyle w:val="FootnoteText"/>
        <w:jc w:val="both"/>
      </w:pPr>
      <w:r w:rsidRPr="000639BA">
        <w:rPr>
          <w:rStyle w:val="FootnoteReference"/>
        </w:rPr>
        <w:footnoteRef/>
      </w:r>
      <w:r w:rsidRPr="000639BA">
        <w:t xml:space="preserve"> </w:t>
      </w:r>
      <w:r w:rsidRPr="000639BA">
        <w:rPr>
          <w:bCs/>
        </w:rPr>
        <w:t xml:space="preserve">Summary of the ninth rights and resources initiative dialogue on forests, governance and climate change, </w:t>
      </w:r>
      <w:r w:rsidRPr="000639BA">
        <w:rPr>
          <w:bCs/>
          <w:i/>
          <w:iCs/>
        </w:rPr>
        <w:t>Rights and Resources Initiative Dialogue Bulletin,</w:t>
      </w:r>
      <w:r w:rsidRPr="000639BA">
        <w:rPr>
          <w:bCs/>
        </w:rPr>
        <w:t xml:space="preserve"> Vol. 173 No. 3, 9 February 2011, </w:t>
      </w:r>
      <w:r w:rsidRPr="000639BA">
        <w:rPr>
          <w:color w:val="0000FF"/>
        </w:rPr>
        <w:t>www.iisd.ca/ymb/rri/dfgcc9/html/ymbvol173num3e.html</w:t>
      </w:r>
      <w:r w:rsidRPr="000639BA">
        <w:t>,</w:t>
      </w:r>
      <w:r w:rsidRPr="000639BA">
        <w:rPr>
          <w:bCs/>
        </w:rPr>
        <w:t xml:space="preserve"> accessed 30 July 2012.</w:t>
      </w:r>
    </w:p>
  </w:footnote>
  <w:footnote w:id="52">
    <w:p w14:paraId="32524E88" w14:textId="77777777" w:rsidR="00002536" w:rsidRPr="000639BA" w:rsidRDefault="00002536" w:rsidP="00810C20">
      <w:pPr>
        <w:pStyle w:val="FootnoteText"/>
        <w:jc w:val="both"/>
      </w:pPr>
      <w:r w:rsidRPr="000639BA">
        <w:rPr>
          <w:rStyle w:val="FootnoteReference"/>
        </w:rPr>
        <w:footnoteRef/>
      </w:r>
      <w:r w:rsidRPr="000639BA">
        <w:t xml:space="preserve"> Development cooperation safeguards relate to Goal 5 in CBD COP Decision IX/11 on CBD Strategy for Resource Mobilization: “Goal 5: Mainstream biological diversity and its associated ecosystem services in development cooperation plans and priorities including the linkage between Convention's work programmes and Millennium Development Goals.</w:t>
      </w:r>
    </w:p>
    <w:p w14:paraId="1A9B845C" w14:textId="552FC31D" w:rsidR="00002536" w:rsidRPr="000639BA" w:rsidRDefault="00002536" w:rsidP="00810C20">
      <w:pPr>
        <w:pStyle w:val="FootnoteText"/>
        <w:jc w:val="both"/>
      </w:pPr>
      <w:r w:rsidRPr="000639BA">
        <w:t xml:space="preserve">“5.1. To integrate considerations on biological diversity and its associated ecosystem services into the priorities, strategies and programmes of multilateral and bilateral donor organizations, including sectoral and regional priorities, taking into account the Paris Declaration on Aid Effectiveness.” </w:t>
      </w:r>
    </w:p>
  </w:footnote>
  <w:footnote w:id="53">
    <w:p w14:paraId="5B3185CD" w14:textId="77777777" w:rsidR="00002536" w:rsidRPr="000639BA" w:rsidRDefault="00002536" w:rsidP="00810C20">
      <w:pPr>
        <w:pStyle w:val="FootnoteText"/>
        <w:jc w:val="both"/>
      </w:pPr>
      <w:r w:rsidRPr="000639BA">
        <w:rPr>
          <w:rStyle w:val="FootnoteReference"/>
        </w:rPr>
        <w:footnoteRef/>
      </w:r>
      <w:r w:rsidRPr="000639BA">
        <w:t xml:space="preserve"> The types of ombudsperson differ between countries, see Hossain, K. 2000, </w:t>
      </w:r>
      <w:r w:rsidRPr="000639BA">
        <w:rPr>
          <w:i/>
        </w:rPr>
        <w:t>Human Rights Commissions and Ombudsman Offices: National Experiences Throughout the World,</w:t>
      </w:r>
      <w:r w:rsidRPr="000639BA">
        <w:t xml:space="preserve"> </w:t>
      </w:r>
      <w:proofErr w:type="spellStart"/>
      <w:r w:rsidRPr="000639BA">
        <w:t>Martinus</w:t>
      </w:r>
      <w:proofErr w:type="spellEnd"/>
      <w:r w:rsidRPr="000639BA">
        <w:t xml:space="preserve"> </w:t>
      </w:r>
      <w:proofErr w:type="spellStart"/>
      <w:r w:rsidRPr="000639BA">
        <w:t>Nijhoff</w:t>
      </w:r>
      <w:proofErr w:type="spellEnd"/>
      <w:r w:rsidRPr="000639BA">
        <w:t xml:space="preserve"> Publishers.</w:t>
      </w:r>
    </w:p>
  </w:footnote>
  <w:footnote w:id="54">
    <w:p w14:paraId="15E6F526" w14:textId="77777777" w:rsidR="00002536" w:rsidRPr="000639BA" w:rsidRDefault="00002536" w:rsidP="00810C20">
      <w:pPr>
        <w:pStyle w:val="FootnoteText"/>
        <w:jc w:val="both"/>
      </w:pPr>
      <w:r w:rsidRPr="000639BA">
        <w:rPr>
          <w:rStyle w:val="FootnoteReference"/>
        </w:rPr>
        <w:footnoteRef/>
      </w:r>
      <w:r w:rsidRPr="000639BA">
        <w:t xml:space="preserve"> CCBA. 2008. </w:t>
      </w:r>
      <w:r w:rsidRPr="000639BA">
        <w:rPr>
          <w:i/>
        </w:rPr>
        <w:t xml:space="preserve">Climate, Community &amp; Biodiversity Project Design Standards, </w:t>
      </w:r>
      <w:r w:rsidRPr="000639BA">
        <w:t xml:space="preserve">Second Edition. CCBA, Arlington, VA. </w:t>
      </w:r>
      <w:hyperlink r:id="rId17" w:history="1">
        <w:r w:rsidRPr="000639BA">
          <w:rPr>
            <w:rStyle w:val="Hyperlink"/>
          </w:rPr>
          <w:t>https://s3.amazonaws.com/CCBA/Third_Edition/CCB_Standards_Third_Edition_December_2013.pdf</w:t>
        </w:r>
      </w:hyperlink>
      <w:r w:rsidRPr="000639BA">
        <w:t xml:space="preserve">  accessed 21st May 2014. </w:t>
      </w:r>
    </w:p>
  </w:footnote>
  <w:footnote w:id="55">
    <w:p w14:paraId="585766F4" w14:textId="77777777" w:rsidR="00002536" w:rsidRPr="000639BA" w:rsidRDefault="00002536" w:rsidP="00810C20">
      <w:pPr>
        <w:pStyle w:val="FootnoteText"/>
      </w:pPr>
      <w:r w:rsidRPr="000639BA">
        <w:rPr>
          <w:rStyle w:val="FootnoteReference"/>
        </w:rPr>
        <w:footnoteRef/>
      </w:r>
      <w:r w:rsidRPr="000639BA">
        <w:t xml:space="preserve"> Input from India’s  submission with comments on Discussion Paper on ‘safeguards for scaling-up biodiversity finance and possible guiding principles’ (UNEP/CBD/COP/11/INF/7).</w:t>
      </w:r>
    </w:p>
  </w:footnote>
  <w:footnote w:id="56">
    <w:p w14:paraId="2C1588AA" w14:textId="77777777" w:rsidR="00002536" w:rsidRPr="000639BA" w:rsidRDefault="00002536" w:rsidP="00810C20">
      <w:pPr>
        <w:pStyle w:val="FootnoteText"/>
        <w:jc w:val="both"/>
      </w:pPr>
      <w:r w:rsidRPr="000639BA">
        <w:rPr>
          <w:rStyle w:val="FootnoteReference"/>
        </w:rPr>
        <w:footnoteRef/>
      </w:r>
      <w:r w:rsidRPr="000639BA">
        <w:t xml:space="preserve"> For examples of substantive environmental rights, see e.g. Brush, Coker and Van </w:t>
      </w:r>
      <w:proofErr w:type="spellStart"/>
      <w:r w:rsidRPr="000639BA">
        <w:t>Arsdale</w:t>
      </w:r>
      <w:proofErr w:type="spellEnd"/>
      <w:r w:rsidRPr="000639BA">
        <w:t xml:space="preserve"> 2001 . Bruch, C., Coker, W., &amp; </w:t>
      </w:r>
      <w:proofErr w:type="spellStart"/>
      <w:r w:rsidRPr="000639BA">
        <w:t>VanArsdale</w:t>
      </w:r>
      <w:proofErr w:type="spellEnd"/>
      <w:r w:rsidRPr="000639BA">
        <w:t xml:space="preserve">, C. (2001). Constitutional environmental law: Giving force to fundamental principles in Africa. </w:t>
      </w:r>
      <w:r w:rsidRPr="000639BA">
        <w:rPr>
          <w:i/>
          <w:iCs/>
        </w:rPr>
        <w:t>Columbia Journal of Environmental Law</w:t>
      </w:r>
      <w:r w:rsidRPr="000639BA">
        <w:t xml:space="preserve">, </w:t>
      </w:r>
      <w:r w:rsidRPr="000639BA">
        <w:rPr>
          <w:i/>
          <w:iCs/>
        </w:rPr>
        <w:t>26</w:t>
      </w:r>
      <w:r w:rsidRPr="000639BA">
        <w:t>, 131</w:t>
      </w:r>
      <w:r w:rsidRPr="000639BA">
        <w:rPr>
          <w:rFonts w:hint="eastAsia"/>
        </w:rPr>
        <w:t>–</w:t>
      </w:r>
      <w:r w:rsidRPr="000639BA">
        <w:t xml:space="preserve">211. See examples of procedural environmental rights in Shelton, D. (2006). Human rights and the environment: What specific environmental rights have been recognized? </w:t>
      </w:r>
      <w:r w:rsidRPr="000639BA">
        <w:rPr>
          <w:i/>
          <w:iCs/>
        </w:rPr>
        <w:t>Denver Journal of International Law and Policy</w:t>
      </w:r>
      <w:r w:rsidRPr="000639BA">
        <w:t>,</w:t>
      </w:r>
      <w:r w:rsidRPr="000639BA">
        <w:rPr>
          <w:i/>
          <w:iCs/>
        </w:rPr>
        <w:t>35</w:t>
      </w:r>
      <w:r w:rsidRPr="000639BA">
        <w:t>, 129</w:t>
      </w:r>
      <w:r w:rsidRPr="000639BA">
        <w:rPr>
          <w:rFonts w:hint="eastAsia"/>
        </w:rPr>
        <w:t>–</w:t>
      </w:r>
      <w:r w:rsidRPr="000639BA">
        <w:t>171.</w:t>
      </w:r>
    </w:p>
  </w:footnote>
  <w:footnote w:id="57">
    <w:p w14:paraId="5128BC6C" w14:textId="245D2506" w:rsidR="00002536" w:rsidRPr="000639BA" w:rsidRDefault="00002536" w:rsidP="00810C20">
      <w:pPr>
        <w:pStyle w:val="FootnoteText"/>
        <w:jc w:val="both"/>
      </w:pPr>
      <w:r w:rsidRPr="000639BA">
        <w:rPr>
          <w:rStyle w:val="FootnoteReference"/>
        </w:rPr>
        <w:footnoteRef/>
      </w:r>
      <w:r w:rsidRPr="000639BA">
        <w:t xml:space="preserve"> </w:t>
      </w:r>
      <w:r w:rsidRPr="000639BA">
        <w:rPr>
          <w:i/>
          <w:iCs/>
        </w:rPr>
        <w:t>Tenure “</w:t>
      </w:r>
      <w:r w:rsidRPr="000639BA">
        <w:t>is the relationship, whether legally or customarily defined, among people as individuals or groups, with respect to land and associated natural resources. Rules of tenure define how property rights in land are to be allocated within societies. Land tenure systems determine who can use what resources for how long, and under what conditions”. FAO Multilingual Thesaurus on Land Tenure, 2003 (Ch. 1.T.4, p. 36).</w:t>
      </w:r>
    </w:p>
  </w:footnote>
  <w:footnote w:id="58">
    <w:p w14:paraId="22D14CD5" w14:textId="77777777" w:rsidR="00002536" w:rsidRPr="000639BA" w:rsidRDefault="00002536" w:rsidP="00810C20">
      <w:pPr>
        <w:pStyle w:val="FootnoteText"/>
        <w:jc w:val="both"/>
        <w:rPr>
          <w:rFonts w:ascii="Arial" w:hAnsi="Arial"/>
        </w:rPr>
      </w:pPr>
      <w:r w:rsidRPr="000639BA">
        <w:rPr>
          <w:rStyle w:val="FootnoteReference"/>
        </w:rPr>
        <w:footnoteRef/>
      </w:r>
      <w:r w:rsidRPr="000639BA">
        <w:t xml:space="preserve"> The various elements of natural resources’ tenure are part of an integrated ecosystem and have particular physical qualities and technical constraints concerning their use.</w:t>
      </w:r>
      <w:r w:rsidRPr="000639BA">
        <w:rPr>
          <w:color w:val="231F20"/>
        </w:rPr>
        <w:t xml:space="preserve"> See </w:t>
      </w:r>
      <w:proofErr w:type="spellStart"/>
      <w:r w:rsidRPr="000639BA">
        <w:t>Ghezae</w:t>
      </w:r>
      <w:proofErr w:type="spellEnd"/>
      <w:r w:rsidRPr="000639BA">
        <w:t xml:space="preserve">, N., </w:t>
      </w:r>
      <w:proofErr w:type="spellStart"/>
      <w:r w:rsidRPr="000639BA">
        <w:t>Berlekom</w:t>
      </w:r>
      <w:proofErr w:type="spellEnd"/>
      <w:r w:rsidRPr="000639BA">
        <w:t xml:space="preserve">, M., </w:t>
      </w:r>
      <w:proofErr w:type="spellStart"/>
      <w:r w:rsidRPr="000639BA">
        <w:t>Engström</w:t>
      </w:r>
      <w:proofErr w:type="spellEnd"/>
      <w:r w:rsidRPr="000639BA">
        <w:t xml:space="preserve">, L., Eriksson, M.L., Gallardo, G., Gerhardt, K., </w:t>
      </w:r>
      <w:proofErr w:type="spellStart"/>
      <w:r w:rsidRPr="000639BA">
        <w:t>Knutsson</w:t>
      </w:r>
      <w:proofErr w:type="spellEnd"/>
      <w:r w:rsidRPr="000639BA">
        <w:t xml:space="preserve">, P., Malmer, P., </w:t>
      </w:r>
      <w:proofErr w:type="spellStart"/>
      <w:r w:rsidRPr="000639BA">
        <w:t>Stephansson</w:t>
      </w:r>
      <w:proofErr w:type="spellEnd"/>
      <w:r w:rsidRPr="000639BA">
        <w:t xml:space="preserve">, E., and von Walter, S. 2009, </w:t>
      </w:r>
      <w:r w:rsidRPr="000639BA">
        <w:rPr>
          <w:i/>
        </w:rPr>
        <w:t xml:space="preserve">Natural Resource Tenure – a crucial aspect of poverty reduction and human rights, </w:t>
      </w:r>
      <w:proofErr w:type="spellStart"/>
      <w:r w:rsidRPr="000639BA">
        <w:t>Sida</w:t>
      </w:r>
      <w:proofErr w:type="spellEnd"/>
      <w:r w:rsidRPr="000639BA">
        <w:t xml:space="preserve"> Studies No. 23, </w:t>
      </w:r>
      <w:proofErr w:type="spellStart"/>
      <w:r w:rsidRPr="000639BA">
        <w:t>Editia</w:t>
      </w:r>
      <w:proofErr w:type="spellEnd"/>
      <w:r w:rsidRPr="000639BA">
        <w:t>.</w:t>
      </w:r>
    </w:p>
  </w:footnote>
  <w:footnote w:id="59">
    <w:p w14:paraId="527D59CD" w14:textId="77777777" w:rsidR="00002536" w:rsidRPr="000639BA" w:rsidRDefault="00002536" w:rsidP="00810C20">
      <w:pPr>
        <w:pStyle w:val="FootnoteText"/>
      </w:pPr>
      <w:r w:rsidRPr="000639BA">
        <w:rPr>
          <w:rStyle w:val="FootnoteReference"/>
        </w:rPr>
        <w:footnoteRef/>
      </w:r>
      <w:r w:rsidRPr="000639BA">
        <w:t xml:space="preserve"> Input from India submission with comments on Discussion Paper on ‘safeguards for scaling-up biodiversity finance and possible guiding principles’ (UNEP/CBD/COP/11/INF/7). </w:t>
      </w:r>
    </w:p>
  </w:footnote>
  <w:footnote w:id="60">
    <w:p w14:paraId="2DEADFD2" w14:textId="77777777" w:rsidR="00002536" w:rsidRPr="000639BA" w:rsidRDefault="00002536" w:rsidP="00810C20">
      <w:pPr>
        <w:pStyle w:val="FootnoteText"/>
        <w:jc w:val="both"/>
      </w:pPr>
      <w:r w:rsidRPr="000639BA">
        <w:rPr>
          <w:rStyle w:val="FootnoteReference"/>
        </w:rPr>
        <w:footnoteRef/>
      </w:r>
      <w:r w:rsidRPr="000639BA">
        <w:t xml:space="preserve"> </w:t>
      </w:r>
      <w:proofErr w:type="spellStart"/>
      <w:r w:rsidRPr="000639BA">
        <w:t>Tomich</w:t>
      </w:r>
      <w:proofErr w:type="spellEnd"/>
      <w:r w:rsidRPr="000639BA">
        <w:t xml:space="preserve"> TP, Lewis J. 2001. Putting community-based forest management on the map. ASB policy brief 2, Alternatives to Slash-and-Burn Program, Nairobi. </w:t>
      </w:r>
      <w:hyperlink r:id="rId18" w:history="1">
        <w:r w:rsidRPr="000639BA">
          <w:rPr>
            <w:rStyle w:val="Hyperlink"/>
          </w:rPr>
          <w:t>www.asb.cgiar.org/PDFwebdocs/PolicyBrief2.pdf</w:t>
        </w:r>
      </w:hyperlink>
      <w:r w:rsidRPr="000639BA">
        <w:t xml:space="preserve">. </w:t>
      </w:r>
    </w:p>
  </w:footnote>
  <w:footnote w:id="61">
    <w:p w14:paraId="269946AB" w14:textId="77777777" w:rsidR="00002536" w:rsidRPr="000639BA" w:rsidRDefault="00002536" w:rsidP="00810C20">
      <w:pPr>
        <w:pStyle w:val="FootnoteText"/>
      </w:pPr>
      <w:r w:rsidRPr="000639BA">
        <w:rPr>
          <w:rStyle w:val="FootnoteReference"/>
        </w:rPr>
        <w:footnoteRef/>
      </w:r>
      <w:r w:rsidRPr="000639BA">
        <w:t xml:space="preserve"> See e.g. Sands, P et al, (2012) Principles of International Environmental Law, Cambridge University Press and  Living Convention on Biocultural Diversity http://naturaljustice.org/wp-content/uploads/pdf/LivingConventiononBioculturalDiversity-FirstEdition2012-1.pdf</w:t>
      </w:r>
      <w:r w:rsidRPr="00584647" w:rsidDel="005626F8">
        <w:t xml:space="preserve"> </w:t>
      </w:r>
      <w:r w:rsidRPr="00584647">
        <w:t xml:space="preserve"> </w:t>
      </w:r>
    </w:p>
  </w:footnote>
  <w:footnote w:id="62">
    <w:p w14:paraId="6138DD9E" w14:textId="77777777" w:rsidR="00002536" w:rsidRPr="00584647" w:rsidRDefault="00002536" w:rsidP="00810C20">
      <w:pPr>
        <w:pStyle w:val="FootnoteText"/>
        <w:jc w:val="both"/>
      </w:pPr>
      <w:r w:rsidRPr="00584647">
        <w:rPr>
          <w:rStyle w:val="FootnoteReference"/>
        </w:rPr>
        <w:footnoteRef/>
      </w:r>
      <w:r w:rsidRPr="00584647">
        <w:t xml:space="preserve"> Nagoya Protocol on Access to Genetic Resources and the Fair and Equitable Sharing of Benefits Arising from their Utilization to the Convention on Biological Diversity 2010, </w:t>
      </w:r>
      <w:hyperlink r:id="rId19" w:history="1">
        <w:r w:rsidRPr="00584647">
          <w:rPr>
            <w:rStyle w:val="Hyperlink"/>
          </w:rPr>
          <w:t>www.cbd.int/cop10/doc</w:t>
        </w:r>
      </w:hyperlink>
      <w:r w:rsidRPr="00584647">
        <w:t>, viewed 5 January 2011 .</w:t>
      </w:r>
    </w:p>
  </w:footnote>
  <w:footnote w:id="63">
    <w:p w14:paraId="5D9AEBE2" w14:textId="77777777" w:rsidR="00002536" w:rsidRPr="00584647" w:rsidRDefault="00002536" w:rsidP="00810C20">
      <w:pPr>
        <w:pStyle w:val="FootnoteText"/>
      </w:pPr>
      <w:r w:rsidRPr="00584647">
        <w:rPr>
          <w:rStyle w:val="FootnoteReference"/>
        </w:rPr>
        <w:footnoteRef/>
      </w:r>
      <w:r w:rsidRPr="00584647">
        <w:t xml:space="preserve"> Input from India’s submission with comments on Discussion Paper on ‘safeguards for scaling-up biodiversity finance and possible guiding principles’ (UNEP/CBD/COP/11/INF/7).</w:t>
      </w:r>
    </w:p>
  </w:footnote>
  <w:footnote w:id="64">
    <w:p w14:paraId="1B58361D" w14:textId="77777777" w:rsidR="00002536" w:rsidRPr="00584647" w:rsidRDefault="00002536" w:rsidP="00810C20">
      <w:pPr>
        <w:pStyle w:val="FootnoteText"/>
        <w:jc w:val="both"/>
      </w:pPr>
      <w:r w:rsidRPr="00584647">
        <w:rPr>
          <w:rStyle w:val="FootnoteReference"/>
        </w:rPr>
        <w:footnoteRef/>
      </w:r>
      <w:r w:rsidRPr="00584647">
        <w:t xml:space="preserve"> For examples of community protocols, see e.g. </w:t>
      </w:r>
      <w:r w:rsidRPr="00584647">
        <w:rPr>
          <w:iCs/>
        </w:rPr>
        <w:t xml:space="preserve">ASOCASAN, 2010. </w:t>
      </w:r>
      <w:r w:rsidRPr="00584647">
        <w:rPr>
          <w:iCs/>
          <w:lang w:val="es-ES"/>
        </w:rPr>
        <w:t xml:space="preserve">Protocolo Comunitario Biocultural para el Territorio del Consejo Comunitario Mayor del Alto San Juan, </w:t>
      </w:r>
      <w:proofErr w:type="spellStart"/>
      <w:r w:rsidRPr="00584647">
        <w:rPr>
          <w:iCs/>
          <w:lang w:val="es-ES"/>
        </w:rPr>
        <w:t>Tado</w:t>
      </w:r>
      <w:proofErr w:type="spellEnd"/>
      <w:r w:rsidRPr="00584647">
        <w:rPr>
          <w:iCs/>
          <w:lang w:val="es-ES"/>
        </w:rPr>
        <w:t xml:space="preserve"> Choco, Colombia</w:t>
      </w:r>
      <w:r w:rsidRPr="00584647">
        <w:rPr>
          <w:i/>
          <w:iCs/>
          <w:lang w:val="es-ES"/>
        </w:rPr>
        <w:t>,</w:t>
      </w:r>
      <w:r w:rsidRPr="00584647">
        <w:rPr>
          <w:iCs/>
          <w:lang w:val="es-ES"/>
        </w:rPr>
        <w:t xml:space="preserve"> Natural Justice, PNUD, Instituto de Investigaciones Ambientales del Pacifico, </w:t>
      </w:r>
      <w:proofErr w:type="gramStart"/>
      <w:r w:rsidRPr="00584647">
        <w:rPr>
          <w:iCs/>
          <w:lang w:val="es-ES"/>
        </w:rPr>
        <w:t xml:space="preserve">Colombia,  </w:t>
      </w:r>
      <w:proofErr w:type="spellStart"/>
      <w:r w:rsidRPr="00584647">
        <w:rPr>
          <w:iCs/>
          <w:lang w:val="es-ES"/>
        </w:rPr>
        <w:t>Available</w:t>
      </w:r>
      <w:proofErr w:type="spellEnd"/>
      <w:proofErr w:type="gramEnd"/>
      <w:r w:rsidRPr="00584647">
        <w:rPr>
          <w:iCs/>
          <w:lang w:val="es-ES"/>
        </w:rPr>
        <w:t xml:space="preserve"> at: www.pnuma.org/publicaciones/PCB%20ASOCASAN_espanol_2012.pdf </w:t>
      </w:r>
      <w:proofErr w:type="spellStart"/>
      <w:r w:rsidRPr="00584647">
        <w:rPr>
          <w:iCs/>
          <w:lang w:val="es-ES"/>
        </w:rPr>
        <w:t>Accessed</w:t>
      </w:r>
      <w:proofErr w:type="spellEnd"/>
      <w:r w:rsidRPr="00584647">
        <w:rPr>
          <w:iCs/>
          <w:lang w:val="es-ES"/>
        </w:rPr>
        <w:t xml:space="preserve"> 21</w:t>
      </w:r>
      <w:r w:rsidRPr="00584647">
        <w:rPr>
          <w:iCs/>
          <w:vertAlign w:val="superscript"/>
          <w:lang w:val="es-ES"/>
        </w:rPr>
        <w:t>st</w:t>
      </w:r>
      <w:r w:rsidRPr="00584647">
        <w:rPr>
          <w:iCs/>
          <w:lang w:val="es-ES"/>
        </w:rPr>
        <w:t xml:space="preserve"> May 2014</w:t>
      </w:r>
      <w:r w:rsidRPr="00584647">
        <w:rPr>
          <w:lang w:val="es-ES"/>
        </w:rPr>
        <w:t xml:space="preserve">. </w:t>
      </w:r>
      <w:r w:rsidRPr="00584647">
        <w:t xml:space="preserve">Also Bavikatte, K. and Jonas, H., 2010, How bio-cultural community protocols can empower local communities, </w:t>
      </w:r>
      <w:r w:rsidRPr="00584647">
        <w:rPr>
          <w:i/>
        </w:rPr>
        <w:t>Endogenous Development Magazine</w:t>
      </w:r>
      <w:r w:rsidRPr="00584647">
        <w:t xml:space="preserve"> no. 16, p 4-6</w:t>
      </w:r>
      <w:r w:rsidRPr="00584647">
        <w:rPr>
          <w:iCs/>
          <w:color w:val="000000"/>
        </w:rPr>
        <w:t>; and Kohler-</w:t>
      </w:r>
      <w:proofErr w:type="spellStart"/>
      <w:r w:rsidRPr="00584647">
        <w:rPr>
          <w:iCs/>
          <w:color w:val="000000"/>
        </w:rPr>
        <w:t>Rollefson</w:t>
      </w:r>
      <w:proofErr w:type="spellEnd"/>
      <w:r w:rsidRPr="00584647">
        <w:rPr>
          <w:iCs/>
          <w:color w:val="000000"/>
        </w:rPr>
        <w:t>, I. et al., 2010</w:t>
      </w:r>
      <w:r w:rsidRPr="00584647">
        <w:rPr>
          <w:color w:val="000000"/>
        </w:rPr>
        <w:t xml:space="preserve">, Livestock keepers' rights: the state of discussion. </w:t>
      </w:r>
      <w:r w:rsidRPr="00584647">
        <w:rPr>
          <w:i/>
          <w:color w:val="000000"/>
        </w:rPr>
        <w:t>Animal Genetic Resources</w:t>
      </w:r>
      <w:r w:rsidRPr="00584647">
        <w:rPr>
          <w:color w:val="000000"/>
        </w:rPr>
        <w:t xml:space="preserve">, Vol. 47, p 119-123 </w:t>
      </w:r>
      <w:r w:rsidRPr="00584647">
        <w:t>.</w:t>
      </w:r>
    </w:p>
    <w:p w14:paraId="2220B76D" w14:textId="77777777" w:rsidR="00002536" w:rsidRPr="00584647" w:rsidRDefault="00002536" w:rsidP="00810C20">
      <w:pPr>
        <w:pStyle w:val="FootnoteText"/>
        <w:jc w:val="both"/>
        <w:rPr>
          <w:sz w:val="20"/>
          <w:szCs w:val="20"/>
        </w:rPr>
      </w:pPr>
    </w:p>
  </w:footnote>
  <w:footnote w:id="65">
    <w:p w14:paraId="5C298F9C" w14:textId="77777777" w:rsidR="00002536" w:rsidRPr="00584647" w:rsidRDefault="00002536" w:rsidP="00810C20">
      <w:pPr>
        <w:pStyle w:val="FootnoteText"/>
        <w:jc w:val="both"/>
        <w:rPr>
          <w:color w:val="0000FF"/>
        </w:rPr>
      </w:pPr>
      <w:r w:rsidRPr="00584647">
        <w:rPr>
          <w:rStyle w:val="FootnoteReference"/>
        </w:rPr>
        <w:footnoteRef/>
      </w:r>
      <w:r w:rsidRPr="00584647">
        <w:t xml:space="preserve"> For example, the Forest Carbon Partnership Facility (FCPF) and UN-REDD developed </w:t>
      </w:r>
      <w:r w:rsidRPr="00584647">
        <w:rPr>
          <w:i/>
        </w:rPr>
        <w:t>Guidelines on Stakeholder Engagement in REDD+ Readiness with a Focus on the Participation of Indigenous Peoples and Other Forest-Dependent Communities</w:t>
      </w:r>
      <w:r w:rsidRPr="00584647">
        <w:t xml:space="preserve"> </w:t>
      </w:r>
      <w:hyperlink r:id="rId20" w:history="1">
        <w:r w:rsidRPr="00584647">
          <w:rPr>
            <w:rStyle w:val="Hyperlink"/>
          </w:rPr>
          <w:t>www.forestcarbonpartnership.org/sites/fcp/files/Documents/tagged/FCPF%20UN-REDD%20Stakeholder%20Guidelines%20Note%20Draft%2011-17-10.pdf</w:t>
        </w:r>
      </w:hyperlink>
      <w:r w:rsidRPr="00584647">
        <w:t xml:space="preserve"> Accessed 22</w:t>
      </w:r>
      <w:r w:rsidRPr="00584647">
        <w:rPr>
          <w:vertAlign w:val="superscript"/>
        </w:rPr>
        <w:t>nd</w:t>
      </w:r>
      <w:r w:rsidRPr="00584647">
        <w:t xml:space="preserve"> May 2014. </w:t>
      </w:r>
    </w:p>
  </w:footnote>
  <w:footnote w:id="66">
    <w:p w14:paraId="41774AA9" w14:textId="77777777" w:rsidR="00002536" w:rsidRPr="00584647" w:rsidRDefault="00002536" w:rsidP="00810C20">
      <w:pPr>
        <w:pStyle w:val="FootnoteText"/>
        <w:jc w:val="both"/>
      </w:pPr>
      <w:r w:rsidRPr="00584647">
        <w:rPr>
          <w:rStyle w:val="FootnoteReference"/>
        </w:rPr>
        <w:footnoteRef/>
      </w:r>
      <w:r w:rsidRPr="00584647">
        <w:rPr>
          <w:bCs/>
        </w:rPr>
        <w:t xml:space="preserve"> REDD+ Social &amp; Environmental Standards (SES) Draft, Version 2 (22 June 2012), at </w:t>
      </w:r>
      <w:hyperlink r:id="rId21" w:history="1">
        <w:r w:rsidRPr="00584647">
          <w:rPr>
            <w:rStyle w:val="Hyperlink"/>
          </w:rPr>
          <w:t>www.reddstandards.org</w:t>
        </w:r>
      </w:hyperlink>
      <w:r w:rsidRPr="00584647">
        <w:rPr>
          <w:bCs/>
          <w:i/>
          <w:iCs/>
        </w:rPr>
        <w:t xml:space="preserve">. </w:t>
      </w:r>
      <w:r w:rsidRPr="00584647">
        <w:t>The REDD+ Social &amp; Environmental Standards rely upon the oversight by an international Standards Committee which is constituted by members of governments, Indigenous Peoples’ organizations, community associations, social and environmental NGOs and the private sector. Tanzania, Ecuador, the State of Acre in Brazil, Nepal, and the Province of Central Kalimantan in Indonesia have started using the REDD+ SES. Tanzania is applying the REDD+ SES in drafting its National REDD Strategy. Likewise, this country is also participating in other international REDD+ related programs specifically the UN-REDD Programme, the Forest Carbon Partnership Facility which also has relevant guidelines for safeguards, www.redd-standards.org/tanzania-overview.</w:t>
      </w:r>
    </w:p>
  </w:footnote>
  <w:footnote w:id="67">
    <w:p w14:paraId="1877F9F5" w14:textId="154F95CA" w:rsidR="00002536" w:rsidRPr="00584647" w:rsidRDefault="00002536" w:rsidP="00810C20">
      <w:pPr>
        <w:pStyle w:val="FootnoteText"/>
        <w:jc w:val="both"/>
      </w:pPr>
      <w:r w:rsidRPr="00584647">
        <w:rPr>
          <w:rStyle w:val="FootnoteReference"/>
        </w:rPr>
        <w:footnoteRef/>
      </w:r>
      <w:r w:rsidRPr="00584647">
        <w:t xml:space="preserve"> See</w:t>
      </w:r>
      <w:r w:rsidRPr="00584647">
        <w:rPr>
          <w:lang w:val="en-GB"/>
        </w:rPr>
        <w:t xml:space="preserve"> </w:t>
      </w:r>
      <w:r w:rsidRPr="00584647">
        <w:t xml:space="preserve">co-chairs summary, International Workshop on Finance Mechanisms for Biodiversity: Examining Opportunities and Challenges, convened by the OECD, World Bank, GEF, and the European Commission, together with Sweden and India, 12 May 2012 - Montreal, Canada, </w:t>
      </w:r>
      <w:hyperlink r:id="rId22" w:history="1">
        <w:r w:rsidRPr="00584647">
          <w:rPr>
            <w:rStyle w:val="Hyperlink"/>
          </w:rPr>
          <w:t>http://www.cbd.int/doc/meetings/fin/wsfmb-eoc-01/official/wsfmb-eoc-01-chairs-summary-en.pdf</w:t>
        </w:r>
      </w:hyperlink>
      <w:r w:rsidRPr="00584647">
        <w:t>, accessed 12 November 2012.</w:t>
      </w:r>
    </w:p>
  </w:footnote>
  <w:footnote w:id="68">
    <w:p w14:paraId="4DBCE732" w14:textId="77777777" w:rsidR="00002536" w:rsidRPr="00584647" w:rsidRDefault="00002536" w:rsidP="00810C20">
      <w:pPr>
        <w:pStyle w:val="FootnoteText"/>
        <w:jc w:val="both"/>
      </w:pPr>
      <w:r w:rsidRPr="00584647">
        <w:rPr>
          <w:rStyle w:val="FootnoteReference"/>
        </w:rPr>
        <w:footnoteRef/>
      </w:r>
      <w:r w:rsidRPr="00584647">
        <w:t xml:space="preserve"> </w:t>
      </w:r>
      <w:hyperlink r:id="rId23" w:history="1">
        <w:r w:rsidRPr="00584647">
          <w:rPr>
            <w:rStyle w:val="Hyperlink"/>
          </w:rPr>
          <w:t>www.planvivo.org</w:t>
        </w:r>
      </w:hyperlink>
      <w:r w:rsidRPr="00584647">
        <w:t xml:space="preserve">. </w:t>
      </w:r>
    </w:p>
  </w:footnote>
  <w:footnote w:id="69">
    <w:p w14:paraId="2F36FB2B" w14:textId="3CA6800E" w:rsidR="00002536" w:rsidRPr="00584647" w:rsidRDefault="00002536">
      <w:pPr>
        <w:pStyle w:val="FootnoteText"/>
        <w:rPr>
          <w:lang w:val="en-US"/>
        </w:rPr>
      </w:pPr>
      <w:r w:rsidRPr="00584647">
        <w:rPr>
          <w:rStyle w:val="FootnoteReference"/>
        </w:rPr>
        <w:footnoteRef/>
      </w:r>
      <w:r w:rsidRPr="00584647">
        <w:t xml:space="preserve"> Biggs, R., Schlüter, M. and </w:t>
      </w:r>
      <w:proofErr w:type="spellStart"/>
      <w:r w:rsidRPr="00584647">
        <w:t>Schoon</w:t>
      </w:r>
      <w:proofErr w:type="spellEnd"/>
      <w:r w:rsidRPr="00584647">
        <w:t>, M. L. 2015. Principles for building resilience. Sustaining Ecosystem Services in Social-Ecological Systems. Cambridge University Press.</w:t>
      </w:r>
      <w:r w:rsidRPr="00584647">
        <w:rPr>
          <w:rFonts w:ascii="Arial" w:hAnsi="Arial" w:cs="Arial"/>
        </w:rPr>
        <w:t xml:space="preserve">  </w:t>
      </w:r>
    </w:p>
  </w:footnote>
  <w:footnote w:id="70">
    <w:p w14:paraId="7671B2DF" w14:textId="155A3CAE" w:rsidR="00002536" w:rsidRPr="000639BA" w:rsidRDefault="00002536">
      <w:pPr>
        <w:pStyle w:val="FootnoteText"/>
        <w:rPr>
          <w:lang w:val="en-US"/>
        </w:rPr>
      </w:pPr>
      <w:r w:rsidRPr="00584647">
        <w:rPr>
          <w:rStyle w:val="FootnoteReference"/>
        </w:rPr>
        <w:footnoteRef/>
      </w:r>
      <w:r w:rsidRPr="00584647">
        <w:t xml:space="preserve"> The term ‘other effective area-based conservation measures’ first appeared in the Aichi Biodiversity Targets as part of the Strategic Plan for Biodiversity 2011-2020 (CBD, 2010). In the closing hours of the 10th Conference of the Parties to the Convention on Biological Diversity (COP/CBD), Parties finalized their negotiations of Target 11, which resulted in the following formulation: 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footnote>
  <w:footnote w:id="71">
    <w:p w14:paraId="00F7FC59" w14:textId="65B397A9" w:rsidR="00002536" w:rsidRPr="00584647" w:rsidRDefault="00002536">
      <w:pPr>
        <w:pStyle w:val="FootnoteText"/>
        <w:rPr>
          <w:lang w:val="en-US"/>
        </w:rPr>
      </w:pPr>
      <w:r w:rsidRPr="00584647">
        <w:rPr>
          <w:rStyle w:val="FootnoteReference"/>
        </w:rPr>
        <w:footnoteRef/>
      </w:r>
      <w:r w:rsidRPr="00584647">
        <w:t xml:space="preserve"> Draft decision on OECM. </w:t>
      </w:r>
      <w:r w:rsidRPr="00584647">
        <w:rPr>
          <w:color w:val="000000"/>
        </w:rPr>
        <w:t>CBD/SBSTTA/22L.2 6 July 2018</w:t>
      </w:r>
    </w:p>
  </w:footnote>
  <w:footnote w:id="72">
    <w:p w14:paraId="4C6A3F68" w14:textId="7685BE2A" w:rsidR="00002536" w:rsidRPr="00584647" w:rsidRDefault="00002536" w:rsidP="00F478FB">
      <w:pPr>
        <w:spacing w:before="120" w:after="120"/>
        <w:rPr>
          <w:rFonts w:ascii="Times New Roman" w:hAnsi="Times New Roman"/>
          <w:sz w:val="16"/>
          <w:szCs w:val="16"/>
        </w:rPr>
      </w:pPr>
      <w:r w:rsidRPr="00584647">
        <w:rPr>
          <w:rStyle w:val="FootnoteReference"/>
          <w:rFonts w:ascii="Times New Roman" w:hAnsi="Times New Roman"/>
          <w:sz w:val="16"/>
          <w:szCs w:val="16"/>
        </w:rPr>
        <w:footnoteRef/>
      </w:r>
      <w:r w:rsidRPr="00584647">
        <w:rPr>
          <w:rFonts w:ascii="Times New Roman" w:hAnsi="Times New Roman"/>
          <w:sz w:val="16"/>
          <w:szCs w:val="16"/>
        </w:rPr>
        <w:t xml:space="preserve"> IUCN-WCPA (2018). </w:t>
      </w:r>
      <w:r w:rsidRPr="00584647">
        <w:rPr>
          <w:rFonts w:ascii="Times New Roman" w:hAnsi="Times New Roman"/>
          <w:i/>
          <w:sz w:val="16"/>
          <w:szCs w:val="16"/>
        </w:rPr>
        <w:t>(Draft) Guidelines for Recognizing and Reporting Other Effective Area-based Conservation Measures: First Version</w:t>
      </w:r>
      <w:r w:rsidRPr="00584647">
        <w:rPr>
          <w:rFonts w:ascii="Times New Roman" w:hAnsi="Times New Roman"/>
          <w:sz w:val="16"/>
          <w:szCs w:val="16"/>
        </w:rPr>
        <w:t>. Gland, Switzerland: IUCN.</w:t>
      </w:r>
    </w:p>
  </w:footnote>
  <w:footnote w:id="73">
    <w:p w14:paraId="606CBB1D" w14:textId="77777777" w:rsidR="006F6CD6" w:rsidRPr="000639BA" w:rsidRDefault="006F6CD6" w:rsidP="006F6CD6">
      <w:pPr>
        <w:pStyle w:val="FootnoteText"/>
        <w:rPr>
          <w:lang w:val="en-US"/>
        </w:rPr>
      </w:pPr>
      <w:r w:rsidRPr="00584647">
        <w:rPr>
          <w:rStyle w:val="FootnoteReference"/>
        </w:rPr>
        <w:footnoteRef/>
      </w:r>
      <w:r w:rsidRPr="00584647">
        <w:t xml:space="preserve"> </w:t>
      </w:r>
      <w:r w:rsidRPr="00584647">
        <w:rPr>
          <w:i/>
          <w:lang w:val="en-US"/>
        </w:rPr>
        <w:t>Idem</w:t>
      </w:r>
      <w:r w:rsidRPr="00584647">
        <w:rPr>
          <w:lang w:val="en-US"/>
        </w:rPr>
        <w:t>.</w:t>
      </w:r>
    </w:p>
  </w:footnote>
  <w:footnote w:id="74">
    <w:p w14:paraId="7507E61F" w14:textId="77777777" w:rsidR="00002536" w:rsidRPr="00584647" w:rsidRDefault="00002536" w:rsidP="00810C20">
      <w:pPr>
        <w:pStyle w:val="FootnoteText"/>
      </w:pPr>
      <w:r w:rsidRPr="000639BA">
        <w:rPr>
          <w:rStyle w:val="FootnoteReference"/>
        </w:rPr>
        <w:footnoteRef/>
      </w:r>
      <w:r w:rsidRPr="000639BA">
        <w:t xml:space="preserve"> </w:t>
      </w:r>
      <w:proofErr w:type="spellStart"/>
      <w:r w:rsidRPr="00584647">
        <w:t>Ogwal</w:t>
      </w:r>
      <w:proofErr w:type="spellEnd"/>
      <w:r w:rsidRPr="00584647">
        <w:t xml:space="preserve">, S.F. and Schultz, M., 2014. </w:t>
      </w:r>
      <w:r w:rsidRPr="00584647">
        <w:rPr>
          <w:i/>
          <w:iCs/>
        </w:rPr>
        <w:t xml:space="preserve">Co-Chairs´ Summary of Second Dialogue Seminar on Scaling up Finance for Biodiversity, Quito 9-12 April 2014. </w:t>
      </w:r>
      <w:r w:rsidRPr="00584647">
        <w:t>Montreal: Secretariat of the Convention on Biological Diversity. http://www.cbd.int/doc/meetings/fin/ds-fb-02/official/ds-fb-02-report-en.pdf</w:t>
      </w:r>
    </w:p>
  </w:footnote>
  <w:footnote w:id="75">
    <w:p w14:paraId="4B14193D" w14:textId="77777777" w:rsidR="00002536" w:rsidRPr="00584647" w:rsidRDefault="00002536" w:rsidP="00810C20">
      <w:pPr>
        <w:pStyle w:val="FootnoteText"/>
        <w:jc w:val="both"/>
      </w:pPr>
      <w:r w:rsidRPr="00584647">
        <w:rPr>
          <w:rStyle w:val="FootnoteReference"/>
        </w:rPr>
        <w:footnoteRef/>
      </w:r>
      <w:r w:rsidRPr="00584647">
        <w:t xml:space="preserve"> The first year mentioned is when the international treaty was adopted and second when it entered into force. </w:t>
      </w:r>
    </w:p>
  </w:footnote>
  <w:footnote w:id="76">
    <w:p w14:paraId="5D191B3D"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lang w:val="en-US"/>
        </w:rPr>
        <w:t>Amended 1979.</w:t>
      </w:r>
    </w:p>
  </w:footnote>
  <w:footnote w:id="77">
    <w:p w14:paraId="2736EA73" w14:textId="77777777" w:rsidR="00002536" w:rsidRPr="00584647" w:rsidRDefault="00002536" w:rsidP="00810C20">
      <w:pPr>
        <w:pStyle w:val="FootnoteText"/>
        <w:jc w:val="both"/>
      </w:pPr>
      <w:r w:rsidRPr="00584647">
        <w:rPr>
          <w:rStyle w:val="FootnoteReference"/>
        </w:rPr>
        <w:footnoteRef/>
      </w:r>
      <w:r w:rsidRPr="00584647">
        <w:t xml:space="preserve"> Amended 1979.</w:t>
      </w:r>
    </w:p>
  </w:footnote>
  <w:footnote w:id="78">
    <w:p w14:paraId="00CCF7DA" w14:textId="42D8BAEE" w:rsidR="00002536" w:rsidRPr="00584647" w:rsidRDefault="00002536" w:rsidP="00810C20">
      <w:pPr>
        <w:pStyle w:val="FootnoteText"/>
        <w:jc w:val="both"/>
      </w:pPr>
      <w:r w:rsidRPr="00584647">
        <w:rPr>
          <w:rStyle w:val="FootnoteReference"/>
        </w:rPr>
        <w:footnoteRef/>
      </w:r>
      <w:r w:rsidRPr="00584647">
        <w:t xml:space="preserve"> It worth noting that the boundaries both between the adopted guidelines and the type of safeguards is sometimes blurred.</w:t>
      </w:r>
    </w:p>
  </w:footnote>
  <w:footnote w:id="79">
    <w:p w14:paraId="718E5C49" w14:textId="77777777" w:rsidR="00002536" w:rsidRPr="00584647" w:rsidRDefault="00002536" w:rsidP="00810C20">
      <w:pPr>
        <w:pStyle w:val="FootnoteText"/>
      </w:pPr>
      <w:r w:rsidRPr="00584647">
        <w:rPr>
          <w:rStyle w:val="FootnoteReference"/>
        </w:rPr>
        <w:footnoteRef/>
      </w:r>
      <w:r w:rsidRPr="00584647">
        <w:t xml:space="preserve"> E.g. for food security, see Barthel, S., Crumley, C., </w:t>
      </w:r>
      <w:proofErr w:type="spellStart"/>
      <w:r w:rsidRPr="00584647">
        <w:t>Svedin</w:t>
      </w:r>
      <w:proofErr w:type="spellEnd"/>
      <w:r w:rsidRPr="00584647">
        <w:t xml:space="preserve">, U. 2013. Bio-cultural refugia—Safeguarding diversity of practices for food security and biodiversity, </w:t>
      </w:r>
      <w:r w:rsidRPr="00584647">
        <w:rPr>
          <w:i/>
        </w:rPr>
        <w:t xml:space="preserve">Global Environmental Change, </w:t>
      </w:r>
      <w:r w:rsidRPr="00584647">
        <w:t>23(5), 1142–1152</w:t>
      </w:r>
      <w:r w:rsidRPr="00584647">
        <w:rPr>
          <w:i/>
        </w:rPr>
        <w:t>.</w:t>
      </w:r>
    </w:p>
  </w:footnote>
  <w:footnote w:id="80">
    <w:p w14:paraId="7D77572C" w14:textId="77777777" w:rsidR="00002536" w:rsidRPr="00584647" w:rsidRDefault="00002536" w:rsidP="00810C20">
      <w:pPr>
        <w:pStyle w:val="FootnoteText"/>
      </w:pPr>
      <w:r w:rsidRPr="00584647">
        <w:rPr>
          <w:rStyle w:val="FootnoteReference"/>
        </w:rPr>
        <w:footnoteRef/>
      </w:r>
      <w:r w:rsidRPr="00584647">
        <w:t xml:space="preserve"> United Nations General Assembly, 2012, The Future We Want Rio +20, Resolution 66/288, A/RES/66/288 United Nations General Assembly, Sixty-sixth session Agenda item 19, </w:t>
      </w:r>
      <w:hyperlink r:id="rId24" w:history="1">
        <w:r w:rsidRPr="00584647">
          <w:rPr>
            <w:rStyle w:val="Hyperlink"/>
            <w:u w:val="none"/>
          </w:rPr>
          <w:t>http://daccess-dds-ny.un.org/doc/UNDOC/GEN/N11/476/10/PDF/N1147610.pdf</w:t>
        </w:r>
      </w:hyperlink>
      <w:r w:rsidRPr="00584647">
        <w:t xml:space="preserve"> Accessed 21</w:t>
      </w:r>
      <w:r w:rsidRPr="00584647">
        <w:rPr>
          <w:vertAlign w:val="superscript"/>
        </w:rPr>
        <w:t>st</w:t>
      </w:r>
      <w:r w:rsidRPr="00584647">
        <w:t xml:space="preserve"> May 2014. </w:t>
      </w:r>
    </w:p>
  </w:footnote>
  <w:footnote w:id="81">
    <w:p w14:paraId="66584086" w14:textId="77777777" w:rsidR="00002536" w:rsidRPr="00584647" w:rsidRDefault="00002536" w:rsidP="00810C20">
      <w:pPr>
        <w:pStyle w:val="FootnoteText"/>
      </w:pPr>
      <w:r w:rsidRPr="00584647">
        <w:rPr>
          <w:rStyle w:val="FootnoteReference"/>
        </w:rPr>
        <w:footnoteRef/>
      </w:r>
      <w:r w:rsidRPr="00584647">
        <w:t xml:space="preserve"> See e.g. Daw, T., Brown, K., Rosendo, S. and </w:t>
      </w:r>
      <w:proofErr w:type="spellStart"/>
      <w:r w:rsidRPr="00584647">
        <w:t>Pomeroy,R</w:t>
      </w:r>
      <w:proofErr w:type="spellEnd"/>
      <w:r w:rsidRPr="00584647">
        <w:t xml:space="preserve">., 2011. </w:t>
      </w:r>
      <w:r w:rsidRPr="00584647">
        <w:rPr>
          <w:bCs/>
          <w:lang w:bidi="en-US"/>
        </w:rPr>
        <w:t>Applying the ecosystem services concept to poverty alleviation: the need to disaggregate human well-being</w:t>
      </w:r>
      <w:r w:rsidRPr="00584647">
        <w:rPr>
          <w:b/>
          <w:bCs/>
          <w:lang w:bidi="en-US"/>
        </w:rPr>
        <w:t xml:space="preserve">, </w:t>
      </w:r>
      <w:r w:rsidRPr="00584647">
        <w:rPr>
          <w:i/>
          <w:iCs/>
          <w:lang w:bidi="en-US"/>
        </w:rPr>
        <w:t xml:space="preserve">Environmental Conservation </w:t>
      </w:r>
      <w:r w:rsidRPr="00584647">
        <w:rPr>
          <w:bCs/>
          <w:lang w:bidi="en-US"/>
        </w:rPr>
        <w:t>38</w:t>
      </w:r>
      <w:r w:rsidRPr="00584647">
        <w:rPr>
          <w:b/>
          <w:bCs/>
          <w:lang w:bidi="en-US"/>
        </w:rPr>
        <w:t xml:space="preserve"> </w:t>
      </w:r>
      <w:r w:rsidRPr="00584647">
        <w:rPr>
          <w:lang w:bidi="en-US"/>
        </w:rPr>
        <w:t xml:space="preserve">(4), 370–379. </w:t>
      </w:r>
      <w:r w:rsidRPr="00584647">
        <w:rPr>
          <w:spacing w:val="-1"/>
        </w:rPr>
        <w:t xml:space="preserve">For more information on for example on gender dimensions, see </w:t>
      </w:r>
      <w:proofErr w:type="spellStart"/>
      <w:r w:rsidRPr="00584647">
        <w:rPr>
          <w:spacing w:val="-1"/>
          <w:lang w:val="en"/>
        </w:rPr>
        <w:t>Momsen</w:t>
      </w:r>
      <w:proofErr w:type="spellEnd"/>
      <w:r w:rsidRPr="00584647">
        <w:rPr>
          <w:spacing w:val="-1"/>
          <w:lang w:val="en"/>
        </w:rPr>
        <w:t xml:space="preserve">, J. H. (2007), Gender and Biodiversity: A New Approach to Linking Environment and Development. Geography Compass, 1: 149–162. </w:t>
      </w:r>
      <w:proofErr w:type="spellStart"/>
      <w:r w:rsidRPr="00584647">
        <w:rPr>
          <w:spacing w:val="-1"/>
          <w:lang w:val="en"/>
        </w:rPr>
        <w:t>doi</w:t>
      </w:r>
      <w:proofErr w:type="spellEnd"/>
      <w:r w:rsidRPr="00584647">
        <w:rPr>
          <w:spacing w:val="-1"/>
          <w:lang w:val="en"/>
        </w:rPr>
        <w:t>: 10.1111/j.1749-8198.2007.</w:t>
      </w:r>
      <w:proofErr w:type="gramStart"/>
      <w:r w:rsidRPr="00584647">
        <w:rPr>
          <w:spacing w:val="-1"/>
          <w:lang w:val="en"/>
        </w:rPr>
        <w:t>00011.x.</w:t>
      </w:r>
      <w:proofErr w:type="gramEnd"/>
    </w:p>
  </w:footnote>
  <w:footnote w:id="82">
    <w:p w14:paraId="62B0332A" w14:textId="77777777" w:rsidR="00002536" w:rsidRPr="00584647" w:rsidRDefault="00002536" w:rsidP="00810C20">
      <w:pPr>
        <w:spacing w:after="60" w:line="240" w:lineRule="auto"/>
        <w:jc w:val="both"/>
        <w:rPr>
          <w:rFonts w:ascii="Times New Roman" w:hAnsi="Times New Roman"/>
          <w:noProof/>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w:t>
      </w:r>
      <w:r w:rsidRPr="000639BA">
        <w:rPr>
          <w:rFonts w:ascii="Times New Roman" w:hAnsi="Times New Roman"/>
          <w:noProof/>
          <w:sz w:val="16"/>
          <w:szCs w:val="16"/>
        </w:rPr>
        <w:t>Folke C., Carpenter S.R., Walker B., Scheffer M., Chapin T., Rockström J. 2010</w:t>
      </w:r>
      <w:r w:rsidRPr="00584647">
        <w:rPr>
          <w:rFonts w:ascii="Times New Roman" w:hAnsi="Times New Roman"/>
          <w:noProof/>
          <w:sz w:val="16"/>
          <w:szCs w:val="16"/>
        </w:rPr>
        <w:t xml:space="preserve">. Resilience thinking: integrating resilience, adaptability and transformability. </w:t>
      </w:r>
      <w:r w:rsidRPr="00584647">
        <w:rPr>
          <w:rFonts w:ascii="Times New Roman" w:hAnsi="Times New Roman"/>
          <w:i/>
          <w:noProof/>
          <w:sz w:val="16"/>
          <w:szCs w:val="16"/>
        </w:rPr>
        <w:t>Ecology and Society</w:t>
      </w:r>
      <w:r w:rsidRPr="00584647">
        <w:rPr>
          <w:rFonts w:ascii="Times New Roman" w:hAnsi="Times New Roman"/>
          <w:noProof/>
          <w:sz w:val="16"/>
          <w:szCs w:val="16"/>
        </w:rPr>
        <w:t xml:space="preserve"> 15:20.</w:t>
      </w:r>
    </w:p>
  </w:footnote>
  <w:footnote w:id="83">
    <w:p w14:paraId="1CA7ADF9"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noProof/>
        </w:rPr>
        <w:t xml:space="preserve">Folke C. (2006) Resilience: The emergence of a perspective for social–ecological systems analyses. </w:t>
      </w:r>
      <w:r w:rsidRPr="00584647">
        <w:rPr>
          <w:i/>
          <w:noProof/>
        </w:rPr>
        <w:t>Global Environmental Change</w:t>
      </w:r>
      <w:r w:rsidRPr="00584647">
        <w:rPr>
          <w:noProof/>
        </w:rPr>
        <w:t xml:space="preserve"> 16, 253-267.</w:t>
      </w:r>
    </w:p>
  </w:footnote>
  <w:footnote w:id="84">
    <w:p w14:paraId="67C9E985" w14:textId="77777777" w:rsidR="00002536" w:rsidRPr="00584647" w:rsidRDefault="00002536" w:rsidP="00810C20">
      <w:pPr>
        <w:pStyle w:val="FootnoteText"/>
      </w:pPr>
      <w:r w:rsidRPr="00584647">
        <w:rPr>
          <w:rStyle w:val="FootnoteReference"/>
        </w:rPr>
        <w:footnoteRef/>
      </w:r>
      <w:r w:rsidRPr="00584647">
        <w:t xml:space="preserve"> </w:t>
      </w:r>
      <w:proofErr w:type="spellStart"/>
      <w:r w:rsidRPr="00584647">
        <w:t>Mäler</w:t>
      </w:r>
      <w:proofErr w:type="spellEnd"/>
      <w:r w:rsidRPr="00584647">
        <w:t xml:space="preserve">, K.-G., 2008. Sustainable development and resilience in ecosystems. </w:t>
      </w:r>
      <w:r w:rsidRPr="00584647">
        <w:rPr>
          <w:i/>
        </w:rPr>
        <w:t>Environmental and Resource Economics</w:t>
      </w:r>
      <w:r w:rsidRPr="00584647">
        <w:t xml:space="preserve"> 39 (1), 17–24.</w:t>
      </w:r>
    </w:p>
  </w:footnote>
  <w:footnote w:id="85">
    <w:p w14:paraId="481078C5" w14:textId="77777777" w:rsidR="00002536" w:rsidRPr="00584647" w:rsidRDefault="00002536" w:rsidP="00810C20">
      <w:pPr>
        <w:pStyle w:val="FootnoteText"/>
        <w:rPr>
          <w:lang w:val="en-US"/>
        </w:rPr>
      </w:pPr>
      <w:r w:rsidRPr="00584647">
        <w:rPr>
          <w:rStyle w:val="FootnoteReference"/>
        </w:rPr>
        <w:footnoteRef/>
      </w:r>
      <w:r w:rsidRPr="00584647">
        <w:t xml:space="preserve"> Pascual, U, et al. 2010. Chapter 5 "The economics of valuing ecosystem services and biodiversity". In TEEB </w:t>
      </w:r>
      <w:r w:rsidRPr="00584647">
        <w:rPr>
          <w:i/>
        </w:rPr>
        <w:t xml:space="preserve">Ecological and Economic Foundations, </w:t>
      </w:r>
      <w:r w:rsidRPr="00584647">
        <w:t>pp. 183-240: Earthscan.</w:t>
      </w:r>
    </w:p>
  </w:footnote>
  <w:footnote w:id="86">
    <w:p w14:paraId="3AF5F529" w14:textId="77777777" w:rsidR="00002536" w:rsidRPr="00584647" w:rsidRDefault="00002536" w:rsidP="00810C20">
      <w:pPr>
        <w:pStyle w:val="FootnoteText"/>
      </w:pPr>
      <w:r w:rsidRPr="00584647">
        <w:rPr>
          <w:rStyle w:val="FootnoteReference"/>
        </w:rPr>
        <w:footnoteRef/>
      </w:r>
      <w:r w:rsidRPr="00584647">
        <w:t xml:space="preserve"> </w:t>
      </w:r>
      <w:proofErr w:type="spellStart"/>
      <w:r w:rsidRPr="00584647">
        <w:t>Baumgärtner</w:t>
      </w:r>
      <w:proofErr w:type="spellEnd"/>
      <w:r w:rsidRPr="00584647">
        <w:t xml:space="preserve">, S. and Sebastian S. 2014. The economic insurance value of ecosystem resilience. </w:t>
      </w:r>
      <w:r w:rsidRPr="00584647">
        <w:rPr>
          <w:i/>
        </w:rPr>
        <w:t>Ecological Economics</w:t>
      </w:r>
      <w:r w:rsidRPr="00584647">
        <w:t xml:space="preserve"> 101:21-32.</w:t>
      </w:r>
    </w:p>
  </w:footnote>
  <w:footnote w:id="87">
    <w:p w14:paraId="08CAE656" w14:textId="77777777" w:rsidR="00002536" w:rsidRPr="00584647" w:rsidRDefault="00002536" w:rsidP="00810C20">
      <w:pPr>
        <w:pStyle w:val="FootnoteText"/>
      </w:pPr>
      <w:r w:rsidRPr="00584647">
        <w:rPr>
          <w:rStyle w:val="FootnoteReference"/>
        </w:rPr>
        <w:footnoteRef/>
      </w:r>
      <w:r w:rsidRPr="00584647">
        <w:t xml:space="preserve"> TEEB (2010). Chapter 2 Key message, </w:t>
      </w:r>
      <w:hyperlink r:id="rId25" w:history="1">
        <w:r w:rsidRPr="00584647">
          <w:rPr>
            <w:rStyle w:val="Hyperlink"/>
            <w:u w:val="none"/>
          </w:rPr>
          <w:t>http://www.teebweb.org/wp-content/uploads/2013/04/D0-Chapter-2-Biodiversity-ecosystems-and-ecosystem-services.pdf</w:t>
        </w:r>
      </w:hyperlink>
      <w:r w:rsidRPr="00584647">
        <w:t xml:space="preserve">. </w:t>
      </w:r>
    </w:p>
  </w:footnote>
  <w:footnote w:id="88">
    <w:p w14:paraId="6AF32CCF" w14:textId="77777777" w:rsidR="00002536" w:rsidRPr="00584647" w:rsidRDefault="00002536" w:rsidP="00810C20">
      <w:pPr>
        <w:pStyle w:val="FootnoteText"/>
        <w:rPr>
          <w:lang w:val="es-ES"/>
        </w:rPr>
      </w:pPr>
      <w:r w:rsidRPr="00584647">
        <w:rPr>
          <w:rStyle w:val="FootnoteReference"/>
        </w:rPr>
        <w:footnoteRef/>
      </w:r>
      <w:r w:rsidRPr="00584647">
        <w:rPr>
          <w:lang w:val="es-ES"/>
        </w:rPr>
        <w:t xml:space="preserve"> Pacheco, D. 2003. </w:t>
      </w:r>
      <w:r w:rsidRPr="00584647">
        <w:rPr>
          <w:i/>
          <w:lang w:val="es-ES"/>
        </w:rPr>
        <w:t>Vivir Bien en Armonía y Equilibrio con la Madre Tierra: una propuesta para el cambio de las relaciones globales entre los seres humanos y la naturaleza</w:t>
      </w:r>
      <w:r w:rsidRPr="00584647">
        <w:rPr>
          <w:lang w:val="es-ES"/>
        </w:rPr>
        <w:t>, Fundación de la Cordillera La Paz.</w:t>
      </w:r>
    </w:p>
  </w:footnote>
  <w:footnote w:id="89">
    <w:p w14:paraId="0E0AEA8D" w14:textId="77777777" w:rsidR="00002536" w:rsidRPr="00584647" w:rsidRDefault="00002536" w:rsidP="00810C20">
      <w:pPr>
        <w:pStyle w:val="FootnoteText"/>
        <w:rPr>
          <w:lang w:val="es-ES"/>
        </w:rPr>
      </w:pPr>
      <w:r w:rsidRPr="00584647">
        <w:rPr>
          <w:rStyle w:val="FootnoteReference"/>
        </w:rPr>
        <w:footnoteRef/>
      </w:r>
      <w:r w:rsidRPr="00584647">
        <w:rPr>
          <w:lang w:val="es-ES"/>
        </w:rPr>
        <w:t xml:space="preserve"> </w:t>
      </w:r>
      <w:r w:rsidRPr="00584647">
        <w:rPr>
          <w:szCs w:val="24"/>
          <w:lang w:val="es-ES"/>
        </w:rPr>
        <w:t>http://www.tebtebba.org/index.php/content/271-developing-and-implementing-cbmis-the-global-workshop-and-the-philippine-workshop-reports.</w:t>
      </w:r>
      <w:r w:rsidRPr="00584647">
        <w:rPr>
          <w:rFonts w:ascii="Calibri"/>
          <w:szCs w:val="24"/>
          <w:lang w:val="es-ES"/>
        </w:rPr>
        <w:t xml:space="preserve"> </w:t>
      </w:r>
    </w:p>
  </w:footnote>
  <w:footnote w:id="90">
    <w:p w14:paraId="53D4E5AF" w14:textId="77777777" w:rsidR="00002536" w:rsidRPr="00584647" w:rsidRDefault="00002536" w:rsidP="00810C20">
      <w:pPr>
        <w:pStyle w:val="FootnoteText"/>
        <w:jc w:val="both"/>
      </w:pPr>
      <w:r w:rsidRPr="00584647">
        <w:rPr>
          <w:rStyle w:val="FootnoteReference"/>
        </w:rPr>
        <w:footnoteRef/>
      </w:r>
      <w:r w:rsidRPr="00584647">
        <w:t xml:space="preserve"> TEEB (2010) Chapter 4 Key message, </w:t>
      </w:r>
      <w:hyperlink r:id="rId26" w:history="1">
        <w:r w:rsidRPr="00584647">
          <w:rPr>
            <w:rStyle w:val="Hyperlink"/>
            <w:u w:val="none"/>
          </w:rPr>
          <w:t>http://www.teebweb.org/wp-content/uploads/2013/04/D0-Chapter-4-Socio-cultural-context-of-ecosystem-and-biodiversity-valuation.pdf</w:t>
        </w:r>
      </w:hyperlink>
      <w:r w:rsidRPr="00584647">
        <w:t xml:space="preserve"> .</w:t>
      </w:r>
    </w:p>
  </w:footnote>
  <w:footnote w:id="91">
    <w:p w14:paraId="297C48D6" w14:textId="77777777" w:rsidR="00002536" w:rsidRPr="00584647" w:rsidRDefault="00002536" w:rsidP="00810C20">
      <w:pPr>
        <w:pStyle w:val="FootnoteText"/>
        <w:jc w:val="both"/>
      </w:pPr>
      <w:r w:rsidRPr="00584647">
        <w:rPr>
          <w:rStyle w:val="FootnoteReference"/>
        </w:rPr>
        <w:footnoteRef/>
      </w:r>
      <w:r w:rsidRPr="00584647">
        <w:t xml:space="preserve"> TEEB (2010) Policy Summary, page 8 http://www.unep.org/pdf/TEEB_D1_Summary.pdf and TEEB Synthesis Report, page 26 </w:t>
      </w:r>
      <w:hyperlink r:id="rId27" w:history="1">
        <w:r w:rsidRPr="00584647">
          <w:rPr>
            <w:rStyle w:val="Hyperlink"/>
            <w:u w:val="none"/>
          </w:rPr>
          <w:t>http://www.teebweb.org/wp-content/uploads/Study%20and%20Reports/Reports/Synthesis%20report/TEEB%20Synthesis%20Report%202010.pdf</w:t>
        </w:r>
      </w:hyperlink>
      <w:r w:rsidRPr="00584647">
        <w:t xml:space="preserve">.  </w:t>
      </w:r>
    </w:p>
  </w:footnote>
  <w:footnote w:id="92">
    <w:p w14:paraId="2E38EDA7" w14:textId="2C11896F" w:rsidR="00002536" w:rsidRPr="00584647" w:rsidRDefault="00002536" w:rsidP="00810C20">
      <w:pPr>
        <w:spacing w:after="60" w:line="240" w:lineRule="auto"/>
        <w:jc w:val="both"/>
        <w:rPr>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For example, regarding rights, “(t)he European Union indicated that in the same way that innovative financial mechanisms should have positive impacts on biodiversity conservation and sustainab</w:t>
      </w:r>
      <w:r w:rsidRPr="00584647">
        <w:rPr>
          <w:rFonts w:ascii="Times New Roman" w:hAnsi="Times New Roman"/>
          <w:sz w:val="16"/>
          <w:szCs w:val="16"/>
        </w:rPr>
        <w:t xml:space="preserve">le use, safeguards should be in place to ensure that the generation of resources does not cause adverse social impacts. An important aspect is the tenure and user rights of local peoples…”. Page 3, Synthesis on Innovative Financial Mechanisms, </w:t>
      </w:r>
      <w:proofErr w:type="gramStart"/>
      <w:r w:rsidRPr="00584647">
        <w:rPr>
          <w:rFonts w:ascii="Times New Roman" w:hAnsi="Times New Roman"/>
          <w:sz w:val="16"/>
          <w:szCs w:val="16"/>
        </w:rPr>
        <w:t>Note</w:t>
      </w:r>
      <w:proofErr w:type="gramEnd"/>
      <w:r w:rsidRPr="00584647">
        <w:rPr>
          <w:rFonts w:ascii="Times New Roman" w:hAnsi="Times New Roman"/>
          <w:sz w:val="16"/>
          <w:szCs w:val="16"/>
        </w:rPr>
        <w:t xml:space="preserve"> by the Executive Secretary, UNEP/CBD/COP/11/14/Add.3, 28 August 2012. </w:t>
      </w:r>
    </w:p>
  </w:footnote>
  <w:footnote w:id="93">
    <w:p w14:paraId="5901DDA2" w14:textId="77777777" w:rsidR="00002536" w:rsidRPr="00584647" w:rsidRDefault="00002536" w:rsidP="00810C20">
      <w:pPr>
        <w:pStyle w:val="FootnoteText"/>
        <w:jc w:val="both"/>
      </w:pPr>
      <w:r w:rsidRPr="00584647">
        <w:rPr>
          <w:rStyle w:val="FootnoteReference"/>
        </w:rPr>
        <w:footnoteRef/>
      </w:r>
      <w:r w:rsidRPr="00584647">
        <w:t xml:space="preserve"> It worth noting though that to be considered a “party”, the person (individual or moral), needs to prove a “legal interest” and hence many stakeholders which cannot prove such legal interest may be excluded if we use strict definition of “legal party”. </w:t>
      </w:r>
    </w:p>
  </w:footnote>
  <w:footnote w:id="94">
    <w:p w14:paraId="37A07202" w14:textId="77777777" w:rsidR="00002536" w:rsidRPr="00584647" w:rsidRDefault="00002536" w:rsidP="00810C20">
      <w:pPr>
        <w:pStyle w:val="FootnoteText"/>
        <w:jc w:val="both"/>
      </w:pPr>
      <w:r w:rsidRPr="00584647">
        <w:rPr>
          <w:rStyle w:val="FootnoteReference"/>
        </w:rPr>
        <w:footnoteRef/>
      </w:r>
      <w:r w:rsidRPr="00584647">
        <w:t xml:space="preserve"> Lessons Learned for REDD+ from PES and Conservation Incentive Programs, examples from Costa Rica, Mexico and Ecuador </w:t>
      </w:r>
      <w:hyperlink r:id="rId28" w:tgtFrame="_blank" w:tooltip="This external link will open in a new window" w:history="1">
        <w:r w:rsidRPr="00584647">
          <w:rPr>
            <w:rStyle w:val="Hyperlink"/>
          </w:rPr>
          <w:t>www.forestcarbonpartnership.org/fcp/sites/forestcarbonpartnership.org/files/Documents/PDF/June2012/redd%2B_book_english_final.pdf</w:t>
        </w:r>
      </w:hyperlink>
      <w:r w:rsidRPr="00584647">
        <w:t>, accessed 5 August 2012.</w:t>
      </w:r>
    </w:p>
  </w:footnote>
  <w:footnote w:id="95">
    <w:p w14:paraId="21428E9F" w14:textId="77777777" w:rsidR="00002536" w:rsidRPr="00584647" w:rsidRDefault="00002536" w:rsidP="00810C20">
      <w:pPr>
        <w:pStyle w:val="FootnoteText"/>
        <w:spacing w:after="0"/>
        <w:jc w:val="both"/>
      </w:pPr>
      <w:r w:rsidRPr="00584647">
        <w:rPr>
          <w:rStyle w:val="FootnoteReference"/>
        </w:rPr>
        <w:footnoteRef/>
      </w:r>
      <w:r w:rsidRPr="00584647">
        <w:t xml:space="preserve"> For further discussion on the negotiation of biocultural rights and duties at different scales, see Ituarte-Lima, C., 2011, ‘Negotiating Intellectual Property Rights in the Upper Amazon’ PhD Thesis, University College London, London. </w:t>
      </w:r>
    </w:p>
  </w:footnote>
  <w:footnote w:id="96">
    <w:p w14:paraId="11661FB7" w14:textId="77777777" w:rsidR="00002536" w:rsidRPr="00584647" w:rsidRDefault="00002536" w:rsidP="00810C20">
      <w:pPr>
        <w:pStyle w:val="FootnoteText"/>
        <w:jc w:val="both"/>
      </w:pPr>
      <w:r w:rsidRPr="00584647">
        <w:rPr>
          <w:rStyle w:val="FootnoteReference"/>
        </w:rPr>
        <w:footnoteRef/>
      </w:r>
      <w:r w:rsidRPr="00584647">
        <w:t xml:space="preserve"> See various definitions and dimensions of equity in McDermott, M., </w:t>
      </w:r>
      <w:proofErr w:type="spellStart"/>
      <w:r w:rsidRPr="00584647">
        <w:t>Mahanty</w:t>
      </w:r>
      <w:proofErr w:type="spellEnd"/>
      <w:r w:rsidRPr="00584647">
        <w:t xml:space="preserve">, S. and </w:t>
      </w:r>
      <w:proofErr w:type="spellStart"/>
      <w:r w:rsidRPr="00584647">
        <w:t>Schreckenberg</w:t>
      </w:r>
      <w:proofErr w:type="spellEnd"/>
      <w:r w:rsidRPr="00584647">
        <w:t xml:space="preserve">, K., 2013. Examining equity: A framework for evaluating equity in payments for ecosystem services. </w:t>
      </w:r>
      <w:r w:rsidRPr="00584647">
        <w:rPr>
          <w:i/>
        </w:rPr>
        <w:t>Environmental Science and Policy</w:t>
      </w:r>
      <w:r w:rsidRPr="00584647">
        <w:t xml:space="preserve"> 33, pp.416-427.</w:t>
      </w:r>
    </w:p>
  </w:footnote>
  <w:footnote w:id="97">
    <w:p w14:paraId="15DB5A91" w14:textId="77777777" w:rsidR="00002536" w:rsidRPr="00584647" w:rsidRDefault="00002536" w:rsidP="00810C20">
      <w:pPr>
        <w:pStyle w:val="FootnoteText"/>
        <w:jc w:val="both"/>
        <w:rPr>
          <w:color w:val="0000FF"/>
        </w:rPr>
      </w:pPr>
      <w:r w:rsidRPr="00584647">
        <w:rPr>
          <w:rStyle w:val="FootnoteReference"/>
        </w:rPr>
        <w:footnoteRef/>
      </w:r>
      <w:r w:rsidRPr="00584647">
        <w:t xml:space="preserve"> Convention on Biological Diversity (CBD) 1992, accessed 2 July 2012, </w:t>
      </w:r>
      <w:r w:rsidRPr="00584647">
        <w:rPr>
          <w:color w:val="0000FF"/>
        </w:rPr>
        <w:t>www.biodiv.org/doc/legal/cbd-en.pdf.</w:t>
      </w:r>
    </w:p>
  </w:footnote>
  <w:footnote w:id="98">
    <w:p w14:paraId="1B2E312A" w14:textId="77777777" w:rsidR="00002536" w:rsidRPr="00584647" w:rsidRDefault="00002536" w:rsidP="00810C20">
      <w:pPr>
        <w:pStyle w:val="FootnoteText"/>
      </w:pPr>
      <w:r w:rsidRPr="00584647">
        <w:rPr>
          <w:rStyle w:val="FootnoteReference"/>
        </w:rPr>
        <w:footnoteRef/>
      </w:r>
      <w:r w:rsidRPr="00584647">
        <w:t xml:space="preserve"> For legal developments and associated challenges to operationalize the equitable principle at the international and national level, see e.g. Ituarte-Lima, C and Subramanian, S., 2013.Retreading negotiations on equity in environmental governance: case studies contrasting the evolution of ABS and REDD+’ in </w:t>
      </w:r>
      <w:proofErr w:type="spellStart"/>
      <w:r w:rsidRPr="00584647">
        <w:t>Maes</w:t>
      </w:r>
      <w:proofErr w:type="spellEnd"/>
      <w:r w:rsidRPr="00584647">
        <w:t xml:space="preserve">, F., </w:t>
      </w:r>
      <w:proofErr w:type="spellStart"/>
      <w:r w:rsidRPr="00584647">
        <w:t>Cliquet</w:t>
      </w:r>
      <w:proofErr w:type="spellEnd"/>
      <w:r w:rsidRPr="00584647">
        <w:t>, A., du Plessis, W., McLeod-</w:t>
      </w:r>
      <w:proofErr w:type="spellStart"/>
      <w:r w:rsidRPr="00584647">
        <w:t>Kilmurray</w:t>
      </w:r>
      <w:proofErr w:type="spellEnd"/>
      <w:r w:rsidRPr="00584647">
        <w:t>, H. (</w:t>
      </w:r>
      <w:proofErr w:type="spellStart"/>
      <w:r w:rsidRPr="00584647">
        <w:t>eds</w:t>
      </w:r>
      <w:proofErr w:type="spellEnd"/>
      <w:r w:rsidRPr="00584647">
        <w:t xml:space="preserve">), </w:t>
      </w:r>
      <w:r w:rsidRPr="00584647">
        <w:rPr>
          <w:i/>
          <w:iCs/>
        </w:rPr>
        <w:t>Climate Change and Biodiversity</w:t>
      </w:r>
      <w:r w:rsidRPr="00584647">
        <w:t xml:space="preserve">: </w:t>
      </w:r>
      <w:r w:rsidRPr="00584647">
        <w:rPr>
          <w:i/>
          <w:iCs/>
        </w:rPr>
        <w:t>Linkages at International, National and Local Levels</w:t>
      </w:r>
      <w:r w:rsidRPr="00584647">
        <w:t>, IUCN Academy of Environmental Law Series, Edward Elgar Publishing, Surrey and Northampton, United Kingdom; and Ituarte-Lima, C., et al., Assessing equity in national legal frameworks for REDD+: The case of Indonesia. Environ. Sci. Policy (2014), http://dx.doi.org/10.1016/j.envsci.2014.04.003.</w:t>
      </w:r>
    </w:p>
  </w:footnote>
  <w:footnote w:id="99">
    <w:p w14:paraId="5620CC7B" w14:textId="77777777" w:rsidR="00002536" w:rsidRPr="00584647" w:rsidRDefault="00002536" w:rsidP="00810C20">
      <w:pPr>
        <w:pStyle w:val="FootnoteText"/>
      </w:pPr>
      <w:r w:rsidRPr="00584647">
        <w:rPr>
          <w:rStyle w:val="FootnoteReference"/>
        </w:rPr>
        <w:footnoteRef/>
      </w:r>
      <w:r w:rsidRPr="00584647">
        <w:t xml:space="preserve"> For further discussion on the allocation of property rights and duties associated with biodiversity, see Ituarte-Lima, C. and Subramanian, S., 2011, </w:t>
      </w:r>
      <w:r w:rsidRPr="00584647">
        <w:rPr>
          <w:i/>
        </w:rPr>
        <w:t>Environment-related property laws: a means to achieve equity or inequity?</w:t>
      </w:r>
      <w:r w:rsidRPr="00584647">
        <w:t xml:space="preserve"> United Nations University Institute of Advanced Studies (UNU-IAS) Working Paper Series, Yokohama, Japan. </w:t>
      </w:r>
      <w:hyperlink r:id="rId29" w:history="1">
        <w:r w:rsidRPr="00584647">
          <w:rPr>
            <w:rStyle w:val="Hyperlink"/>
            <w:u w:val="none"/>
          </w:rPr>
          <w:t>https://community.iucn.org/rba1/Documents/ItuarteLimaSubramanian2011.pdf?Mobile=1&amp;Source=%2Frba1%2F_layouts%2Fmobile%2Fview.aspx%3FList%3D4dfcbb6c-8249-4f61-baa9-2e84199ea8b5%26View%3D0d9a923a-0dd4-4499-b428-626683fb8fba%26CurrentPage%3D1</w:t>
        </w:r>
      </w:hyperlink>
      <w:r w:rsidRPr="00584647">
        <w:t xml:space="preserve">  and Ituarte-Lima, C., 2009, Categories of Intellectual Property and Biodiversity in Western Inspired Legal Cultures, in: </w:t>
      </w:r>
      <w:r w:rsidRPr="00584647">
        <w:rPr>
          <w:i/>
        </w:rPr>
        <w:t>Law and Anthropology–Current Legal Issues,</w:t>
      </w:r>
      <w:r w:rsidRPr="00584647">
        <w:t xml:space="preserve"> </w:t>
      </w:r>
      <w:proofErr w:type="spellStart"/>
      <w:r w:rsidRPr="00584647">
        <w:t>vol</w:t>
      </w:r>
      <w:proofErr w:type="spellEnd"/>
      <w:r w:rsidRPr="00584647">
        <w:t xml:space="preserve"> 12, </w:t>
      </w:r>
      <w:proofErr w:type="spellStart"/>
      <w:r w:rsidRPr="00584647">
        <w:t>eds</w:t>
      </w:r>
      <w:proofErr w:type="spellEnd"/>
      <w:r w:rsidRPr="00584647">
        <w:t xml:space="preserve"> M Freeman and D Napier, Oxford University Press, Oxford, pp 313-350.</w:t>
      </w:r>
    </w:p>
  </w:footnote>
  <w:footnote w:id="100">
    <w:p w14:paraId="16154B18" w14:textId="64EB6AE7" w:rsidR="00002536" w:rsidRPr="00584647" w:rsidRDefault="00002536">
      <w:pPr>
        <w:pStyle w:val="FootnoteText"/>
      </w:pPr>
      <w:r w:rsidRPr="00584647">
        <w:rPr>
          <w:rStyle w:val="FootnoteReference"/>
        </w:rPr>
        <w:footnoteRef/>
      </w:r>
      <w:r w:rsidRPr="00584647">
        <w:t xml:space="preserve"> In the participatory process involved in this</w:t>
      </w:r>
      <w:r w:rsidRPr="00584647">
        <w:rPr>
          <w:lang w:val="en-US"/>
        </w:rPr>
        <w:t xml:space="preserve"> report</w:t>
      </w:r>
      <w:r w:rsidRPr="00584647">
        <w:t>, some people referred to “free prior informed consent” (FPIC) and others to “prior informed consent” (PIC).</w:t>
      </w:r>
    </w:p>
  </w:footnote>
  <w:footnote w:id="101">
    <w:p w14:paraId="43517BAD" w14:textId="77777777" w:rsidR="00002536" w:rsidRPr="00584647" w:rsidRDefault="00002536" w:rsidP="00810C20">
      <w:pPr>
        <w:pStyle w:val="FootnoteText"/>
        <w:jc w:val="both"/>
      </w:pPr>
      <w:r w:rsidRPr="00584647">
        <w:rPr>
          <w:rStyle w:val="FootnoteReference"/>
        </w:rPr>
        <w:footnoteRef/>
      </w:r>
      <w:r w:rsidRPr="00584647">
        <w:t xml:space="preserve"> Alexander, M., </w:t>
      </w:r>
      <w:proofErr w:type="spellStart"/>
      <w:r w:rsidRPr="00584647">
        <w:t>Chamundeeswari</w:t>
      </w:r>
      <w:proofErr w:type="spellEnd"/>
      <w:r w:rsidRPr="00584647">
        <w:t xml:space="preserve">, K., Kambu, A., Ruiz, M., and Tobin, B., 2004, </w:t>
      </w:r>
      <w:r w:rsidRPr="00584647">
        <w:rPr>
          <w:i/>
          <w:iCs/>
        </w:rPr>
        <w:t xml:space="preserve">The role of registers and databases in the protection of traditional knowledge: A comparative analysis, </w:t>
      </w:r>
      <w:r w:rsidRPr="00584647">
        <w:t xml:space="preserve">United Nations University Institute of Advanced Studies, Yokohama, Japan </w:t>
      </w:r>
      <w:hyperlink r:id="rId30" w:history="1">
        <w:r w:rsidRPr="00584647">
          <w:rPr>
            <w:rStyle w:val="Hyperlink"/>
            <w:u w:val="none"/>
          </w:rPr>
          <w:t>http://archive.ias.unu.edu/binaries/UNUIAS_TKRegistersReport.pdf</w:t>
        </w:r>
      </w:hyperlink>
      <w:r w:rsidRPr="00584647">
        <w:t xml:space="preserve"> Accessed 22nd May 2014.</w:t>
      </w:r>
    </w:p>
  </w:footnote>
  <w:footnote w:id="102">
    <w:p w14:paraId="28027264" w14:textId="77777777" w:rsidR="00002536" w:rsidRPr="00584647" w:rsidRDefault="00002536" w:rsidP="00810C20">
      <w:pPr>
        <w:pStyle w:val="FootnoteText"/>
        <w:jc w:val="both"/>
        <w:rPr>
          <w:lang w:val="es-MX"/>
        </w:rPr>
      </w:pPr>
      <w:r w:rsidRPr="00584647">
        <w:rPr>
          <w:rStyle w:val="FootnoteReference"/>
        </w:rPr>
        <w:footnoteRef/>
      </w:r>
      <w:r w:rsidRPr="00584647">
        <w:rPr>
          <w:lang w:val="es-MX"/>
        </w:rPr>
        <w:t xml:space="preserve"> Ley 27811, Ley que establece el régimen de protección de los conocimientos colectivos de los </w:t>
      </w:r>
      <w:proofErr w:type="spellStart"/>
      <w:r w:rsidRPr="00584647">
        <w:rPr>
          <w:lang w:val="es-MX"/>
        </w:rPr>
        <w:t>pueblosindígenas</w:t>
      </w:r>
      <w:proofErr w:type="spellEnd"/>
      <w:r w:rsidRPr="00584647">
        <w:rPr>
          <w:lang w:val="es-MX"/>
        </w:rPr>
        <w:t xml:space="preserve"> vinculados a los recursos naturales /</w:t>
      </w:r>
      <w:proofErr w:type="spellStart"/>
      <w:r w:rsidRPr="00584647">
        <w:rPr>
          <w:lang w:val="es-MX"/>
        </w:rPr>
        <w:t>Law</w:t>
      </w:r>
      <w:proofErr w:type="spellEnd"/>
      <w:r w:rsidRPr="00584647">
        <w:rPr>
          <w:lang w:val="es-MX"/>
        </w:rPr>
        <w:t xml:space="preserve"> 27811, </w:t>
      </w:r>
      <w:proofErr w:type="spellStart"/>
      <w:r w:rsidRPr="00584647">
        <w:rPr>
          <w:lang w:val="es-MX"/>
        </w:rPr>
        <w:t>Law</w:t>
      </w:r>
      <w:proofErr w:type="spellEnd"/>
      <w:r w:rsidRPr="00584647">
        <w:rPr>
          <w:lang w:val="es-MX"/>
        </w:rPr>
        <w:t xml:space="preserve"> </w:t>
      </w:r>
      <w:proofErr w:type="spellStart"/>
      <w:r w:rsidRPr="00584647">
        <w:rPr>
          <w:lang w:val="es-MX"/>
        </w:rPr>
        <w:t>introducing</w:t>
      </w:r>
      <w:proofErr w:type="spellEnd"/>
      <w:r w:rsidRPr="00584647">
        <w:rPr>
          <w:lang w:val="es-MX"/>
        </w:rPr>
        <w:t xml:space="preserve"> a </w:t>
      </w:r>
      <w:proofErr w:type="spellStart"/>
      <w:r w:rsidRPr="00584647">
        <w:rPr>
          <w:lang w:val="es-MX"/>
        </w:rPr>
        <w:t>protection</w:t>
      </w:r>
      <w:proofErr w:type="spellEnd"/>
      <w:r w:rsidRPr="00584647">
        <w:rPr>
          <w:lang w:val="es-MX"/>
        </w:rPr>
        <w:t xml:space="preserve"> </w:t>
      </w:r>
      <w:proofErr w:type="spellStart"/>
      <w:r w:rsidRPr="00584647">
        <w:rPr>
          <w:lang w:val="es-MX"/>
        </w:rPr>
        <w:t>regime</w:t>
      </w:r>
      <w:proofErr w:type="spellEnd"/>
      <w:r w:rsidRPr="00584647">
        <w:rPr>
          <w:lang w:val="es-MX"/>
        </w:rPr>
        <w:t xml:space="preserve"> </w:t>
      </w:r>
      <w:proofErr w:type="spellStart"/>
      <w:r w:rsidRPr="00584647">
        <w:rPr>
          <w:lang w:val="es-MX"/>
        </w:rPr>
        <w:t>for</w:t>
      </w:r>
      <w:proofErr w:type="spellEnd"/>
      <w:r w:rsidRPr="00584647">
        <w:rPr>
          <w:lang w:val="es-MX"/>
        </w:rPr>
        <w:t xml:space="preserve"> </w:t>
      </w:r>
      <w:proofErr w:type="spellStart"/>
      <w:r w:rsidRPr="00584647">
        <w:rPr>
          <w:lang w:val="es-MX"/>
        </w:rPr>
        <w:t>indigenous</w:t>
      </w:r>
      <w:proofErr w:type="spellEnd"/>
      <w:r w:rsidRPr="00584647">
        <w:rPr>
          <w:lang w:val="es-MX"/>
        </w:rPr>
        <w:t xml:space="preserve"> </w:t>
      </w:r>
      <w:proofErr w:type="spellStart"/>
      <w:r w:rsidRPr="00584647">
        <w:rPr>
          <w:lang w:val="es-MX"/>
        </w:rPr>
        <w:t>peoples</w:t>
      </w:r>
      <w:proofErr w:type="spellEnd"/>
      <w:r w:rsidRPr="00584647">
        <w:rPr>
          <w:lang w:val="es-MX"/>
        </w:rPr>
        <w:t xml:space="preserve">’ </w:t>
      </w:r>
      <w:proofErr w:type="spellStart"/>
      <w:r w:rsidRPr="00584647">
        <w:rPr>
          <w:lang w:val="es-MX"/>
        </w:rPr>
        <w:t>collective</w:t>
      </w:r>
      <w:proofErr w:type="spellEnd"/>
      <w:r w:rsidRPr="00584647">
        <w:rPr>
          <w:lang w:val="es-MX"/>
        </w:rPr>
        <w:t xml:space="preserve"> </w:t>
      </w:r>
      <w:proofErr w:type="spellStart"/>
      <w:r w:rsidRPr="00584647">
        <w:rPr>
          <w:lang w:val="es-MX"/>
        </w:rPr>
        <w:t>knowledge</w:t>
      </w:r>
      <w:proofErr w:type="spellEnd"/>
      <w:r w:rsidRPr="00584647">
        <w:rPr>
          <w:lang w:val="es-MX"/>
        </w:rPr>
        <w:t xml:space="preserve"> </w:t>
      </w:r>
      <w:proofErr w:type="spellStart"/>
      <w:r w:rsidRPr="00584647">
        <w:rPr>
          <w:lang w:val="es-MX"/>
        </w:rPr>
        <w:t>associated</w:t>
      </w:r>
      <w:proofErr w:type="spellEnd"/>
      <w:r w:rsidRPr="00584647">
        <w:rPr>
          <w:lang w:val="es-MX"/>
        </w:rPr>
        <w:t xml:space="preserve"> </w:t>
      </w:r>
      <w:proofErr w:type="spellStart"/>
      <w:r w:rsidRPr="00584647">
        <w:rPr>
          <w:lang w:val="es-MX"/>
        </w:rPr>
        <w:t>with</w:t>
      </w:r>
      <w:proofErr w:type="spellEnd"/>
      <w:r w:rsidRPr="00584647">
        <w:rPr>
          <w:lang w:val="es-MX"/>
        </w:rPr>
        <w:t xml:space="preserve"> </w:t>
      </w:r>
      <w:proofErr w:type="spellStart"/>
      <w:r w:rsidRPr="00584647">
        <w:rPr>
          <w:lang w:val="es-MX"/>
        </w:rPr>
        <w:t>biological</w:t>
      </w:r>
      <w:proofErr w:type="spellEnd"/>
      <w:r w:rsidRPr="00584647">
        <w:rPr>
          <w:lang w:val="es-MX"/>
        </w:rPr>
        <w:t xml:space="preserve"> </w:t>
      </w:r>
      <w:proofErr w:type="spellStart"/>
      <w:r w:rsidRPr="00584647">
        <w:rPr>
          <w:lang w:val="es-MX"/>
        </w:rPr>
        <w:t>resources</w:t>
      </w:r>
      <w:proofErr w:type="spellEnd"/>
      <w:r w:rsidRPr="00584647">
        <w:rPr>
          <w:lang w:val="es-MX"/>
        </w:rPr>
        <w:t xml:space="preserve"> (2002), </w:t>
      </w:r>
      <w:r w:rsidRPr="00584647">
        <w:rPr>
          <w:bCs/>
          <w:lang w:val="es-ES"/>
        </w:rPr>
        <w:t xml:space="preserve">https://www.cbd.int/abs/measures/measure.shtml?id=7920 </w:t>
      </w:r>
      <w:proofErr w:type="spellStart"/>
      <w:r w:rsidRPr="00584647">
        <w:rPr>
          <w:bCs/>
          <w:lang w:val="es-ES"/>
        </w:rPr>
        <w:t>Accessed</w:t>
      </w:r>
      <w:proofErr w:type="spellEnd"/>
      <w:r w:rsidRPr="00584647">
        <w:rPr>
          <w:bCs/>
          <w:lang w:val="es-ES"/>
        </w:rPr>
        <w:t xml:space="preserve"> 22nd May 2014.</w:t>
      </w:r>
    </w:p>
  </w:footnote>
  <w:footnote w:id="103">
    <w:p w14:paraId="00EB384E" w14:textId="77777777" w:rsidR="00002536" w:rsidRPr="00584647" w:rsidRDefault="00002536" w:rsidP="00810C20">
      <w:pPr>
        <w:pStyle w:val="FootnoteText"/>
        <w:jc w:val="both"/>
      </w:pPr>
      <w:r w:rsidRPr="00584647">
        <w:rPr>
          <w:rStyle w:val="FootnoteReference"/>
        </w:rPr>
        <w:footnoteRef/>
      </w:r>
      <w:r w:rsidRPr="00584647">
        <w:t xml:space="preserve"> See </w:t>
      </w:r>
      <w:r w:rsidRPr="00584647">
        <w:rPr>
          <w:lang w:val="en-US"/>
        </w:rPr>
        <w:t xml:space="preserve">Ituarte-Lima, C and Subramanian, S (2013) ‘Retreading negotiations on equity in environmental governance: case studies contrasting the evolution of ABS and REDD+’ in </w:t>
      </w:r>
      <w:proofErr w:type="spellStart"/>
      <w:r w:rsidRPr="00584647">
        <w:rPr>
          <w:lang w:val="en-US"/>
        </w:rPr>
        <w:t>Maes</w:t>
      </w:r>
      <w:proofErr w:type="spellEnd"/>
      <w:r w:rsidRPr="00584647">
        <w:rPr>
          <w:lang w:val="en-US"/>
        </w:rPr>
        <w:t xml:space="preserve">, F., </w:t>
      </w:r>
      <w:proofErr w:type="spellStart"/>
      <w:r w:rsidRPr="00584647">
        <w:rPr>
          <w:lang w:val="en-US"/>
        </w:rPr>
        <w:t>Cliquet</w:t>
      </w:r>
      <w:proofErr w:type="spellEnd"/>
      <w:r w:rsidRPr="00584647">
        <w:rPr>
          <w:lang w:val="en-US"/>
        </w:rPr>
        <w:t>, A., du Plessis, W., McLeod-</w:t>
      </w:r>
      <w:proofErr w:type="spellStart"/>
      <w:r w:rsidRPr="00584647">
        <w:rPr>
          <w:lang w:val="en-US"/>
        </w:rPr>
        <w:t>Kilmurray</w:t>
      </w:r>
      <w:proofErr w:type="spellEnd"/>
      <w:r w:rsidRPr="00584647">
        <w:rPr>
          <w:lang w:val="en-US"/>
        </w:rPr>
        <w:t>, H. (</w:t>
      </w:r>
      <w:proofErr w:type="spellStart"/>
      <w:r w:rsidRPr="00584647">
        <w:rPr>
          <w:lang w:val="en-US"/>
        </w:rPr>
        <w:t>eds</w:t>
      </w:r>
      <w:proofErr w:type="spellEnd"/>
      <w:r w:rsidRPr="00584647">
        <w:rPr>
          <w:lang w:val="en-US"/>
        </w:rPr>
        <w:t xml:space="preserve">), </w:t>
      </w:r>
      <w:r w:rsidRPr="00584647">
        <w:rPr>
          <w:i/>
          <w:iCs/>
          <w:lang w:val="en-US"/>
        </w:rPr>
        <w:t>Climate Change and Biodiversity</w:t>
      </w:r>
      <w:r w:rsidRPr="00584647">
        <w:rPr>
          <w:lang w:val="en-US"/>
        </w:rPr>
        <w:t xml:space="preserve">: </w:t>
      </w:r>
      <w:r w:rsidRPr="00584647">
        <w:rPr>
          <w:i/>
          <w:iCs/>
          <w:lang w:val="en-US"/>
        </w:rPr>
        <w:t>Linkages at International, National and Local Levels</w:t>
      </w:r>
      <w:r w:rsidRPr="00584647">
        <w:rPr>
          <w:lang w:val="en-US"/>
        </w:rPr>
        <w:t>, IUCN Academy of Environmental Law Series, Edward Elgar Publishing, Surrey and Northampton.</w:t>
      </w:r>
    </w:p>
  </w:footnote>
  <w:footnote w:id="104">
    <w:p w14:paraId="391D3F1E" w14:textId="28E5053C" w:rsidR="00002536" w:rsidRPr="00584647" w:rsidRDefault="00002536" w:rsidP="00835FEC">
      <w:pPr>
        <w:spacing w:after="60" w:line="240" w:lineRule="auto"/>
        <w:jc w:val="both"/>
        <w:rPr>
          <w:rFonts w:ascii="Times New Roman" w:hAnsi="Times New Roman"/>
          <w:sz w:val="16"/>
          <w:szCs w:val="16"/>
          <w:lang w:val="en-US"/>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Commonwealth of Australia 2000, </w:t>
      </w:r>
      <w:r w:rsidRPr="00584647">
        <w:rPr>
          <w:rFonts w:ascii="Times New Roman" w:hAnsi="Times New Roman"/>
          <w:i/>
          <w:iCs/>
          <w:sz w:val="16"/>
          <w:szCs w:val="16"/>
        </w:rPr>
        <w:t xml:space="preserve">Commonwealth Public Inquiry into Access to Biological Resources in Commonwealth Areas </w:t>
      </w:r>
      <w:r w:rsidRPr="00584647">
        <w:rPr>
          <w:rFonts w:ascii="Times New Roman" w:hAnsi="Times New Roman"/>
          <w:sz w:val="16"/>
          <w:szCs w:val="16"/>
        </w:rPr>
        <w:t xml:space="preserve">(John </w:t>
      </w:r>
      <w:proofErr w:type="spellStart"/>
      <w:r w:rsidRPr="00584647">
        <w:rPr>
          <w:rFonts w:ascii="Times New Roman" w:hAnsi="Times New Roman"/>
          <w:sz w:val="16"/>
          <w:szCs w:val="16"/>
        </w:rPr>
        <w:t>Voumard</w:t>
      </w:r>
      <w:proofErr w:type="spellEnd"/>
      <w:r w:rsidRPr="00584647">
        <w:rPr>
          <w:rFonts w:ascii="Times New Roman" w:hAnsi="Times New Roman"/>
          <w:sz w:val="16"/>
          <w:szCs w:val="16"/>
        </w:rPr>
        <w:t xml:space="preserve"> Inquiry Chair), viewed 10 July 2012, </w:t>
      </w:r>
      <w:hyperlink r:id="rId31" w:history="1">
        <w:r w:rsidRPr="00584647">
          <w:rPr>
            <w:rStyle w:val="Hyperlink"/>
            <w:rFonts w:ascii="Times New Roman" w:hAnsi="Times New Roman"/>
            <w:sz w:val="16"/>
            <w:szCs w:val="16"/>
            <w:u w:val="none"/>
          </w:rPr>
          <w:t>http://www.environment.gov.au/system/files/resources/d0f84da6-eb69-4053-8d96-ec294da649bc/files/abrca.pdf</w:t>
        </w:r>
      </w:hyperlink>
      <w:r w:rsidRPr="000639BA">
        <w:rPr>
          <w:rFonts w:ascii="Times New Roman" w:hAnsi="Times New Roman"/>
          <w:sz w:val="16"/>
          <w:szCs w:val="16"/>
        </w:rPr>
        <w:t xml:space="preserve"> and Legislative Assembly of th</w:t>
      </w:r>
      <w:r w:rsidRPr="00584647">
        <w:rPr>
          <w:rFonts w:ascii="Times New Roman" w:hAnsi="Times New Roman"/>
          <w:sz w:val="16"/>
          <w:szCs w:val="16"/>
        </w:rPr>
        <w:t xml:space="preserve">e Northern Territory in Australia 2006, </w:t>
      </w:r>
      <w:r w:rsidRPr="00584647">
        <w:rPr>
          <w:rFonts w:ascii="Times New Roman" w:hAnsi="Times New Roman"/>
          <w:i/>
          <w:iCs/>
          <w:sz w:val="16"/>
          <w:szCs w:val="16"/>
        </w:rPr>
        <w:t>Biological Resources Bill 2006 Serial No. 69, Explanatory Statement</w:t>
      </w:r>
      <w:r w:rsidRPr="00584647">
        <w:rPr>
          <w:rFonts w:ascii="Times New Roman" w:hAnsi="Times New Roman"/>
          <w:sz w:val="16"/>
          <w:szCs w:val="16"/>
        </w:rPr>
        <w:t>, viewed 23 May 2010,</w:t>
      </w:r>
      <w:r w:rsidRPr="00584647">
        <w:rPr>
          <w:rFonts w:ascii="Times New Roman" w:hAnsi="Times New Roman"/>
          <w:sz w:val="16"/>
          <w:szCs w:val="16"/>
          <w:lang w:val="en-US"/>
        </w:rPr>
        <w:t xml:space="preserve"> </w:t>
      </w:r>
      <w:hyperlink r:id="rId32" w:history="1">
        <w:r w:rsidRPr="00584647">
          <w:rPr>
            <w:rStyle w:val="Hyperlink"/>
            <w:rFonts w:ascii="Times New Roman" w:hAnsi="Times New Roman"/>
            <w:sz w:val="16"/>
            <w:szCs w:val="16"/>
            <w:u w:val="none"/>
            <w:lang w:val="en-US"/>
          </w:rPr>
          <w:t>www.austlii.edu.au/au/legis/nt/bill_es/brb2006220/es.html</w:t>
        </w:r>
      </w:hyperlink>
      <w:r w:rsidRPr="000639BA">
        <w:rPr>
          <w:rFonts w:ascii="Times New Roman" w:hAnsi="Times New Roman"/>
          <w:sz w:val="16"/>
          <w:szCs w:val="16"/>
          <w:lang w:val="en-US"/>
        </w:rPr>
        <w:t>.</w:t>
      </w:r>
    </w:p>
  </w:footnote>
  <w:footnote w:id="105">
    <w:p w14:paraId="320B3A9D" w14:textId="77777777" w:rsidR="00002536" w:rsidRPr="00584647" w:rsidRDefault="00002536" w:rsidP="00810C20">
      <w:pPr>
        <w:pStyle w:val="FootnoteText"/>
        <w:jc w:val="both"/>
      </w:pPr>
      <w:r w:rsidRPr="00584647">
        <w:rPr>
          <w:rStyle w:val="FootnoteReference"/>
        </w:rPr>
        <w:footnoteRef/>
      </w:r>
      <w:r w:rsidRPr="00584647">
        <w:t xml:space="preserve"> e.g. Interview 17 July 2012.</w:t>
      </w:r>
    </w:p>
  </w:footnote>
  <w:footnote w:id="106">
    <w:p w14:paraId="73D47545" w14:textId="77777777" w:rsidR="00002536" w:rsidRPr="00584647" w:rsidRDefault="00002536" w:rsidP="00810C20">
      <w:pPr>
        <w:pStyle w:val="FootnoteText"/>
      </w:pPr>
      <w:r w:rsidRPr="00584647">
        <w:rPr>
          <w:rStyle w:val="FootnoteReference"/>
        </w:rPr>
        <w:footnoteRef/>
      </w:r>
      <w:r w:rsidRPr="00584647">
        <w:t xml:space="preserve"> Switzerland submission, </w:t>
      </w:r>
      <w:r w:rsidRPr="00584647">
        <w:rPr>
          <w:lang w:val="en-US"/>
        </w:rPr>
        <w:t xml:space="preserve">Third Meeting of the Global Partnership For Business And Biodiversity took place in Montreal (Canada) the 2-3 of October 2013, </w:t>
      </w:r>
      <w:r w:rsidRPr="00584647">
        <w:t>“Safeguards and Mechanisms” Panel (</w:t>
      </w:r>
      <w:r w:rsidRPr="00584647">
        <w:rPr>
          <w:lang w:val="en-US"/>
        </w:rPr>
        <w:t>the Safeguards paper was presented by the lead author such panel); Trondheim.</w:t>
      </w:r>
    </w:p>
  </w:footnote>
  <w:footnote w:id="107">
    <w:p w14:paraId="38A3C8E9" w14:textId="77777777" w:rsidR="00002536" w:rsidRPr="00584647" w:rsidRDefault="00002536" w:rsidP="00810C20">
      <w:pPr>
        <w:pStyle w:val="FootnoteText"/>
      </w:pPr>
      <w:r w:rsidRPr="00584647">
        <w:rPr>
          <w:rStyle w:val="FootnoteReference"/>
        </w:rPr>
        <w:footnoteRef/>
      </w:r>
      <w:r w:rsidRPr="00584647">
        <w:t xml:space="preserve"> The need for linking and addressing the trade-offs of substantive and procedural safeguards was an aspect also highlighted in the SRC-Law Faculty, Stockholm University </w:t>
      </w:r>
      <w:r w:rsidRPr="00584647">
        <w:rPr>
          <w:lang w:bidi="en-US"/>
        </w:rPr>
        <w:t xml:space="preserve">Dialogue. </w:t>
      </w:r>
    </w:p>
  </w:footnote>
  <w:footnote w:id="108">
    <w:p w14:paraId="2B424035" w14:textId="77777777" w:rsidR="00002536" w:rsidRPr="00584647" w:rsidRDefault="00002536" w:rsidP="00810C20">
      <w:pPr>
        <w:spacing w:before="100" w:beforeAutospacing="1" w:after="100" w:afterAutospacing="1" w:line="240" w:lineRule="auto"/>
        <w:jc w:val="both"/>
      </w:pPr>
      <w:r w:rsidRPr="000639BA">
        <w:rPr>
          <w:rStyle w:val="FootnoteReference"/>
          <w:rFonts w:ascii="Times New Roman" w:hAnsi="Times New Roman"/>
          <w:sz w:val="16"/>
          <w:szCs w:val="16"/>
          <w:lang w:eastAsia="sv-SE" w:bidi="ar-SA"/>
        </w:rPr>
        <w:footnoteRef/>
      </w:r>
      <w:r w:rsidRPr="000639BA">
        <w:rPr>
          <w:lang w:val="es-ES"/>
        </w:rPr>
        <w:t xml:space="preserve"> </w:t>
      </w:r>
      <w:r w:rsidRPr="00584647">
        <w:rPr>
          <w:rFonts w:ascii="Times New Roman" w:hAnsi="Times New Roman"/>
          <w:sz w:val="16"/>
          <w:szCs w:val="16"/>
          <w:lang w:val="es-MX" w:eastAsia="sv-SE" w:bidi="ar-SA"/>
        </w:rPr>
        <w:t xml:space="preserve">Ituarte-Lima, C., McDermott, C.L. &amp; </w:t>
      </w:r>
      <w:proofErr w:type="spellStart"/>
      <w:r w:rsidRPr="00584647">
        <w:rPr>
          <w:rFonts w:ascii="Times New Roman" w:hAnsi="Times New Roman"/>
          <w:sz w:val="16"/>
          <w:szCs w:val="16"/>
          <w:lang w:val="es-MX" w:eastAsia="sv-SE" w:bidi="ar-SA"/>
        </w:rPr>
        <w:t>Mulyani</w:t>
      </w:r>
      <w:proofErr w:type="spellEnd"/>
      <w:r w:rsidRPr="00584647">
        <w:rPr>
          <w:rFonts w:ascii="Times New Roman" w:hAnsi="Times New Roman"/>
          <w:sz w:val="16"/>
          <w:szCs w:val="16"/>
          <w:lang w:val="es-MX" w:eastAsia="sv-SE" w:bidi="ar-SA"/>
        </w:rPr>
        <w:t xml:space="preserve">, M., 2014. </w:t>
      </w:r>
      <w:r w:rsidRPr="00584647">
        <w:rPr>
          <w:rFonts w:ascii="Times New Roman" w:hAnsi="Times New Roman"/>
          <w:sz w:val="16"/>
          <w:szCs w:val="16"/>
          <w:lang w:eastAsia="sv-SE" w:bidi="ar-SA"/>
        </w:rPr>
        <w:t>Assessing equity in national legal frameworks for REDD+: The case of Indonesia. Environmental Science &amp; Policy. Available at: http://www.sciencedirect.com/science/article/pii/S1462901114000677 Accessed 2nd June 2014</w:t>
      </w:r>
    </w:p>
  </w:footnote>
  <w:footnote w:id="109">
    <w:p w14:paraId="27A5F750"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szCs w:val="22"/>
          <w:lang w:val="en-US" w:bidi="en-US"/>
        </w:rPr>
        <w:t xml:space="preserve">Lessons Learned for REDD+ from PES and Conservation Incentive Programs, examples from Costa Rica, Mexico and Ecuador </w:t>
      </w:r>
      <w:hyperlink r:id="rId33" w:tgtFrame="_blank" w:tooltip="This external link will open in a new window" w:history="1">
        <w:r w:rsidRPr="00584647">
          <w:rPr>
            <w:szCs w:val="22"/>
            <w:lang w:val="en-US"/>
          </w:rPr>
          <w:t>http://www.forestcarbonpartnership.org/fcp/sites/forestcarbonpartnership.org/files/Documents/PDF/June2012/redd%2B_book_english_final.pdf</w:t>
        </w:r>
      </w:hyperlink>
      <w:r w:rsidRPr="00584647">
        <w:rPr>
          <w:szCs w:val="22"/>
          <w:lang w:val="en-US" w:bidi="en-US"/>
        </w:rPr>
        <w:t>, accessed 5 August 2012.</w:t>
      </w:r>
    </w:p>
  </w:footnote>
  <w:footnote w:id="110">
    <w:p w14:paraId="250D8B89" w14:textId="77777777" w:rsidR="00002536" w:rsidRPr="00584647" w:rsidRDefault="00002536" w:rsidP="00632DBC">
      <w:pPr>
        <w:pStyle w:val="CorpsA"/>
        <w:spacing w:after="60"/>
        <w:jc w:val="both"/>
        <w:rPr>
          <w:lang w:val="en-US"/>
        </w:rPr>
      </w:pPr>
      <w:r w:rsidRPr="00584647">
        <w:rPr>
          <w:rStyle w:val="FootnoteReference"/>
          <w:rFonts w:ascii="Times New Roman" w:hAnsi="Times New Roman"/>
          <w:color w:val="auto"/>
          <w:sz w:val="16"/>
          <w:szCs w:val="16"/>
          <w:bdr w:val="none" w:sz="0" w:space="0" w:color="auto"/>
          <w:lang w:val="en-GB"/>
        </w:rPr>
        <w:footnoteRef/>
      </w:r>
      <w:r w:rsidRPr="00584647">
        <w:rPr>
          <w:rStyle w:val="FootnoteReference"/>
          <w:lang w:val="en-GB"/>
        </w:rPr>
        <w:t xml:space="preserve"> </w:t>
      </w:r>
      <w:r w:rsidRPr="00584647">
        <w:rPr>
          <w:rFonts w:ascii="Times New Roman" w:eastAsia="Times New Roman" w:hAnsi="Times New Roman" w:cs="Times New Roman"/>
          <w:color w:val="auto"/>
          <w:sz w:val="16"/>
          <w:bdr w:val="none" w:sz="0" w:space="0" w:color="auto"/>
          <w:lang w:val="en-US"/>
        </w:rPr>
        <w:t xml:space="preserve">Seventh Trondheim Conference </w:t>
      </w:r>
      <w:proofErr w:type="gramStart"/>
      <w:r w:rsidRPr="00584647">
        <w:rPr>
          <w:rFonts w:ascii="Times New Roman" w:eastAsia="Times New Roman" w:hAnsi="Times New Roman" w:cs="Times New Roman"/>
          <w:color w:val="auto"/>
          <w:sz w:val="16"/>
          <w:bdr w:val="none" w:sz="0" w:space="0" w:color="auto"/>
          <w:lang w:val="en-US"/>
        </w:rPr>
        <w:t>On</w:t>
      </w:r>
      <w:proofErr w:type="gramEnd"/>
      <w:r w:rsidRPr="00584647">
        <w:rPr>
          <w:rFonts w:ascii="Times New Roman" w:eastAsia="Times New Roman" w:hAnsi="Times New Roman" w:cs="Times New Roman"/>
          <w:color w:val="auto"/>
          <w:sz w:val="16"/>
          <w:bdr w:val="none" w:sz="0" w:space="0" w:color="auto"/>
          <w:lang w:val="en-US"/>
        </w:rPr>
        <w:t xml:space="preserve"> Biodiversity: Ecology And Economy For A Sustainable Society (Trondheim, Norway, 27-31 May 2013).</w:t>
      </w:r>
    </w:p>
  </w:footnote>
  <w:footnote w:id="111">
    <w:p w14:paraId="13AEC796" w14:textId="77777777" w:rsidR="00002536" w:rsidRPr="00584647" w:rsidRDefault="00002536" w:rsidP="0014184A">
      <w:pPr>
        <w:pStyle w:val="FootnoteText"/>
        <w:jc w:val="both"/>
      </w:pPr>
      <w:r w:rsidRPr="00584647">
        <w:rPr>
          <w:rStyle w:val="FootnoteReference"/>
        </w:rPr>
        <w:footnoteRef/>
      </w:r>
      <w:r w:rsidRPr="00584647">
        <w:t xml:space="preserve"> The interviewee was</w:t>
      </w:r>
      <w:r w:rsidRPr="00584647">
        <w:rPr>
          <w:lang w:val="en-US"/>
        </w:rPr>
        <w:t xml:space="preserve"> manager for 20 years of a multinational corporation and member of Nature Conservancy. The Third Meeting </w:t>
      </w:r>
      <w:proofErr w:type="gramStart"/>
      <w:r w:rsidRPr="00584647">
        <w:rPr>
          <w:lang w:val="en-US"/>
        </w:rPr>
        <w:t>Of</w:t>
      </w:r>
      <w:proofErr w:type="gramEnd"/>
      <w:r w:rsidRPr="00584647">
        <w:rPr>
          <w:lang w:val="en-US"/>
        </w:rPr>
        <w:t xml:space="preserve"> The Global Partnership For Business And Biodiversity took place in Montreal (Canada) the 2-3 of October 2013.</w:t>
      </w:r>
    </w:p>
  </w:footnote>
  <w:footnote w:id="112">
    <w:p w14:paraId="332B7D8A" w14:textId="77777777" w:rsidR="00002536" w:rsidRPr="00584647" w:rsidRDefault="00002536" w:rsidP="0014184A">
      <w:pPr>
        <w:pStyle w:val="FootnoteText"/>
        <w:jc w:val="both"/>
      </w:pPr>
      <w:r w:rsidRPr="00584647">
        <w:rPr>
          <w:rStyle w:val="FootnoteReference"/>
        </w:rPr>
        <w:footnoteRef/>
      </w:r>
      <w:r w:rsidRPr="00584647">
        <w:t xml:space="preserve"> Focus group at Expert W</w:t>
      </w:r>
      <w:r w:rsidRPr="00584647">
        <w:rPr>
          <w:lang w:val="en-US"/>
        </w:rPr>
        <w:t>orkshop on Community-Based Monitoring and Information Systems</w:t>
      </w:r>
      <w:r w:rsidRPr="00584647">
        <w:rPr>
          <w:lang w:bidi="en-US"/>
        </w:rPr>
        <w:t xml:space="preserve">, The Bohn workshop celebrated in April 2013. </w:t>
      </w:r>
    </w:p>
  </w:footnote>
  <w:footnote w:id="113">
    <w:p w14:paraId="267BEBE1" w14:textId="77777777" w:rsidR="00002536" w:rsidRPr="00584647" w:rsidRDefault="00002536" w:rsidP="0014184A">
      <w:pPr>
        <w:pStyle w:val="FootnoteText"/>
        <w:jc w:val="both"/>
      </w:pPr>
      <w:r w:rsidRPr="00584647">
        <w:rPr>
          <w:rStyle w:val="FootnoteReference"/>
        </w:rPr>
        <w:footnoteRef/>
      </w:r>
      <w:r w:rsidRPr="00584647">
        <w:t xml:space="preserve"> </w:t>
      </w:r>
      <w:r w:rsidRPr="00584647">
        <w:rPr>
          <w:lang w:val="en-US"/>
        </w:rPr>
        <w:t xml:space="preserve">See Forest Peoples Program (2011), Lessons from the field: REDD+ and the rights of indigenous peoples and forest dependent communities, Rights, forests and climate briefing series – November 2011 and </w:t>
      </w:r>
      <w:r w:rsidRPr="00584647">
        <w:rPr>
          <w:szCs w:val="22"/>
          <w:lang w:val="en-US"/>
        </w:rPr>
        <w:t>Farhan-Ferrari (2012), ‘</w:t>
      </w:r>
      <w:r w:rsidRPr="00584647">
        <w:rPr>
          <w:lang w:val="en-US"/>
        </w:rPr>
        <w:t xml:space="preserve">Indigenous resource management systems: A holistic approach to nature and livelihoods”, </w:t>
      </w:r>
      <w:hyperlink r:id="rId34" w:history="1">
        <w:r w:rsidRPr="00584647">
          <w:rPr>
            <w:lang w:val="en-US"/>
          </w:rPr>
          <w:t>http://blog.ecoagriculture.org/2012/03/14/forest_peoples_programme/</w:t>
        </w:r>
      </w:hyperlink>
      <w:r w:rsidRPr="00584647">
        <w:rPr>
          <w:lang w:val="en-US"/>
        </w:rPr>
        <w:t>, accessed 7 August 2012.</w:t>
      </w:r>
    </w:p>
  </w:footnote>
  <w:footnote w:id="114">
    <w:p w14:paraId="7B14DAEB" w14:textId="77777777" w:rsidR="00002536" w:rsidRPr="00584647" w:rsidRDefault="00002536" w:rsidP="00810C20">
      <w:pPr>
        <w:pStyle w:val="FootnoteText"/>
        <w:rPr>
          <w:lang w:val="en-US"/>
        </w:rPr>
      </w:pPr>
      <w:r w:rsidRPr="00584647">
        <w:rPr>
          <w:rStyle w:val="FootnoteReference"/>
        </w:rPr>
        <w:footnoteRef/>
      </w:r>
      <w:r w:rsidRPr="00584647">
        <w:t xml:space="preserve"> </w:t>
      </w:r>
      <w:r w:rsidRPr="00584647">
        <w:rPr>
          <w:lang w:val="en-US"/>
        </w:rPr>
        <w:t>Perú Submission on the discussion paper “Safeguards for scaling-up biodiversity financing and possible guiding principles”.</w:t>
      </w:r>
    </w:p>
  </w:footnote>
  <w:footnote w:id="115">
    <w:p w14:paraId="6A1F74CF" w14:textId="77777777" w:rsidR="00002536" w:rsidRPr="00584647" w:rsidRDefault="00002536" w:rsidP="00810C20">
      <w:pPr>
        <w:pStyle w:val="FootnoteText"/>
      </w:pPr>
      <w:r w:rsidRPr="00584647">
        <w:rPr>
          <w:rStyle w:val="FootnoteReference"/>
        </w:rPr>
        <w:footnoteRef/>
      </w:r>
      <w:r w:rsidRPr="00584647">
        <w:t xml:space="preserve"> Interview, Expert Workshop on </w:t>
      </w:r>
      <w:r w:rsidRPr="00584647">
        <w:rPr>
          <w:lang w:val="en-US"/>
        </w:rPr>
        <w:t xml:space="preserve">Community-Based Monitoring and Information Systems, </w:t>
      </w:r>
      <w:r w:rsidRPr="00584647">
        <w:rPr>
          <w:lang w:bidi="en-US"/>
        </w:rPr>
        <w:t>April 2013.</w:t>
      </w:r>
    </w:p>
  </w:footnote>
  <w:footnote w:id="116">
    <w:p w14:paraId="53D12AC0" w14:textId="77777777" w:rsidR="00002536" w:rsidRPr="00584647" w:rsidRDefault="00002536" w:rsidP="00810C20">
      <w:pPr>
        <w:pStyle w:val="FootnoteText"/>
      </w:pPr>
      <w:r w:rsidRPr="00584647">
        <w:rPr>
          <w:rStyle w:val="FootnoteReference"/>
        </w:rPr>
        <w:footnoteRef/>
      </w:r>
      <w:r w:rsidRPr="00584647">
        <w:rPr>
          <w:b/>
          <w:sz w:val="18"/>
          <w:szCs w:val="24"/>
        </w:rPr>
        <w:t xml:space="preserve"> </w:t>
      </w:r>
      <w:r w:rsidRPr="00584647">
        <w:rPr>
          <w:szCs w:val="18"/>
        </w:rPr>
        <w:t>Dialogue SRC-Law Faculty, Stockholm University.</w:t>
      </w:r>
    </w:p>
  </w:footnote>
  <w:footnote w:id="117">
    <w:p w14:paraId="1A61E3C4" w14:textId="77777777" w:rsidR="00002536" w:rsidRPr="00584647" w:rsidRDefault="00002536" w:rsidP="00810C20">
      <w:pPr>
        <w:pStyle w:val="FootnoteText"/>
      </w:pPr>
      <w:r w:rsidRPr="00584647">
        <w:rPr>
          <w:rStyle w:val="FootnoteReference"/>
        </w:rPr>
        <w:footnoteRef/>
      </w:r>
      <w:r w:rsidRPr="00584647">
        <w:t xml:space="preserve"> </w:t>
      </w:r>
      <w:hyperlink r:id="rId35" w:history="1">
        <w:r w:rsidRPr="00584647">
          <w:rPr>
            <w:rStyle w:val="Hyperlink1"/>
            <w:rFonts w:eastAsia="Arial Unicode MS" w:hAnsi="Arial Unicode MS" w:cs="Arial Unicode MS"/>
            <w:u w:val="none"/>
          </w:rPr>
          <w:t>http://static.squarespace.com/static/52026c1ee4b0ee324ff265f3/t/525d7449e4b0924d2f4618a2/1381856329700/Gaborone-Declaration.pdf</w:t>
        </w:r>
      </w:hyperlink>
      <w:r w:rsidRPr="00584647">
        <w:rPr>
          <w:rFonts w:eastAsia="Arial Unicode MS" w:hAnsi="Arial Unicode MS" w:cs="Arial Unicode MS"/>
          <w:sz w:val="18"/>
          <w:szCs w:val="18"/>
          <w:lang w:val="en-US"/>
        </w:rPr>
        <w:t xml:space="preserve"> (last access the 14/05/2014). </w:t>
      </w:r>
    </w:p>
  </w:footnote>
  <w:footnote w:id="118">
    <w:p w14:paraId="386B8BC7" w14:textId="77777777" w:rsidR="00002536" w:rsidRPr="00584647" w:rsidRDefault="00002536" w:rsidP="00810C20">
      <w:pPr>
        <w:pStyle w:val="FootnoteText"/>
      </w:pPr>
      <w:r w:rsidRPr="00584647">
        <w:rPr>
          <w:rStyle w:val="FootnoteReference"/>
        </w:rPr>
        <w:footnoteRef/>
      </w:r>
      <w:r w:rsidRPr="00584647">
        <w:t xml:space="preserve"> See </w:t>
      </w:r>
      <w:hyperlink r:id="rId36" w:history="1">
        <w:r w:rsidRPr="00584647">
          <w:rPr>
            <w:rStyle w:val="Hyperlink"/>
            <w:u w:val="none"/>
          </w:rPr>
          <w:t>http://www.unece.org/env/pp/introduction.html</w:t>
        </w:r>
      </w:hyperlink>
      <w:r w:rsidRPr="00584647">
        <w:t>, last accessed 30 May 2014.</w:t>
      </w:r>
    </w:p>
  </w:footnote>
  <w:footnote w:id="119">
    <w:p w14:paraId="10DE2644"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lang w:val="en-US" w:bidi="en-US"/>
        </w:rPr>
        <w:t>In its meeting in 2012, the UN-REDD Board welcomed this Social and Environmental Principles and Criteria http://www.un-redd.org/Multiple_Benefits_SEPC/tabid/54130/Default.aspx.</w:t>
      </w:r>
    </w:p>
  </w:footnote>
  <w:footnote w:id="120">
    <w:p w14:paraId="356EB16E"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lang w:bidi="en-US"/>
        </w:rPr>
        <w:t xml:space="preserve">See e.g. M Alcalde, CF Ponce, and Y </w:t>
      </w:r>
      <w:proofErr w:type="spellStart"/>
      <w:r w:rsidRPr="00584647">
        <w:rPr>
          <w:lang w:bidi="en-US"/>
        </w:rPr>
        <w:t>Curon</w:t>
      </w:r>
      <w:proofErr w:type="spellEnd"/>
      <w:r w:rsidRPr="00584647">
        <w:rPr>
          <w:lang w:bidi="en-US"/>
        </w:rPr>
        <w:t xml:space="preserve"> is 'Peace Parks in the Cordillera del </w:t>
      </w:r>
      <w:proofErr w:type="spellStart"/>
      <w:r w:rsidRPr="00584647">
        <w:rPr>
          <w:lang w:bidi="en-US"/>
        </w:rPr>
        <w:t>Cóndor</w:t>
      </w:r>
      <w:proofErr w:type="spellEnd"/>
      <w:r w:rsidRPr="00584647">
        <w:rPr>
          <w:lang w:bidi="en-US"/>
        </w:rPr>
        <w:t xml:space="preserve"> Mountain Range and Biodiversity </w:t>
      </w:r>
      <w:proofErr w:type="spellStart"/>
      <w:r w:rsidRPr="00584647">
        <w:rPr>
          <w:lang w:bidi="en-US"/>
        </w:rPr>
        <w:t>ConservationCorridor</w:t>
      </w:r>
      <w:proofErr w:type="spellEnd"/>
      <w:r w:rsidRPr="00584647">
        <w:rPr>
          <w:lang w:bidi="en-US"/>
        </w:rPr>
        <w:t>' (Environmental Change and Security Program, issue 11, 2009.</w:t>
      </w:r>
    </w:p>
  </w:footnote>
  <w:footnote w:id="121">
    <w:p w14:paraId="0ADC4617" w14:textId="77777777" w:rsidR="00002536" w:rsidRPr="00584647" w:rsidRDefault="00002536" w:rsidP="00810C20">
      <w:pPr>
        <w:pStyle w:val="FootnoteText"/>
        <w:jc w:val="both"/>
      </w:pPr>
      <w:r w:rsidRPr="00584647">
        <w:rPr>
          <w:rStyle w:val="FootnoteReference"/>
        </w:rPr>
        <w:footnoteRef/>
      </w:r>
      <w:r w:rsidRPr="00584647">
        <w:t xml:space="preserve"> See e.g. Poncelet, C. (2012) </w:t>
      </w:r>
      <w:r w:rsidRPr="00584647">
        <w:rPr>
          <w:bCs/>
          <w:color w:val="000000"/>
          <w:kern w:val="36"/>
          <w:lang w:eastAsia="en-US"/>
        </w:rPr>
        <w:t xml:space="preserve">Access to Justice in Environmental Matters—Does the European Union Comply with its Obligations? </w:t>
      </w:r>
      <w:r w:rsidRPr="00584647">
        <w:rPr>
          <w:bCs/>
          <w:i/>
          <w:color w:val="000000"/>
          <w:kern w:val="36"/>
          <w:lang w:eastAsia="en-US"/>
        </w:rPr>
        <w:t>Journal of Environmental Law</w:t>
      </w:r>
      <w:r w:rsidRPr="00584647">
        <w:rPr>
          <w:bCs/>
          <w:color w:val="000000"/>
          <w:kern w:val="36"/>
          <w:lang w:eastAsia="en-US"/>
        </w:rPr>
        <w:t xml:space="preserve"> eqs004, doi:10.1093/</w:t>
      </w:r>
      <w:proofErr w:type="spellStart"/>
      <w:r w:rsidRPr="00584647">
        <w:rPr>
          <w:bCs/>
          <w:color w:val="000000"/>
          <w:kern w:val="36"/>
          <w:lang w:eastAsia="en-US"/>
        </w:rPr>
        <w:t>jel</w:t>
      </w:r>
      <w:proofErr w:type="spellEnd"/>
      <w:r w:rsidRPr="00584647">
        <w:rPr>
          <w:bCs/>
          <w:color w:val="000000"/>
          <w:kern w:val="36"/>
          <w:lang w:eastAsia="en-US"/>
        </w:rPr>
        <w:t>/eqs004.</w:t>
      </w:r>
      <w:r w:rsidRPr="00584647">
        <w:rPr>
          <w:i/>
          <w:iCs/>
          <w:color w:val="333300"/>
        </w:rPr>
        <w:t xml:space="preserve"> </w:t>
      </w:r>
    </w:p>
  </w:footnote>
  <w:footnote w:id="122">
    <w:p w14:paraId="3F79848C" w14:textId="77777777" w:rsidR="00002536" w:rsidRPr="00584647" w:rsidRDefault="00002536" w:rsidP="00810C20">
      <w:pPr>
        <w:pStyle w:val="FootnoteText"/>
        <w:jc w:val="both"/>
      </w:pPr>
      <w:r w:rsidRPr="00584647">
        <w:rPr>
          <w:rStyle w:val="FootnoteReference"/>
        </w:rPr>
        <w:footnoteRef/>
      </w:r>
      <w:r w:rsidRPr="00584647">
        <w:t xml:space="preserve"> The Aarhus Convention links environmental rights and human rights and establishes that sustainable, its Article 5 refers to compliance. More information about the Compliance Committee can be found at: </w:t>
      </w:r>
      <w:hyperlink r:id="rId37" w:history="1">
        <w:r w:rsidRPr="00584647">
          <w:rPr>
            <w:rStyle w:val="Hyperlink"/>
            <w:u w:val="none"/>
          </w:rPr>
          <w:t>www.unece.org/env/pp/cc.html</w:t>
        </w:r>
      </w:hyperlink>
      <w:r w:rsidRPr="00584647">
        <w:t xml:space="preserve">. </w:t>
      </w:r>
    </w:p>
  </w:footnote>
  <w:footnote w:id="123">
    <w:p w14:paraId="33DEBE6F" w14:textId="77777777" w:rsidR="00002536" w:rsidRPr="00584647" w:rsidRDefault="00002536" w:rsidP="00810C20">
      <w:pPr>
        <w:pStyle w:val="FootnoteText"/>
        <w:jc w:val="both"/>
        <w:rPr>
          <w:bCs/>
          <w:color w:val="000000"/>
          <w:kern w:val="36"/>
          <w:lang w:eastAsia="en-US"/>
        </w:rPr>
      </w:pPr>
      <w:r w:rsidRPr="00584647">
        <w:rPr>
          <w:rStyle w:val="FootnoteReference"/>
        </w:rPr>
        <w:footnoteRef/>
      </w:r>
      <w:r w:rsidRPr="00584647">
        <w:t xml:space="preserve"> Poncelet, C. (2012) Poncelet, C., 2012. </w:t>
      </w:r>
      <w:r w:rsidRPr="00584647">
        <w:rPr>
          <w:bCs/>
        </w:rPr>
        <w:t>Access to Justice in Environmental Matters—Does the European Union Comply with its Obligations?</w:t>
      </w:r>
      <w:r w:rsidRPr="00584647">
        <w:rPr>
          <w:i/>
          <w:iCs/>
        </w:rPr>
        <w:t xml:space="preserve"> Journal of Environmental Law</w:t>
      </w:r>
      <w:r w:rsidRPr="00584647">
        <w:rPr>
          <w:iCs/>
        </w:rPr>
        <w:t xml:space="preserve">, pp. 1-23. </w:t>
      </w:r>
    </w:p>
  </w:footnote>
  <w:footnote w:id="124">
    <w:p w14:paraId="033C7E6C" w14:textId="77777777" w:rsidR="00002536" w:rsidRPr="00584647" w:rsidRDefault="00002536" w:rsidP="00810C20">
      <w:pPr>
        <w:pStyle w:val="FootnoteText"/>
        <w:jc w:val="both"/>
      </w:pPr>
      <w:r w:rsidRPr="00584647">
        <w:rPr>
          <w:rStyle w:val="FootnoteReference"/>
        </w:rPr>
        <w:footnoteRef/>
      </w:r>
      <w:r w:rsidRPr="00584647">
        <w:t xml:space="preserve"> Richard Klein, Stockholm Environment Institute, interview 9 July 2012 .</w:t>
      </w:r>
    </w:p>
  </w:footnote>
  <w:footnote w:id="125">
    <w:p w14:paraId="42CA9D65" w14:textId="77777777" w:rsidR="00002536" w:rsidRPr="00584647" w:rsidRDefault="00002536" w:rsidP="00810C20">
      <w:pPr>
        <w:pStyle w:val="FootnoteText"/>
        <w:jc w:val="both"/>
      </w:pPr>
      <w:r w:rsidRPr="00584647">
        <w:rPr>
          <w:rStyle w:val="FootnoteReference"/>
        </w:rPr>
        <w:footnoteRef/>
      </w:r>
      <w:r w:rsidRPr="00584647">
        <w:t xml:space="preserve"> CBD 2011, </w:t>
      </w:r>
      <w:r w:rsidRPr="00584647">
        <w:rPr>
          <w:iCs/>
        </w:rPr>
        <w:t xml:space="preserve">IFM report, </w:t>
      </w:r>
      <w:hyperlink r:id="rId38" w:history="1">
        <w:r w:rsidRPr="00584647">
          <w:rPr>
            <w:rStyle w:val="Hyperlink"/>
            <w:iCs/>
            <w:u w:val="none"/>
          </w:rPr>
          <w:t>www.cbd.int/financial/doc/2011-03-budapest-IFM-report-en.pdf</w:t>
        </w:r>
      </w:hyperlink>
      <w:r w:rsidRPr="00584647">
        <w:rPr>
          <w:iCs/>
        </w:rPr>
        <w:t xml:space="preserve">. </w:t>
      </w:r>
    </w:p>
  </w:footnote>
  <w:footnote w:id="126">
    <w:p w14:paraId="72051351" w14:textId="77777777" w:rsidR="00002536" w:rsidRPr="00584647" w:rsidRDefault="00002536" w:rsidP="00810C20">
      <w:pPr>
        <w:pStyle w:val="FootnoteText"/>
      </w:pPr>
      <w:r w:rsidRPr="00584647">
        <w:rPr>
          <w:rStyle w:val="FootnoteReference"/>
        </w:rPr>
        <w:footnoteRef/>
      </w:r>
      <w:r w:rsidRPr="00584647">
        <w:t xml:space="preserve"> </w:t>
      </w:r>
      <w:proofErr w:type="spellStart"/>
      <w:r w:rsidRPr="00584647">
        <w:t>Ogwal</w:t>
      </w:r>
      <w:proofErr w:type="spellEnd"/>
      <w:r w:rsidRPr="00584647">
        <w:t xml:space="preserve">, S.F. and Schultz, M., 2014. </w:t>
      </w:r>
      <w:r w:rsidRPr="00584647">
        <w:rPr>
          <w:i/>
          <w:iCs/>
        </w:rPr>
        <w:t xml:space="preserve">Co-Chairs´ Summary of Second Dialogue Seminar on Scaling up Finance for Biodiversity, Quito 9-12 April 2014. </w:t>
      </w:r>
      <w:r w:rsidRPr="00584647">
        <w:t>Montreal: Secretariat of the Convention on Biological Diversity. http://www.cbd.int/doc/meetings/fin/ds-fb-02/official/ds-fb-02-report-en.pdf</w:t>
      </w:r>
    </w:p>
  </w:footnote>
  <w:footnote w:id="127">
    <w:p w14:paraId="47C30349" w14:textId="77777777" w:rsidR="00002536" w:rsidRPr="00584647" w:rsidRDefault="00002536" w:rsidP="00810C20">
      <w:pPr>
        <w:pStyle w:val="FootnoteText"/>
        <w:jc w:val="both"/>
      </w:pPr>
      <w:r w:rsidRPr="00584647">
        <w:rPr>
          <w:rStyle w:val="FootnoteReference"/>
        </w:rPr>
        <w:footnoteRef/>
      </w:r>
      <w:r w:rsidRPr="00584647">
        <w:t xml:space="preserve"> Anon (2000) International Ombudsman Centre for the Environment and Development is established, </w:t>
      </w:r>
      <w:r w:rsidRPr="00584647">
        <w:rPr>
          <w:i/>
        </w:rPr>
        <w:t>International Journal of Sustainability in Higher Education,</w:t>
      </w:r>
      <w:r w:rsidRPr="00584647">
        <w:t xml:space="preserve"> Vol. 1 Issue 3. </w:t>
      </w:r>
    </w:p>
  </w:footnote>
  <w:footnote w:id="128">
    <w:p w14:paraId="1F61E0E9" w14:textId="77777777" w:rsidR="00002536" w:rsidRPr="00584647" w:rsidRDefault="00002536" w:rsidP="00810C20">
      <w:pPr>
        <w:pStyle w:val="FootnoteText"/>
        <w:jc w:val="both"/>
      </w:pPr>
      <w:r w:rsidRPr="00584647">
        <w:rPr>
          <w:rStyle w:val="FootnoteReference"/>
        </w:rPr>
        <w:footnoteRef/>
      </w:r>
      <w:r w:rsidRPr="00584647">
        <w:t xml:space="preserve"> In 1993, the Inspection Panel was established by identical Resolutions of the Boards of Executive Directors of the International Bank for Reconstruction and Development (IBRD) and the International Development Association (IDA). </w:t>
      </w:r>
      <w:hyperlink r:id="rId39" w:history="1">
        <w:r w:rsidRPr="00584647">
          <w:rPr>
            <w:rStyle w:val="Hyperlink"/>
          </w:rPr>
          <w:t>http://ewebapps.worldbank.org/apps/ip/Pages/Home.aspx</w:t>
        </w:r>
      </w:hyperlink>
      <w:r w:rsidRPr="00584647">
        <w:t xml:space="preserve"> . </w:t>
      </w:r>
    </w:p>
  </w:footnote>
  <w:footnote w:id="129">
    <w:p w14:paraId="08FE18E0" w14:textId="77777777" w:rsidR="00002536" w:rsidRPr="00584647" w:rsidRDefault="00002536" w:rsidP="00810C20">
      <w:pPr>
        <w:pStyle w:val="FootnoteText"/>
        <w:jc w:val="both"/>
      </w:pPr>
      <w:r w:rsidRPr="00584647">
        <w:rPr>
          <w:rStyle w:val="FootnoteReference"/>
        </w:rPr>
        <w:footnoteRef/>
      </w:r>
      <w:r w:rsidRPr="00584647">
        <w:t xml:space="preserve"> Interview, 13 July 2012.</w:t>
      </w:r>
    </w:p>
  </w:footnote>
  <w:footnote w:id="130">
    <w:p w14:paraId="170CEEC4" w14:textId="77777777" w:rsidR="00002536" w:rsidRPr="00584647" w:rsidRDefault="00002536" w:rsidP="00810C20">
      <w:pPr>
        <w:pStyle w:val="FootnoteText"/>
        <w:jc w:val="both"/>
        <w:rPr>
          <w:lang w:eastAsia="en-US" w:bidi="en-US"/>
        </w:rPr>
      </w:pPr>
      <w:r w:rsidRPr="00584647">
        <w:rPr>
          <w:rStyle w:val="FootnoteReference"/>
        </w:rPr>
        <w:footnoteRef/>
      </w:r>
      <w:r w:rsidRPr="00584647">
        <w:t xml:space="preserve"> </w:t>
      </w:r>
      <w:r w:rsidRPr="00584647">
        <w:rPr>
          <w:lang w:eastAsia="en-US" w:bidi="en-US"/>
        </w:rPr>
        <w:t xml:space="preserve">COP 9 Decision IX/11, Review of implementation of Articles 20 and 21, </w:t>
      </w:r>
      <w:hyperlink r:id="rId40" w:history="1">
        <w:r w:rsidRPr="00584647">
          <w:rPr>
            <w:rStyle w:val="Hyperlink"/>
          </w:rPr>
          <w:t>https://www.cbd.int/decision/cop/?id=11654</w:t>
        </w:r>
      </w:hyperlink>
      <w:r w:rsidRPr="00584647">
        <w:t xml:space="preserve"> </w:t>
      </w:r>
      <w:r w:rsidRPr="00584647">
        <w:rPr>
          <w:lang w:eastAsia="en-US" w:bidi="en-US"/>
        </w:rPr>
        <w:t>, accessed 16 September 2012.</w:t>
      </w:r>
    </w:p>
  </w:footnote>
  <w:footnote w:id="131">
    <w:p w14:paraId="6630A12E" w14:textId="77777777" w:rsidR="00002536" w:rsidRPr="00584647" w:rsidRDefault="00002536" w:rsidP="00810C20">
      <w:pPr>
        <w:pStyle w:val="FootnoteText"/>
        <w:jc w:val="both"/>
      </w:pPr>
      <w:r w:rsidRPr="00584647">
        <w:rPr>
          <w:rStyle w:val="FootnoteReference"/>
        </w:rPr>
        <w:footnoteRef/>
      </w:r>
      <w:r w:rsidRPr="00584647">
        <w:t xml:space="preserve"> Sommerville, M.M., Jones, J.P.G. and Milner-Gulland, E.J. 2009, A Revised Conceptual Framework for Environmental Services,  </w:t>
      </w:r>
      <w:r w:rsidRPr="00584647">
        <w:rPr>
          <w:i/>
        </w:rPr>
        <w:t xml:space="preserve">Ecology and Society </w:t>
      </w:r>
      <w:r w:rsidRPr="00584647">
        <w:t>14(2): 34</w:t>
      </w:r>
      <w:r w:rsidRPr="00584647">
        <w:rPr>
          <w:color w:val="000000"/>
          <w:lang w:eastAsia="en-GB"/>
        </w:rPr>
        <w:t xml:space="preserve"> </w:t>
      </w:r>
      <w:r w:rsidRPr="00584647">
        <w:t xml:space="preserve">[online] URL: </w:t>
      </w:r>
      <w:hyperlink r:id="rId41" w:history="1">
        <w:r w:rsidRPr="00584647">
          <w:rPr>
            <w:rStyle w:val="Hyperlink"/>
          </w:rPr>
          <w:t>http://www.ecologyandsociety.org/vol14/iss2/art34/</w:t>
        </w:r>
      </w:hyperlink>
      <w:r w:rsidRPr="00584647">
        <w:t xml:space="preserve">. </w:t>
      </w:r>
    </w:p>
  </w:footnote>
  <w:footnote w:id="132">
    <w:p w14:paraId="72A44297" w14:textId="77777777" w:rsidR="00002536" w:rsidRPr="00584647" w:rsidRDefault="00002536" w:rsidP="00810C20">
      <w:pPr>
        <w:pStyle w:val="FootnoteText"/>
      </w:pPr>
      <w:r w:rsidRPr="00584647">
        <w:rPr>
          <w:rStyle w:val="FootnoteReference"/>
        </w:rPr>
        <w:footnoteRef/>
      </w:r>
      <w:r w:rsidRPr="00584647">
        <w:t xml:space="preserve"> See  Switzerland’s submission with comments on Discussion Paper on ‘safeguards for scaling-up biodiversity finance and possible guiding principles’ (</w:t>
      </w:r>
      <w:proofErr w:type="spellStart"/>
      <w:r w:rsidRPr="00584647">
        <w:t>unep</w:t>
      </w:r>
      <w:proofErr w:type="spellEnd"/>
      <w:r w:rsidRPr="00584647">
        <w:t>/</w:t>
      </w:r>
      <w:proofErr w:type="spellStart"/>
      <w:r w:rsidRPr="00584647">
        <w:t>cbd</w:t>
      </w:r>
      <w:proofErr w:type="spellEnd"/>
      <w:r w:rsidRPr="00584647">
        <w:t>/cop/11/</w:t>
      </w:r>
      <w:proofErr w:type="spellStart"/>
      <w:r w:rsidRPr="00584647">
        <w:t>inf</w:t>
      </w:r>
      <w:proofErr w:type="spellEnd"/>
      <w:r w:rsidRPr="00584647">
        <w:t xml:space="preserve">/7) and </w:t>
      </w:r>
      <w:proofErr w:type="spellStart"/>
      <w:r w:rsidRPr="00584647">
        <w:t>Pattanayak</w:t>
      </w:r>
      <w:proofErr w:type="spellEnd"/>
      <w:r w:rsidRPr="00584647">
        <w:t xml:space="preserve"> et al. (2010): Show Me the Money: Do Payments Supply Environmental Services in Developing Countries? where the conditionality of payments on performance is highlighted. </w:t>
      </w:r>
    </w:p>
  </w:footnote>
  <w:footnote w:id="133">
    <w:p w14:paraId="229B95BD" w14:textId="77777777" w:rsidR="00002536" w:rsidRPr="00584647" w:rsidRDefault="00002536" w:rsidP="00810C20">
      <w:pPr>
        <w:pStyle w:val="FootnoteText"/>
        <w:jc w:val="both"/>
        <w:rPr>
          <w:lang w:val="en-US"/>
        </w:rPr>
      </w:pPr>
      <w:r w:rsidRPr="00584647">
        <w:rPr>
          <w:rStyle w:val="FootnoteReference"/>
        </w:rPr>
        <w:footnoteRef/>
      </w:r>
      <w:r w:rsidRPr="00584647">
        <w:t xml:space="preserve"> </w:t>
      </w:r>
      <w:proofErr w:type="spellStart"/>
      <w:r w:rsidRPr="00584647">
        <w:t>Vatn</w:t>
      </w:r>
      <w:proofErr w:type="spellEnd"/>
      <w:r w:rsidRPr="00584647">
        <w:t xml:space="preserve">, A., D.N. Barton, H. </w:t>
      </w:r>
      <w:proofErr w:type="spellStart"/>
      <w:r w:rsidRPr="00584647">
        <w:t>Lindhjem</w:t>
      </w:r>
      <w:proofErr w:type="spellEnd"/>
      <w:r w:rsidRPr="00584647">
        <w:t xml:space="preserve"> and S. </w:t>
      </w:r>
      <w:proofErr w:type="spellStart"/>
      <w:r w:rsidRPr="00584647">
        <w:t>Movik</w:t>
      </w:r>
      <w:proofErr w:type="spellEnd"/>
      <w:r w:rsidRPr="00584647">
        <w:t xml:space="preserve">, (with I. Ring and R. Santos), 2011, </w:t>
      </w:r>
      <w:r w:rsidRPr="00584647">
        <w:rPr>
          <w:i/>
        </w:rPr>
        <w:t>Can markets protect biodiversity? An evaluation of different financial mechanisms.</w:t>
      </w:r>
      <w:r w:rsidRPr="00584647">
        <w:t xml:space="preserve"> </w:t>
      </w:r>
      <w:proofErr w:type="spellStart"/>
      <w:r w:rsidRPr="00584647">
        <w:t>Noragric</w:t>
      </w:r>
      <w:proofErr w:type="spellEnd"/>
      <w:r w:rsidRPr="00584647">
        <w:t xml:space="preserve"> Report No. 60. Department of International Environment and Development Studies, </w:t>
      </w:r>
      <w:proofErr w:type="spellStart"/>
      <w:r w:rsidRPr="00584647">
        <w:t>Noragric</w:t>
      </w:r>
      <w:proofErr w:type="spellEnd"/>
      <w:r w:rsidRPr="00584647">
        <w:t xml:space="preserve">. Norwegian University of Life Sciences, UMB. </w:t>
      </w:r>
      <w:hyperlink r:id="rId42" w:history="1">
        <w:r w:rsidRPr="00584647">
          <w:rPr>
            <w:rStyle w:val="Hyperlink"/>
            <w:u w:val="none"/>
          </w:rPr>
          <w:t>http://www.umb.no/statisk/noragric/publications/reports/2011_nor_rep_60.pdf</w:t>
        </w:r>
      </w:hyperlink>
      <w:r w:rsidRPr="00584647">
        <w:t xml:space="preserve"> </w:t>
      </w:r>
    </w:p>
  </w:footnote>
  <w:footnote w:id="134">
    <w:p w14:paraId="47BF4170" w14:textId="50037F01" w:rsidR="00002536" w:rsidRPr="00584647" w:rsidRDefault="00002536" w:rsidP="003D626C">
      <w:pPr>
        <w:pStyle w:val="CommentText"/>
        <w:spacing w:after="60"/>
        <w:rPr>
          <w:rFonts w:ascii="Times New Roman" w:hAnsi="Times New Roman"/>
          <w:sz w:val="16"/>
          <w:szCs w:val="16"/>
          <w:lang w:val="en-US"/>
        </w:rPr>
      </w:pPr>
      <w:r w:rsidRPr="00584647">
        <w:rPr>
          <w:rStyle w:val="FootnoteReference"/>
          <w:rFonts w:ascii="Times New Roman" w:hAnsi="Times New Roman"/>
          <w:sz w:val="16"/>
          <w:szCs w:val="16"/>
        </w:rPr>
        <w:footnoteRef/>
      </w:r>
      <w:r w:rsidRPr="00584647">
        <w:rPr>
          <w:rFonts w:ascii="Times New Roman" w:hAnsi="Times New Roman"/>
          <w:sz w:val="16"/>
          <w:szCs w:val="16"/>
        </w:rPr>
        <w:t xml:space="preserve"> </w:t>
      </w:r>
      <w:r w:rsidRPr="00584647">
        <w:rPr>
          <w:rFonts w:ascii="Times New Roman" w:hAnsi="Times New Roman"/>
          <w:sz w:val="16"/>
          <w:szCs w:val="16"/>
          <w:lang w:val="en-US"/>
        </w:rPr>
        <w:t xml:space="preserve">Hahn, T., McDermott, C., Ituarte-Lima, C., Schultz, M., Green, T., </w:t>
      </w:r>
      <w:proofErr w:type="spellStart"/>
      <w:r w:rsidRPr="00584647">
        <w:rPr>
          <w:rFonts w:ascii="Times New Roman" w:hAnsi="Times New Roman"/>
          <w:sz w:val="16"/>
          <w:szCs w:val="16"/>
          <w:lang w:val="en-US"/>
        </w:rPr>
        <w:t>Tuvendal</w:t>
      </w:r>
      <w:proofErr w:type="spellEnd"/>
      <w:r w:rsidRPr="00584647">
        <w:rPr>
          <w:rFonts w:ascii="Times New Roman" w:hAnsi="Times New Roman"/>
          <w:sz w:val="16"/>
          <w:szCs w:val="16"/>
          <w:lang w:val="en-US"/>
        </w:rPr>
        <w:t>, M., 2015. Purposes and degrees of commodification: economic instruments for biodiversity and ecosystem services need not rely on markets or monetary valuation. Ecosystem Services 16: 74–82. doi.org/10.1016/j.ecoser.2015.10.012</w:t>
      </w:r>
    </w:p>
  </w:footnote>
  <w:footnote w:id="135">
    <w:p w14:paraId="45CC494E" w14:textId="77777777" w:rsidR="00002536" w:rsidRPr="00584647" w:rsidRDefault="00002536" w:rsidP="00810C20">
      <w:pPr>
        <w:pStyle w:val="FootnoteText"/>
        <w:jc w:val="both"/>
      </w:pPr>
      <w:r w:rsidRPr="00584647">
        <w:rPr>
          <w:rStyle w:val="FootnoteReference"/>
        </w:rPr>
        <w:footnoteRef/>
      </w:r>
      <w:r w:rsidRPr="00584647">
        <w:t xml:space="preserve"> Page 22 in Farooqui, M.F. and Schultz, M., 2012. </w:t>
      </w:r>
    </w:p>
  </w:footnote>
  <w:footnote w:id="136">
    <w:p w14:paraId="4925006A" w14:textId="7506935A" w:rsidR="00002536" w:rsidRPr="00584647" w:rsidRDefault="00002536" w:rsidP="00810C20">
      <w:pPr>
        <w:pStyle w:val="FootnoteText"/>
      </w:pPr>
      <w:r w:rsidRPr="00584647">
        <w:rPr>
          <w:rStyle w:val="FootnoteReference"/>
        </w:rPr>
        <w:footnoteRef/>
      </w:r>
      <w:r w:rsidRPr="00584647">
        <w:t xml:space="preserve"> FONAFIFO, CONAFOR and Ministry of Environment. 2012. </w:t>
      </w:r>
      <w:r w:rsidRPr="00584647">
        <w:rPr>
          <w:i/>
          <w:iCs/>
        </w:rPr>
        <w:t xml:space="preserve">Lessons Learned for REDD+ from PES and Conservation Incentive Programs. Examples from Costa Rica, Mexico, and Ecuador. </w:t>
      </w:r>
      <w:r w:rsidRPr="00584647">
        <w:t xml:space="preserve">pp. 164  and  </w:t>
      </w:r>
      <w:proofErr w:type="spellStart"/>
      <w:r w:rsidRPr="00584647">
        <w:t>Corbera</w:t>
      </w:r>
      <w:proofErr w:type="spellEnd"/>
      <w:r w:rsidRPr="00584647">
        <w:t xml:space="preserve">, E., </w:t>
      </w:r>
      <w:proofErr w:type="spellStart"/>
      <w:r w:rsidRPr="00584647">
        <w:t>Soberanis</w:t>
      </w:r>
      <w:proofErr w:type="spellEnd"/>
      <w:r w:rsidRPr="00584647">
        <w:t>, C., and Brown, K. “Institutional Dimensions of Payments for Ecosystem Services: an Analysis of Mexico’s Carbon Forestry Programme”. Ecological Economics 68, no. 3 (2009): 743–761.</w:t>
      </w:r>
    </w:p>
  </w:footnote>
  <w:footnote w:id="137">
    <w:p w14:paraId="2B8DBC80" w14:textId="184FEB9E" w:rsidR="00002536" w:rsidRPr="00584647" w:rsidRDefault="00002536" w:rsidP="00810C20">
      <w:pPr>
        <w:pStyle w:val="FootnoteText"/>
      </w:pPr>
      <w:r w:rsidRPr="00584647">
        <w:rPr>
          <w:rStyle w:val="FootnoteReference"/>
        </w:rPr>
        <w:footnoteRef/>
      </w:r>
      <w:r w:rsidRPr="00584647">
        <w:t xml:space="preserve"> </w:t>
      </w:r>
      <w:r w:rsidRPr="00584647">
        <w:rPr>
          <w:rFonts w:ascii="Sabon-Roman" w:hAnsi="Sabon-Roman" w:cs="Sabon-Roman"/>
        </w:rPr>
        <w:t xml:space="preserve">See </w:t>
      </w:r>
      <w:r w:rsidRPr="00584647">
        <w:t xml:space="preserve"> Muñoz-Piña, C., Guevara, A., Torres, J.M. and </w:t>
      </w:r>
      <w:proofErr w:type="spellStart"/>
      <w:r w:rsidRPr="00584647">
        <w:t>Braña</w:t>
      </w:r>
      <w:proofErr w:type="spellEnd"/>
      <w:r w:rsidRPr="00584647">
        <w:t>, J. “Paying for the Hydrological Services of Mexico’s Forests: Analysis, Negotiations and Results”. Ecological Economics 65 (2008): 725–736.</w:t>
      </w:r>
    </w:p>
  </w:footnote>
  <w:footnote w:id="138">
    <w:p w14:paraId="778533BE" w14:textId="77777777" w:rsidR="00002536" w:rsidRPr="00584647" w:rsidRDefault="00002536" w:rsidP="00810C20">
      <w:pPr>
        <w:pStyle w:val="FootnoteText"/>
        <w:jc w:val="both"/>
      </w:pPr>
      <w:r w:rsidRPr="00584647">
        <w:rPr>
          <w:rStyle w:val="FootnoteReference"/>
        </w:rPr>
        <w:footnoteRef/>
      </w:r>
      <w:r w:rsidRPr="00584647">
        <w:t xml:space="preserve"> Page 23 in Farooqui, M.F. and Schultz, M., 2012. </w:t>
      </w:r>
    </w:p>
  </w:footnote>
  <w:footnote w:id="139">
    <w:p w14:paraId="4C1EF789" w14:textId="77777777" w:rsidR="00002536" w:rsidRPr="00584647" w:rsidRDefault="00002536" w:rsidP="00810C20">
      <w:pPr>
        <w:pStyle w:val="FootnoteText"/>
        <w:jc w:val="both"/>
      </w:pPr>
      <w:r w:rsidRPr="00584647">
        <w:rPr>
          <w:rStyle w:val="FootnoteReference"/>
        </w:rPr>
        <w:footnoteRef/>
      </w:r>
      <w:r w:rsidRPr="00584647">
        <w:t xml:space="preserve"> Another case study in Mexico assessing PES is Ibarra, J.T., </w:t>
      </w:r>
      <w:proofErr w:type="spellStart"/>
      <w:r w:rsidRPr="00584647">
        <w:t>Barreau</w:t>
      </w:r>
      <w:proofErr w:type="spellEnd"/>
      <w:r w:rsidRPr="00584647">
        <w:t>, A., Del Campo, C., Camacho, C.I, Martin ,G.J., and McCandless, S.R. 2011, When formal and market-based conservation mechanisms disrupt food sovereignty: impacts of community conservation and payments for environmental services on an indigenous community of Oaxaca, Mexico, International Forestry Review Vol.13(3).</w:t>
      </w:r>
    </w:p>
  </w:footnote>
  <w:footnote w:id="140">
    <w:p w14:paraId="5B0B11D1" w14:textId="77777777" w:rsidR="00002536" w:rsidRPr="00584647" w:rsidRDefault="00002536" w:rsidP="00810C20">
      <w:pPr>
        <w:pStyle w:val="FootnoteText"/>
        <w:jc w:val="both"/>
      </w:pPr>
      <w:r w:rsidRPr="00584647">
        <w:rPr>
          <w:rStyle w:val="FootnoteReference"/>
        </w:rPr>
        <w:footnoteRef/>
      </w:r>
      <w:r w:rsidRPr="00584647">
        <w:t xml:space="preserve"> Page 23 in Farooqui, M.F. and Schultz, M., 2012. </w:t>
      </w:r>
    </w:p>
  </w:footnote>
  <w:footnote w:id="141">
    <w:p w14:paraId="52B770F7" w14:textId="77777777" w:rsidR="00002536" w:rsidRPr="00584647" w:rsidRDefault="00002536" w:rsidP="00810C20">
      <w:pPr>
        <w:pStyle w:val="FootnoteText"/>
      </w:pPr>
      <w:r w:rsidRPr="00584647">
        <w:rPr>
          <w:rStyle w:val="FootnoteReference"/>
        </w:rPr>
        <w:footnoteRef/>
      </w:r>
      <w:r w:rsidRPr="00584647">
        <w:rPr>
          <w:lang w:val="es-ES"/>
        </w:rPr>
        <w:t xml:space="preserve"> </w:t>
      </w:r>
      <w:proofErr w:type="spellStart"/>
      <w:r w:rsidRPr="00584647">
        <w:rPr>
          <w:lang w:val="es-ES"/>
        </w:rPr>
        <w:t>The</w:t>
      </w:r>
      <w:proofErr w:type="spellEnd"/>
      <w:r w:rsidRPr="00584647">
        <w:rPr>
          <w:lang w:val="es-ES"/>
        </w:rPr>
        <w:t xml:space="preserve"> </w:t>
      </w:r>
      <w:proofErr w:type="spellStart"/>
      <w:r w:rsidRPr="00584647">
        <w:rPr>
          <w:lang w:val="es-ES"/>
        </w:rPr>
        <w:t>Ecuadorian</w:t>
      </w:r>
      <w:proofErr w:type="spellEnd"/>
      <w:r w:rsidRPr="00584647">
        <w:rPr>
          <w:lang w:val="es-ES"/>
        </w:rPr>
        <w:t xml:space="preserve"> </w:t>
      </w:r>
      <w:proofErr w:type="spellStart"/>
      <w:r w:rsidRPr="00584647">
        <w:rPr>
          <w:lang w:val="es-ES"/>
        </w:rPr>
        <w:t>Ministry</w:t>
      </w:r>
      <w:proofErr w:type="spellEnd"/>
      <w:r w:rsidRPr="00584647">
        <w:rPr>
          <w:lang w:val="es-ES"/>
        </w:rPr>
        <w:t xml:space="preserve"> </w:t>
      </w:r>
      <w:proofErr w:type="spellStart"/>
      <w:r w:rsidRPr="00584647">
        <w:rPr>
          <w:lang w:val="es-ES"/>
        </w:rPr>
        <w:t>of</w:t>
      </w:r>
      <w:proofErr w:type="spellEnd"/>
      <w:r w:rsidRPr="00584647">
        <w:rPr>
          <w:lang w:val="es-ES"/>
        </w:rPr>
        <w:t xml:space="preserve"> </w:t>
      </w:r>
      <w:proofErr w:type="spellStart"/>
      <w:r w:rsidRPr="00584647">
        <w:rPr>
          <w:lang w:val="es-ES"/>
        </w:rPr>
        <w:t>the</w:t>
      </w:r>
      <w:proofErr w:type="spellEnd"/>
      <w:r w:rsidRPr="00584647">
        <w:rPr>
          <w:lang w:val="es-ES"/>
        </w:rPr>
        <w:t xml:space="preserve"> </w:t>
      </w:r>
      <w:proofErr w:type="spellStart"/>
      <w:r w:rsidRPr="00584647">
        <w:rPr>
          <w:lang w:val="es-ES"/>
        </w:rPr>
        <w:t>Environment</w:t>
      </w:r>
      <w:proofErr w:type="spellEnd"/>
      <w:r w:rsidRPr="00584647">
        <w:rPr>
          <w:lang w:val="es-ES"/>
        </w:rPr>
        <w:t xml:space="preserve"> </w:t>
      </w:r>
      <w:proofErr w:type="spellStart"/>
      <w:r w:rsidRPr="00584647">
        <w:rPr>
          <w:lang w:val="es-ES"/>
        </w:rPr>
        <w:t>frames</w:t>
      </w:r>
      <w:proofErr w:type="spellEnd"/>
      <w:r w:rsidRPr="00584647">
        <w:rPr>
          <w:lang w:val="es-ES"/>
        </w:rPr>
        <w:t xml:space="preserve"> </w:t>
      </w:r>
      <w:r w:rsidRPr="00584647">
        <w:rPr>
          <w:i/>
          <w:lang w:val="es-ES"/>
        </w:rPr>
        <w:t xml:space="preserve">Socio Bosque </w:t>
      </w:r>
      <w:r w:rsidRPr="00584647">
        <w:rPr>
          <w:lang w:val="es-ES"/>
        </w:rPr>
        <w:t>as a “</w:t>
      </w:r>
      <w:proofErr w:type="spellStart"/>
      <w:r w:rsidRPr="00584647">
        <w:rPr>
          <w:lang w:val="es-ES"/>
        </w:rPr>
        <w:t>compensation</w:t>
      </w:r>
      <w:proofErr w:type="spellEnd"/>
      <w:r w:rsidRPr="00584647">
        <w:rPr>
          <w:lang w:val="es-ES"/>
        </w:rPr>
        <w:t xml:space="preserve"> </w:t>
      </w:r>
      <w:proofErr w:type="spellStart"/>
      <w:r w:rsidRPr="00584647">
        <w:rPr>
          <w:lang w:val="es-ES"/>
        </w:rPr>
        <w:t>for</w:t>
      </w:r>
      <w:proofErr w:type="spellEnd"/>
      <w:r w:rsidRPr="00584647">
        <w:rPr>
          <w:lang w:val="es-ES"/>
        </w:rPr>
        <w:t xml:space="preserve"> </w:t>
      </w:r>
      <w:proofErr w:type="spellStart"/>
      <w:r w:rsidRPr="00584647">
        <w:rPr>
          <w:lang w:val="es-ES"/>
        </w:rPr>
        <w:t>ecosystem</w:t>
      </w:r>
      <w:proofErr w:type="spellEnd"/>
      <w:r w:rsidRPr="00584647">
        <w:rPr>
          <w:lang w:val="es-ES"/>
        </w:rPr>
        <w:t xml:space="preserve"> </w:t>
      </w:r>
      <w:proofErr w:type="spellStart"/>
      <w:r w:rsidRPr="00584647">
        <w:rPr>
          <w:lang w:val="es-ES"/>
        </w:rPr>
        <w:t>services</w:t>
      </w:r>
      <w:proofErr w:type="spellEnd"/>
      <w:r w:rsidRPr="00584647">
        <w:rPr>
          <w:lang w:val="es-ES"/>
        </w:rPr>
        <w:t xml:space="preserve">” </w:t>
      </w:r>
      <w:proofErr w:type="spellStart"/>
      <w:r w:rsidRPr="00584647">
        <w:rPr>
          <w:lang w:val="es-ES"/>
        </w:rPr>
        <w:t>scheme</w:t>
      </w:r>
      <w:proofErr w:type="spellEnd"/>
      <w:r w:rsidRPr="00584647">
        <w:rPr>
          <w:lang w:val="es-ES"/>
        </w:rPr>
        <w:t xml:space="preserve">, </w:t>
      </w:r>
      <w:proofErr w:type="spellStart"/>
      <w:r w:rsidRPr="00584647">
        <w:rPr>
          <w:lang w:val="es-ES"/>
        </w:rPr>
        <w:t>not</w:t>
      </w:r>
      <w:proofErr w:type="spellEnd"/>
      <w:r w:rsidRPr="00584647">
        <w:rPr>
          <w:lang w:val="es-ES"/>
        </w:rPr>
        <w:t xml:space="preserve"> </w:t>
      </w:r>
      <w:proofErr w:type="spellStart"/>
      <w:r w:rsidRPr="00584647">
        <w:rPr>
          <w:lang w:val="es-ES"/>
        </w:rPr>
        <w:t>payment</w:t>
      </w:r>
      <w:proofErr w:type="spellEnd"/>
      <w:r w:rsidRPr="00584647">
        <w:rPr>
          <w:lang w:val="es-ES"/>
        </w:rPr>
        <w:t xml:space="preserve"> </w:t>
      </w:r>
      <w:proofErr w:type="spellStart"/>
      <w:r w:rsidRPr="00584647">
        <w:rPr>
          <w:lang w:val="es-ES"/>
        </w:rPr>
        <w:t>for</w:t>
      </w:r>
      <w:proofErr w:type="spellEnd"/>
      <w:r w:rsidRPr="00584647">
        <w:rPr>
          <w:lang w:val="es-ES"/>
        </w:rPr>
        <w:t xml:space="preserve"> </w:t>
      </w:r>
      <w:proofErr w:type="spellStart"/>
      <w:r w:rsidRPr="00584647">
        <w:rPr>
          <w:lang w:val="es-ES"/>
        </w:rPr>
        <w:t>ecosystem</w:t>
      </w:r>
      <w:proofErr w:type="spellEnd"/>
      <w:r w:rsidRPr="00584647">
        <w:rPr>
          <w:lang w:val="es-ES"/>
        </w:rPr>
        <w:t xml:space="preserve"> </w:t>
      </w:r>
      <w:proofErr w:type="spellStart"/>
      <w:proofErr w:type="gramStart"/>
      <w:r w:rsidRPr="00584647">
        <w:rPr>
          <w:lang w:val="es-ES"/>
        </w:rPr>
        <w:t>services</w:t>
      </w:r>
      <w:proofErr w:type="spellEnd"/>
      <w:r w:rsidRPr="00584647">
        <w:rPr>
          <w:lang w:val="es-ES"/>
        </w:rPr>
        <w:t xml:space="preserve">  (</w:t>
      </w:r>
      <w:proofErr w:type="gramEnd"/>
      <w:r w:rsidRPr="00584647">
        <w:rPr>
          <w:lang w:val="nl-NL"/>
        </w:rPr>
        <w:t xml:space="preserve">See e.g. </w:t>
      </w:r>
      <w:r w:rsidRPr="00584647">
        <w:rPr>
          <w:lang w:val="es-ES"/>
        </w:rPr>
        <w:t xml:space="preserve">Órgano de difusión del Foro de los Recursos Hídricos (Chimborazo) y la Mesa Provincial de Ambiente de Chimborazo, 2009 </w:t>
      </w:r>
      <w:r w:rsidRPr="00584647">
        <w:rPr>
          <w:i/>
          <w:iCs/>
          <w:lang w:val="es-ES"/>
        </w:rPr>
        <w:t>Compensación de Servicios Ambientales: Iniciativas y Experiencias</w:t>
      </w:r>
      <w:r w:rsidRPr="00584647">
        <w:rPr>
          <w:lang w:val="es-ES"/>
        </w:rPr>
        <w:t>, www.agruco.org/bioandes/pdf/FORO4.pdf</w:t>
      </w:r>
      <w:r w:rsidRPr="00584647">
        <w:rPr>
          <w:lang w:val="es-ES" w:bidi="en-US"/>
        </w:rPr>
        <w:t xml:space="preserve">, </w:t>
      </w:r>
      <w:proofErr w:type="spellStart"/>
      <w:r w:rsidRPr="00584647">
        <w:rPr>
          <w:lang w:val="es-ES" w:bidi="en-US"/>
        </w:rPr>
        <w:t>accessed</w:t>
      </w:r>
      <w:proofErr w:type="spellEnd"/>
      <w:r w:rsidRPr="00584647">
        <w:rPr>
          <w:lang w:val="es-ES" w:bidi="en-US"/>
        </w:rPr>
        <w:t xml:space="preserve"> 24 </w:t>
      </w:r>
      <w:proofErr w:type="spellStart"/>
      <w:r w:rsidRPr="00584647">
        <w:rPr>
          <w:lang w:val="es-ES" w:bidi="en-US"/>
        </w:rPr>
        <w:t>September</w:t>
      </w:r>
      <w:proofErr w:type="spellEnd"/>
      <w:r w:rsidRPr="00584647">
        <w:rPr>
          <w:lang w:val="es-ES" w:bidi="en-US"/>
        </w:rPr>
        <w:t xml:space="preserve"> 2012</w:t>
      </w:r>
      <w:r w:rsidRPr="00584647">
        <w:rPr>
          <w:lang w:val="es-ES"/>
        </w:rPr>
        <w:t xml:space="preserve">). </w:t>
      </w:r>
      <w:r w:rsidRPr="00584647">
        <w:t xml:space="preserve">However, the </w:t>
      </w:r>
      <w:r w:rsidRPr="00584647">
        <w:rPr>
          <w:i/>
        </w:rPr>
        <w:t>Socio Bosque Project</w:t>
      </w:r>
      <w:r w:rsidRPr="00584647">
        <w:t xml:space="preserve"> can provide lessons learned for BMFs including PES and operationalizing biodiversity and social safeguards.</w:t>
      </w:r>
    </w:p>
  </w:footnote>
  <w:footnote w:id="142">
    <w:p w14:paraId="62759F1A" w14:textId="77777777" w:rsidR="00002536" w:rsidRPr="00584647" w:rsidRDefault="00002536" w:rsidP="00810C20">
      <w:pPr>
        <w:pStyle w:val="FootnoteText"/>
      </w:pPr>
      <w:r w:rsidRPr="00584647">
        <w:rPr>
          <w:rStyle w:val="FootnoteReference"/>
        </w:rPr>
        <w:footnoteRef/>
      </w:r>
      <w:r w:rsidRPr="00584647">
        <w:t xml:space="preserve"> </w:t>
      </w:r>
      <w:r w:rsidRPr="00584647">
        <w:rPr>
          <w:lang w:val="nl-NL"/>
        </w:rPr>
        <w:t xml:space="preserve">De Koning, </w:t>
      </w:r>
      <w:r w:rsidRPr="00584647">
        <w:rPr>
          <w:i/>
          <w:iCs/>
          <w:lang w:bidi="en-US"/>
        </w:rPr>
        <w:t>Bridging the gap between forest conservation and poverty alleviation: the Ecuadorian Socio Bosque program</w:t>
      </w:r>
      <w:r w:rsidRPr="00584647">
        <w:t>, 2011,</w:t>
      </w:r>
      <w:r w:rsidRPr="00584647">
        <w:rPr>
          <w:i/>
          <w:iCs/>
        </w:rPr>
        <w:t xml:space="preserve"> </w:t>
      </w:r>
      <w:r w:rsidRPr="00584647">
        <w:t>p. 539.</w:t>
      </w:r>
    </w:p>
  </w:footnote>
  <w:footnote w:id="143">
    <w:p w14:paraId="55658D73" w14:textId="77777777" w:rsidR="00002536" w:rsidRPr="00584647" w:rsidRDefault="00002536" w:rsidP="00810C20">
      <w:pPr>
        <w:pStyle w:val="FootnoteText"/>
      </w:pPr>
      <w:r w:rsidRPr="00584647">
        <w:rPr>
          <w:rStyle w:val="FootnoteReference"/>
        </w:rPr>
        <w:footnoteRef/>
      </w:r>
      <w:r w:rsidRPr="00584647">
        <w:t xml:space="preserve"> K. </w:t>
      </w:r>
      <w:proofErr w:type="spellStart"/>
      <w:r w:rsidRPr="00584647">
        <w:t>Podvin</w:t>
      </w:r>
      <w:proofErr w:type="spellEnd"/>
      <w:r w:rsidRPr="00584647">
        <w:t xml:space="preserve">, Institutional analysis of the Socio Bosque Program: an Ecuadorian forest governance initiative and its interactions with REDD, master thesis, 2013 ; </w:t>
      </w:r>
      <w:proofErr w:type="spellStart"/>
      <w:r w:rsidRPr="00584647">
        <w:t>Folleto</w:t>
      </w:r>
      <w:proofErr w:type="spellEnd"/>
      <w:r w:rsidRPr="00584647">
        <w:t xml:space="preserve"> de </w:t>
      </w:r>
      <w:proofErr w:type="spellStart"/>
      <w:r w:rsidRPr="00584647">
        <w:t>sistematición</w:t>
      </w:r>
      <w:proofErr w:type="spellEnd"/>
      <w:r w:rsidRPr="00584647">
        <w:t xml:space="preserve"> Socio Bosque.</w:t>
      </w:r>
    </w:p>
  </w:footnote>
  <w:footnote w:id="144">
    <w:p w14:paraId="33F048EC" w14:textId="77777777" w:rsidR="00002536" w:rsidRPr="00584647" w:rsidRDefault="00002536" w:rsidP="00810C20">
      <w:pPr>
        <w:pStyle w:val="FootnoteText"/>
      </w:pPr>
      <w:r w:rsidRPr="00584647">
        <w:rPr>
          <w:rStyle w:val="FootnoteReference"/>
        </w:rPr>
        <w:footnoteRef/>
      </w:r>
      <w:r w:rsidRPr="00584647">
        <w:t xml:space="preserve"> </w:t>
      </w:r>
      <w:proofErr w:type="spellStart"/>
      <w:r w:rsidRPr="00584647">
        <w:t>Fehse</w:t>
      </w:r>
      <w:proofErr w:type="spellEnd"/>
      <w:r w:rsidRPr="00584647">
        <w:t xml:space="preserve">, J., </w:t>
      </w:r>
      <w:r w:rsidRPr="00584647">
        <w:rPr>
          <w:i/>
          <w:iCs/>
          <w:lang w:bidi="en-US"/>
        </w:rPr>
        <w:t>Private conservation agreements support climate action: Ecuador</w:t>
      </w:r>
      <w:r w:rsidRPr="00584647">
        <w:rPr>
          <w:i/>
          <w:iCs/>
        </w:rPr>
        <w:t>’s Socio Bosque programme</w:t>
      </w:r>
      <w:r w:rsidRPr="00584647">
        <w:t>, Climate and development knowledge network, September 2012.</w:t>
      </w:r>
    </w:p>
  </w:footnote>
  <w:footnote w:id="145">
    <w:p w14:paraId="242A5EE7" w14:textId="77777777" w:rsidR="00002536" w:rsidRPr="00584647" w:rsidRDefault="00002536" w:rsidP="00810C20">
      <w:pPr>
        <w:pStyle w:val="NotedebasdepageA"/>
        <w:rPr>
          <w:lang w:val="en-GB"/>
        </w:rPr>
      </w:pPr>
      <w:r w:rsidRPr="00584647">
        <w:rPr>
          <w:rFonts w:ascii="Times New Roman" w:hAnsi="Times New Roman" w:cs="Times New Roman"/>
          <w:sz w:val="16"/>
          <w:vertAlign w:val="superscript"/>
        </w:rPr>
        <w:footnoteRef/>
      </w:r>
      <w:r w:rsidRPr="00584647">
        <w:rPr>
          <w:rFonts w:eastAsia="Arial Unicode MS" w:hAnsi="Arial Unicode MS" w:cs="Arial Unicode MS"/>
          <w:sz w:val="18"/>
          <w:szCs w:val="18"/>
          <w:lang w:val="en-US"/>
        </w:rPr>
        <w:t xml:space="preserve"> </w:t>
      </w:r>
      <w:r w:rsidRPr="00584647">
        <w:rPr>
          <w:rFonts w:ascii="Times New Roman" w:eastAsia="Arial Unicode MS" w:hAnsi="Times New Roman" w:cs="Times New Roman"/>
          <w:sz w:val="16"/>
          <w:szCs w:val="16"/>
          <w:lang w:val="en-US"/>
        </w:rPr>
        <w:t>Perrot-</w:t>
      </w:r>
      <w:proofErr w:type="spellStart"/>
      <w:r w:rsidRPr="00584647">
        <w:rPr>
          <w:rFonts w:ascii="Times New Roman" w:eastAsia="Arial Unicode MS" w:hAnsi="Times New Roman" w:cs="Times New Roman"/>
          <w:sz w:val="16"/>
          <w:szCs w:val="16"/>
          <w:lang w:val="en-US"/>
        </w:rPr>
        <w:t>Maitre</w:t>
      </w:r>
      <w:proofErr w:type="spellEnd"/>
      <w:r w:rsidRPr="00584647">
        <w:rPr>
          <w:rFonts w:ascii="Times New Roman" w:eastAsia="Arial Unicode MS" w:hAnsi="Times New Roman" w:cs="Times New Roman"/>
          <w:sz w:val="16"/>
          <w:szCs w:val="16"/>
          <w:lang w:val="en-US"/>
        </w:rPr>
        <w:t>, D. (2006). The Vittel payments for ecosystem services: a “perfect” PES case. International Institute for Environment and Development, London, UK, 1-24.</w:t>
      </w:r>
    </w:p>
  </w:footnote>
  <w:footnote w:id="146">
    <w:p w14:paraId="40A11425" w14:textId="77777777" w:rsidR="00002536" w:rsidRPr="00584647" w:rsidRDefault="00002536" w:rsidP="00DF4010">
      <w:pPr>
        <w:pStyle w:val="FootnoteText"/>
      </w:pPr>
      <w:r w:rsidRPr="00584647">
        <w:rPr>
          <w:rStyle w:val="FootnoteReference"/>
        </w:rPr>
        <w:footnoteRef/>
      </w:r>
      <w:r w:rsidRPr="00584647">
        <w:t xml:space="preserve"> This </w:t>
      </w:r>
      <w:r w:rsidRPr="00584647">
        <w:rPr>
          <w:i/>
        </w:rPr>
        <w:t>Proyecto Socio Bosque</w:t>
      </w:r>
      <w:r w:rsidRPr="00584647">
        <w:t xml:space="preserve"> case study was developed by Nicolas </w:t>
      </w:r>
      <w:proofErr w:type="spellStart"/>
      <w:r w:rsidRPr="00584647">
        <w:t>Audifax</w:t>
      </w:r>
      <w:proofErr w:type="spellEnd"/>
      <w:r w:rsidRPr="00584647">
        <w:t>.</w:t>
      </w:r>
    </w:p>
  </w:footnote>
  <w:footnote w:id="147">
    <w:p w14:paraId="50DC6546" w14:textId="77777777" w:rsidR="00002536" w:rsidRPr="00584647" w:rsidRDefault="00002536" w:rsidP="00810C20">
      <w:pPr>
        <w:pStyle w:val="FootnoteText"/>
      </w:pPr>
      <w:r w:rsidRPr="00584647">
        <w:rPr>
          <w:rStyle w:val="FootnoteReference"/>
        </w:rPr>
        <w:footnoteRef/>
      </w:r>
      <w:r w:rsidRPr="00584647">
        <w:t xml:space="preserve"> See “cited legal instruments” in the reference list.</w:t>
      </w:r>
    </w:p>
  </w:footnote>
  <w:footnote w:id="148">
    <w:p w14:paraId="32261FA6" w14:textId="77777777" w:rsidR="00002536" w:rsidRPr="00584647" w:rsidRDefault="00002536" w:rsidP="00810C20">
      <w:pPr>
        <w:pStyle w:val="FootnoteText"/>
      </w:pPr>
      <w:r w:rsidRPr="00584647">
        <w:rPr>
          <w:rStyle w:val="FootnoteReference"/>
        </w:rPr>
        <w:footnoteRef/>
      </w:r>
      <w:r w:rsidRPr="00584647">
        <w:t xml:space="preserve"> Ecuador – Property rights And Resources Governance Profile, USAID country profile, July 2011.</w:t>
      </w:r>
    </w:p>
  </w:footnote>
  <w:footnote w:id="149">
    <w:p w14:paraId="7B98E863" w14:textId="77777777" w:rsidR="00002536" w:rsidRPr="00584647" w:rsidRDefault="00002536" w:rsidP="00810C20">
      <w:pPr>
        <w:pStyle w:val="EndnoteText"/>
        <w:spacing w:after="60" w:line="240" w:lineRule="auto"/>
        <w:rPr>
          <w:lang w:val="en-GB"/>
        </w:rPr>
      </w:pPr>
      <w:r w:rsidRPr="00584647">
        <w:rPr>
          <w:rStyle w:val="FootnoteReference"/>
          <w:rFonts w:ascii="Times New Roman" w:hAnsi="Times New Roman"/>
          <w:sz w:val="16"/>
          <w:szCs w:val="16"/>
        </w:rPr>
        <w:footnoteRef/>
      </w:r>
      <w:r w:rsidRPr="00584647">
        <w:rPr>
          <w:rFonts w:ascii="Times New Roman" w:hAnsi="Times New Roman"/>
          <w:sz w:val="16"/>
          <w:szCs w:val="16"/>
          <w:lang w:val="en-GB"/>
        </w:rPr>
        <w:t xml:space="preserve"> Reed, P. (2011). REDD+ and the indigenous question: a case study from Ecuador. Forests, 2(2), 525-549.</w:t>
      </w:r>
    </w:p>
  </w:footnote>
  <w:footnote w:id="150">
    <w:p w14:paraId="341809F0" w14:textId="77777777" w:rsidR="00002536" w:rsidRPr="00584647" w:rsidRDefault="00002536" w:rsidP="00810C20">
      <w:pPr>
        <w:pStyle w:val="FootnoteText"/>
      </w:pPr>
      <w:r w:rsidRPr="00584647">
        <w:rPr>
          <w:rStyle w:val="FootnoteReference"/>
        </w:rPr>
        <w:footnoteRef/>
      </w:r>
      <w:r w:rsidRPr="00584647">
        <w:t xml:space="preserve"> K. </w:t>
      </w:r>
      <w:proofErr w:type="spellStart"/>
      <w:r w:rsidRPr="00584647">
        <w:t>Podvin</w:t>
      </w:r>
      <w:proofErr w:type="spellEnd"/>
      <w:r w:rsidRPr="00584647">
        <w:t>, Institutional analysis of the Socio Bosque Program: an Ecuadorian forest governance initiative and its interactions with REDD, master thesis, 2013.</w:t>
      </w:r>
    </w:p>
  </w:footnote>
  <w:footnote w:id="151">
    <w:p w14:paraId="19420C4A" w14:textId="77777777" w:rsidR="00002536" w:rsidRPr="00584647" w:rsidRDefault="00002536" w:rsidP="00810C20">
      <w:pPr>
        <w:pStyle w:val="FootnoteText"/>
      </w:pPr>
      <w:r w:rsidRPr="00584647">
        <w:rPr>
          <w:rStyle w:val="FootnoteReference"/>
        </w:rPr>
        <w:footnoteRef/>
      </w:r>
      <w:r w:rsidRPr="00584647">
        <w:t xml:space="preserve"> T. Krause &amp; L. Loft (2013), Benefit Distribution and equity in Ecuador’s Socio Bosque Program, Society &amp; Natural Resources: An International Journal. </w:t>
      </w:r>
    </w:p>
  </w:footnote>
  <w:footnote w:id="152">
    <w:p w14:paraId="15DE2D08" w14:textId="77777777" w:rsidR="00002536" w:rsidRPr="00584647" w:rsidRDefault="00002536" w:rsidP="00810C20">
      <w:pPr>
        <w:pStyle w:val="FootnoteText"/>
      </w:pPr>
      <w:r w:rsidRPr="00584647">
        <w:rPr>
          <w:rStyle w:val="FootnoteReference"/>
        </w:rPr>
        <w:footnoteRef/>
      </w:r>
      <w:r w:rsidRPr="00584647">
        <w:t xml:space="preserve"> Krause, T., Collen, W., &amp; Nicholas, K. A. (2013). Evaluating Safeguards in a Conservation Incentive Program: Participation, Consent, and Benefit Sharing in Indigenous Communities of the Ecuadorian Amazon. Ecology and Society, 18(4), 1.</w:t>
      </w:r>
    </w:p>
  </w:footnote>
  <w:footnote w:id="153">
    <w:p w14:paraId="00F0D687" w14:textId="77777777" w:rsidR="00002536" w:rsidRPr="00584647" w:rsidRDefault="00002536" w:rsidP="00221E81">
      <w:pPr>
        <w:pStyle w:val="NormalWeb"/>
        <w:spacing w:before="60" w:beforeAutospacing="0" w:after="0" w:afterAutospacing="0" w:line="240" w:lineRule="auto"/>
        <w:rPr>
          <w:rFonts w:eastAsiaTheme="minorEastAsia"/>
          <w:sz w:val="16"/>
          <w:szCs w:val="16"/>
          <w:lang w:val="en-US" w:eastAsia="sv-SE" w:bidi="ar-SA"/>
        </w:rPr>
      </w:pPr>
      <w:r w:rsidRPr="00584647">
        <w:rPr>
          <w:rStyle w:val="FootnoteReference"/>
          <w:sz w:val="16"/>
          <w:szCs w:val="16"/>
        </w:rPr>
        <w:footnoteRef/>
      </w:r>
      <w:r w:rsidRPr="00584647">
        <w:rPr>
          <w:sz w:val="16"/>
          <w:szCs w:val="16"/>
        </w:rPr>
        <w:t xml:space="preserve"> </w:t>
      </w:r>
      <w:proofErr w:type="spellStart"/>
      <w:r w:rsidRPr="00584647">
        <w:rPr>
          <w:rFonts w:eastAsiaTheme="minorEastAsia"/>
          <w:sz w:val="16"/>
          <w:szCs w:val="16"/>
          <w:lang w:val="en-US" w:eastAsia="sv-SE" w:bidi="ar-SA"/>
        </w:rPr>
        <w:t>Osano</w:t>
      </w:r>
      <w:proofErr w:type="spellEnd"/>
      <w:r w:rsidRPr="00584647">
        <w:rPr>
          <w:rFonts w:eastAsiaTheme="minorEastAsia"/>
          <w:sz w:val="16"/>
          <w:szCs w:val="16"/>
          <w:lang w:val="en-US" w:eastAsia="sv-SE" w:bidi="ar-SA"/>
        </w:rPr>
        <w:t xml:space="preserve">, P. M., Said, M. Y., de Leeuw, J., </w:t>
      </w:r>
      <w:proofErr w:type="spellStart"/>
      <w:r w:rsidRPr="00584647">
        <w:rPr>
          <w:rFonts w:eastAsiaTheme="minorEastAsia"/>
          <w:sz w:val="16"/>
          <w:szCs w:val="16"/>
          <w:lang w:val="en-US" w:eastAsia="sv-SE" w:bidi="ar-SA"/>
        </w:rPr>
        <w:t>Ndiwa</w:t>
      </w:r>
      <w:proofErr w:type="spellEnd"/>
      <w:r w:rsidRPr="00584647">
        <w:rPr>
          <w:rFonts w:eastAsiaTheme="minorEastAsia"/>
          <w:sz w:val="16"/>
          <w:szCs w:val="16"/>
          <w:lang w:val="en-US" w:eastAsia="sv-SE" w:bidi="ar-SA"/>
        </w:rPr>
        <w:t xml:space="preserve">, N., </w:t>
      </w:r>
      <w:proofErr w:type="spellStart"/>
      <w:r w:rsidRPr="00584647">
        <w:rPr>
          <w:rFonts w:eastAsiaTheme="minorEastAsia"/>
          <w:sz w:val="16"/>
          <w:szCs w:val="16"/>
          <w:lang w:val="en-US" w:eastAsia="sv-SE" w:bidi="ar-SA"/>
        </w:rPr>
        <w:t>Kaelo</w:t>
      </w:r>
      <w:proofErr w:type="spellEnd"/>
      <w:r w:rsidRPr="00584647">
        <w:rPr>
          <w:rFonts w:eastAsiaTheme="minorEastAsia"/>
          <w:sz w:val="16"/>
          <w:szCs w:val="16"/>
          <w:lang w:val="en-US" w:eastAsia="sv-SE" w:bidi="ar-SA"/>
        </w:rPr>
        <w:t xml:space="preserve">, D., </w:t>
      </w:r>
      <w:proofErr w:type="spellStart"/>
      <w:r w:rsidRPr="00584647">
        <w:rPr>
          <w:rFonts w:eastAsiaTheme="minorEastAsia"/>
          <w:sz w:val="16"/>
          <w:szCs w:val="16"/>
          <w:lang w:val="en-US" w:eastAsia="sv-SE" w:bidi="ar-SA"/>
        </w:rPr>
        <w:t>Schomers</w:t>
      </w:r>
      <w:proofErr w:type="spellEnd"/>
      <w:r w:rsidRPr="00584647">
        <w:rPr>
          <w:rFonts w:eastAsiaTheme="minorEastAsia"/>
          <w:sz w:val="16"/>
          <w:szCs w:val="16"/>
          <w:lang w:val="en-US" w:eastAsia="sv-SE" w:bidi="ar-SA"/>
        </w:rPr>
        <w:t xml:space="preserve">, S., </w:t>
      </w:r>
      <w:proofErr w:type="spellStart"/>
      <w:r w:rsidRPr="00584647">
        <w:rPr>
          <w:rFonts w:eastAsiaTheme="minorEastAsia"/>
          <w:sz w:val="16"/>
          <w:szCs w:val="16"/>
          <w:lang w:val="en-US" w:eastAsia="sv-SE" w:bidi="ar-SA"/>
        </w:rPr>
        <w:t>Birner</w:t>
      </w:r>
      <w:proofErr w:type="spellEnd"/>
      <w:r w:rsidRPr="00584647">
        <w:rPr>
          <w:rFonts w:eastAsiaTheme="minorEastAsia"/>
          <w:sz w:val="16"/>
          <w:szCs w:val="16"/>
          <w:lang w:val="en-US" w:eastAsia="sv-SE" w:bidi="ar-SA"/>
        </w:rPr>
        <w:t xml:space="preserve">, R., </w:t>
      </w:r>
      <w:proofErr w:type="spellStart"/>
      <w:r w:rsidRPr="00584647">
        <w:rPr>
          <w:rFonts w:eastAsiaTheme="minorEastAsia"/>
          <w:sz w:val="16"/>
          <w:szCs w:val="16"/>
          <w:lang w:val="en-US" w:eastAsia="sv-SE" w:bidi="ar-SA"/>
        </w:rPr>
        <w:t>Ogutu</w:t>
      </w:r>
      <w:proofErr w:type="spellEnd"/>
      <w:r w:rsidRPr="00584647">
        <w:rPr>
          <w:rFonts w:eastAsiaTheme="minorEastAsia"/>
          <w:sz w:val="16"/>
          <w:szCs w:val="16"/>
          <w:lang w:val="en-US" w:eastAsia="sv-SE" w:bidi="ar-SA"/>
        </w:rPr>
        <w:t xml:space="preserve">, J. O. (2013). </w:t>
      </w:r>
      <w:r w:rsidRPr="00584647">
        <w:rPr>
          <w:bCs/>
          <w:color w:val="323232"/>
          <w:sz w:val="16"/>
          <w:szCs w:val="16"/>
        </w:rPr>
        <w:t xml:space="preserve">Why keep lions instead of livestock? Assessing wildlife tourism-based payment for ecosystem services involving herders in the </w:t>
      </w:r>
      <w:proofErr w:type="spellStart"/>
      <w:r w:rsidRPr="00584647">
        <w:rPr>
          <w:bCs/>
          <w:color w:val="323232"/>
          <w:sz w:val="16"/>
          <w:szCs w:val="16"/>
        </w:rPr>
        <w:t>Maasai</w:t>
      </w:r>
      <w:proofErr w:type="spellEnd"/>
      <w:r w:rsidRPr="00584647">
        <w:rPr>
          <w:bCs/>
          <w:color w:val="323232"/>
          <w:sz w:val="16"/>
          <w:szCs w:val="16"/>
        </w:rPr>
        <w:t xml:space="preserve"> Mara, Kenya. </w:t>
      </w:r>
      <w:r w:rsidRPr="00584647">
        <w:rPr>
          <w:rFonts w:eastAsiaTheme="minorEastAsia"/>
          <w:sz w:val="16"/>
          <w:szCs w:val="16"/>
          <w:lang w:val="en-US" w:eastAsia="sv-SE" w:bidi="ar-SA"/>
        </w:rPr>
        <w:t>Natural Resources Forum 37(4), 242–256.</w:t>
      </w:r>
    </w:p>
  </w:footnote>
  <w:footnote w:id="154">
    <w:p w14:paraId="3262A82D" w14:textId="77777777" w:rsidR="00002536" w:rsidRPr="000639BA" w:rsidRDefault="00002536" w:rsidP="00221E81">
      <w:pPr>
        <w:widowControl w:val="0"/>
        <w:autoSpaceDE w:val="0"/>
        <w:autoSpaceDN w:val="0"/>
        <w:adjustRightInd w:val="0"/>
        <w:spacing w:before="60" w:after="0" w:line="240" w:lineRule="auto"/>
        <w:rPr>
          <w:rFonts w:ascii="Times New Roman" w:eastAsiaTheme="minorEastAsia" w:hAnsi="Times New Roman"/>
          <w:sz w:val="15"/>
          <w:szCs w:val="15"/>
          <w:lang w:val="en-US" w:eastAsia="sv-SE" w:bidi="ar-SA"/>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w:t>
      </w:r>
      <w:proofErr w:type="spellStart"/>
      <w:r w:rsidRPr="00584647">
        <w:rPr>
          <w:rFonts w:ascii="Times New Roman" w:eastAsiaTheme="minorEastAsia" w:hAnsi="Times New Roman"/>
          <w:sz w:val="16"/>
          <w:szCs w:val="16"/>
          <w:lang w:val="en-US" w:eastAsia="sv-SE" w:bidi="ar-SA"/>
        </w:rPr>
        <w:t>Osano</w:t>
      </w:r>
      <w:proofErr w:type="spellEnd"/>
      <w:r w:rsidRPr="00584647">
        <w:rPr>
          <w:rFonts w:ascii="Times New Roman" w:eastAsiaTheme="minorEastAsia" w:hAnsi="Times New Roman"/>
          <w:sz w:val="16"/>
          <w:szCs w:val="16"/>
          <w:lang w:val="en-US" w:eastAsia="sv-SE" w:bidi="ar-SA"/>
        </w:rPr>
        <w:t xml:space="preserve"> P. M., Said M. Y., de Leeuw J., </w:t>
      </w:r>
      <w:proofErr w:type="spellStart"/>
      <w:r w:rsidRPr="00584647">
        <w:rPr>
          <w:rFonts w:ascii="Times New Roman" w:eastAsiaTheme="minorEastAsia" w:hAnsi="Times New Roman"/>
          <w:sz w:val="16"/>
          <w:szCs w:val="16"/>
          <w:lang w:val="en-US" w:eastAsia="sv-SE" w:bidi="ar-SA"/>
        </w:rPr>
        <w:t>Moiko</w:t>
      </w:r>
      <w:proofErr w:type="spellEnd"/>
      <w:r w:rsidRPr="00584647">
        <w:rPr>
          <w:rFonts w:ascii="Times New Roman" w:eastAsiaTheme="minorEastAsia" w:hAnsi="Times New Roman"/>
          <w:sz w:val="16"/>
          <w:szCs w:val="16"/>
          <w:lang w:val="en-US" w:eastAsia="sv-SE" w:bidi="ar-SA"/>
        </w:rPr>
        <w:t xml:space="preserve"> S.S., </w:t>
      </w:r>
      <w:proofErr w:type="spellStart"/>
      <w:r w:rsidRPr="00584647">
        <w:rPr>
          <w:rFonts w:ascii="Times New Roman" w:eastAsiaTheme="minorEastAsia" w:hAnsi="Times New Roman"/>
          <w:sz w:val="16"/>
          <w:szCs w:val="16"/>
          <w:lang w:val="en-US" w:eastAsia="sv-SE" w:bidi="ar-SA"/>
        </w:rPr>
        <w:t>Kaelo</w:t>
      </w:r>
      <w:proofErr w:type="spellEnd"/>
      <w:r w:rsidRPr="00584647">
        <w:rPr>
          <w:rFonts w:ascii="Times New Roman" w:eastAsiaTheme="minorEastAsia" w:hAnsi="Times New Roman"/>
          <w:sz w:val="16"/>
          <w:szCs w:val="16"/>
          <w:lang w:val="en-US" w:eastAsia="sv-SE" w:bidi="ar-SA"/>
        </w:rPr>
        <w:t xml:space="preserve"> D. O., </w:t>
      </w:r>
      <w:proofErr w:type="spellStart"/>
      <w:r w:rsidRPr="00584647">
        <w:rPr>
          <w:rFonts w:ascii="Times New Roman" w:eastAsiaTheme="minorEastAsia" w:hAnsi="Times New Roman"/>
          <w:sz w:val="16"/>
          <w:szCs w:val="16"/>
          <w:lang w:val="en-US" w:eastAsia="sv-SE" w:bidi="ar-SA"/>
        </w:rPr>
        <w:t>Schomers</w:t>
      </w:r>
      <w:proofErr w:type="spellEnd"/>
      <w:r w:rsidRPr="00584647">
        <w:rPr>
          <w:rFonts w:ascii="Times New Roman" w:eastAsiaTheme="minorEastAsia" w:hAnsi="Times New Roman"/>
          <w:sz w:val="16"/>
          <w:szCs w:val="16"/>
          <w:lang w:val="en-US" w:eastAsia="sv-SE" w:bidi="ar-SA"/>
        </w:rPr>
        <w:t xml:space="preserve">, S., </w:t>
      </w:r>
      <w:proofErr w:type="spellStart"/>
      <w:r w:rsidRPr="00584647">
        <w:rPr>
          <w:rFonts w:ascii="Times New Roman" w:eastAsiaTheme="minorEastAsia" w:hAnsi="Times New Roman"/>
          <w:sz w:val="16"/>
          <w:szCs w:val="16"/>
          <w:lang w:val="en-US" w:eastAsia="sv-SE" w:bidi="ar-SA"/>
        </w:rPr>
        <w:t>Birner</w:t>
      </w:r>
      <w:proofErr w:type="spellEnd"/>
      <w:r w:rsidRPr="00584647">
        <w:rPr>
          <w:rFonts w:ascii="Times New Roman" w:eastAsiaTheme="minorEastAsia" w:hAnsi="Times New Roman"/>
          <w:sz w:val="16"/>
          <w:szCs w:val="16"/>
          <w:lang w:val="en-US" w:eastAsia="sv-SE" w:bidi="ar-SA"/>
        </w:rPr>
        <w:t xml:space="preserve"> R. and </w:t>
      </w:r>
      <w:proofErr w:type="spellStart"/>
      <w:r w:rsidRPr="00584647">
        <w:rPr>
          <w:rFonts w:ascii="Times New Roman" w:eastAsiaTheme="minorEastAsia" w:hAnsi="Times New Roman"/>
          <w:sz w:val="16"/>
          <w:szCs w:val="16"/>
          <w:lang w:val="en-US" w:eastAsia="sv-SE" w:bidi="ar-SA"/>
        </w:rPr>
        <w:t>Ogutu</w:t>
      </w:r>
      <w:proofErr w:type="spellEnd"/>
      <w:r w:rsidRPr="00584647">
        <w:rPr>
          <w:rFonts w:ascii="Times New Roman" w:eastAsiaTheme="minorEastAsia" w:hAnsi="Times New Roman"/>
          <w:sz w:val="16"/>
          <w:szCs w:val="16"/>
          <w:lang w:val="en-US" w:eastAsia="sv-SE" w:bidi="ar-SA"/>
        </w:rPr>
        <w:t xml:space="preserve"> J.O. (2013). Pastoralism and ecosystem-based adaptation in Kenyan </w:t>
      </w:r>
      <w:proofErr w:type="spellStart"/>
      <w:r w:rsidRPr="00584647">
        <w:rPr>
          <w:rFonts w:ascii="Times New Roman" w:eastAsiaTheme="minorEastAsia" w:hAnsi="Times New Roman"/>
          <w:sz w:val="16"/>
          <w:szCs w:val="16"/>
          <w:lang w:val="en-US" w:eastAsia="sv-SE" w:bidi="ar-SA"/>
        </w:rPr>
        <w:t>Masailand</w:t>
      </w:r>
      <w:proofErr w:type="spellEnd"/>
      <w:r w:rsidRPr="00584647">
        <w:rPr>
          <w:rFonts w:ascii="Times New Roman" w:eastAsiaTheme="minorEastAsia" w:hAnsi="Times New Roman"/>
          <w:sz w:val="16"/>
          <w:szCs w:val="16"/>
          <w:lang w:val="en-US" w:eastAsia="sv-SE" w:bidi="ar-SA"/>
        </w:rPr>
        <w:t xml:space="preserve"> International Journal of Climate Change Strategies and Management Vol. 5 No. 2, pp. 198-214. Available at: </w:t>
      </w:r>
      <w:hyperlink r:id="rId43" w:history="1">
        <w:r w:rsidRPr="00584647">
          <w:rPr>
            <w:rStyle w:val="Hyperlink"/>
            <w:rFonts w:ascii="Times New Roman" w:eastAsiaTheme="minorEastAsia" w:hAnsi="Times New Roman"/>
            <w:sz w:val="15"/>
            <w:szCs w:val="15"/>
            <w:lang w:val="en-US" w:eastAsia="sv-SE" w:bidi="ar-SA"/>
          </w:rPr>
          <w:t>www.emeraldinsight.com/1756-8692.htm</w:t>
        </w:r>
      </w:hyperlink>
    </w:p>
  </w:footnote>
  <w:footnote w:id="155">
    <w:p w14:paraId="07723D96" w14:textId="77777777" w:rsidR="00002536" w:rsidRPr="00584647" w:rsidRDefault="00002536" w:rsidP="00810C20">
      <w:pPr>
        <w:pStyle w:val="FootnoteText"/>
        <w:jc w:val="both"/>
      </w:pPr>
      <w:r w:rsidRPr="000639BA">
        <w:rPr>
          <w:rStyle w:val="FootnoteReference"/>
        </w:rPr>
        <w:footnoteRef/>
      </w:r>
      <w:r w:rsidRPr="000639BA">
        <w:t xml:space="preserve"> Parker, C., Cranford, M., Oakes, N., Leggett, M. ed., 2012. </w:t>
      </w:r>
      <w:r w:rsidRPr="00584647">
        <w:rPr>
          <w:i/>
        </w:rPr>
        <w:t>The Little Biodiversity Finance Book</w:t>
      </w:r>
      <w:r w:rsidRPr="00584647">
        <w:t xml:space="preserve">, Global Canopy Programme; Oxford. </w:t>
      </w:r>
    </w:p>
  </w:footnote>
  <w:footnote w:id="156">
    <w:p w14:paraId="44B16761" w14:textId="77777777" w:rsidR="00002536" w:rsidRPr="00584647" w:rsidRDefault="00002536" w:rsidP="00810C20">
      <w:pPr>
        <w:pStyle w:val="FootnoteText"/>
        <w:jc w:val="both"/>
      </w:pPr>
      <w:r w:rsidRPr="00584647">
        <w:rPr>
          <w:rStyle w:val="FootnoteReference"/>
        </w:rPr>
        <w:footnoteRef/>
      </w:r>
      <w:r w:rsidRPr="00584647">
        <w:t xml:space="preserve"> OECD, 1972. </w:t>
      </w:r>
      <w:r w:rsidRPr="00584647">
        <w:rPr>
          <w:i/>
        </w:rPr>
        <w:t>Guiding Principles Concerning the International Economic Aspects of Environmental Policy</w:t>
      </w:r>
      <w:r w:rsidRPr="00584647">
        <w:t xml:space="preserve"> (adopted by the Council on 26 May 1972). Accessed 4th Aug. 2012, </w:t>
      </w:r>
      <w:hyperlink r:id="rId44" w:history="1">
        <w:r w:rsidRPr="00584647">
          <w:rPr>
            <w:rStyle w:val="Hyperlink"/>
            <w:u w:val="none"/>
          </w:rPr>
          <w:t>www.ciesin.org/docs/008-574/008-574.html</w:t>
        </w:r>
      </w:hyperlink>
      <w:r w:rsidRPr="00584647">
        <w:t xml:space="preserve">. </w:t>
      </w:r>
    </w:p>
  </w:footnote>
  <w:footnote w:id="157">
    <w:p w14:paraId="64D7BD71"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lang w:eastAsia="en-US"/>
        </w:rPr>
        <w:t xml:space="preserve">BBOP Principles on Biodiversity Offsets, accessed 12 July 2012 </w:t>
      </w:r>
      <w:hyperlink r:id="rId45" w:history="1">
        <w:r w:rsidRPr="00584647">
          <w:rPr>
            <w:rStyle w:val="Hyperlink"/>
            <w:u w:val="none"/>
          </w:rPr>
          <w:t>http://bbop.forest-trends.org/guidelines/participation.pdf</w:t>
        </w:r>
      </w:hyperlink>
      <w:r w:rsidRPr="00584647">
        <w:rPr>
          <w:rStyle w:val="Hyperlink"/>
          <w:u w:val="none"/>
        </w:rPr>
        <w:t xml:space="preserve">. </w:t>
      </w:r>
      <w:r w:rsidRPr="00584647">
        <w:t xml:space="preserve"> </w:t>
      </w:r>
    </w:p>
  </w:footnote>
  <w:footnote w:id="158">
    <w:p w14:paraId="438B83A6" w14:textId="77777777" w:rsidR="00002536" w:rsidRPr="00584647" w:rsidRDefault="00002536" w:rsidP="00810C20">
      <w:pPr>
        <w:pStyle w:val="FootnoteText"/>
        <w:rPr>
          <w:lang w:val="en-US"/>
        </w:rPr>
      </w:pPr>
      <w:r w:rsidRPr="00584647">
        <w:rPr>
          <w:rStyle w:val="FootnoteReference"/>
        </w:rPr>
        <w:footnoteRef/>
      </w:r>
      <w:r w:rsidRPr="00584647">
        <w:t xml:space="preserve"> A possible difference is that existing ecological compensation schemes are not designed along any metrics to ensure no net loss of biodiversity which is the explicit aim of biodiversity offsets (Conway et al. 2013).</w:t>
      </w:r>
    </w:p>
  </w:footnote>
  <w:footnote w:id="159">
    <w:p w14:paraId="5A464AD9" w14:textId="77777777" w:rsidR="00002536" w:rsidRPr="00584647" w:rsidRDefault="00002536" w:rsidP="00810C20">
      <w:pPr>
        <w:pStyle w:val="FootnoteText"/>
      </w:pPr>
      <w:r w:rsidRPr="00584647">
        <w:rPr>
          <w:rStyle w:val="FootnoteReference"/>
        </w:rPr>
        <w:footnoteRef/>
      </w:r>
      <w:r w:rsidRPr="00584647">
        <w:t xml:space="preserve"> </w:t>
      </w:r>
      <w:r w:rsidRPr="00584647">
        <w:rPr>
          <w:bCs/>
        </w:rPr>
        <w:t xml:space="preserve">Dickie, I., et al. 2010. The use of market-based instruments for biodiversity protection: The case of habitat banking. Technical Report by </w:t>
      </w:r>
      <w:proofErr w:type="spellStart"/>
      <w:r w:rsidRPr="00584647">
        <w:rPr>
          <w:bCs/>
        </w:rPr>
        <w:t>eftec</w:t>
      </w:r>
      <w:proofErr w:type="spellEnd"/>
      <w:r w:rsidRPr="00584647">
        <w:rPr>
          <w:bCs/>
        </w:rPr>
        <w:t xml:space="preserve"> IEEP and others. </w:t>
      </w:r>
      <w:hyperlink r:id="rId46" w:tgtFrame="_blank" w:history="1">
        <w:r w:rsidRPr="00584647">
          <w:rPr>
            <w:rStyle w:val="Hyperlink"/>
            <w:bCs/>
            <w:u w:val="none"/>
          </w:rPr>
          <w:t>http://ec.europa.eu/environment/enveco/pdf/eftec_habitat_technical_report.pdf</w:t>
        </w:r>
      </w:hyperlink>
    </w:p>
  </w:footnote>
  <w:footnote w:id="160">
    <w:p w14:paraId="55B254FA" w14:textId="77777777" w:rsidR="00002536" w:rsidRPr="00584647" w:rsidRDefault="00002536" w:rsidP="00810C20">
      <w:pPr>
        <w:pStyle w:val="FootnoteText"/>
      </w:pPr>
      <w:r w:rsidRPr="00584647">
        <w:rPr>
          <w:rStyle w:val="FootnoteReference"/>
        </w:rPr>
        <w:footnoteRef/>
      </w:r>
      <w:r w:rsidRPr="00584647">
        <w:t xml:space="preserve"> </w:t>
      </w:r>
      <w:proofErr w:type="spellStart"/>
      <w:r w:rsidRPr="00584647">
        <w:t>Ogwal</w:t>
      </w:r>
      <w:proofErr w:type="spellEnd"/>
      <w:r w:rsidRPr="00584647">
        <w:t xml:space="preserve">, S.F. and Schultz, M., 2014. </w:t>
      </w:r>
      <w:r w:rsidRPr="00584647">
        <w:rPr>
          <w:i/>
          <w:iCs/>
        </w:rPr>
        <w:t xml:space="preserve">Co-Chairs´ Summary of Second Dialogue Seminar on Scaling up Finance for Biodiversity, Quito 9-12 April 2014. </w:t>
      </w:r>
      <w:r w:rsidRPr="00584647">
        <w:t>Montreal: Secretariat of the Convention on Biological Diversity. http://www.cbd.int/doc/meetings/fin/ds-fb-02/official/ds-fb-02-report-en.pdf</w:t>
      </w:r>
    </w:p>
  </w:footnote>
  <w:footnote w:id="161">
    <w:p w14:paraId="3572D51C" w14:textId="77777777" w:rsidR="00002536" w:rsidRPr="00584647" w:rsidRDefault="00002536" w:rsidP="00810C20">
      <w:pPr>
        <w:pStyle w:val="FootnoteText"/>
      </w:pPr>
      <w:r w:rsidRPr="00584647">
        <w:rPr>
          <w:rStyle w:val="FootnoteReference"/>
        </w:rPr>
        <w:footnoteRef/>
      </w:r>
      <w:r w:rsidRPr="00584647">
        <w:t xml:space="preserve"> Hough, P. and M. Robertson. 2009. Mitigation under Section 404 of the Clean Water Act: where it comes from, what it means. Wetlands Ecology and Management 17(1):15-33.</w:t>
      </w:r>
    </w:p>
  </w:footnote>
  <w:footnote w:id="162">
    <w:p w14:paraId="1166684B" w14:textId="77777777" w:rsidR="00002536" w:rsidRPr="00584647" w:rsidRDefault="00002536" w:rsidP="00810C20">
      <w:pPr>
        <w:pStyle w:val="FootnoteText"/>
      </w:pPr>
      <w:r w:rsidRPr="00584647">
        <w:rPr>
          <w:rStyle w:val="FootnoteReference"/>
        </w:rPr>
        <w:footnoteRef/>
      </w:r>
      <w:r w:rsidRPr="00584647">
        <w:t xml:space="preserve"> Environmental Court (MÖD) judgement 2006:49. </w:t>
      </w:r>
      <w:hyperlink r:id="rId47" w:history="1">
        <w:r w:rsidRPr="00584647">
          <w:rPr>
            <w:rStyle w:val="Hyperlink"/>
            <w:u w:val="none"/>
          </w:rPr>
          <w:t>https://lagen.nu/dom/mod/2006:49</w:t>
        </w:r>
      </w:hyperlink>
      <w:r w:rsidRPr="00584647">
        <w:t xml:space="preserve">. </w:t>
      </w:r>
    </w:p>
  </w:footnote>
  <w:footnote w:id="163">
    <w:p w14:paraId="20BBC5E9" w14:textId="77777777" w:rsidR="00002536" w:rsidRPr="00584647" w:rsidRDefault="00002536" w:rsidP="00810C20">
      <w:pPr>
        <w:pStyle w:val="FootnoteText"/>
      </w:pPr>
      <w:r w:rsidRPr="00584647">
        <w:rPr>
          <w:rStyle w:val="FootnoteReference"/>
        </w:rPr>
        <w:footnoteRef/>
      </w:r>
      <w:r w:rsidRPr="00584647">
        <w:t xml:space="preserve"> Conway et </w:t>
      </w:r>
      <w:r w:rsidRPr="00584647">
        <w:rPr>
          <w:i/>
        </w:rPr>
        <w:t>al</w:t>
      </w:r>
      <w:r w:rsidRPr="00584647">
        <w:t xml:space="preserve">. 2013. </w:t>
      </w:r>
    </w:p>
  </w:footnote>
  <w:footnote w:id="164">
    <w:p w14:paraId="5EA44C1E" w14:textId="77777777" w:rsidR="00002536" w:rsidRPr="00584647" w:rsidRDefault="00002536" w:rsidP="00810C20">
      <w:pPr>
        <w:pStyle w:val="FootnoteText"/>
      </w:pPr>
      <w:r w:rsidRPr="00584647">
        <w:rPr>
          <w:rStyle w:val="FootnoteReference"/>
        </w:rPr>
        <w:footnoteRef/>
      </w:r>
      <w:r w:rsidRPr="00584647">
        <w:t xml:space="preserve"> OECD (2013), Scaling-up Finance Mechanisms for Biodiversity, OECD Publishing. http://dx.doi.org/10.1787/9789264193833-en.</w:t>
      </w:r>
    </w:p>
  </w:footnote>
  <w:footnote w:id="165">
    <w:p w14:paraId="6008F7E2" w14:textId="77777777" w:rsidR="00002536" w:rsidRPr="00584647" w:rsidRDefault="00002536" w:rsidP="00810C20">
      <w:pPr>
        <w:pStyle w:val="CorpsB"/>
        <w:spacing w:line="360" w:lineRule="auto"/>
        <w:jc w:val="both"/>
        <w:rPr>
          <w:lang w:val="en-US"/>
        </w:rPr>
      </w:pPr>
      <w:r w:rsidRPr="00584647">
        <w:rPr>
          <w:rStyle w:val="FootnoteReference"/>
          <w:color w:val="auto"/>
          <w:sz w:val="16"/>
          <w:szCs w:val="16"/>
          <w:bdr w:val="none" w:sz="0" w:space="0" w:color="auto"/>
          <w:lang w:val="en-GB"/>
        </w:rPr>
        <w:footnoteRef/>
      </w:r>
      <w:r w:rsidRPr="00584647">
        <w:rPr>
          <w:lang w:val="en-GB"/>
        </w:rPr>
        <w:t xml:space="preserve"> </w:t>
      </w:r>
      <w:r w:rsidRPr="00584647">
        <w:rPr>
          <w:color w:val="auto"/>
          <w:sz w:val="16"/>
          <w:szCs w:val="16"/>
          <w:bdr w:val="none" w:sz="0" w:space="0" w:color="auto"/>
          <w:lang w:val="en-GB"/>
        </w:rPr>
        <w:t xml:space="preserve">IUCN &amp; ICMM’s Independent Report on biodiversity offsets (January 2013). </w:t>
      </w:r>
    </w:p>
  </w:footnote>
  <w:footnote w:id="166">
    <w:p w14:paraId="531A82E6" w14:textId="77777777" w:rsidR="00002536" w:rsidRPr="00584647" w:rsidRDefault="00002536" w:rsidP="00810C20">
      <w:pPr>
        <w:pStyle w:val="FootnoteText"/>
      </w:pPr>
      <w:r w:rsidRPr="00584647">
        <w:rPr>
          <w:rStyle w:val="FootnoteReference"/>
        </w:rPr>
        <w:footnoteRef/>
      </w:r>
      <w:r w:rsidRPr="00584647">
        <w:t xml:space="preserve"> Pilgrim, J </w:t>
      </w:r>
      <w:r w:rsidRPr="00584647">
        <w:rPr>
          <w:i/>
        </w:rPr>
        <w:t>et al</w:t>
      </w:r>
      <w:r w:rsidRPr="00584647">
        <w:t xml:space="preserve">, A process for assessing the </w:t>
      </w:r>
      <w:proofErr w:type="spellStart"/>
      <w:r w:rsidRPr="00584647">
        <w:t>offsetability</w:t>
      </w:r>
      <w:proofErr w:type="spellEnd"/>
      <w:r w:rsidRPr="00584647">
        <w:t xml:space="preserve"> of biodiversity impacts. </w:t>
      </w:r>
      <w:r w:rsidRPr="00584647">
        <w:rPr>
          <w:i/>
        </w:rPr>
        <w:t>Conservation Letters,</w:t>
      </w:r>
      <w:r w:rsidRPr="00584647">
        <w:t xml:space="preserve"> 2013, vol. 6, no 5, p. 376-384.</w:t>
      </w:r>
    </w:p>
  </w:footnote>
  <w:footnote w:id="167">
    <w:p w14:paraId="3B1C9DAD" w14:textId="77777777" w:rsidR="00002536" w:rsidRPr="00584647" w:rsidRDefault="00002536" w:rsidP="00810C20">
      <w:pPr>
        <w:pStyle w:val="FootnoteText"/>
        <w:jc w:val="both"/>
        <w:rPr>
          <w:rFonts w:ascii="Arial" w:hAnsi="Arial"/>
        </w:rPr>
      </w:pPr>
      <w:r w:rsidRPr="00584647">
        <w:rPr>
          <w:rStyle w:val="FootnoteReference"/>
        </w:rPr>
        <w:footnoteRef/>
      </w:r>
      <w:r w:rsidRPr="00584647">
        <w:rPr>
          <w:rStyle w:val="FootnoteReference"/>
        </w:rPr>
        <w:t xml:space="preserve"> </w:t>
      </w:r>
      <w:r w:rsidRPr="00584647">
        <w:rPr>
          <w:iCs/>
        </w:rPr>
        <w:t>See Forest Peoples Programme, 2011, Submission to the Convention on Biological Diversity relating to innovative financial mechanisms and the rights of indigenous peoples and local communities.</w:t>
      </w:r>
    </w:p>
  </w:footnote>
  <w:footnote w:id="168">
    <w:p w14:paraId="53D9D3CF" w14:textId="77777777" w:rsidR="00002536" w:rsidRPr="00584647" w:rsidRDefault="00002536" w:rsidP="00810C20">
      <w:pPr>
        <w:pStyle w:val="FootnoteText"/>
        <w:jc w:val="both"/>
      </w:pPr>
      <w:r w:rsidRPr="00584647">
        <w:rPr>
          <w:rStyle w:val="FootnoteReference"/>
        </w:rPr>
        <w:footnoteRef/>
      </w:r>
      <w:r w:rsidRPr="00584647">
        <w:t xml:space="preserve"> CBD 2011, IFM report.</w:t>
      </w:r>
    </w:p>
  </w:footnote>
  <w:footnote w:id="169">
    <w:p w14:paraId="669F7D7F" w14:textId="77777777" w:rsidR="00002536" w:rsidRPr="00584647" w:rsidRDefault="00002536" w:rsidP="00810C20">
      <w:pPr>
        <w:pStyle w:val="FootnoteText"/>
        <w:jc w:val="both"/>
        <w:rPr>
          <w:color w:val="000000"/>
        </w:rPr>
      </w:pPr>
      <w:r w:rsidRPr="00584647">
        <w:rPr>
          <w:rStyle w:val="FootnoteReference"/>
          <w:color w:val="000000"/>
        </w:rPr>
        <w:footnoteRef/>
      </w:r>
      <w:r w:rsidRPr="00584647">
        <w:rPr>
          <w:color w:val="000000"/>
        </w:rPr>
        <w:t xml:space="preserve"> </w:t>
      </w:r>
      <w:r w:rsidRPr="00584647">
        <w:rPr>
          <w:iCs/>
          <w:color w:val="000000"/>
        </w:rPr>
        <w:t xml:space="preserve">See e.g. CBD 2011, </w:t>
      </w:r>
      <w:hyperlink r:id="rId48" w:history="1">
        <w:r w:rsidRPr="00584647">
          <w:rPr>
            <w:rStyle w:val="Hyperlink"/>
            <w:iCs/>
            <w:color w:val="000000"/>
          </w:rPr>
          <w:t>IFM</w:t>
        </w:r>
      </w:hyperlink>
      <w:r w:rsidRPr="00584647">
        <w:rPr>
          <w:iCs/>
          <w:color w:val="000000"/>
        </w:rPr>
        <w:t xml:space="preserve"> report. </w:t>
      </w:r>
    </w:p>
  </w:footnote>
  <w:footnote w:id="170">
    <w:p w14:paraId="0F9E4E0D"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lang w:eastAsia="en-US"/>
        </w:rPr>
        <w:t xml:space="preserve">BBOP Principles. </w:t>
      </w:r>
    </w:p>
  </w:footnote>
  <w:footnote w:id="171">
    <w:p w14:paraId="47250531" w14:textId="77777777" w:rsidR="00002536" w:rsidRPr="00584647" w:rsidRDefault="00002536" w:rsidP="00810C20">
      <w:pPr>
        <w:pStyle w:val="FootnoteText"/>
      </w:pPr>
      <w:r w:rsidRPr="00584647">
        <w:rPr>
          <w:rStyle w:val="FootnoteReference"/>
        </w:rPr>
        <w:footnoteRef/>
      </w:r>
      <w:r w:rsidRPr="00584647">
        <w:t xml:space="preserve"> </w:t>
      </w:r>
      <w:r w:rsidRPr="00584647">
        <w:rPr>
          <w:lang w:val="en-AU"/>
        </w:rPr>
        <w:t xml:space="preserve">PPS9 Defra, 2005, page 3, accessed 22nd May 2014, </w:t>
      </w:r>
      <w:hyperlink r:id="rId49" w:history="1">
        <w:r w:rsidRPr="00584647">
          <w:rPr>
            <w:rStyle w:val="Hyperlink"/>
            <w:u w:val="none"/>
          </w:rPr>
          <w:t>http://webarchive.nationalarchives.gov.uk/20120919132719/http://www.communities.gov.uk/documents/planningandbuilding/pdf/147408.pdf</w:t>
        </w:r>
      </w:hyperlink>
      <w:r w:rsidRPr="00584647">
        <w:t xml:space="preserve"> </w:t>
      </w:r>
      <w:r w:rsidRPr="00584647">
        <w:rPr>
          <w:lang w:val="en-AU"/>
        </w:rPr>
        <w:t>NPPF Department for Communities and Local Government 2012, page 27, accessed 1</w:t>
      </w:r>
      <w:r w:rsidRPr="00584647">
        <w:rPr>
          <w:vertAlign w:val="superscript"/>
          <w:lang w:val="en-AU"/>
        </w:rPr>
        <w:t>st</w:t>
      </w:r>
      <w:r w:rsidRPr="00584647">
        <w:rPr>
          <w:lang w:val="en-AU"/>
        </w:rPr>
        <w:t xml:space="preserve"> October 2012 </w:t>
      </w:r>
      <w:hyperlink r:id="rId50" w:history="1">
        <w:r w:rsidRPr="00584647">
          <w:rPr>
            <w:rStyle w:val="Hyperlink"/>
            <w:u w:val="none"/>
          </w:rPr>
          <w:t>https://www.gov.uk/government/uploads/system/uploads/attachment_data/file/6077/2116950.pdf</w:t>
        </w:r>
      </w:hyperlink>
      <w:r w:rsidRPr="00584647">
        <w:rPr>
          <w:lang w:val="en-AU"/>
        </w:rPr>
        <w:t xml:space="preserve">.  </w:t>
      </w:r>
    </w:p>
  </w:footnote>
  <w:footnote w:id="172">
    <w:p w14:paraId="7244F2AD" w14:textId="77777777" w:rsidR="00002536" w:rsidRPr="00584647" w:rsidRDefault="00002536" w:rsidP="00810C20">
      <w:pPr>
        <w:spacing w:after="60" w:line="240" w:lineRule="auto"/>
        <w:jc w:val="both"/>
        <w:rPr>
          <w:rFonts w:ascii="Times New Roman" w:hAnsi="Times New Roman"/>
          <w:sz w:val="20"/>
          <w:szCs w:val="20"/>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Kate, K.., Bishop, J., and </w:t>
      </w:r>
      <w:proofErr w:type="spellStart"/>
      <w:r w:rsidRPr="000639BA">
        <w:rPr>
          <w:rFonts w:ascii="Times New Roman" w:hAnsi="Times New Roman"/>
          <w:sz w:val="16"/>
          <w:szCs w:val="16"/>
        </w:rPr>
        <w:t>Bayon</w:t>
      </w:r>
      <w:proofErr w:type="spellEnd"/>
      <w:r w:rsidRPr="000639BA">
        <w:rPr>
          <w:rFonts w:ascii="Times New Roman" w:hAnsi="Times New Roman"/>
          <w:sz w:val="16"/>
          <w:szCs w:val="16"/>
        </w:rPr>
        <w:t xml:space="preserve">, R. (2004). </w:t>
      </w:r>
      <w:r w:rsidRPr="000639BA">
        <w:rPr>
          <w:rFonts w:ascii="Times New Roman" w:hAnsi="Times New Roman"/>
          <w:i/>
          <w:iCs/>
          <w:sz w:val="16"/>
          <w:szCs w:val="16"/>
        </w:rPr>
        <w:t xml:space="preserve">Biodiversity offsets: Views, experience, and the business case. </w:t>
      </w:r>
      <w:r w:rsidRPr="00584647">
        <w:rPr>
          <w:rFonts w:ascii="Times New Roman" w:hAnsi="Times New Roman"/>
          <w:sz w:val="16"/>
          <w:szCs w:val="16"/>
        </w:rPr>
        <w:t>IUCN, Gland, Switzerland and Cambridge, UK and Insight Investment, London, UK.</w:t>
      </w:r>
    </w:p>
  </w:footnote>
  <w:footnote w:id="173">
    <w:p w14:paraId="5A1EDACC" w14:textId="77777777" w:rsidR="00002536" w:rsidRPr="00584647" w:rsidRDefault="00002536" w:rsidP="00E370CC">
      <w:pPr>
        <w:pStyle w:val="FootnoteText"/>
        <w:jc w:val="both"/>
      </w:pPr>
      <w:r w:rsidRPr="00584647">
        <w:rPr>
          <w:rStyle w:val="FootnoteReference"/>
        </w:rPr>
        <w:footnoteRef/>
      </w:r>
      <w:r w:rsidRPr="00584647">
        <w:t xml:space="preserve"> </w:t>
      </w:r>
      <w:r w:rsidRPr="00584647">
        <w:rPr>
          <w:lang w:eastAsia="en-US"/>
        </w:rPr>
        <w:t>Ibidem.</w:t>
      </w:r>
    </w:p>
  </w:footnote>
  <w:footnote w:id="174">
    <w:p w14:paraId="0F2E6272" w14:textId="77777777" w:rsidR="00002536" w:rsidRPr="000639BA" w:rsidRDefault="00002536" w:rsidP="00E370CC">
      <w:pPr>
        <w:spacing w:after="60" w:line="240" w:lineRule="auto"/>
        <w:rPr>
          <w:rFonts w:ascii="Times New Roman" w:hAnsi="Times New Roman"/>
          <w:sz w:val="16"/>
          <w:szCs w:val="16"/>
          <w:lang w:val="sv-SE"/>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w:t>
      </w:r>
      <w:proofErr w:type="spellStart"/>
      <w:r w:rsidRPr="000639BA">
        <w:rPr>
          <w:rFonts w:ascii="Times New Roman" w:hAnsi="Times New Roman"/>
          <w:sz w:val="16"/>
          <w:szCs w:val="16"/>
        </w:rPr>
        <w:t>Rundcrantz</w:t>
      </w:r>
      <w:proofErr w:type="spellEnd"/>
      <w:r w:rsidRPr="000639BA">
        <w:rPr>
          <w:rFonts w:ascii="Times New Roman" w:hAnsi="Times New Roman"/>
          <w:sz w:val="16"/>
          <w:szCs w:val="16"/>
        </w:rPr>
        <w:t xml:space="preserve">, K., 2006. Environmental compensation in Swedish road planning. </w:t>
      </w:r>
      <w:r w:rsidRPr="000639BA">
        <w:rPr>
          <w:rFonts w:ascii="Times New Roman" w:hAnsi="Times New Roman"/>
          <w:sz w:val="16"/>
          <w:szCs w:val="16"/>
          <w:lang w:val="sv-SE"/>
        </w:rPr>
        <w:t xml:space="preserve">Eur. Environ. </w:t>
      </w:r>
      <w:r w:rsidRPr="000639BA">
        <w:rPr>
          <w:rFonts w:ascii="Times New Roman" w:hAnsi="Times New Roman"/>
          <w:sz w:val="16"/>
          <w:szCs w:val="16"/>
          <w:lang w:val="sv-SE"/>
        </w:rPr>
        <w:t xml:space="preserve">16 (6), 350–367, </w:t>
      </w:r>
      <w:r w:rsidR="00CA0F09">
        <w:fldChar w:fldCharType="begin"/>
      </w:r>
      <w:r w:rsidR="00CA0F09">
        <w:instrText xml:space="preserve"> HYPERLINK "http://dx.doi.org/10.1002/eet.429" </w:instrText>
      </w:r>
      <w:r w:rsidR="00CA0F09">
        <w:fldChar w:fldCharType="separate"/>
      </w:r>
      <w:r w:rsidRPr="000639BA">
        <w:rPr>
          <w:rStyle w:val="Hyperlink"/>
          <w:rFonts w:ascii="Times New Roman" w:hAnsi="Times New Roman"/>
          <w:sz w:val="16"/>
          <w:szCs w:val="16"/>
          <w:u w:val="none"/>
          <w:lang w:val="sv-SE"/>
        </w:rPr>
        <w:t>http://dx.doi.org/10.1002/eet.429</w:t>
      </w:r>
      <w:r w:rsidR="00CA0F09">
        <w:rPr>
          <w:rStyle w:val="Hyperlink"/>
          <w:rFonts w:ascii="Times New Roman" w:hAnsi="Times New Roman"/>
          <w:sz w:val="16"/>
          <w:szCs w:val="16"/>
          <w:u w:val="none"/>
          <w:lang w:val="sv-SE"/>
        </w:rPr>
        <w:fldChar w:fldCharType="end"/>
      </w:r>
      <w:r w:rsidRPr="000639BA">
        <w:rPr>
          <w:rFonts w:ascii="Times New Roman" w:hAnsi="Times New Roman"/>
          <w:sz w:val="16"/>
          <w:szCs w:val="16"/>
          <w:lang w:val="sv-SE"/>
        </w:rPr>
        <w:t>.</w:t>
      </w:r>
    </w:p>
  </w:footnote>
  <w:footnote w:id="175">
    <w:p w14:paraId="01836E5C" w14:textId="77777777" w:rsidR="00002536" w:rsidRPr="000639BA" w:rsidRDefault="00002536" w:rsidP="00E370CC">
      <w:pPr>
        <w:spacing w:after="60" w:line="240" w:lineRule="auto"/>
        <w:rPr>
          <w:lang w:val="en-US"/>
        </w:rPr>
      </w:pPr>
      <w:r w:rsidRPr="000639BA">
        <w:rPr>
          <w:rStyle w:val="FootnoteReference"/>
          <w:rFonts w:ascii="Times New Roman" w:hAnsi="Times New Roman"/>
          <w:sz w:val="16"/>
          <w:szCs w:val="16"/>
        </w:rPr>
        <w:footnoteRef/>
      </w:r>
      <w:r w:rsidRPr="000639BA">
        <w:rPr>
          <w:rFonts w:ascii="Times New Roman" w:hAnsi="Times New Roman"/>
          <w:sz w:val="16"/>
          <w:szCs w:val="16"/>
          <w:lang w:val="sv-SE"/>
        </w:rPr>
        <w:t xml:space="preserve"> Lerman, P., 2014. Kapitel 3: Kompensation för kulturmiljöintresse [Chapter 3: Compensation for cultural environmental interests]. In: Danielson, B., Lerman, P., Nordblad, J., Rönn, M., Swedberg, S., Grahn Danielson, B., Rönn, N., Swedberg, S. (Eds.), Kultur</w:t>
      </w:r>
      <w:r w:rsidRPr="00584647">
        <w:rPr>
          <w:rFonts w:ascii="Times New Roman" w:hAnsi="Times New Roman"/>
          <w:sz w:val="16"/>
          <w:szCs w:val="16"/>
          <w:lang w:val="sv-SE"/>
        </w:rPr>
        <w:t xml:space="preserve">arv i samhällsplaneringen −Kompensation av kulturmiljövärden. </w:t>
      </w:r>
      <w:r w:rsidRPr="00584647">
        <w:rPr>
          <w:rFonts w:ascii="Times New Roman" w:hAnsi="Times New Roman"/>
          <w:sz w:val="16"/>
          <w:szCs w:val="16"/>
          <w:lang w:val="en-US"/>
        </w:rPr>
        <w:t xml:space="preserve">Rio </w:t>
      </w:r>
      <w:proofErr w:type="spellStart"/>
      <w:r w:rsidRPr="00584647">
        <w:rPr>
          <w:rFonts w:ascii="Times New Roman" w:hAnsi="Times New Roman"/>
          <w:sz w:val="16"/>
          <w:szCs w:val="16"/>
          <w:lang w:val="en-US"/>
        </w:rPr>
        <w:t>Kulturlandskapet</w:t>
      </w:r>
      <w:proofErr w:type="spellEnd"/>
      <w:r w:rsidRPr="00584647">
        <w:rPr>
          <w:rFonts w:ascii="Times New Roman" w:hAnsi="Times New Roman"/>
          <w:sz w:val="16"/>
          <w:szCs w:val="16"/>
          <w:lang w:val="en-US"/>
        </w:rPr>
        <w:t xml:space="preserve"> and KTH/</w:t>
      </w:r>
      <w:proofErr w:type="spellStart"/>
      <w:r w:rsidRPr="00584647">
        <w:rPr>
          <w:rFonts w:ascii="Times New Roman" w:hAnsi="Times New Roman"/>
          <w:sz w:val="16"/>
          <w:szCs w:val="16"/>
          <w:lang w:val="en-US"/>
        </w:rPr>
        <w:t>Arkitektur</w:t>
      </w:r>
      <w:proofErr w:type="spellEnd"/>
      <w:r w:rsidRPr="00584647">
        <w:rPr>
          <w:rFonts w:ascii="Times New Roman" w:hAnsi="Times New Roman"/>
          <w:sz w:val="16"/>
          <w:szCs w:val="16"/>
          <w:lang w:val="en-US"/>
        </w:rPr>
        <w:t xml:space="preserve">, Stockholm, pp. 39–82, Retrieved from </w:t>
      </w:r>
      <w:hyperlink r:id="rId51" w:history="1">
        <w:r w:rsidRPr="000639BA">
          <w:rPr>
            <w:rStyle w:val="Hyperlink"/>
            <w:rFonts w:ascii="Times New Roman" w:hAnsi="Times New Roman"/>
            <w:sz w:val="16"/>
            <w:szCs w:val="16"/>
            <w:u w:val="none"/>
            <w:lang w:val="en-US"/>
          </w:rPr>
          <w:t>http://www.kulturland.se/wp- content/uploads/2014/12/</w:t>
        </w:r>
        <w:proofErr w:type="spellStart"/>
        <w:r w:rsidRPr="000639BA">
          <w:rPr>
            <w:rStyle w:val="Hyperlink"/>
            <w:rFonts w:ascii="Times New Roman" w:hAnsi="Times New Roman"/>
            <w:sz w:val="16"/>
            <w:szCs w:val="16"/>
            <w:u w:val="none"/>
            <w:lang w:val="en-US"/>
          </w:rPr>
          <w:t>Kompensation</w:t>
        </w:r>
        <w:proofErr w:type="spellEnd"/>
        <w:r w:rsidRPr="000639BA">
          <w:rPr>
            <w:rStyle w:val="Hyperlink"/>
            <w:rFonts w:ascii="Times New Roman" w:hAnsi="Times New Roman"/>
            <w:sz w:val="16"/>
            <w:szCs w:val="16"/>
            <w:u w:val="none"/>
            <w:lang w:val="en-US"/>
          </w:rPr>
          <w:t xml:space="preserve"> low.pdf</w:t>
        </w:r>
      </w:hyperlink>
    </w:p>
  </w:footnote>
  <w:footnote w:id="176">
    <w:p w14:paraId="2A2D62B7" w14:textId="77777777" w:rsidR="00002536" w:rsidRPr="00584647" w:rsidRDefault="00002536" w:rsidP="00C9771D">
      <w:pPr>
        <w:pStyle w:val="FootnoteText"/>
        <w:spacing w:before="60"/>
        <w:rPr>
          <w:lang w:val="en-US"/>
        </w:rPr>
      </w:pPr>
      <w:r w:rsidRPr="00584647">
        <w:rPr>
          <w:rStyle w:val="FootnoteReference"/>
        </w:rPr>
        <w:footnoteRef/>
      </w:r>
      <w:r w:rsidRPr="00584647">
        <w:t xml:space="preserve"> See International Covenant on Civil and Political Rights (adopted 16 December 1966, entered into force 23 March 1976) 999 UNTS 171.</w:t>
      </w:r>
    </w:p>
  </w:footnote>
  <w:footnote w:id="177">
    <w:p w14:paraId="2A30CF2A" w14:textId="77777777" w:rsidR="00002536" w:rsidRPr="00584647" w:rsidRDefault="00002536" w:rsidP="00C9771D">
      <w:pPr>
        <w:spacing w:before="60" w:after="0" w:line="240" w:lineRule="auto"/>
        <w:jc w:val="both"/>
        <w:rPr>
          <w:rFonts w:ascii="Times New Roman" w:hAnsi="Times New Roman"/>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International Convention on Civil and Political Rights Committee, 2009. Concluding Observations of the Human Rights Committee for the Ninety-Fifth session: Sweden, U.N. Doc. CCPR/C/SWE/CO/6, 20. Human Rights Committee, New York </w:t>
      </w:r>
    </w:p>
  </w:footnote>
  <w:footnote w:id="178">
    <w:p w14:paraId="2D884494" w14:textId="77777777" w:rsidR="00002536" w:rsidRPr="000639BA" w:rsidRDefault="00002536" w:rsidP="00C9771D">
      <w:pPr>
        <w:spacing w:before="60" w:after="0" w:line="240" w:lineRule="auto"/>
        <w:jc w:val="both"/>
        <w:rPr>
          <w:rFonts w:ascii="Times New Roman" w:hAnsi="Times New Roman"/>
          <w:sz w:val="24"/>
          <w:szCs w:val="24"/>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UN Human Rights Council, 2016. Report of the Special Rapporteur on the Rights of Indigenous Peoples on the Human Rights Situation of the Sami People in the </w:t>
      </w:r>
      <w:proofErr w:type="spellStart"/>
      <w:r w:rsidRPr="000639BA">
        <w:rPr>
          <w:rFonts w:ascii="Times New Roman" w:hAnsi="Times New Roman"/>
          <w:sz w:val="16"/>
          <w:szCs w:val="16"/>
        </w:rPr>
        <w:t>Sápmi</w:t>
      </w:r>
      <w:proofErr w:type="spellEnd"/>
      <w:r w:rsidRPr="000639BA">
        <w:rPr>
          <w:rFonts w:ascii="Times New Roman" w:hAnsi="Times New Roman"/>
          <w:sz w:val="16"/>
          <w:szCs w:val="16"/>
        </w:rPr>
        <w:t xml:space="preserve"> Region of Norway, Sweden and Finland. UN Human Rights Council, Retrieved, from </w:t>
      </w:r>
      <w:hyperlink r:id="rId52" w:history="1">
        <w:r w:rsidRPr="000639BA">
          <w:rPr>
            <w:rStyle w:val="Hyperlink"/>
            <w:rFonts w:ascii="Times New Roman" w:hAnsi="Times New Roman"/>
            <w:sz w:val="16"/>
            <w:szCs w:val="16"/>
            <w:u w:val="none"/>
          </w:rPr>
          <w:t>https://documents-dds-ny.un.org/doc/UNDOC/GEN/G16/175/50/PDF/G1617550.pdf?OpenElement</w:t>
        </w:r>
      </w:hyperlink>
    </w:p>
  </w:footnote>
  <w:footnote w:id="179">
    <w:p w14:paraId="5FBBBA71" w14:textId="77777777" w:rsidR="00002536" w:rsidRPr="00584647" w:rsidRDefault="00002536" w:rsidP="00C9771D">
      <w:pPr>
        <w:pStyle w:val="FootnoteText"/>
      </w:pPr>
      <w:r w:rsidRPr="00584647">
        <w:rPr>
          <w:rStyle w:val="FootnoteReference"/>
        </w:rPr>
        <w:footnoteRef/>
      </w:r>
      <w:r w:rsidRPr="00584647">
        <w:t xml:space="preserve"> </w:t>
      </w:r>
      <w:r w:rsidRPr="00584647">
        <w:rPr>
          <w:lang w:val="en-US"/>
        </w:rPr>
        <w:t>See</w:t>
      </w:r>
      <w:r w:rsidRPr="00584647">
        <w:t xml:space="preserve"> par. 40, p. 12</w:t>
      </w:r>
    </w:p>
  </w:footnote>
  <w:footnote w:id="180">
    <w:p w14:paraId="3FEC6CFC" w14:textId="77777777" w:rsidR="00002536" w:rsidRPr="00584647" w:rsidRDefault="00002536" w:rsidP="00C9771D">
      <w:pPr>
        <w:pStyle w:val="FootnoteText"/>
        <w:spacing w:before="60"/>
        <w:rPr>
          <w:lang w:val="en-US"/>
        </w:rPr>
      </w:pPr>
      <w:r w:rsidRPr="00584647">
        <w:rPr>
          <w:rStyle w:val="FootnoteReference"/>
        </w:rPr>
        <w:footnoteRef/>
      </w:r>
      <w:r w:rsidRPr="00584647">
        <w:t xml:space="preserve"> See </w:t>
      </w:r>
      <w:proofErr w:type="spellStart"/>
      <w:r w:rsidRPr="00584647">
        <w:t>Väglag</w:t>
      </w:r>
      <w:proofErr w:type="spellEnd"/>
      <w:r w:rsidRPr="00584647">
        <w:t xml:space="preserve"> (1971:948) §18 for highways, https://www.notisum.se/rnp/sls/lag/19710948.htm</w:t>
      </w:r>
    </w:p>
  </w:footnote>
  <w:footnote w:id="181">
    <w:p w14:paraId="6CBC9900" w14:textId="77777777" w:rsidR="00002536" w:rsidRPr="00584647" w:rsidRDefault="00002536" w:rsidP="00810C20">
      <w:pPr>
        <w:pStyle w:val="FootnoteText"/>
      </w:pPr>
      <w:r w:rsidRPr="00584647">
        <w:rPr>
          <w:rStyle w:val="FootnoteReference"/>
        </w:rPr>
        <w:footnoteRef/>
      </w:r>
      <w:r w:rsidRPr="00584647">
        <w:t xml:space="preserve"> World Bank, 2005. </w:t>
      </w:r>
      <w:r w:rsidRPr="00584647">
        <w:rPr>
          <w:i/>
        </w:rPr>
        <w:t>Environmental fiscal reform. What should be done and how to achieve it,</w:t>
      </w:r>
      <w:r w:rsidRPr="00584647">
        <w:t xml:space="preserve"> The International Bank for Reconstruction and</w:t>
      </w:r>
      <w:r w:rsidRPr="00584647">
        <w:rPr>
          <w:color w:val="000000"/>
        </w:rPr>
        <w:t xml:space="preserve"> Development/The World Bank, Washington, USA </w:t>
      </w:r>
      <w:hyperlink r:id="rId53" w:history="1">
        <w:r w:rsidRPr="00584647">
          <w:rPr>
            <w:rStyle w:val="Hyperlink"/>
            <w:u w:val="none"/>
          </w:rPr>
          <w:t>http://siteresources.worldbank.org/INTRANETENVIRONMENT/Publications/20712869/EnvFiscalReform.pdf</w:t>
        </w:r>
      </w:hyperlink>
      <w:r w:rsidRPr="00584647">
        <w:rPr>
          <w:color w:val="000000"/>
        </w:rPr>
        <w:t xml:space="preserve">, accessed 12 November 2012. See also OECD 2005 </w:t>
      </w:r>
      <w:r w:rsidRPr="00584647">
        <w:rPr>
          <w:iCs/>
        </w:rPr>
        <w:t xml:space="preserve">Environmental Fiscal Reform for Poverty Reduction, </w:t>
      </w:r>
      <w:r w:rsidRPr="00584647">
        <w:rPr>
          <w:color w:val="000000"/>
        </w:rPr>
        <w:t>DAC Guidelines and Reference Series,</w:t>
      </w:r>
      <w:r w:rsidRPr="00584647">
        <w:t xml:space="preserve"> </w:t>
      </w:r>
      <w:r w:rsidRPr="00584647">
        <w:rPr>
          <w:color w:val="000000"/>
        </w:rPr>
        <w:t xml:space="preserve">: </w:t>
      </w:r>
      <w:hyperlink r:id="rId54" w:history="1">
        <w:r w:rsidRPr="00584647">
          <w:rPr>
            <w:rStyle w:val="Hyperlink"/>
            <w:u w:val="none"/>
          </w:rPr>
          <w:t>http://www.oecd.org/greengrowth/green-development/34996292.pdf</w:t>
        </w:r>
      </w:hyperlink>
      <w:r w:rsidRPr="00584647">
        <w:rPr>
          <w:color w:val="000000"/>
        </w:rPr>
        <w:t xml:space="preserve"> accessed 12 November 2012.</w:t>
      </w:r>
    </w:p>
  </w:footnote>
  <w:footnote w:id="182">
    <w:p w14:paraId="1A468D7D" w14:textId="77777777" w:rsidR="00002536" w:rsidRPr="00584647" w:rsidRDefault="00002536" w:rsidP="00810C20">
      <w:pPr>
        <w:pStyle w:val="FootnoteText"/>
        <w:jc w:val="both"/>
      </w:pPr>
      <w:r w:rsidRPr="00584647">
        <w:rPr>
          <w:rStyle w:val="FootnoteReference"/>
        </w:rPr>
        <w:footnoteRef/>
      </w:r>
      <w:r w:rsidRPr="00584647">
        <w:t xml:space="preserve"> van Beers, C. and J.C.J.M. van den Bergh, 2001, Perseverance of perverse subsidies and their impact on trade and environment, </w:t>
      </w:r>
      <w:r w:rsidRPr="00584647">
        <w:rPr>
          <w:i/>
          <w:iCs/>
        </w:rPr>
        <w:t xml:space="preserve">Ecological Economics </w:t>
      </w:r>
      <w:r w:rsidRPr="00584647">
        <w:t xml:space="preserve">36, 475-486. </w:t>
      </w:r>
    </w:p>
  </w:footnote>
  <w:footnote w:id="183">
    <w:p w14:paraId="1FAEAAE3" w14:textId="77777777" w:rsidR="00002536" w:rsidRPr="00584647" w:rsidRDefault="00002536" w:rsidP="00810C20">
      <w:pPr>
        <w:pStyle w:val="FootnoteText"/>
        <w:jc w:val="both"/>
      </w:pPr>
      <w:r w:rsidRPr="00584647">
        <w:rPr>
          <w:rStyle w:val="FootnoteReference"/>
        </w:rPr>
        <w:footnoteRef/>
      </w:r>
      <w:r w:rsidRPr="00584647">
        <w:t xml:space="preserve"> See e.g. </w:t>
      </w:r>
      <w:proofErr w:type="spellStart"/>
      <w:r w:rsidRPr="00584647">
        <w:t>Humavindu</w:t>
      </w:r>
      <w:proofErr w:type="spellEnd"/>
      <w:r w:rsidRPr="00584647">
        <w:t xml:space="preserve">, M. and Jonathan, I., 2006. The identification and quantification of best practice in innovative financing for biodiversity conservation and sustainable use in Namibia, DEA Research Discussion Paper, No. 75, July 2006 </w:t>
      </w:r>
      <w:hyperlink r:id="rId55" w:history="1">
        <w:r w:rsidRPr="00584647">
          <w:rPr>
            <w:rStyle w:val="Hyperlink"/>
            <w:u w:val="none"/>
          </w:rPr>
          <w:t>http://www.drfn.info:85/pdf/RDP75.pdf</w:t>
        </w:r>
      </w:hyperlink>
      <w:r w:rsidRPr="00584647">
        <w:t xml:space="preserve"> Accessed 22nd May 2014; </w:t>
      </w:r>
      <w:proofErr w:type="spellStart"/>
      <w:r w:rsidRPr="00584647">
        <w:rPr>
          <w:rStyle w:val="name"/>
          <w:color w:val="403838"/>
        </w:rPr>
        <w:t>Sahlén</w:t>
      </w:r>
      <w:proofErr w:type="spellEnd"/>
      <w:r w:rsidRPr="00584647">
        <w:rPr>
          <w:color w:val="403838"/>
        </w:rPr>
        <w:t xml:space="preserve"> L. and </w:t>
      </w:r>
      <w:r w:rsidRPr="00584647">
        <w:rPr>
          <w:rStyle w:val="name"/>
          <w:color w:val="403838"/>
        </w:rPr>
        <w:t xml:space="preserve">Stage, J. 2012, </w:t>
      </w:r>
      <w:r w:rsidRPr="00584647">
        <w:rPr>
          <w:bCs/>
          <w:color w:val="403838"/>
          <w:kern w:val="36"/>
        </w:rPr>
        <w:t xml:space="preserve">Environmental Fiscal Reform in Namibia: </w:t>
      </w:r>
      <w:r w:rsidRPr="00584647">
        <w:rPr>
          <w:bCs/>
          <w:color w:val="403838"/>
        </w:rPr>
        <w:t xml:space="preserve">A Potential Approach to Reduce Poverty? </w:t>
      </w:r>
      <w:r w:rsidRPr="00584647">
        <w:rPr>
          <w:i/>
          <w:color w:val="333300"/>
        </w:rPr>
        <w:t xml:space="preserve">The Journal of Environment and Development, </w:t>
      </w:r>
      <w:r w:rsidRPr="00584647">
        <w:rPr>
          <w:rStyle w:val="slug-vol"/>
          <w:color w:val="333300"/>
        </w:rPr>
        <w:t xml:space="preserve">Vol. 21 </w:t>
      </w:r>
      <w:r w:rsidRPr="00584647">
        <w:rPr>
          <w:rStyle w:val="slug-issue"/>
          <w:color w:val="333300"/>
        </w:rPr>
        <w:t xml:space="preserve">no. 2 and </w:t>
      </w:r>
      <w:r w:rsidRPr="00584647">
        <w:t xml:space="preserve">Farooqui, M.F. and Schultz, M., 2012. </w:t>
      </w:r>
    </w:p>
    <w:p w14:paraId="0ADE7BF8" w14:textId="77777777" w:rsidR="00002536" w:rsidRPr="00584647" w:rsidRDefault="00002536" w:rsidP="00810C20">
      <w:pPr>
        <w:pStyle w:val="FootnoteText"/>
        <w:jc w:val="both"/>
      </w:pPr>
      <w:r w:rsidRPr="00584647">
        <w:t xml:space="preserve">For a deeper description of the favourable conditions for implementing environmental fiscal reform, see </w:t>
      </w:r>
      <w:r w:rsidRPr="00584647">
        <w:rPr>
          <w:iCs/>
        </w:rPr>
        <w:t xml:space="preserve">UNEP (2004) </w:t>
      </w:r>
      <w:r w:rsidRPr="00584647">
        <w:rPr>
          <w:i/>
        </w:rPr>
        <w:t>Opportunities and Challenges for the Use of Economic Instruments in Environmental Policy</w:t>
      </w:r>
      <w:r w:rsidRPr="00584647">
        <w:rPr>
          <w:iCs/>
        </w:rPr>
        <w:t>, United Nations Environment Programme, Geneva, Switzerland.</w:t>
      </w:r>
      <w:r w:rsidRPr="00584647">
        <w:t xml:space="preserve"> </w:t>
      </w:r>
      <w:hyperlink r:id="rId56" w:history="1">
        <w:r w:rsidRPr="00584647">
          <w:rPr>
            <w:rStyle w:val="Hyperlink"/>
            <w:iCs/>
            <w:u w:val="none"/>
          </w:rPr>
          <w:t>http://www.unep.ch/etb/publications/EconInst/econInstruOppChnaFin.pdf</w:t>
        </w:r>
      </w:hyperlink>
      <w:r w:rsidRPr="00584647">
        <w:rPr>
          <w:iCs/>
        </w:rPr>
        <w:t xml:space="preserve"> Accessed 22nd May 2014.</w:t>
      </w:r>
    </w:p>
  </w:footnote>
  <w:footnote w:id="184">
    <w:p w14:paraId="144680BC" w14:textId="77777777" w:rsidR="00002536" w:rsidRPr="00584647" w:rsidRDefault="00002536" w:rsidP="00810C20">
      <w:pPr>
        <w:pStyle w:val="FootnoteText"/>
      </w:pPr>
      <w:r w:rsidRPr="00584647">
        <w:rPr>
          <w:rStyle w:val="FootnoteReference"/>
        </w:rPr>
        <w:footnoteRef/>
      </w:r>
      <w:r w:rsidRPr="00584647">
        <w:t xml:space="preserve"> Interview conducted at the </w:t>
      </w:r>
      <w:r w:rsidRPr="00584647">
        <w:rPr>
          <w:lang w:val="en-US"/>
        </w:rPr>
        <w:t>Third Meeting Of The Global Partnership For Business And Biodiversity took place in Montreal (Canada) the 2-3 of October 2013.</w:t>
      </w:r>
    </w:p>
  </w:footnote>
  <w:footnote w:id="185">
    <w:p w14:paraId="6FC56324" w14:textId="77777777" w:rsidR="00002536" w:rsidRPr="00584647" w:rsidRDefault="00002536" w:rsidP="00810C20">
      <w:pPr>
        <w:spacing w:after="60" w:line="240" w:lineRule="auto"/>
        <w:jc w:val="both"/>
        <w:rPr>
          <w:rFonts w:ascii="Times New Roman" w:hAnsi="Times New Roman"/>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w:t>
      </w:r>
      <w:proofErr w:type="spellStart"/>
      <w:r w:rsidRPr="000639BA">
        <w:rPr>
          <w:rFonts w:ascii="Times New Roman" w:hAnsi="Times New Roman"/>
          <w:sz w:val="16"/>
          <w:szCs w:val="16"/>
          <w:lang w:val="en-US"/>
        </w:rPr>
        <w:t>Barbier</w:t>
      </w:r>
      <w:proofErr w:type="spellEnd"/>
      <w:r w:rsidRPr="000639BA">
        <w:rPr>
          <w:rFonts w:ascii="Times New Roman" w:hAnsi="Times New Roman"/>
          <w:sz w:val="16"/>
          <w:szCs w:val="16"/>
          <w:lang w:val="en-US"/>
        </w:rPr>
        <w:t xml:space="preserve"> E. (2012) Sustainability: Tax 'societal ills' to s</w:t>
      </w:r>
      <w:r w:rsidRPr="00584647">
        <w:rPr>
          <w:rFonts w:ascii="Times New Roman" w:hAnsi="Times New Roman"/>
          <w:sz w:val="16"/>
          <w:szCs w:val="16"/>
          <w:lang w:val="en-US"/>
        </w:rPr>
        <w:t>ave the planet. Nature 483, 30.</w:t>
      </w:r>
    </w:p>
  </w:footnote>
  <w:footnote w:id="186">
    <w:p w14:paraId="02795AC9" w14:textId="77777777" w:rsidR="00002536" w:rsidRPr="00584647" w:rsidRDefault="00002536" w:rsidP="00810C20">
      <w:pPr>
        <w:pStyle w:val="FootnoteText"/>
        <w:jc w:val="both"/>
        <w:rPr>
          <w:lang w:val="en-US"/>
        </w:rPr>
      </w:pPr>
      <w:r w:rsidRPr="00584647">
        <w:rPr>
          <w:rStyle w:val="FootnoteReference"/>
        </w:rPr>
        <w:footnoteRef/>
      </w:r>
      <w:r w:rsidRPr="00584647">
        <w:t xml:space="preserve"> UNEP/CBD/WGRI/3/INF/5. </w:t>
      </w:r>
    </w:p>
  </w:footnote>
  <w:footnote w:id="187">
    <w:p w14:paraId="049C8A7E" w14:textId="77777777" w:rsidR="00002536" w:rsidRPr="00584647" w:rsidRDefault="00002536" w:rsidP="00810C20">
      <w:pPr>
        <w:pStyle w:val="FootnoteText"/>
        <w:jc w:val="both"/>
        <w:rPr>
          <w:lang w:val="en-US"/>
        </w:rPr>
      </w:pPr>
      <w:r w:rsidRPr="00584647">
        <w:rPr>
          <w:rStyle w:val="FootnoteReference"/>
        </w:rPr>
        <w:footnoteRef/>
      </w:r>
      <w:r w:rsidRPr="00584647">
        <w:t xml:space="preserve"> Goal 3: Strengthen existing financial institutions and promote replication and scaling-up of successful financial mechanisms and instruments. 3.2 To strive to increase official development assistance associated with biological diversity, where biodiversity is identified as a priority by developing country Parties in poverty reduction strategies, national development strategies, United Nations development assistance frameworks and other development assistance strategies and in accordance with priorities identified in national biodiversity strategies and action plans. </w:t>
      </w:r>
    </w:p>
  </w:footnote>
  <w:footnote w:id="188">
    <w:p w14:paraId="0479C378" w14:textId="77777777" w:rsidR="00002536" w:rsidRPr="00584647" w:rsidRDefault="00002536" w:rsidP="003E139D">
      <w:pPr>
        <w:pStyle w:val="FootnoteText"/>
        <w:spacing w:before="60" w:after="0"/>
        <w:jc w:val="both"/>
        <w:rPr>
          <w:lang w:val="en-US"/>
        </w:rPr>
      </w:pPr>
      <w:r w:rsidRPr="00584647">
        <w:rPr>
          <w:rStyle w:val="FootnoteReference"/>
        </w:rPr>
        <w:footnoteRef/>
      </w:r>
      <w:r w:rsidRPr="00584647">
        <w:t xml:space="preserve"> Goal 5: Mainstream biological diversity and its associated ecosystem services in development cooperation plans and priorities including the linkage between Convention's work programmes and Millennium Development Goals. </w:t>
      </w:r>
    </w:p>
  </w:footnote>
  <w:footnote w:id="189">
    <w:p w14:paraId="4E4C85D6" w14:textId="77777777" w:rsidR="00002536" w:rsidRPr="00584647" w:rsidRDefault="00002536" w:rsidP="003E139D">
      <w:pPr>
        <w:pStyle w:val="FootnoteText"/>
        <w:spacing w:before="60" w:after="0"/>
        <w:jc w:val="both"/>
      </w:pPr>
      <w:r w:rsidRPr="00584647">
        <w:rPr>
          <w:rStyle w:val="FootnoteReference"/>
        </w:rPr>
        <w:footnoteRef/>
      </w:r>
      <w:r w:rsidRPr="00584647">
        <w:t xml:space="preserve"> </w:t>
      </w:r>
      <w:r w:rsidRPr="00584647">
        <w:rPr>
          <w:bCs/>
        </w:rPr>
        <w:t xml:space="preserve">COP 9 Decision IX/11, Review of implementation of Articles 20 and 21, </w:t>
      </w:r>
      <w:hyperlink r:id="rId57" w:history="1">
        <w:r w:rsidRPr="00584647">
          <w:rPr>
            <w:rStyle w:val="Hyperlink"/>
            <w:bCs/>
            <w:u w:val="none"/>
          </w:rPr>
          <w:t>www.cbd.int/decision/cop/?id=11654</w:t>
        </w:r>
      </w:hyperlink>
      <w:r w:rsidRPr="00584647">
        <w:rPr>
          <w:bCs/>
        </w:rPr>
        <w:t>, accessed 25 July 2012.</w:t>
      </w:r>
    </w:p>
  </w:footnote>
  <w:footnote w:id="190">
    <w:p w14:paraId="68B7369D" w14:textId="77777777" w:rsidR="00002536" w:rsidRPr="00584647" w:rsidRDefault="00002536" w:rsidP="003E139D">
      <w:pPr>
        <w:pStyle w:val="FootnoteText"/>
        <w:spacing w:before="60" w:after="0"/>
        <w:jc w:val="both"/>
      </w:pPr>
      <w:r w:rsidRPr="00584647">
        <w:rPr>
          <w:rStyle w:val="FootnoteReference"/>
        </w:rPr>
        <w:footnoteRef/>
      </w:r>
      <w:r w:rsidRPr="00584647">
        <w:t xml:space="preserve"> See The Plan Vivo Standards 2008 available at </w:t>
      </w:r>
      <w:r w:rsidRPr="00584647">
        <w:rPr>
          <w:color w:val="0000FF"/>
        </w:rPr>
        <w:t>www.planvivo.org/documents/standards.pdf.</w:t>
      </w:r>
      <w:r w:rsidRPr="00584647">
        <w:t xml:space="preserve"> </w:t>
      </w:r>
    </w:p>
  </w:footnote>
  <w:footnote w:id="191">
    <w:p w14:paraId="57B7101B" w14:textId="77777777" w:rsidR="00002536" w:rsidRPr="000639BA" w:rsidRDefault="00002536" w:rsidP="003E139D">
      <w:pPr>
        <w:shd w:val="clear" w:color="auto" w:fill="FFFFFF"/>
        <w:spacing w:before="60" w:after="0" w:line="240" w:lineRule="auto"/>
        <w:jc w:val="both"/>
        <w:rPr>
          <w:rFonts w:ascii="Times New Roman" w:hAnsi="Times New Roman"/>
          <w:sz w:val="16"/>
          <w:szCs w:val="16"/>
        </w:rPr>
      </w:pPr>
      <w:r w:rsidRPr="000639BA">
        <w:rPr>
          <w:rStyle w:val="FootnoteReference"/>
          <w:rFonts w:ascii="Times New Roman" w:hAnsi="Times New Roman"/>
          <w:sz w:val="16"/>
          <w:szCs w:val="16"/>
        </w:rPr>
        <w:footnoteRef/>
      </w:r>
      <w:r w:rsidRPr="000639BA">
        <w:rPr>
          <w:rFonts w:ascii="Times New Roman" w:hAnsi="Times New Roman"/>
          <w:color w:val="333333"/>
          <w:sz w:val="16"/>
          <w:szCs w:val="16"/>
        </w:rPr>
        <w:t xml:space="preserve">  See </w:t>
      </w:r>
      <w:hyperlink r:id="rId58" w:history="1">
        <w:r w:rsidRPr="000639BA">
          <w:rPr>
            <w:rStyle w:val="Hyperlink"/>
            <w:rFonts w:ascii="Times New Roman" w:hAnsi="Times New Roman"/>
            <w:sz w:val="16"/>
            <w:szCs w:val="16"/>
            <w:u w:val="none"/>
          </w:rPr>
          <w:t>http://www.forestcarbonportal.com/project/index.php</w:t>
        </w:r>
      </w:hyperlink>
      <w:r w:rsidRPr="000639BA">
        <w:rPr>
          <w:rFonts w:ascii="Times New Roman" w:hAnsi="Times New Roman"/>
          <w:color w:val="333333"/>
          <w:sz w:val="16"/>
          <w:szCs w:val="16"/>
        </w:rPr>
        <w:t xml:space="preserve"> </w:t>
      </w:r>
    </w:p>
  </w:footnote>
  <w:footnote w:id="192">
    <w:p w14:paraId="24F1CB4E" w14:textId="77777777" w:rsidR="00002536" w:rsidRPr="00584647" w:rsidRDefault="00002536" w:rsidP="003E139D">
      <w:pPr>
        <w:pStyle w:val="FootnoteText"/>
        <w:spacing w:before="60" w:after="0"/>
        <w:jc w:val="both"/>
        <w:rPr>
          <w:lang w:val="en-US"/>
        </w:rPr>
      </w:pPr>
      <w:r w:rsidRPr="00584647">
        <w:rPr>
          <w:rStyle w:val="FootnoteReference"/>
        </w:rPr>
        <w:footnoteRef/>
      </w:r>
      <w:r w:rsidRPr="00584647">
        <w:rPr>
          <w:color w:val="333333"/>
          <w:lang w:val="en-US"/>
        </w:rPr>
        <w:t xml:space="preserve"> See </w:t>
      </w:r>
      <w:hyperlink r:id="rId59" w:history="1">
        <w:r w:rsidRPr="00584647">
          <w:rPr>
            <w:rStyle w:val="Hyperlink"/>
            <w:u w:val="none"/>
            <w:lang w:val="en-US"/>
          </w:rPr>
          <w:t>www.forestcarbonportal.com/project/ashaninca-communal-reserve-redd-project</w:t>
        </w:r>
      </w:hyperlink>
      <w:r w:rsidRPr="00584647">
        <w:t>.</w:t>
      </w:r>
    </w:p>
  </w:footnote>
  <w:footnote w:id="193">
    <w:p w14:paraId="6B112D99" w14:textId="77777777" w:rsidR="00002536" w:rsidRPr="00584647" w:rsidRDefault="00002536" w:rsidP="00810C20">
      <w:pPr>
        <w:pStyle w:val="FootnoteText"/>
        <w:rPr>
          <w:lang w:val="en-US"/>
        </w:rPr>
      </w:pPr>
      <w:r w:rsidRPr="00584647">
        <w:rPr>
          <w:rStyle w:val="FootnoteReference"/>
        </w:rPr>
        <w:footnoteRef/>
      </w:r>
      <w:r w:rsidRPr="00584647">
        <w:t xml:space="preserve"> </w:t>
      </w:r>
      <w:r w:rsidRPr="00584647">
        <w:rPr>
          <w:lang w:val="en-US"/>
        </w:rPr>
        <w:t>Department of Environment and Conservation (NSW) (2005) Biodiversity certification and banking in coastal and growth areas. DEC NSW: Sydney.</w:t>
      </w:r>
    </w:p>
  </w:footnote>
  <w:footnote w:id="194">
    <w:p w14:paraId="0D0F449D" w14:textId="77777777" w:rsidR="00002536" w:rsidRPr="00584647" w:rsidRDefault="00002536" w:rsidP="00810C20">
      <w:pPr>
        <w:pStyle w:val="FootnoteText"/>
        <w:rPr>
          <w:lang w:val="en-US"/>
        </w:rPr>
      </w:pPr>
      <w:r w:rsidRPr="00584647">
        <w:rPr>
          <w:rStyle w:val="FootnoteReference"/>
        </w:rPr>
        <w:footnoteRef/>
      </w:r>
      <w:r w:rsidRPr="00584647">
        <w:t xml:space="preserve"> </w:t>
      </w:r>
      <w:hyperlink r:id="rId60" w:history="1">
        <w:r w:rsidRPr="00584647">
          <w:rPr>
            <w:rStyle w:val="Hyperlink"/>
          </w:rPr>
          <w:t>http://www.ecolabelindex.com</w:t>
        </w:r>
      </w:hyperlink>
      <w:r w:rsidRPr="00584647">
        <w:t xml:space="preserve">. </w:t>
      </w:r>
    </w:p>
  </w:footnote>
  <w:footnote w:id="195">
    <w:p w14:paraId="1DC80298" w14:textId="77777777" w:rsidR="00002536" w:rsidRPr="00584647" w:rsidRDefault="00002536" w:rsidP="00810C20">
      <w:pPr>
        <w:pStyle w:val="FootnoteText"/>
        <w:rPr>
          <w:lang w:val="es-MX"/>
        </w:rPr>
      </w:pPr>
      <w:r w:rsidRPr="00584647">
        <w:rPr>
          <w:rStyle w:val="FootnoteReference"/>
        </w:rPr>
        <w:footnoteRef/>
      </w:r>
      <w:r w:rsidRPr="00584647">
        <w:t xml:space="preserve"> E.g. Jason Potts, Matthew Lynch, Ann </w:t>
      </w:r>
      <w:proofErr w:type="spellStart"/>
      <w:r w:rsidRPr="00584647">
        <w:t>Wilkings</w:t>
      </w:r>
      <w:proofErr w:type="spellEnd"/>
      <w:r w:rsidRPr="00584647">
        <w:t xml:space="preserve">, Gabriel </w:t>
      </w:r>
      <w:proofErr w:type="spellStart"/>
      <w:r w:rsidRPr="00584647">
        <w:t>Huppé</w:t>
      </w:r>
      <w:proofErr w:type="spellEnd"/>
      <w:r w:rsidRPr="00584647">
        <w:t xml:space="preserve">, Maxine Cunningham, </w:t>
      </w:r>
      <w:proofErr w:type="spellStart"/>
      <w:r w:rsidRPr="00584647">
        <w:t>Vivek</w:t>
      </w:r>
      <w:proofErr w:type="spellEnd"/>
      <w:r w:rsidRPr="00584647">
        <w:t xml:space="preserve"> </w:t>
      </w:r>
      <w:proofErr w:type="spellStart"/>
      <w:r w:rsidRPr="00584647">
        <w:t>Voora</w:t>
      </w:r>
      <w:proofErr w:type="spellEnd"/>
      <w:r w:rsidRPr="00584647">
        <w:t>. 2014. The State of Sustainability Initiatives Review 2014: Standards and the Green Economy. IISD, IIED.</w:t>
      </w:r>
    </w:p>
  </w:footnote>
  <w:footnote w:id="196">
    <w:p w14:paraId="4D858512" w14:textId="77777777" w:rsidR="00002536" w:rsidRPr="00584647" w:rsidRDefault="00002536" w:rsidP="0086368F">
      <w:pPr>
        <w:spacing w:before="60" w:after="0" w:line="240" w:lineRule="auto"/>
        <w:rPr>
          <w:rFonts w:ascii="Times New Roman" w:hAnsi="Times New Roman"/>
          <w:sz w:val="16"/>
          <w:szCs w:val="16"/>
          <w:lang w:val="en-CA"/>
        </w:rPr>
      </w:pPr>
      <w:r w:rsidRPr="000639BA">
        <w:rPr>
          <w:rStyle w:val="FootnoteReference"/>
          <w:rFonts w:ascii="Times New Roman" w:hAnsi="Times New Roman"/>
          <w:sz w:val="16"/>
          <w:szCs w:val="16"/>
        </w:rPr>
        <w:footnoteRef/>
      </w:r>
      <w:r w:rsidRPr="000639BA">
        <w:rPr>
          <w:rFonts w:ascii="Times New Roman" w:hAnsi="Times New Roman"/>
          <w:sz w:val="16"/>
          <w:szCs w:val="16"/>
          <w:lang w:val="es-MX"/>
        </w:rPr>
        <w:t xml:space="preserve"> </w:t>
      </w:r>
      <w:proofErr w:type="spellStart"/>
      <w:r w:rsidRPr="000639BA">
        <w:rPr>
          <w:rFonts w:ascii="Times New Roman" w:hAnsi="Times New Roman"/>
          <w:sz w:val="16"/>
          <w:szCs w:val="16"/>
          <w:lang w:val="es-MX"/>
        </w:rPr>
        <w:t>Libert</w:t>
      </w:r>
      <w:proofErr w:type="spellEnd"/>
      <w:r w:rsidRPr="000639BA">
        <w:rPr>
          <w:rFonts w:ascii="Times New Roman" w:hAnsi="Times New Roman"/>
          <w:sz w:val="16"/>
          <w:szCs w:val="16"/>
          <w:lang w:val="es-MX"/>
        </w:rPr>
        <w:t xml:space="preserve"> </w:t>
      </w:r>
      <w:proofErr w:type="spellStart"/>
      <w:r w:rsidRPr="000639BA">
        <w:rPr>
          <w:rFonts w:ascii="Times New Roman" w:hAnsi="Times New Roman"/>
          <w:sz w:val="16"/>
          <w:szCs w:val="16"/>
          <w:lang w:val="es-MX"/>
        </w:rPr>
        <w:t>Amico</w:t>
      </w:r>
      <w:proofErr w:type="spellEnd"/>
      <w:r w:rsidRPr="000639BA">
        <w:rPr>
          <w:rFonts w:ascii="Times New Roman" w:hAnsi="Times New Roman"/>
          <w:sz w:val="16"/>
          <w:szCs w:val="16"/>
          <w:lang w:val="es-MX"/>
        </w:rPr>
        <w:t xml:space="preserve">, A. 2017. </w:t>
      </w:r>
      <w:r w:rsidRPr="000639BA">
        <w:rPr>
          <w:rFonts w:ascii="Times New Roman" w:hAnsi="Times New Roman"/>
          <w:i/>
          <w:sz w:val="16"/>
          <w:szCs w:val="16"/>
          <w:lang w:val="es-MX"/>
        </w:rPr>
        <w:t>La preparación ante un futuro incierto. Respuestas al cambio climático en la Sierra Madre de Chiapas, México</w:t>
      </w:r>
      <w:r w:rsidRPr="00584647">
        <w:rPr>
          <w:rFonts w:ascii="Times New Roman" w:hAnsi="Times New Roman"/>
          <w:sz w:val="16"/>
          <w:szCs w:val="16"/>
          <w:lang w:val="es-MX"/>
        </w:rPr>
        <w:t xml:space="preserve">. </w:t>
      </w:r>
      <w:r w:rsidRPr="00584647">
        <w:rPr>
          <w:rFonts w:ascii="Times New Roman" w:hAnsi="Times New Roman"/>
          <w:sz w:val="16"/>
          <w:szCs w:val="16"/>
          <w:lang w:val="en-CA"/>
        </w:rPr>
        <w:t xml:space="preserve">PhD Thesis, Universidad </w:t>
      </w:r>
      <w:proofErr w:type="spellStart"/>
      <w:r w:rsidRPr="00584647">
        <w:rPr>
          <w:rFonts w:ascii="Times New Roman" w:hAnsi="Times New Roman"/>
          <w:sz w:val="16"/>
          <w:szCs w:val="16"/>
          <w:lang w:val="en-CA"/>
        </w:rPr>
        <w:t>Autónoma</w:t>
      </w:r>
      <w:proofErr w:type="spellEnd"/>
      <w:r w:rsidRPr="00584647">
        <w:rPr>
          <w:rFonts w:ascii="Times New Roman" w:hAnsi="Times New Roman"/>
          <w:sz w:val="16"/>
          <w:szCs w:val="16"/>
          <w:lang w:val="en-CA"/>
        </w:rPr>
        <w:t xml:space="preserve"> </w:t>
      </w:r>
      <w:proofErr w:type="spellStart"/>
      <w:r w:rsidRPr="00584647">
        <w:rPr>
          <w:rFonts w:ascii="Times New Roman" w:hAnsi="Times New Roman"/>
          <w:sz w:val="16"/>
          <w:szCs w:val="16"/>
          <w:lang w:val="en-CA"/>
        </w:rPr>
        <w:t>Metropolitana</w:t>
      </w:r>
      <w:proofErr w:type="spellEnd"/>
      <w:r w:rsidRPr="00584647">
        <w:rPr>
          <w:rFonts w:ascii="Times New Roman" w:hAnsi="Times New Roman"/>
          <w:sz w:val="16"/>
          <w:szCs w:val="16"/>
          <w:lang w:val="en-CA"/>
        </w:rPr>
        <w:t xml:space="preserve">, </w:t>
      </w:r>
      <w:proofErr w:type="spellStart"/>
      <w:r w:rsidRPr="00584647">
        <w:rPr>
          <w:rFonts w:ascii="Times New Roman" w:hAnsi="Times New Roman"/>
          <w:sz w:val="16"/>
          <w:szCs w:val="16"/>
          <w:lang w:val="en-CA"/>
        </w:rPr>
        <w:t>unidad</w:t>
      </w:r>
      <w:proofErr w:type="spellEnd"/>
      <w:r w:rsidRPr="00584647">
        <w:rPr>
          <w:rFonts w:ascii="Times New Roman" w:hAnsi="Times New Roman"/>
          <w:sz w:val="16"/>
          <w:szCs w:val="16"/>
          <w:lang w:val="en-CA"/>
        </w:rPr>
        <w:t xml:space="preserve"> </w:t>
      </w:r>
      <w:proofErr w:type="spellStart"/>
      <w:r w:rsidRPr="00584647">
        <w:rPr>
          <w:rFonts w:ascii="Times New Roman" w:hAnsi="Times New Roman"/>
          <w:sz w:val="16"/>
          <w:szCs w:val="16"/>
          <w:lang w:val="en-CA"/>
        </w:rPr>
        <w:t>Xochimilco</w:t>
      </w:r>
      <w:proofErr w:type="spellEnd"/>
      <w:r w:rsidRPr="00584647">
        <w:rPr>
          <w:rFonts w:ascii="Times New Roman" w:hAnsi="Times New Roman"/>
          <w:sz w:val="16"/>
          <w:szCs w:val="16"/>
          <w:lang w:val="en-CA"/>
        </w:rPr>
        <w:t>.</w:t>
      </w:r>
    </w:p>
  </w:footnote>
  <w:footnote w:id="197">
    <w:p w14:paraId="164EEBEB" w14:textId="77777777" w:rsidR="00002536" w:rsidRPr="00584647" w:rsidRDefault="00002536" w:rsidP="005B6DC6">
      <w:pPr>
        <w:pStyle w:val="FootnoteText"/>
        <w:spacing w:before="60"/>
        <w:rPr>
          <w:lang w:val="en-US"/>
        </w:rPr>
      </w:pPr>
      <w:r w:rsidRPr="00584647">
        <w:rPr>
          <w:rStyle w:val="FootnoteReference"/>
        </w:rPr>
        <w:footnoteRef/>
      </w:r>
      <w:r w:rsidRPr="00584647">
        <w:t xml:space="preserve"> </w:t>
      </w:r>
      <w:r w:rsidRPr="00584647">
        <w:rPr>
          <w:lang w:val="en-US"/>
        </w:rPr>
        <w:t xml:space="preserve">Data obtained from the Agrofood and Fisheries Information Service (SIAP in Spanish). </w:t>
      </w:r>
      <w:hyperlink r:id="rId61" w:history="1">
        <w:r w:rsidRPr="00584647">
          <w:rPr>
            <w:rStyle w:val="Hyperlink"/>
            <w:u w:val="none"/>
          </w:rPr>
          <w:t>https://www.gob.mx/siap/acciones-y-programas/produccion-agricola-33119</w:t>
        </w:r>
      </w:hyperlink>
      <w:r w:rsidRPr="00584647">
        <w:rPr>
          <w:lang w:val="en-US"/>
        </w:rPr>
        <w:t xml:space="preserve"> Consulted in 2016</w:t>
      </w:r>
    </w:p>
  </w:footnote>
  <w:footnote w:id="198">
    <w:p w14:paraId="6CBD4AD2" w14:textId="77777777" w:rsidR="00002536" w:rsidRPr="00584647" w:rsidRDefault="00002536" w:rsidP="005B6DC6">
      <w:pPr>
        <w:spacing w:before="60" w:after="60" w:line="240" w:lineRule="auto"/>
        <w:rPr>
          <w:rFonts w:ascii="Times New Roman" w:hAnsi="Times New Roman"/>
          <w:sz w:val="16"/>
          <w:szCs w:val="16"/>
          <w:lang w:val="en-US"/>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Avelino, J., </w:t>
      </w:r>
      <w:proofErr w:type="spellStart"/>
      <w:r w:rsidRPr="000639BA">
        <w:rPr>
          <w:rFonts w:ascii="Times New Roman" w:hAnsi="Times New Roman"/>
          <w:sz w:val="16"/>
          <w:szCs w:val="16"/>
        </w:rPr>
        <w:t>Cristancho</w:t>
      </w:r>
      <w:proofErr w:type="spellEnd"/>
      <w:r w:rsidRPr="000639BA">
        <w:rPr>
          <w:rFonts w:ascii="Times New Roman" w:hAnsi="Times New Roman"/>
          <w:sz w:val="16"/>
          <w:szCs w:val="16"/>
        </w:rPr>
        <w:t xml:space="preserve"> M., Georgiou S., </w:t>
      </w:r>
      <w:proofErr w:type="spellStart"/>
      <w:r w:rsidRPr="000639BA">
        <w:rPr>
          <w:rFonts w:ascii="Times New Roman" w:hAnsi="Times New Roman"/>
          <w:sz w:val="16"/>
          <w:szCs w:val="16"/>
        </w:rPr>
        <w:t>Imbach</w:t>
      </w:r>
      <w:proofErr w:type="spellEnd"/>
      <w:r w:rsidRPr="000639BA">
        <w:rPr>
          <w:rFonts w:ascii="Times New Roman" w:hAnsi="Times New Roman"/>
          <w:sz w:val="16"/>
          <w:szCs w:val="16"/>
        </w:rPr>
        <w:t xml:space="preserve"> P., Aguilar L., </w:t>
      </w:r>
      <w:proofErr w:type="spellStart"/>
      <w:r w:rsidRPr="000639BA">
        <w:rPr>
          <w:rFonts w:ascii="Times New Roman" w:hAnsi="Times New Roman"/>
          <w:sz w:val="16"/>
          <w:szCs w:val="16"/>
        </w:rPr>
        <w:t>Bornemann</w:t>
      </w:r>
      <w:proofErr w:type="spellEnd"/>
      <w:r w:rsidRPr="000639BA">
        <w:rPr>
          <w:rFonts w:ascii="Times New Roman" w:hAnsi="Times New Roman"/>
          <w:sz w:val="16"/>
          <w:szCs w:val="16"/>
        </w:rPr>
        <w:t xml:space="preserve"> G., </w:t>
      </w:r>
      <w:proofErr w:type="spellStart"/>
      <w:r w:rsidRPr="000639BA">
        <w:rPr>
          <w:rFonts w:ascii="Times New Roman" w:hAnsi="Times New Roman"/>
          <w:sz w:val="16"/>
          <w:szCs w:val="16"/>
        </w:rPr>
        <w:t>Läderach</w:t>
      </w:r>
      <w:proofErr w:type="spellEnd"/>
      <w:r w:rsidRPr="000639BA">
        <w:rPr>
          <w:rFonts w:ascii="Times New Roman" w:hAnsi="Times New Roman"/>
          <w:sz w:val="16"/>
          <w:szCs w:val="16"/>
        </w:rPr>
        <w:t xml:space="preserve"> P., </w:t>
      </w:r>
      <w:proofErr w:type="spellStart"/>
      <w:r w:rsidRPr="000639BA">
        <w:rPr>
          <w:rFonts w:ascii="Times New Roman" w:hAnsi="Times New Roman"/>
          <w:sz w:val="16"/>
          <w:szCs w:val="16"/>
        </w:rPr>
        <w:t>Anzueto</w:t>
      </w:r>
      <w:proofErr w:type="spellEnd"/>
      <w:r w:rsidRPr="000639BA">
        <w:rPr>
          <w:rFonts w:ascii="Times New Roman" w:hAnsi="Times New Roman"/>
          <w:sz w:val="16"/>
          <w:szCs w:val="16"/>
        </w:rPr>
        <w:t xml:space="preserve"> F., Hruska A., and Morales, C. 2015. Th</w:t>
      </w:r>
      <w:r w:rsidRPr="000639BA">
        <w:rPr>
          <w:rFonts w:ascii="Times New Roman" w:hAnsi="Times New Roman"/>
          <w:sz w:val="16"/>
          <w:szCs w:val="16"/>
          <w:lang w:val="en-US"/>
        </w:rPr>
        <w:t xml:space="preserve">e coffee rust crisis in Colombia and Central America (2008-2013): impacts, </w:t>
      </w:r>
      <w:r w:rsidRPr="00584647">
        <w:rPr>
          <w:rFonts w:ascii="Times New Roman" w:hAnsi="Times New Roman"/>
          <w:sz w:val="16"/>
          <w:szCs w:val="16"/>
          <w:lang w:val="en-US"/>
        </w:rPr>
        <w:t xml:space="preserve">plausible causes and proposed solutions, </w:t>
      </w:r>
      <w:r w:rsidRPr="00584647">
        <w:rPr>
          <w:rFonts w:ascii="Times New Roman" w:hAnsi="Times New Roman"/>
          <w:i/>
          <w:sz w:val="16"/>
          <w:szCs w:val="16"/>
          <w:lang w:val="en-US"/>
        </w:rPr>
        <w:t>Food Security</w:t>
      </w:r>
      <w:r w:rsidRPr="00584647">
        <w:rPr>
          <w:rFonts w:ascii="Times New Roman" w:hAnsi="Times New Roman"/>
          <w:sz w:val="16"/>
          <w:szCs w:val="16"/>
          <w:lang w:val="en-US"/>
        </w:rPr>
        <w:t xml:space="preserve"> 7: 303-321. </w:t>
      </w:r>
    </w:p>
  </w:footnote>
  <w:footnote w:id="199">
    <w:p w14:paraId="34EC39D3" w14:textId="77777777" w:rsidR="00002536" w:rsidRPr="000639BA" w:rsidRDefault="00002536" w:rsidP="005B6DC6">
      <w:pPr>
        <w:spacing w:before="60" w:after="60" w:line="240" w:lineRule="auto"/>
        <w:rPr>
          <w:rFonts w:ascii="Times New Roman" w:hAnsi="Times New Roman"/>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Dalberg, 2015. Smallholder tree crop renovation and rehabilitation (R&amp;R). A Review of the State of the </w:t>
      </w:r>
      <w:proofErr w:type="gramStart"/>
      <w:r w:rsidRPr="000639BA">
        <w:rPr>
          <w:rFonts w:ascii="Times New Roman" w:hAnsi="Times New Roman"/>
          <w:sz w:val="16"/>
          <w:szCs w:val="16"/>
        </w:rPr>
        <w:t>Emerging  R</w:t>
      </w:r>
      <w:proofErr w:type="gramEnd"/>
      <w:r w:rsidRPr="000639BA">
        <w:rPr>
          <w:rFonts w:ascii="Times New Roman" w:hAnsi="Times New Roman"/>
          <w:sz w:val="16"/>
          <w:szCs w:val="16"/>
        </w:rPr>
        <w:t xml:space="preserve">&amp;R Market and Opportunities to Scale Investment. The Sustainable Trade Initiative. Available at: </w:t>
      </w:r>
      <w:hyperlink r:id="rId62" w:history="1">
        <w:r w:rsidRPr="000639BA">
          <w:rPr>
            <w:rStyle w:val="Hyperlink"/>
            <w:rFonts w:ascii="Times New Roman" w:hAnsi="Times New Roman"/>
            <w:sz w:val="16"/>
            <w:szCs w:val="16"/>
            <w:u w:val="none"/>
          </w:rPr>
          <w:t>https://www.idhsustainabletrade.com/uploaded/2017/03/Dalberg-RR-Report.pdf</w:t>
        </w:r>
      </w:hyperlink>
      <w:r w:rsidRPr="000639BA">
        <w:rPr>
          <w:rFonts w:ascii="Times New Roman" w:hAnsi="Times New Roman"/>
          <w:sz w:val="16"/>
          <w:szCs w:val="16"/>
        </w:rPr>
        <w:t xml:space="preserve">  </w:t>
      </w:r>
    </w:p>
  </w:footnote>
  <w:footnote w:id="200">
    <w:p w14:paraId="65731DE8" w14:textId="77777777" w:rsidR="00002536" w:rsidRPr="00584647" w:rsidRDefault="00002536" w:rsidP="00632DBC">
      <w:pPr>
        <w:pStyle w:val="FootnoteText"/>
      </w:pPr>
      <w:r w:rsidRPr="00584647">
        <w:rPr>
          <w:rStyle w:val="FootnoteReference"/>
        </w:rPr>
        <w:footnoteRef/>
      </w:r>
      <w:r w:rsidRPr="00584647">
        <w:t xml:space="preserve"> </w:t>
      </w:r>
      <w:proofErr w:type="spellStart"/>
      <w:r w:rsidRPr="00584647">
        <w:t>Libert</w:t>
      </w:r>
      <w:proofErr w:type="spellEnd"/>
      <w:r w:rsidRPr="00584647">
        <w:t>-</w:t>
      </w:r>
      <w:r w:rsidRPr="00584647">
        <w:rPr>
          <w:lang w:val="es-MX"/>
        </w:rPr>
        <w:t xml:space="preserve">Amico, A., Wong González, J.C. y Paz </w:t>
      </w:r>
      <w:proofErr w:type="spellStart"/>
      <w:r w:rsidRPr="00584647">
        <w:rPr>
          <w:lang w:val="es-MX"/>
        </w:rPr>
        <w:t>Pellat</w:t>
      </w:r>
      <w:proofErr w:type="spellEnd"/>
      <w:r w:rsidRPr="00584647">
        <w:rPr>
          <w:lang w:val="es-MX"/>
        </w:rPr>
        <w:t xml:space="preserve">, F. 2017. Impacto de la roya del cafeto en los almacenes de carbono en la Sierra Madre de Chiapas. In: Paz, F. y R. Torres (eds.). </w:t>
      </w:r>
      <w:r w:rsidRPr="00584647">
        <w:rPr>
          <w:i/>
          <w:lang w:val="es-MX"/>
        </w:rPr>
        <w:t>Estado Actual del Conocimiento del Ciclo del Carbono y sus Interacciones en México: Síntesis a 2016</w:t>
      </w:r>
      <w:r w:rsidRPr="00584647">
        <w:rPr>
          <w:lang w:val="es-MX"/>
        </w:rPr>
        <w:t xml:space="preserve">. Programa Mexicano del Carbono and Universidad Autónoma del Estado de Hidalgo, Texcoco. </w:t>
      </w:r>
      <w:proofErr w:type="spellStart"/>
      <w:r w:rsidRPr="00584647">
        <w:rPr>
          <w:lang w:val="es-MX"/>
        </w:rPr>
        <w:t>pp</w:t>
      </w:r>
      <w:proofErr w:type="spellEnd"/>
      <w:r w:rsidRPr="00584647">
        <w:rPr>
          <w:lang w:val="es-MX"/>
        </w:rPr>
        <w:t xml:space="preserve"> 219-225.</w:t>
      </w:r>
    </w:p>
  </w:footnote>
  <w:footnote w:id="201">
    <w:p w14:paraId="0C4F2759" w14:textId="77777777" w:rsidR="00002536" w:rsidRPr="00584647" w:rsidRDefault="00002536" w:rsidP="0086368F">
      <w:pPr>
        <w:spacing w:afterLines="60" w:after="144" w:line="240" w:lineRule="auto"/>
        <w:rPr>
          <w:rFonts w:ascii="Times New Roman" w:hAnsi="Times New Roman"/>
          <w:sz w:val="16"/>
          <w:szCs w:val="16"/>
        </w:rPr>
      </w:pPr>
      <w:r w:rsidRPr="000639BA">
        <w:rPr>
          <w:rStyle w:val="FootnoteReference"/>
          <w:rFonts w:ascii="Times New Roman" w:hAnsi="Times New Roman"/>
          <w:sz w:val="16"/>
          <w:szCs w:val="16"/>
        </w:rPr>
        <w:footnoteRef/>
      </w:r>
      <w:r w:rsidRPr="00002536">
        <w:rPr>
          <w:rFonts w:ascii="Times New Roman" w:hAnsi="Times New Roman"/>
          <w:sz w:val="16"/>
          <w:szCs w:val="16"/>
          <w:lang w:val="en-US"/>
        </w:rPr>
        <w:t xml:space="preserve"> </w:t>
      </w:r>
      <w:proofErr w:type="spellStart"/>
      <w:r w:rsidRPr="00002536">
        <w:rPr>
          <w:rFonts w:ascii="Times New Roman" w:hAnsi="Times New Roman"/>
          <w:sz w:val="16"/>
          <w:szCs w:val="16"/>
          <w:lang w:val="en-US"/>
        </w:rPr>
        <w:t>Libert</w:t>
      </w:r>
      <w:proofErr w:type="spellEnd"/>
      <w:r w:rsidRPr="00002536">
        <w:rPr>
          <w:rFonts w:ascii="Times New Roman" w:hAnsi="Times New Roman"/>
          <w:sz w:val="16"/>
          <w:szCs w:val="16"/>
          <w:lang w:val="en-US"/>
        </w:rPr>
        <w:t xml:space="preserve">, A., Ituarte-Lima, C., </w:t>
      </w:r>
      <w:proofErr w:type="spellStart"/>
      <w:r w:rsidRPr="00002536">
        <w:rPr>
          <w:rFonts w:ascii="Times New Roman" w:hAnsi="Times New Roman"/>
          <w:sz w:val="16"/>
          <w:szCs w:val="16"/>
          <w:lang w:val="en-US"/>
        </w:rPr>
        <w:t>Elmqvist</w:t>
      </w:r>
      <w:proofErr w:type="spellEnd"/>
      <w:r w:rsidRPr="00002536">
        <w:rPr>
          <w:rFonts w:ascii="Times New Roman" w:hAnsi="Times New Roman"/>
          <w:sz w:val="16"/>
          <w:szCs w:val="16"/>
          <w:lang w:val="en-US"/>
        </w:rPr>
        <w:t xml:space="preserve">, T., in press. </w:t>
      </w:r>
      <w:r w:rsidRPr="000639BA">
        <w:rPr>
          <w:rFonts w:ascii="Times New Roman" w:hAnsi="Times New Roman"/>
          <w:sz w:val="16"/>
          <w:szCs w:val="16"/>
          <w:lang w:val="en-US"/>
        </w:rPr>
        <w:t>Learning from social-ecological crisis for legal resilience building: multilevel dynamics in the coffee rust epidemic.</w:t>
      </w:r>
    </w:p>
  </w:footnote>
  <w:footnote w:id="202">
    <w:p w14:paraId="53A5418B" w14:textId="77777777" w:rsidR="00002536" w:rsidRPr="00584647" w:rsidRDefault="00002536" w:rsidP="0086368F">
      <w:pPr>
        <w:pStyle w:val="FootnoteText"/>
        <w:rPr>
          <w:lang w:val="en-GB"/>
        </w:rPr>
      </w:pPr>
      <w:r w:rsidRPr="00584647">
        <w:rPr>
          <w:rStyle w:val="FootnoteReference"/>
        </w:rPr>
        <w:footnoteRef/>
      </w:r>
      <w:r w:rsidRPr="00584647">
        <w:t xml:space="preserve"> </w:t>
      </w:r>
      <w:hyperlink r:id="rId63" w:history="1">
        <w:r w:rsidRPr="00584647">
          <w:rPr>
            <w:rStyle w:val="Hyperlink"/>
          </w:rPr>
          <w:t>http://ambio.org.mx/dictamen-tecnico-para-el-fomento-de-cafeticultura-en-areas-naturales-protegidas/</w:t>
        </w:r>
      </w:hyperlink>
    </w:p>
  </w:footnote>
  <w:footnote w:id="203">
    <w:p w14:paraId="26BB27D1" w14:textId="4C9C701B" w:rsidR="00002536" w:rsidRPr="00584647" w:rsidRDefault="00002536" w:rsidP="00E51919">
      <w:pPr>
        <w:spacing w:after="60" w:line="240" w:lineRule="auto"/>
        <w:rPr>
          <w:rFonts w:ascii="Times New Roman" w:hAnsi="Times New Roman"/>
          <w:sz w:val="16"/>
          <w:szCs w:val="16"/>
          <w:lang w:val="en-US" w:eastAsia="sv-SE" w:bidi="ar-SA"/>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w:t>
      </w:r>
      <w:r w:rsidRPr="000639BA">
        <w:rPr>
          <w:rFonts w:ascii="Times New Roman" w:hAnsi="Times New Roman"/>
          <w:sz w:val="16"/>
          <w:szCs w:val="16"/>
          <w:shd w:val="clear" w:color="auto" w:fill="FFFFFF"/>
          <w:lang w:val="en-US" w:eastAsia="sv-SE" w:bidi="ar-SA"/>
        </w:rPr>
        <w:t>Federal Institute for Access to Public Information and Data Protection (IFAI in Spanish)</w:t>
      </w:r>
    </w:p>
  </w:footnote>
  <w:footnote w:id="204">
    <w:p w14:paraId="1D18469B" w14:textId="77777777" w:rsidR="00002536" w:rsidRPr="00584647" w:rsidRDefault="00002536" w:rsidP="00E51919">
      <w:pPr>
        <w:pStyle w:val="FootnoteText"/>
        <w:jc w:val="both"/>
      </w:pPr>
      <w:r w:rsidRPr="00584647">
        <w:rPr>
          <w:rStyle w:val="FootnoteReference"/>
        </w:rPr>
        <w:footnoteRef/>
      </w:r>
      <w:r w:rsidRPr="00584647">
        <w:t xml:space="preserve"> McDermott, C.L., Coad, L., </w:t>
      </w:r>
      <w:proofErr w:type="spellStart"/>
      <w:r w:rsidRPr="00584647">
        <w:t>Helfgott</w:t>
      </w:r>
      <w:proofErr w:type="spellEnd"/>
      <w:r w:rsidRPr="00584647">
        <w:t>, A., Schroeder, H. (2012) Operationalizing social safeguards in REDD +: Actors, interests and ideas.</w:t>
      </w:r>
      <w:r w:rsidRPr="00584647">
        <w:rPr>
          <w:lang w:val="en-AU"/>
        </w:rPr>
        <w:t xml:space="preserve"> </w:t>
      </w:r>
      <w:r w:rsidRPr="00584647">
        <w:rPr>
          <w:i/>
          <w:lang w:val="en-AU"/>
        </w:rPr>
        <w:t xml:space="preserve">Environmental Science and Policy </w:t>
      </w:r>
      <w:r w:rsidRPr="00584647">
        <w:rPr>
          <w:lang w:val="en-AU"/>
        </w:rPr>
        <w:t xml:space="preserve">21:63-72. Van Asselt, H., 2011, </w:t>
      </w:r>
      <w:r w:rsidRPr="00584647">
        <w:t xml:space="preserve">Integrating biodiversity in the climate regime’s Forest Rules: options and tradeoffs in greening REDD design. </w:t>
      </w:r>
      <w:r w:rsidRPr="00584647">
        <w:rPr>
          <w:i/>
        </w:rPr>
        <w:t>Review of European Community and International Environmental Law</w:t>
      </w:r>
      <w:r w:rsidRPr="00584647">
        <w:t xml:space="preserve"> 20(2), 139-149. </w:t>
      </w:r>
    </w:p>
  </w:footnote>
  <w:footnote w:id="205">
    <w:p w14:paraId="4759636D" w14:textId="7B1DC7B3" w:rsidR="00002536" w:rsidRPr="00584647" w:rsidRDefault="00002536" w:rsidP="00E51919">
      <w:pPr>
        <w:pStyle w:val="Default"/>
        <w:spacing w:after="60" w:line="240" w:lineRule="auto"/>
        <w:jc w:val="both"/>
        <w:rPr>
          <w:rFonts w:ascii="Times New Roman" w:eastAsia="Calibri" w:hAnsi="Times New Roman"/>
          <w:sz w:val="20"/>
          <w:szCs w:val="20"/>
          <w:lang w:val="en-US" w:eastAsia="en-US"/>
        </w:rPr>
      </w:pPr>
      <w:r w:rsidRPr="00584647">
        <w:rPr>
          <w:rStyle w:val="FootnoteReference"/>
          <w:rFonts w:ascii="Times New Roman" w:hAnsi="Times New Roman"/>
          <w:sz w:val="16"/>
          <w:szCs w:val="16"/>
        </w:rPr>
        <w:footnoteRef/>
      </w:r>
      <w:r w:rsidRPr="00584647">
        <w:rPr>
          <w:rFonts w:ascii="Times New Roman" w:hAnsi="Times New Roman"/>
          <w:sz w:val="16"/>
          <w:szCs w:val="16"/>
        </w:rPr>
        <w:t xml:space="preserve"> Certain strengths and limitations have been highlighted by the literature regarding biodiversity co-benefits of REDD+ policies, see e.g. </w:t>
      </w:r>
      <w:r w:rsidRPr="00584647">
        <w:rPr>
          <w:rFonts w:ascii="Times New Roman" w:hAnsi="Times New Roman"/>
          <w:sz w:val="16"/>
          <w:szCs w:val="16"/>
          <w:lang w:val="en-US" w:eastAsia="en-US"/>
        </w:rPr>
        <w:t>Phelps, J., Webb E. L. and Adams, W.M. (2012) Biodiversity co-benefits of policies to reduce forest-carbon emissions</w:t>
      </w:r>
      <w:r w:rsidRPr="00584647">
        <w:rPr>
          <w:rFonts w:ascii="Times New Roman" w:hAnsi="Times New Roman"/>
          <w:sz w:val="16"/>
          <w:szCs w:val="16"/>
        </w:rPr>
        <w:t xml:space="preserve"> </w:t>
      </w:r>
      <w:r w:rsidRPr="00584647">
        <w:rPr>
          <w:rFonts w:ascii="Times New Roman" w:hAnsi="Times New Roman"/>
          <w:i/>
          <w:sz w:val="16"/>
          <w:szCs w:val="16"/>
        </w:rPr>
        <w:t>Nature Climate Change</w:t>
      </w:r>
      <w:r w:rsidRPr="00584647">
        <w:rPr>
          <w:rFonts w:ascii="Times New Roman" w:hAnsi="Times New Roman"/>
          <w:sz w:val="16"/>
          <w:szCs w:val="16"/>
        </w:rPr>
        <w:t xml:space="preserve"> 2, 497–503, </w:t>
      </w:r>
      <w:r w:rsidRPr="00584647">
        <w:rPr>
          <w:rFonts w:ascii="Times New Roman" w:eastAsia="Calibri" w:hAnsi="Times New Roman"/>
          <w:sz w:val="16"/>
          <w:szCs w:val="16"/>
          <w:lang w:val="en-US" w:eastAsia="en-US"/>
        </w:rPr>
        <w:t>DOI:10.1038/NCLIMATE1462, accessed 2 August 2012.</w:t>
      </w:r>
      <w:r w:rsidRPr="00584647">
        <w:rPr>
          <w:rFonts w:ascii="Times New Roman" w:eastAsia="Calibri" w:hAnsi="Times New Roman"/>
          <w:sz w:val="20"/>
          <w:szCs w:val="20"/>
          <w:lang w:val="en-US" w:eastAsia="en-US"/>
        </w:rPr>
        <w:t xml:space="preserve"> </w:t>
      </w:r>
    </w:p>
  </w:footnote>
  <w:footnote w:id="206">
    <w:p w14:paraId="4B483280" w14:textId="77777777" w:rsidR="00002536" w:rsidRPr="00584647" w:rsidRDefault="00002536" w:rsidP="00810C20">
      <w:pPr>
        <w:autoSpaceDE w:val="0"/>
        <w:autoSpaceDN w:val="0"/>
        <w:adjustRightInd w:val="0"/>
        <w:spacing w:after="60" w:line="240" w:lineRule="auto"/>
        <w:jc w:val="both"/>
        <w:rPr>
          <w:sz w:val="24"/>
          <w:szCs w:val="24"/>
          <w:lang w:eastAsia="en-GB"/>
        </w:rPr>
      </w:pPr>
      <w:r w:rsidRPr="000639BA">
        <w:rPr>
          <w:rStyle w:val="FootnoteReference"/>
          <w:rFonts w:ascii="Times New Roman" w:hAnsi="Times New Roman"/>
          <w:sz w:val="16"/>
          <w:szCs w:val="16"/>
          <w:lang w:eastAsia="sv-SE" w:bidi="ar-SA"/>
        </w:rPr>
        <w:footnoteRef/>
      </w:r>
      <w:r w:rsidRPr="000639BA">
        <w:rPr>
          <w:rStyle w:val="FootnoteReference"/>
        </w:rPr>
        <w:t xml:space="preserve"> </w:t>
      </w:r>
      <w:r w:rsidRPr="000639BA">
        <w:rPr>
          <w:rFonts w:ascii="Times New Roman" w:hAnsi="Times New Roman"/>
          <w:color w:val="000000"/>
          <w:sz w:val="16"/>
          <w:szCs w:val="16"/>
          <w:lang w:val="en-US" w:bidi="ar-SA"/>
        </w:rPr>
        <w:t xml:space="preserve">It worth </w:t>
      </w:r>
      <w:proofErr w:type="gramStart"/>
      <w:r w:rsidRPr="000639BA">
        <w:rPr>
          <w:rFonts w:ascii="Times New Roman" w:hAnsi="Times New Roman"/>
          <w:color w:val="000000"/>
          <w:sz w:val="16"/>
          <w:szCs w:val="16"/>
          <w:lang w:val="en-US" w:bidi="ar-SA"/>
        </w:rPr>
        <w:t>noting  that</w:t>
      </w:r>
      <w:proofErr w:type="gramEnd"/>
      <w:r w:rsidRPr="000639BA">
        <w:rPr>
          <w:rFonts w:ascii="Times New Roman" w:hAnsi="Times New Roman"/>
          <w:color w:val="000000"/>
          <w:sz w:val="16"/>
          <w:szCs w:val="16"/>
          <w:lang w:val="en-US" w:bidi="ar-SA"/>
        </w:rPr>
        <w:t xml:space="preserve"> some REDD+ activities are framed as PES. Yet, </w:t>
      </w:r>
      <w:r w:rsidRPr="00584647">
        <w:rPr>
          <w:rFonts w:ascii="Times New Roman" w:hAnsi="Times New Roman"/>
          <w:color w:val="000000"/>
          <w:sz w:val="16"/>
          <w:szCs w:val="16"/>
          <w:lang w:val="en-US" w:bidi="ar-SA"/>
        </w:rPr>
        <w:t xml:space="preserve">it is not clear if certain national and subnational-level activities under REDD+ fulfill the criteria to be considered PES. Sommerville, M.M., Jones, J.P.G. and Milner-Gulland, E.J. 2009, A Revised Conceptual Framework for Environmental </w:t>
      </w:r>
      <w:proofErr w:type="gramStart"/>
      <w:r w:rsidRPr="00584647">
        <w:rPr>
          <w:rFonts w:ascii="Times New Roman" w:hAnsi="Times New Roman"/>
          <w:color w:val="000000"/>
          <w:sz w:val="16"/>
          <w:szCs w:val="16"/>
          <w:lang w:val="en-US" w:bidi="ar-SA"/>
        </w:rPr>
        <w:t>Service,  Ecology</w:t>
      </w:r>
      <w:proofErr w:type="gramEnd"/>
      <w:r w:rsidRPr="00584647">
        <w:rPr>
          <w:rFonts w:ascii="Times New Roman" w:hAnsi="Times New Roman"/>
          <w:color w:val="000000"/>
          <w:sz w:val="16"/>
          <w:szCs w:val="16"/>
          <w:lang w:val="en-US" w:bidi="ar-SA"/>
        </w:rPr>
        <w:t xml:space="preserve"> and Society 14(2): 34 [online] URL:http://www.ecologyandsociety.org/vol14/iss2/art34/.</w:t>
      </w:r>
    </w:p>
  </w:footnote>
  <w:footnote w:id="207">
    <w:p w14:paraId="2BC6338A"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noProof/>
          <w:lang w:val="en-US"/>
        </w:rPr>
        <w:t xml:space="preserve">UNEP/CBD/COP/11/24, </w:t>
      </w:r>
      <w:r w:rsidRPr="00584647">
        <w:rPr>
          <w:noProof/>
        </w:rPr>
        <w:t xml:space="preserve">Note by the Executive Secretary, </w:t>
      </w:r>
      <w:r w:rsidRPr="00584647">
        <w:rPr>
          <w:noProof/>
          <w:lang w:val="en-US"/>
        </w:rPr>
        <w:t>24 August 2012</w:t>
      </w:r>
      <w:r w:rsidRPr="00584647">
        <w:rPr>
          <w:noProof/>
        </w:rPr>
        <w:t xml:space="preserve">, </w:t>
      </w:r>
      <w:hyperlink r:id="rId64" w:history="1">
        <w:r w:rsidRPr="00584647">
          <w:rPr>
            <w:rStyle w:val="Hyperlink"/>
            <w:noProof/>
            <w:u w:val="none"/>
          </w:rPr>
          <w:t>http://www.cbd.int/cop11/doc/</w:t>
        </w:r>
      </w:hyperlink>
      <w:r w:rsidRPr="00584647">
        <w:rPr>
          <w:noProof/>
        </w:rPr>
        <w:t xml:space="preserve"> accessed 1 October 2012.</w:t>
      </w:r>
    </w:p>
  </w:footnote>
  <w:footnote w:id="208">
    <w:p w14:paraId="6DB40335" w14:textId="77777777" w:rsidR="00002536" w:rsidRPr="00584647" w:rsidRDefault="00002536" w:rsidP="00810C20">
      <w:pPr>
        <w:pStyle w:val="FootnoteText"/>
        <w:jc w:val="both"/>
      </w:pPr>
      <w:r w:rsidRPr="00584647">
        <w:rPr>
          <w:rStyle w:val="FootnoteReference"/>
          <w:szCs w:val="22"/>
        </w:rPr>
        <w:footnoteRef/>
      </w:r>
      <w:r w:rsidRPr="00584647">
        <w:t xml:space="preserve"> From the final report of the Global Expert Workshop on Biodiversity Benefits of Reducing Emissions from Deforestation and Forest Degradation in Developing Countries, Nairobi, Kenya, 20-23 September 2010 (UNEP/CBD/WS-REDD/1/3).</w:t>
      </w:r>
    </w:p>
  </w:footnote>
  <w:footnote w:id="209">
    <w:p w14:paraId="2DEBEC6F" w14:textId="77777777" w:rsidR="00002536" w:rsidRPr="00584647" w:rsidRDefault="00002536" w:rsidP="00810C20">
      <w:pPr>
        <w:pStyle w:val="FootnoteText"/>
        <w:jc w:val="both"/>
      </w:pPr>
      <w:r w:rsidRPr="00584647">
        <w:rPr>
          <w:rStyle w:val="FootnoteReference"/>
        </w:rPr>
        <w:footnoteRef/>
      </w:r>
      <w:r w:rsidRPr="00584647">
        <w:t xml:space="preserve"> </w:t>
      </w:r>
      <w:r w:rsidRPr="00584647">
        <w:rPr>
          <w:noProof/>
          <w:lang w:val="en-US"/>
        </w:rPr>
        <w:t xml:space="preserve">UNEP/CBD/COP/11/24, </w:t>
      </w:r>
      <w:r w:rsidRPr="00584647">
        <w:rPr>
          <w:noProof/>
        </w:rPr>
        <w:t xml:space="preserve">Note by the Executive Secretary, </w:t>
      </w:r>
      <w:r w:rsidRPr="00584647">
        <w:rPr>
          <w:noProof/>
          <w:lang w:val="en-US"/>
        </w:rPr>
        <w:t>24 August 2012</w:t>
      </w:r>
      <w:r w:rsidRPr="00584647">
        <w:rPr>
          <w:noProof/>
        </w:rPr>
        <w:t xml:space="preserve">, </w:t>
      </w:r>
      <w:hyperlink r:id="rId65" w:history="1">
        <w:r w:rsidRPr="00584647">
          <w:rPr>
            <w:rStyle w:val="Hyperlink"/>
            <w:noProof/>
            <w:u w:val="none"/>
          </w:rPr>
          <w:t>http://www.cbd.int/cop11/doc/</w:t>
        </w:r>
      </w:hyperlink>
      <w:r w:rsidRPr="00584647">
        <w:rPr>
          <w:noProof/>
        </w:rPr>
        <w:t xml:space="preserve"> accessed 1 October 2012.</w:t>
      </w:r>
    </w:p>
  </w:footnote>
  <w:footnote w:id="210">
    <w:p w14:paraId="4EDA329E" w14:textId="77777777" w:rsidR="00002536" w:rsidRPr="00584647" w:rsidRDefault="00002536" w:rsidP="00810C20">
      <w:pPr>
        <w:pStyle w:val="FootnoteText"/>
        <w:rPr>
          <w:rStyle w:val="Hyperlink"/>
          <w:u w:val="none"/>
        </w:rPr>
      </w:pPr>
      <w:r w:rsidRPr="00584647">
        <w:rPr>
          <w:rStyle w:val="FootnoteReference"/>
        </w:rPr>
        <w:footnoteRef/>
      </w:r>
      <w:r w:rsidRPr="00584647">
        <w:t xml:space="preserve"> See also IUCN resolutions and guidelines related to management and recognition of sacred sites in natural protected areas. IUCN Resolution, 4.038 </w:t>
      </w:r>
      <w:hyperlink r:id="rId66" w:history="1">
        <w:r w:rsidRPr="00584647">
          <w:rPr>
            <w:rStyle w:val="Hyperlink"/>
            <w:u w:val="none"/>
          </w:rPr>
          <w:t>http://intranet.iucn.org/webfiles/doc/IUCNPolicy/Resolutions/2008_WCC_4/English/RES/res_4_038_recognition_and_conservation_of_sacred_natural_sites_in_protected_areas_.pdf</w:t>
        </w:r>
      </w:hyperlink>
      <w:r w:rsidRPr="00584647">
        <w:rPr>
          <w:rStyle w:val="Hyperlink"/>
          <w:u w:val="none"/>
        </w:rPr>
        <w:t xml:space="preserve"> Accessed 26th May 2014; </w:t>
      </w:r>
    </w:p>
    <w:p w14:paraId="23D4BE80" w14:textId="77777777" w:rsidR="00002536" w:rsidRPr="00584647" w:rsidRDefault="00002536" w:rsidP="00810C20">
      <w:pPr>
        <w:pStyle w:val="FootnoteText"/>
        <w:rPr>
          <w:rStyle w:val="Hyperlink"/>
          <w:u w:val="none"/>
        </w:rPr>
      </w:pPr>
      <w:r w:rsidRPr="00584647">
        <w:rPr>
          <w:rStyle w:val="Hyperlink"/>
          <w:u w:val="none"/>
        </w:rPr>
        <w:t xml:space="preserve">IUCN, 2008. </w:t>
      </w:r>
      <w:r w:rsidRPr="00584647">
        <w:t xml:space="preserve">Statement of custodians of sacred natural sites and territories </w:t>
      </w:r>
      <w:hyperlink r:id="rId67" w:history="1">
        <w:r w:rsidRPr="00584647">
          <w:rPr>
            <w:rStyle w:val="Hyperlink"/>
            <w:u w:val="none"/>
          </w:rPr>
          <w:t>http://www.gaiafoundation.org/sites/default/files/documents/Custodian-Statement-on-Sacred-Natural-Sites1.pdf</w:t>
        </w:r>
      </w:hyperlink>
      <w:r w:rsidRPr="00584647">
        <w:rPr>
          <w:rStyle w:val="Hyperlink"/>
          <w:u w:val="none"/>
        </w:rPr>
        <w:t xml:space="preserve"> Accessed 26th May 2014</w:t>
      </w:r>
    </w:p>
    <w:p w14:paraId="339D0BF1" w14:textId="77777777" w:rsidR="00002536" w:rsidRPr="00584647" w:rsidRDefault="00002536" w:rsidP="00810C20">
      <w:pPr>
        <w:pStyle w:val="FootnoteText"/>
        <w:rPr>
          <w:color w:val="0000FF"/>
        </w:rPr>
      </w:pPr>
      <w:r w:rsidRPr="00584647">
        <w:rPr>
          <w:rStyle w:val="Hyperlink"/>
          <w:u w:val="none"/>
        </w:rPr>
        <w:t xml:space="preserve">IUCN/UNESCO, 2008. </w:t>
      </w:r>
      <w:r w:rsidRPr="00584647">
        <w:rPr>
          <w:color w:val="0000FF"/>
        </w:rPr>
        <w:t>Sacred natural sites, guidelines for protected area managers;</w:t>
      </w:r>
    </w:p>
    <w:p w14:paraId="2ADFF56B" w14:textId="77777777" w:rsidR="00002536" w:rsidRPr="00584647" w:rsidRDefault="00132089" w:rsidP="00810C20">
      <w:pPr>
        <w:pStyle w:val="FootnoteText"/>
        <w:rPr>
          <w:rStyle w:val="Hyperlink"/>
          <w:u w:val="none"/>
        </w:rPr>
      </w:pPr>
      <w:hyperlink r:id="rId68" w:history="1">
        <w:r w:rsidR="00002536" w:rsidRPr="00584647">
          <w:rPr>
            <w:rStyle w:val="Hyperlink"/>
            <w:u w:val="none"/>
          </w:rPr>
          <w:t>http://cmsdata.iucn.org/downloads/pa_guidelines_016_sacred_natural_sites.pdf</w:t>
        </w:r>
      </w:hyperlink>
      <w:r w:rsidR="00002536" w:rsidRPr="00584647">
        <w:rPr>
          <w:rStyle w:val="Hyperlink"/>
          <w:u w:val="none"/>
        </w:rPr>
        <w:t xml:space="preserve"> Accessed 26th May 2014;</w:t>
      </w:r>
    </w:p>
    <w:p w14:paraId="6CD6CDAE" w14:textId="77777777" w:rsidR="00002536" w:rsidRPr="00584647" w:rsidRDefault="00002536" w:rsidP="00810C20">
      <w:pPr>
        <w:pStyle w:val="FootnoteText"/>
      </w:pPr>
      <w:r w:rsidRPr="00584647">
        <w:t xml:space="preserve">IUCN, 2012. Recommendation, M054 Sacred natural sites, support for custodian protocols and customary laws in the face of global threats and challenges </w:t>
      </w:r>
      <w:hyperlink r:id="rId69" w:history="1">
        <w:r w:rsidRPr="00584647">
          <w:rPr>
            <w:rStyle w:val="Hyperlink"/>
            <w:u w:val="none"/>
          </w:rPr>
          <w:t>https://portals.iucn.org/docs/2012congress/motions/en/M-054-2012-EN.pdf</w:t>
        </w:r>
      </w:hyperlink>
      <w:r w:rsidRPr="00584647">
        <w:rPr>
          <w:rStyle w:val="Hyperlink"/>
          <w:u w:val="none"/>
        </w:rPr>
        <w:t xml:space="preserve"> Accessed 26th May 2014-05-27;</w:t>
      </w:r>
    </w:p>
  </w:footnote>
  <w:footnote w:id="211">
    <w:p w14:paraId="079D74D1" w14:textId="77777777" w:rsidR="00002536" w:rsidRPr="00584647" w:rsidRDefault="00002536" w:rsidP="00810C20">
      <w:pPr>
        <w:pStyle w:val="FootnoteText"/>
      </w:pPr>
      <w:r w:rsidRPr="00584647">
        <w:rPr>
          <w:rStyle w:val="FootnoteReference"/>
        </w:rPr>
        <w:footnoteRef/>
      </w:r>
      <w:r w:rsidRPr="00584647">
        <w:t xml:space="preserve"> See also African Biodiversity Network </w:t>
      </w:r>
      <w:proofErr w:type="spellStart"/>
      <w:r w:rsidRPr="00584647">
        <w:t>Nanyuki</w:t>
      </w:r>
      <w:proofErr w:type="spellEnd"/>
      <w:r w:rsidRPr="00584647">
        <w:t xml:space="preserve"> Statement of common African customary laws for the protection of sacred sites in 2012. </w:t>
      </w:r>
      <w:hyperlink r:id="rId70" w:history="1">
        <w:r w:rsidRPr="00584647">
          <w:rPr>
            <w:rStyle w:val="Hyperlink"/>
            <w:u w:val="none"/>
          </w:rPr>
          <w:t>http://www.gaiafoundation.org/sites/default/files/documents/Statement%20of%20the%20Common%20African%20Customary%20Laws%20for%20the%20Protection%20of%20Sacred%20Sites%202012_0.pdf</w:t>
        </w:r>
      </w:hyperlink>
      <w:r w:rsidRPr="00584647">
        <w:rPr>
          <w:rStyle w:val="Hyperlink"/>
          <w:u w:val="none"/>
        </w:rPr>
        <w:t xml:space="preserve"> Accessed 26th May 2014. </w:t>
      </w:r>
    </w:p>
  </w:footnote>
  <w:footnote w:id="212">
    <w:p w14:paraId="3E9718EB" w14:textId="77777777" w:rsidR="00002536" w:rsidRPr="00584647" w:rsidRDefault="00002536" w:rsidP="00810C20">
      <w:pPr>
        <w:pStyle w:val="FootnoteText"/>
        <w:spacing w:after="0"/>
        <w:jc w:val="both"/>
      </w:pPr>
      <w:r w:rsidRPr="00584647">
        <w:rPr>
          <w:rStyle w:val="FootnoteReference"/>
        </w:rPr>
        <w:footnoteRef/>
      </w:r>
      <w:r w:rsidRPr="00584647">
        <w:t xml:space="preserve"> CBD Technical Series 24 </w:t>
      </w:r>
      <w:r w:rsidRPr="00584647">
        <w:rPr>
          <w:i/>
        </w:rPr>
        <w:t>Closing the Gap: Creating ecologically representative protected area systems</w:t>
      </w:r>
      <w:r w:rsidRPr="00584647">
        <w:t xml:space="preserve">, </w:t>
      </w:r>
      <w:hyperlink r:id="rId71" w:history="1">
        <w:r w:rsidRPr="00584647">
          <w:rPr>
            <w:rStyle w:val="Hyperlink"/>
            <w:u w:val="none"/>
          </w:rPr>
          <w:t>http://www.cbd.int/doc/publications/cbd-ts-24.pdf</w:t>
        </w:r>
      </w:hyperlink>
      <w:r w:rsidRPr="00584647">
        <w:t xml:space="preserve"> Accessed 21st May 2014</w:t>
      </w:r>
    </w:p>
  </w:footnote>
  <w:footnote w:id="213">
    <w:p w14:paraId="45A3C28B" w14:textId="77777777" w:rsidR="00002536" w:rsidRPr="00584647" w:rsidRDefault="00002536" w:rsidP="00810C20">
      <w:pPr>
        <w:pStyle w:val="FootnoteText"/>
        <w:spacing w:after="0"/>
        <w:jc w:val="both"/>
        <w:rPr>
          <w:lang w:val="en-CA"/>
        </w:rPr>
      </w:pPr>
      <w:r w:rsidRPr="00584647">
        <w:rPr>
          <w:rStyle w:val="FootnoteReference"/>
        </w:rPr>
        <w:footnoteRef/>
      </w:r>
      <w:r w:rsidRPr="00584647">
        <w:t xml:space="preserve"> Pronounced {</w:t>
      </w:r>
      <w:proofErr w:type="spellStart"/>
      <w:r w:rsidRPr="00584647">
        <w:t>Tga-ree-wa-yie-ree</w:t>
      </w:r>
      <w:proofErr w:type="spellEnd"/>
      <w:r w:rsidRPr="00584647">
        <w:t>}, a Mohawk term meaning “the proper way”.</w:t>
      </w:r>
    </w:p>
  </w:footnote>
  <w:footnote w:id="214">
    <w:p w14:paraId="366B19CD" w14:textId="77777777" w:rsidR="00002536" w:rsidRPr="00584647" w:rsidRDefault="00002536" w:rsidP="00810C20">
      <w:pPr>
        <w:autoSpaceDE w:val="0"/>
        <w:autoSpaceDN w:val="0"/>
        <w:adjustRightInd w:val="0"/>
        <w:spacing w:after="0" w:line="240" w:lineRule="auto"/>
        <w:rPr>
          <w:rFonts w:ascii="Times New Roman" w:hAnsi="Times New Roman"/>
          <w:sz w:val="20"/>
          <w:szCs w:val="20"/>
          <w:lang w:eastAsia="en-GB" w:bidi="ar-SA"/>
        </w:rPr>
      </w:pPr>
      <w:r w:rsidRPr="000639BA">
        <w:rPr>
          <w:rStyle w:val="FootnoteReference"/>
          <w:rFonts w:ascii="Times New Roman" w:hAnsi="Times New Roman"/>
          <w:sz w:val="16"/>
          <w:szCs w:val="16"/>
          <w:lang w:eastAsia="sv-SE" w:bidi="ar-SA"/>
        </w:rPr>
        <w:footnoteRef/>
      </w:r>
      <w:r w:rsidRPr="000639BA">
        <w:rPr>
          <w:rStyle w:val="FootnoteReference"/>
          <w:rFonts w:ascii="Times New Roman" w:hAnsi="Times New Roman"/>
          <w:sz w:val="16"/>
          <w:szCs w:val="16"/>
          <w:lang w:eastAsia="sv-SE" w:bidi="ar-SA"/>
        </w:rPr>
        <w:t xml:space="preserve"> </w:t>
      </w:r>
      <w:r w:rsidRPr="000639BA">
        <w:rPr>
          <w:rFonts w:ascii="Times New Roman" w:hAnsi="Times New Roman"/>
          <w:sz w:val="16"/>
          <w:szCs w:val="16"/>
          <w:lang w:eastAsia="sv-SE" w:bidi="ar-SA"/>
        </w:rPr>
        <w:t>E/CN.18/2013/5, Istanbul, Turkey, 8-19 Apr</w:t>
      </w:r>
      <w:r w:rsidRPr="00584647">
        <w:rPr>
          <w:rFonts w:ascii="Times New Roman" w:hAnsi="Times New Roman"/>
          <w:sz w:val="16"/>
          <w:szCs w:val="16"/>
          <w:lang w:eastAsia="sv-SE" w:bidi="ar-SA"/>
        </w:rPr>
        <w:t>il 2013.</w:t>
      </w:r>
    </w:p>
  </w:footnote>
  <w:footnote w:id="215">
    <w:p w14:paraId="45C99601" w14:textId="77777777" w:rsidR="00002536" w:rsidRPr="00584647" w:rsidRDefault="00002536" w:rsidP="00810C20">
      <w:pPr>
        <w:pStyle w:val="FootnoteText"/>
        <w:rPr>
          <w:lang w:val="es-ES"/>
        </w:rPr>
      </w:pPr>
      <w:r w:rsidRPr="00584647">
        <w:rPr>
          <w:rStyle w:val="FootnoteReference"/>
        </w:rPr>
        <w:footnoteRef/>
      </w:r>
      <w:r w:rsidRPr="00584647">
        <w:rPr>
          <w:lang w:val="es-ES"/>
        </w:rPr>
        <w:t xml:space="preserve"> Pacheco, D. (2003), Vivir Bien en Armonía y Equilibrio con la Madre Tierra: una propuesta para el cambio de las relaciones globales entre los seres humanos y la naturaleza, Fundación de la Cordillera La Paz.</w:t>
      </w:r>
    </w:p>
  </w:footnote>
  <w:footnote w:id="216">
    <w:p w14:paraId="5A58BA3A" w14:textId="1B68BDD9" w:rsidR="00002536" w:rsidRPr="00002536" w:rsidRDefault="00002536">
      <w:pPr>
        <w:pStyle w:val="FootnoteText"/>
        <w:rPr>
          <w:lang w:val="en-US"/>
        </w:rPr>
      </w:pPr>
      <w:r>
        <w:rPr>
          <w:rStyle w:val="FootnoteReference"/>
        </w:rPr>
        <w:footnoteRef/>
      </w:r>
      <w:r>
        <w:t xml:space="preserve"> </w:t>
      </w:r>
      <w:r w:rsidRPr="00002536">
        <w:rPr>
          <w:lang w:val="en-US"/>
        </w:rPr>
        <w:t xml:space="preserve">As part of the evolving nature of safeguards, there have been certain legal and policy development after this case study was conducted which go beyond the scope of this study.  </w:t>
      </w:r>
    </w:p>
  </w:footnote>
  <w:footnote w:id="217">
    <w:p w14:paraId="5A9EB48C" w14:textId="0C2B3291" w:rsidR="00002536" w:rsidRPr="00584647" w:rsidRDefault="00002536" w:rsidP="0017261F">
      <w:pPr>
        <w:pStyle w:val="FootnoteText"/>
        <w:rPr>
          <w:lang w:val="en-GB"/>
        </w:rPr>
      </w:pPr>
      <w:r w:rsidRPr="00584647">
        <w:rPr>
          <w:rStyle w:val="FootnoteReference"/>
          <w:lang w:val="en-GB"/>
        </w:rPr>
        <w:footnoteRef/>
      </w:r>
      <w:r w:rsidRPr="00584647">
        <w:rPr>
          <w:lang w:val="en-GB"/>
        </w:rPr>
        <w:t xml:space="preserve"> The full text of the Cancun safeguards can be found at UNFCCC ‘The Cancun Agreements: Outcome of the work on the Ad Hoc Working Group on Long-Term Cooperative Action under the Convention. Report of the Conference of the Parties on its sixteenth session’ (29 November–10 December 2010) (2011) FCCC/CP/2010/7/Add.1. See also UNFCCC ‘Guidance on systems for providing information on how safeguards are addressed and respected. Report of the Conference of the Parties on its seventeenth session’ (28 November to 11 December 2011) (2012) FCCC/CP/2011/9/Add.2.</w:t>
      </w:r>
    </w:p>
  </w:footnote>
  <w:footnote w:id="218">
    <w:p w14:paraId="67A73613" w14:textId="35ECC500" w:rsidR="00002536" w:rsidRPr="00584647" w:rsidRDefault="00002536" w:rsidP="0017261F">
      <w:pPr>
        <w:pStyle w:val="NormalWeb"/>
        <w:spacing w:before="0" w:beforeAutospacing="0" w:after="0" w:afterAutospacing="0"/>
        <w:rPr>
          <w:rFonts w:ascii="Cambria" w:hAnsi="Cambria"/>
          <w:sz w:val="16"/>
          <w:szCs w:val="16"/>
        </w:rPr>
      </w:pPr>
      <w:r w:rsidRPr="00584647">
        <w:rPr>
          <w:rStyle w:val="FootnoteReference"/>
          <w:sz w:val="16"/>
          <w:szCs w:val="16"/>
        </w:rPr>
        <w:footnoteRef/>
      </w:r>
      <w:r w:rsidRPr="000F714B">
        <w:rPr>
          <w:rFonts w:ascii="Cambria" w:hAnsi="Cambria"/>
          <w:sz w:val="16"/>
          <w:szCs w:val="16"/>
          <w:lang w:val="fr-FR"/>
        </w:rPr>
        <w:t xml:space="preserve"> T. M. Brooks, </w:t>
      </w:r>
      <w:r w:rsidRPr="000F714B">
        <w:rPr>
          <w:rFonts w:ascii="Cambria" w:hAnsi="Cambria"/>
          <w:i/>
          <w:iCs/>
          <w:sz w:val="16"/>
          <w:szCs w:val="16"/>
          <w:lang w:val="fr-FR"/>
        </w:rPr>
        <w:t xml:space="preserve">et al. 2006. </w:t>
      </w:r>
      <w:r w:rsidRPr="00584647">
        <w:rPr>
          <w:rFonts w:ascii="Cambria" w:hAnsi="Cambria"/>
          <w:bCs/>
          <w:sz w:val="16"/>
          <w:szCs w:val="16"/>
        </w:rPr>
        <w:t xml:space="preserve">Global Biodiversity Conservation Priorities. </w:t>
      </w:r>
      <w:r w:rsidRPr="00584647">
        <w:rPr>
          <w:rFonts w:ascii="Cambria" w:hAnsi="Cambria"/>
          <w:i/>
          <w:iCs/>
          <w:sz w:val="16"/>
          <w:szCs w:val="16"/>
        </w:rPr>
        <w:t xml:space="preserve">Science </w:t>
      </w:r>
      <w:r w:rsidRPr="00584647">
        <w:rPr>
          <w:rFonts w:ascii="Cambria" w:hAnsi="Cambria"/>
          <w:bCs/>
          <w:sz w:val="16"/>
          <w:szCs w:val="16"/>
        </w:rPr>
        <w:t>313</w:t>
      </w:r>
      <w:r w:rsidRPr="00584647">
        <w:rPr>
          <w:rFonts w:ascii="Cambria" w:hAnsi="Cambria"/>
          <w:sz w:val="16"/>
          <w:szCs w:val="16"/>
        </w:rPr>
        <w:t xml:space="preserve">, 58 </w:t>
      </w:r>
    </w:p>
  </w:footnote>
  <w:footnote w:id="219">
    <w:p w14:paraId="14D25ADC" w14:textId="5B80E494" w:rsidR="00002536" w:rsidRPr="00584647" w:rsidRDefault="00002536" w:rsidP="0017261F">
      <w:pPr>
        <w:pStyle w:val="FootnoteText"/>
        <w:rPr>
          <w:lang w:val="en-GB"/>
        </w:rPr>
      </w:pPr>
      <w:r w:rsidRPr="00584647">
        <w:rPr>
          <w:rStyle w:val="FootnoteReference"/>
          <w:lang w:val="en-GB"/>
        </w:rPr>
        <w:footnoteRef/>
      </w:r>
      <w:r w:rsidRPr="00584647">
        <w:rPr>
          <w:lang w:val="en-GB"/>
        </w:rPr>
        <w:t xml:space="preserve"> Mexican Agrarian Law. Article 22 and Article 10. 2017. http://www.diputados.gob.mx/LeyesBiblio/pdf/13_270317.pdf</w:t>
      </w:r>
    </w:p>
  </w:footnote>
  <w:footnote w:id="220">
    <w:p w14:paraId="64F4693C"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Climate Change Law. Article 34.1. http://www.inecc.gob.mx/descargas/2012_lgcc.pdf</w:t>
      </w:r>
    </w:p>
  </w:footnote>
  <w:footnote w:id="221">
    <w:p w14:paraId="0F760F4C"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National General Environmental Law. Art 3 XXXVI. http://www.diputados.gob.mx/LeyesBiblio/pdf/148_240117.pdf</w:t>
      </w:r>
    </w:p>
  </w:footnote>
  <w:footnote w:id="222">
    <w:p w14:paraId="3F358AAF"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 xml:space="preserve">National Forest Law. Article 134 </w:t>
      </w:r>
      <w:proofErr w:type="spellStart"/>
      <w:r w:rsidRPr="00584647">
        <w:rPr>
          <w:rFonts w:ascii="Times" w:hAnsi="Times"/>
          <w:lang w:val="en-GB"/>
        </w:rPr>
        <w:t>bis</w:t>
      </w:r>
      <w:proofErr w:type="spellEnd"/>
      <w:r w:rsidRPr="00584647">
        <w:rPr>
          <w:rFonts w:ascii="Times" w:hAnsi="Times"/>
          <w:lang w:val="en-GB"/>
        </w:rPr>
        <w:t xml:space="preserve"> I. http://www.diputados.gob.mx/LeyesBiblio/pdf/259_240117.pdf</w:t>
      </w:r>
    </w:p>
  </w:footnote>
  <w:footnote w:id="223">
    <w:p w14:paraId="04163EA2"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 xml:space="preserve">National Forest Law. Article 134 </w:t>
      </w:r>
      <w:proofErr w:type="spellStart"/>
      <w:r w:rsidRPr="00584647">
        <w:rPr>
          <w:rFonts w:ascii="Times" w:hAnsi="Times"/>
          <w:lang w:val="en-GB"/>
        </w:rPr>
        <w:t>bis</w:t>
      </w:r>
      <w:proofErr w:type="spellEnd"/>
      <w:r w:rsidRPr="00584647">
        <w:rPr>
          <w:rFonts w:ascii="Times" w:hAnsi="Times"/>
          <w:lang w:val="en-GB"/>
        </w:rPr>
        <w:t>. http://www.diputados.gob.mx/LeyesBiblio/pdf/259_240117.pdf</w:t>
      </w:r>
    </w:p>
  </w:footnote>
  <w:footnote w:id="224">
    <w:p w14:paraId="646D8545"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 xml:space="preserve">National Forest Law. Article 134 </w:t>
      </w:r>
      <w:proofErr w:type="spellStart"/>
      <w:r w:rsidRPr="00584647">
        <w:rPr>
          <w:rFonts w:ascii="Times" w:hAnsi="Times"/>
          <w:lang w:val="en-GB"/>
        </w:rPr>
        <w:t>bis</w:t>
      </w:r>
      <w:proofErr w:type="spellEnd"/>
      <w:r w:rsidRPr="00584647">
        <w:rPr>
          <w:rFonts w:ascii="Times" w:hAnsi="Times"/>
          <w:lang w:val="en-GB"/>
        </w:rPr>
        <w:t xml:space="preserve"> II. http://www.diputados.gob.mx/LeyesBiblio/pdf/259_240117.pdf</w:t>
      </w:r>
    </w:p>
  </w:footnote>
  <w:footnote w:id="225">
    <w:p w14:paraId="589E9FA7" w14:textId="77777777" w:rsidR="00002536" w:rsidRPr="00584647" w:rsidRDefault="00002536" w:rsidP="0017261F">
      <w:pPr>
        <w:pStyle w:val="FootnoteText"/>
        <w:rPr>
          <w:lang w:val="en-US"/>
        </w:rPr>
      </w:pPr>
      <w:r w:rsidRPr="00584647">
        <w:rPr>
          <w:rStyle w:val="FootnoteReference"/>
        </w:rPr>
        <w:footnoteRef/>
      </w:r>
      <w:r w:rsidRPr="00584647">
        <w:t xml:space="preserve"> National </w:t>
      </w:r>
      <w:r w:rsidRPr="00584647">
        <w:rPr>
          <w:rFonts w:ascii="Times" w:hAnsi="Times"/>
          <w:lang w:val="en-GB"/>
        </w:rPr>
        <w:t>Forest Law Art 45. http://www.diputados.gob.mx/LeyesBiblio/pdf/259_240117.pdf</w:t>
      </w:r>
    </w:p>
  </w:footnote>
  <w:footnote w:id="226">
    <w:p w14:paraId="585F9F9C"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 xml:space="preserve">Ibid 9. </w:t>
      </w:r>
    </w:p>
  </w:footnote>
  <w:footnote w:id="227">
    <w:p w14:paraId="677B0A9F"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National Forest Law</w:t>
      </w:r>
      <w:r w:rsidRPr="00584647">
        <w:rPr>
          <w:lang w:val="en-US"/>
        </w:rPr>
        <w:t xml:space="preserve"> </w:t>
      </w:r>
      <w:r w:rsidRPr="00584647">
        <w:rPr>
          <w:rFonts w:ascii="Times" w:hAnsi="Times"/>
          <w:lang w:val="en-GB"/>
        </w:rPr>
        <w:t xml:space="preserve">Article 134 </w:t>
      </w:r>
      <w:proofErr w:type="spellStart"/>
      <w:r w:rsidRPr="00584647">
        <w:rPr>
          <w:rFonts w:ascii="Times" w:hAnsi="Times"/>
          <w:lang w:val="en-GB"/>
        </w:rPr>
        <w:t>bis</w:t>
      </w:r>
      <w:proofErr w:type="spellEnd"/>
      <w:r w:rsidRPr="00584647">
        <w:rPr>
          <w:rFonts w:ascii="Times" w:hAnsi="Times"/>
          <w:lang w:val="en-GB"/>
        </w:rPr>
        <w:t xml:space="preserve"> VII. http://www.diputados.gob.mx/LeyesBiblio/pdf/259_240117.pdf</w:t>
      </w:r>
    </w:p>
  </w:footnote>
  <w:footnote w:id="228">
    <w:p w14:paraId="765365A0"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rFonts w:ascii="Times" w:hAnsi="Times"/>
          <w:lang w:val="en-GB"/>
        </w:rPr>
        <w:t>National Forest Law</w:t>
      </w:r>
      <w:r w:rsidRPr="00584647">
        <w:rPr>
          <w:lang w:val="en-US"/>
        </w:rPr>
        <w:t xml:space="preserve"> </w:t>
      </w:r>
      <w:r w:rsidRPr="00584647">
        <w:rPr>
          <w:rFonts w:ascii="Times" w:hAnsi="Times"/>
          <w:lang w:val="en-GB"/>
        </w:rPr>
        <w:t xml:space="preserve">Article 134 </w:t>
      </w:r>
      <w:proofErr w:type="spellStart"/>
      <w:r w:rsidRPr="00584647">
        <w:rPr>
          <w:rFonts w:ascii="Times" w:hAnsi="Times"/>
          <w:lang w:val="en-GB"/>
        </w:rPr>
        <w:t>bis</w:t>
      </w:r>
      <w:proofErr w:type="spellEnd"/>
      <w:r w:rsidRPr="00584647">
        <w:rPr>
          <w:rFonts w:ascii="Times" w:hAnsi="Times"/>
          <w:lang w:val="en-GB"/>
        </w:rPr>
        <w:t xml:space="preserve"> VIII. http://www.diputados.gob.mx/LeyesBiblio/pdf/259_240117.pdf</w:t>
      </w:r>
    </w:p>
  </w:footnote>
  <w:footnote w:id="229">
    <w:p w14:paraId="786EB298" w14:textId="77777777" w:rsidR="00002536" w:rsidRPr="00584647" w:rsidRDefault="00002536" w:rsidP="0017261F">
      <w:pPr>
        <w:pStyle w:val="FootnoteText"/>
        <w:rPr>
          <w:lang w:val="en-US"/>
        </w:rPr>
      </w:pPr>
      <w:r w:rsidRPr="00584647">
        <w:rPr>
          <w:rStyle w:val="FootnoteReference"/>
        </w:rPr>
        <w:footnoteRef/>
      </w:r>
      <w:r w:rsidRPr="00584647">
        <w:t xml:space="preserve"> </w:t>
      </w:r>
      <w:r w:rsidRPr="00584647">
        <w:rPr>
          <w:lang w:val="en-US"/>
        </w:rPr>
        <w:t>Climate Change Law.  http://www.inecc.gob.mx/descargas/2012_lgcc.pdf</w:t>
      </w:r>
    </w:p>
  </w:footnote>
  <w:footnote w:id="230">
    <w:p w14:paraId="43E684B4" w14:textId="77777777" w:rsidR="00002536" w:rsidRPr="00584647" w:rsidRDefault="00002536" w:rsidP="00E2590D">
      <w:pPr>
        <w:pStyle w:val="FootnoteText"/>
        <w:jc w:val="both"/>
      </w:pPr>
      <w:r w:rsidRPr="00584647">
        <w:rPr>
          <w:rStyle w:val="FootnoteCharacters"/>
          <w:vertAlign w:val="superscript"/>
        </w:rPr>
        <w:footnoteRef/>
      </w:r>
      <w:r w:rsidRPr="00584647">
        <w:rPr>
          <w:vertAlign w:val="superscript"/>
        </w:rPr>
        <w:t xml:space="preserve"> </w:t>
      </w:r>
      <w:hyperlink r:id="rId72" w:history="1">
        <w:r w:rsidRPr="00584647">
          <w:rPr>
            <w:rStyle w:val="Hyperlink"/>
          </w:rPr>
          <w:t>Decision VIII/28</w:t>
        </w:r>
      </w:hyperlink>
      <w:r w:rsidRPr="00584647">
        <w:t xml:space="preserve"> (Voluntary guidelines on biodiversity-inclusive impact assessment). </w:t>
      </w:r>
    </w:p>
  </w:footnote>
  <w:footnote w:id="231">
    <w:p w14:paraId="7D7DC641" w14:textId="77777777" w:rsidR="00002536" w:rsidRPr="000639BA" w:rsidRDefault="00002536" w:rsidP="007C06D3">
      <w:pPr>
        <w:pStyle w:val="FootnoteText"/>
        <w:rPr>
          <w:lang w:val="es-ES_tradnl"/>
        </w:rPr>
      </w:pPr>
      <w:r w:rsidRPr="00584647">
        <w:rPr>
          <w:rStyle w:val="FootnoteReference"/>
        </w:rPr>
        <w:footnoteRef/>
      </w:r>
      <w:r w:rsidRPr="00584647">
        <w:t xml:space="preserve"> </w:t>
      </w:r>
      <w:r w:rsidRPr="00584647">
        <w:rPr>
          <w:rFonts w:ascii="Calibri" w:hAnsi="Calibri"/>
          <w:bCs/>
          <w:color w:val="4F81BD" w:themeColor="accent1"/>
          <w:lang w:val="es-MX"/>
        </w:rPr>
        <w:t>Knox,2018 A/HRC/37/59</w:t>
      </w:r>
    </w:p>
  </w:footnote>
  <w:footnote w:id="232">
    <w:p w14:paraId="5D2B95C9" w14:textId="77777777" w:rsidR="00002536" w:rsidRPr="000639BA" w:rsidRDefault="00002536" w:rsidP="007C06D3">
      <w:pPr>
        <w:spacing w:after="60" w:line="240" w:lineRule="auto"/>
        <w:rPr>
          <w:rFonts w:ascii="Calibri" w:hAnsi="Calibri"/>
          <w:sz w:val="16"/>
          <w:szCs w:val="16"/>
          <w:lang w:val="es-MX"/>
        </w:rPr>
      </w:pPr>
      <w:r w:rsidRPr="000639BA">
        <w:rPr>
          <w:rStyle w:val="FootnoteReference"/>
          <w:rFonts w:ascii="Calibri" w:hAnsi="Calibri"/>
          <w:sz w:val="16"/>
          <w:szCs w:val="16"/>
        </w:rPr>
        <w:footnoteRef/>
      </w:r>
      <w:r w:rsidRPr="000639BA">
        <w:rPr>
          <w:rFonts w:ascii="Calibri" w:hAnsi="Calibri"/>
          <w:sz w:val="16"/>
          <w:szCs w:val="16"/>
          <w:lang w:val="es-MX"/>
        </w:rPr>
        <w:t xml:space="preserve"> UN, 2015 - A/HRC/28/61</w:t>
      </w:r>
    </w:p>
  </w:footnote>
  <w:footnote w:id="233">
    <w:p w14:paraId="6C1E28B1" w14:textId="77777777" w:rsidR="00002536" w:rsidRPr="00584647" w:rsidRDefault="00002536" w:rsidP="007C06D3">
      <w:pPr>
        <w:pStyle w:val="FootnoteText"/>
        <w:rPr>
          <w:lang w:val="en-US"/>
        </w:rPr>
      </w:pPr>
      <w:r w:rsidRPr="00584647">
        <w:rPr>
          <w:rStyle w:val="FootnoteReference"/>
          <w:rFonts w:ascii="Calibri" w:hAnsi="Calibri"/>
        </w:rPr>
        <w:footnoteRef/>
      </w:r>
      <w:r w:rsidRPr="00584647">
        <w:rPr>
          <w:rFonts w:ascii="Calibri" w:hAnsi="Calibri"/>
          <w:lang w:val="en-US"/>
        </w:rPr>
        <w:t xml:space="preserve"> Knox, 2017</w:t>
      </w:r>
    </w:p>
  </w:footnote>
  <w:footnote w:id="234">
    <w:p w14:paraId="2BAE7D4B" w14:textId="77777777" w:rsidR="00002536" w:rsidRPr="00584647" w:rsidRDefault="00002536" w:rsidP="007C06D3">
      <w:pPr>
        <w:pStyle w:val="FootnoteText"/>
        <w:jc w:val="both"/>
      </w:pPr>
      <w:r w:rsidRPr="00584647">
        <w:rPr>
          <w:rStyle w:val="FootnoteReference"/>
        </w:rPr>
        <w:footnoteRef/>
      </w:r>
      <w:r w:rsidRPr="00584647">
        <w:t xml:space="preserve"> Poncelet, C. (2012) </w:t>
      </w:r>
      <w:r w:rsidRPr="00584647">
        <w:rPr>
          <w:bCs/>
          <w:color w:val="000000"/>
          <w:kern w:val="36"/>
          <w:lang w:eastAsia="en-US"/>
        </w:rPr>
        <w:t>Access to Justice in Environmental Matters—Does the European Union Comply with its Obligations?</w:t>
      </w:r>
      <w:r w:rsidRPr="00584647">
        <w:rPr>
          <w:i/>
          <w:iCs/>
          <w:color w:val="000000"/>
          <w:lang w:eastAsia="en-US"/>
        </w:rPr>
        <w:t xml:space="preserve"> </w:t>
      </w:r>
      <w:r w:rsidRPr="00584647">
        <w:rPr>
          <w:i/>
          <w:iCs/>
          <w:color w:val="000000"/>
        </w:rPr>
        <w:t xml:space="preserve">J Environmental Law, </w:t>
      </w:r>
      <w:r w:rsidRPr="00584647">
        <w:rPr>
          <w:iCs/>
          <w:vanish/>
          <w:color w:val="000000"/>
        </w:rPr>
        <w:t xml:space="preserve">eqs004 </w:t>
      </w:r>
      <w:r w:rsidRPr="00584647">
        <w:rPr>
          <w:iCs/>
          <w:color w:val="000000"/>
        </w:rPr>
        <w:t>first published online March 16, 2012 doi:10.1093/</w:t>
      </w:r>
      <w:proofErr w:type="spellStart"/>
      <w:r w:rsidRPr="00584647">
        <w:rPr>
          <w:iCs/>
          <w:color w:val="000000"/>
        </w:rPr>
        <w:t>jel</w:t>
      </w:r>
      <w:proofErr w:type="spellEnd"/>
      <w:r w:rsidRPr="00584647">
        <w:rPr>
          <w:iCs/>
          <w:color w:val="000000"/>
        </w:rPr>
        <w:t>/eqs004</w:t>
      </w:r>
      <w:r w:rsidRPr="00584647">
        <w:rPr>
          <w:i/>
          <w:iCs/>
          <w:color w:val="000000"/>
        </w:rPr>
        <w:t>.</w:t>
      </w:r>
      <w:r w:rsidRPr="00584647">
        <w:rPr>
          <w:i/>
          <w:iCs/>
          <w:color w:val="333300"/>
        </w:rPr>
        <w:t xml:space="preserve"> </w:t>
      </w:r>
    </w:p>
  </w:footnote>
  <w:footnote w:id="235">
    <w:p w14:paraId="6009779E" w14:textId="77777777" w:rsidR="00002536" w:rsidRPr="00584647" w:rsidRDefault="00002536" w:rsidP="00E2590D">
      <w:pPr>
        <w:pStyle w:val="FootnoteText"/>
        <w:jc w:val="both"/>
      </w:pPr>
      <w:r w:rsidRPr="00584647">
        <w:rPr>
          <w:rStyle w:val="FootnoteReference"/>
        </w:rPr>
        <w:footnoteRef/>
      </w:r>
      <w:r w:rsidRPr="00584647">
        <w:t xml:space="preserve"> Synthesis on Innovative Financial Mechanisms, Note by the Executive Secretary, UNEP/CBD/COP/11/14/Add.3, 28 August 2012.</w:t>
      </w:r>
    </w:p>
  </w:footnote>
  <w:footnote w:id="236">
    <w:p w14:paraId="4A4944D3" w14:textId="77777777" w:rsidR="00002536" w:rsidRPr="00584647" w:rsidRDefault="00002536" w:rsidP="00F36825">
      <w:pPr>
        <w:widowControl w:val="0"/>
        <w:autoSpaceDE w:val="0"/>
        <w:autoSpaceDN w:val="0"/>
        <w:adjustRightInd w:val="0"/>
        <w:spacing w:before="60" w:after="0" w:line="240" w:lineRule="auto"/>
        <w:rPr>
          <w:rFonts w:ascii="Times New Roman" w:hAnsi="Times New Roman"/>
          <w:sz w:val="16"/>
          <w:szCs w:val="16"/>
          <w:lang w:val="en-US"/>
        </w:rPr>
      </w:pPr>
      <w:r w:rsidRPr="000639BA">
        <w:rPr>
          <w:rStyle w:val="FootnoteReference"/>
          <w:rFonts w:ascii="Times New Roman" w:hAnsi="Times New Roman"/>
          <w:sz w:val="16"/>
          <w:szCs w:val="16"/>
        </w:rPr>
        <w:footnoteRef/>
      </w:r>
      <w:r w:rsidRPr="000639BA">
        <w:rPr>
          <w:rFonts w:ascii="Times New Roman" w:hAnsi="Times New Roman"/>
          <w:sz w:val="16"/>
          <w:szCs w:val="16"/>
          <w:lang w:val="en-US"/>
        </w:rPr>
        <w:t xml:space="preserve"> The World Bank. Lao PDR </w:t>
      </w:r>
      <w:r w:rsidRPr="000639BA">
        <w:rPr>
          <w:rFonts w:ascii="Times New Roman" w:hAnsi="Times New Roman"/>
          <w:sz w:val="16"/>
          <w:szCs w:val="16"/>
        </w:rPr>
        <w:t xml:space="preserve">Southeast Asia Disaster Risk Management Project (P160930). 2017. Project Information Document/Integrated Safeguards Data Sheet (PID/ISDS). Report No: PIDISDSC19620 </w:t>
      </w:r>
    </w:p>
  </w:footnote>
  <w:footnote w:id="237">
    <w:p w14:paraId="77E2399A" w14:textId="77777777" w:rsidR="00002536" w:rsidRPr="000639BA" w:rsidRDefault="00002536" w:rsidP="00F36825">
      <w:pPr>
        <w:autoSpaceDE w:val="0"/>
        <w:autoSpaceDN w:val="0"/>
        <w:adjustRightInd w:val="0"/>
        <w:spacing w:after="0" w:line="240" w:lineRule="auto"/>
        <w:rPr>
          <w:rFonts w:ascii="Times New Roman" w:hAnsi="Times New Roman"/>
          <w:bCs/>
          <w:iCs/>
          <w:sz w:val="16"/>
          <w:szCs w:val="16"/>
          <w:lang w:val="en-US"/>
        </w:rPr>
      </w:pPr>
      <w:r w:rsidRPr="000639BA">
        <w:rPr>
          <w:rStyle w:val="FootnoteReference"/>
          <w:rFonts w:ascii="Times New Roman" w:hAnsi="Times New Roman"/>
          <w:sz w:val="16"/>
          <w:szCs w:val="16"/>
        </w:rPr>
        <w:footnoteRef/>
      </w:r>
      <w:r w:rsidRPr="000639BA">
        <w:rPr>
          <w:rFonts w:ascii="Times New Roman" w:hAnsi="Times New Roman"/>
          <w:sz w:val="16"/>
          <w:szCs w:val="16"/>
          <w:lang w:val="en-US"/>
        </w:rPr>
        <w:t xml:space="preserve"> </w:t>
      </w:r>
      <w:r w:rsidRPr="000639BA">
        <w:rPr>
          <w:rFonts w:ascii="Times New Roman" w:hAnsi="Times New Roman"/>
          <w:iCs/>
          <w:sz w:val="16"/>
          <w:szCs w:val="16"/>
          <w:lang w:val="en-US"/>
        </w:rPr>
        <w:t xml:space="preserve">Poverty </w:t>
      </w:r>
      <w:r w:rsidRPr="000639BA">
        <w:rPr>
          <w:rFonts w:ascii="Cambria Math" w:hAnsi="Cambria Math" w:cs="Cambria Math"/>
          <w:iCs/>
          <w:sz w:val="16"/>
          <w:szCs w:val="16"/>
          <w:lang w:val="en-US"/>
        </w:rPr>
        <w:t>‐</w:t>
      </w:r>
      <w:r w:rsidRPr="000639BA">
        <w:rPr>
          <w:rFonts w:ascii="Times New Roman" w:hAnsi="Times New Roman"/>
          <w:iCs/>
          <w:sz w:val="16"/>
          <w:szCs w:val="16"/>
          <w:lang w:val="en-US"/>
        </w:rPr>
        <w:t xml:space="preserve"> Environment Initiative (PEI) Lao PDR. 2010. </w:t>
      </w:r>
      <w:r w:rsidRPr="00584647">
        <w:rPr>
          <w:rFonts w:ascii="Times New Roman" w:hAnsi="Times New Roman"/>
          <w:bCs/>
          <w:iCs/>
          <w:sz w:val="16"/>
          <w:szCs w:val="16"/>
          <w:lang w:val="en-US"/>
        </w:rPr>
        <w:t xml:space="preserve">Economic, social and environmental impacts of investments in mining. </w:t>
      </w:r>
      <w:r w:rsidRPr="00584647">
        <w:rPr>
          <w:rFonts w:ascii="Times New Roman" w:hAnsi="Times New Roman"/>
          <w:iCs/>
          <w:sz w:val="16"/>
          <w:szCs w:val="16"/>
          <w:lang w:val="en-US"/>
        </w:rPr>
        <w:t xml:space="preserve">Issues Brief 08. </w:t>
      </w:r>
      <w:hyperlink r:id="rId73" w:history="1">
        <w:r w:rsidRPr="000639BA">
          <w:rPr>
            <w:rStyle w:val="Hyperlink"/>
            <w:rFonts w:ascii="Times New Roman" w:hAnsi="Times New Roman"/>
            <w:iCs/>
            <w:sz w:val="16"/>
            <w:szCs w:val="16"/>
            <w:u w:val="none"/>
            <w:lang w:val="en-US"/>
          </w:rPr>
          <w:t>www.unpei.org/sites/default/files/dmdocuments/PEI%20brief%2008_2010_Mining_english_d.pdf</w:t>
        </w:r>
      </w:hyperlink>
      <w:r w:rsidRPr="000639BA">
        <w:rPr>
          <w:rFonts w:ascii="Times New Roman" w:hAnsi="Times New Roman"/>
          <w:iCs/>
          <w:sz w:val="16"/>
          <w:szCs w:val="16"/>
          <w:lang w:val="en-US"/>
        </w:rPr>
        <w:t xml:space="preserve"> </w:t>
      </w:r>
      <w:r w:rsidRPr="000639BA">
        <w:rPr>
          <w:rFonts w:ascii="Times New Roman" w:hAnsi="Times New Roman"/>
          <w:sz w:val="16"/>
          <w:szCs w:val="16"/>
        </w:rPr>
        <w:t>Accessed 10th September 2017.</w:t>
      </w:r>
    </w:p>
  </w:footnote>
  <w:footnote w:id="238">
    <w:p w14:paraId="3CC8B8D0" w14:textId="77777777" w:rsidR="00002536" w:rsidRPr="00584647" w:rsidRDefault="00002536" w:rsidP="00F36825">
      <w:pPr>
        <w:pStyle w:val="FootnoteText"/>
        <w:spacing w:before="60" w:after="0"/>
        <w:rPr>
          <w:bCs/>
          <w:iCs/>
          <w:sz w:val="20"/>
          <w:szCs w:val="20"/>
          <w:lang w:val="en-US"/>
        </w:rPr>
      </w:pPr>
      <w:r w:rsidRPr="00584647">
        <w:rPr>
          <w:rStyle w:val="FootnoteReference"/>
          <w:lang w:val="en-GB"/>
        </w:rPr>
        <w:footnoteRef/>
      </w:r>
      <w:r w:rsidRPr="00584647">
        <w:rPr>
          <w:lang w:val="en-GB"/>
        </w:rPr>
        <w:t xml:space="preserve"> </w:t>
      </w:r>
      <w:r w:rsidRPr="00584647">
        <w:rPr>
          <w:bCs/>
          <w:iCs/>
          <w:lang w:val="en-US"/>
        </w:rPr>
        <w:t>Regulation No. 1770/STEA:</w:t>
      </w:r>
      <w:r w:rsidRPr="00584647">
        <w:rPr>
          <w:bCs/>
          <w:iCs/>
        </w:rPr>
        <w:t xml:space="preserve"> Regulation on Environment Assessment in the Lao PDR</w:t>
      </w:r>
      <w:r w:rsidRPr="00584647">
        <w:rPr>
          <w:bCs/>
          <w:iCs/>
          <w:lang w:val="en-US"/>
        </w:rPr>
        <w:t xml:space="preserve">. 2000. </w:t>
      </w:r>
      <w:r w:rsidRPr="00584647">
        <w:rPr>
          <w:lang w:val="en-GB"/>
        </w:rPr>
        <w:t>Lao People´s Democratic Republic.</w:t>
      </w:r>
    </w:p>
  </w:footnote>
  <w:footnote w:id="239">
    <w:p w14:paraId="7B66E4BE"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w:t>
      </w:r>
      <w:r w:rsidRPr="00584647">
        <w:rPr>
          <w:lang w:val="en-GB"/>
        </w:rPr>
        <w:t>e.g.: Water and Water Resources Law (1996), Mining Law (1997), Law of Minerals (2011).</w:t>
      </w:r>
    </w:p>
  </w:footnote>
  <w:footnote w:id="240">
    <w:p w14:paraId="35623D6B"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w:t>
      </w:r>
      <w:proofErr w:type="spellStart"/>
      <w:r w:rsidRPr="00584647">
        <w:rPr>
          <w:lang w:val="en-GB"/>
        </w:rPr>
        <w:t>Jusi</w:t>
      </w:r>
      <w:proofErr w:type="spellEnd"/>
      <w:r w:rsidRPr="00584647">
        <w:rPr>
          <w:lang w:val="en-GB"/>
        </w:rPr>
        <w:t xml:space="preserve"> (2010); PEI Mining briefing (2010); PEI Plantations briefing (2010)</w:t>
      </w:r>
    </w:p>
  </w:footnote>
  <w:footnote w:id="241">
    <w:p w14:paraId="14DAF708"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w:t>
      </w:r>
      <w:r w:rsidRPr="00584647">
        <w:rPr>
          <w:lang w:val="en-GB"/>
        </w:rPr>
        <w:t>UNEP-UNDP. 2015. Seeds of CHANGE.</w:t>
      </w:r>
    </w:p>
  </w:footnote>
  <w:footnote w:id="242">
    <w:p w14:paraId="2F43BA7C"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See Article 19 </w:t>
      </w:r>
      <w:r w:rsidRPr="00584647">
        <w:rPr>
          <w:i/>
          <w:lang w:val="en-US"/>
        </w:rPr>
        <w:t>in</w:t>
      </w:r>
      <w:r w:rsidRPr="00584647">
        <w:rPr>
          <w:lang w:val="en-US"/>
        </w:rPr>
        <w:t xml:space="preserve"> Lao People´s Democratic Republic </w:t>
      </w:r>
      <w:r w:rsidRPr="00584647">
        <w:rPr>
          <w:lang w:val="en-GB"/>
        </w:rPr>
        <w:t>Constitution. 2003.</w:t>
      </w:r>
    </w:p>
  </w:footnote>
  <w:footnote w:id="243">
    <w:p w14:paraId="5455F2F3" w14:textId="77777777" w:rsidR="00002536" w:rsidRPr="00584647" w:rsidRDefault="00002536" w:rsidP="00F36825">
      <w:pPr>
        <w:spacing w:before="60" w:after="0" w:line="240" w:lineRule="auto"/>
        <w:rPr>
          <w:rFonts w:ascii="Times New Roman" w:hAnsi="Times New Roman"/>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United Nations, General Assembly. 2017. </w:t>
      </w:r>
      <w:r w:rsidRPr="000639BA">
        <w:rPr>
          <w:rFonts w:ascii="Times New Roman" w:hAnsi="Times New Roman"/>
          <w:bCs/>
          <w:sz w:val="16"/>
          <w:szCs w:val="16"/>
        </w:rPr>
        <w:t xml:space="preserve">Report of the Special Rapporteur on the issue of human rights obligations relating to the enjoyment of a safe, clean, healthy and sustainable environment. </w:t>
      </w:r>
      <w:r w:rsidRPr="000639BA">
        <w:rPr>
          <w:rFonts w:ascii="Times New Roman" w:hAnsi="Times New Roman"/>
          <w:sz w:val="16"/>
          <w:szCs w:val="16"/>
        </w:rPr>
        <w:t>A/HRC/34/49</w:t>
      </w:r>
      <w:r w:rsidRPr="00584647">
        <w:rPr>
          <w:rFonts w:ascii="Times New Roman" w:hAnsi="Times New Roman"/>
          <w:bCs/>
          <w:sz w:val="16"/>
          <w:szCs w:val="16"/>
        </w:rPr>
        <w:t>.</w:t>
      </w:r>
      <w:r w:rsidRPr="00584647">
        <w:rPr>
          <w:rFonts w:ascii="Times New Roman" w:hAnsi="Times New Roman"/>
          <w:sz w:val="16"/>
          <w:szCs w:val="16"/>
        </w:rPr>
        <w:t xml:space="preserve"> Available at: </w:t>
      </w:r>
      <w:hyperlink r:id="rId74" w:history="1">
        <w:r w:rsidRPr="000639BA">
          <w:rPr>
            <w:rStyle w:val="Hyperlink"/>
            <w:rFonts w:ascii="Times New Roman" w:hAnsi="Times New Roman"/>
            <w:color w:val="auto"/>
            <w:sz w:val="16"/>
            <w:szCs w:val="16"/>
            <w:u w:val="none"/>
          </w:rPr>
          <w:t>https://documents-dds-ny.un.org/doc/UNDOC/GEN/G17/009/97/PDF/G1700997.pdf?OpenElement</w:t>
        </w:r>
      </w:hyperlink>
      <w:r w:rsidRPr="000639BA">
        <w:rPr>
          <w:rFonts w:ascii="Times New Roman" w:hAnsi="Times New Roman"/>
          <w:sz w:val="16"/>
          <w:szCs w:val="16"/>
        </w:rPr>
        <w:t xml:space="preserve"> Accessed18</w:t>
      </w:r>
      <w:r w:rsidRPr="000639BA">
        <w:rPr>
          <w:rFonts w:ascii="Times New Roman" w:hAnsi="Times New Roman"/>
          <w:sz w:val="16"/>
          <w:szCs w:val="16"/>
          <w:vertAlign w:val="superscript"/>
        </w:rPr>
        <w:t>th</w:t>
      </w:r>
      <w:r w:rsidRPr="000639BA">
        <w:rPr>
          <w:rFonts w:ascii="Times New Roman" w:hAnsi="Times New Roman"/>
          <w:sz w:val="16"/>
          <w:szCs w:val="16"/>
        </w:rPr>
        <w:t xml:space="preserve"> November 2017</w:t>
      </w:r>
    </w:p>
  </w:footnote>
  <w:footnote w:id="244">
    <w:p w14:paraId="00562E32"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See </w:t>
      </w:r>
      <w:r w:rsidRPr="00584647">
        <w:rPr>
          <w:lang w:val="en-GB"/>
        </w:rPr>
        <w:t xml:space="preserve">Art. 2 </w:t>
      </w:r>
      <w:r w:rsidRPr="00584647">
        <w:rPr>
          <w:i/>
          <w:lang w:val="en-GB"/>
        </w:rPr>
        <w:t>in</w:t>
      </w:r>
      <w:r w:rsidRPr="00584647">
        <w:rPr>
          <w:lang w:val="en-GB"/>
        </w:rPr>
        <w:t xml:space="preserve"> Ministerial Decree No. 112/PM: Decree on Environmental Impact Assessment. 2010.</w:t>
      </w:r>
    </w:p>
  </w:footnote>
  <w:footnote w:id="245">
    <w:p w14:paraId="0536E672" w14:textId="77777777" w:rsidR="00002536" w:rsidRPr="00584647" w:rsidRDefault="00002536" w:rsidP="00F36825">
      <w:pPr>
        <w:pStyle w:val="FootnoteText"/>
        <w:spacing w:before="60" w:after="0"/>
        <w:rPr>
          <w:lang w:val="en-GB"/>
        </w:rPr>
      </w:pPr>
      <w:r w:rsidRPr="00584647">
        <w:rPr>
          <w:rStyle w:val="FootnoteReference"/>
          <w:lang w:val="en-GB"/>
        </w:rPr>
        <w:footnoteRef/>
      </w:r>
      <w:r w:rsidRPr="00584647">
        <w:rPr>
          <w:lang w:val="en-GB"/>
        </w:rPr>
        <w:t xml:space="preserve"> See Remarks </w:t>
      </w:r>
      <w:r w:rsidRPr="00584647">
        <w:rPr>
          <w:i/>
          <w:lang w:val="en-GB"/>
        </w:rPr>
        <w:t>in</w:t>
      </w:r>
      <w:r w:rsidRPr="00584647">
        <w:rPr>
          <w:lang w:val="en-GB"/>
        </w:rPr>
        <w:t xml:space="preserve"> Ministerial Agreement No. 8056/ MONRE: </w:t>
      </w:r>
      <w:r w:rsidRPr="00584647">
        <w:rPr>
          <w:bCs/>
          <w:lang w:val="en-US"/>
        </w:rPr>
        <w:t>Ministerial Agreement on the Endorsement and Promulgation of List of Investment Projects and Activities Requiring for Conducting the Initial Environmental Examination or Environmental and Social Impact Assessment. 2013.</w:t>
      </w:r>
    </w:p>
  </w:footnote>
  <w:footnote w:id="246">
    <w:p w14:paraId="26335253" w14:textId="77777777" w:rsidR="00002536" w:rsidRPr="00584647" w:rsidRDefault="00002536" w:rsidP="00F36825">
      <w:pPr>
        <w:pStyle w:val="FootnoteText"/>
        <w:spacing w:before="60" w:after="0"/>
        <w:rPr>
          <w:rFonts w:ascii="Calibri" w:hAnsi="Calibri"/>
          <w:lang w:val="en-US"/>
        </w:rPr>
      </w:pPr>
      <w:r w:rsidRPr="00584647">
        <w:rPr>
          <w:rStyle w:val="FootnoteReference"/>
        </w:rPr>
        <w:footnoteRef/>
      </w:r>
      <w:r w:rsidRPr="00584647">
        <w:rPr>
          <w:lang w:val="en-US"/>
        </w:rPr>
        <w:t xml:space="preserve"> See </w:t>
      </w:r>
      <w:r w:rsidRPr="00584647">
        <w:rPr>
          <w:lang w:val="en-GB"/>
        </w:rPr>
        <w:t xml:space="preserve">Art. 2.8 </w:t>
      </w:r>
      <w:r w:rsidRPr="00584647">
        <w:rPr>
          <w:i/>
          <w:lang w:val="en-GB"/>
        </w:rPr>
        <w:t>in</w:t>
      </w:r>
      <w:r w:rsidRPr="00584647">
        <w:rPr>
          <w:lang w:val="en-GB"/>
        </w:rPr>
        <w:t xml:space="preserve"> Ministerial Instruction 8029/MONRE:</w:t>
      </w:r>
      <w:r w:rsidRPr="00584647">
        <w:rPr>
          <w:bCs/>
          <w:lang w:val="en-US"/>
        </w:rPr>
        <w:t xml:space="preserve"> Ministerial Instruction on the Process of Initial Environmental Examination of the Investment Projects and Activities. 2013</w:t>
      </w:r>
      <w:r w:rsidRPr="00584647">
        <w:rPr>
          <w:lang w:val="en-GB"/>
        </w:rPr>
        <w:t xml:space="preserve">; </w:t>
      </w:r>
      <w:r w:rsidRPr="00584647">
        <w:rPr>
          <w:i/>
          <w:lang w:val="en-GB"/>
        </w:rPr>
        <w:t>and</w:t>
      </w:r>
      <w:r w:rsidRPr="00584647">
        <w:rPr>
          <w:lang w:val="en-GB"/>
        </w:rPr>
        <w:t xml:space="preserve"> Art 2.12 </w:t>
      </w:r>
      <w:r w:rsidRPr="00584647">
        <w:rPr>
          <w:i/>
          <w:lang w:val="en-GB"/>
        </w:rPr>
        <w:t>in</w:t>
      </w:r>
      <w:r w:rsidRPr="00584647">
        <w:rPr>
          <w:lang w:val="en-GB"/>
        </w:rPr>
        <w:t xml:space="preserve"> </w:t>
      </w:r>
      <w:bookmarkStart w:id="176" w:name="_Toc381263231"/>
      <w:bookmarkStart w:id="177" w:name="_Toc381269754"/>
      <w:r w:rsidRPr="00584647">
        <w:rPr>
          <w:lang w:val="en-GB"/>
        </w:rPr>
        <w:t>Ministerial Instruction 8030/MONRE:</w:t>
      </w:r>
      <w:r w:rsidRPr="00584647">
        <w:rPr>
          <w:bCs/>
          <w:lang w:val="en-US"/>
        </w:rPr>
        <w:t xml:space="preserve"> </w:t>
      </w:r>
      <w:r w:rsidRPr="00584647">
        <w:rPr>
          <w:bCs/>
          <w:iCs/>
        </w:rPr>
        <w:t>Ministerial</w:t>
      </w:r>
      <w:r w:rsidRPr="00584647">
        <w:rPr>
          <w:bCs/>
          <w:iCs/>
          <w:sz w:val="24"/>
          <w:szCs w:val="24"/>
        </w:rPr>
        <w:t xml:space="preserve"> </w:t>
      </w:r>
      <w:r w:rsidRPr="00584647">
        <w:rPr>
          <w:bCs/>
          <w:iCs/>
        </w:rPr>
        <w:t>Instruction on</w:t>
      </w:r>
      <w:bookmarkStart w:id="178" w:name="_Toc381269755"/>
      <w:bookmarkEnd w:id="176"/>
      <w:bookmarkEnd w:id="177"/>
      <w:r w:rsidRPr="00584647">
        <w:rPr>
          <w:bCs/>
          <w:iCs/>
        </w:rPr>
        <w:t xml:space="preserve"> Environmental and Social Impact Assessment Process of the Investment Projects and Activities</w:t>
      </w:r>
      <w:bookmarkEnd w:id="178"/>
      <w:r w:rsidRPr="00584647">
        <w:rPr>
          <w:bCs/>
          <w:iCs/>
        </w:rPr>
        <w:t>. 2013</w:t>
      </w:r>
      <w:r w:rsidRPr="00584647">
        <w:rPr>
          <w:bCs/>
          <w:iCs/>
          <w:lang w:val="en-US"/>
        </w:rPr>
        <w:t>.</w:t>
      </w:r>
    </w:p>
  </w:footnote>
  <w:footnote w:id="247">
    <w:p w14:paraId="19E9F0C4" w14:textId="77777777" w:rsidR="00002536" w:rsidRPr="00584647" w:rsidRDefault="00002536" w:rsidP="00F36825">
      <w:pPr>
        <w:widowControl w:val="0"/>
        <w:autoSpaceDE w:val="0"/>
        <w:autoSpaceDN w:val="0"/>
        <w:adjustRightInd w:val="0"/>
        <w:spacing w:before="60" w:after="0" w:line="240" w:lineRule="auto"/>
        <w:rPr>
          <w:rFonts w:ascii="Times New Roman" w:hAnsi="Times New Roman"/>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rPr>
        <w:t xml:space="preserve"> See Appendix 9 – 2.1</w:t>
      </w:r>
      <w:r w:rsidRPr="00584647">
        <w:rPr>
          <w:rFonts w:ascii="Times New Roman" w:hAnsi="Times New Roman"/>
          <w:sz w:val="16"/>
          <w:szCs w:val="16"/>
        </w:rPr>
        <w:t xml:space="preserve"> </w:t>
      </w:r>
      <w:r w:rsidRPr="00584647">
        <w:rPr>
          <w:rFonts w:ascii="Times New Roman" w:hAnsi="Times New Roman"/>
          <w:i/>
          <w:sz w:val="16"/>
          <w:szCs w:val="16"/>
        </w:rPr>
        <w:t>in</w:t>
      </w:r>
      <w:r w:rsidRPr="00584647">
        <w:rPr>
          <w:rFonts w:ascii="Times New Roman" w:hAnsi="Times New Roman"/>
          <w:sz w:val="16"/>
          <w:szCs w:val="16"/>
        </w:rPr>
        <w:t xml:space="preserve"> Environmental Impact Assessment Guidelines. 2011.</w:t>
      </w:r>
    </w:p>
  </w:footnote>
  <w:footnote w:id="248">
    <w:p w14:paraId="3EC63BC0" w14:textId="77777777" w:rsidR="00002536" w:rsidRPr="00584647" w:rsidRDefault="00002536" w:rsidP="00F36825">
      <w:pPr>
        <w:spacing w:before="60" w:after="0" w:line="240" w:lineRule="auto"/>
        <w:rPr>
          <w:rFonts w:ascii="Times New Roman" w:hAnsi="Times New Roman"/>
          <w:sz w:val="16"/>
          <w:szCs w:val="16"/>
        </w:rPr>
      </w:pPr>
      <w:r w:rsidRPr="000639BA">
        <w:rPr>
          <w:rStyle w:val="FootnoteReference"/>
          <w:rFonts w:ascii="Times New Roman" w:hAnsi="Times New Roman"/>
          <w:sz w:val="16"/>
          <w:szCs w:val="16"/>
        </w:rPr>
        <w:footnoteRef/>
      </w:r>
      <w:r w:rsidRPr="000639BA">
        <w:rPr>
          <w:rFonts w:ascii="Times New Roman" w:hAnsi="Times New Roman"/>
          <w:sz w:val="16"/>
          <w:szCs w:val="16"/>
          <w:lang w:val="en-US"/>
        </w:rPr>
        <w:t xml:space="preserve"> </w:t>
      </w:r>
      <w:proofErr w:type="spellStart"/>
      <w:r w:rsidRPr="000639BA">
        <w:rPr>
          <w:rFonts w:ascii="Times New Roman" w:hAnsi="Times New Roman"/>
          <w:sz w:val="16"/>
          <w:szCs w:val="16"/>
          <w:shd w:val="clear" w:color="auto" w:fill="FFFFFF"/>
          <w:lang w:val="en-US"/>
        </w:rPr>
        <w:t>Tengö</w:t>
      </w:r>
      <w:proofErr w:type="spellEnd"/>
      <w:r w:rsidRPr="000639BA">
        <w:rPr>
          <w:rFonts w:ascii="Times New Roman" w:hAnsi="Times New Roman"/>
          <w:sz w:val="16"/>
          <w:szCs w:val="16"/>
          <w:shd w:val="clear" w:color="auto" w:fill="FFFFFF"/>
          <w:lang w:val="en-US"/>
        </w:rPr>
        <w:t xml:space="preserve">, M., </w:t>
      </w:r>
      <w:proofErr w:type="spellStart"/>
      <w:r w:rsidRPr="000639BA">
        <w:rPr>
          <w:rFonts w:ascii="Times New Roman" w:hAnsi="Times New Roman"/>
          <w:sz w:val="16"/>
          <w:szCs w:val="16"/>
          <w:shd w:val="clear" w:color="auto" w:fill="FFFFFF"/>
          <w:lang w:val="en-US"/>
        </w:rPr>
        <w:t>Brondizio</w:t>
      </w:r>
      <w:proofErr w:type="spellEnd"/>
      <w:r w:rsidRPr="000639BA">
        <w:rPr>
          <w:rFonts w:ascii="Times New Roman" w:hAnsi="Times New Roman"/>
          <w:sz w:val="16"/>
          <w:szCs w:val="16"/>
          <w:shd w:val="clear" w:color="auto" w:fill="FFFFFF"/>
          <w:lang w:val="en-US"/>
        </w:rPr>
        <w:t xml:space="preserve">, E. S., </w:t>
      </w:r>
      <w:proofErr w:type="spellStart"/>
      <w:r w:rsidRPr="000639BA">
        <w:rPr>
          <w:rFonts w:ascii="Times New Roman" w:hAnsi="Times New Roman"/>
          <w:sz w:val="16"/>
          <w:szCs w:val="16"/>
          <w:shd w:val="clear" w:color="auto" w:fill="FFFFFF"/>
          <w:lang w:val="en-US"/>
        </w:rPr>
        <w:t>Elmqvist</w:t>
      </w:r>
      <w:proofErr w:type="spellEnd"/>
      <w:r w:rsidRPr="000639BA">
        <w:rPr>
          <w:rFonts w:ascii="Times New Roman" w:hAnsi="Times New Roman"/>
          <w:sz w:val="16"/>
          <w:szCs w:val="16"/>
          <w:shd w:val="clear" w:color="auto" w:fill="FFFFFF"/>
          <w:lang w:val="en-US"/>
        </w:rPr>
        <w:t xml:space="preserve">, T., Malmer, P., &amp; </w:t>
      </w:r>
      <w:proofErr w:type="spellStart"/>
      <w:r w:rsidRPr="000639BA">
        <w:rPr>
          <w:rFonts w:ascii="Times New Roman" w:hAnsi="Times New Roman"/>
          <w:sz w:val="16"/>
          <w:szCs w:val="16"/>
          <w:shd w:val="clear" w:color="auto" w:fill="FFFFFF"/>
          <w:lang w:val="en-US"/>
        </w:rPr>
        <w:t>Spierenburg</w:t>
      </w:r>
      <w:proofErr w:type="spellEnd"/>
      <w:r w:rsidRPr="000639BA">
        <w:rPr>
          <w:rFonts w:ascii="Times New Roman" w:hAnsi="Times New Roman"/>
          <w:sz w:val="16"/>
          <w:szCs w:val="16"/>
          <w:shd w:val="clear" w:color="auto" w:fill="FFFFFF"/>
          <w:lang w:val="en-US"/>
        </w:rPr>
        <w:t xml:space="preserve">, M. 2014. </w:t>
      </w:r>
      <w:r w:rsidRPr="00584647">
        <w:rPr>
          <w:rFonts w:ascii="Times New Roman" w:hAnsi="Times New Roman"/>
          <w:sz w:val="16"/>
          <w:szCs w:val="16"/>
          <w:shd w:val="clear" w:color="auto" w:fill="FFFFFF"/>
        </w:rPr>
        <w:t>Connecting Diverse Knowledge Systems for Enhanced Ecosystem Governance: The Multiple Evidence Base Approach. </w:t>
      </w:r>
      <w:proofErr w:type="spellStart"/>
      <w:r w:rsidRPr="00584647">
        <w:rPr>
          <w:rFonts w:ascii="Times New Roman" w:hAnsi="Times New Roman"/>
          <w:i/>
          <w:iCs/>
          <w:sz w:val="16"/>
          <w:szCs w:val="16"/>
        </w:rPr>
        <w:t>Ambio</w:t>
      </w:r>
      <w:proofErr w:type="spellEnd"/>
      <w:r w:rsidRPr="00584647">
        <w:rPr>
          <w:rFonts w:ascii="Times New Roman" w:hAnsi="Times New Roman"/>
          <w:sz w:val="16"/>
          <w:szCs w:val="16"/>
          <w:shd w:val="clear" w:color="auto" w:fill="FFFFFF"/>
        </w:rPr>
        <w:t>, </w:t>
      </w:r>
      <w:r w:rsidRPr="00584647">
        <w:rPr>
          <w:rFonts w:ascii="Times New Roman" w:hAnsi="Times New Roman"/>
          <w:i/>
          <w:iCs/>
          <w:sz w:val="16"/>
          <w:szCs w:val="16"/>
        </w:rPr>
        <w:t>43</w:t>
      </w:r>
      <w:r w:rsidRPr="00584647">
        <w:rPr>
          <w:rFonts w:ascii="Times New Roman" w:hAnsi="Times New Roman"/>
          <w:sz w:val="16"/>
          <w:szCs w:val="16"/>
          <w:shd w:val="clear" w:color="auto" w:fill="FFFFFF"/>
        </w:rPr>
        <w:t>(5), 579–591. http://doi.org/10.1007/s13280-014-0501-3</w:t>
      </w:r>
    </w:p>
  </w:footnote>
  <w:footnote w:id="249">
    <w:p w14:paraId="55EEFAD8"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See </w:t>
      </w:r>
      <w:r w:rsidRPr="00584647">
        <w:rPr>
          <w:lang w:val="en-GB"/>
        </w:rPr>
        <w:t xml:space="preserve">Chapter 3.6 </w:t>
      </w:r>
      <w:r w:rsidRPr="00584647">
        <w:rPr>
          <w:i/>
        </w:rPr>
        <w:t>in</w:t>
      </w:r>
      <w:r w:rsidRPr="00584647">
        <w:t xml:space="preserve"> Environmental Impact Assessment Guidelines. 2011.</w:t>
      </w:r>
    </w:p>
  </w:footnote>
  <w:footnote w:id="250">
    <w:p w14:paraId="4C1A1A91" w14:textId="77777777" w:rsidR="00002536" w:rsidRPr="00584647" w:rsidRDefault="00002536" w:rsidP="00F36825">
      <w:pPr>
        <w:pStyle w:val="FootnoteText"/>
        <w:spacing w:before="60" w:after="0"/>
        <w:rPr>
          <w:lang w:val="en-GB"/>
        </w:rPr>
      </w:pPr>
      <w:r w:rsidRPr="00584647">
        <w:rPr>
          <w:rStyle w:val="FootnoteReference"/>
        </w:rPr>
        <w:footnoteRef/>
      </w:r>
      <w:r w:rsidRPr="00584647">
        <w:rPr>
          <w:lang w:val="en-US"/>
        </w:rPr>
        <w:t xml:space="preserve"> </w:t>
      </w:r>
      <w:r w:rsidRPr="00584647">
        <w:rPr>
          <w:lang w:val="en-GB"/>
        </w:rPr>
        <w:t xml:space="preserve">Ministerial Decree No. 112/PM: Decree on Environmental Impact Assessment. 2010. Lao People’s Democratic Republic. Available at: </w:t>
      </w:r>
      <w:hyperlink r:id="rId75" w:history="1">
        <w:r w:rsidRPr="00584647">
          <w:rPr>
            <w:rStyle w:val="Hyperlink"/>
            <w:color w:val="auto"/>
            <w:u w:val="none"/>
            <w:lang w:val="en-GB"/>
          </w:rPr>
          <w:t>http://www.laolandissues.org/wp-content/uploads/2011/12/EIA-Decree-112-PM-2010-Inofficial-transl.-Eng.pdf</w:t>
        </w:r>
      </w:hyperlink>
      <w:r w:rsidRPr="00584647">
        <w:rPr>
          <w:lang w:val="en-GB"/>
        </w:rPr>
        <w:t xml:space="preserve"> Accessed 10th September 2017</w:t>
      </w:r>
    </w:p>
  </w:footnote>
  <w:footnote w:id="251">
    <w:p w14:paraId="207A0E4F" w14:textId="77777777" w:rsidR="00002536" w:rsidRPr="00584647" w:rsidRDefault="00002536" w:rsidP="00F36825">
      <w:pPr>
        <w:pStyle w:val="FootnoteText"/>
        <w:rPr>
          <w:lang w:val="en-US"/>
        </w:rPr>
      </w:pPr>
      <w:r w:rsidRPr="00584647">
        <w:rPr>
          <w:rStyle w:val="FootnoteReference"/>
        </w:rPr>
        <w:footnoteRef/>
      </w:r>
      <w:r w:rsidRPr="00584647">
        <w:t xml:space="preserve"> Ministerial Instructions </w:t>
      </w:r>
      <w:r w:rsidRPr="00584647">
        <w:rPr>
          <w:i/>
          <w:lang w:val="en-US"/>
        </w:rPr>
        <w:t xml:space="preserve">No. 8029/MONRE </w:t>
      </w:r>
      <w:r w:rsidRPr="00584647">
        <w:rPr>
          <w:lang w:val="en-US"/>
        </w:rPr>
        <w:t>and</w:t>
      </w:r>
      <w:r w:rsidRPr="00584647">
        <w:rPr>
          <w:i/>
          <w:lang w:val="en-US"/>
        </w:rPr>
        <w:t xml:space="preserve"> No. 8030/MONRE</w:t>
      </w:r>
    </w:p>
  </w:footnote>
  <w:footnote w:id="252">
    <w:p w14:paraId="0583BA2E"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See </w:t>
      </w:r>
      <w:r w:rsidRPr="00584647">
        <w:rPr>
          <w:lang w:val="en-GB"/>
        </w:rPr>
        <w:t xml:space="preserve">Art. 26 </w:t>
      </w:r>
      <w:r w:rsidRPr="00584647">
        <w:rPr>
          <w:i/>
          <w:lang w:val="en-GB"/>
        </w:rPr>
        <w:t>in</w:t>
      </w:r>
      <w:r w:rsidRPr="00584647">
        <w:rPr>
          <w:lang w:val="en-GB"/>
        </w:rPr>
        <w:t xml:space="preserve"> Ministerial Decree No. 88/PM: Decree </w:t>
      </w:r>
      <w:r w:rsidRPr="00584647">
        <w:rPr>
          <w:bCs/>
          <w:lang w:val="en-GB"/>
        </w:rPr>
        <w:t>on the Implementation of the Land Law. 2008.</w:t>
      </w:r>
    </w:p>
  </w:footnote>
  <w:footnote w:id="253">
    <w:p w14:paraId="298A2325" w14:textId="77777777" w:rsidR="00002536" w:rsidRPr="00584647" w:rsidRDefault="00002536" w:rsidP="00F36825">
      <w:pPr>
        <w:pStyle w:val="NormalWeb"/>
        <w:spacing w:before="60" w:beforeAutospacing="0" w:after="0" w:afterAutospacing="0" w:line="240" w:lineRule="auto"/>
        <w:rPr>
          <w:sz w:val="16"/>
          <w:szCs w:val="16"/>
        </w:rPr>
      </w:pPr>
      <w:r w:rsidRPr="00584647">
        <w:rPr>
          <w:rStyle w:val="FootnoteReference"/>
          <w:sz w:val="16"/>
          <w:szCs w:val="16"/>
        </w:rPr>
        <w:footnoteRef/>
      </w:r>
      <w:r w:rsidRPr="00584647">
        <w:rPr>
          <w:sz w:val="16"/>
          <w:szCs w:val="16"/>
        </w:rPr>
        <w:t xml:space="preserve"> </w:t>
      </w:r>
      <w:proofErr w:type="spellStart"/>
      <w:r w:rsidRPr="00584647">
        <w:rPr>
          <w:sz w:val="16"/>
          <w:szCs w:val="16"/>
        </w:rPr>
        <w:t>Delang</w:t>
      </w:r>
      <w:proofErr w:type="spellEnd"/>
      <w:r w:rsidRPr="00584647">
        <w:rPr>
          <w:sz w:val="16"/>
          <w:szCs w:val="16"/>
        </w:rPr>
        <w:t xml:space="preserve"> C. And M. Toro. 2011. </w:t>
      </w:r>
      <w:r w:rsidRPr="00584647">
        <w:rPr>
          <w:bCs/>
          <w:sz w:val="16"/>
          <w:szCs w:val="16"/>
        </w:rPr>
        <w:t xml:space="preserve">Hydropower-induced displacement and resettlement in the Lao PDR. </w:t>
      </w:r>
      <w:r w:rsidRPr="00584647">
        <w:rPr>
          <w:i/>
          <w:iCs/>
          <w:sz w:val="16"/>
          <w:szCs w:val="16"/>
        </w:rPr>
        <w:t>South East Asia Research</w:t>
      </w:r>
      <w:r w:rsidRPr="00584647">
        <w:rPr>
          <w:sz w:val="16"/>
          <w:szCs w:val="16"/>
        </w:rPr>
        <w:t xml:space="preserve">, 19, 3, pp 567–594 </w:t>
      </w:r>
      <w:proofErr w:type="spellStart"/>
      <w:r w:rsidRPr="00584647">
        <w:rPr>
          <w:sz w:val="16"/>
          <w:szCs w:val="16"/>
        </w:rPr>
        <w:t>doi</w:t>
      </w:r>
      <w:proofErr w:type="spellEnd"/>
      <w:r w:rsidRPr="00584647">
        <w:rPr>
          <w:sz w:val="16"/>
          <w:szCs w:val="16"/>
        </w:rPr>
        <w:t xml:space="preserve">: 10.5367/sear.2011.0056 </w:t>
      </w:r>
    </w:p>
  </w:footnote>
  <w:footnote w:id="254">
    <w:p w14:paraId="33731144"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See </w:t>
      </w:r>
      <w:r w:rsidRPr="00584647">
        <w:rPr>
          <w:lang w:val="en-GB"/>
        </w:rPr>
        <w:t xml:space="preserve">Art. 7 </w:t>
      </w:r>
      <w:r w:rsidRPr="00584647">
        <w:rPr>
          <w:i/>
          <w:lang w:val="en-GB"/>
        </w:rPr>
        <w:t>in</w:t>
      </w:r>
      <w:r w:rsidRPr="00584647">
        <w:rPr>
          <w:lang w:val="en-GB"/>
        </w:rPr>
        <w:t xml:space="preserve"> Ministerial Decree No. 192/PM: Decree on Compensation and Resettlement Management in Development Projects. 2005.</w:t>
      </w:r>
    </w:p>
  </w:footnote>
  <w:footnote w:id="255">
    <w:p w14:paraId="606A3AD6"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See </w:t>
      </w:r>
      <w:r w:rsidRPr="00584647">
        <w:rPr>
          <w:lang w:val="en-GB"/>
        </w:rPr>
        <w:t xml:space="preserve">Art. 8 </w:t>
      </w:r>
      <w:r w:rsidRPr="00584647">
        <w:rPr>
          <w:i/>
          <w:lang w:val="en-GB"/>
        </w:rPr>
        <w:t>in</w:t>
      </w:r>
      <w:r w:rsidRPr="00584647">
        <w:rPr>
          <w:lang w:val="en-GB"/>
        </w:rPr>
        <w:t xml:space="preserve"> Ministerial Decree No. 112/PM: Decree on Environmental Impact Assessment. 2010.</w:t>
      </w:r>
    </w:p>
  </w:footnote>
  <w:footnote w:id="256">
    <w:p w14:paraId="66601B7A" w14:textId="77777777" w:rsidR="00002536" w:rsidRPr="00584647" w:rsidRDefault="00002536" w:rsidP="00F36825">
      <w:pPr>
        <w:pStyle w:val="FootnoteText"/>
        <w:spacing w:before="60" w:after="0"/>
        <w:rPr>
          <w:rFonts w:ascii="Calibri" w:hAnsi="Calibri"/>
          <w:lang w:val="en-US"/>
        </w:rPr>
      </w:pPr>
      <w:r w:rsidRPr="00584647">
        <w:rPr>
          <w:rStyle w:val="FootnoteReference"/>
        </w:rPr>
        <w:footnoteRef/>
      </w:r>
      <w:r w:rsidRPr="00584647">
        <w:rPr>
          <w:lang w:val="en-US"/>
        </w:rPr>
        <w:t xml:space="preserve"> </w:t>
      </w:r>
      <w:r w:rsidRPr="00584647">
        <w:rPr>
          <w:lang w:val="en-GB"/>
        </w:rPr>
        <w:t>Ministerial Instruction 8029/MONRE:</w:t>
      </w:r>
      <w:r w:rsidRPr="00584647">
        <w:rPr>
          <w:bCs/>
          <w:lang w:val="en-US"/>
        </w:rPr>
        <w:t xml:space="preserve"> Ministerial Instruction on the Process of Initial Environmental Examination of the Investment Projects and Activities. 2013</w:t>
      </w:r>
      <w:r w:rsidRPr="00584647">
        <w:rPr>
          <w:lang w:val="en-GB"/>
        </w:rPr>
        <w:t>; Ministerial Instruction 8030/MONRE:</w:t>
      </w:r>
      <w:r w:rsidRPr="00584647">
        <w:rPr>
          <w:bCs/>
          <w:lang w:val="en-US"/>
        </w:rPr>
        <w:t xml:space="preserve"> </w:t>
      </w:r>
      <w:r w:rsidRPr="00584647">
        <w:rPr>
          <w:bCs/>
          <w:iCs/>
        </w:rPr>
        <w:t>Ministerial</w:t>
      </w:r>
      <w:r w:rsidRPr="00584647">
        <w:rPr>
          <w:bCs/>
          <w:iCs/>
          <w:sz w:val="24"/>
          <w:szCs w:val="24"/>
        </w:rPr>
        <w:t xml:space="preserve"> </w:t>
      </w:r>
      <w:r w:rsidRPr="00584647">
        <w:rPr>
          <w:bCs/>
          <w:iCs/>
        </w:rPr>
        <w:t>Instruction on Environmental and Social Impact Assessment Process of the Investment Projects and Activities. 2013</w:t>
      </w:r>
      <w:r w:rsidRPr="00584647">
        <w:rPr>
          <w:bCs/>
          <w:iCs/>
          <w:lang w:val="en-US"/>
        </w:rPr>
        <w:t>.</w:t>
      </w:r>
    </w:p>
  </w:footnote>
  <w:footnote w:id="257">
    <w:p w14:paraId="100AFB34" w14:textId="77777777" w:rsidR="00002536" w:rsidRPr="00584647" w:rsidRDefault="00002536" w:rsidP="00F36825">
      <w:pPr>
        <w:pStyle w:val="FootnoteText"/>
        <w:spacing w:before="60" w:after="0"/>
        <w:rPr>
          <w:sz w:val="24"/>
          <w:szCs w:val="24"/>
          <w:lang w:val="en-GB"/>
        </w:rPr>
      </w:pPr>
      <w:r w:rsidRPr="00584647">
        <w:rPr>
          <w:rStyle w:val="FootnoteReference"/>
        </w:rPr>
        <w:footnoteRef/>
      </w:r>
      <w:r w:rsidRPr="00584647">
        <w:rPr>
          <w:lang w:val="en-US"/>
        </w:rPr>
        <w:t xml:space="preserve"> </w:t>
      </w:r>
      <w:r w:rsidRPr="00584647">
        <w:rPr>
          <w:lang w:val="en-GB"/>
        </w:rPr>
        <w:t xml:space="preserve">Ministerial Decree No. 112/PM: Decree on Environmental Impact Assessment. 2010. Lao People’s Democratic Republic. Available at: </w:t>
      </w:r>
      <w:hyperlink r:id="rId76" w:history="1">
        <w:r w:rsidRPr="00584647">
          <w:rPr>
            <w:rStyle w:val="Hyperlink"/>
            <w:color w:val="auto"/>
            <w:u w:val="none"/>
            <w:lang w:val="en-GB"/>
          </w:rPr>
          <w:t>http://www.laolandissues.org/wp-content/uploads/2011/12/EIA-Decree-112-PM-2010-Inofficial-transl.-Eng.pdf</w:t>
        </w:r>
      </w:hyperlink>
      <w:r w:rsidRPr="00584647">
        <w:rPr>
          <w:lang w:val="en-GB"/>
        </w:rPr>
        <w:t xml:space="preserve"> Accessed 10th September 2017.</w:t>
      </w:r>
    </w:p>
  </w:footnote>
  <w:footnote w:id="258">
    <w:p w14:paraId="1053B23D" w14:textId="77777777" w:rsidR="00002536" w:rsidRPr="00584647" w:rsidRDefault="00002536" w:rsidP="00F36825">
      <w:pPr>
        <w:pStyle w:val="FootnoteText"/>
        <w:spacing w:before="60" w:after="0"/>
        <w:rPr>
          <w:lang w:val="en-US"/>
        </w:rPr>
      </w:pPr>
      <w:r w:rsidRPr="00584647">
        <w:rPr>
          <w:rStyle w:val="FootnoteReference"/>
        </w:rPr>
        <w:footnoteRef/>
      </w:r>
      <w:r w:rsidRPr="00584647">
        <w:rPr>
          <w:lang w:val="en-US"/>
        </w:rPr>
        <w:t xml:space="preserve"> See </w:t>
      </w:r>
      <w:r w:rsidRPr="00584647">
        <w:rPr>
          <w:lang w:val="en-GB"/>
        </w:rPr>
        <w:t xml:space="preserve">Art. 3 </w:t>
      </w:r>
      <w:r w:rsidRPr="00584647">
        <w:rPr>
          <w:i/>
          <w:lang w:val="en-GB"/>
        </w:rPr>
        <w:t>in</w:t>
      </w:r>
      <w:r w:rsidRPr="00584647">
        <w:rPr>
          <w:lang w:val="en-GB"/>
        </w:rPr>
        <w:t xml:space="preserve"> Decree on Compensation and Resettlement Management in Development Projects No. 84. 2016.</w:t>
      </w:r>
    </w:p>
  </w:footnote>
  <w:footnote w:id="259">
    <w:p w14:paraId="75E99869" w14:textId="77777777" w:rsidR="00002536" w:rsidRPr="00584647" w:rsidRDefault="00002536" w:rsidP="00F36825">
      <w:pPr>
        <w:pStyle w:val="FootnoteText"/>
        <w:rPr>
          <w:lang w:val="en-US"/>
        </w:rPr>
      </w:pPr>
      <w:r w:rsidRPr="00584647">
        <w:rPr>
          <w:rStyle w:val="FootnoteReference"/>
        </w:rPr>
        <w:footnoteRef/>
      </w:r>
      <w:r w:rsidRPr="00584647">
        <w:t xml:space="preserve"> E.g. Ministerial Instructions No. 8030/MONRE and No. 8056/ MONRE rely on a regulatory framework that includes Constitution of Lao PDR the Environmental Protection Law, the EIA Decree, the Law on Investment Promotion, among other regulations.</w:t>
      </w:r>
    </w:p>
  </w:footnote>
  <w:footnote w:id="260">
    <w:p w14:paraId="1D88F493" w14:textId="77777777" w:rsidR="00002536" w:rsidRPr="00584647" w:rsidRDefault="00002536" w:rsidP="00F36825">
      <w:pPr>
        <w:pStyle w:val="Default"/>
        <w:spacing w:before="60" w:after="0" w:line="240" w:lineRule="auto"/>
        <w:rPr>
          <w:rFonts w:ascii="Times New Roman" w:hAnsi="Times New Roman"/>
          <w:color w:val="auto"/>
          <w:sz w:val="16"/>
          <w:szCs w:val="16"/>
          <w:lang w:val="en-US"/>
        </w:rPr>
      </w:pPr>
      <w:r w:rsidRPr="00584647">
        <w:rPr>
          <w:rStyle w:val="FootnoteReference"/>
          <w:rFonts w:ascii="Times New Roman" w:hAnsi="Times New Roman"/>
          <w:sz w:val="16"/>
          <w:szCs w:val="16"/>
          <w:lang w:val="en-GB"/>
        </w:rPr>
        <w:footnoteRef/>
      </w:r>
      <w:r w:rsidRPr="00584647">
        <w:rPr>
          <w:rFonts w:ascii="Times New Roman" w:hAnsi="Times New Roman"/>
          <w:sz w:val="16"/>
          <w:szCs w:val="16"/>
          <w:lang w:val="en-GB"/>
        </w:rPr>
        <w:t xml:space="preserve"> </w:t>
      </w:r>
      <w:r w:rsidRPr="00584647">
        <w:rPr>
          <w:rFonts w:ascii="Times New Roman" w:hAnsi="Times New Roman"/>
          <w:color w:val="auto"/>
          <w:sz w:val="16"/>
          <w:szCs w:val="16"/>
          <w:lang w:val="en-US"/>
        </w:rPr>
        <w:t xml:space="preserve">UNEP-UNDP Poverty–Environment Initiative. 2010. Guidelines and Checklists to </w:t>
      </w:r>
      <w:r w:rsidRPr="00584647">
        <w:rPr>
          <w:rFonts w:ascii="Times New Roman" w:hAnsi="Times New Roman"/>
          <w:bCs/>
          <w:iCs/>
          <w:color w:val="auto"/>
          <w:sz w:val="16"/>
          <w:szCs w:val="16"/>
          <w:lang w:val="en-US"/>
        </w:rPr>
        <w:t xml:space="preserve">Review </w:t>
      </w:r>
      <w:r w:rsidRPr="00584647">
        <w:rPr>
          <w:rFonts w:ascii="Times New Roman" w:hAnsi="Times New Roman"/>
          <w:color w:val="auto"/>
          <w:sz w:val="16"/>
          <w:szCs w:val="16"/>
          <w:lang w:val="en-US"/>
        </w:rPr>
        <w:t xml:space="preserve">Environmental and Social Impact Assessments. ESIA Component, Lao PDR. </w:t>
      </w:r>
      <w:hyperlink r:id="rId77" w:history="1">
        <w:r w:rsidRPr="00584647">
          <w:rPr>
            <w:rStyle w:val="Hyperlink"/>
            <w:rFonts w:ascii="Times New Roman" w:hAnsi="Times New Roman"/>
            <w:color w:val="auto"/>
            <w:sz w:val="16"/>
            <w:szCs w:val="16"/>
            <w:u w:val="none"/>
            <w:lang w:val="en-US"/>
          </w:rPr>
          <w:t>https://www.unpei.org/sites/default/files/e_library_documents/ESIA_review_guidelines_JULY_16_2010_for%20consultations.pdf</w:t>
        </w:r>
      </w:hyperlink>
      <w:r w:rsidRPr="00584647">
        <w:rPr>
          <w:rFonts w:ascii="Times New Roman" w:hAnsi="Times New Roman"/>
          <w:color w:val="auto"/>
          <w:sz w:val="16"/>
          <w:szCs w:val="16"/>
          <w:lang w:val="en-US"/>
        </w:rPr>
        <w:t xml:space="preserve"> </w:t>
      </w:r>
      <w:r w:rsidRPr="00584647">
        <w:rPr>
          <w:rFonts w:ascii="Times New Roman" w:hAnsi="Times New Roman"/>
          <w:color w:val="auto"/>
          <w:sz w:val="16"/>
          <w:szCs w:val="16"/>
          <w:lang w:val="en-GB"/>
        </w:rPr>
        <w:t>Accessed 1st September 2017.</w:t>
      </w:r>
    </w:p>
  </w:footnote>
  <w:footnote w:id="261">
    <w:p w14:paraId="2A1B6BC4" w14:textId="77777777" w:rsidR="00002536" w:rsidRPr="00584647" w:rsidRDefault="00002536" w:rsidP="00F36825">
      <w:pPr>
        <w:pStyle w:val="NormalWeb"/>
        <w:spacing w:before="60" w:beforeAutospacing="0" w:after="0" w:afterAutospacing="0" w:line="240" w:lineRule="auto"/>
        <w:rPr>
          <w:sz w:val="16"/>
          <w:szCs w:val="16"/>
          <w:lang w:val="en-US"/>
        </w:rPr>
      </w:pPr>
      <w:r w:rsidRPr="00584647">
        <w:rPr>
          <w:rStyle w:val="FootnoteReference"/>
          <w:sz w:val="16"/>
          <w:szCs w:val="16"/>
        </w:rPr>
        <w:footnoteRef/>
      </w:r>
      <w:r w:rsidRPr="00584647">
        <w:rPr>
          <w:sz w:val="16"/>
          <w:szCs w:val="16"/>
          <w:lang w:val="en-US"/>
        </w:rPr>
        <w:t xml:space="preserve"> UNDP-PEI. 2016. </w:t>
      </w:r>
      <w:r w:rsidRPr="00584647">
        <w:rPr>
          <w:bCs/>
          <w:sz w:val="16"/>
          <w:szCs w:val="16"/>
          <w:lang w:val="en-US"/>
        </w:rPr>
        <w:t xml:space="preserve">Poverty Environment Initiative (PEI) Phase 2. </w:t>
      </w:r>
      <w:r w:rsidRPr="00584647">
        <w:rPr>
          <w:sz w:val="16"/>
          <w:szCs w:val="16"/>
          <w:lang w:val="en-US"/>
        </w:rPr>
        <w:t xml:space="preserve">Project Brief. Project ID: 00078225. Available at: </w:t>
      </w:r>
      <w:hyperlink r:id="rId78" w:history="1">
        <w:r w:rsidRPr="00584647">
          <w:rPr>
            <w:rStyle w:val="Hyperlink"/>
            <w:color w:val="auto"/>
            <w:sz w:val="16"/>
            <w:szCs w:val="16"/>
            <w:u w:val="none"/>
            <w:lang w:val="en-US"/>
          </w:rPr>
          <w:t>http://www.la.undp.org/content/dam/laopdr/docs/Project%20Briefs_Fact%20Sheets/Environment/FINAL%20PEI%20Project-Brief_Dec2016.pdf</w:t>
        </w:r>
      </w:hyperlink>
      <w:r w:rsidRPr="00584647">
        <w:rPr>
          <w:sz w:val="16"/>
          <w:szCs w:val="16"/>
          <w:lang w:val="en-US"/>
        </w:rPr>
        <w:t xml:space="preserve"> </w:t>
      </w:r>
      <w:r w:rsidRPr="00584647">
        <w:rPr>
          <w:sz w:val="16"/>
          <w:szCs w:val="16"/>
        </w:rPr>
        <w:t>Accessed 10th September 2017</w:t>
      </w:r>
    </w:p>
  </w:footnote>
  <w:footnote w:id="262">
    <w:p w14:paraId="7902192A" w14:textId="77777777" w:rsidR="00002536" w:rsidRPr="00584647" w:rsidRDefault="00002536" w:rsidP="00F36825">
      <w:pPr>
        <w:pStyle w:val="NormalWeb"/>
        <w:spacing w:before="60" w:beforeAutospacing="0" w:after="0" w:afterAutospacing="0" w:line="240" w:lineRule="auto"/>
        <w:rPr>
          <w:sz w:val="16"/>
          <w:szCs w:val="16"/>
          <w:lang w:val="en-US"/>
        </w:rPr>
      </w:pPr>
      <w:r w:rsidRPr="00584647">
        <w:rPr>
          <w:rStyle w:val="FootnoteReference"/>
          <w:sz w:val="16"/>
          <w:szCs w:val="16"/>
        </w:rPr>
        <w:footnoteRef/>
      </w:r>
      <w:r w:rsidRPr="00584647">
        <w:rPr>
          <w:sz w:val="16"/>
          <w:szCs w:val="16"/>
          <w:lang w:val="en-US"/>
        </w:rPr>
        <w:t xml:space="preserve"> </w:t>
      </w:r>
      <w:proofErr w:type="spellStart"/>
      <w:r w:rsidRPr="00584647">
        <w:rPr>
          <w:i/>
          <w:sz w:val="16"/>
          <w:szCs w:val="16"/>
          <w:lang w:val="en-US"/>
        </w:rPr>
        <w:t>Ídem</w:t>
      </w:r>
      <w:proofErr w:type="spellEnd"/>
    </w:p>
  </w:footnote>
  <w:footnote w:id="263">
    <w:p w14:paraId="6E5E2686" w14:textId="77777777" w:rsidR="00002536" w:rsidRPr="00584647" w:rsidRDefault="00002536" w:rsidP="00760123">
      <w:pPr>
        <w:pStyle w:val="FootnoteText"/>
        <w:rPr>
          <w:rFonts w:ascii="Calibri" w:hAnsi="Calibri"/>
          <w:lang w:val="en-US"/>
        </w:rPr>
      </w:pPr>
      <w:r w:rsidRPr="00584647">
        <w:rPr>
          <w:rStyle w:val="FootnoteReference"/>
          <w:rFonts w:ascii="Calibri" w:hAnsi="Calibri"/>
        </w:rPr>
        <w:footnoteRef/>
      </w:r>
      <w:r w:rsidRPr="00584647">
        <w:rPr>
          <w:rFonts w:ascii="Calibri" w:hAnsi="Calibri"/>
          <w:lang w:val="en-US"/>
        </w:rPr>
        <w:t xml:space="preserve"> This submission was a received </w:t>
      </w:r>
      <w:r w:rsidRPr="00584647">
        <w:rPr>
          <w:rFonts w:ascii="Calibri" w:hAnsi="Calibri"/>
          <w:color w:val="000000"/>
          <w:lang w:val="en-US"/>
        </w:rPr>
        <w:t>in response to a notification dated 15 January 2018</w:t>
      </w:r>
      <w:r w:rsidRPr="00584647">
        <w:rPr>
          <w:rFonts w:ascii="Calibri" w:hAnsi="Calibri"/>
          <w:color w:val="000000"/>
          <w:sz w:val="13"/>
          <w:szCs w:val="13"/>
          <w:lang w:val="en-US"/>
        </w:rPr>
        <w:t xml:space="preserve"> </w:t>
      </w:r>
      <w:r w:rsidRPr="00584647">
        <w:rPr>
          <w:rFonts w:ascii="Calibri" w:hAnsi="Calibri"/>
          <w:color w:val="000000"/>
          <w:lang w:val="en-US"/>
        </w:rPr>
        <w:t>which provided an opportunity for additional views before the second meeting of the Subsidiary Body on Implementation. A submission from United States of America was received but it is not included here as it is a suggestion of re-wording recommendations. (CBD/SBI/2/20</w:t>
      </w:r>
      <w:r w:rsidRPr="00584647">
        <w:rPr>
          <w:rFonts w:ascii="Calibri" w:hAnsi="Calibri"/>
          <w:lang w:val="en-US"/>
        </w:rPr>
        <w:t>)</w:t>
      </w:r>
    </w:p>
  </w:footnote>
  <w:footnote w:id="264">
    <w:p w14:paraId="6AE7A152" w14:textId="77777777" w:rsidR="00002536" w:rsidRPr="00584647" w:rsidRDefault="00002536" w:rsidP="00810C20">
      <w:pPr>
        <w:pStyle w:val="FootnoteText"/>
      </w:pPr>
      <w:r w:rsidRPr="00584647">
        <w:rPr>
          <w:rStyle w:val="FootnoteReference"/>
        </w:rPr>
        <w:footnoteRef/>
      </w:r>
      <w:r w:rsidRPr="00584647">
        <w:t xml:space="preserve"> The terms IFM or BFMs are included depending on how the respective country refer to them in their submission. </w:t>
      </w:r>
    </w:p>
  </w:footnote>
  <w:footnote w:id="265">
    <w:p w14:paraId="5324C0C5" w14:textId="77777777" w:rsidR="00002536" w:rsidRPr="00584647" w:rsidRDefault="00002536" w:rsidP="00810C20">
      <w:pPr>
        <w:pStyle w:val="FootnoteText"/>
      </w:pPr>
      <w:r w:rsidRPr="00584647">
        <w:rPr>
          <w:rStyle w:val="FootnoteReference"/>
        </w:rPr>
        <w:footnoteRef/>
      </w:r>
      <w:r w:rsidRPr="00584647">
        <w:t xml:space="preserve"> </w:t>
      </w:r>
      <w:r w:rsidRPr="00584647">
        <w:rPr>
          <w:szCs w:val="22"/>
        </w:rPr>
        <w:t xml:space="preserve"> UNEP/CBD/WGRI/5/INF/7.</w:t>
      </w:r>
    </w:p>
  </w:footnote>
  <w:footnote w:id="266">
    <w:p w14:paraId="44043AAE" w14:textId="77777777" w:rsidR="00002536" w:rsidRPr="00584647" w:rsidRDefault="00002536" w:rsidP="00810C20">
      <w:pPr>
        <w:pStyle w:val="FootnoteText"/>
        <w:spacing w:after="0"/>
        <w:jc w:val="both"/>
        <w:rPr>
          <w:lang w:val="en-GB"/>
        </w:rPr>
      </w:pPr>
      <w:r w:rsidRPr="00584647">
        <w:rPr>
          <w:rStyle w:val="FootnoteReference"/>
        </w:rPr>
        <w:footnoteRef/>
      </w:r>
      <w:r w:rsidRPr="00584647">
        <w:t xml:space="preserve"> </w:t>
      </w:r>
      <w:r w:rsidRPr="00584647">
        <w:rPr>
          <w:lang w:val="en-GB"/>
        </w:rPr>
        <w:t xml:space="preserve">The definitions of </w:t>
      </w:r>
      <w:r w:rsidRPr="00584647">
        <w:rPr>
          <w:i/>
          <w:lang w:val="en-GB"/>
        </w:rPr>
        <w:t>Biological diversity (biodiversity)</w:t>
      </w:r>
      <w:r w:rsidRPr="00584647">
        <w:rPr>
          <w:lang w:val="en-GB"/>
        </w:rPr>
        <w:t xml:space="preserve">, </w:t>
      </w:r>
      <w:r w:rsidRPr="00584647">
        <w:rPr>
          <w:i/>
          <w:lang w:val="en-GB"/>
        </w:rPr>
        <w:t>biological resources</w:t>
      </w:r>
      <w:r w:rsidRPr="00584647">
        <w:rPr>
          <w:lang w:val="en-GB"/>
        </w:rPr>
        <w:t xml:space="preserve"> and </w:t>
      </w:r>
      <w:r w:rsidRPr="00584647">
        <w:rPr>
          <w:i/>
          <w:lang w:val="en-GB"/>
        </w:rPr>
        <w:t>ecosystem</w:t>
      </w:r>
      <w:r w:rsidRPr="00584647">
        <w:rPr>
          <w:lang w:val="en-GB"/>
        </w:rPr>
        <w:t xml:space="preserve"> can be found in </w:t>
      </w:r>
      <w:r w:rsidRPr="00584647">
        <w:rPr>
          <w:bCs/>
          <w:lang w:val="en-GB"/>
        </w:rPr>
        <w:t xml:space="preserve">Article 2 of the Convention on Biological Diversity. </w:t>
      </w:r>
    </w:p>
  </w:footnote>
  <w:footnote w:id="267">
    <w:p w14:paraId="714BFB60" w14:textId="77777777" w:rsidR="00002536" w:rsidRDefault="00002536" w:rsidP="00810C20">
      <w:pPr>
        <w:pStyle w:val="FootnoteText"/>
        <w:spacing w:after="0"/>
        <w:jc w:val="both"/>
        <w:rPr>
          <w:rFonts w:ascii="Arial" w:hAnsi="Arial"/>
        </w:rPr>
      </w:pPr>
      <w:r w:rsidRPr="00584647">
        <w:rPr>
          <w:rStyle w:val="FootnoteReference"/>
        </w:rPr>
        <w:footnoteRef/>
      </w:r>
      <w:r w:rsidRPr="00584647">
        <w:rPr>
          <w:rFonts w:ascii="Arial" w:hAnsi="Arial"/>
        </w:rPr>
        <w:t xml:space="preserve"> </w:t>
      </w:r>
      <w:r w:rsidRPr="00584647">
        <w:rPr>
          <w:bCs/>
        </w:rPr>
        <w:t xml:space="preserve">MA, 2005, </w:t>
      </w:r>
      <w:r w:rsidRPr="00584647">
        <w:rPr>
          <w:bCs/>
          <w:i/>
        </w:rPr>
        <w:t>Synthesis</w:t>
      </w:r>
      <w:r w:rsidRPr="00584647">
        <w:rPr>
          <w:bCs/>
        </w:rPr>
        <w:t xml:space="preserve">. TEEB 2009, </w:t>
      </w:r>
      <w:r w:rsidRPr="00584647">
        <w:rPr>
          <w:bCs/>
          <w:i/>
        </w:rPr>
        <w:t>For National and International Policy Makers.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2ECEFCFA"/>
    <w:name w:val="WW8Num182"/>
    <w:lvl w:ilvl="0">
      <w:start w:val="1"/>
      <w:numFmt w:val="decimal"/>
      <w:pStyle w:val="para2"/>
      <w:lvlText w:val="%1."/>
      <w:lvlJc w:val="left"/>
      <w:pPr>
        <w:tabs>
          <w:tab w:val="num" w:pos="0"/>
        </w:tabs>
        <w:ind w:left="0" w:firstLine="0"/>
      </w:pPr>
      <w:rPr>
        <w:b w:val="0"/>
        <w:bCs/>
      </w:rPr>
    </w:lvl>
    <w:lvl w:ilvl="1">
      <w:start w:val="1"/>
      <w:numFmt w:val="lowerLetter"/>
      <w:lvlText w:val="(%2)"/>
      <w:lvlJc w:val="left"/>
      <w:pPr>
        <w:tabs>
          <w:tab w:val="num" w:pos="1080"/>
        </w:tabs>
        <w:ind w:left="1080" w:hanging="360"/>
      </w:pPr>
      <w:rPr>
        <w:rFonts w:hint="default"/>
        <w:b w:val="0"/>
        <w:bCs/>
      </w:rPr>
    </w:lvl>
    <w:lvl w:ilvl="2">
      <w:start w:val="1"/>
      <w:numFmt w:val="lowerRoman"/>
      <w:lvlText w:val="%3."/>
      <w:lvlJc w:val="left"/>
      <w:pPr>
        <w:tabs>
          <w:tab w:val="num" w:pos="2664"/>
        </w:tabs>
        <w:ind w:left="2664" w:hanging="360"/>
      </w:pPr>
      <w:rPr>
        <w:rFonts w:ascii="Times New Roman" w:eastAsia="Times New Roman" w:hAnsi="Times New Roman" w:cs="Times New Roman"/>
        <w:b w:val="0"/>
        <w:bCs/>
      </w:rPr>
    </w:lvl>
    <w:lvl w:ilvl="3">
      <w:start w:val="1"/>
      <w:numFmt w:val="decimal"/>
      <w:lvlText w:val="a.%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 w15:restartNumberingAfterBreak="0">
    <w:nsid w:val="001710AC"/>
    <w:multiLevelType w:val="multilevel"/>
    <w:tmpl w:val="85DE070C"/>
    <w:styleLink w:val="List4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 w15:restartNumberingAfterBreak="0">
    <w:nsid w:val="037B2B7F"/>
    <w:multiLevelType w:val="multilevel"/>
    <w:tmpl w:val="C1767E5C"/>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 w15:restartNumberingAfterBreak="0">
    <w:nsid w:val="038E161B"/>
    <w:multiLevelType w:val="hybridMultilevel"/>
    <w:tmpl w:val="8A6AA272"/>
    <w:lvl w:ilvl="0" w:tplc="8378FAE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072937"/>
    <w:multiLevelType w:val="multilevel"/>
    <w:tmpl w:val="DDE685D2"/>
    <w:styleLink w:val="List3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15:restartNumberingAfterBreak="0">
    <w:nsid w:val="060E7F84"/>
    <w:multiLevelType w:val="multilevel"/>
    <w:tmpl w:val="61F44E0E"/>
    <w:styleLink w:val="List6"/>
    <w:lvl w:ilvl="0">
      <w:start w:val="1"/>
      <w:numFmt w:val="bullet"/>
      <w:lvlText w:val="-"/>
      <w:lvlJc w:val="left"/>
      <w:pPr>
        <w:tabs>
          <w:tab w:val="num" w:pos="110"/>
        </w:tabs>
        <w:ind w:left="110" w:hanging="110"/>
      </w:pPr>
      <w:rPr>
        <w:position w:val="0"/>
        <w:sz w:val="18"/>
        <w:szCs w:val="18"/>
        <w:rtl w:val="0"/>
        <w:lang w:val="en-US"/>
      </w:rPr>
    </w:lvl>
    <w:lvl w:ilvl="1">
      <w:numFmt w:val="bullet"/>
      <w:lvlText w:val="-"/>
      <w:lvlJc w:val="left"/>
      <w:pPr>
        <w:tabs>
          <w:tab w:val="num" w:pos="400"/>
        </w:tabs>
        <w:ind w:left="400" w:hanging="160"/>
      </w:pPr>
      <w:rPr>
        <w:position w:val="0"/>
        <w:sz w:val="22"/>
        <w:szCs w:val="22"/>
        <w:rtl w:val="0"/>
        <w:lang w:val="en-US"/>
      </w:rPr>
    </w:lvl>
    <w:lvl w:ilvl="2">
      <w:start w:val="1"/>
      <w:numFmt w:val="bullet"/>
      <w:lvlText w:val="-"/>
      <w:lvlJc w:val="left"/>
      <w:pPr>
        <w:tabs>
          <w:tab w:val="num" w:pos="590"/>
        </w:tabs>
        <w:ind w:left="590" w:hanging="110"/>
      </w:pPr>
      <w:rPr>
        <w:position w:val="0"/>
        <w:sz w:val="18"/>
        <w:szCs w:val="18"/>
        <w:rtl w:val="0"/>
        <w:lang w:val="en-US"/>
      </w:rPr>
    </w:lvl>
    <w:lvl w:ilvl="3">
      <w:start w:val="1"/>
      <w:numFmt w:val="bullet"/>
      <w:lvlText w:val="-"/>
      <w:lvlJc w:val="left"/>
      <w:pPr>
        <w:tabs>
          <w:tab w:val="num" w:pos="830"/>
        </w:tabs>
        <w:ind w:left="830" w:hanging="110"/>
      </w:pPr>
      <w:rPr>
        <w:position w:val="0"/>
        <w:sz w:val="18"/>
        <w:szCs w:val="18"/>
        <w:rtl w:val="0"/>
        <w:lang w:val="en-US"/>
      </w:rPr>
    </w:lvl>
    <w:lvl w:ilvl="4">
      <w:start w:val="1"/>
      <w:numFmt w:val="bullet"/>
      <w:lvlText w:val="-"/>
      <w:lvlJc w:val="left"/>
      <w:pPr>
        <w:tabs>
          <w:tab w:val="num" w:pos="1070"/>
        </w:tabs>
        <w:ind w:left="1070" w:hanging="110"/>
      </w:pPr>
      <w:rPr>
        <w:position w:val="0"/>
        <w:sz w:val="18"/>
        <w:szCs w:val="18"/>
        <w:rtl w:val="0"/>
        <w:lang w:val="en-US"/>
      </w:rPr>
    </w:lvl>
    <w:lvl w:ilvl="5">
      <w:start w:val="1"/>
      <w:numFmt w:val="bullet"/>
      <w:lvlText w:val="-"/>
      <w:lvlJc w:val="left"/>
      <w:pPr>
        <w:tabs>
          <w:tab w:val="num" w:pos="1310"/>
        </w:tabs>
        <w:ind w:left="1310" w:hanging="110"/>
      </w:pPr>
      <w:rPr>
        <w:position w:val="0"/>
        <w:sz w:val="18"/>
        <w:szCs w:val="18"/>
        <w:rtl w:val="0"/>
        <w:lang w:val="en-US"/>
      </w:rPr>
    </w:lvl>
    <w:lvl w:ilvl="6">
      <w:start w:val="1"/>
      <w:numFmt w:val="bullet"/>
      <w:lvlText w:val="-"/>
      <w:lvlJc w:val="left"/>
      <w:pPr>
        <w:tabs>
          <w:tab w:val="num" w:pos="1550"/>
        </w:tabs>
        <w:ind w:left="1550" w:hanging="110"/>
      </w:pPr>
      <w:rPr>
        <w:position w:val="0"/>
        <w:sz w:val="18"/>
        <w:szCs w:val="18"/>
        <w:rtl w:val="0"/>
        <w:lang w:val="en-US"/>
      </w:rPr>
    </w:lvl>
    <w:lvl w:ilvl="7">
      <w:start w:val="1"/>
      <w:numFmt w:val="bullet"/>
      <w:lvlText w:val="-"/>
      <w:lvlJc w:val="left"/>
      <w:pPr>
        <w:tabs>
          <w:tab w:val="num" w:pos="1790"/>
        </w:tabs>
        <w:ind w:left="1790" w:hanging="110"/>
      </w:pPr>
      <w:rPr>
        <w:position w:val="0"/>
        <w:sz w:val="18"/>
        <w:szCs w:val="18"/>
        <w:rtl w:val="0"/>
        <w:lang w:val="en-US"/>
      </w:rPr>
    </w:lvl>
    <w:lvl w:ilvl="8">
      <w:start w:val="1"/>
      <w:numFmt w:val="bullet"/>
      <w:lvlText w:val="-"/>
      <w:lvlJc w:val="left"/>
      <w:pPr>
        <w:tabs>
          <w:tab w:val="num" w:pos="2030"/>
        </w:tabs>
        <w:ind w:left="2030" w:hanging="110"/>
      </w:pPr>
      <w:rPr>
        <w:position w:val="0"/>
        <w:sz w:val="18"/>
        <w:szCs w:val="18"/>
        <w:rtl w:val="0"/>
        <w:lang w:val="en-US"/>
      </w:rPr>
    </w:lvl>
  </w:abstractNum>
  <w:abstractNum w:abstractNumId="6" w15:restartNumberingAfterBreak="0">
    <w:nsid w:val="062B59EA"/>
    <w:multiLevelType w:val="hybridMultilevel"/>
    <w:tmpl w:val="330C998E"/>
    <w:lvl w:ilvl="0" w:tplc="041D0001">
      <w:start w:val="1"/>
      <w:numFmt w:val="bullet"/>
      <w:lvlText w:val=""/>
      <w:lvlJc w:val="left"/>
      <w:pPr>
        <w:ind w:left="720" w:hanging="360"/>
      </w:pPr>
      <w:rPr>
        <w:rFonts w:ascii="Symbol" w:hAnsi="Symbol" w:hint="default"/>
      </w:rPr>
    </w:lvl>
    <w:lvl w:ilvl="1" w:tplc="893A0DAA">
      <w:numFmt w:val="bullet"/>
      <w:lvlText w:val="–"/>
      <w:lvlJc w:val="left"/>
      <w:pPr>
        <w:ind w:left="1440" w:hanging="360"/>
      </w:pPr>
      <w:rPr>
        <w:rFonts w:ascii="Times New Roman" w:eastAsiaTheme="minorEastAsia"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9CC1928"/>
    <w:multiLevelType w:val="multilevel"/>
    <w:tmpl w:val="A0100D14"/>
    <w:numStyleLink w:val="List13"/>
  </w:abstractNum>
  <w:abstractNum w:abstractNumId="8" w15:restartNumberingAfterBreak="0">
    <w:nsid w:val="0AB0243B"/>
    <w:multiLevelType w:val="hybridMultilevel"/>
    <w:tmpl w:val="4D74B13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DF820CD"/>
    <w:multiLevelType w:val="hybridMultilevel"/>
    <w:tmpl w:val="34563A0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2113C79"/>
    <w:multiLevelType w:val="multilevel"/>
    <w:tmpl w:val="6C206E44"/>
    <w:styleLink w:val="List17"/>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1" w15:restartNumberingAfterBreak="0">
    <w:nsid w:val="178C161F"/>
    <w:multiLevelType w:val="hybridMultilevel"/>
    <w:tmpl w:val="BEB47C10"/>
    <w:lvl w:ilvl="0" w:tplc="8378FAE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C7759C"/>
    <w:multiLevelType w:val="multilevel"/>
    <w:tmpl w:val="58CAA424"/>
    <w:styleLink w:val="List14"/>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3" w15:restartNumberingAfterBreak="0">
    <w:nsid w:val="18BA49A5"/>
    <w:multiLevelType w:val="hybridMultilevel"/>
    <w:tmpl w:val="EBCEEDF6"/>
    <w:lvl w:ilvl="0" w:tplc="239C637A">
      <w:start w:val="1"/>
      <w:numFmt w:val="bullet"/>
      <w:lvlText w:val="-"/>
      <w:lvlJc w:val="left"/>
      <w:pPr>
        <w:ind w:left="720" w:hanging="360"/>
      </w:pPr>
      <w:rPr>
        <w:rFonts w:ascii="Cambria" w:eastAsiaTheme="minorEastAsia" w:hAnsi="Cambria" w:cstheme="minorBidi" w:hint="default"/>
      </w:rPr>
    </w:lvl>
    <w:lvl w:ilvl="1" w:tplc="239C637A">
      <w:start w:val="1"/>
      <w:numFmt w:val="bullet"/>
      <w:lvlText w:val="-"/>
      <w:lvlJc w:val="left"/>
      <w:pPr>
        <w:ind w:left="1440" w:hanging="360"/>
      </w:pPr>
      <w:rPr>
        <w:rFonts w:ascii="Cambria" w:eastAsiaTheme="minorEastAsia" w:hAnsi="Cambria"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574D21"/>
    <w:multiLevelType w:val="hybridMultilevel"/>
    <w:tmpl w:val="3D8A35F6"/>
    <w:lvl w:ilvl="0" w:tplc="8378FA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0E3B96"/>
    <w:multiLevelType w:val="multilevel"/>
    <w:tmpl w:val="65AABD7A"/>
    <w:styleLink w:val="List12"/>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6" w15:restartNumberingAfterBreak="0">
    <w:nsid w:val="221B1952"/>
    <w:multiLevelType w:val="multilevel"/>
    <w:tmpl w:val="354650F0"/>
    <w:styleLink w:val="List16"/>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17" w15:restartNumberingAfterBreak="0">
    <w:nsid w:val="30527859"/>
    <w:multiLevelType w:val="hybridMultilevel"/>
    <w:tmpl w:val="FCD64DCC"/>
    <w:lvl w:ilvl="0" w:tplc="1050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218F0"/>
    <w:multiLevelType w:val="multilevel"/>
    <w:tmpl w:val="B29476FE"/>
    <w:styleLink w:val="List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9" w15:restartNumberingAfterBreak="0">
    <w:nsid w:val="3ADC4EDD"/>
    <w:multiLevelType w:val="hybridMultilevel"/>
    <w:tmpl w:val="D954F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5E35B7"/>
    <w:multiLevelType w:val="multilevel"/>
    <w:tmpl w:val="C23CF8A6"/>
    <w:styleLink w:val="List11"/>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1" w15:restartNumberingAfterBreak="0">
    <w:nsid w:val="3DFD4FDC"/>
    <w:multiLevelType w:val="hybridMultilevel"/>
    <w:tmpl w:val="D3FA9B44"/>
    <w:lvl w:ilvl="0" w:tplc="8378FA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624C42"/>
    <w:multiLevelType w:val="multilevel"/>
    <w:tmpl w:val="7ABE45BC"/>
    <w:styleLink w:val="List10"/>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3" w15:restartNumberingAfterBreak="0">
    <w:nsid w:val="430E341F"/>
    <w:multiLevelType w:val="multilevel"/>
    <w:tmpl w:val="A51CCD74"/>
    <w:styleLink w:val="List7"/>
    <w:lvl w:ilvl="0">
      <w:start w:val="1"/>
      <w:numFmt w:val="bullet"/>
      <w:lvlText w:val="-"/>
      <w:lvlJc w:val="left"/>
      <w:pPr>
        <w:tabs>
          <w:tab w:val="num" w:pos="110"/>
        </w:tabs>
        <w:ind w:left="110" w:hanging="110"/>
      </w:pPr>
      <w:rPr>
        <w:position w:val="0"/>
        <w:sz w:val="18"/>
        <w:szCs w:val="18"/>
        <w:rtl w:val="0"/>
        <w:lang w:val="en-US"/>
      </w:rPr>
    </w:lvl>
    <w:lvl w:ilvl="1">
      <w:numFmt w:val="bullet"/>
      <w:lvlText w:val="-"/>
      <w:lvlJc w:val="left"/>
      <w:pPr>
        <w:tabs>
          <w:tab w:val="num" w:pos="400"/>
        </w:tabs>
        <w:ind w:left="400" w:hanging="160"/>
      </w:pPr>
      <w:rPr>
        <w:position w:val="0"/>
        <w:sz w:val="22"/>
        <w:szCs w:val="22"/>
        <w:rtl w:val="0"/>
        <w:lang w:val="en-US"/>
      </w:rPr>
    </w:lvl>
    <w:lvl w:ilvl="2">
      <w:start w:val="1"/>
      <w:numFmt w:val="bullet"/>
      <w:lvlText w:val="-"/>
      <w:lvlJc w:val="left"/>
      <w:pPr>
        <w:tabs>
          <w:tab w:val="num" w:pos="590"/>
        </w:tabs>
        <w:ind w:left="590" w:hanging="110"/>
      </w:pPr>
      <w:rPr>
        <w:position w:val="0"/>
        <w:sz w:val="18"/>
        <w:szCs w:val="18"/>
        <w:rtl w:val="0"/>
        <w:lang w:val="en-US"/>
      </w:rPr>
    </w:lvl>
    <w:lvl w:ilvl="3">
      <w:start w:val="1"/>
      <w:numFmt w:val="bullet"/>
      <w:lvlText w:val="-"/>
      <w:lvlJc w:val="left"/>
      <w:pPr>
        <w:tabs>
          <w:tab w:val="num" w:pos="830"/>
        </w:tabs>
        <w:ind w:left="830" w:hanging="110"/>
      </w:pPr>
      <w:rPr>
        <w:position w:val="0"/>
        <w:sz w:val="18"/>
        <w:szCs w:val="18"/>
        <w:rtl w:val="0"/>
        <w:lang w:val="en-US"/>
      </w:rPr>
    </w:lvl>
    <w:lvl w:ilvl="4">
      <w:start w:val="1"/>
      <w:numFmt w:val="bullet"/>
      <w:lvlText w:val="-"/>
      <w:lvlJc w:val="left"/>
      <w:pPr>
        <w:tabs>
          <w:tab w:val="num" w:pos="1070"/>
        </w:tabs>
        <w:ind w:left="1070" w:hanging="110"/>
      </w:pPr>
      <w:rPr>
        <w:position w:val="0"/>
        <w:sz w:val="18"/>
        <w:szCs w:val="18"/>
        <w:rtl w:val="0"/>
        <w:lang w:val="en-US"/>
      </w:rPr>
    </w:lvl>
    <w:lvl w:ilvl="5">
      <w:start w:val="1"/>
      <w:numFmt w:val="bullet"/>
      <w:lvlText w:val="-"/>
      <w:lvlJc w:val="left"/>
      <w:pPr>
        <w:tabs>
          <w:tab w:val="num" w:pos="1310"/>
        </w:tabs>
        <w:ind w:left="1310" w:hanging="110"/>
      </w:pPr>
      <w:rPr>
        <w:position w:val="0"/>
        <w:sz w:val="18"/>
        <w:szCs w:val="18"/>
        <w:rtl w:val="0"/>
        <w:lang w:val="en-US"/>
      </w:rPr>
    </w:lvl>
    <w:lvl w:ilvl="6">
      <w:start w:val="1"/>
      <w:numFmt w:val="bullet"/>
      <w:lvlText w:val="-"/>
      <w:lvlJc w:val="left"/>
      <w:pPr>
        <w:tabs>
          <w:tab w:val="num" w:pos="1550"/>
        </w:tabs>
        <w:ind w:left="1550" w:hanging="110"/>
      </w:pPr>
      <w:rPr>
        <w:position w:val="0"/>
        <w:sz w:val="18"/>
        <w:szCs w:val="18"/>
        <w:rtl w:val="0"/>
        <w:lang w:val="en-US"/>
      </w:rPr>
    </w:lvl>
    <w:lvl w:ilvl="7">
      <w:start w:val="1"/>
      <w:numFmt w:val="bullet"/>
      <w:lvlText w:val="-"/>
      <w:lvlJc w:val="left"/>
      <w:pPr>
        <w:tabs>
          <w:tab w:val="num" w:pos="1790"/>
        </w:tabs>
        <w:ind w:left="1790" w:hanging="110"/>
      </w:pPr>
      <w:rPr>
        <w:position w:val="0"/>
        <w:sz w:val="18"/>
        <w:szCs w:val="18"/>
        <w:rtl w:val="0"/>
        <w:lang w:val="en-US"/>
      </w:rPr>
    </w:lvl>
    <w:lvl w:ilvl="8">
      <w:start w:val="1"/>
      <w:numFmt w:val="bullet"/>
      <w:lvlText w:val="-"/>
      <w:lvlJc w:val="left"/>
      <w:pPr>
        <w:tabs>
          <w:tab w:val="num" w:pos="2030"/>
        </w:tabs>
        <w:ind w:left="2030" w:hanging="110"/>
      </w:pPr>
      <w:rPr>
        <w:position w:val="0"/>
        <w:sz w:val="18"/>
        <w:szCs w:val="18"/>
        <w:rtl w:val="0"/>
        <w:lang w:val="en-US"/>
      </w:rPr>
    </w:lvl>
  </w:abstractNum>
  <w:abstractNum w:abstractNumId="24" w15:restartNumberingAfterBreak="0">
    <w:nsid w:val="43EC644F"/>
    <w:multiLevelType w:val="hybridMultilevel"/>
    <w:tmpl w:val="00B0B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133C4C"/>
    <w:multiLevelType w:val="multilevel"/>
    <w:tmpl w:val="E5F44FC2"/>
    <w:styleLink w:val="List15"/>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6" w15:restartNumberingAfterBreak="0">
    <w:nsid w:val="471E105E"/>
    <w:multiLevelType w:val="multilevel"/>
    <w:tmpl w:val="4EBE3B66"/>
    <w:styleLink w:val="List2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7" w15:restartNumberingAfterBreak="0">
    <w:nsid w:val="47AC44FD"/>
    <w:multiLevelType w:val="multilevel"/>
    <w:tmpl w:val="D682CE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8" w15:restartNumberingAfterBreak="0">
    <w:nsid w:val="4BF37A66"/>
    <w:multiLevelType w:val="multilevel"/>
    <w:tmpl w:val="C80026A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9" w15:restartNumberingAfterBreak="0">
    <w:nsid w:val="4E2E6E63"/>
    <w:multiLevelType w:val="hybridMultilevel"/>
    <w:tmpl w:val="E84C435C"/>
    <w:lvl w:ilvl="0" w:tplc="8378FAE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C0F44"/>
    <w:multiLevelType w:val="multilevel"/>
    <w:tmpl w:val="A0100D14"/>
    <w:styleLink w:val="List13"/>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1" w15:restartNumberingAfterBreak="0">
    <w:nsid w:val="501501D2"/>
    <w:multiLevelType w:val="multilevel"/>
    <w:tmpl w:val="FF9A3B62"/>
    <w:styleLink w:val="List20"/>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2" w15:restartNumberingAfterBreak="0">
    <w:nsid w:val="502E463A"/>
    <w:multiLevelType w:val="hybridMultilevel"/>
    <w:tmpl w:val="E8164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16C53C9"/>
    <w:multiLevelType w:val="multilevel"/>
    <w:tmpl w:val="F912D1E2"/>
    <w:styleLink w:val="List19"/>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4" w15:restartNumberingAfterBreak="0">
    <w:nsid w:val="5246205B"/>
    <w:multiLevelType w:val="multilevel"/>
    <w:tmpl w:val="0B1A40C4"/>
    <w:numStyleLink w:val="List9"/>
  </w:abstractNum>
  <w:abstractNum w:abstractNumId="35" w15:restartNumberingAfterBreak="0">
    <w:nsid w:val="55B36AA6"/>
    <w:multiLevelType w:val="multilevel"/>
    <w:tmpl w:val="7DFE1F5A"/>
    <w:styleLink w:val="List1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6" w15:restartNumberingAfterBreak="0">
    <w:nsid w:val="5742381C"/>
    <w:multiLevelType w:val="multilevel"/>
    <w:tmpl w:val="8B1AD57E"/>
    <w:styleLink w:val="List8"/>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7" w15:restartNumberingAfterBreak="0">
    <w:nsid w:val="5C020B34"/>
    <w:multiLevelType w:val="multilevel"/>
    <w:tmpl w:val="0B1A40C4"/>
    <w:styleLink w:val="List9"/>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38" w15:restartNumberingAfterBreak="0">
    <w:nsid w:val="61942324"/>
    <w:multiLevelType w:val="hybridMultilevel"/>
    <w:tmpl w:val="98F0B088"/>
    <w:lvl w:ilvl="0" w:tplc="1A860D24">
      <w:start w:val="1"/>
      <w:numFmt w:val="bullet"/>
      <w:lvlText w:val=""/>
      <w:lvlJc w:val="left"/>
      <w:pPr>
        <w:ind w:left="474" w:hanging="47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768E6"/>
    <w:multiLevelType w:val="multilevel"/>
    <w:tmpl w:val="59D488F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2441594"/>
    <w:multiLevelType w:val="multilevel"/>
    <w:tmpl w:val="A350C0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B03186F"/>
    <w:multiLevelType w:val="multilevel"/>
    <w:tmpl w:val="12780972"/>
    <w:styleLink w:val="List51"/>
    <w:lvl w:ilvl="0">
      <w:start w:val="1"/>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43" w15:restartNumberingAfterBreak="0">
    <w:nsid w:val="7879191F"/>
    <w:multiLevelType w:val="multilevel"/>
    <w:tmpl w:val="D10681A4"/>
    <w:styleLink w:val="List0"/>
    <w:lvl w:ilvl="0">
      <w:start w:val="1"/>
      <w:numFmt w:val="bullet"/>
      <w:lvlText w:val="•"/>
      <w:lvlJc w:val="left"/>
      <w:rPr>
        <w:rFonts w:ascii="Times New Roman Bold" w:eastAsia="Times New Roman Bold" w:hAnsi="Times New Roman Bold" w:cs="Times New Roman Bold"/>
        <w:position w:val="0"/>
        <w:lang w:val="en-US"/>
      </w:rPr>
    </w:lvl>
    <w:lvl w:ilvl="1">
      <w:start w:val="1"/>
      <w:numFmt w:val="bullet"/>
      <w:lvlText w:val="•"/>
      <w:lvlJc w:val="left"/>
      <w:rPr>
        <w:rFonts w:ascii="Times New Roman Bold" w:eastAsia="Times New Roman Bold" w:hAnsi="Times New Roman Bold" w:cs="Times New Roman Bold"/>
        <w:position w:val="0"/>
        <w:lang w:val="en-US"/>
      </w:rPr>
    </w:lvl>
    <w:lvl w:ilvl="2">
      <w:start w:val="1"/>
      <w:numFmt w:val="bullet"/>
      <w:lvlText w:val="•"/>
      <w:lvlJc w:val="left"/>
      <w:rPr>
        <w:rFonts w:ascii="Times New Roman Bold" w:eastAsia="Times New Roman Bold" w:hAnsi="Times New Roman Bold" w:cs="Times New Roman Bold"/>
        <w:position w:val="0"/>
        <w:lang w:val="en-US"/>
      </w:rPr>
    </w:lvl>
    <w:lvl w:ilvl="3">
      <w:start w:val="1"/>
      <w:numFmt w:val="bullet"/>
      <w:lvlText w:val="•"/>
      <w:lvlJc w:val="left"/>
      <w:rPr>
        <w:rFonts w:ascii="Times New Roman Bold" w:eastAsia="Times New Roman Bold" w:hAnsi="Times New Roman Bold" w:cs="Times New Roman Bold"/>
        <w:position w:val="0"/>
        <w:lang w:val="en-US"/>
      </w:rPr>
    </w:lvl>
    <w:lvl w:ilvl="4">
      <w:numFmt w:val="bullet"/>
      <w:lvlText w:val="•"/>
      <w:lvlJc w:val="left"/>
      <w:rPr>
        <w:rFonts w:ascii="Times New Roman Bold" w:eastAsia="Times New Roman Bold" w:hAnsi="Times New Roman Bold" w:cs="Times New Roman Bold"/>
        <w:position w:val="0"/>
        <w:lang w:val="en-US"/>
      </w:rPr>
    </w:lvl>
    <w:lvl w:ilvl="5">
      <w:start w:val="1"/>
      <w:numFmt w:val="bullet"/>
      <w:lvlText w:val="•"/>
      <w:lvlJc w:val="left"/>
      <w:rPr>
        <w:rFonts w:ascii="Times New Roman Bold" w:eastAsia="Times New Roman Bold" w:hAnsi="Times New Roman Bold" w:cs="Times New Roman Bold"/>
        <w:position w:val="0"/>
        <w:lang w:val="en-US"/>
      </w:rPr>
    </w:lvl>
    <w:lvl w:ilvl="6">
      <w:start w:val="1"/>
      <w:numFmt w:val="bullet"/>
      <w:lvlText w:val="•"/>
      <w:lvlJc w:val="left"/>
      <w:rPr>
        <w:rFonts w:ascii="Times New Roman Bold" w:eastAsia="Times New Roman Bold" w:hAnsi="Times New Roman Bold" w:cs="Times New Roman Bold"/>
        <w:position w:val="0"/>
        <w:lang w:val="en-US"/>
      </w:rPr>
    </w:lvl>
    <w:lvl w:ilvl="7">
      <w:start w:val="1"/>
      <w:numFmt w:val="bullet"/>
      <w:lvlText w:val="•"/>
      <w:lvlJc w:val="left"/>
      <w:rPr>
        <w:rFonts w:ascii="Times New Roman Bold" w:eastAsia="Times New Roman Bold" w:hAnsi="Times New Roman Bold" w:cs="Times New Roman Bold"/>
        <w:position w:val="0"/>
        <w:lang w:val="en-US"/>
      </w:rPr>
    </w:lvl>
    <w:lvl w:ilvl="8">
      <w:start w:val="1"/>
      <w:numFmt w:val="bullet"/>
      <w:lvlText w:val="•"/>
      <w:lvlJc w:val="left"/>
      <w:rPr>
        <w:rFonts w:ascii="Times New Roman Bold" w:eastAsia="Times New Roman Bold" w:hAnsi="Times New Roman Bold" w:cs="Times New Roman Bold"/>
        <w:position w:val="0"/>
        <w:lang w:val="en-US"/>
      </w:rPr>
    </w:lvl>
  </w:abstractNum>
  <w:abstractNum w:abstractNumId="44" w15:restartNumberingAfterBreak="0">
    <w:nsid w:val="79446594"/>
    <w:multiLevelType w:val="hybridMultilevel"/>
    <w:tmpl w:val="17ACA54C"/>
    <w:lvl w:ilvl="0" w:tplc="72BC2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17"/>
  </w:num>
  <w:num w:numId="4">
    <w:abstractNumId w:val="38"/>
  </w:num>
  <w:num w:numId="5">
    <w:abstractNumId w:val="39"/>
  </w:num>
  <w:num w:numId="6">
    <w:abstractNumId w:val="29"/>
  </w:num>
  <w:num w:numId="7">
    <w:abstractNumId w:val="43"/>
  </w:num>
  <w:num w:numId="8">
    <w:abstractNumId w:val="36"/>
  </w:num>
  <w:num w:numId="9">
    <w:abstractNumId w:val="37"/>
  </w:num>
  <w:num w:numId="10">
    <w:abstractNumId w:val="28"/>
  </w:num>
  <w:num w:numId="11">
    <w:abstractNumId w:val="22"/>
  </w:num>
  <w:num w:numId="12">
    <w:abstractNumId w:val="20"/>
  </w:num>
  <w:num w:numId="13">
    <w:abstractNumId w:val="30"/>
  </w:num>
  <w:num w:numId="14">
    <w:abstractNumId w:val="2"/>
  </w:num>
  <w:num w:numId="15">
    <w:abstractNumId w:val="12"/>
  </w:num>
  <w:num w:numId="16">
    <w:abstractNumId w:val="25"/>
  </w:num>
  <w:num w:numId="17">
    <w:abstractNumId w:val="16"/>
  </w:num>
  <w:num w:numId="18">
    <w:abstractNumId w:val="10"/>
  </w:num>
  <w:num w:numId="19">
    <w:abstractNumId w:val="35"/>
  </w:num>
  <w:num w:numId="20">
    <w:abstractNumId w:val="33"/>
  </w:num>
  <w:num w:numId="21">
    <w:abstractNumId w:val="27"/>
  </w:num>
  <w:num w:numId="22">
    <w:abstractNumId w:val="31"/>
  </w:num>
  <w:num w:numId="23">
    <w:abstractNumId w:val="6"/>
  </w:num>
  <w:num w:numId="24">
    <w:abstractNumId w:val="21"/>
  </w:num>
  <w:num w:numId="25">
    <w:abstractNumId w:val="11"/>
  </w:num>
  <w:num w:numId="26">
    <w:abstractNumId w:val="14"/>
  </w:num>
  <w:num w:numId="27">
    <w:abstractNumId w:val="3"/>
  </w:num>
  <w:num w:numId="28">
    <w:abstractNumId w:val="34"/>
  </w:num>
  <w:num w:numId="29">
    <w:abstractNumId w:val="7"/>
  </w:num>
  <w:num w:numId="30">
    <w:abstractNumId w:val="18"/>
  </w:num>
  <w:num w:numId="31">
    <w:abstractNumId w:val="26"/>
  </w:num>
  <w:num w:numId="32">
    <w:abstractNumId w:val="4"/>
  </w:num>
  <w:num w:numId="33">
    <w:abstractNumId w:val="1"/>
  </w:num>
  <w:num w:numId="34">
    <w:abstractNumId w:val="42"/>
  </w:num>
  <w:num w:numId="35">
    <w:abstractNumId w:val="15"/>
  </w:num>
  <w:num w:numId="36">
    <w:abstractNumId w:val="19"/>
  </w:num>
  <w:num w:numId="37">
    <w:abstractNumId w:val="8"/>
  </w:num>
  <w:num w:numId="38">
    <w:abstractNumId w:val="5"/>
  </w:num>
  <w:num w:numId="39">
    <w:abstractNumId w:val="23"/>
  </w:num>
  <w:num w:numId="40">
    <w:abstractNumId w:val="32"/>
  </w:num>
  <w:num w:numId="41">
    <w:abstractNumId w:val="24"/>
  </w:num>
  <w:num w:numId="42">
    <w:abstractNumId w:val="13"/>
  </w:num>
  <w:num w:numId="43">
    <w:abstractNumId w:val="41"/>
  </w:num>
  <w:num w:numId="44">
    <w:abstractNumId w:val="9"/>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20"/>
    <w:rsid w:val="0000037D"/>
    <w:rsid w:val="000024E9"/>
    <w:rsid w:val="00002536"/>
    <w:rsid w:val="00003E87"/>
    <w:rsid w:val="000041DB"/>
    <w:rsid w:val="00011020"/>
    <w:rsid w:val="00014AD2"/>
    <w:rsid w:val="00017CC4"/>
    <w:rsid w:val="00020807"/>
    <w:rsid w:val="000222B1"/>
    <w:rsid w:val="000228E2"/>
    <w:rsid w:val="00025D80"/>
    <w:rsid w:val="00026B10"/>
    <w:rsid w:val="00026E2E"/>
    <w:rsid w:val="00033C18"/>
    <w:rsid w:val="00034603"/>
    <w:rsid w:val="00035368"/>
    <w:rsid w:val="0003608B"/>
    <w:rsid w:val="00036178"/>
    <w:rsid w:val="000415E8"/>
    <w:rsid w:val="000464BB"/>
    <w:rsid w:val="0004651A"/>
    <w:rsid w:val="000475E7"/>
    <w:rsid w:val="00052632"/>
    <w:rsid w:val="00056F8F"/>
    <w:rsid w:val="000639BA"/>
    <w:rsid w:val="00063DE9"/>
    <w:rsid w:val="0007189A"/>
    <w:rsid w:val="000772C3"/>
    <w:rsid w:val="0008009B"/>
    <w:rsid w:val="000812C7"/>
    <w:rsid w:val="0008335B"/>
    <w:rsid w:val="00083908"/>
    <w:rsid w:val="00093271"/>
    <w:rsid w:val="000941D4"/>
    <w:rsid w:val="00094B29"/>
    <w:rsid w:val="00094BE4"/>
    <w:rsid w:val="00096898"/>
    <w:rsid w:val="00097753"/>
    <w:rsid w:val="00097F1B"/>
    <w:rsid w:val="000A004C"/>
    <w:rsid w:val="000A05ED"/>
    <w:rsid w:val="000A13FF"/>
    <w:rsid w:val="000A14C2"/>
    <w:rsid w:val="000A1803"/>
    <w:rsid w:val="000A4ABA"/>
    <w:rsid w:val="000A57B2"/>
    <w:rsid w:val="000A675C"/>
    <w:rsid w:val="000B456C"/>
    <w:rsid w:val="000B5F1D"/>
    <w:rsid w:val="000C3465"/>
    <w:rsid w:val="000C378A"/>
    <w:rsid w:val="000C3D05"/>
    <w:rsid w:val="000C5DA4"/>
    <w:rsid w:val="000D03D2"/>
    <w:rsid w:val="000D3AEF"/>
    <w:rsid w:val="000D6500"/>
    <w:rsid w:val="000E0589"/>
    <w:rsid w:val="000E1D2F"/>
    <w:rsid w:val="000E4246"/>
    <w:rsid w:val="000E6ECF"/>
    <w:rsid w:val="000E71BA"/>
    <w:rsid w:val="000F2CC0"/>
    <w:rsid w:val="000F3D1A"/>
    <w:rsid w:val="000F4300"/>
    <w:rsid w:val="000F714B"/>
    <w:rsid w:val="0010034C"/>
    <w:rsid w:val="0010543F"/>
    <w:rsid w:val="001054C5"/>
    <w:rsid w:val="00111092"/>
    <w:rsid w:val="00115083"/>
    <w:rsid w:val="00115B06"/>
    <w:rsid w:val="00115BE3"/>
    <w:rsid w:val="00117BA2"/>
    <w:rsid w:val="00117D1E"/>
    <w:rsid w:val="00120E55"/>
    <w:rsid w:val="00121576"/>
    <w:rsid w:val="001227FB"/>
    <w:rsid w:val="0012398F"/>
    <w:rsid w:val="00127224"/>
    <w:rsid w:val="00130F67"/>
    <w:rsid w:val="00131A69"/>
    <w:rsid w:val="00132093"/>
    <w:rsid w:val="00135F9E"/>
    <w:rsid w:val="0013728B"/>
    <w:rsid w:val="0014117D"/>
    <w:rsid w:val="00141614"/>
    <w:rsid w:val="0014184A"/>
    <w:rsid w:val="00146350"/>
    <w:rsid w:val="001475D4"/>
    <w:rsid w:val="00152113"/>
    <w:rsid w:val="00152D15"/>
    <w:rsid w:val="0015321C"/>
    <w:rsid w:val="00166B37"/>
    <w:rsid w:val="001678B6"/>
    <w:rsid w:val="0017261F"/>
    <w:rsid w:val="00173541"/>
    <w:rsid w:val="00177570"/>
    <w:rsid w:val="00177A9D"/>
    <w:rsid w:val="001802CB"/>
    <w:rsid w:val="00180E8E"/>
    <w:rsid w:val="00181B24"/>
    <w:rsid w:val="00181D88"/>
    <w:rsid w:val="00181F1F"/>
    <w:rsid w:val="0018568F"/>
    <w:rsid w:val="001877FD"/>
    <w:rsid w:val="0019134E"/>
    <w:rsid w:val="00192610"/>
    <w:rsid w:val="001A063A"/>
    <w:rsid w:val="001A43C5"/>
    <w:rsid w:val="001A454C"/>
    <w:rsid w:val="001A4B77"/>
    <w:rsid w:val="001A503B"/>
    <w:rsid w:val="001B1491"/>
    <w:rsid w:val="001B43F1"/>
    <w:rsid w:val="001B5170"/>
    <w:rsid w:val="001B5A50"/>
    <w:rsid w:val="001B650B"/>
    <w:rsid w:val="001B6BEB"/>
    <w:rsid w:val="001C1233"/>
    <w:rsid w:val="001C67A1"/>
    <w:rsid w:val="001D1489"/>
    <w:rsid w:val="001D18BD"/>
    <w:rsid w:val="001D2B9D"/>
    <w:rsid w:val="001D4AF7"/>
    <w:rsid w:val="001D4EB4"/>
    <w:rsid w:val="001D61F4"/>
    <w:rsid w:val="001E1B58"/>
    <w:rsid w:val="001E1D3C"/>
    <w:rsid w:val="001E549D"/>
    <w:rsid w:val="001E7E28"/>
    <w:rsid w:val="001F17EB"/>
    <w:rsid w:val="001F1D27"/>
    <w:rsid w:val="001F4A98"/>
    <w:rsid w:val="001F576C"/>
    <w:rsid w:val="00204608"/>
    <w:rsid w:val="00204FC5"/>
    <w:rsid w:val="0021566D"/>
    <w:rsid w:val="002206ED"/>
    <w:rsid w:val="00220974"/>
    <w:rsid w:val="00221E81"/>
    <w:rsid w:val="00224868"/>
    <w:rsid w:val="00226263"/>
    <w:rsid w:val="00227CF3"/>
    <w:rsid w:val="00230C5C"/>
    <w:rsid w:val="002319B3"/>
    <w:rsid w:val="00233098"/>
    <w:rsid w:val="00235C63"/>
    <w:rsid w:val="00236870"/>
    <w:rsid w:val="0024194D"/>
    <w:rsid w:val="0024473D"/>
    <w:rsid w:val="002456E6"/>
    <w:rsid w:val="002468AE"/>
    <w:rsid w:val="00246BD3"/>
    <w:rsid w:val="0025140E"/>
    <w:rsid w:val="00251833"/>
    <w:rsid w:val="002518C2"/>
    <w:rsid w:val="00255239"/>
    <w:rsid w:val="002605C4"/>
    <w:rsid w:val="00262CFF"/>
    <w:rsid w:val="00266AA4"/>
    <w:rsid w:val="00272283"/>
    <w:rsid w:val="00274E4B"/>
    <w:rsid w:val="00275717"/>
    <w:rsid w:val="00277C01"/>
    <w:rsid w:val="00281C03"/>
    <w:rsid w:val="00282721"/>
    <w:rsid w:val="002842D7"/>
    <w:rsid w:val="00284E71"/>
    <w:rsid w:val="002861DC"/>
    <w:rsid w:val="00294E11"/>
    <w:rsid w:val="002A0F77"/>
    <w:rsid w:val="002A1557"/>
    <w:rsid w:val="002A1FFA"/>
    <w:rsid w:val="002A3474"/>
    <w:rsid w:val="002A437C"/>
    <w:rsid w:val="002A52AB"/>
    <w:rsid w:val="002B08D7"/>
    <w:rsid w:val="002B11A5"/>
    <w:rsid w:val="002B1D16"/>
    <w:rsid w:val="002B23DB"/>
    <w:rsid w:val="002B3B0A"/>
    <w:rsid w:val="002B6C53"/>
    <w:rsid w:val="002C03BD"/>
    <w:rsid w:val="002C0F93"/>
    <w:rsid w:val="002C30B7"/>
    <w:rsid w:val="002C3262"/>
    <w:rsid w:val="002C4ECF"/>
    <w:rsid w:val="002C611F"/>
    <w:rsid w:val="002C65AE"/>
    <w:rsid w:val="002C7A97"/>
    <w:rsid w:val="002D1BA7"/>
    <w:rsid w:val="002D1EC4"/>
    <w:rsid w:val="002D446E"/>
    <w:rsid w:val="002D68D7"/>
    <w:rsid w:val="002E03F3"/>
    <w:rsid w:val="002E7F57"/>
    <w:rsid w:val="002F1E19"/>
    <w:rsid w:val="002F2CBA"/>
    <w:rsid w:val="002F68A8"/>
    <w:rsid w:val="002F6A69"/>
    <w:rsid w:val="002F789C"/>
    <w:rsid w:val="0030014E"/>
    <w:rsid w:val="0030039F"/>
    <w:rsid w:val="0030389D"/>
    <w:rsid w:val="00305959"/>
    <w:rsid w:val="00307EA3"/>
    <w:rsid w:val="00314239"/>
    <w:rsid w:val="003168E0"/>
    <w:rsid w:val="00316EA9"/>
    <w:rsid w:val="00316EFE"/>
    <w:rsid w:val="00320DA4"/>
    <w:rsid w:val="003215BE"/>
    <w:rsid w:val="0032546E"/>
    <w:rsid w:val="00330006"/>
    <w:rsid w:val="003353E3"/>
    <w:rsid w:val="003356A2"/>
    <w:rsid w:val="00342ECB"/>
    <w:rsid w:val="0034512E"/>
    <w:rsid w:val="003456E5"/>
    <w:rsid w:val="00350328"/>
    <w:rsid w:val="003519CA"/>
    <w:rsid w:val="00354079"/>
    <w:rsid w:val="0035502A"/>
    <w:rsid w:val="003574AF"/>
    <w:rsid w:val="00357DC3"/>
    <w:rsid w:val="00361868"/>
    <w:rsid w:val="00361BF1"/>
    <w:rsid w:val="00363586"/>
    <w:rsid w:val="003701DA"/>
    <w:rsid w:val="00376626"/>
    <w:rsid w:val="003774D6"/>
    <w:rsid w:val="00377B50"/>
    <w:rsid w:val="003803AA"/>
    <w:rsid w:val="0038043D"/>
    <w:rsid w:val="003825E9"/>
    <w:rsid w:val="00383217"/>
    <w:rsid w:val="0038610F"/>
    <w:rsid w:val="00386D5E"/>
    <w:rsid w:val="003915AF"/>
    <w:rsid w:val="00393057"/>
    <w:rsid w:val="00394C9D"/>
    <w:rsid w:val="003966BA"/>
    <w:rsid w:val="00397EAE"/>
    <w:rsid w:val="00397EC9"/>
    <w:rsid w:val="003A1656"/>
    <w:rsid w:val="003A5FBD"/>
    <w:rsid w:val="003A65CE"/>
    <w:rsid w:val="003A6E85"/>
    <w:rsid w:val="003B5268"/>
    <w:rsid w:val="003B52C1"/>
    <w:rsid w:val="003C0190"/>
    <w:rsid w:val="003C1CE9"/>
    <w:rsid w:val="003C1FF6"/>
    <w:rsid w:val="003C2BEF"/>
    <w:rsid w:val="003C3E2F"/>
    <w:rsid w:val="003C4D40"/>
    <w:rsid w:val="003C4FD3"/>
    <w:rsid w:val="003D098B"/>
    <w:rsid w:val="003D2F1B"/>
    <w:rsid w:val="003D32F3"/>
    <w:rsid w:val="003D5DD1"/>
    <w:rsid w:val="003D626C"/>
    <w:rsid w:val="003D6795"/>
    <w:rsid w:val="003D7262"/>
    <w:rsid w:val="003D7CC2"/>
    <w:rsid w:val="003E139D"/>
    <w:rsid w:val="003E2184"/>
    <w:rsid w:val="003E50DF"/>
    <w:rsid w:val="003E7E25"/>
    <w:rsid w:val="003F0E3B"/>
    <w:rsid w:val="003F1B67"/>
    <w:rsid w:val="003F5363"/>
    <w:rsid w:val="003F5A1B"/>
    <w:rsid w:val="003F5D0F"/>
    <w:rsid w:val="003F6434"/>
    <w:rsid w:val="0040676D"/>
    <w:rsid w:val="00416E64"/>
    <w:rsid w:val="00422BEA"/>
    <w:rsid w:val="00426405"/>
    <w:rsid w:val="00432108"/>
    <w:rsid w:val="004344E6"/>
    <w:rsid w:val="004401C5"/>
    <w:rsid w:val="0044066C"/>
    <w:rsid w:val="00442B1D"/>
    <w:rsid w:val="00443F8A"/>
    <w:rsid w:val="00444556"/>
    <w:rsid w:val="00445186"/>
    <w:rsid w:val="004453B6"/>
    <w:rsid w:val="00447EFC"/>
    <w:rsid w:val="004518DE"/>
    <w:rsid w:val="004546E2"/>
    <w:rsid w:val="00456840"/>
    <w:rsid w:val="0045695C"/>
    <w:rsid w:val="0046018F"/>
    <w:rsid w:val="00463DB6"/>
    <w:rsid w:val="00464E19"/>
    <w:rsid w:val="004651B1"/>
    <w:rsid w:val="00470573"/>
    <w:rsid w:val="00474E03"/>
    <w:rsid w:val="00475995"/>
    <w:rsid w:val="00476EBB"/>
    <w:rsid w:val="00476F5B"/>
    <w:rsid w:val="004839E9"/>
    <w:rsid w:val="00483F12"/>
    <w:rsid w:val="00484706"/>
    <w:rsid w:val="004858CA"/>
    <w:rsid w:val="0049176C"/>
    <w:rsid w:val="004935F6"/>
    <w:rsid w:val="004945ED"/>
    <w:rsid w:val="004948F8"/>
    <w:rsid w:val="0049498B"/>
    <w:rsid w:val="004A1238"/>
    <w:rsid w:val="004A48E0"/>
    <w:rsid w:val="004A73F9"/>
    <w:rsid w:val="004B00D2"/>
    <w:rsid w:val="004B3B7B"/>
    <w:rsid w:val="004B48E8"/>
    <w:rsid w:val="004B4CD9"/>
    <w:rsid w:val="004B4F59"/>
    <w:rsid w:val="004B50DA"/>
    <w:rsid w:val="004C1CB7"/>
    <w:rsid w:val="004C2EB4"/>
    <w:rsid w:val="004C4F63"/>
    <w:rsid w:val="004C7253"/>
    <w:rsid w:val="004D570C"/>
    <w:rsid w:val="004D69E9"/>
    <w:rsid w:val="004E0E3F"/>
    <w:rsid w:val="004E22D1"/>
    <w:rsid w:val="004E24B5"/>
    <w:rsid w:val="004E2F77"/>
    <w:rsid w:val="004E351A"/>
    <w:rsid w:val="004E40FF"/>
    <w:rsid w:val="004E5190"/>
    <w:rsid w:val="004F06C5"/>
    <w:rsid w:val="004F2303"/>
    <w:rsid w:val="00501870"/>
    <w:rsid w:val="00501EC9"/>
    <w:rsid w:val="00504B5E"/>
    <w:rsid w:val="0050542D"/>
    <w:rsid w:val="005072F3"/>
    <w:rsid w:val="00510B23"/>
    <w:rsid w:val="00511F16"/>
    <w:rsid w:val="00516B55"/>
    <w:rsid w:val="00516C36"/>
    <w:rsid w:val="00517AF1"/>
    <w:rsid w:val="00520FA3"/>
    <w:rsid w:val="00521C6C"/>
    <w:rsid w:val="005232B6"/>
    <w:rsid w:val="00530D32"/>
    <w:rsid w:val="00533F7E"/>
    <w:rsid w:val="0054367F"/>
    <w:rsid w:val="00546101"/>
    <w:rsid w:val="00547B3C"/>
    <w:rsid w:val="00547D66"/>
    <w:rsid w:val="005523D4"/>
    <w:rsid w:val="005532CB"/>
    <w:rsid w:val="00553352"/>
    <w:rsid w:val="00554E40"/>
    <w:rsid w:val="00555740"/>
    <w:rsid w:val="0056262D"/>
    <w:rsid w:val="00563177"/>
    <w:rsid w:val="00564468"/>
    <w:rsid w:val="00564FE8"/>
    <w:rsid w:val="00565A2A"/>
    <w:rsid w:val="00565AA9"/>
    <w:rsid w:val="005665BA"/>
    <w:rsid w:val="005673F7"/>
    <w:rsid w:val="00572F78"/>
    <w:rsid w:val="0057583C"/>
    <w:rsid w:val="005803C1"/>
    <w:rsid w:val="00580D95"/>
    <w:rsid w:val="00581A9D"/>
    <w:rsid w:val="00581BA7"/>
    <w:rsid w:val="00583E1E"/>
    <w:rsid w:val="00584647"/>
    <w:rsid w:val="00586CA4"/>
    <w:rsid w:val="005872FB"/>
    <w:rsid w:val="00591F95"/>
    <w:rsid w:val="005924C3"/>
    <w:rsid w:val="0059461E"/>
    <w:rsid w:val="00596024"/>
    <w:rsid w:val="005964EA"/>
    <w:rsid w:val="00597ED5"/>
    <w:rsid w:val="005A0A57"/>
    <w:rsid w:val="005A32EA"/>
    <w:rsid w:val="005A3FEB"/>
    <w:rsid w:val="005A45AA"/>
    <w:rsid w:val="005A5488"/>
    <w:rsid w:val="005A76DB"/>
    <w:rsid w:val="005A790B"/>
    <w:rsid w:val="005B4418"/>
    <w:rsid w:val="005B5E96"/>
    <w:rsid w:val="005B6DC6"/>
    <w:rsid w:val="005B7248"/>
    <w:rsid w:val="005C0F85"/>
    <w:rsid w:val="005C1A1B"/>
    <w:rsid w:val="005C1A9C"/>
    <w:rsid w:val="005C2189"/>
    <w:rsid w:val="005C2273"/>
    <w:rsid w:val="005C6EF6"/>
    <w:rsid w:val="005D04D9"/>
    <w:rsid w:val="005D4AC3"/>
    <w:rsid w:val="005D716F"/>
    <w:rsid w:val="005E3161"/>
    <w:rsid w:val="005E3FEE"/>
    <w:rsid w:val="005F157A"/>
    <w:rsid w:val="005F57E8"/>
    <w:rsid w:val="005F6857"/>
    <w:rsid w:val="005F7D3F"/>
    <w:rsid w:val="00601A66"/>
    <w:rsid w:val="006052AA"/>
    <w:rsid w:val="00606E52"/>
    <w:rsid w:val="006075A9"/>
    <w:rsid w:val="00611B27"/>
    <w:rsid w:val="006122DF"/>
    <w:rsid w:val="006127D1"/>
    <w:rsid w:val="006145A9"/>
    <w:rsid w:val="00621395"/>
    <w:rsid w:val="00625B48"/>
    <w:rsid w:val="00625DC4"/>
    <w:rsid w:val="006276F5"/>
    <w:rsid w:val="00631EB6"/>
    <w:rsid w:val="00632DBC"/>
    <w:rsid w:val="00633A71"/>
    <w:rsid w:val="006368B4"/>
    <w:rsid w:val="00642833"/>
    <w:rsid w:val="00642EBF"/>
    <w:rsid w:val="00645B76"/>
    <w:rsid w:val="00652724"/>
    <w:rsid w:val="00653E3D"/>
    <w:rsid w:val="00656F81"/>
    <w:rsid w:val="00657BB6"/>
    <w:rsid w:val="00660DA1"/>
    <w:rsid w:val="006632F3"/>
    <w:rsid w:val="006643D5"/>
    <w:rsid w:val="00664B6B"/>
    <w:rsid w:val="00670E29"/>
    <w:rsid w:val="00671427"/>
    <w:rsid w:val="00671853"/>
    <w:rsid w:val="00671B8C"/>
    <w:rsid w:val="00671CF3"/>
    <w:rsid w:val="006722C1"/>
    <w:rsid w:val="0067230D"/>
    <w:rsid w:val="006732C1"/>
    <w:rsid w:val="00685667"/>
    <w:rsid w:val="00686A09"/>
    <w:rsid w:val="00691528"/>
    <w:rsid w:val="0069213E"/>
    <w:rsid w:val="00694D8C"/>
    <w:rsid w:val="00696F85"/>
    <w:rsid w:val="006A0961"/>
    <w:rsid w:val="006A2791"/>
    <w:rsid w:val="006A4458"/>
    <w:rsid w:val="006A5536"/>
    <w:rsid w:val="006A628E"/>
    <w:rsid w:val="006B07DA"/>
    <w:rsid w:val="006B163E"/>
    <w:rsid w:val="006B18BE"/>
    <w:rsid w:val="006B197A"/>
    <w:rsid w:val="006B264A"/>
    <w:rsid w:val="006B3323"/>
    <w:rsid w:val="006B3B08"/>
    <w:rsid w:val="006B593D"/>
    <w:rsid w:val="006B7BDA"/>
    <w:rsid w:val="006C47DD"/>
    <w:rsid w:val="006C57B5"/>
    <w:rsid w:val="006D47F9"/>
    <w:rsid w:val="006D546D"/>
    <w:rsid w:val="006E0853"/>
    <w:rsid w:val="006E7249"/>
    <w:rsid w:val="006F0891"/>
    <w:rsid w:val="006F35C3"/>
    <w:rsid w:val="006F4B10"/>
    <w:rsid w:val="006F6CD6"/>
    <w:rsid w:val="00700297"/>
    <w:rsid w:val="007004E5"/>
    <w:rsid w:val="007036A2"/>
    <w:rsid w:val="00704BE7"/>
    <w:rsid w:val="00704E26"/>
    <w:rsid w:val="0070526B"/>
    <w:rsid w:val="007054CF"/>
    <w:rsid w:val="00707AD9"/>
    <w:rsid w:val="0071383C"/>
    <w:rsid w:val="00715FC0"/>
    <w:rsid w:val="00726AB4"/>
    <w:rsid w:val="00730118"/>
    <w:rsid w:val="007301E7"/>
    <w:rsid w:val="007326FF"/>
    <w:rsid w:val="00735146"/>
    <w:rsid w:val="0074077F"/>
    <w:rsid w:val="007416D7"/>
    <w:rsid w:val="00741AF3"/>
    <w:rsid w:val="007452C8"/>
    <w:rsid w:val="00746A23"/>
    <w:rsid w:val="0074756C"/>
    <w:rsid w:val="00747793"/>
    <w:rsid w:val="0075139A"/>
    <w:rsid w:val="00755F7D"/>
    <w:rsid w:val="00756FE4"/>
    <w:rsid w:val="00760123"/>
    <w:rsid w:val="00761CCF"/>
    <w:rsid w:val="0076211F"/>
    <w:rsid w:val="0076476E"/>
    <w:rsid w:val="0076670F"/>
    <w:rsid w:val="00766E92"/>
    <w:rsid w:val="007676F0"/>
    <w:rsid w:val="00770BA8"/>
    <w:rsid w:val="00771AC7"/>
    <w:rsid w:val="00772E70"/>
    <w:rsid w:val="00774EB9"/>
    <w:rsid w:val="007754CA"/>
    <w:rsid w:val="00780015"/>
    <w:rsid w:val="007824A5"/>
    <w:rsid w:val="00782CAB"/>
    <w:rsid w:val="0078527A"/>
    <w:rsid w:val="00785A37"/>
    <w:rsid w:val="00790AB0"/>
    <w:rsid w:val="00790CF4"/>
    <w:rsid w:val="00792CCB"/>
    <w:rsid w:val="00793ADF"/>
    <w:rsid w:val="00794D32"/>
    <w:rsid w:val="0079588C"/>
    <w:rsid w:val="007959AA"/>
    <w:rsid w:val="00795B64"/>
    <w:rsid w:val="007A3FBA"/>
    <w:rsid w:val="007A614C"/>
    <w:rsid w:val="007A6209"/>
    <w:rsid w:val="007A7640"/>
    <w:rsid w:val="007B164D"/>
    <w:rsid w:val="007B4591"/>
    <w:rsid w:val="007B6960"/>
    <w:rsid w:val="007C06D3"/>
    <w:rsid w:val="007C20FF"/>
    <w:rsid w:val="007C24C9"/>
    <w:rsid w:val="007C385E"/>
    <w:rsid w:val="007C5C2D"/>
    <w:rsid w:val="007C60C7"/>
    <w:rsid w:val="007C69B6"/>
    <w:rsid w:val="007D0AA4"/>
    <w:rsid w:val="007D3AC2"/>
    <w:rsid w:val="007D3CBD"/>
    <w:rsid w:val="007E05BE"/>
    <w:rsid w:val="007E0A6C"/>
    <w:rsid w:val="007E33F4"/>
    <w:rsid w:val="007E3D89"/>
    <w:rsid w:val="007E5065"/>
    <w:rsid w:val="007E6B3E"/>
    <w:rsid w:val="007F01AD"/>
    <w:rsid w:val="007F0248"/>
    <w:rsid w:val="007F065D"/>
    <w:rsid w:val="007F1302"/>
    <w:rsid w:val="007F1DE5"/>
    <w:rsid w:val="007F45E8"/>
    <w:rsid w:val="007F6403"/>
    <w:rsid w:val="008004D7"/>
    <w:rsid w:val="008013DC"/>
    <w:rsid w:val="008038BC"/>
    <w:rsid w:val="008061B0"/>
    <w:rsid w:val="00810C20"/>
    <w:rsid w:val="008119CA"/>
    <w:rsid w:val="00812BED"/>
    <w:rsid w:val="00813DAA"/>
    <w:rsid w:val="00814682"/>
    <w:rsid w:val="00816C27"/>
    <w:rsid w:val="00821AB8"/>
    <w:rsid w:val="00821BA9"/>
    <w:rsid w:val="00821DA0"/>
    <w:rsid w:val="008220A1"/>
    <w:rsid w:val="008231BF"/>
    <w:rsid w:val="00824DF3"/>
    <w:rsid w:val="00825955"/>
    <w:rsid w:val="008302DB"/>
    <w:rsid w:val="00831A53"/>
    <w:rsid w:val="00834053"/>
    <w:rsid w:val="00835475"/>
    <w:rsid w:val="00835FEC"/>
    <w:rsid w:val="008408B0"/>
    <w:rsid w:val="008408B4"/>
    <w:rsid w:val="00841594"/>
    <w:rsid w:val="00844D71"/>
    <w:rsid w:val="00852D6F"/>
    <w:rsid w:val="0085353D"/>
    <w:rsid w:val="0085456F"/>
    <w:rsid w:val="0085732A"/>
    <w:rsid w:val="00857726"/>
    <w:rsid w:val="0086121B"/>
    <w:rsid w:val="0086368F"/>
    <w:rsid w:val="00865C08"/>
    <w:rsid w:val="00865CC0"/>
    <w:rsid w:val="0086636D"/>
    <w:rsid w:val="00866B8E"/>
    <w:rsid w:val="00867905"/>
    <w:rsid w:val="0087228E"/>
    <w:rsid w:val="00872430"/>
    <w:rsid w:val="0087499B"/>
    <w:rsid w:val="00875900"/>
    <w:rsid w:val="00877972"/>
    <w:rsid w:val="00883105"/>
    <w:rsid w:val="00883AA3"/>
    <w:rsid w:val="008840B1"/>
    <w:rsid w:val="00885D4B"/>
    <w:rsid w:val="00886C30"/>
    <w:rsid w:val="00891192"/>
    <w:rsid w:val="00891E99"/>
    <w:rsid w:val="008935CD"/>
    <w:rsid w:val="008A0D5D"/>
    <w:rsid w:val="008A138F"/>
    <w:rsid w:val="008A3589"/>
    <w:rsid w:val="008A3B1B"/>
    <w:rsid w:val="008A41ED"/>
    <w:rsid w:val="008A44CC"/>
    <w:rsid w:val="008B016B"/>
    <w:rsid w:val="008B03F7"/>
    <w:rsid w:val="008B417D"/>
    <w:rsid w:val="008B430B"/>
    <w:rsid w:val="008B4C2D"/>
    <w:rsid w:val="008C167E"/>
    <w:rsid w:val="008C28C6"/>
    <w:rsid w:val="008C43B5"/>
    <w:rsid w:val="008C5C88"/>
    <w:rsid w:val="008C6000"/>
    <w:rsid w:val="008C7C30"/>
    <w:rsid w:val="008D066F"/>
    <w:rsid w:val="008D13F5"/>
    <w:rsid w:val="008D1D81"/>
    <w:rsid w:val="008D54B6"/>
    <w:rsid w:val="008D6798"/>
    <w:rsid w:val="008D693A"/>
    <w:rsid w:val="008D6D96"/>
    <w:rsid w:val="008E0482"/>
    <w:rsid w:val="008E0AD6"/>
    <w:rsid w:val="008E2017"/>
    <w:rsid w:val="008F2624"/>
    <w:rsid w:val="008F2F63"/>
    <w:rsid w:val="008F50C0"/>
    <w:rsid w:val="00900DFF"/>
    <w:rsid w:val="00901CB9"/>
    <w:rsid w:val="00905486"/>
    <w:rsid w:val="00910038"/>
    <w:rsid w:val="009114A3"/>
    <w:rsid w:val="00912E3E"/>
    <w:rsid w:val="00913565"/>
    <w:rsid w:val="009145FD"/>
    <w:rsid w:val="0091485C"/>
    <w:rsid w:val="00916E47"/>
    <w:rsid w:val="00917AFB"/>
    <w:rsid w:val="00921B88"/>
    <w:rsid w:val="00921DDE"/>
    <w:rsid w:val="00923E48"/>
    <w:rsid w:val="00926051"/>
    <w:rsid w:val="00931C39"/>
    <w:rsid w:val="00932C85"/>
    <w:rsid w:val="00935E2F"/>
    <w:rsid w:val="00940678"/>
    <w:rsid w:val="00945BD0"/>
    <w:rsid w:val="009464E9"/>
    <w:rsid w:val="00950401"/>
    <w:rsid w:val="00950EDF"/>
    <w:rsid w:val="00955EFD"/>
    <w:rsid w:val="00956E00"/>
    <w:rsid w:val="00960E68"/>
    <w:rsid w:val="0096192A"/>
    <w:rsid w:val="009619F0"/>
    <w:rsid w:val="00963560"/>
    <w:rsid w:val="0096530C"/>
    <w:rsid w:val="00965FAD"/>
    <w:rsid w:val="00967C14"/>
    <w:rsid w:val="00967E88"/>
    <w:rsid w:val="0097136C"/>
    <w:rsid w:val="00976657"/>
    <w:rsid w:val="0097774A"/>
    <w:rsid w:val="00980AB2"/>
    <w:rsid w:val="009873B5"/>
    <w:rsid w:val="0099179A"/>
    <w:rsid w:val="00993B4A"/>
    <w:rsid w:val="00997578"/>
    <w:rsid w:val="009A14E9"/>
    <w:rsid w:val="009A1AED"/>
    <w:rsid w:val="009A715E"/>
    <w:rsid w:val="009B166F"/>
    <w:rsid w:val="009B4F45"/>
    <w:rsid w:val="009C0D6F"/>
    <w:rsid w:val="009C1A51"/>
    <w:rsid w:val="009C2361"/>
    <w:rsid w:val="009C2678"/>
    <w:rsid w:val="009C7770"/>
    <w:rsid w:val="009D343A"/>
    <w:rsid w:val="009D5C15"/>
    <w:rsid w:val="009D5D40"/>
    <w:rsid w:val="009E31C1"/>
    <w:rsid w:val="009E4E65"/>
    <w:rsid w:val="009F136B"/>
    <w:rsid w:val="009F54B5"/>
    <w:rsid w:val="00A0238B"/>
    <w:rsid w:val="00A06283"/>
    <w:rsid w:val="00A07621"/>
    <w:rsid w:val="00A07C68"/>
    <w:rsid w:val="00A11687"/>
    <w:rsid w:val="00A14CC2"/>
    <w:rsid w:val="00A20279"/>
    <w:rsid w:val="00A202F1"/>
    <w:rsid w:val="00A23264"/>
    <w:rsid w:val="00A23F51"/>
    <w:rsid w:val="00A24CCD"/>
    <w:rsid w:val="00A262C9"/>
    <w:rsid w:val="00A26EF8"/>
    <w:rsid w:val="00A27DA6"/>
    <w:rsid w:val="00A3063C"/>
    <w:rsid w:val="00A30D3A"/>
    <w:rsid w:val="00A34429"/>
    <w:rsid w:val="00A36EFB"/>
    <w:rsid w:val="00A40BC1"/>
    <w:rsid w:val="00A445D9"/>
    <w:rsid w:val="00A447E1"/>
    <w:rsid w:val="00A4582D"/>
    <w:rsid w:val="00A47D11"/>
    <w:rsid w:val="00A56D1D"/>
    <w:rsid w:val="00A57419"/>
    <w:rsid w:val="00A60E9A"/>
    <w:rsid w:val="00A65D67"/>
    <w:rsid w:val="00A67802"/>
    <w:rsid w:val="00A72D55"/>
    <w:rsid w:val="00A82311"/>
    <w:rsid w:val="00A823DC"/>
    <w:rsid w:val="00A87971"/>
    <w:rsid w:val="00A87C20"/>
    <w:rsid w:val="00AA2423"/>
    <w:rsid w:val="00AA2AF3"/>
    <w:rsid w:val="00AA6D52"/>
    <w:rsid w:val="00AB1E09"/>
    <w:rsid w:val="00AB7885"/>
    <w:rsid w:val="00AB7A8B"/>
    <w:rsid w:val="00AC1FEE"/>
    <w:rsid w:val="00AC2AF3"/>
    <w:rsid w:val="00AC695C"/>
    <w:rsid w:val="00AC728B"/>
    <w:rsid w:val="00AC7F8D"/>
    <w:rsid w:val="00AD0E77"/>
    <w:rsid w:val="00AD5B1A"/>
    <w:rsid w:val="00AD7BBA"/>
    <w:rsid w:val="00AE0A49"/>
    <w:rsid w:val="00AE0C41"/>
    <w:rsid w:val="00AE1B94"/>
    <w:rsid w:val="00AE4480"/>
    <w:rsid w:val="00AE5AFF"/>
    <w:rsid w:val="00AE5FB6"/>
    <w:rsid w:val="00AE7CC4"/>
    <w:rsid w:val="00AF1224"/>
    <w:rsid w:val="00AF145F"/>
    <w:rsid w:val="00AF4DB1"/>
    <w:rsid w:val="00AF6479"/>
    <w:rsid w:val="00AF6976"/>
    <w:rsid w:val="00B00EA6"/>
    <w:rsid w:val="00B01BC8"/>
    <w:rsid w:val="00B01FDB"/>
    <w:rsid w:val="00B02733"/>
    <w:rsid w:val="00B0310B"/>
    <w:rsid w:val="00B04D8C"/>
    <w:rsid w:val="00B06266"/>
    <w:rsid w:val="00B07093"/>
    <w:rsid w:val="00B12BE7"/>
    <w:rsid w:val="00B1488B"/>
    <w:rsid w:val="00B14F33"/>
    <w:rsid w:val="00B25222"/>
    <w:rsid w:val="00B259BA"/>
    <w:rsid w:val="00B27733"/>
    <w:rsid w:val="00B3173B"/>
    <w:rsid w:val="00B32DFF"/>
    <w:rsid w:val="00B346FB"/>
    <w:rsid w:val="00B34AC8"/>
    <w:rsid w:val="00B4007C"/>
    <w:rsid w:val="00B42926"/>
    <w:rsid w:val="00B4414D"/>
    <w:rsid w:val="00B44532"/>
    <w:rsid w:val="00B54D96"/>
    <w:rsid w:val="00B56083"/>
    <w:rsid w:val="00B60486"/>
    <w:rsid w:val="00B645F4"/>
    <w:rsid w:val="00B661CE"/>
    <w:rsid w:val="00B678C0"/>
    <w:rsid w:val="00B67E5C"/>
    <w:rsid w:val="00B67F6D"/>
    <w:rsid w:val="00B701D8"/>
    <w:rsid w:val="00B70707"/>
    <w:rsid w:val="00B721DB"/>
    <w:rsid w:val="00B735C3"/>
    <w:rsid w:val="00B737F2"/>
    <w:rsid w:val="00B75060"/>
    <w:rsid w:val="00B76F8F"/>
    <w:rsid w:val="00B81704"/>
    <w:rsid w:val="00B81B90"/>
    <w:rsid w:val="00B836C7"/>
    <w:rsid w:val="00B84ADB"/>
    <w:rsid w:val="00B85410"/>
    <w:rsid w:val="00B858E7"/>
    <w:rsid w:val="00B86719"/>
    <w:rsid w:val="00B91303"/>
    <w:rsid w:val="00BA17A8"/>
    <w:rsid w:val="00BA356A"/>
    <w:rsid w:val="00BB5DE9"/>
    <w:rsid w:val="00BB5FDE"/>
    <w:rsid w:val="00BC112C"/>
    <w:rsid w:val="00BC2627"/>
    <w:rsid w:val="00BC2CB2"/>
    <w:rsid w:val="00BC5B26"/>
    <w:rsid w:val="00BC66D2"/>
    <w:rsid w:val="00BD0B6E"/>
    <w:rsid w:val="00BD77E2"/>
    <w:rsid w:val="00BE60CE"/>
    <w:rsid w:val="00BF01A3"/>
    <w:rsid w:val="00BF0634"/>
    <w:rsid w:val="00BF2C80"/>
    <w:rsid w:val="00BF33A1"/>
    <w:rsid w:val="00BF7DA1"/>
    <w:rsid w:val="00C01385"/>
    <w:rsid w:val="00C01AC6"/>
    <w:rsid w:val="00C05CB5"/>
    <w:rsid w:val="00C1171A"/>
    <w:rsid w:val="00C12423"/>
    <w:rsid w:val="00C1575D"/>
    <w:rsid w:val="00C163C4"/>
    <w:rsid w:val="00C16910"/>
    <w:rsid w:val="00C16E57"/>
    <w:rsid w:val="00C175CD"/>
    <w:rsid w:val="00C21649"/>
    <w:rsid w:val="00C24C44"/>
    <w:rsid w:val="00C32943"/>
    <w:rsid w:val="00C340C7"/>
    <w:rsid w:val="00C35139"/>
    <w:rsid w:val="00C354B1"/>
    <w:rsid w:val="00C37878"/>
    <w:rsid w:val="00C41265"/>
    <w:rsid w:val="00C44AF1"/>
    <w:rsid w:val="00C472F4"/>
    <w:rsid w:val="00C509E7"/>
    <w:rsid w:val="00C51F88"/>
    <w:rsid w:val="00C52FA8"/>
    <w:rsid w:val="00C53CC0"/>
    <w:rsid w:val="00C53EBB"/>
    <w:rsid w:val="00C5420C"/>
    <w:rsid w:val="00C5598F"/>
    <w:rsid w:val="00C67FC3"/>
    <w:rsid w:val="00C708BD"/>
    <w:rsid w:val="00C72E53"/>
    <w:rsid w:val="00C81723"/>
    <w:rsid w:val="00C83743"/>
    <w:rsid w:val="00C83D6F"/>
    <w:rsid w:val="00C84CFE"/>
    <w:rsid w:val="00C87882"/>
    <w:rsid w:val="00C908A0"/>
    <w:rsid w:val="00C94F69"/>
    <w:rsid w:val="00C969D8"/>
    <w:rsid w:val="00C9771D"/>
    <w:rsid w:val="00C9776D"/>
    <w:rsid w:val="00CA0F09"/>
    <w:rsid w:val="00CB2D0B"/>
    <w:rsid w:val="00CB3074"/>
    <w:rsid w:val="00CB5D4D"/>
    <w:rsid w:val="00CB6504"/>
    <w:rsid w:val="00CB71D0"/>
    <w:rsid w:val="00CB7DC1"/>
    <w:rsid w:val="00CC195A"/>
    <w:rsid w:val="00CC297E"/>
    <w:rsid w:val="00CC357B"/>
    <w:rsid w:val="00CC3AD0"/>
    <w:rsid w:val="00CC62AA"/>
    <w:rsid w:val="00CC65D2"/>
    <w:rsid w:val="00CC6B24"/>
    <w:rsid w:val="00CD18FC"/>
    <w:rsid w:val="00CD7D11"/>
    <w:rsid w:val="00CE2968"/>
    <w:rsid w:val="00CF0BB7"/>
    <w:rsid w:val="00CF45FE"/>
    <w:rsid w:val="00CF6BDB"/>
    <w:rsid w:val="00CF71F5"/>
    <w:rsid w:val="00CF76DB"/>
    <w:rsid w:val="00CF7E8B"/>
    <w:rsid w:val="00D03D2F"/>
    <w:rsid w:val="00D10CE0"/>
    <w:rsid w:val="00D11BB3"/>
    <w:rsid w:val="00D11FCF"/>
    <w:rsid w:val="00D154D8"/>
    <w:rsid w:val="00D15A10"/>
    <w:rsid w:val="00D165F5"/>
    <w:rsid w:val="00D169CC"/>
    <w:rsid w:val="00D218C8"/>
    <w:rsid w:val="00D31F4E"/>
    <w:rsid w:val="00D333B8"/>
    <w:rsid w:val="00D3758E"/>
    <w:rsid w:val="00D37CC5"/>
    <w:rsid w:val="00D40FFB"/>
    <w:rsid w:val="00D43286"/>
    <w:rsid w:val="00D45216"/>
    <w:rsid w:val="00D45B22"/>
    <w:rsid w:val="00D46BA6"/>
    <w:rsid w:val="00D52F11"/>
    <w:rsid w:val="00D57E06"/>
    <w:rsid w:val="00D57F72"/>
    <w:rsid w:val="00D6137E"/>
    <w:rsid w:val="00D61BE1"/>
    <w:rsid w:val="00D64C02"/>
    <w:rsid w:val="00D655CD"/>
    <w:rsid w:val="00D76132"/>
    <w:rsid w:val="00D76D85"/>
    <w:rsid w:val="00D81993"/>
    <w:rsid w:val="00D84A5B"/>
    <w:rsid w:val="00D91E29"/>
    <w:rsid w:val="00D939AB"/>
    <w:rsid w:val="00DA5631"/>
    <w:rsid w:val="00DA5F51"/>
    <w:rsid w:val="00DB5588"/>
    <w:rsid w:val="00DB59D7"/>
    <w:rsid w:val="00DC06E7"/>
    <w:rsid w:val="00DC2D83"/>
    <w:rsid w:val="00DD2051"/>
    <w:rsid w:val="00DD4EAD"/>
    <w:rsid w:val="00DE2EAE"/>
    <w:rsid w:val="00DE3572"/>
    <w:rsid w:val="00DE4E1B"/>
    <w:rsid w:val="00DE6118"/>
    <w:rsid w:val="00DF2423"/>
    <w:rsid w:val="00DF4010"/>
    <w:rsid w:val="00DF4BC1"/>
    <w:rsid w:val="00DF6074"/>
    <w:rsid w:val="00DF796F"/>
    <w:rsid w:val="00E0211E"/>
    <w:rsid w:val="00E03273"/>
    <w:rsid w:val="00E057FE"/>
    <w:rsid w:val="00E06FF8"/>
    <w:rsid w:val="00E11ECC"/>
    <w:rsid w:val="00E243D1"/>
    <w:rsid w:val="00E2590D"/>
    <w:rsid w:val="00E274DD"/>
    <w:rsid w:val="00E334C8"/>
    <w:rsid w:val="00E33D1D"/>
    <w:rsid w:val="00E34D55"/>
    <w:rsid w:val="00E370CC"/>
    <w:rsid w:val="00E43D66"/>
    <w:rsid w:val="00E457D9"/>
    <w:rsid w:val="00E462F9"/>
    <w:rsid w:val="00E51348"/>
    <w:rsid w:val="00E51919"/>
    <w:rsid w:val="00E52F95"/>
    <w:rsid w:val="00E551B7"/>
    <w:rsid w:val="00E558BC"/>
    <w:rsid w:val="00E56268"/>
    <w:rsid w:val="00E5667C"/>
    <w:rsid w:val="00E62B62"/>
    <w:rsid w:val="00E62E2F"/>
    <w:rsid w:val="00E64C31"/>
    <w:rsid w:val="00E669F3"/>
    <w:rsid w:val="00E67E1D"/>
    <w:rsid w:val="00E725F9"/>
    <w:rsid w:val="00E7348D"/>
    <w:rsid w:val="00E7753B"/>
    <w:rsid w:val="00E77B5A"/>
    <w:rsid w:val="00E8285A"/>
    <w:rsid w:val="00E8580E"/>
    <w:rsid w:val="00E92F0E"/>
    <w:rsid w:val="00E92FA7"/>
    <w:rsid w:val="00E949B2"/>
    <w:rsid w:val="00EA0A67"/>
    <w:rsid w:val="00EA18E7"/>
    <w:rsid w:val="00EA321B"/>
    <w:rsid w:val="00EB2356"/>
    <w:rsid w:val="00EB5473"/>
    <w:rsid w:val="00EC13EC"/>
    <w:rsid w:val="00EC2212"/>
    <w:rsid w:val="00EC4D80"/>
    <w:rsid w:val="00EC5305"/>
    <w:rsid w:val="00EC5EF3"/>
    <w:rsid w:val="00ED0581"/>
    <w:rsid w:val="00ED06D4"/>
    <w:rsid w:val="00ED4724"/>
    <w:rsid w:val="00ED67DE"/>
    <w:rsid w:val="00ED6BE9"/>
    <w:rsid w:val="00EE2E6E"/>
    <w:rsid w:val="00EE4A6D"/>
    <w:rsid w:val="00EE5371"/>
    <w:rsid w:val="00EE6BF5"/>
    <w:rsid w:val="00EF00E7"/>
    <w:rsid w:val="00EF183E"/>
    <w:rsid w:val="00EF1D4C"/>
    <w:rsid w:val="00EF1E6F"/>
    <w:rsid w:val="00EF5856"/>
    <w:rsid w:val="00EF5E8A"/>
    <w:rsid w:val="00F00F0E"/>
    <w:rsid w:val="00F01544"/>
    <w:rsid w:val="00F029DA"/>
    <w:rsid w:val="00F12414"/>
    <w:rsid w:val="00F13067"/>
    <w:rsid w:val="00F16E32"/>
    <w:rsid w:val="00F17128"/>
    <w:rsid w:val="00F20386"/>
    <w:rsid w:val="00F21AF9"/>
    <w:rsid w:val="00F21B41"/>
    <w:rsid w:val="00F25316"/>
    <w:rsid w:val="00F2632A"/>
    <w:rsid w:val="00F265DB"/>
    <w:rsid w:val="00F31F8D"/>
    <w:rsid w:val="00F347D3"/>
    <w:rsid w:val="00F3540E"/>
    <w:rsid w:val="00F36825"/>
    <w:rsid w:val="00F36DF7"/>
    <w:rsid w:val="00F37DF1"/>
    <w:rsid w:val="00F40223"/>
    <w:rsid w:val="00F40CC8"/>
    <w:rsid w:val="00F42821"/>
    <w:rsid w:val="00F4683A"/>
    <w:rsid w:val="00F478FB"/>
    <w:rsid w:val="00F47F38"/>
    <w:rsid w:val="00F52746"/>
    <w:rsid w:val="00F558FD"/>
    <w:rsid w:val="00F60E69"/>
    <w:rsid w:val="00F61432"/>
    <w:rsid w:val="00F62A51"/>
    <w:rsid w:val="00F62BBC"/>
    <w:rsid w:val="00F65CB5"/>
    <w:rsid w:val="00F70126"/>
    <w:rsid w:val="00F708BE"/>
    <w:rsid w:val="00F7172F"/>
    <w:rsid w:val="00F71A2E"/>
    <w:rsid w:val="00F72D94"/>
    <w:rsid w:val="00F7649D"/>
    <w:rsid w:val="00F823D5"/>
    <w:rsid w:val="00F840C4"/>
    <w:rsid w:val="00F9572E"/>
    <w:rsid w:val="00F97807"/>
    <w:rsid w:val="00FA06DB"/>
    <w:rsid w:val="00FA0A09"/>
    <w:rsid w:val="00FA3C97"/>
    <w:rsid w:val="00FB3BF2"/>
    <w:rsid w:val="00FB3EB0"/>
    <w:rsid w:val="00FB4324"/>
    <w:rsid w:val="00FB4C28"/>
    <w:rsid w:val="00FB5F49"/>
    <w:rsid w:val="00FC3DE8"/>
    <w:rsid w:val="00FC6C2D"/>
    <w:rsid w:val="00FD097E"/>
    <w:rsid w:val="00FD1B09"/>
    <w:rsid w:val="00FD2850"/>
    <w:rsid w:val="00FD2FE5"/>
    <w:rsid w:val="00FD3AFE"/>
    <w:rsid w:val="00FD582F"/>
    <w:rsid w:val="00FD75C6"/>
    <w:rsid w:val="00FE13D6"/>
    <w:rsid w:val="00FE234F"/>
    <w:rsid w:val="00FE7997"/>
    <w:rsid w:val="00FF428F"/>
    <w:rsid w:val="00FF5A91"/>
    <w:rsid w:val="00FF6264"/>
    <w:rsid w:val="00FF6CCB"/>
    <w:rsid w:val="00FF79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09E4CB"/>
  <w15:docId w15:val="{FBD21E12-F1F3-4C1E-B019-C02AD80D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C20"/>
    <w:pPr>
      <w:spacing w:after="200" w:line="276" w:lineRule="auto"/>
    </w:pPr>
    <w:rPr>
      <w:rFonts w:ascii="Cambria" w:eastAsia="Times New Roman" w:hAnsi="Cambria" w:cs="Times New Roman"/>
      <w:sz w:val="22"/>
      <w:szCs w:val="22"/>
      <w:lang w:val="en-GB" w:eastAsia="en-US" w:bidi="en-US"/>
    </w:rPr>
  </w:style>
  <w:style w:type="paragraph" w:styleId="Heading1">
    <w:name w:val="heading 1"/>
    <w:basedOn w:val="Normal"/>
    <w:next w:val="Normal"/>
    <w:link w:val="Heading1Char"/>
    <w:uiPriority w:val="9"/>
    <w:qFormat/>
    <w:rsid w:val="00810C20"/>
    <w:pPr>
      <w:spacing w:before="480" w:after="0"/>
      <w:contextualSpacing/>
      <w:outlineLvl w:val="0"/>
    </w:pPr>
    <w:rPr>
      <w:smallCaps/>
      <w:spacing w:val="5"/>
      <w:sz w:val="36"/>
      <w:szCs w:val="36"/>
      <w:lang w:val="en-US"/>
    </w:rPr>
  </w:style>
  <w:style w:type="paragraph" w:styleId="Heading2">
    <w:name w:val="heading 2"/>
    <w:basedOn w:val="Normal"/>
    <w:next w:val="Normal"/>
    <w:link w:val="Heading2Char"/>
    <w:uiPriority w:val="9"/>
    <w:qFormat/>
    <w:rsid w:val="00810C20"/>
    <w:pPr>
      <w:keepNext/>
      <w:spacing w:before="320" w:after="120" w:line="271" w:lineRule="auto"/>
      <w:outlineLvl w:val="1"/>
    </w:pPr>
    <w:rPr>
      <w:rFonts w:ascii="Times New Roman" w:hAnsi="Times New Roman"/>
      <w:b/>
      <w:smallCaps/>
      <w:szCs w:val="28"/>
      <w:lang w:val="en-US"/>
    </w:rPr>
  </w:style>
  <w:style w:type="paragraph" w:styleId="Heading3">
    <w:name w:val="heading 3"/>
    <w:basedOn w:val="Normal"/>
    <w:next w:val="Normal"/>
    <w:link w:val="Heading3Char"/>
    <w:uiPriority w:val="9"/>
    <w:qFormat/>
    <w:rsid w:val="004A1238"/>
    <w:pPr>
      <w:keepNext/>
      <w:spacing w:before="320" w:after="120" w:line="271" w:lineRule="auto"/>
      <w:outlineLvl w:val="2"/>
    </w:pPr>
    <w:rPr>
      <w:rFonts w:ascii="Times New Roman" w:hAnsi="Times New Roman"/>
      <w:i/>
      <w:iCs/>
      <w:smallCaps/>
      <w:spacing w:val="5"/>
      <w:szCs w:val="26"/>
    </w:rPr>
  </w:style>
  <w:style w:type="paragraph" w:styleId="Heading4">
    <w:name w:val="heading 4"/>
    <w:basedOn w:val="Normal"/>
    <w:next w:val="Normal"/>
    <w:link w:val="Heading4Char"/>
    <w:autoRedefine/>
    <w:uiPriority w:val="9"/>
    <w:qFormat/>
    <w:rsid w:val="00272283"/>
    <w:pPr>
      <w:keepNext/>
      <w:spacing w:after="100" w:afterAutospacing="1" w:line="240" w:lineRule="auto"/>
      <w:ind w:left="862" w:hanging="862"/>
      <w:outlineLvl w:val="3"/>
    </w:pPr>
    <w:rPr>
      <w:rFonts w:ascii="Times New Roman" w:hAnsi="Times New Roman"/>
      <w:b/>
      <w:bCs/>
      <w:spacing w:val="5"/>
      <w:sz w:val="24"/>
      <w:szCs w:val="24"/>
    </w:rPr>
  </w:style>
  <w:style w:type="paragraph" w:styleId="Heading5">
    <w:name w:val="heading 5"/>
    <w:basedOn w:val="Normal"/>
    <w:next w:val="Normal"/>
    <w:link w:val="Heading5Char"/>
    <w:uiPriority w:val="9"/>
    <w:qFormat/>
    <w:rsid w:val="00810C20"/>
    <w:pPr>
      <w:numPr>
        <w:ilvl w:val="4"/>
        <w:numId w:val="2"/>
      </w:numPr>
      <w:spacing w:after="0" w:line="271" w:lineRule="auto"/>
      <w:outlineLvl w:val="4"/>
    </w:pPr>
    <w:rPr>
      <w:i/>
      <w:iCs/>
      <w:sz w:val="20"/>
      <w:szCs w:val="20"/>
      <w:lang w:val="en-US"/>
    </w:rPr>
  </w:style>
  <w:style w:type="paragraph" w:styleId="Heading6">
    <w:name w:val="heading 6"/>
    <w:basedOn w:val="Normal"/>
    <w:next w:val="Normal"/>
    <w:link w:val="Heading6Char"/>
    <w:uiPriority w:val="9"/>
    <w:qFormat/>
    <w:rsid w:val="00810C20"/>
    <w:pPr>
      <w:numPr>
        <w:ilvl w:val="5"/>
        <w:numId w:val="2"/>
      </w:numPr>
      <w:shd w:val="clear" w:color="auto" w:fill="FFFFFF"/>
      <w:spacing w:after="0" w:line="271" w:lineRule="auto"/>
      <w:outlineLvl w:val="5"/>
    </w:pPr>
    <w:rPr>
      <w:b/>
      <w:bCs/>
      <w:color w:val="595959"/>
      <w:spacing w:val="5"/>
      <w:lang w:val="en-US"/>
    </w:rPr>
  </w:style>
  <w:style w:type="paragraph" w:styleId="Heading7">
    <w:name w:val="heading 7"/>
    <w:basedOn w:val="Normal"/>
    <w:next w:val="Normal"/>
    <w:link w:val="Heading7Char"/>
    <w:uiPriority w:val="9"/>
    <w:qFormat/>
    <w:rsid w:val="00810C20"/>
    <w:pPr>
      <w:numPr>
        <w:ilvl w:val="6"/>
        <w:numId w:val="2"/>
      </w:numPr>
      <w:spacing w:after="0"/>
      <w:outlineLvl w:val="6"/>
    </w:pPr>
    <w:rPr>
      <w:b/>
      <w:bCs/>
      <w:i/>
      <w:iCs/>
      <w:color w:val="5A5A5A"/>
      <w:sz w:val="20"/>
      <w:szCs w:val="20"/>
      <w:lang w:val="en-US"/>
    </w:rPr>
  </w:style>
  <w:style w:type="paragraph" w:styleId="Heading8">
    <w:name w:val="heading 8"/>
    <w:basedOn w:val="Normal"/>
    <w:next w:val="Normal"/>
    <w:link w:val="Heading8Char"/>
    <w:uiPriority w:val="9"/>
    <w:qFormat/>
    <w:rsid w:val="00810C20"/>
    <w:pPr>
      <w:numPr>
        <w:ilvl w:val="7"/>
        <w:numId w:val="2"/>
      </w:numPr>
      <w:spacing w:after="0"/>
      <w:outlineLvl w:val="7"/>
    </w:pPr>
    <w:rPr>
      <w:b/>
      <w:bCs/>
      <w:color w:val="7F7F7F"/>
      <w:sz w:val="20"/>
      <w:szCs w:val="20"/>
      <w:lang w:val="en-US"/>
    </w:rPr>
  </w:style>
  <w:style w:type="paragraph" w:styleId="Heading9">
    <w:name w:val="heading 9"/>
    <w:basedOn w:val="Normal"/>
    <w:next w:val="Normal"/>
    <w:link w:val="Heading9Char"/>
    <w:uiPriority w:val="9"/>
    <w:qFormat/>
    <w:rsid w:val="00810C20"/>
    <w:pPr>
      <w:numPr>
        <w:ilvl w:val="8"/>
        <w:numId w:val="2"/>
      </w:numPr>
      <w:spacing w:after="0" w:line="271" w:lineRule="auto"/>
      <w:outlineLvl w:val="8"/>
    </w:pPr>
    <w:rPr>
      <w:b/>
      <w:bCs/>
      <w:i/>
      <w:iCs/>
      <w:color w:val="7F7F7F"/>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C20"/>
    <w:rPr>
      <w:rFonts w:ascii="Cambria" w:eastAsia="Times New Roman" w:hAnsi="Cambria" w:cs="Times New Roman"/>
      <w:smallCaps/>
      <w:spacing w:val="5"/>
      <w:sz w:val="36"/>
      <w:szCs w:val="36"/>
      <w:lang w:val="en-US" w:eastAsia="en-US" w:bidi="en-US"/>
    </w:rPr>
  </w:style>
  <w:style w:type="character" w:customStyle="1" w:styleId="Heading2Char">
    <w:name w:val="Heading 2 Char"/>
    <w:basedOn w:val="DefaultParagraphFont"/>
    <w:link w:val="Heading2"/>
    <w:uiPriority w:val="9"/>
    <w:rsid w:val="00810C20"/>
    <w:rPr>
      <w:rFonts w:ascii="Times New Roman" w:eastAsia="Times New Roman" w:hAnsi="Times New Roman" w:cs="Times New Roman"/>
      <w:b/>
      <w:smallCaps/>
      <w:sz w:val="22"/>
      <w:szCs w:val="28"/>
      <w:lang w:val="en-US" w:eastAsia="en-US" w:bidi="en-US"/>
    </w:rPr>
  </w:style>
  <w:style w:type="character" w:customStyle="1" w:styleId="Heading3Char">
    <w:name w:val="Heading 3 Char"/>
    <w:basedOn w:val="DefaultParagraphFont"/>
    <w:link w:val="Heading3"/>
    <w:uiPriority w:val="9"/>
    <w:rsid w:val="004A1238"/>
    <w:rPr>
      <w:rFonts w:ascii="Times New Roman" w:eastAsia="Times New Roman" w:hAnsi="Times New Roman" w:cs="Times New Roman"/>
      <w:i/>
      <w:iCs/>
      <w:smallCaps/>
      <w:spacing w:val="5"/>
      <w:sz w:val="22"/>
      <w:szCs w:val="26"/>
      <w:lang w:val="en-GB" w:eastAsia="en-US" w:bidi="en-US"/>
    </w:rPr>
  </w:style>
  <w:style w:type="character" w:customStyle="1" w:styleId="Heading4Char">
    <w:name w:val="Heading 4 Char"/>
    <w:basedOn w:val="DefaultParagraphFont"/>
    <w:link w:val="Heading4"/>
    <w:uiPriority w:val="9"/>
    <w:rsid w:val="00272283"/>
    <w:rPr>
      <w:rFonts w:ascii="Times New Roman" w:eastAsia="Times New Roman" w:hAnsi="Times New Roman" w:cs="Times New Roman"/>
      <w:b/>
      <w:bCs/>
      <w:spacing w:val="5"/>
      <w:lang w:val="en-GB" w:eastAsia="en-US" w:bidi="en-US"/>
    </w:rPr>
  </w:style>
  <w:style w:type="character" w:customStyle="1" w:styleId="Heading5Char">
    <w:name w:val="Heading 5 Char"/>
    <w:basedOn w:val="DefaultParagraphFont"/>
    <w:link w:val="Heading5"/>
    <w:uiPriority w:val="9"/>
    <w:rsid w:val="00810C20"/>
    <w:rPr>
      <w:rFonts w:ascii="Cambria" w:eastAsia="Times New Roman" w:hAnsi="Cambria" w:cs="Times New Roman"/>
      <w:i/>
      <w:iCs/>
      <w:sz w:val="20"/>
      <w:szCs w:val="20"/>
      <w:lang w:val="en-US" w:eastAsia="en-US" w:bidi="en-US"/>
    </w:rPr>
  </w:style>
  <w:style w:type="character" w:customStyle="1" w:styleId="Heading6Char">
    <w:name w:val="Heading 6 Char"/>
    <w:basedOn w:val="DefaultParagraphFont"/>
    <w:link w:val="Heading6"/>
    <w:uiPriority w:val="9"/>
    <w:rsid w:val="00810C20"/>
    <w:rPr>
      <w:rFonts w:ascii="Cambria" w:eastAsia="Times New Roman" w:hAnsi="Cambria" w:cs="Times New Roman"/>
      <w:b/>
      <w:bCs/>
      <w:color w:val="595959"/>
      <w:spacing w:val="5"/>
      <w:sz w:val="22"/>
      <w:szCs w:val="22"/>
      <w:shd w:val="clear" w:color="auto" w:fill="FFFFFF"/>
      <w:lang w:val="en-US" w:eastAsia="en-US" w:bidi="en-US"/>
    </w:rPr>
  </w:style>
  <w:style w:type="character" w:customStyle="1" w:styleId="Heading7Char">
    <w:name w:val="Heading 7 Char"/>
    <w:basedOn w:val="DefaultParagraphFont"/>
    <w:link w:val="Heading7"/>
    <w:uiPriority w:val="9"/>
    <w:rsid w:val="00810C20"/>
    <w:rPr>
      <w:rFonts w:ascii="Cambria" w:eastAsia="Times New Roman" w:hAnsi="Cambria" w:cs="Times New Roman"/>
      <w:b/>
      <w:bCs/>
      <w:i/>
      <w:iCs/>
      <w:color w:val="5A5A5A"/>
      <w:sz w:val="20"/>
      <w:szCs w:val="20"/>
      <w:lang w:val="en-US" w:eastAsia="en-US" w:bidi="en-US"/>
    </w:rPr>
  </w:style>
  <w:style w:type="character" w:customStyle="1" w:styleId="Heading8Char">
    <w:name w:val="Heading 8 Char"/>
    <w:basedOn w:val="DefaultParagraphFont"/>
    <w:link w:val="Heading8"/>
    <w:uiPriority w:val="9"/>
    <w:rsid w:val="00810C20"/>
    <w:rPr>
      <w:rFonts w:ascii="Cambria" w:eastAsia="Times New Roman" w:hAnsi="Cambria" w:cs="Times New Roman"/>
      <w:b/>
      <w:bCs/>
      <w:color w:val="7F7F7F"/>
      <w:sz w:val="20"/>
      <w:szCs w:val="20"/>
      <w:lang w:val="en-US" w:eastAsia="en-US" w:bidi="en-US"/>
    </w:rPr>
  </w:style>
  <w:style w:type="character" w:customStyle="1" w:styleId="Heading9Char">
    <w:name w:val="Heading 9 Char"/>
    <w:basedOn w:val="DefaultParagraphFont"/>
    <w:link w:val="Heading9"/>
    <w:uiPriority w:val="9"/>
    <w:rsid w:val="00810C20"/>
    <w:rPr>
      <w:rFonts w:ascii="Cambria" w:eastAsia="Times New Roman" w:hAnsi="Cambria" w:cs="Times New Roman"/>
      <w:b/>
      <w:bCs/>
      <w:i/>
      <w:iCs/>
      <w:color w:val="7F7F7F"/>
      <w:sz w:val="18"/>
      <w:szCs w:val="18"/>
      <w:lang w:val="en-US" w:eastAsia="en-US" w:bidi="en-US"/>
    </w:rPr>
  </w:style>
  <w:style w:type="paragraph" w:customStyle="1" w:styleId="Frgadlista-dekorfrg11">
    <w:name w:val="Färgad lista - dekorfärg 11"/>
    <w:basedOn w:val="Normal"/>
    <w:uiPriority w:val="34"/>
    <w:rsid w:val="00810C20"/>
    <w:pPr>
      <w:ind w:left="720"/>
    </w:pPr>
  </w:style>
  <w:style w:type="paragraph" w:customStyle="1" w:styleId="Para1">
    <w:name w:val="Para1"/>
    <w:basedOn w:val="Normal"/>
    <w:link w:val="Para1Char"/>
    <w:rsid w:val="00810C20"/>
    <w:pPr>
      <w:tabs>
        <w:tab w:val="left" w:pos="720"/>
      </w:tabs>
      <w:spacing w:after="120"/>
      <w:ind w:left="720" w:hanging="720"/>
      <w:jc w:val="both"/>
    </w:pPr>
    <w:rPr>
      <w:sz w:val="20"/>
      <w:szCs w:val="18"/>
      <w:lang w:eastAsia="sv-SE" w:bidi="ar-SA"/>
    </w:rPr>
  </w:style>
  <w:style w:type="character" w:customStyle="1" w:styleId="Para1Char">
    <w:name w:val="Para1 Char"/>
    <w:link w:val="Para1"/>
    <w:rsid w:val="00810C20"/>
    <w:rPr>
      <w:rFonts w:ascii="Cambria" w:eastAsia="Times New Roman" w:hAnsi="Cambria" w:cs="Times New Roman"/>
      <w:sz w:val="20"/>
      <w:szCs w:val="18"/>
      <w:lang w:val="en-GB"/>
    </w:rPr>
  </w:style>
  <w:style w:type="paragraph" w:styleId="NormalWeb">
    <w:name w:val="Normal (Web)"/>
    <w:basedOn w:val="Normal"/>
    <w:uiPriority w:val="99"/>
    <w:rsid w:val="00810C20"/>
    <w:pPr>
      <w:spacing w:before="100" w:beforeAutospacing="1" w:after="100" w:afterAutospacing="1"/>
    </w:pPr>
    <w:rPr>
      <w:rFonts w:ascii="Times New Roman" w:hAnsi="Times New Roman"/>
      <w:sz w:val="24"/>
      <w:szCs w:val="24"/>
    </w:rPr>
  </w:style>
  <w:style w:type="paragraph" w:customStyle="1" w:styleId="RKnormal">
    <w:name w:val="RKnormal"/>
    <w:basedOn w:val="Normal"/>
    <w:link w:val="RKnormalChar"/>
    <w:rsid w:val="00810C20"/>
    <w:pPr>
      <w:tabs>
        <w:tab w:val="left" w:pos="2835"/>
      </w:tabs>
      <w:overflowPunct w:val="0"/>
      <w:autoSpaceDE w:val="0"/>
      <w:autoSpaceDN w:val="0"/>
      <w:adjustRightInd w:val="0"/>
      <w:spacing w:line="240" w:lineRule="atLeast"/>
      <w:textAlignment w:val="baseline"/>
    </w:pPr>
    <w:rPr>
      <w:rFonts w:ascii="OrigGarmnd BT" w:hAnsi="OrigGarmnd BT"/>
      <w:sz w:val="24"/>
      <w:szCs w:val="20"/>
      <w:lang w:val="x-none" w:eastAsia="x-none" w:bidi="ar-SA"/>
    </w:rPr>
  </w:style>
  <w:style w:type="character" w:customStyle="1" w:styleId="RKnormalChar">
    <w:name w:val="RKnormal Char"/>
    <w:link w:val="RKnormal"/>
    <w:rsid w:val="00810C20"/>
    <w:rPr>
      <w:rFonts w:ascii="OrigGarmnd BT" w:eastAsia="Times New Roman" w:hAnsi="OrigGarmnd BT" w:cs="Times New Roman"/>
      <w:szCs w:val="20"/>
      <w:lang w:val="x-none" w:eastAsia="x-none"/>
    </w:rPr>
  </w:style>
  <w:style w:type="paragraph" w:customStyle="1" w:styleId="HEADINGNOTFORTOC">
    <w:name w:val="HEADING (NOT FOR TOC)"/>
    <w:basedOn w:val="Heading1"/>
    <w:next w:val="Heading2"/>
    <w:rsid w:val="00810C20"/>
    <w:pPr>
      <w:tabs>
        <w:tab w:val="left" w:pos="720"/>
      </w:tabs>
      <w:spacing w:before="240" w:after="120"/>
      <w:jc w:val="center"/>
    </w:pPr>
    <w:rPr>
      <w:rFonts w:ascii="Times New Roman" w:hAnsi="Times New Roman"/>
      <w:bCs/>
      <w:caps/>
      <w:sz w:val="22"/>
      <w:szCs w:val="20"/>
    </w:rPr>
  </w:style>
  <w:style w:type="paragraph" w:customStyle="1" w:styleId="Default">
    <w:name w:val="Default"/>
    <w:rsid w:val="00810C20"/>
    <w:pPr>
      <w:autoSpaceDE w:val="0"/>
      <w:autoSpaceDN w:val="0"/>
      <w:adjustRightInd w:val="0"/>
      <w:spacing w:after="200" w:line="276" w:lineRule="auto"/>
    </w:pPr>
    <w:rPr>
      <w:rFonts w:ascii="Cambria" w:eastAsia="Times New Roman" w:hAnsi="Cambria" w:cs="Times New Roman"/>
      <w:color w:val="000000"/>
      <w:lang w:val="hu-HU" w:eastAsia="hu-HU"/>
    </w:rPr>
  </w:style>
  <w:style w:type="character" w:styleId="CommentReference">
    <w:name w:val="annotation reference"/>
    <w:uiPriority w:val="99"/>
    <w:unhideWhenUsed/>
    <w:rsid w:val="00810C20"/>
    <w:rPr>
      <w:sz w:val="16"/>
      <w:szCs w:val="16"/>
    </w:rPr>
  </w:style>
  <w:style w:type="paragraph" w:styleId="CommentText">
    <w:name w:val="annotation text"/>
    <w:basedOn w:val="Normal"/>
    <w:link w:val="CommentTextChar"/>
    <w:uiPriority w:val="99"/>
    <w:unhideWhenUsed/>
    <w:rsid w:val="00810C20"/>
    <w:rPr>
      <w:rFonts w:ascii="Calibri" w:hAnsi="Calibri"/>
      <w:sz w:val="20"/>
      <w:szCs w:val="20"/>
      <w:lang w:val="x-none" w:eastAsia="sv-SE" w:bidi="ar-SA"/>
    </w:rPr>
  </w:style>
  <w:style w:type="character" w:customStyle="1" w:styleId="CommentTextChar">
    <w:name w:val="Comment Text Char"/>
    <w:basedOn w:val="DefaultParagraphFont"/>
    <w:link w:val="CommentText"/>
    <w:uiPriority w:val="99"/>
    <w:rsid w:val="00810C20"/>
    <w:rPr>
      <w:rFonts w:ascii="Calibri" w:eastAsia="Times New Roman"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810C20"/>
    <w:rPr>
      <w:b/>
      <w:bCs/>
    </w:rPr>
  </w:style>
  <w:style w:type="character" w:customStyle="1" w:styleId="CommentSubjectChar">
    <w:name w:val="Comment Subject Char"/>
    <w:basedOn w:val="CommentTextChar"/>
    <w:link w:val="CommentSubject"/>
    <w:uiPriority w:val="99"/>
    <w:semiHidden/>
    <w:rsid w:val="00810C20"/>
    <w:rPr>
      <w:rFonts w:ascii="Calibri" w:eastAsia="Times New Roman" w:hAnsi="Calibri" w:cs="Times New Roman"/>
      <w:b/>
      <w:bCs/>
      <w:sz w:val="20"/>
      <w:szCs w:val="20"/>
      <w:lang w:val="x-none"/>
    </w:rPr>
  </w:style>
  <w:style w:type="paragraph" w:styleId="BalloonText">
    <w:name w:val="Balloon Text"/>
    <w:basedOn w:val="Normal"/>
    <w:link w:val="BalloonTextChar"/>
    <w:uiPriority w:val="99"/>
    <w:semiHidden/>
    <w:unhideWhenUsed/>
    <w:rsid w:val="00810C20"/>
    <w:rPr>
      <w:rFonts w:ascii="Tahoma" w:hAnsi="Tahoma"/>
      <w:sz w:val="16"/>
      <w:szCs w:val="16"/>
      <w:lang w:val="x-none" w:eastAsia="sv-SE" w:bidi="ar-SA"/>
    </w:rPr>
  </w:style>
  <w:style w:type="character" w:customStyle="1" w:styleId="BalloonTextChar">
    <w:name w:val="Balloon Text Char"/>
    <w:basedOn w:val="DefaultParagraphFont"/>
    <w:link w:val="BalloonText"/>
    <w:uiPriority w:val="99"/>
    <w:semiHidden/>
    <w:rsid w:val="00810C20"/>
    <w:rPr>
      <w:rFonts w:ascii="Tahoma" w:eastAsia="Times New Roman" w:hAnsi="Tahoma" w:cs="Times New Roman"/>
      <w:sz w:val="16"/>
      <w:szCs w:val="16"/>
      <w:lang w:val="x-none"/>
    </w:rPr>
  </w:style>
  <w:style w:type="paragraph" w:styleId="FootnoteText">
    <w:name w:val="footnote text"/>
    <w:aliases w:val="fn,Geneva 9,Font: Geneva 9,Boston 10,f,ft,ft Char,single space,footnote text,FOOTNOTES,ADB,single space1,footnote text1,FOOTNOTES1,fn1,ADB1,single space2,footnote text2,FOOTNOTES2,fn2,ADB2,single space3,footnote text3,fn3,TEXTO NOTA P,E"/>
    <w:basedOn w:val="Normal"/>
    <w:link w:val="FootnoteTextChar"/>
    <w:uiPriority w:val="99"/>
    <w:unhideWhenUsed/>
    <w:qFormat/>
    <w:rsid w:val="00810C20"/>
    <w:pPr>
      <w:spacing w:after="60" w:line="240" w:lineRule="auto"/>
    </w:pPr>
    <w:rPr>
      <w:rFonts w:ascii="Times New Roman" w:hAnsi="Times New Roman"/>
      <w:sz w:val="16"/>
      <w:szCs w:val="16"/>
      <w:lang w:val="x-none" w:eastAsia="sv-SE" w:bidi="ar-SA"/>
    </w:rPr>
  </w:style>
  <w:style w:type="character" w:customStyle="1" w:styleId="FotnotstextChar">
    <w:name w:val="Fotnotstext Char"/>
    <w:aliases w:val="FOOTNOTES2 Char,TEXTO NOTA P Char,E Car Car Char,E Car Car Car Car Car Char,E Car Car Car Car Car Car Car Car Char,E Car Car Car Car Car Car Car Car Car Car Car Car Char,E Car Car Car Car Car Car Car Car Car Car Char,E Char,Car Char"/>
    <w:basedOn w:val="DefaultParagraphFont"/>
    <w:uiPriority w:val="99"/>
    <w:rsid w:val="00810C20"/>
    <w:rPr>
      <w:rFonts w:ascii="Cambria" w:eastAsia="Times New Roman" w:hAnsi="Cambria" w:cs="Times New Roman"/>
      <w:lang w:val="en-GB" w:eastAsia="en-US" w:bidi="en-US"/>
    </w:rPr>
  </w:style>
  <w:style w:type="character" w:customStyle="1" w:styleId="FootnoteTextChar">
    <w:name w:val="Footnote Text Char"/>
    <w:aliases w:val="fn Char,Geneva 9 Char,Font: Geneva 9 Char,Boston 10 Char,f Char,ft Char1,ft Char Char,single space Char,footnote text Char,FOOTNOTES Char,ADB Char,single space1 Char,footnote text1 Char,FOOTNOTES1 Char,fn1 Char,ADB1 Char,fn2 Char"/>
    <w:link w:val="FootnoteText"/>
    <w:uiPriority w:val="99"/>
    <w:rsid w:val="00810C20"/>
    <w:rPr>
      <w:rFonts w:ascii="Times New Roman" w:eastAsia="Times New Roman" w:hAnsi="Times New Roman" w:cs="Times New Roman"/>
      <w:sz w:val="16"/>
      <w:szCs w:val="16"/>
      <w:lang w:val="x-none"/>
    </w:rPr>
  </w:style>
  <w:style w:type="character" w:styleId="FootnoteReference">
    <w:name w:val="footnote reference"/>
    <w:aliases w:val="16 Point,Superscript 6 Point,number,Footnote Reference Superscript,-E Fußnotenzeichen,(Diplomarbeit FZ),(Diplomarbeit FZ)1,(Diplomarbeit FZ)2,(Diplomarbeit FZ)3,(Diplomarbeit FZ)4,(Diplomarbeit FZ)5,(Diplomarbeit FZ)6,(Diplomarbeit F"/>
    <w:uiPriority w:val="99"/>
    <w:unhideWhenUsed/>
    <w:qFormat/>
    <w:rsid w:val="00810C20"/>
    <w:rPr>
      <w:vertAlign w:val="superscript"/>
    </w:rPr>
  </w:style>
  <w:style w:type="paragraph" w:styleId="EndnoteText">
    <w:name w:val="endnote text"/>
    <w:basedOn w:val="Normal"/>
    <w:link w:val="EndnoteTextChar"/>
    <w:uiPriority w:val="99"/>
    <w:unhideWhenUsed/>
    <w:rsid w:val="00810C20"/>
    <w:rPr>
      <w:sz w:val="20"/>
      <w:szCs w:val="20"/>
      <w:lang w:val="es-ES" w:eastAsia="es-ES" w:bidi="ar-SA"/>
    </w:rPr>
  </w:style>
  <w:style w:type="character" w:customStyle="1" w:styleId="EndnoteTextChar">
    <w:name w:val="Endnote Text Char"/>
    <w:basedOn w:val="DefaultParagraphFont"/>
    <w:link w:val="EndnoteText"/>
    <w:uiPriority w:val="99"/>
    <w:rsid w:val="00810C20"/>
    <w:rPr>
      <w:rFonts w:ascii="Cambria" w:eastAsia="Times New Roman" w:hAnsi="Cambria" w:cs="Times New Roman"/>
      <w:sz w:val="20"/>
      <w:szCs w:val="20"/>
      <w:lang w:val="es-ES" w:eastAsia="es-ES"/>
    </w:rPr>
  </w:style>
  <w:style w:type="character" w:styleId="EndnoteReference">
    <w:name w:val="endnote reference"/>
    <w:uiPriority w:val="99"/>
    <w:semiHidden/>
    <w:unhideWhenUsed/>
    <w:rsid w:val="00810C20"/>
    <w:rPr>
      <w:vertAlign w:val="superscript"/>
    </w:rPr>
  </w:style>
  <w:style w:type="character" w:styleId="Hyperlink">
    <w:name w:val="Hyperlink"/>
    <w:uiPriority w:val="99"/>
    <w:rsid w:val="00810C20"/>
    <w:rPr>
      <w:color w:val="0000FF"/>
      <w:u w:val="single"/>
    </w:rPr>
  </w:style>
  <w:style w:type="character" w:customStyle="1" w:styleId="hps">
    <w:name w:val="hps"/>
    <w:basedOn w:val="DefaultParagraphFont"/>
    <w:rsid w:val="00810C20"/>
  </w:style>
  <w:style w:type="table" w:styleId="TableGrid">
    <w:name w:val="Table Grid"/>
    <w:basedOn w:val="TableNormal"/>
    <w:uiPriority w:val="39"/>
    <w:rsid w:val="00810C20"/>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810C20"/>
    <w:rPr>
      <w:rFonts w:ascii="Consolas" w:hAnsi="Consolas"/>
      <w:sz w:val="20"/>
      <w:szCs w:val="20"/>
      <w:lang w:val="x-none" w:eastAsia="sv-SE" w:bidi="ar-SA"/>
    </w:rPr>
  </w:style>
  <w:style w:type="character" w:customStyle="1" w:styleId="HTMLPreformattedChar">
    <w:name w:val="HTML Preformatted Char"/>
    <w:basedOn w:val="DefaultParagraphFont"/>
    <w:link w:val="HTMLPreformatted"/>
    <w:uiPriority w:val="99"/>
    <w:rsid w:val="00810C20"/>
    <w:rPr>
      <w:rFonts w:ascii="Consolas" w:eastAsia="Times New Roman" w:hAnsi="Consolas" w:cs="Times New Roman"/>
      <w:sz w:val="20"/>
      <w:szCs w:val="20"/>
      <w:lang w:val="x-none"/>
    </w:rPr>
  </w:style>
  <w:style w:type="character" w:styleId="Emphasis">
    <w:name w:val="Emphasis"/>
    <w:uiPriority w:val="20"/>
    <w:qFormat/>
    <w:rsid w:val="00810C20"/>
    <w:rPr>
      <w:b/>
      <w:bCs/>
      <w:i/>
      <w:iCs/>
      <w:spacing w:val="10"/>
    </w:rPr>
  </w:style>
  <w:style w:type="paragraph" w:customStyle="1" w:styleId="Cornernotation">
    <w:name w:val="Corner notation"/>
    <w:basedOn w:val="Normal"/>
    <w:rsid w:val="00810C20"/>
    <w:pPr>
      <w:ind w:left="284" w:right="4398" w:hanging="284"/>
    </w:pPr>
    <w:rPr>
      <w:rFonts w:ascii="Times New Roman" w:hAnsi="Times New Roman" w:cs="Angsana New"/>
      <w:szCs w:val="24"/>
    </w:rPr>
  </w:style>
  <w:style w:type="paragraph" w:styleId="DocumentMap">
    <w:name w:val="Document Map"/>
    <w:basedOn w:val="Normal"/>
    <w:link w:val="DocumentMapChar"/>
    <w:uiPriority w:val="99"/>
    <w:semiHidden/>
    <w:unhideWhenUsed/>
    <w:rsid w:val="00810C20"/>
    <w:rPr>
      <w:rFonts w:ascii="Tahoma" w:hAnsi="Tahoma"/>
      <w:sz w:val="16"/>
      <w:szCs w:val="16"/>
      <w:lang w:val="x-none" w:eastAsia="sv-SE" w:bidi="ar-SA"/>
    </w:rPr>
  </w:style>
  <w:style w:type="character" w:customStyle="1" w:styleId="DocumentMapChar">
    <w:name w:val="Document Map Char"/>
    <w:basedOn w:val="DefaultParagraphFont"/>
    <w:link w:val="DocumentMap"/>
    <w:uiPriority w:val="99"/>
    <w:semiHidden/>
    <w:rsid w:val="00810C20"/>
    <w:rPr>
      <w:rFonts w:ascii="Tahoma" w:eastAsia="Times New Roman" w:hAnsi="Tahoma" w:cs="Times New Roman"/>
      <w:sz w:val="16"/>
      <w:szCs w:val="16"/>
      <w:lang w:val="x-none"/>
    </w:rPr>
  </w:style>
  <w:style w:type="paragraph" w:styleId="Header">
    <w:name w:val="header"/>
    <w:basedOn w:val="Normal"/>
    <w:link w:val="HeaderChar"/>
    <w:uiPriority w:val="99"/>
    <w:unhideWhenUsed/>
    <w:rsid w:val="00810C20"/>
    <w:pPr>
      <w:tabs>
        <w:tab w:val="center" w:pos="4680"/>
        <w:tab w:val="right" w:pos="9360"/>
      </w:tabs>
    </w:pPr>
    <w:rPr>
      <w:rFonts w:ascii="Calibri" w:hAnsi="Calibri"/>
      <w:sz w:val="20"/>
      <w:szCs w:val="20"/>
      <w:lang w:eastAsia="sv-SE" w:bidi="ar-SA"/>
    </w:rPr>
  </w:style>
  <w:style w:type="character" w:customStyle="1" w:styleId="HeaderChar">
    <w:name w:val="Header Char"/>
    <w:basedOn w:val="DefaultParagraphFont"/>
    <w:link w:val="Header"/>
    <w:uiPriority w:val="99"/>
    <w:rsid w:val="00810C20"/>
    <w:rPr>
      <w:rFonts w:ascii="Calibri" w:eastAsia="Times New Roman" w:hAnsi="Calibri" w:cs="Times New Roman"/>
      <w:sz w:val="20"/>
      <w:szCs w:val="20"/>
      <w:lang w:val="en-GB"/>
    </w:rPr>
  </w:style>
  <w:style w:type="paragraph" w:styleId="Footer">
    <w:name w:val="footer"/>
    <w:basedOn w:val="Normal"/>
    <w:link w:val="FooterChar"/>
    <w:uiPriority w:val="99"/>
    <w:unhideWhenUsed/>
    <w:rsid w:val="00810C20"/>
    <w:pPr>
      <w:tabs>
        <w:tab w:val="center" w:pos="4680"/>
        <w:tab w:val="right" w:pos="9360"/>
      </w:tabs>
    </w:pPr>
    <w:rPr>
      <w:rFonts w:ascii="Calibri" w:hAnsi="Calibri"/>
      <w:sz w:val="20"/>
      <w:szCs w:val="20"/>
      <w:lang w:eastAsia="sv-SE" w:bidi="ar-SA"/>
    </w:rPr>
  </w:style>
  <w:style w:type="character" w:customStyle="1" w:styleId="FooterChar">
    <w:name w:val="Footer Char"/>
    <w:basedOn w:val="DefaultParagraphFont"/>
    <w:link w:val="Footer"/>
    <w:uiPriority w:val="99"/>
    <w:rsid w:val="00810C20"/>
    <w:rPr>
      <w:rFonts w:ascii="Calibri" w:eastAsia="Times New Roman" w:hAnsi="Calibri" w:cs="Times New Roman"/>
      <w:sz w:val="20"/>
      <w:szCs w:val="20"/>
      <w:lang w:val="en-GB"/>
    </w:rPr>
  </w:style>
  <w:style w:type="paragraph" w:customStyle="1" w:styleId="para2">
    <w:name w:val="para2"/>
    <w:basedOn w:val="Normal"/>
    <w:rsid w:val="00810C20"/>
    <w:pPr>
      <w:numPr>
        <w:numId w:val="1"/>
      </w:numPr>
      <w:suppressAutoHyphens/>
      <w:spacing w:before="120" w:after="120"/>
      <w:jc w:val="both"/>
    </w:pPr>
    <w:rPr>
      <w:rFonts w:ascii="Times New Roman" w:hAnsi="Times New Roman" w:cs="Angsana New"/>
      <w:szCs w:val="20"/>
      <w:lang w:eastAsia="ar-SA"/>
    </w:rPr>
  </w:style>
  <w:style w:type="character" w:customStyle="1" w:styleId="A7">
    <w:name w:val="A7"/>
    <w:uiPriority w:val="99"/>
    <w:rsid w:val="00810C20"/>
    <w:rPr>
      <w:rFonts w:cs="Whitney Semibold"/>
      <w:color w:val="000000"/>
      <w:sz w:val="14"/>
      <w:szCs w:val="14"/>
    </w:rPr>
  </w:style>
  <w:style w:type="character" w:customStyle="1" w:styleId="A11">
    <w:name w:val="A11"/>
    <w:uiPriority w:val="99"/>
    <w:rsid w:val="00810C20"/>
    <w:rPr>
      <w:rFonts w:cs="Whitney Semibold"/>
      <w:color w:val="000000"/>
      <w:sz w:val="16"/>
      <w:szCs w:val="16"/>
    </w:rPr>
  </w:style>
  <w:style w:type="character" w:customStyle="1" w:styleId="StyleBodyTextTimesNewRoman11ptCharCharChar">
    <w:name w:val="Style Body Text + Times New Roman 11 pt Char Char Char"/>
    <w:rsid w:val="00810C20"/>
    <w:rPr>
      <w:rFonts w:cs="Angsana New"/>
      <w:iCs/>
      <w:color w:val="000000"/>
      <w:sz w:val="22"/>
      <w:szCs w:val="22"/>
      <w:lang w:val="en-US" w:eastAsia="ar-SA" w:bidi="ar-SA"/>
    </w:rPr>
  </w:style>
  <w:style w:type="character" w:customStyle="1" w:styleId="FootnoteCharacters">
    <w:name w:val="Footnote Characters"/>
    <w:rsid w:val="00810C20"/>
    <w:rPr>
      <w:position w:val="0"/>
      <w:sz w:val="18"/>
      <w:u w:val="single"/>
      <w:vertAlign w:val="baseline"/>
    </w:rPr>
  </w:style>
  <w:style w:type="paragraph" w:customStyle="1" w:styleId="Frgadskuggning-dekorfrg11">
    <w:name w:val="Färgad skuggning - dekorfärg 11"/>
    <w:hidden/>
    <w:uiPriority w:val="99"/>
    <w:semiHidden/>
    <w:rsid w:val="00810C20"/>
    <w:pPr>
      <w:spacing w:after="200" w:line="276" w:lineRule="auto"/>
    </w:pPr>
    <w:rPr>
      <w:rFonts w:ascii="Calibri" w:eastAsia="Times New Roman" w:hAnsi="Calibri" w:cs="Calibri"/>
      <w:sz w:val="22"/>
      <w:szCs w:val="22"/>
      <w:lang w:val="en-GB"/>
    </w:rPr>
  </w:style>
  <w:style w:type="character" w:customStyle="1" w:styleId="slug-pub-date3">
    <w:name w:val="slug-pub-date3"/>
    <w:rsid w:val="00810C20"/>
    <w:rPr>
      <w:b/>
      <w:bCs/>
    </w:rPr>
  </w:style>
  <w:style w:type="character" w:customStyle="1" w:styleId="slug-vol">
    <w:name w:val="slug-vol"/>
    <w:basedOn w:val="DefaultParagraphFont"/>
    <w:rsid w:val="00810C20"/>
  </w:style>
  <w:style w:type="character" w:customStyle="1" w:styleId="slug-issue">
    <w:name w:val="slug-issue"/>
    <w:basedOn w:val="DefaultParagraphFont"/>
    <w:rsid w:val="00810C20"/>
  </w:style>
  <w:style w:type="character" w:customStyle="1" w:styleId="name">
    <w:name w:val="name"/>
    <w:basedOn w:val="DefaultParagraphFont"/>
    <w:rsid w:val="00810C20"/>
  </w:style>
  <w:style w:type="character" w:styleId="FollowedHyperlink">
    <w:name w:val="FollowedHyperlink"/>
    <w:uiPriority w:val="99"/>
    <w:semiHidden/>
    <w:unhideWhenUsed/>
    <w:rsid w:val="00810C20"/>
    <w:rPr>
      <w:color w:val="800080"/>
      <w:u w:val="single"/>
    </w:rPr>
  </w:style>
  <w:style w:type="paragraph" w:customStyle="1" w:styleId="Sombreadovistoso-nfasis11">
    <w:name w:val="Sombreado vistoso - Énfasis 11"/>
    <w:hidden/>
    <w:uiPriority w:val="71"/>
    <w:rsid w:val="00810C20"/>
    <w:pPr>
      <w:spacing w:after="200" w:line="276" w:lineRule="auto"/>
    </w:pPr>
    <w:rPr>
      <w:rFonts w:ascii="Calibri" w:eastAsia="Times New Roman" w:hAnsi="Calibri" w:cs="Calibri"/>
      <w:sz w:val="22"/>
      <w:szCs w:val="22"/>
      <w:lang w:val="en-GB"/>
    </w:rPr>
  </w:style>
  <w:style w:type="character" w:customStyle="1" w:styleId="apple-converted-space">
    <w:name w:val="apple-converted-space"/>
    <w:basedOn w:val="DefaultParagraphFont"/>
    <w:rsid w:val="00810C20"/>
  </w:style>
  <w:style w:type="paragraph" w:styleId="Caption">
    <w:name w:val="caption"/>
    <w:basedOn w:val="Normal"/>
    <w:next w:val="Normal"/>
    <w:uiPriority w:val="35"/>
    <w:qFormat/>
    <w:rsid w:val="00950401"/>
    <w:pPr>
      <w:keepNext/>
      <w:spacing w:line="240" w:lineRule="auto"/>
      <w:jc w:val="both"/>
    </w:pPr>
    <w:rPr>
      <w:rFonts w:ascii="Times New Roman" w:hAnsi="Times New Roman"/>
      <w:b/>
      <w:iCs/>
    </w:rPr>
  </w:style>
  <w:style w:type="paragraph" w:styleId="Title">
    <w:name w:val="Title"/>
    <w:basedOn w:val="Normal"/>
    <w:next w:val="Normal"/>
    <w:link w:val="TitleChar"/>
    <w:uiPriority w:val="10"/>
    <w:qFormat/>
    <w:rsid w:val="00810C20"/>
    <w:pPr>
      <w:spacing w:after="300" w:line="240" w:lineRule="auto"/>
      <w:contextualSpacing/>
    </w:pPr>
    <w:rPr>
      <w:smallCaps/>
      <w:sz w:val="52"/>
      <w:szCs w:val="52"/>
      <w:lang w:val="x-none" w:eastAsia="x-none" w:bidi="ar-SA"/>
    </w:rPr>
  </w:style>
  <w:style w:type="character" w:customStyle="1" w:styleId="TitleChar">
    <w:name w:val="Title Char"/>
    <w:basedOn w:val="DefaultParagraphFont"/>
    <w:link w:val="Title"/>
    <w:uiPriority w:val="10"/>
    <w:rsid w:val="00810C20"/>
    <w:rPr>
      <w:rFonts w:ascii="Cambria" w:eastAsia="Times New Roman" w:hAnsi="Cambria" w:cs="Times New Roman"/>
      <w:smallCaps/>
      <w:sz w:val="52"/>
      <w:szCs w:val="52"/>
      <w:lang w:val="x-none" w:eastAsia="x-none"/>
    </w:rPr>
  </w:style>
  <w:style w:type="paragraph" w:styleId="Subtitle">
    <w:name w:val="Subtitle"/>
    <w:basedOn w:val="Normal"/>
    <w:next w:val="Normal"/>
    <w:link w:val="SubtitleChar"/>
    <w:uiPriority w:val="11"/>
    <w:qFormat/>
    <w:rsid w:val="00810C20"/>
    <w:rPr>
      <w:i/>
      <w:iCs/>
      <w:smallCaps/>
      <w:spacing w:val="10"/>
      <w:sz w:val="28"/>
      <w:szCs w:val="28"/>
      <w:lang w:val="x-none" w:eastAsia="x-none" w:bidi="ar-SA"/>
    </w:rPr>
  </w:style>
  <w:style w:type="character" w:customStyle="1" w:styleId="SubtitleChar">
    <w:name w:val="Subtitle Char"/>
    <w:basedOn w:val="DefaultParagraphFont"/>
    <w:link w:val="Subtitle"/>
    <w:uiPriority w:val="11"/>
    <w:rsid w:val="00810C20"/>
    <w:rPr>
      <w:rFonts w:ascii="Cambria" w:eastAsia="Times New Roman" w:hAnsi="Cambria" w:cs="Times New Roman"/>
      <w:i/>
      <w:iCs/>
      <w:smallCaps/>
      <w:spacing w:val="10"/>
      <w:sz w:val="28"/>
      <w:szCs w:val="28"/>
      <w:lang w:val="x-none" w:eastAsia="x-none"/>
    </w:rPr>
  </w:style>
  <w:style w:type="character" w:styleId="Strong">
    <w:name w:val="Strong"/>
    <w:uiPriority w:val="22"/>
    <w:qFormat/>
    <w:rsid w:val="00810C20"/>
    <w:rPr>
      <w:b/>
      <w:bCs/>
    </w:rPr>
  </w:style>
  <w:style w:type="paragraph" w:customStyle="1" w:styleId="Ingetavstnd1">
    <w:name w:val="Inget avstånd1"/>
    <w:basedOn w:val="Normal"/>
    <w:link w:val="IngetavstndChar"/>
    <w:uiPriority w:val="1"/>
    <w:rsid w:val="00810C20"/>
    <w:pPr>
      <w:spacing w:after="0" w:line="240" w:lineRule="auto"/>
    </w:pPr>
  </w:style>
  <w:style w:type="character" w:customStyle="1" w:styleId="IngetavstndChar">
    <w:name w:val="Inget avstånd Char"/>
    <w:basedOn w:val="DefaultParagraphFont"/>
    <w:link w:val="Ingetavstnd1"/>
    <w:uiPriority w:val="1"/>
    <w:rsid w:val="00810C20"/>
    <w:rPr>
      <w:rFonts w:ascii="Cambria" w:eastAsia="Times New Roman" w:hAnsi="Cambria" w:cs="Times New Roman"/>
      <w:sz w:val="22"/>
      <w:szCs w:val="22"/>
      <w:lang w:val="en-GB" w:eastAsia="en-US" w:bidi="en-US"/>
    </w:rPr>
  </w:style>
  <w:style w:type="paragraph" w:customStyle="1" w:styleId="Listavistosa-nfasis11">
    <w:name w:val="Lista vistosa - Énfasis 11"/>
    <w:basedOn w:val="Normal"/>
    <w:uiPriority w:val="34"/>
    <w:rsid w:val="00810C20"/>
    <w:pPr>
      <w:ind w:left="720"/>
      <w:contextualSpacing/>
    </w:pPr>
  </w:style>
  <w:style w:type="paragraph" w:customStyle="1" w:styleId="Cuadrculavistosa-nfasis11">
    <w:name w:val="Cuadrícula vistosa - Énfasis 11"/>
    <w:basedOn w:val="Normal"/>
    <w:next w:val="Normal"/>
    <w:link w:val="Cuadrculavistosa-nfasis1Car"/>
    <w:uiPriority w:val="29"/>
    <w:rsid w:val="00810C20"/>
    <w:rPr>
      <w:i/>
      <w:iCs/>
      <w:sz w:val="20"/>
      <w:szCs w:val="20"/>
      <w:lang w:val="x-none" w:eastAsia="x-none" w:bidi="ar-SA"/>
    </w:rPr>
  </w:style>
  <w:style w:type="character" w:customStyle="1" w:styleId="Cuadrculavistosa-nfasis1Car">
    <w:name w:val="Cuadrícula vistosa - Énfasis 1 Car"/>
    <w:link w:val="Cuadrculavistosa-nfasis11"/>
    <w:uiPriority w:val="29"/>
    <w:rsid w:val="00810C20"/>
    <w:rPr>
      <w:rFonts w:ascii="Cambria" w:eastAsia="Times New Roman" w:hAnsi="Cambria" w:cs="Times New Roman"/>
      <w:i/>
      <w:iCs/>
      <w:sz w:val="20"/>
      <w:szCs w:val="20"/>
      <w:lang w:val="x-none" w:eastAsia="x-none"/>
    </w:rPr>
  </w:style>
  <w:style w:type="paragraph" w:customStyle="1" w:styleId="Sombreadoclaro-nfasis21">
    <w:name w:val="Sombreado claro - Énfasis 21"/>
    <w:basedOn w:val="Normal"/>
    <w:next w:val="Normal"/>
    <w:link w:val="Sombreadoclaro-nfasis2Car"/>
    <w:uiPriority w:val="30"/>
    <w:rsid w:val="00810C20"/>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Sombreadoclaro-nfasis2Car">
    <w:name w:val="Sombreado claro - Énfasis 2 Car"/>
    <w:link w:val="Sombreadoclaro-nfasis21"/>
    <w:uiPriority w:val="30"/>
    <w:rsid w:val="00810C20"/>
    <w:rPr>
      <w:rFonts w:ascii="Cambria" w:eastAsia="Times New Roman" w:hAnsi="Cambria" w:cs="Times New Roman"/>
      <w:i/>
      <w:iCs/>
      <w:sz w:val="20"/>
      <w:szCs w:val="20"/>
      <w:lang w:val="x-none" w:eastAsia="x-none"/>
    </w:rPr>
  </w:style>
  <w:style w:type="character" w:customStyle="1" w:styleId="Diskretbetoning1">
    <w:name w:val="Diskret betoning1"/>
    <w:uiPriority w:val="19"/>
    <w:rsid w:val="00810C20"/>
    <w:rPr>
      <w:i/>
      <w:iCs/>
    </w:rPr>
  </w:style>
  <w:style w:type="character" w:customStyle="1" w:styleId="Starkbetoning1">
    <w:name w:val="Stark betoning1"/>
    <w:uiPriority w:val="21"/>
    <w:rsid w:val="00810C20"/>
    <w:rPr>
      <w:b/>
      <w:bCs/>
      <w:i/>
      <w:iCs/>
    </w:rPr>
  </w:style>
  <w:style w:type="character" w:customStyle="1" w:styleId="Diskretreferens1">
    <w:name w:val="Diskret referens1"/>
    <w:uiPriority w:val="31"/>
    <w:rsid w:val="00810C20"/>
    <w:rPr>
      <w:smallCaps/>
    </w:rPr>
  </w:style>
  <w:style w:type="character" w:customStyle="1" w:styleId="Starkreferens1">
    <w:name w:val="Stark referens1"/>
    <w:uiPriority w:val="32"/>
    <w:rsid w:val="00810C20"/>
    <w:rPr>
      <w:b/>
      <w:bCs/>
      <w:smallCaps/>
    </w:rPr>
  </w:style>
  <w:style w:type="character" w:customStyle="1" w:styleId="Bokenstitel1">
    <w:name w:val="Bokens titel1"/>
    <w:uiPriority w:val="33"/>
    <w:rsid w:val="00810C20"/>
    <w:rPr>
      <w:i/>
      <w:iCs/>
      <w:smallCaps/>
      <w:spacing w:val="5"/>
    </w:rPr>
  </w:style>
  <w:style w:type="paragraph" w:customStyle="1" w:styleId="Innehllsfrteckningsrubrik1">
    <w:name w:val="Innehållsförteckningsrubrik1"/>
    <w:basedOn w:val="Heading1"/>
    <w:next w:val="Normal"/>
    <w:uiPriority w:val="39"/>
    <w:semiHidden/>
    <w:unhideWhenUsed/>
    <w:rsid w:val="00810C20"/>
    <w:pPr>
      <w:outlineLvl w:val="9"/>
    </w:pPr>
  </w:style>
  <w:style w:type="paragraph" w:customStyle="1" w:styleId="Ingetavstnd2">
    <w:name w:val="Inget avstånd2"/>
    <w:basedOn w:val="Normal"/>
    <w:uiPriority w:val="1"/>
    <w:qFormat/>
    <w:rsid w:val="00810C20"/>
    <w:pPr>
      <w:spacing w:after="0" w:line="240" w:lineRule="auto"/>
    </w:pPr>
  </w:style>
  <w:style w:type="paragraph" w:customStyle="1" w:styleId="Listavistosa-nfasis12">
    <w:name w:val="Lista vistosa - Énfasis 12"/>
    <w:basedOn w:val="Normal"/>
    <w:uiPriority w:val="34"/>
    <w:qFormat/>
    <w:rsid w:val="00810C20"/>
    <w:pPr>
      <w:ind w:left="720"/>
      <w:contextualSpacing/>
    </w:pPr>
  </w:style>
  <w:style w:type="paragraph" w:customStyle="1" w:styleId="Cuadrculavistosa-nfasis12">
    <w:name w:val="Cuadrícula vistosa - Énfasis 12"/>
    <w:basedOn w:val="Normal"/>
    <w:next w:val="Normal"/>
    <w:link w:val="Cuadrculavistosa-nfasis1Car1"/>
    <w:uiPriority w:val="29"/>
    <w:qFormat/>
    <w:rsid w:val="00810C20"/>
    <w:rPr>
      <w:i/>
      <w:iCs/>
      <w:sz w:val="20"/>
      <w:szCs w:val="20"/>
      <w:lang w:val="x-none" w:eastAsia="x-none" w:bidi="ar-SA"/>
    </w:rPr>
  </w:style>
  <w:style w:type="character" w:customStyle="1" w:styleId="Cuadrculavistosa-nfasis1Car1">
    <w:name w:val="Cuadrícula vistosa - Énfasis 1 Car1"/>
    <w:link w:val="Cuadrculavistosa-nfasis12"/>
    <w:uiPriority w:val="29"/>
    <w:rsid w:val="00810C20"/>
    <w:rPr>
      <w:rFonts w:ascii="Cambria" w:eastAsia="Times New Roman" w:hAnsi="Cambria" w:cs="Times New Roman"/>
      <w:i/>
      <w:iCs/>
      <w:sz w:val="20"/>
      <w:szCs w:val="20"/>
      <w:lang w:val="x-none" w:eastAsia="x-none"/>
    </w:rPr>
  </w:style>
  <w:style w:type="paragraph" w:customStyle="1" w:styleId="Sombreadoclaro-nfasis22">
    <w:name w:val="Sombreado claro - Énfasis 22"/>
    <w:basedOn w:val="Normal"/>
    <w:next w:val="Normal"/>
    <w:link w:val="Sombreadoclaro-nfasis2Car1"/>
    <w:uiPriority w:val="30"/>
    <w:qFormat/>
    <w:rsid w:val="00810C20"/>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Sombreadoclaro-nfasis2Car1">
    <w:name w:val="Sombreado claro - Énfasis 2 Car1"/>
    <w:link w:val="Sombreadoclaro-nfasis22"/>
    <w:uiPriority w:val="30"/>
    <w:rsid w:val="00810C20"/>
    <w:rPr>
      <w:rFonts w:ascii="Cambria" w:eastAsia="Times New Roman" w:hAnsi="Cambria" w:cs="Times New Roman"/>
      <w:i/>
      <w:iCs/>
      <w:sz w:val="20"/>
      <w:szCs w:val="20"/>
      <w:lang w:val="x-none" w:eastAsia="x-none"/>
    </w:rPr>
  </w:style>
  <w:style w:type="character" w:customStyle="1" w:styleId="Diskretbetoning2">
    <w:name w:val="Diskret betoning2"/>
    <w:uiPriority w:val="19"/>
    <w:qFormat/>
    <w:rsid w:val="00810C20"/>
    <w:rPr>
      <w:i/>
      <w:iCs/>
    </w:rPr>
  </w:style>
  <w:style w:type="character" w:customStyle="1" w:styleId="Starkbetoning2">
    <w:name w:val="Stark betoning2"/>
    <w:uiPriority w:val="21"/>
    <w:qFormat/>
    <w:rsid w:val="00810C20"/>
    <w:rPr>
      <w:b/>
      <w:bCs/>
      <w:i/>
      <w:iCs/>
    </w:rPr>
  </w:style>
  <w:style w:type="character" w:customStyle="1" w:styleId="Diskretreferens2">
    <w:name w:val="Diskret referens2"/>
    <w:uiPriority w:val="31"/>
    <w:qFormat/>
    <w:rsid w:val="00810C20"/>
    <w:rPr>
      <w:smallCaps/>
    </w:rPr>
  </w:style>
  <w:style w:type="character" w:customStyle="1" w:styleId="Starkreferens2">
    <w:name w:val="Stark referens2"/>
    <w:uiPriority w:val="32"/>
    <w:qFormat/>
    <w:rsid w:val="00810C20"/>
    <w:rPr>
      <w:b/>
      <w:bCs/>
      <w:smallCaps/>
    </w:rPr>
  </w:style>
  <w:style w:type="character" w:customStyle="1" w:styleId="Bokenstitel2">
    <w:name w:val="Bokens titel2"/>
    <w:uiPriority w:val="33"/>
    <w:qFormat/>
    <w:rsid w:val="00810C20"/>
    <w:rPr>
      <w:i/>
      <w:iCs/>
      <w:smallCaps/>
      <w:spacing w:val="5"/>
    </w:rPr>
  </w:style>
  <w:style w:type="paragraph" w:customStyle="1" w:styleId="Innehllsfrteckningsrubrik2">
    <w:name w:val="Innehållsförteckningsrubrik2"/>
    <w:basedOn w:val="Heading1"/>
    <w:next w:val="Normal"/>
    <w:uiPriority w:val="39"/>
    <w:unhideWhenUsed/>
    <w:qFormat/>
    <w:rsid w:val="00810C20"/>
    <w:pPr>
      <w:outlineLvl w:val="9"/>
    </w:pPr>
  </w:style>
  <w:style w:type="paragraph" w:styleId="TOC2">
    <w:name w:val="toc 2"/>
    <w:basedOn w:val="Normal"/>
    <w:next w:val="Normal"/>
    <w:autoRedefine/>
    <w:uiPriority w:val="39"/>
    <w:unhideWhenUsed/>
    <w:rsid w:val="00810C20"/>
    <w:pPr>
      <w:spacing w:after="0"/>
      <w:ind w:left="220"/>
    </w:pPr>
    <w:rPr>
      <w:rFonts w:ascii="Calibri" w:hAnsi="Calibri"/>
      <w:b/>
    </w:rPr>
  </w:style>
  <w:style w:type="paragraph" w:styleId="TOC3">
    <w:name w:val="toc 3"/>
    <w:basedOn w:val="Normal"/>
    <w:next w:val="Normal"/>
    <w:autoRedefine/>
    <w:uiPriority w:val="39"/>
    <w:unhideWhenUsed/>
    <w:rsid w:val="00E7753B"/>
    <w:pPr>
      <w:tabs>
        <w:tab w:val="right" w:leader="dot" w:pos="9016"/>
      </w:tabs>
      <w:spacing w:after="0"/>
      <w:ind w:left="440"/>
    </w:pPr>
    <w:rPr>
      <w:rFonts w:ascii="Calibri" w:hAnsi="Calibri"/>
    </w:rPr>
  </w:style>
  <w:style w:type="paragraph" w:styleId="TOC4">
    <w:name w:val="toc 4"/>
    <w:basedOn w:val="Normal"/>
    <w:next w:val="Normal"/>
    <w:autoRedefine/>
    <w:uiPriority w:val="39"/>
    <w:unhideWhenUsed/>
    <w:rsid w:val="00810C20"/>
    <w:pPr>
      <w:spacing w:after="0"/>
      <w:ind w:left="660"/>
    </w:pPr>
    <w:rPr>
      <w:rFonts w:ascii="Calibri" w:hAnsi="Calibri"/>
      <w:sz w:val="20"/>
      <w:szCs w:val="20"/>
    </w:rPr>
  </w:style>
  <w:style w:type="paragraph" w:customStyle="1" w:styleId="Sombreadovistoso-nfasis12">
    <w:name w:val="Sombreado vistoso - Énfasis 12"/>
    <w:hidden/>
    <w:uiPriority w:val="71"/>
    <w:rsid w:val="00810C20"/>
    <w:rPr>
      <w:rFonts w:ascii="Cambria" w:eastAsia="Times New Roman" w:hAnsi="Cambria" w:cs="Times New Roman"/>
      <w:sz w:val="22"/>
      <w:szCs w:val="22"/>
      <w:lang w:val="en-US" w:eastAsia="en-US" w:bidi="en-US"/>
    </w:rPr>
  </w:style>
  <w:style w:type="character" w:styleId="PageNumber">
    <w:name w:val="page number"/>
    <w:basedOn w:val="DefaultParagraphFont"/>
    <w:rsid w:val="00810C20"/>
  </w:style>
  <w:style w:type="paragraph" w:styleId="TOC1">
    <w:name w:val="toc 1"/>
    <w:basedOn w:val="Normal"/>
    <w:next w:val="Normal"/>
    <w:autoRedefine/>
    <w:uiPriority w:val="39"/>
    <w:rsid w:val="00761CCF"/>
    <w:pPr>
      <w:tabs>
        <w:tab w:val="right" w:leader="dot" w:pos="9016"/>
      </w:tabs>
      <w:spacing w:before="120" w:after="0"/>
    </w:pPr>
    <w:rPr>
      <w:rFonts w:ascii="Calibri" w:hAnsi="Calibri"/>
      <w:b/>
      <w:sz w:val="24"/>
      <w:szCs w:val="24"/>
    </w:rPr>
  </w:style>
  <w:style w:type="paragraph" w:styleId="TOC5">
    <w:name w:val="toc 5"/>
    <w:basedOn w:val="Normal"/>
    <w:next w:val="Normal"/>
    <w:autoRedefine/>
    <w:rsid w:val="00810C20"/>
    <w:pPr>
      <w:spacing w:after="0"/>
      <w:ind w:left="880"/>
    </w:pPr>
    <w:rPr>
      <w:rFonts w:ascii="Calibri" w:hAnsi="Calibri"/>
      <w:sz w:val="20"/>
      <w:szCs w:val="20"/>
    </w:rPr>
  </w:style>
  <w:style w:type="paragraph" w:styleId="TOC6">
    <w:name w:val="toc 6"/>
    <w:basedOn w:val="Normal"/>
    <w:next w:val="Normal"/>
    <w:autoRedefine/>
    <w:rsid w:val="00810C20"/>
    <w:pPr>
      <w:spacing w:after="0"/>
      <w:ind w:left="1100"/>
    </w:pPr>
    <w:rPr>
      <w:rFonts w:ascii="Calibri" w:hAnsi="Calibri"/>
      <w:sz w:val="20"/>
      <w:szCs w:val="20"/>
    </w:rPr>
  </w:style>
  <w:style w:type="paragraph" w:styleId="TOC7">
    <w:name w:val="toc 7"/>
    <w:basedOn w:val="Normal"/>
    <w:next w:val="Normal"/>
    <w:autoRedefine/>
    <w:rsid w:val="00810C20"/>
    <w:pPr>
      <w:spacing w:after="0"/>
      <w:ind w:left="1320"/>
    </w:pPr>
    <w:rPr>
      <w:rFonts w:ascii="Calibri" w:hAnsi="Calibri"/>
      <w:sz w:val="20"/>
      <w:szCs w:val="20"/>
    </w:rPr>
  </w:style>
  <w:style w:type="paragraph" w:styleId="TOC8">
    <w:name w:val="toc 8"/>
    <w:basedOn w:val="Normal"/>
    <w:next w:val="Normal"/>
    <w:autoRedefine/>
    <w:rsid w:val="00810C20"/>
    <w:pPr>
      <w:spacing w:after="0"/>
      <w:ind w:left="1540"/>
    </w:pPr>
    <w:rPr>
      <w:rFonts w:ascii="Calibri" w:hAnsi="Calibri"/>
      <w:sz w:val="20"/>
      <w:szCs w:val="20"/>
    </w:rPr>
  </w:style>
  <w:style w:type="paragraph" w:styleId="TOC9">
    <w:name w:val="toc 9"/>
    <w:basedOn w:val="Normal"/>
    <w:next w:val="Normal"/>
    <w:autoRedefine/>
    <w:rsid w:val="00810C20"/>
    <w:pPr>
      <w:spacing w:after="0"/>
      <w:ind w:left="1760"/>
    </w:pPr>
    <w:rPr>
      <w:rFonts w:ascii="Calibri" w:hAnsi="Calibri"/>
      <w:sz w:val="20"/>
      <w:szCs w:val="20"/>
    </w:rPr>
  </w:style>
  <w:style w:type="paragraph" w:customStyle="1" w:styleId="Innehllsfrteckningsrubrik3">
    <w:name w:val="Innehållsförteckningsrubrik3"/>
    <w:basedOn w:val="Heading1"/>
    <w:next w:val="Normal"/>
    <w:uiPriority w:val="39"/>
    <w:unhideWhenUsed/>
    <w:qFormat/>
    <w:rsid w:val="00810C20"/>
    <w:pPr>
      <w:keepNext/>
      <w:keepLines/>
      <w:contextualSpacing w:val="0"/>
      <w:outlineLvl w:val="9"/>
    </w:pPr>
    <w:rPr>
      <w:b/>
      <w:bCs/>
      <w:smallCaps w:val="0"/>
      <w:color w:val="365F91"/>
      <w:spacing w:val="0"/>
      <w:sz w:val="28"/>
      <w:szCs w:val="28"/>
      <w:lang w:val="es-ES" w:bidi="ar-SA"/>
    </w:rPr>
  </w:style>
  <w:style w:type="paragraph" w:customStyle="1" w:styleId="Corps">
    <w:name w:val="Corps"/>
    <w:rsid w:val="00810C2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Styledetableau5">
    <w:name w:val="Style de tableau 5"/>
    <w:rsid w:val="00810C20"/>
    <w:pPr>
      <w:pBdr>
        <w:top w:val="nil"/>
        <w:left w:val="nil"/>
        <w:bottom w:val="nil"/>
        <w:right w:val="nil"/>
        <w:between w:val="nil"/>
        <w:bar w:val="nil"/>
      </w:pBdr>
    </w:pPr>
    <w:rPr>
      <w:rFonts w:ascii="Helvetica" w:eastAsia="Arial Unicode MS" w:hAnsi="Arial Unicode MS" w:cs="Arial Unicode MS"/>
      <w:b/>
      <w:bCs/>
      <w:color w:val="FEFFFE"/>
      <w:bdr w:val="nil"/>
    </w:rPr>
  </w:style>
  <w:style w:type="paragraph" w:customStyle="1" w:styleId="Styledetableau2">
    <w:name w:val="Style de tableau 2"/>
    <w:rsid w:val="00810C20"/>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Hyperlink0">
    <w:name w:val="Hyperlink.0"/>
    <w:rsid w:val="00810C20"/>
    <w:rPr>
      <w:color w:val="0432FF"/>
      <w:u w:val="single"/>
    </w:rPr>
  </w:style>
  <w:style w:type="character" w:customStyle="1" w:styleId="Starkbetoning3">
    <w:name w:val="Stark betoning3"/>
    <w:qFormat/>
    <w:rsid w:val="00810C20"/>
    <w:rPr>
      <w:b/>
      <w:bCs/>
      <w:i/>
      <w:iCs/>
      <w:color w:val="4F81BD"/>
    </w:rPr>
  </w:style>
  <w:style w:type="numbering" w:customStyle="1" w:styleId="List0">
    <w:name w:val="List 0"/>
    <w:basedOn w:val="NoList"/>
    <w:rsid w:val="00810C20"/>
    <w:pPr>
      <w:numPr>
        <w:numId w:val="7"/>
      </w:numPr>
    </w:pPr>
  </w:style>
  <w:style w:type="paragraph" w:customStyle="1" w:styleId="CorpsA">
    <w:name w:val="Corps A"/>
    <w:rsid w:val="00810C2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Pardfaut">
    <w:name w:val="Par défaut"/>
    <w:rsid w:val="00810C2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Styledetableau5A">
    <w:name w:val="Style de tableau 5 A"/>
    <w:rsid w:val="00810C20"/>
    <w:pPr>
      <w:pBdr>
        <w:top w:val="nil"/>
        <w:left w:val="nil"/>
        <w:bottom w:val="nil"/>
        <w:right w:val="nil"/>
        <w:between w:val="nil"/>
        <w:bar w:val="nil"/>
      </w:pBdr>
    </w:pPr>
    <w:rPr>
      <w:rFonts w:ascii="Helvetica" w:eastAsia="Arial Unicode MS" w:hAnsi="Arial Unicode MS" w:cs="Arial Unicode MS"/>
      <w:b/>
      <w:bCs/>
      <w:color w:val="FEFFFE"/>
      <w:u w:color="FEFFFE"/>
      <w:bdr w:val="nil"/>
      <w:lang w:val="en-US" w:eastAsia="en-US"/>
    </w:rPr>
  </w:style>
  <w:style w:type="paragraph" w:customStyle="1" w:styleId="Styledetableau2A">
    <w:name w:val="Style de tableau 2 A"/>
    <w:rsid w:val="00810C20"/>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numbering" w:customStyle="1" w:styleId="List8">
    <w:name w:val="List 8"/>
    <w:basedOn w:val="NoList"/>
    <w:rsid w:val="00810C20"/>
    <w:pPr>
      <w:numPr>
        <w:numId w:val="8"/>
      </w:numPr>
    </w:pPr>
  </w:style>
  <w:style w:type="numbering" w:customStyle="1" w:styleId="List9">
    <w:name w:val="List 9"/>
    <w:basedOn w:val="NoList"/>
    <w:rsid w:val="00810C20"/>
    <w:pPr>
      <w:numPr>
        <w:numId w:val="9"/>
      </w:numPr>
    </w:pPr>
  </w:style>
  <w:style w:type="numbering" w:customStyle="1" w:styleId="List10">
    <w:name w:val="List 10"/>
    <w:basedOn w:val="NoList"/>
    <w:rsid w:val="00810C20"/>
    <w:pPr>
      <w:numPr>
        <w:numId w:val="11"/>
      </w:numPr>
    </w:pPr>
  </w:style>
  <w:style w:type="numbering" w:customStyle="1" w:styleId="List11">
    <w:name w:val="List 11"/>
    <w:basedOn w:val="NoList"/>
    <w:rsid w:val="00810C20"/>
    <w:pPr>
      <w:numPr>
        <w:numId w:val="12"/>
      </w:numPr>
    </w:pPr>
  </w:style>
  <w:style w:type="numbering" w:customStyle="1" w:styleId="List13">
    <w:name w:val="List 13"/>
    <w:basedOn w:val="NoList"/>
    <w:rsid w:val="00810C20"/>
    <w:pPr>
      <w:numPr>
        <w:numId w:val="13"/>
      </w:numPr>
    </w:pPr>
  </w:style>
  <w:style w:type="numbering" w:customStyle="1" w:styleId="List14">
    <w:name w:val="List 14"/>
    <w:basedOn w:val="NoList"/>
    <w:rsid w:val="00810C20"/>
    <w:pPr>
      <w:numPr>
        <w:numId w:val="15"/>
      </w:numPr>
    </w:pPr>
  </w:style>
  <w:style w:type="numbering" w:customStyle="1" w:styleId="List15">
    <w:name w:val="List 15"/>
    <w:basedOn w:val="NoList"/>
    <w:rsid w:val="00810C20"/>
    <w:pPr>
      <w:numPr>
        <w:numId w:val="16"/>
      </w:numPr>
    </w:pPr>
  </w:style>
  <w:style w:type="numbering" w:customStyle="1" w:styleId="List16">
    <w:name w:val="List 16"/>
    <w:basedOn w:val="NoList"/>
    <w:rsid w:val="00810C20"/>
    <w:pPr>
      <w:numPr>
        <w:numId w:val="17"/>
      </w:numPr>
    </w:pPr>
  </w:style>
  <w:style w:type="numbering" w:customStyle="1" w:styleId="List17">
    <w:name w:val="List 17"/>
    <w:basedOn w:val="NoList"/>
    <w:rsid w:val="00810C20"/>
    <w:pPr>
      <w:numPr>
        <w:numId w:val="18"/>
      </w:numPr>
    </w:pPr>
  </w:style>
  <w:style w:type="numbering" w:customStyle="1" w:styleId="List18">
    <w:name w:val="List 18"/>
    <w:basedOn w:val="NoList"/>
    <w:rsid w:val="00810C20"/>
    <w:pPr>
      <w:numPr>
        <w:numId w:val="19"/>
      </w:numPr>
    </w:pPr>
  </w:style>
  <w:style w:type="numbering" w:customStyle="1" w:styleId="List19">
    <w:name w:val="List 19"/>
    <w:basedOn w:val="NoList"/>
    <w:rsid w:val="00810C20"/>
    <w:pPr>
      <w:numPr>
        <w:numId w:val="20"/>
      </w:numPr>
    </w:pPr>
  </w:style>
  <w:style w:type="numbering" w:customStyle="1" w:styleId="List20">
    <w:name w:val="List 20"/>
    <w:basedOn w:val="NoList"/>
    <w:rsid w:val="00810C20"/>
    <w:pPr>
      <w:numPr>
        <w:numId w:val="22"/>
      </w:numPr>
    </w:pPr>
  </w:style>
  <w:style w:type="character" w:customStyle="1" w:styleId="Hyperlink1">
    <w:name w:val="Hyperlink.1"/>
    <w:rsid w:val="00810C20"/>
    <w:rPr>
      <w:color w:val="000000"/>
      <w:u w:val="single" w:color="000000"/>
    </w:rPr>
  </w:style>
  <w:style w:type="character" w:customStyle="1" w:styleId="full-name">
    <w:name w:val="full-name"/>
    <w:basedOn w:val="DefaultParagraphFont"/>
    <w:rsid w:val="00810C20"/>
  </w:style>
  <w:style w:type="character" w:customStyle="1" w:styleId="googqs-tidbit">
    <w:name w:val="goog_qs-tidbit"/>
    <w:basedOn w:val="DefaultParagraphFont"/>
    <w:rsid w:val="00810C20"/>
  </w:style>
  <w:style w:type="paragraph" w:customStyle="1" w:styleId="CorpsAA">
    <w:name w:val="Corps A A"/>
    <w:rsid w:val="00810C20"/>
    <w:pPr>
      <w:pBdr>
        <w:top w:val="nil"/>
        <w:left w:val="nil"/>
        <w:bottom w:val="nil"/>
        <w:right w:val="nil"/>
        <w:between w:val="nil"/>
        <w:bar w:val="nil"/>
      </w:pBdr>
    </w:pPr>
    <w:rPr>
      <w:rFonts w:ascii="Helvetica" w:eastAsia="Helvetica" w:hAnsi="Helvetica" w:cs="Helvetica"/>
      <w:color w:val="000000"/>
      <w:sz w:val="22"/>
      <w:szCs w:val="22"/>
      <w:u w:color="000000"/>
      <w:bdr w:val="nil"/>
      <w:lang w:val="fr-FR"/>
    </w:rPr>
  </w:style>
  <w:style w:type="numbering" w:customStyle="1" w:styleId="List1">
    <w:name w:val="List 1"/>
    <w:basedOn w:val="NoList"/>
    <w:rsid w:val="00810C20"/>
    <w:pPr>
      <w:numPr>
        <w:numId w:val="30"/>
      </w:numPr>
    </w:pPr>
  </w:style>
  <w:style w:type="numbering" w:customStyle="1" w:styleId="List21">
    <w:name w:val="List 21"/>
    <w:basedOn w:val="NoList"/>
    <w:rsid w:val="00810C20"/>
    <w:pPr>
      <w:numPr>
        <w:numId w:val="31"/>
      </w:numPr>
    </w:pPr>
  </w:style>
  <w:style w:type="numbering" w:customStyle="1" w:styleId="List31">
    <w:name w:val="List 31"/>
    <w:basedOn w:val="NoList"/>
    <w:rsid w:val="00810C20"/>
    <w:pPr>
      <w:numPr>
        <w:numId w:val="32"/>
      </w:numPr>
    </w:pPr>
  </w:style>
  <w:style w:type="numbering" w:customStyle="1" w:styleId="List41">
    <w:name w:val="List 41"/>
    <w:basedOn w:val="NoList"/>
    <w:rsid w:val="00810C20"/>
    <w:pPr>
      <w:numPr>
        <w:numId w:val="33"/>
      </w:numPr>
    </w:pPr>
  </w:style>
  <w:style w:type="numbering" w:customStyle="1" w:styleId="List51">
    <w:name w:val="List 51"/>
    <w:basedOn w:val="NoList"/>
    <w:rsid w:val="00810C20"/>
    <w:pPr>
      <w:numPr>
        <w:numId w:val="34"/>
      </w:numPr>
    </w:pPr>
  </w:style>
  <w:style w:type="numbering" w:customStyle="1" w:styleId="List12">
    <w:name w:val="List 12"/>
    <w:basedOn w:val="NoList"/>
    <w:rsid w:val="00810C20"/>
    <w:pPr>
      <w:numPr>
        <w:numId w:val="35"/>
      </w:numPr>
    </w:pPr>
  </w:style>
  <w:style w:type="paragraph" w:customStyle="1" w:styleId="CorpsB">
    <w:name w:val="Corps B"/>
    <w:rsid w:val="00810C20"/>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A2">
    <w:name w:val="A2"/>
    <w:uiPriority w:val="99"/>
    <w:rsid w:val="00810C20"/>
    <w:rPr>
      <w:rFonts w:cs="TitlingGothicFB Narrow Medium"/>
      <w:color w:val="000000"/>
      <w:sz w:val="36"/>
      <w:szCs w:val="36"/>
    </w:rPr>
  </w:style>
  <w:style w:type="paragraph" w:customStyle="1" w:styleId="NotedebasdepageA">
    <w:name w:val="Note de bas de page A"/>
    <w:rsid w:val="00810C20"/>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6">
    <w:name w:val="List 6"/>
    <w:basedOn w:val="NoList"/>
    <w:rsid w:val="00810C20"/>
    <w:pPr>
      <w:numPr>
        <w:numId w:val="38"/>
      </w:numPr>
    </w:pPr>
  </w:style>
  <w:style w:type="numbering" w:customStyle="1" w:styleId="List7">
    <w:name w:val="List 7"/>
    <w:basedOn w:val="NoList"/>
    <w:rsid w:val="00810C20"/>
    <w:pPr>
      <w:numPr>
        <w:numId w:val="39"/>
      </w:numPr>
    </w:pPr>
  </w:style>
  <w:style w:type="paragraph" w:styleId="BodyText">
    <w:name w:val="Body Text"/>
    <w:basedOn w:val="Normal"/>
    <w:link w:val="BodyTextChar"/>
    <w:rsid w:val="00810C20"/>
    <w:pPr>
      <w:spacing w:after="120"/>
    </w:pPr>
    <w:rPr>
      <w:lang w:val="x-none"/>
    </w:rPr>
  </w:style>
  <w:style w:type="character" w:customStyle="1" w:styleId="BodyTextChar">
    <w:name w:val="Body Text Char"/>
    <w:basedOn w:val="DefaultParagraphFont"/>
    <w:link w:val="BodyText"/>
    <w:rsid w:val="00810C20"/>
    <w:rPr>
      <w:rFonts w:ascii="Cambria" w:eastAsia="Times New Roman" w:hAnsi="Cambria" w:cs="Times New Roman"/>
      <w:sz w:val="22"/>
      <w:szCs w:val="22"/>
      <w:lang w:val="x-none" w:eastAsia="en-US" w:bidi="en-US"/>
    </w:rPr>
  </w:style>
  <w:style w:type="character" w:customStyle="1" w:styleId="StyleFootnoteReferenceNounderline">
    <w:name w:val="Style Footnote Reference + No underline"/>
    <w:rsid w:val="00810C20"/>
    <w:rPr>
      <w:sz w:val="18"/>
      <w:u w:val="none"/>
      <w:vertAlign w:val="baseline"/>
    </w:rPr>
  </w:style>
  <w:style w:type="paragraph" w:customStyle="1" w:styleId="reference">
    <w:name w:val="reference"/>
    <w:basedOn w:val="Heading9"/>
    <w:qFormat/>
    <w:rsid w:val="00810C20"/>
    <w:pPr>
      <w:keepNext/>
      <w:numPr>
        <w:ilvl w:val="0"/>
        <w:numId w:val="0"/>
      </w:numPr>
      <w:spacing w:before="100" w:beforeAutospacing="1" w:after="120" w:line="240" w:lineRule="auto"/>
      <w:jc w:val="both"/>
    </w:pPr>
    <w:rPr>
      <w:rFonts w:ascii="Times New Roman" w:hAnsi="Times New Roman"/>
      <w:b w:val="0"/>
      <w:bCs w:val="0"/>
      <w:i w:val="0"/>
      <w:color w:val="auto"/>
      <w:szCs w:val="24"/>
      <w:lang w:val="en-GB" w:bidi="ar-SA"/>
    </w:rPr>
  </w:style>
  <w:style w:type="paragraph" w:styleId="BodyText2">
    <w:name w:val="Body Text 2"/>
    <w:basedOn w:val="Normal"/>
    <w:link w:val="BodyText2Char"/>
    <w:uiPriority w:val="99"/>
    <w:unhideWhenUsed/>
    <w:rsid w:val="00810C20"/>
    <w:pPr>
      <w:spacing w:after="120" w:line="480" w:lineRule="auto"/>
      <w:jc w:val="both"/>
    </w:pPr>
    <w:rPr>
      <w:rFonts w:ascii="Times New Roman" w:hAnsi="Times New Roman"/>
      <w:szCs w:val="20"/>
      <w:lang w:val="x-none" w:bidi="ar-SA"/>
    </w:rPr>
  </w:style>
  <w:style w:type="character" w:customStyle="1" w:styleId="BodyText2Char">
    <w:name w:val="Body Text 2 Char"/>
    <w:basedOn w:val="DefaultParagraphFont"/>
    <w:link w:val="BodyText2"/>
    <w:uiPriority w:val="99"/>
    <w:rsid w:val="00810C20"/>
    <w:rPr>
      <w:rFonts w:ascii="Times New Roman" w:eastAsia="Times New Roman" w:hAnsi="Times New Roman" w:cs="Times New Roman"/>
      <w:sz w:val="22"/>
      <w:szCs w:val="20"/>
      <w:lang w:val="x-none" w:eastAsia="en-US"/>
    </w:rPr>
  </w:style>
  <w:style w:type="paragraph" w:styleId="ListParagraph">
    <w:name w:val="List Paragraph"/>
    <w:basedOn w:val="Normal"/>
    <w:uiPriority w:val="34"/>
    <w:qFormat/>
    <w:rsid w:val="00810C20"/>
    <w:pPr>
      <w:spacing w:after="0" w:line="240" w:lineRule="auto"/>
      <w:ind w:left="720"/>
      <w:contextualSpacing/>
    </w:pPr>
    <w:rPr>
      <w:rFonts w:ascii="Times New Roman" w:hAnsi="Times New Roman"/>
      <w:sz w:val="24"/>
      <w:szCs w:val="24"/>
      <w:lang w:val="sv-SE" w:eastAsia="sv-SE" w:bidi="ar-SA"/>
    </w:rPr>
  </w:style>
  <w:style w:type="paragraph" w:styleId="Revision">
    <w:name w:val="Revision"/>
    <w:hidden/>
    <w:rsid w:val="00810C20"/>
    <w:rPr>
      <w:rFonts w:ascii="Cambria" w:eastAsia="Times New Roman" w:hAnsi="Cambria" w:cs="Times New Roman"/>
      <w:sz w:val="22"/>
      <w:szCs w:val="22"/>
      <w:lang w:val="en-GB" w:eastAsia="en-US" w:bidi="en-US"/>
    </w:rPr>
  </w:style>
  <w:style w:type="paragraph" w:styleId="NoSpacing">
    <w:name w:val="No Spacing"/>
    <w:uiPriority w:val="1"/>
    <w:qFormat/>
    <w:rsid w:val="00547B3C"/>
    <w:rPr>
      <w:rFonts w:eastAsiaTheme="minorHAnsi"/>
      <w:sz w:val="22"/>
      <w:szCs w:val="22"/>
      <w:lang w:val="en-GB" w:eastAsia="en-US"/>
    </w:rPr>
  </w:style>
  <w:style w:type="paragraph" w:styleId="TOCHeading">
    <w:name w:val="TOC Heading"/>
    <w:basedOn w:val="Heading1"/>
    <w:next w:val="Normal"/>
    <w:uiPriority w:val="39"/>
    <w:unhideWhenUsed/>
    <w:qFormat/>
    <w:rsid w:val="005B5E96"/>
    <w:pPr>
      <w:keepNext/>
      <w:keepLines/>
      <w:spacing w:before="240" w:line="259" w:lineRule="auto"/>
      <w:contextualSpacing w:val="0"/>
      <w:outlineLvl w:val="9"/>
    </w:pPr>
    <w:rPr>
      <w:rFonts w:asciiTheme="majorHAnsi" w:eastAsiaTheme="majorEastAsia" w:hAnsiTheme="majorHAnsi" w:cstheme="majorBidi"/>
      <w:smallCaps w:val="0"/>
      <w:color w:val="365F91" w:themeColor="accent1" w:themeShade="BF"/>
      <w:spacing w:val="0"/>
      <w:sz w:val="32"/>
      <w:szCs w:val="32"/>
      <w:lang w:bidi="ar-SA"/>
    </w:rPr>
  </w:style>
  <w:style w:type="paragraph" w:customStyle="1" w:styleId="Arial">
    <w:name w:val="Arial"/>
    <w:basedOn w:val="Normal"/>
    <w:rsid w:val="00BD0B6E"/>
    <w:pPr>
      <w:spacing w:line="240" w:lineRule="auto"/>
      <w:jc w:val="both"/>
    </w:pPr>
    <w:rPr>
      <w:rFonts w:ascii="Times New Roman" w:hAnsi="Times New Roman"/>
      <w:color w:val="000000"/>
    </w:rPr>
  </w:style>
  <w:style w:type="paragraph" w:styleId="TableofFigures">
    <w:name w:val="table of figures"/>
    <w:basedOn w:val="Normal"/>
    <w:next w:val="Normal"/>
    <w:uiPriority w:val="99"/>
    <w:unhideWhenUsed/>
    <w:rsid w:val="00DF2423"/>
    <w:pPr>
      <w:spacing w:after="0"/>
    </w:pPr>
    <w:rPr>
      <w:rFonts w:asciiTheme="minorHAnsi" w:hAnsiTheme="minorHAnsi"/>
      <w:i/>
      <w:sz w:val="20"/>
      <w:szCs w:val="20"/>
    </w:rPr>
  </w:style>
  <w:style w:type="character" w:customStyle="1" w:styleId="UnresolvedMention1">
    <w:name w:val="Unresolved Mention1"/>
    <w:basedOn w:val="DefaultParagraphFont"/>
    <w:uiPriority w:val="99"/>
    <w:semiHidden/>
    <w:unhideWhenUsed/>
    <w:rsid w:val="00DB59D7"/>
    <w:rPr>
      <w:color w:val="605E5C"/>
      <w:shd w:val="clear" w:color="auto" w:fill="E1DFDD"/>
    </w:rPr>
  </w:style>
  <w:style w:type="paragraph" w:customStyle="1" w:styleId="recommendationheader">
    <w:name w:val="recommendation header"/>
    <w:basedOn w:val="Heading2"/>
    <w:qFormat/>
    <w:rsid w:val="00305959"/>
    <w:pPr>
      <w:tabs>
        <w:tab w:val="left" w:pos="720"/>
      </w:tabs>
      <w:spacing w:before="120" w:line="240" w:lineRule="auto"/>
      <w:jc w:val="center"/>
    </w:pPr>
    <w:rPr>
      <w:bCs/>
      <w:iCs/>
      <w:smallCaps w:val="0"/>
      <w:szCs w:val="24"/>
      <w:lang w:val="en-GB" w:bidi="ar-SA"/>
    </w:rPr>
  </w:style>
  <w:style w:type="paragraph" w:customStyle="1" w:styleId="xmsonormal">
    <w:name w:val="x_msonormal"/>
    <w:basedOn w:val="Normal"/>
    <w:rsid w:val="00026E2E"/>
    <w:pPr>
      <w:spacing w:before="100" w:beforeAutospacing="1" w:after="100" w:afterAutospacing="1" w:line="240" w:lineRule="auto"/>
    </w:pPr>
    <w:rPr>
      <w:rFonts w:ascii="Times" w:eastAsiaTheme="minorEastAsia" w:hAnsi="Times" w:cstheme="minorBidi"/>
      <w:sz w:val="20"/>
      <w:szCs w:val="20"/>
      <w:lang w:val="sv-SE" w:eastAsia="sv-SE" w:bidi="ar-SA"/>
    </w:rPr>
  </w:style>
  <w:style w:type="character" w:customStyle="1" w:styleId="st1">
    <w:name w:val="st1"/>
    <w:basedOn w:val="DefaultParagraphFont"/>
    <w:rsid w:val="0013728B"/>
  </w:style>
  <w:style w:type="character" w:styleId="PlaceholderText">
    <w:name w:val="Placeholder Text"/>
    <w:basedOn w:val="DefaultParagraphFont"/>
    <w:uiPriority w:val="99"/>
    <w:semiHidden/>
    <w:rsid w:val="00C15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943">
      <w:bodyDiv w:val="1"/>
      <w:marLeft w:val="0"/>
      <w:marRight w:val="0"/>
      <w:marTop w:val="0"/>
      <w:marBottom w:val="0"/>
      <w:divBdr>
        <w:top w:val="none" w:sz="0" w:space="0" w:color="auto"/>
        <w:left w:val="none" w:sz="0" w:space="0" w:color="auto"/>
        <w:bottom w:val="none" w:sz="0" w:space="0" w:color="auto"/>
        <w:right w:val="none" w:sz="0" w:space="0" w:color="auto"/>
      </w:divBdr>
    </w:div>
    <w:div w:id="188373519">
      <w:bodyDiv w:val="1"/>
      <w:marLeft w:val="0"/>
      <w:marRight w:val="0"/>
      <w:marTop w:val="0"/>
      <w:marBottom w:val="0"/>
      <w:divBdr>
        <w:top w:val="none" w:sz="0" w:space="0" w:color="auto"/>
        <w:left w:val="none" w:sz="0" w:space="0" w:color="auto"/>
        <w:bottom w:val="none" w:sz="0" w:space="0" w:color="auto"/>
        <w:right w:val="none" w:sz="0" w:space="0" w:color="auto"/>
      </w:divBdr>
    </w:div>
    <w:div w:id="210922825">
      <w:bodyDiv w:val="1"/>
      <w:marLeft w:val="0"/>
      <w:marRight w:val="0"/>
      <w:marTop w:val="0"/>
      <w:marBottom w:val="0"/>
      <w:divBdr>
        <w:top w:val="none" w:sz="0" w:space="0" w:color="auto"/>
        <w:left w:val="none" w:sz="0" w:space="0" w:color="auto"/>
        <w:bottom w:val="none" w:sz="0" w:space="0" w:color="auto"/>
        <w:right w:val="none" w:sz="0" w:space="0" w:color="auto"/>
      </w:divBdr>
    </w:div>
    <w:div w:id="217523178">
      <w:bodyDiv w:val="1"/>
      <w:marLeft w:val="0"/>
      <w:marRight w:val="0"/>
      <w:marTop w:val="0"/>
      <w:marBottom w:val="0"/>
      <w:divBdr>
        <w:top w:val="none" w:sz="0" w:space="0" w:color="auto"/>
        <w:left w:val="none" w:sz="0" w:space="0" w:color="auto"/>
        <w:bottom w:val="none" w:sz="0" w:space="0" w:color="auto"/>
        <w:right w:val="none" w:sz="0" w:space="0" w:color="auto"/>
      </w:divBdr>
    </w:div>
    <w:div w:id="382875672">
      <w:bodyDiv w:val="1"/>
      <w:marLeft w:val="0"/>
      <w:marRight w:val="0"/>
      <w:marTop w:val="0"/>
      <w:marBottom w:val="0"/>
      <w:divBdr>
        <w:top w:val="none" w:sz="0" w:space="0" w:color="auto"/>
        <w:left w:val="none" w:sz="0" w:space="0" w:color="auto"/>
        <w:bottom w:val="none" w:sz="0" w:space="0" w:color="auto"/>
        <w:right w:val="none" w:sz="0" w:space="0" w:color="auto"/>
      </w:divBdr>
    </w:div>
    <w:div w:id="382876763">
      <w:bodyDiv w:val="1"/>
      <w:marLeft w:val="0"/>
      <w:marRight w:val="0"/>
      <w:marTop w:val="0"/>
      <w:marBottom w:val="0"/>
      <w:divBdr>
        <w:top w:val="none" w:sz="0" w:space="0" w:color="auto"/>
        <w:left w:val="none" w:sz="0" w:space="0" w:color="auto"/>
        <w:bottom w:val="none" w:sz="0" w:space="0" w:color="auto"/>
        <w:right w:val="none" w:sz="0" w:space="0" w:color="auto"/>
      </w:divBdr>
      <w:divsChild>
        <w:div w:id="1206678750">
          <w:marLeft w:val="0"/>
          <w:marRight w:val="0"/>
          <w:marTop w:val="0"/>
          <w:marBottom w:val="0"/>
          <w:divBdr>
            <w:top w:val="none" w:sz="0" w:space="0" w:color="auto"/>
            <w:left w:val="none" w:sz="0" w:space="0" w:color="auto"/>
            <w:bottom w:val="none" w:sz="0" w:space="0" w:color="auto"/>
            <w:right w:val="none" w:sz="0" w:space="0" w:color="auto"/>
          </w:divBdr>
          <w:divsChild>
            <w:div w:id="1628732240">
              <w:marLeft w:val="0"/>
              <w:marRight w:val="0"/>
              <w:marTop w:val="0"/>
              <w:marBottom w:val="0"/>
              <w:divBdr>
                <w:top w:val="none" w:sz="0" w:space="0" w:color="auto"/>
                <w:left w:val="none" w:sz="0" w:space="0" w:color="auto"/>
                <w:bottom w:val="none" w:sz="0" w:space="0" w:color="auto"/>
                <w:right w:val="none" w:sz="0" w:space="0" w:color="auto"/>
              </w:divBdr>
              <w:divsChild>
                <w:div w:id="6742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4126">
      <w:bodyDiv w:val="1"/>
      <w:marLeft w:val="0"/>
      <w:marRight w:val="0"/>
      <w:marTop w:val="0"/>
      <w:marBottom w:val="0"/>
      <w:divBdr>
        <w:top w:val="none" w:sz="0" w:space="0" w:color="auto"/>
        <w:left w:val="none" w:sz="0" w:space="0" w:color="auto"/>
        <w:bottom w:val="none" w:sz="0" w:space="0" w:color="auto"/>
        <w:right w:val="none" w:sz="0" w:space="0" w:color="auto"/>
      </w:divBdr>
    </w:div>
    <w:div w:id="506404385">
      <w:bodyDiv w:val="1"/>
      <w:marLeft w:val="0"/>
      <w:marRight w:val="0"/>
      <w:marTop w:val="0"/>
      <w:marBottom w:val="0"/>
      <w:divBdr>
        <w:top w:val="none" w:sz="0" w:space="0" w:color="auto"/>
        <w:left w:val="none" w:sz="0" w:space="0" w:color="auto"/>
        <w:bottom w:val="none" w:sz="0" w:space="0" w:color="auto"/>
        <w:right w:val="none" w:sz="0" w:space="0" w:color="auto"/>
      </w:divBdr>
      <w:divsChild>
        <w:div w:id="1615862646">
          <w:marLeft w:val="0"/>
          <w:marRight w:val="0"/>
          <w:marTop w:val="0"/>
          <w:marBottom w:val="0"/>
          <w:divBdr>
            <w:top w:val="none" w:sz="0" w:space="0" w:color="auto"/>
            <w:left w:val="none" w:sz="0" w:space="0" w:color="auto"/>
            <w:bottom w:val="none" w:sz="0" w:space="0" w:color="auto"/>
            <w:right w:val="none" w:sz="0" w:space="0" w:color="auto"/>
          </w:divBdr>
          <w:divsChild>
            <w:div w:id="473716468">
              <w:marLeft w:val="0"/>
              <w:marRight w:val="0"/>
              <w:marTop w:val="0"/>
              <w:marBottom w:val="0"/>
              <w:divBdr>
                <w:top w:val="none" w:sz="0" w:space="0" w:color="auto"/>
                <w:left w:val="none" w:sz="0" w:space="0" w:color="auto"/>
                <w:bottom w:val="none" w:sz="0" w:space="0" w:color="auto"/>
                <w:right w:val="none" w:sz="0" w:space="0" w:color="auto"/>
              </w:divBdr>
              <w:divsChild>
                <w:div w:id="844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639791">
      <w:bodyDiv w:val="1"/>
      <w:marLeft w:val="0"/>
      <w:marRight w:val="0"/>
      <w:marTop w:val="0"/>
      <w:marBottom w:val="0"/>
      <w:divBdr>
        <w:top w:val="none" w:sz="0" w:space="0" w:color="auto"/>
        <w:left w:val="none" w:sz="0" w:space="0" w:color="auto"/>
        <w:bottom w:val="none" w:sz="0" w:space="0" w:color="auto"/>
        <w:right w:val="none" w:sz="0" w:space="0" w:color="auto"/>
      </w:divBdr>
    </w:div>
    <w:div w:id="577788726">
      <w:bodyDiv w:val="1"/>
      <w:marLeft w:val="0"/>
      <w:marRight w:val="0"/>
      <w:marTop w:val="0"/>
      <w:marBottom w:val="0"/>
      <w:divBdr>
        <w:top w:val="none" w:sz="0" w:space="0" w:color="auto"/>
        <w:left w:val="none" w:sz="0" w:space="0" w:color="auto"/>
        <w:bottom w:val="none" w:sz="0" w:space="0" w:color="auto"/>
        <w:right w:val="none" w:sz="0" w:space="0" w:color="auto"/>
      </w:divBdr>
    </w:div>
    <w:div w:id="602224092">
      <w:bodyDiv w:val="1"/>
      <w:marLeft w:val="0"/>
      <w:marRight w:val="0"/>
      <w:marTop w:val="0"/>
      <w:marBottom w:val="0"/>
      <w:divBdr>
        <w:top w:val="none" w:sz="0" w:space="0" w:color="auto"/>
        <w:left w:val="none" w:sz="0" w:space="0" w:color="auto"/>
        <w:bottom w:val="none" w:sz="0" w:space="0" w:color="auto"/>
        <w:right w:val="none" w:sz="0" w:space="0" w:color="auto"/>
      </w:divBdr>
    </w:div>
    <w:div w:id="631834181">
      <w:bodyDiv w:val="1"/>
      <w:marLeft w:val="0"/>
      <w:marRight w:val="0"/>
      <w:marTop w:val="0"/>
      <w:marBottom w:val="0"/>
      <w:divBdr>
        <w:top w:val="none" w:sz="0" w:space="0" w:color="auto"/>
        <w:left w:val="none" w:sz="0" w:space="0" w:color="auto"/>
        <w:bottom w:val="none" w:sz="0" w:space="0" w:color="auto"/>
        <w:right w:val="none" w:sz="0" w:space="0" w:color="auto"/>
      </w:divBdr>
      <w:divsChild>
        <w:div w:id="1481730119">
          <w:marLeft w:val="0"/>
          <w:marRight w:val="0"/>
          <w:marTop w:val="0"/>
          <w:marBottom w:val="0"/>
          <w:divBdr>
            <w:top w:val="none" w:sz="0" w:space="0" w:color="auto"/>
            <w:left w:val="none" w:sz="0" w:space="0" w:color="auto"/>
            <w:bottom w:val="none" w:sz="0" w:space="0" w:color="auto"/>
            <w:right w:val="none" w:sz="0" w:space="0" w:color="auto"/>
          </w:divBdr>
          <w:divsChild>
            <w:div w:id="786855563">
              <w:marLeft w:val="0"/>
              <w:marRight w:val="0"/>
              <w:marTop w:val="0"/>
              <w:marBottom w:val="0"/>
              <w:divBdr>
                <w:top w:val="none" w:sz="0" w:space="0" w:color="auto"/>
                <w:left w:val="none" w:sz="0" w:space="0" w:color="auto"/>
                <w:bottom w:val="none" w:sz="0" w:space="0" w:color="auto"/>
                <w:right w:val="none" w:sz="0" w:space="0" w:color="auto"/>
              </w:divBdr>
              <w:divsChild>
                <w:div w:id="708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0436">
      <w:bodyDiv w:val="1"/>
      <w:marLeft w:val="0"/>
      <w:marRight w:val="0"/>
      <w:marTop w:val="0"/>
      <w:marBottom w:val="0"/>
      <w:divBdr>
        <w:top w:val="none" w:sz="0" w:space="0" w:color="auto"/>
        <w:left w:val="none" w:sz="0" w:space="0" w:color="auto"/>
        <w:bottom w:val="none" w:sz="0" w:space="0" w:color="auto"/>
        <w:right w:val="none" w:sz="0" w:space="0" w:color="auto"/>
      </w:divBdr>
      <w:divsChild>
        <w:div w:id="786898414">
          <w:marLeft w:val="0"/>
          <w:marRight w:val="0"/>
          <w:marTop w:val="0"/>
          <w:marBottom w:val="0"/>
          <w:divBdr>
            <w:top w:val="none" w:sz="0" w:space="0" w:color="auto"/>
            <w:left w:val="none" w:sz="0" w:space="0" w:color="auto"/>
            <w:bottom w:val="none" w:sz="0" w:space="0" w:color="auto"/>
            <w:right w:val="none" w:sz="0" w:space="0" w:color="auto"/>
          </w:divBdr>
          <w:divsChild>
            <w:div w:id="1699237648">
              <w:marLeft w:val="0"/>
              <w:marRight w:val="0"/>
              <w:marTop w:val="0"/>
              <w:marBottom w:val="0"/>
              <w:divBdr>
                <w:top w:val="none" w:sz="0" w:space="0" w:color="auto"/>
                <w:left w:val="none" w:sz="0" w:space="0" w:color="auto"/>
                <w:bottom w:val="none" w:sz="0" w:space="0" w:color="auto"/>
                <w:right w:val="none" w:sz="0" w:space="0" w:color="auto"/>
              </w:divBdr>
              <w:divsChild>
                <w:div w:id="1437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6625">
      <w:bodyDiv w:val="1"/>
      <w:marLeft w:val="0"/>
      <w:marRight w:val="0"/>
      <w:marTop w:val="0"/>
      <w:marBottom w:val="0"/>
      <w:divBdr>
        <w:top w:val="none" w:sz="0" w:space="0" w:color="auto"/>
        <w:left w:val="none" w:sz="0" w:space="0" w:color="auto"/>
        <w:bottom w:val="none" w:sz="0" w:space="0" w:color="auto"/>
        <w:right w:val="none" w:sz="0" w:space="0" w:color="auto"/>
      </w:divBdr>
      <w:divsChild>
        <w:div w:id="203056126">
          <w:marLeft w:val="0"/>
          <w:marRight w:val="0"/>
          <w:marTop w:val="0"/>
          <w:marBottom w:val="0"/>
          <w:divBdr>
            <w:top w:val="none" w:sz="0" w:space="0" w:color="auto"/>
            <w:left w:val="none" w:sz="0" w:space="0" w:color="auto"/>
            <w:bottom w:val="none" w:sz="0" w:space="0" w:color="auto"/>
            <w:right w:val="none" w:sz="0" w:space="0" w:color="auto"/>
          </w:divBdr>
          <w:divsChild>
            <w:div w:id="839662583">
              <w:marLeft w:val="0"/>
              <w:marRight w:val="0"/>
              <w:marTop w:val="0"/>
              <w:marBottom w:val="0"/>
              <w:divBdr>
                <w:top w:val="none" w:sz="0" w:space="0" w:color="auto"/>
                <w:left w:val="none" w:sz="0" w:space="0" w:color="auto"/>
                <w:bottom w:val="none" w:sz="0" w:space="0" w:color="auto"/>
                <w:right w:val="none" w:sz="0" w:space="0" w:color="auto"/>
              </w:divBdr>
              <w:divsChild>
                <w:div w:id="6500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2718">
      <w:bodyDiv w:val="1"/>
      <w:marLeft w:val="0"/>
      <w:marRight w:val="0"/>
      <w:marTop w:val="0"/>
      <w:marBottom w:val="0"/>
      <w:divBdr>
        <w:top w:val="none" w:sz="0" w:space="0" w:color="auto"/>
        <w:left w:val="none" w:sz="0" w:space="0" w:color="auto"/>
        <w:bottom w:val="none" w:sz="0" w:space="0" w:color="auto"/>
        <w:right w:val="none" w:sz="0" w:space="0" w:color="auto"/>
      </w:divBdr>
    </w:div>
    <w:div w:id="966081914">
      <w:bodyDiv w:val="1"/>
      <w:marLeft w:val="0"/>
      <w:marRight w:val="0"/>
      <w:marTop w:val="0"/>
      <w:marBottom w:val="0"/>
      <w:divBdr>
        <w:top w:val="none" w:sz="0" w:space="0" w:color="auto"/>
        <w:left w:val="none" w:sz="0" w:space="0" w:color="auto"/>
        <w:bottom w:val="none" w:sz="0" w:space="0" w:color="auto"/>
        <w:right w:val="none" w:sz="0" w:space="0" w:color="auto"/>
      </w:divBdr>
    </w:div>
    <w:div w:id="1066031917">
      <w:bodyDiv w:val="1"/>
      <w:marLeft w:val="0"/>
      <w:marRight w:val="0"/>
      <w:marTop w:val="0"/>
      <w:marBottom w:val="0"/>
      <w:divBdr>
        <w:top w:val="none" w:sz="0" w:space="0" w:color="auto"/>
        <w:left w:val="none" w:sz="0" w:space="0" w:color="auto"/>
        <w:bottom w:val="none" w:sz="0" w:space="0" w:color="auto"/>
        <w:right w:val="none" w:sz="0" w:space="0" w:color="auto"/>
      </w:divBdr>
    </w:div>
    <w:div w:id="1085154223">
      <w:bodyDiv w:val="1"/>
      <w:marLeft w:val="0"/>
      <w:marRight w:val="0"/>
      <w:marTop w:val="0"/>
      <w:marBottom w:val="0"/>
      <w:divBdr>
        <w:top w:val="none" w:sz="0" w:space="0" w:color="auto"/>
        <w:left w:val="none" w:sz="0" w:space="0" w:color="auto"/>
        <w:bottom w:val="none" w:sz="0" w:space="0" w:color="auto"/>
        <w:right w:val="none" w:sz="0" w:space="0" w:color="auto"/>
      </w:divBdr>
    </w:div>
    <w:div w:id="1173255860">
      <w:bodyDiv w:val="1"/>
      <w:marLeft w:val="0"/>
      <w:marRight w:val="0"/>
      <w:marTop w:val="0"/>
      <w:marBottom w:val="0"/>
      <w:divBdr>
        <w:top w:val="none" w:sz="0" w:space="0" w:color="auto"/>
        <w:left w:val="none" w:sz="0" w:space="0" w:color="auto"/>
        <w:bottom w:val="none" w:sz="0" w:space="0" w:color="auto"/>
        <w:right w:val="none" w:sz="0" w:space="0" w:color="auto"/>
      </w:divBdr>
    </w:div>
    <w:div w:id="1243376079">
      <w:bodyDiv w:val="1"/>
      <w:marLeft w:val="0"/>
      <w:marRight w:val="0"/>
      <w:marTop w:val="0"/>
      <w:marBottom w:val="0"/>
      <w:divBdr>
        <w:top w:val="none" w:sz="0" w:space="0" w:color="auto"/>
        <w:left w:val="none" w:sz="0" w:space="0" w:color="auto"/>
        <w:bottom w:val="none" w:sz="0" w:space="0" w:color="auto"/>
        <w:right w:val="none" w:sz="0" w:space="0" w:color="auto"/>
      </w:divBdr>
    </w:div>
    <w:div w:id="1260679354">
      <w:bodyDiv w:val="1"/>
      <w:marLeft w:val="0"/>
      <w:marRight w:val="0"/>
      <w:marTop w:val="0"/>
      <w:marBottom w:val="0"/>
      <w:divBdr>
        <w:top w:val="none" w:sz="0" w:space="0" w:color="auto"/>
        <w:left w:val="none" w:sz="0" w:space="0" w:color="auto"/>
        <w:bottom w:val="none" w:sz="0" w:space="0" w:color="auto"/>
        <w:right w:val="none" w:sz="0" w:space="0" w:color="auto"/>
      </w:divBdr>
    </w:div>
    <w:div w:id="1275092978">
      <w:bodyDiv w:val="1"/>
      <w:marLeft w:val="0"/>
      <w:marRight w:val="0"/>
      <w:marTop w:val="0"/>
      <w:marBottom w:val="0"/>
      <w:divBdr>
        <w:top w:val="none" w:sz="0" w:space="0" w:color="auto"/>
        <w:left w:val="none" w:sz="0" w:space="0" w:color="auto"/>
        <w:bottom w:val="none" w:sz="0" w:space="0" w:color="auto"/>
        <w:right w:val="none" w:sz="0" w:space="0" w:color="auto"/>
      </w:divBdr>
    </w:div>
    <w:div w:id="1329869003">
      <w:bodyDiv w:val="1"/>
      <w:marLeft w:val="0"/>
      <w:marRight w:val="0"/>
      <w:marTop w:val="0"/>
      <w:marBottom w:val="0"/>
      <w:divBdr>
        <w:top w:val="none" w:sz="0" w:space="0" w:color="auto"/>
        <w:left w:val="none" w:sz="0" w:space="0" w:color="auto"/>
        <w:bottom w:val="none" w:sz="0" w:space="0" w:color="auto"/>
        <w:right w:val="none" w:sz="0" w:space="0" w:color="auto"/>
      </w:divBdr>
    </w:div>
    <w:div w:id="1334920159">
      <w:bodyDiv w:val="1"/>
      <w:marLeft w:val="0"/>
      <w:marRight w:val="0"/>
      <w:marTop w:val="0"/>
      <w:marBottom w:val="0"/>
      <w:divBdr>
        <w:top w:val="none" w:sz="0" w:space="0" w:color="auto"/>
        <w:left w:val="none" w:sz="0" w:space="0" w:color="auto"/>
        <w:bottom w:val="none" w:sz="0" w:space="0" w:color="auto"/>
        <w:right w:val="none" w:sz="0" w:space="0" w:color="auto"/>
      </w:divBdr>
    </w:div>
    <w:div w:id="1357384686">
      <w:bodyDiv w:val="1"/>
      <w:marLeft w:val="0"/>
      <w:marRight w:val="0"/>
      <w:marTop w:val="0"/>
      <w:marBottom w:val="0"/>
      <w:divBdr>
        <w:top w:val="none" w:sz="0" w:space="0" w:color="auto"/>
        <w:left w:val="none" w:sz="0" w:space="0" w:color="auto"/>
        <w:bottom w:val="none" w:sz="0" w:space="0" w:color="auto"/>
        <w:right w:val="none" w:sz="0" w:space="0" w:color="auto"/>
      </w:divBdr>
    </w:div>
    <w:div w:id="1495494121">
      <w:bodyDiv w:val="1"/>
      <w:marLeft w:val="0"/>
      <w:marRight w:val="0"/>
      <w:marTop w:val="0"/>
      <w:marBottom w:val="0"/>
      <w:divBdr>
        <w:top w:val="none" w:sz="0" w:space="0" w:color="auto"/>
        <w:left w:val="none" w:sz="0" w:space="0" w:color="auto"/>
        <w:bottom w:val="none" w:sz="0" w:space="0" w:color="auto"/>
        <w:right w:val="none" w:sz="0" w:space="0" w:color="auto"/>
      </w:divBdr>
    </w:div>
    <w:div w:id="1509055379">
      <w:bodyDiv w:val="1"/>
      <w:marLeft w:val="0"/>
      <w:marRight w:val="0"/>
      <w:marTop w:val="0"/>
      <w:marBottom w:val="0"/>
      <w:divBdr>
        <w:top w:val="none" w:sz="0" w:space="0" w:color="auto"/>
        <w:left w:val="none" w:sz="0" w:space="0" w:color="auto"/>
        <w:bottom w:val="none" w:sz="0" w:space="0" w:color="auto"/>
        <w:right w:val="none" w:sz="0" w:space="0" w:color="auto"/>
      </w:divBdr>
    </w:div>
    <w:div w:id="1557660034">
      <w:bodyDiv w:val="1"/>
      <w:marLeft w:val="0"/>
      <w:marRight w:val="0"/>
      <w:marTop w:val="0"/>
      <w:marBottom w:val="0"/>
      <w:divBdr>
        <w:top w:val="none" w:sz="0" w:space="0" w:color="auto"/>
        <w:left w:val="none" w:sz="0" w:space="0" w:color="auto"/>
        <w:bottom w:val="none" w:sz="0" w:space="0" w:color="auto"/>
        <w:right w:val="none" w:sz="0" w:space="0" w:color="auto"/>
      </w:divBdr>
      <w:divsChild>
        <w:div w:id="1101802218">
          <w:marLeft w:val="0"/>
          <w:marRight w:val="0"/>
          <w:marTop w:val="0"/>
          <w:marBottom w:val="0"/>
          <w:divBdr>
            <w:top w:val="none" w:sz="0" w:space="0" w:color="auto"/>
            <w:left w:val="none" w:sz="0" w:space="0" w:color="auto"/>
            <w:bottom w:val="none" w:sz="0" w:space="0" w:color="auto"/>
            <w:right w:val="none" w:sz="0" w:space="0" w:color="auto"/>
          </w:divBdr>
          <w:divsChild>
            <w:div w:id="434058555">
              <w:marLeft w:val="0"/>
              <w:marRight w:val="0"/>
              <w:marTop w:val="0"/>
              <w:marBottom w:val="0"/>
              <w:divBdr>
                <w:top w:val="none" w:sz="0" w:space="0" w:color="auto"/>
                <w:left w:val="none" w:sz="0" w:space="0" w:color="auto"/>
                <w:bottom w:val="none" w:sz="0" w:space="0" w:color="auto"/>
                <w:right w:val="none" w:sz="0" w:space="0" w:color="auto"/>
              </w:divBdr>
              <w:divsChild>
                <w:div w:id="5028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6465">
      <w:bodyDiv w:val="1"/>
      <w:marLeft w:val="0"/>
      <w:marRight w:val="0"/>
      <w:marTop w:val="0"/>
      <w:marBottom w:val="0"/>
      <w:divBdr>
        <w:top w:val="none" w:sz="0" w:space="0" w:color="auto"/>
        <w:left w:val="none" w:sz="0" w:space="0" w:color="auto"/>
        <w:bottom w:val="none" w:sz="0" w:space="0" w:color="auto"/>
        <w:right w:val="none" w:sz="0" w:space="0" w:color="auto"/>
      </w:divBdr>
      <w:divsChild>
        <w:div w:id="900404381">
          <w:marLeft w:val="0"/>
          <w:marRight w:val="0"/>
          <w:marTop w:val="0"/>
          <w:marBottom w:val="0"/>
          <w:divBdr>
            <w:top w:val="none" w:sz="0" w:space="0" w:color="auto"/>
            <w:left w:val="none" w:sz="0" w:space="0" w:color="auto"/>
            <w:bottom w:val="none" w:sz="0" w:space="0" w:color="auto"/>
            <w:right w:val="none" w:sz="0" w:space="0" w:color="auto"/>
          </w:divBdr>
          <w:divsChild>
            <w:div w:id="1460342883">
              <w:marLeft w:val="0"/>
              <w:marRight w:val="0"/>
              <w:marTop w:val="0"/>
              <w:marBottom w:val="0"/>
              <w:divBdr>
                <w:top w:val="none" w:sz="0" w:space="0" w:color="auto"/>
                <w:left w:val="none" w:sz="0" w:space="0" w:color="auto"/>
                <w:bottom w:val="none" w:sz="0" w:space="0" w:color="auto"/>
                <w:right w:val="none" w:sz="0" w:space="0" w:color="auto"/>
              </w:divBdr>
              <w:divsChild>
                <w:div w:id="20091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4309">
      <w:bodyDiv w:val="1"/>
      <w:marLeft w:val="0"/>
      <w:marRight w:val="0"/>
      <w:marTop w:val="0"/>
      <w:marBottom w:val="0"/>
      <w:divBdr>
        <w:top w:val="none" w:sz="0" w:space="0" w:color="auto"/>
        <w:left w:val="none" w:sz="0" w:space="0" w:color="auto"/>
        <w:bottom w:val="none" w:sz="0" w:space="0" w:color="auto"/>
        <w:right w:val="none" w:sz="0" w:space="0" w:color="auto"/>
      </w:divBdr>
    </w:div>
    <w:div w:id="1699309197">
      <w:bodyDiv w:val="1"/>
      <w:marLeft w:val="0"/>
      <w:marRight w:val="0"/>
      <w:marTop w:val="0"/>
      <w:marBottom w:val="0"/>
      <w:divBdr>
        <w:top w:val="none" w:sz="0" w:space="0" w:color="auto"/>
        <w:left w:val="none" w:sz="0" w:space="0" w:color="auto"/>
        <w:bottom w:val="none" w:sz="0" w:space="0" w:color="auto"/>
        <w:right w:val="none" w:sz="0" w:space="0" w:color="auto"/>
      </w:divBdr>
    </w:div>
    <w:div w:id="1715883866">
      <w:bodyDiv w:val="1"/>
      <w:marLeft w:val="0"/>
      <w:marRight w:val="0"/>
      <w:marTop w:val="0"/>
      <w:marBottom w:val="0"/>
      <w:divBdr>
        <w:top w:val="none" w:sz="0" w:space="0" w:color="auto"/>
        <w:left w:val="none" w:sz="0" w:space="0" w:color="auto"/>
        <w:bottom w:val="none" w:sz="0" w:space="0" w:color="auto"/>
        <w:right w:val="none" w:sz="0" w:space="0" w:color="auto"/>
      </w:divBdr>
      <w:divsChild>
        <w:div w:id="1147823260">
          <w:marLeft w:val="0"/>
          <w:marRight w:val="0"/>
          <w:marTop w:val="0"/>
          <w:marBottom w:val="0"/>
          <w:divBdr>
            <w:top w:val="none" w:sz="0" w:space="0" w:color="auto"/>
            <w:left w:val="none" w:sz="0" w:space="0" w:color="auto"/>
            <w:bottom w:val="none" w:sz="0" w:space="0" w:color="auto"/>
            <w:right w:val="none" w:sz="0" w:space="0" w:color="auto"/>
          </w:divBdr>
          <w:divsChild>
            <w:div w:id="421100084">
              <w:marLeft w:val="0"/>
              <w:marRight w:val="0"/>
              <w:marTop w:val="0"/>
              <w:marBottom w:val="0"/>
              <w:divBdr>
                <w:top w:val="none" w:sz="0" w:space="0" w:color="auto"/>
                <w:left w:val="none" w:sz="0" w:space="0" w:color="auto"/>
                <w:bottom w:val="none" w:sz="0" w:space="0" w:color="auto"/>
                <w:right w:val="none" w:sz="0" w:space="0" w:color="auto"/>
              </w:divBdr>
              <w:divsChild>
                <w:div w:id="3035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5465">
      <w:bodyDiv w:val="1"/>
      <w:marLeft w:val="0"/>
      <w:marRight w:val="0"/>
      <w:marTop w:val="0"/>
      <w:marBottom w:val="0"/>
      <w:divBdr>
        <w:top w:val="none" w:sz="0" w:space="0" w:color="auto"/>
        <w:left w:val="none" w:sz="0" w:space="0" w:color="auto"/>
        <w:bottom w:val="none" w:sz="0" w:space="0" w:color="auto"/>
        <w:right w:val="none" w:sz="0" w:space="0" w:color="auto"/>
      </w:divBdr>
    </w:div>
    <w:div w:id="1895197940">
      <w:bodyDiv w:val="1"/>
      <w:marLeft w:val="0"/>
      <w:marRight w:val="0"/>
      <w:marTop w:val="0"/>
      <w:marBottom w:val="0"/>
      <w:divBdr>
        <w:top w:val="none" w:sz="0" w:space="0" w:color="auto"/>
        <w:left w:val="none" w:sz="0" w:space="0" w:color="auto"/>
        <w:bottom w:val="none" w:sz="0" w:space="0" w:color="auto"/>
        <w:right w:val="none" w:sz="0" w:space="0" w:color="auto"/>
      </w:divBdr>
    </w:div>
    <w:div w:id="2015573212">
      <w:bodyDiv w:val="1"/>
      <w:marLeft w:val="0"/>
      <w:marRight w:val="0"/>
      <w:marTop w:val="0"/>
      <w:marBottom w:val="0"/>
      <w:divBdr>
        <w:top w:val="none" w:sz="0" w:space="0" w:color="auto"/>
        <w:left w:val="none" w:sz="0" w:space="0" w:color="auto"/>
        <w:bottom w:val="none" w:sz="0" w:space="0" w:color="auto"/>
        <w:right w:val="none" w:sz="0" w:space="0" w:color="auto"/>
      </w:divBdr>
    </w:div>
    <w:div w:id="207349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redd.org/PublicationsResources/tabid/587/Default.aspx" TargetMode="External"/><Relationship Id="rId117" Type="http://schemas.openxmlformats.org/officeDocument/2006/relationships/hyperlink" Target="http://www.unece.org/env/pp/introduction.html" TargetMode="External"/><Relationship Id="rId21" Type="http://schemas.openxmlformats.org/officeDocument/2006/relationships/hyperlink" Target="http://static.squarespace.com/static/52026c1ee4b0ee324ff265f3/t/525d7449e4b0924d2f4618a2/1381856329700/Gaborone-Declaration.pdf" TargetMode="External"/><Relationship Id="rId42" Type="http://schemas.openxmlformats.org/officeDocument/2006/relationships/hyperlink" Target="https://portals.iucn.org/docs/2012congress/motions/en/M-054-2012-EN.pdf%20Accessed%2026th%20May%202014" TargetMode="External"/><Relationship Id="rId47" Type="http://schemas.openxmlformats.org/officeDocument/2006/relationships/hyperlink" Target="https://www.gov.uk/government/uploads/system/uploads/attachment_data/file/6077/2116950.pdf" TargetMode="External"/><Relationship Id="rId63" Type="http://schemas.openxmlformats.org/officeDocument/2006/relationships/hyperlink" Target="http://www.teebweb.org/wp-content/uploads/Study%20and%20Reports/Reports/Synthesis%20report/TEEB%20Synthesis%20Report%202010.pdf" TargetMode="External"/><Relationship Id="rId68" Type="http://schemas.openxmlformats.org/officeDocument/2006/relationships/hyperlink" Target="https://documents-dds-ny.un.org/doc/UNDOC/GEN/G16/175/50/PDF/G1617550.pdf?OpenElement" TargetMode="External"/><Relationship Id="rId84" Type="http://schemas.openxmlformats.org/officeDocument/2006/relationships/hyperlink" Target="http://www.cbd.int/decision/cop/?id=11654" TargetMode="External"/><Relationship Id="rId89" Type="http://schemas.openxmlformats.org/officeDocument/2006/relationships/hyperlink" Target="http://www.cbd.int/doc/meetings/fin/wsfmb-eoc-01/official/wsfmb-eoc-01-chairs-summary-en.pdf" TargetMode="External"/><Relationship Id="rId112" Type="http://schemas.openxmlformats.org/officeDocument/2006/relationships/hyperlink" Target="http://www.cbd.int/abs/doc/protocol/nagoya-protocol-en.pdf" TargetMode="External"/><Relationship Id="rId133" Type="http://schemas.openxmlformats.org/officeDocument/2006/relationships/hyperlink" Target="http://www.siani.se/event/landscapes-carbon" TargetMode="External"/><Relationship Id="rId16" Type="http://schemas.openxmlformats.org/officeDocument/2006/relationships/hyperlink" Target="http://www.agruco.org/bioandes/pdf/FORO4.pdf" TargetMode="External"/><Relationship Id="rId107" Type="http://schemas.openxmlformats.org/officeDocument/2006/relationships/hyperlink" Target="https://www.investlaos.gov.la/images/sampledata/pdf_sample/ESIA-IEE/IEE_Ministerial_Instruction_Eng.pdf" TargetMode="External"/><Relationship Id="rId11" Type="http://schemas.openxmlformats.org/officeDocument/2006/relationships/hyperlink" Target="https://www.cbd.int/decision/cop/default.shtml?id=13366" TargetMode="External"/><Relationship Id="rId32" Type="http://schemas.openxmlformats.org/officeDocument/2006/relationships/hyperlink" Target="http://www.forestcarbonpartnership.org/sites/forestcarbonpartnership.org/files/Documents/PDF/June2012/redd+_book_english_final.pdf" TargetMode="External"/><Relationship Id="rId37" Type="http://schemas.openxmlformats.org/officeDocument/2006/relationships/hyperlink" Target="http://www.cbd.int/financial/doc/fpp-innovative-financial-mechanisms-2011-en.pdf" TargetMode="External"/><Relationship Id="rId53" Type="http://schemas.openxmlformats.org/officeDocument/2006/relationships/hyperlink" Target="http://www.unpei.org/sites/default/files/dmdocuments/PEI%20brief%2004_2010_Plantations_english_d.pdf" TargetMode="External"/><Relationship Id="rId58" Type="http://schemas.openxmlformats.org/officeDocument/2006/relationships/hyperlink" Target="http://www.redd-standards.org/" TargetMode="External"/><Relationship Id="rId74" Type="http://schemas.openxmlformats.org/officeDocument/2006/relationships/hyperlink" Target="http://usaidlandtenure.net/sites/default/files/country-profiles/full-reports/USAID_Land_Tenure_Ecuador_Profile.pdf" TargetMode="External"/><Relationship Id="rId79" Type="http://schemas.openxmlformats.org/officeDocument/2006/relationships/hyperlink" Target="http://ewebapps.worldbank.org/apps/ip/Pages/Home.aspx" TargetMode="External"/><Relationship Id="rId102" Type="http://schemas.openxmlformats.org/officeDocument/2006/relationships/hyperlink" Target="http://chmecuador.ambiente.gob.ec/admcontenidos/docs/acuerdo%252520169.pdf" TargetMode="External"/><Relationship Id="rId123" Type="http://schemas.openxmlformats.org/officeDocument/2006/relationships/hyperlink" Target="http://www.grid.unep.ch/activities/assessment/geo" TargetMode="External"/><Relationship Id="rId128" Type="http://schemas.openxmlformats.org/officeDocument/2006/relationships/hyperlink" Target="http://www.dialogueseminars.net/quito/quito_home.html" TargetMode="External"/><Relationship Id="rId5" Type="http://schemas.openxmlformats.org/officeDocument/2006/relationships/webSettings" Target="webSettings.xml"/><Relationship Id="rId90" Type="http://schemas.openxmlformats.org/officeDocument/2006/relationships/hyperlink" Target="http://www.cbd.int/doc/meetings/wgri/wgri-04/official/wgri-04-cop-11-04-en.pdf" TargetMode="External"/><Relationship Id="rId95" Type="http://schemas.openxmlformats.org/officeDocument/2006/relationships/hyperlink" Target="https://lagen.nu/dom/mod/2006:49" TargetMode="External"/><Relationship Id="rId14" Type="http://schemas.openxmlformats.org/officeDocument/2006/relationships/hyperlink" Target="http://www.gaiafoundation.org/sites/default/files/documents/Statement%20of%20the%20Common%20African%20Customary%20Laws%20for%20the%20Protection%20of%20Sacred%20Sites%202012_0.pdf" TargetMode="External"/><Relationship Id="rId22" Type="http://schemas.openxmlformats.org/officeDocument/2006/relationships/hyperlink" Target="http://apliweb.uned.es/comunicacion/prensa/ficheros_ver.asp?ID=38180612" TargetMode="External"/><Relationship Id="rId27" Type="http://schemas.openxmlformats.org/officeDocument/2006/relationships/hyperlink" Target="https://countrysafeguardsystems.net/sites/default/files/Environmental%20Impact%20Assessment%20Guidelines%20%282011%29.pdf" TargetMode="External"/><Relationship Id="rId30" Type="http://schemas.openxmlformats.org/officeDocument/2006/relationships/hyperlink" Target="http://www.cbd.int/doc/meetings/fin/ds-fb-01/official/ds-fb-01-02-en.pdf" TargetMode="External"/><Relationship Id="rId35" Type="http://schemas.openxmlformats.org/officeDocument/2006/relationships/hyperlink" Target="http://www.forestcarbonportal.com/project/index.php" TargetMode="External"/><Relationship Id="rId43" Type="http://schemas.openxmlformats.org/officeDocument/2006/relationships/hyperlink" Target="http://www.icmm.com/document/4934" TargetMode="External"/><Relationship Id="rId48" Type="http://schemas.openxmlformats.org/officeDocument/2006/relationships/hyperlink" Target="http://www.ciesin.org/docs/008-574/008-574.html" TargetMode="External"/><Relationship Id="rId56" Type="http://schemas.openxmlformats.org/officeDocument/2006/relationships/hyperlink" Target="http://www.iisd.org/pdf/2014/ssi_2014.pdf" TargetMode="External"/><Relationship Id="rId64" Type="http://schemas.openxmlformats.org/officeDocument/2006/relationships/hyperlink" Target="http://www.teebweb.org/wp-content/uploads/2013/04/D0-Chapter-4-Socio-cultural-context-of-ecosystem-and-biodiversity-valuation.pdf" TargetMode="External"/><Relationship Id="rId69" Type="http://schemas.openxmlformats.org/officeDocument/2006/relationships/hyperlink" Target="https://documents-dds-ny.un.org/doc/UNDOC/GEN/G17/009/97/PDF/G1700997.pdf?OpenElement" TargetMode="External"/><Relationship Id="rId77" Type="http://schemas.openxmlformats.org/officeDocument/2006/relationships/hyperlink" Target="http://siteresources.worldbank.org/INTRANETENVIRONMENT/Publications/20712869/EnvFiscalReform.pdf" TargetMode="External"/><Relationship Id="rId100" Type="http://schemas.openxmlformats.org/officeDocument/2006/relationships/hyperlink" Target="https://www.cbd.int/abs/measures/measure.shtml?id=7920" TargetMode="External"/><Relationship Id="rId105" Type="http://schemas.openxmlformats.org/officeDocument/2006/relationships/hyperlink" Target="http://www.laolandissues.org/wp-content/uploads/2011/12/EIA-Decree-112-PM-2010-Inofficial-transl.-Eng.pdf" TargetMode="External"/><Relationship Id="rId113" Type="http://schemas.openxmlformats.org/officeDocument/2006/relationships/hyperlink" Target="https://www.cbd.int/doc/meetings/cop/cop-11/official/cop-11-14-add3-en.pdf" TargetMode="External"/><Relationship Id="rId118" Type="http://schemas.openxmlformats.org/officeDocument/2006/relationships/hyperlink" Target="http://unfccc.int/resource/docs/convkp/conveng.pdf" TargetMode="External"/><Relationship Id="rId126" Type="http://schemas.openxmlformats.org/officeDocument/2006/relationships/hyperlink" Target="http://www.un-redd.org/Multiple_Benefits_SEPC/tabid/54130/Default.aspx" TargetMode="External"/><Relationship Id="rId13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www.agruco.org/bioandes/pdf/FORO4.pdf" TargetMode="External"/><Relationship Id="rId72" Type="http://schemas.openxmlformats.org/officeDocument/2006/relationships/hyperlink" Target="http://unpei.org/sites/default/files/publications/seeds%20of%20change-static-web.pdf" TargetMode="External"/><Relationship Id="rId80" Type="http://schemas.openxmlformats.org/officeDocument/2006/relationships/hyperlink" Target="http://ecuadorforestal.org/wp-content/uploads/2010/05/LEY-DE-GESTION-AMBIENTAL.pdf" TargetMode="External"/><Relationship Id="rId85" Type="http://schemas.openxmlformats.org/officeDocument/2006/relationships/hyperlink" Target="http://www.cbd.int/doc/meetings/for/ewredd-01/official/ewredd-01-03-en.pdf" TargetMode="External"/><Relationship Id="rId93" Type="http://schemas.openxmlformats.org/officeDocument/2006/relationships/hyperlink" Target="http://www.cbd.int/cop11/doc/" TargetMode="External"/><Relationship Id="rId98" Type="http://schemas.openxmlformats.org/officeDocument/2006/relationships/hyperlink" Target="http://extwprlegs1.fao.org/docs/pdf/lao141172.pdf" TargetMode="External"/><Relationship Id="rId121" Type="http://schemas.openxmlformats.org/officeDocument/2006/relationships/hyperlink" Target="http://unfccc.int/methods/redd/items/6149.php"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numa.org/publicaciones/PCB%20ASOCASAN_espanol_2012.pdf" TargetMode="External"/><Relationship Id="rId25" Type="http://schemas.openxmlformats.org/officeDocument/2006/relationships/hyperlink" Target="https://ebox.su.se/owa/redir.aspx?C=SR2-A-8MHEiLFg32kztg_G6c72nIT9EI-JFN95ladK6CBSobUovPBlPhx6AJ2n7hXJNsl9NjROY.&amp;URL=http%3a%2f%2fec.europa.eu%2fenvironment%2fenveco%2fpdf%2feftec_habitat_technical_report.pdf" TargetMode="External"/><Relationship Id="rId33" Type="http://schemas.openxmlformats.org/officeDocument/2006/relationships/hyperlink" Target="http://www.forestcarbonpartnership.org/sites/fcp/files/Documents/tagged/FCPF%20UN-REDD%20Stakeholder%20Guidelines%20Note%20Draft%2011-17-10.pdf" TargetMode="External"/><Relationship Id="rId38" Type="http://schemas.openxmlformats.org/officeDocument/2006/relationships/hyperlink" Target="http://www.internationalrivers.org/files/attached-files/will_safeguards_survive_june_2012.pdf" TargetMode="External"/><Relationship Id="rId46" Type="http://schemas.openxmlformats.org/officeDocument/2006/relationships/hyperlink" Target="http://www.cbd.int/doc/publications/cbd-ts-24.pdf" TargetMode="External"/><Relationship Id="rId59" Type="http://schemas.openxmlformats.org/officeDocument/2006/relationships/hyperlink" Target="http://www.iisd.ca/download/pdf/sd/ymbvol173num3e.pdf%20Accessed%2030th%20July%202012" TargetMode="External"/><Relationship Id="rId67" Type="http://schemas.openxmlformats.org/officeDocument/2006/relationships/hyperlink" Target="http://www.asb.cgiar.org/PDFwebdocs/PolicyBrief2.pdf" TargetMode="External"/><Relationship Id="rId103" Type="http://schemas.openxmlformats.org/officeDocument/2006/relationships/hyperlink" Target="https://www.investlaos.gov.la/images/sampledata/pdf_sample/ESIA-IEE/Ministerial_Agreement_Eng.pdf" TargetMode="External"/><Relationship Id="rId108" Type="http://schemas.openxmlformats.org/officeDocument/2006/relationships/hyperlink" Target="https://www.resourcedata.org/dataset/rgi--on-environmental-and-social-impact-assessment-process-of-the-investment-projects-and-activities" TargetMode="External"/><Relationship Id="rId116" Type="http://schemas.openxmlformats.org/officeDocument/2006/relationships/hyperlink" Target="http://www.cbd.int/doc/meetings/cop/cop-12/official/cop-12-05-add1-en.pdf" TargetMode="External"/><Relationship Id="rId124" Type="http://schemas.openxmlformats.org/officeDocument/2006/relationships/hyperlink" Target="http://www.cbd.int/doc/meetings/wgri/wgri-04/in-session/wgri-04-L-07-en.doc" TargetMode="External"/><Relationship Id="rId129" Type="http://schemas.openxmlformats.org/officeDocument/2006/relationships/hyperlink" Target="http://www.cbd.int/business/bc/3m.shtml" TargetMode="External"/><Relationship Id="rId20" Type="http://schemas.openxmlformats.org/officeDocument/2006/relationships/hyperlink" Target="http://www.environment.gov.au/system/files/resources/d0f84da6-eb69-4053-8d96-ec294da649bc/files/abrca.pdf" TargetMode="External"/><Relationship Id="rId41" Type="http://schemas.openxmlformats.org/officeDocument/2006/relationships/hyperlink" Target="http://www.gaiafoundation.org/sites/default/files/documents/Custodian-Statement-on-Sacred-Natural-Sites1.pdf" TargetMode="External"/><Relationship Id="rId54" Type="http://schemas.openxmlformats.org/officeDocument/2006/relationships/hyperlink" Target="http://www.planvivo.org/documents/standards.pdf" TargetMode="External"/><Relationship Id="rId62" Type="http://schemas.openxmlformats.org/officeDocument/2006/relationships/hyperlink" Target="http://doi.org/10.1007/s13280-014-0501-3" TargetMode="External"/><Relationship Id="rId70" Type="http://schemas.openxmlformats.org/officeDocument/2006/relationships/hyperlink" Target="http://www.la.undp.org/content/dam/laopdr/docs/Project%20Briefs_Fact%20Sheets/Environment/FINAL%20PEI%20Project-Brief_Dec2016.pdf" TargetMode="External"/><Relationship Id="rId75" Type="http://schemas.openxmlformats.org/officeDocument/2006/relationships/hyperlink" Target="http://www.umb.no/statisk/noragric/publications/reports/2011_nor_rep_60.pdf" TargetMode="External"/><Relationship Id="rId83" Type="http://schemas.openxmlformats.org/officeDocument/2006/relationships/hyperlink" Target="http://www.cbd.int/decision/cop/default.shtml?id=11042" TargetMode="External"/><Relationship Id="rId88" Type="http://schemas.openxmlformats.org/officeDocument/2006/relationships/hyperlink" Target="http://www.cbd.int/decisions/?id=12269" TargetMode="External"/><Relationship Id="rId91" Type="http://schemas.openxmlformats.org/officeDocument/2006/relationships/hyperlink" Target="http://www.cbd.int/doc/meetings/cop/cop-11/official/cop-11-14-add3-en.pdf" TargetMode="External"/><Relationship Id="rId96" Type="http://schemas.openxmlformats.org/officeDocument/2006/relationships/hyperlink" Target="http://simce.ambiente.gob.ec/documentos/ley-forestal-y-conservacion-areas-naturales-y-vida" TargetMode="External"/><Relationship Id="rId111" Type="http://schemas.openxmlformats.org/officeDocument/2006/relationships/hyperlink" Target="http://www.cbd.int/gbo3/?pub=6667&amp;section=6673" TargetMode="External"/><Relationship Id="rId132" Type="http://schemas.openxmlformats.org/officeDocument/2006/relationships/hyperlink" Target="http://www.tebtebba.org/index.php/content/271-developing-and-implementing-cbmis-the-global-workshop-and-the-philippine-workshop-repor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rchive.ias.unu.edu/binaries/UNUIAS_TKRegistersReport.pdf" TargetMode="External"/><Relationship Id="rId23" Type="http://schemas.openxmlformats.org/officeDocument/2006/relationships/hyperlink" Target="https://www.idhsustainabletrade.com/uploaded/2017/03/Dalberg-RR-Report.pdf" TargetMode="External"/><Relationship Id="rId28" Type="http://schemas.openxmlformats.org/officeDocument/2006/relationships/hyperlink" Target="ftp://ftp.fao.org/docrep/fao/005/x2038e/x2038e00.pdf" TargetMode="External"/><Relationship Id="rId36" Type="http://schemas.openxmlformats.org/officeDocument/2006/relationships/hyperlink" Target="http://www.forestpeoples.org/sites/fpp/files/publication/2011/11/lessons-field-briefing-english.pdf" TargetMode="External"/><Relationship Id="rId49" Type="http://schemas.openxmlformats.org/officeDocument/2006/relationships/hyperlink" Target="http://www.oecd.org/greengrowth/green-development/34996292.pdf" TargetMode="External"/><Relationship Id="rId57" Type="http://schemas.openxmlformats.org/officeDocument/2006/relationships/hyperlink" Target="http://webarchive.nationalarchives.gov.uk/20120919132719/http://www.communities.gov.uk/documents/planningandbuilding/pdf/147408.pdf" TargetMode="External"/><Relationship Id="rId106" Type="http://schemas.openxmlformats.org/officeDocument/2006/relationships/hyperlink" Target="http://www.laolandissues.org/wp-content/uploads/2011/12/Approved-Resettlement-Decree-192-PM-Eng-2005.pdf" TargetMode="External"/><Relationship Id="rId114" Type="http://schemas.openxmlformats.org/officeDocument/2006/relationships/hyperlink" Target="http://sociobosque.ambiente.gob.ec/files/MANUAL%252520OPERATIVO%252520SB%252520UNIFICADO%2525202012.pdf" TargetMode="External"/><Relationship Id="rId119" Type="http://schemas.openxmlformats.org/officeDocument/2006/relationships/hyperlink" Target="http://unfccc.int/resource/docs/2007/cop13/eng/06a01.pdf" TargetMode="External"/><Relationship Id="rId127" Type="http://schemas.openxmlformats.org/officeDocument/2006/relationships/hyperlink" Target="http://www.vientianetimes.org.la/Laws%20in%20English/32.%20Law%20on%20Water%20and%20Water%20Resources%20(1996)%20Eng.pdf" TargetMode="External"/><Relationship Id="rId10" Type="http://schemas.openxmlformats.org/officeDocument/2006/relationships/image" Target="media/image3.png"/><Relationship Id="rId31" Type="http://schemas.openxmlformats.org/officeDocument/2006/relationships/hyperlink" Target="http://cdkn.org/wp-content/uploads/2012/09/Ecuador-InsideStory__WEB2.pdf" TargetMode="External"/><Relationship Id="rId44" Type="http://schemas.openxmlformats.org/officeDocument/2006/relationships/hyperlink" Target="http://www.globalexchange.org/resources/wto/agriculture" TargetMode="External"/><Relationship Id="rId52" Type="http://schemas.openxmlformats.org/officeDocument/2006/relationships/hyperlink" Target="http://www.emeraldinsight.com/1756-8692.htm" TargetMode="External"/><Relationship Id="rId60" Type="http://schemas.openxmlformats.org/officeDocument/2006/relationships/hyperlink" Target="http://dx.doi.org/10.1002/eet.429" TargetMode="External"/><Relationship Id="rId65" Type="http://schemas.openxmlformats.org/officeDocument/2006/relationships/hyperlink" Target="http://www.unep.org/pdf/TEEB_D1_Summary.pdf" TargetMode="External"/><Relationship Id="rId73" Type="http://schemas.openxmlformats.org/officeDocument/2006/relationships/hyperlink" Target="https://www.unpei.org/sites/default/files/e_library_documents/ESIA_review_guidelines_JULY_16_2010_for%20consultations.pdf" TargetMode="External"/><Relationship Id="rId78" Type="http://schemas.openxmlformats.org/officeDocument/2006/relationships/hyperlink" Target="http://web.worldbank.org/WBSITE/EXTERNAL/PROJECTS/EXTPOLICIES/EXTSAFEPOL/0,,contentMDK:20543912~menuPK:1286357~pagePK:64168445~piPK:64168309~theSitePK:584435,00.html" TargetMode="External"/><Relationship Id="rId81" Type="http://schemas.openxmlformats.org/officeDocument/2006/relationships/hyperlink" Target="http://biblioteca.espe.edu.ec/upload/2008.pdf" TargetMode="External"/><Relationship Id="rId86" Type="http://schemas.openxmlformats.org/officeDocument/2006/relationships/hyperlink" Target="http://www.cbd.int/doc/meetings/wgri/wgri-03/information/wgri-03-inf-05-en.pdf" TargetMode="External"/><Relationship Id="rId94" Type="http://schemas.openxmlformats.org/officeDocument/2006/relationships/hyperlink" Target="http://www.laolandissues.org/wp-content/uploads/2016/06/Decree-84-April-5-2016-replacement-of-decree-192-English.pdf" TargetMode="External"/><Relationship Id="rId99" Type="http://schemas.openxmlformats.org/officeDocument/2006/relationships/hyperlink" Target="http://www.austlii.edu.au/au/legis/nt/bill_es/brb2006220/es.html" TargetMode="External"/><Relationship Id="rId101" Type="http://schemas.openxmlformats.org/officeDocument/2006/relationships/hyperlink" Target="http://www.vientianetimes.org.la/Laws%20in%20English/36.%20Law%20on%20Mining%20(1997)%20Eng.pdf" TargetMode="External"/><Relationship Id="rId122" Type="http://schemas.openxmlformats.org/officeDocument/2006/relationships/hyperlink" Target="http://unfccc.int/resource/docs/2011/cop17/eng/09a02.pdf" TargetMode="External"/><Relationship Id="rId130" Type="http://schemas.openxmlformats.org/officeDocument/2006/relationships/hyperlink" Target="http://www.cbd.int/doc/notifications/2013/ntf-2013-002-trondheim-en.pdf" TargetMode="External"/><Relationship Id="rId13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dx.doi.org/10.5751/ES-08088-210109" TargetMode="External"/><Relationship Id="rId18" Type="http://schemas.openxmlformats.org/officeDocument/2006/relationships/hyperlink" Target="http://www.forest-trends.org/biodiversityoffsetprogram/guidelines/eia.pdf" TargetMode="External"/><Relationship Id="rId39" Type="http://schemas.openxmlformats.org/officeDocument/2006/relationships/hyperlink" Target="http://www.drfn.info:85/pdf/RDP75.pdf" TargetMode="External"/><Relationship Id="rId109" Type="http://schemas.openxmlformats.org/officeDocument/2006/relationships/hyperlink" Target="http://www.oas.org/juridico/PDFs/mesicic4_ecu_org6.pdf" TargetMode="External"/><Relationship Id="rId34" Type="http://schemas.openxmlformats.org/officeDocument/2006/relationships/hyperlink" Target="http://www.forestcarbonportal.com/project/ashaninca-communal-reserve-redd-project" TargetMode="External"/><Relationship Id="rId50" Type="http://schemas.openxmlformats.org/officeDocument/2006/relationships/hyperlink" Target="http://dx.doi.org/10.1787/9789264193833-en" TargetMode="External"/><Relationship Id="rId55" Type="http://schemas.openxmlformats.org/officeDocument/2006/relationships/hyperlink" Target="http://www.planvivo.org" TargetMode="External"/><Relationship Id="rId76" Type="http://schemas.openxmlformats.org/officeDocument/2006/relationships/hyperlink" Target="http://web.worldbank.org/WBSITE/EXTERNAL/TOPICS/ENVIRONMENT/EXTEEI/0,,contentMDK:20487983~menuPK:1187844~pagePK:210058~piPK:210062~theSitePK:408050~isCURL:Y,00.html" TargetMode="External"/><Relationship Id="rId97" Type="http://schemas.openxmlformats.org/officeDocument/2006/relationships/hyperlink" Target="http://intranet.iucn.org/webfiles/doc/IUCNPolicy/Resolutions/2008_WCC_4/English/RES/res_4_038_recognition_and_conservation_of_sacred_natural_sites_in_protected_areas_.pdf" TargetMode="External"/><Relationship Id="rId104" Type="http://schemas.openxmlformats.org/officeDocument/2006/relationships/hyperlink" Target="http://www.laolandissues.org/wp-content/uploads/2012/03/Decree-88-Final-Eng.doc" TargetMode="External"/><Relationship Id="rId120" Type="http://schemas.openxmlformats.org/officeDocument/2006/relationships/hyperlink" Target="http://unfccc.int/resource/docs/2010/cop16/eng/07a01.pdf" TargetMode="External"/><Relationship Id="rId125" Type="http://schemas.openxmlformats.org/officeDocument/2006/relationships/hyperlink" Target="http://daccess-dds-ny.un.org/doc/UNDOC/GEN/N11/476/10/PDF/N1147610.pdf?OpenElement" TargetMode="External"/><Relationship Id="rId7" Type="http://schemas.openxmlformats.org/officeDocument/2006/relationships/endnotes" Target="endnotes.xml"/><Relationship Id="rId71" Type="http://schemas.openxmlformats.org/officeDocument/2006/relationships/hyperlink" Target="http://www.unep.ch/etb/publications/EconInst/econInstruOppChnaFin.pdf" TargetMode="External"/><Relationship Id="rId92" Type="http://schemas.openxmlformats.org/officeDocument/2006/relationships/hyperlink" Target="https://www.cbd.int/doc/decisions/cop-11/full/cop-11-dec-en.pdf" TargetMode="External"/><Relationship Id="rId2" Type="http://schemas.openxmlformats.org/officeDocument/2006/relationships/numbering" Target="numbering.xml"/><Relationship Id="rId29" Type="http://schemas.openxmlformats.org/officeDocument/2006/relationships/hyperlink" Target="http://blog.ecoagriculture.org/2012/03/14/forest_peoples_programme/" TargetMode="External"/><Relationship Id="rId24" Type="http://schemas.openxmlformats.org/officeDocument/2006/relationships/hyperlink" Target="http://dx.doi.org/10.5367/sear.2011.0056" TargetMode="External"/><Relationship Id="rId40" Type="http://schemas.openxmlformats.org/officeDocument/2006/relationships/hyperlink" Target="https://community.iucn.org/rba1/Documents/ItuarteLimaSubramanian2011.pdf?Mobile=1&amp;Source=%2Frba1%2F_layouts%2Fmobile%2Fview.aspx%3FList%3D4dfcbb6c-8249-4f61-baa9-2e84199ea8b5%26View%3D0d9a923a-0dd4-4499-b428-626683fb8fba%26CurrentPage%3D1" TargetMode="External"/><Relationship Id="rId45" Type="http://schemas.openxmlformats.org/officeDocument/2006/relationships/hyperlink" Target="http://naturaljustice.org/wp-content/uploads/pdf/LivingConventiononBioculturalDiversity-FirstEdition2012-1.pdf" TargetMode="External"/><Relationship Id="rId66" Type="http://schemas.openxmlformats.org/officeDocument/2006/relationships/hyperlink" Target="http://oxforddictionaries.com" TargetMode="External"/><Relationship Id="rId87" Type="http://schemas.openxmlformats.org/officeDocument/2006/relationships/hyperlink" Target="http://www.cbd.int/financial/doc/2011-03-budapest-IFM-report-en.pdf" TargetMode="External"/><Relationship Id="rId110" Type="http://schemas.openxmlformats.org/officeDocument/2006/relationships/hyperlink" Target="http://www.miliarium.com/paginas/leyes/internacional/Ecuador/General/cp.pdf" TargetMode="External"/><Relationship Id="rId115" Type="http://schemas.openxmlformats.org/officeDocument/2006/relationships/hyperlink" Target="http://www.quitoambiente.gob.ec/index.php?option=com_k2&amp;view=item&amp;id=125:texto-unificado-de-legislaci%2525C3%2525B3n-ambiental-secundaria-del-ministerio-de-ambiente-tulas&amp;lang=es" TargetMode="External"/><Relationship Id="rId131" Type="http://schemas.openxmlformats.org/officeDocument/2006/relationships/hyperlink" Target="https://www.cbd.int/sbstta/doc/trondheim-07-cochairs-report-en.pdf" TargetMode="External"/><Relationship Id="rId136" Type="http://schemas.openxmlformats.org/officeDocument/2006/relationships/theme" Target="theme/theme1.xml"/><Relationship Id="rId61" Type="http://schemas.openxmlformats.org/officeDocument/2006/relationships/hyperlink" Target="http://www.cbd.int/doc/meetings/fin/ds-fb-02/official/ds-fb-02-report-en.pdf" TargetMode="External"/><Relationship Id="rId82" Type="http://schemas.openxmlformats.org/officeDocument/2006/relationships/hyperlink" Target="http://www.biodiv.org/doc/legal/cbd-en.pdf" TargetMode="External"/><Relationship Id="rId19" Type="http://schemas.openxmlformats.org/officeDocument/2006/relationships/hyperlink" Target="https://s3.amazonaws.com/CCBA/Third_Edition/CCB_Standards_Third_Edition_December_2013.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eb.worldbank.org/WBSITE/EXTERNAL/PROJECTS/EXTPOLICIES/EXTSAFEPOL/0,,contentMDK:20543912~menuPK:1286357~pagePK:64168445~piPK:64168309~theSitePK:584435,00.html" TargetMode="External"/><Relationship Id="rId18" Type="http://schemas.openxmlformats.org/officeDocument/2006/relationships/hyperlink" Target="http://www.asb.cgiar.org/PDFwebdocs/PolicyBrief2.pdf" TargetMode="External"/><Relationship Id="rId26" Type="http://schemas.openxmlformats.org/officeDocument/2006/relationships/hyperlink" Target="http://www.teebweb.org/wp-content/uploads/2013/04/D0-Chapter-4-Socio-cultural-context-of-ecosystem-and-biodiversity-valuation.pdf" TargetMode="External"/><Relationship Id="rId39" Type="http://schemas.openxmlformats.org/officeDocument/2006/relationships/hyperlink" Target="http://ewebapps.worldbank.org/apps/ip/Pages/Home.aspx" TargetMode="External"/><Relationship Id="rId21" Type="http://schemas.openxmlformats.org/officeDocument/2006/relationships/hyperlink" Target="http://www.reddstandards.org" TargetMode="External"/><Relationship Id="rId34" Type="http://schemas.openxmlformats.org/officeDocument/2006/relationships/hyperlink" Target="http://blog.ecoagriculture.org/2012/03/14/forest_peoples_programme/" TargetMode="External"/><Relationship Id="rId42" Type="http://schemas.openxmlformats.org/officeDocument/2006/relationships/hyperlink" Target="http://www.umb.no/statisk/noragric/publications/reports/2011_nor_rep_60.pdf" TargetMode="External"/><Relationship Id="rId47" Type="http://schemas.openxmlformats.org/officeDocument/2006/relationships/hyperlink" Target="https://lagen.nu/dom/mod/2006:49" TargetMode="External"/><Relationship Id="rId50" Type="http://schemas.openxmlformats.org/officeDocument/2006/relationships/hyperlink" Target="https://www.gov.uk/government/uploads/system/uploads/attachment_data/file/6077/2116950.pdf" TargetMode="External"/><Relationship Id="rId55" Type="http://schemas.openxmlformats.org/officeDocument/2006/relationships/hyperlink" Target="http://www.drfn.info:85/pdf/RDP75.pdf" TargetMode="External"/><Relationship Id="rId63" Type="http://schemas.openxmlformats.org/officeDocument/2006/relationships/hyperlink" Target="http://ambio.org.mx/dictamen-tecnico-para-el-fomento-de-cafeticultura-en-areas-naturales-protegidas/" TargetMode="External"/><Relationship Id="rId68" Type="http://schemas.openxmlformats.org/officeDocument/2006/relationships/hyperlink" Target="http://cmsdata.iucn.org/downloads/pa_guidelines_016_sacred_natural_sites.pdf" TargetMode="External"/><Relationship Id="rId76" Type="http://schemas.openxmlformats.org/officeDocument/2006/relationships/hyperlink" Target="http://www.laolandissues.org/wp-content/uploads/2011/12/EIA-Decree-112-PM-2010-Inofficial-transl.-Eng.pdf" TargetMode="External"/><Relationship Id="rId7" Type="http://schemas.openxmlformats.org/officeDocument/2006/relationships/hyperlink" Target="http://www.cbd.int/doc/meetings/fin/wsfmb-eoc-01/official/wsfmb-eoc-01-chairs-summary-en.pdf" TargetMode="External"/><Relationship Id="rId71" Type="http://schemas.openxmlformats.org/officeDocument/2006/relationships/hyperlink" Target="http://www.cbd.int/doc/publications/cbd-ts-24.pdf" TargetMode="External"/><Relationship Id="rId2" Type="http://schemas.openxmlformats.org/officeDocument/2006/relationships/hyperlink" Target="http://www.cbd.int/decision/cop/?id=11654" TargetMode="External"/><Relationship Id="rId16" Type="http://schemas.openxmlformats.org/officeDocument/2006/relationships/hyperlink" Target="http://unfccc.int/methods_science/redd/items/6149.php" TargetMode="External"/><Relationship Id="rId29" Type="http://schemas.openxmlformats.org/officeDocument/2006/relationships/hyperlink" Target="https://community.iucn.org/rba1/Documents/ItuarteLimaSubramanian2011.pdf?Mobile=1&amp;Source=%2Frba1%2F_layouts%2Fmobile%2Fview.aspx%3FList%3D4dfcbb6c-8249-4f61-baa9-2e84199ea8b5%26View%3D0d9a923a-0dd4-4499-b428-626683fb8fba%26CurrentPage%3D1" TargetMode="External"/><Relationship Id="rId11" Type="http://schemas.openxmlformats.org/officeDocument/2006/relationships/hyperlink" Target="http://www.umb.no/statisk/noragric/publications/reports/2011_nor_rep_60.pdf" TargetMode="External"/><Relationship Id="rId24" Type="http://schemas.openxmlformats.org/officeDocument/2006/relationships/hyperlink" Target="http://daccess-dds-ny.un.org/doc/UNDOC/GEN/N11/476/10/PDF/N1147610.pdf?OpenElement" TargetMode="External"/><Relationship Id="rId32" Type="http://schemas.openxmlformats.org/officeDocument/2006/relationships/hyperlink" Target="http://www.austlii.edu.au/au/legis/nt/bill_es/brb2006220/es.html" TargetMode="External"/><Relationship Id="rId37" Type="http://schemas.openxmlformats.org/officeDocument/2006/relationships/hyperlink" Target="http://www.unece.org/env/pp/cc.html" TargetMode="External"/><Relationship Id="rId40" Type="http://schemas.openxmlformats.org/officeDocument/2006/relationships/hyperlink" Target="https://www.cbd.int/decision/cop/?id=11654" TargetMode="External"/><Relationship Id="rId45" Type="http://schemas.openxmlformats.org/officeDocument/2006/relationships/hyperlink" Target="http://bbop.forest-trends.org/guidelines/participation.pdf" TargetMode="External"/><Relationship Id="rId53" Type="http://schemas.openxmlformats.org/officeDocument/2006/relationships/hyperlink" Target="http://siteresources.worldbank.org/INTRANETENVIRONMENT/Publications/20712869/EnvFiscalReform.pdf" TargetMode="External"/><Relationship Id="rId58" Type="http://schemas.openxmlformats.org/officeDocument/2006/relationships/hyperlink" Target="http://www.forestcarbonportal.com/project/index.php" TargetMode="External"/><Relationship Id="rId66" Type="http://schemas.openxmlformats.org/officeDocument/2006/relationships/hyperlink" Target="http://intranet.iucn.org/webfiles/doc/IUCNPolicy/Resolutions/2008_WCC_4/English/RES/res_4_038_recognition_and_conservation_of_sacred_natural_sites_in_protected_areas_.pdf" TargetMode="External"/><Relationship Id="rId74" Type="http://schemas.openxmlformats.org/officeDocument/2006/relationships/hyperlink" Target="https://documents-dds-ny.un.org/doc/UNDOC/GEN/G17/009/97/PDF/G1700997.pdf?OpenElement" TargetMode="External"/><Relationship Id="rId5" Type="http://schemas.openxmlformats.org/officeDocument/2006/relationships/hyperlink" Target="http://www.cbd.int/doc/meetings/fin/ds-fb-02/official/ds-fb-02-report-en.pdf" TargetMode="External"/><Relationship Id="rId15" Type="http://schemas.openxmlformats.org/officeDocument/2006/relationships/hyperlink" Target="http://web.worldbank.org/WBSITE/EXTERNAL/TOPICS/ENVIRONMENT/EXTEEI/0,,contentMDK:20487983~menuPK:1187844~pagePK:210058~piPK:210062~theSitePK:408050~isCURL:Y,00.html" TargetMode="External"/><Relationship Id="rId23" Type="http://schemas.openxmlformats.org/officeDocument/2006/relationships/hyperlink" Target="http://www.planvivo.org" TargetMode="External"/><Relationship Id="rId28" Type="http://schemas.openxmlformats.org/officeDocument/2006/relationships/hyperlink" Target="http://www.forestcarbonpartnership.org/fcp/sites/forestcarbonpartnership.org/files/Documents/PDF/June2012/redd%2B_book_english_final.pdf" TargetMode="External"/><Relationship Id="rId36" Type="http://schemas.openxmlformats.org/officeDocument/2006/relationships/hyperlink" Target="http://www.unece.org/env/pp/introduction.html" TargetMode="External"/><Relationship Id="rId49" Type="http://schemas.openxmlformats.org/officeDocument/2006/relationships/hyperlink" Target="http://webarchive.nationalarchives.gov.uk/20120919132719/http://www.communities.gov.uk/documents/planningandbuilding/pdf/147408.pdf" TargetMode="External"/><Relationship Id="rId57" Type="http://schemas.openxmlformats.org/officeDocument/2006/relationships/hyperlink" Target="http://www.cbd.int/decision/cop/?id=11654" TargetMode="External"/><Relationship Id="rId61" Type="http://schemas.openxmlformats.org/officeDocument/2006/relationships/hyperlink" Target="https://www.gob.mx/siap/acciones-y-programas/produccion-agricola-33119" TargetMode="External"/><Relationship Id="rId10" Type="http://schemas.openxmlformats.org/officeDocument/2006/relationships/hyperlink" Target="http://www.etcgroup.org" TargetMode="External"/><Relationship Id="rId19" Type="http://schemas.openxmlformats.org/officeDocument/2006/relationships/hyperlink" Target="http://www.cbd.int/cop10/doc" TargetMode="External"/><Relationship Id="rId31" Type="http://schemas.openxmlformats.org/officeDocument/2006/relationships/hyperlink" Target="http://www.environment.gov.au/system/files/resources/d0f84da6-eb69-4053-8d96-ec294da649bc/files/abrca.pdf" TargetMode="External"/><Relationship Id="rId44" Type="http://schemas.openxmlformats.org/officeDocument/2006/relationships/hyperlink" Target="http://www.ciesin.org/docs/008-574/008-574.html" TargetMode="External"/><Relationship Id="rId52" Type="http://schemas.openxmlformats.org/officeDocument/2006/relationships/hyperlink" Target="https://documents-dds-ny.un.org/doc/UNDOC/GEN/G16/175/50/PDF/G1617550.pdf?OpenElement" TargetMode="External"/><Relationship Id="rId60" Type="http://schemas.openxmlformats.org/officeDocument/2006/relationships/hyperlink" Target="http://www.ecolabelindex.com" TargetMode="External"/><Relationship Id="rId65" Type="http://schemas.openxmlformats.org/officeDocument/2006/relationships/hyperlink" Target="http://www.cbd.int/cop11/doc/" TargetMode="External"/><Relationship Id="rId73" Type="http://schemas.openxmlformats.org/officeDocument/2006/relationships/hyperlink" Target="http://www.unpei.org/sites/default/files/dmdocuments/PEI%20brief%2008_2010_Mining_english_d.pdf" TargetMode="External"/><Relationship Id="rId78" Type="http://schemas.openxmlformats.org/officeDocument/2006/relationships/hyperlink" Target="http://www.la.undp.org/content/dam/laopdr/docs/Project%20Briefs_Fact%20Sheets/Environment/FINAL%20PEI%20Project-Brief_Dec2016.pdf" TargetMode="External"/><Relationship Id="rId4" Type="http://schemas.openxmlformats.org/officeDocument/2006/relationships/hyperlink" Target="http://www.cbd.int/doc/meetings/wgri/wgri-04/in-session/wgri-04-L-07-en.doc" TargetMode="External"/><Relationship Id="rId9" Type="http://schemas.openxmlformats.org/officeDocument/2006/relationships/hyperlink" Target="http://www.globalexchange.org/resources/wto/agriculture" TargetMode="External"/><Relationship Id="rId14" Type="http://schemas.openxmlformats.org/officeDocument/2006/relationships/hyperlink" Target="https://www.cbd.int/decision/cop/?id=11654" TargetMode="External"/><Relationship Id="rId22" Type="http://schemas.openxmlformats.org/officeDocument/2006/relationships/hyperlink" Target="http://www.cbd.int/doc/meetings/fin/wsfmb-eoc-01/official/wsfmb-eoc-01-chairs-summary-en.pdf" TargetMode="External"/><Relationship Id="rId27" Type="http://schemas.openxmlformats.org/officeDocument/2006/relationships/hyperlink" Target="http://www.teebweb.org/wp-content/uploads/Study%20and%20Reports/Reports/Synthesis%20report/TEEB%20Synthesis%20Report%202010.pdf" TargetMode="External"/><Relationship Id="rId30" Type="http://schemas.openxmlformats.org/officeDocument/2006/relationships/hyperlink" Target="http://archive.ias.unu.edu/binaries/UNUIAS_TKRegistersReport.pdf" TargetMode="External"/><Relationship Id="rId35" Type="http://schemas.openxmlformats.org/officeDocument/2006/relationships/hyperlink" Target="http://static.squarespace.com/static/52026c1ee4b0ee324ff265f3/t/525d7449e4b0924d2f4618a2/1381856329700/Gaborone-Declaration.pdf" TargetMode="External"/><Relationship Id="rId43" Type="http://schemas.openxmlformats.org/officeDocument/2006/relationships/hyperlink" Target="http://www.emeraldinsight.com/1756-8692.htm" TargetMode="External"/><Relationship Id="rId48" Type="http://schemas.openxmlformats.org/officeDocument/2006/relationships/hyperlink" Target="http://www.cbd.int/financial/doc/2011-03-budapest-IFM-report-en.pdf.IFM" TargetMode="External"/><Relationship Id="rId56" Type="http://schemas.openxmlformats.org/officeDocument/2006/relationships/hyperlink" Target="http://www.unep.ch/etb/publications/EconInst/econInstruOppChnaFin.pdf" TargetMode="External"/><Relationship Id="rId64" Type="http://schemas.openxmlformats.org/officeDocument/2006/relationships/hyperlink" Target="http://www.cbd.int/cop11/doc/" TargetMode="External"/><Relationship Id="rId69" Type="http://schemas.openxmlformats.org/officeDocument/2006/relationships/hyperlink" Target="https://portals.iucn.org/docs/2012congress/motions/en/M-054-2012-EN.pdf" TargetMode="External"/><Relationship Id="rId77" Type="http://schemas.openxmlformats.org/officeDocument/2006/relationships/hyperlink" Target="https://www.unpei.org/sites/default/files/e_library_documents/ESIA_review_guidelines_JULY_16_2010_for%20consultations.pdf" TargetMode="External"/><Relationship Id="rId8" Type="http://schemas.openxmlformats.org/officeDocument/2006/relationships/hyperlink" Target="http://oxforddictionaries.com/definition/american_english/corporatize" TargetMode="External"/><Relationship Id="rId51" Type="http://schemas.openxmlformats.org/officeDocument/2006/relationships/hyperlink" Target="http://www.kulturland.se/wp-%20content/uploads/2014/12/Kompensation%20low.pdf" TargetMode="External"/><Relationship Id="rId72" Type="http://schemas.openxmlformats.org/officeDocument/2006/relationships/hyperlink" Target="http://www.cbd.int/decisions/cop-08.shtml?m=COP-08&amp;id=11042" TargetMode="External"/><Relationship Id="rId3" Type="http://schemas.openxmlformats.org/officeDocument/2006/relationships/hyperlink" Target="http://www.cbd.int/decision/cop/?id=11654" TargetMode="External"/><Relationship Id="rId12" Type="http://schemas.openxmlformats.org/officeDocument/2006/relationships/hyperlink" Target="http://www.internationalrivers.org/files/attached-files/will_safeguards_survive_june_2012.pdf" TargetMode="External"/><Relationship Id="rId17" Type="http://schemas.openxmlformats.org/officeDocument/2006/relationships/hyperlink" Target="https://s3.amazonaws.com/CCBA/Third_Edition/CCB_Standards_Third_Edition_December_2013.pdf" TargetMode="External"/><Relationship Id="rId25" Type="http://schemas.openxmlformats.org/officeDocument/2006/relationships/hyperlink" Target="http://www.teebweb.org/wp-content/uploads/2013/04/D0-Chapter-2-Biodiversity-ecosystems-and-ecosystem-services.pdf" TargetMode="External"/><Relationship Id="rId33" Type="http://schemas.openxmlformats.org/officeDocument/2006/relationships/hyperlink" Target="http://www.forestcarbonpartnership.org/fcp/sites/forestcarbonpartnership.org/files/Documents/PDF/June2012/redd%2B_book_english_final.pdf" TargetMode="External"/><Relationship Id="rId38" Type="http://schemas.openxmlformats.org/officeDocument/2006/relationships/hyperlink" Target="http://www.cbd.int/financial/doc/2011-03-budapest-IFM-report-en.pdf" TargetMode="External"/><Relationship Id="rId46" Type="http://schemas.openxmlformats.org/officeDocument/2006/relationships/hyperlink" Target="https://ebox.su.se/owa/redir.aspx?C=SR2-A-8MHEiLFg32kztg_G6c72nIT9EI-JFN95ladK6CBSobUovPBlPhx6AJ2n7hXJNsl9NjROY.&amp;URL=http%3a%2f%2fec.europa.eu%2fenvironment%2fenveco%2fpdf%2feftec_habitat_technical_report.pdf" TargetMode="External"/><Relationship Id="rId59" Type="http://schemas.openxmlformats.org/officeDocument/2006/relationships/hyperlink" Target="http://www.forestcarbonportal.com/project/ashaninca-communal-reserve-redd-project" TargetMode="External"/><Relationship Id="rId67" Type="http://schemas.openxmlformats.org/officeDocument/2006/relationships/hyperlink" Target="http://www.gaiafoundation.org/sites/default/files/documents/Custodian-Statement-on-Sacred-Natural-Sites1.pdf" TargetMode="External"/><Relationship Id="rId20" Type="http://schemas.openxmlformats.org/officeDocument/2006/relationships/hyperlink" Target="http://www.forestcarbonpartnership.org/sites/fcp/files/Documents/tagged/FCPF%20UN-REDD%20Stakeholder%20Guidelines%20Note%20Draft%2011-17-10.pdf" TargetMode="External"/><Relationship Id="rId41" Type="http://schemas.openxmlformats.org/officeDocument/2006/relationships/hyperlink" Target="http://www.ecologyandsociety.org/vol14/iss2/art34/" TargetMode="External"/><Relationship Id="rId54" Type="http://schemas.openxmlformats.org/officeDocument/2006/relationships/hyperlink" Target="http://www.oecd.org/greengrowth/green-development/34996292.pdf" TargetMode="External"/><Relationship Id="rId62" Type="http://schemas.openxmlformats.org/officeDocument/2006/relationships/hyperlink" Target="https://www.idhsustainabletrade.com/uploaded/2017/03/Dalberg-RR-Report.pdf" TargetMode="External"/><Relationship Id="rId70" Type="http://schemas.openxmlformats.org/officeDocument/2006/relationships/hyperlink" Target="http://www.gaiafoundation.org/sites/default/files/documents/Statement%20of%20the%20Common%20African%20Customary%20Laws%20for%20the%20Protection%20of%20Sacred%20Sites%202012_0.pdf" TargetMode="External"/><Relationship Id="rId75" Type="http://schemas.openxmlformats.org/officeDocument/2006/relationships/hyperlink" Target="http://www.laolandissues.org/wp-content/uploads/2011/12/EIA-Decree-112-PM-2010-Inofficial-transl.-Eng.pdf" TargetMode="External"/><Relationship Id="rId1" Type="http://schemas.openxmlformats.org/officeDocument/2006/relationships/hyperlink" Target="http://www.cbd.int/decision/cop/?id=11654" TargetMode="External"/><Relationship Id="rId6" Type="http://schemas.openxmlformats.org/officeDocument/2006/relationships/hyperlink" Target="http://www.teebweb.org/wp-content/uploads/Study%20and%20Reports/Reports/Synthesis%20report/TEEB%20Synthesis%20Report%20201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EAF9D19CFD4DBAB94F209CD23F3716"/>
        <w:category>
          <w:name w:val="General"/>
          <w:gallery w:val="placeholder"/>
        </w:category>
        <w:types>
          <w:type w:val="bbPlcHdr"/>
        </w:types>
        <w:behaviors>
          <w:behavior w:val="content"/>
        </w:behaviors>
        <w:guid w:val="{58708634-7CE1-4282-A482-DC34EA4B473A}"/>
      </w:docPartPr>
      <w:docPartBody>
        <w:p w:rsidR="00217A0B" w:rsidRDefault="006911BF" w:rsidP="006911BF">
          <w:pPr>
            <w:pStyle w:val="CDEAF9D19CFD4DBAB94F209CD23F3716"/>
          </w:pPr>
          <w:r w:rsidRPr="007E02EB">
            <w:rPr>
              <w:rStyle w:val="PlaceholderText"/>
            </w:rPr>
            <w:t>[Subject]</w:t>
          </w:r>
        </w:p>
      </w:docPartBody>
    </w:docPart>
    <w:docPart>
      <w:docPartPr>
        <w:name w:val="184CC299099E4EEDA687325C76247E1C"/>
        <w:category>
          <w:name w:val="General"/>
          <w:gallery w:val="placeholder"/>
        </w:category>
        <w:types>
          <w:type w:val="bbPlcHdr"/>
        </w:types>
        <w:behaviors>
          <w:behavior w:val="content"/>
        </w:behaviors>
        <w:guid w:val="{40AAFE55-BD29-4605-82F4-2AF1543E352D}"/>
      </w:docPartPr>
      <w:docPartBody>
        <w:p w:rsidR="00217A0B" w:rsidRDefault="006911BF" w:rsidP="006911BF">
          <w:pPr>
            <w:pStyle w:val="184CC299099E4EEDA687325C76247E1C"/>
          </w:pPr>
          <w:r w:rsidRPr="00E9059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Whitney Semibold">
    <w:altName w:val="Calibri"/>
    <w:panose1 w:val="00000000000000000000"/>
    <w:charset w:val="00"/>
    <w:family w:val="swiss"/>
    <w:notTrueType/>
    <w:pitch w:val="default"/>
    <w:sig w:usb0="00000003" w:usb1="00000000" w:usb2="00000000" w:usb3="00000000" w:csb0="00000001" w:csb1="00000000"/>
  </w:font>
  <w:font w:name="Helvetica">
    <w:altName w:val="Arial"/>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tlingGothicFB Narrow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abon-Roman">
    <w:altName w:val="Cambria"/>
    <w:panose1 w:val="00000000000000000000"/>
    <w:charset w:val="00"/>
    <w:family w:val="roman"/>
    <w:notTrueType/>
    <w:pitch w:val="default"/>
    <w:sig w:usb0="00000003" w:usb1="00000000" w:usb2="00000000" w:usb3="00000000" w:csb0="00000001" w:csb1="00000000"/>
  </w:font>
  <w:font w:name="‡≠nVˇ">
    <w:altName w:val="Cambria"/>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BoldMT">
    <w:altName w:val="Arial Unicode MS"/>
    <w:panose1 w:val="00000000000000000000"/>
    <w:charset w:val="00"/>
    <w:family w:val="swiss"/>
    <w:notTrueType/>
    <w:pitch w:val="default"/>
    <w:sig w:usb0="00000003" w:usb1="080E0000" w:usb2="00000010"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BF"/>
    <w:rsid w:val="00217A0B"/>
    <w:rsid w:val="003319A7"/>
    <w:rsid w:val="0069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1BF"/>
    <w:rPr>
      <w:color w:val="808080"/>
    </w:rPr>
  </w:style>
  <w:style w:type="paragraph" w:customStyle="1" w:styleId="F011B61041164641B08314289D0BEB8B">
    <w:name w:val="F011B61041164641B08314289D0BEB8B"/>
    <w:rsid w:val="006911BF"/>
  </w:style>
  <w:style w:type="paragraph" w:customStyle="1" w:styleId="9C9D713777EB483892AD4C69CB7B5A22">
    <w:name w:val="9C9D713777EB483892AD4C69CB7B5A22"/>
    <w:rsid w:val="006911BF"/>
  </w:style>
  <w:style w:type="paragraph" w:customStyle="1" w:styleId="C96C71560F694BBBBE9D953CF6ABF39C">
    <w:name w:val="C96C71560F694BBBBE9D953CF6ABF39C"/>
    <w:rsid w:val="006911BF"/>
  </w:style>
  <w:style w:type="paragraph" w:customStyle="1" w:styleId="B79F9A8AED784AB1A9063808E5396B99">
    <w:name w:val="B79F9A8AED784AB1A9063808E5396B99"/>
    <w:rsid w:val="006911BF"/>
  </w:style>
  <w:style w:type="paragraph" w:customStyle="1" w:styleId="E5C71AC4792B44EDA2BA7451FF7800EF">
    <w:name w:val="E5C71AC4792B44EDA2BA7451FF7800EF"/>
    <w:rsid w:val="006911BF"/>
  </w:style>
  <w:style w:type="paragraph" w:customStyle="1" w:styleId="9E2B31E6919D4B85AA844C6F120240F1">
    <w:name w:val="9E2B31E6919D4B85AA844C6F120240F1"/>
    <w:rsid w:val="006911BF"/>
  </w:style>
  <w:style w:type="paragraph" w:customStyle="1" w:styleId="29FC842DD2EC4B3D9A737EBAFB6A1087">
    <w:name w:val="29FC842DD2EC4B3D9A737EBAFB6A1087"/>
    <w:rsid w:val="006911BF"/>
  </w:style>
  <w:style w:type="paragraph" w:customStyle="1" w:styleId="6F13E275C047407CBF1AABC71778DF36">
    <w:name w:val="6F13E275C047407CBF1AABC71778DF36"/>
    <w:rsid w:val="006911BF"/>
  </w:style>
  <w:style w:type="paragraph" w:customStyle="1" w:styleId="7EA8E9F27D7E4103AB3D0669C2B5A933">
    <w:name w:val="7EA8E9F27D7E4103AB3D0669C2B5A933"/>
    <w:rsid w:val="006911BF"/>
  </w:style>
  <w:style w:type="paragraph" w:customStyle="1" w:styleId="3FF671256B7E4832A15FC003B038BBF1">
    <w:name w:val="3FF671256B7E4832A15FC003B038BBF1"/>
    <w:rsid w:val="006911BF"/>
  </w:style>
  <w:style w:type="paragraph" w:customStyle="1" w:styleId="22865AF94CEF412EBA6032C466E1BFB6">
    <w:name w:val="22865AF94CEF412EBA6032C466E1BFB6"/>
    <w:rsid w:val="006911BF"/>
  </w:style>
  <w:style w:type="paragraph" w:customStyle="1" w:styleId="D6D6E3F3D7204DF28D611052951D6758">
    <w:name w:val="D6D6E3F3D7204DF28D611052951D6758"/>
    <w:rsid w:val="006911BF"/>
  </w:style>
  <w:style w:type="paragraph" w:customStyle="1" w:styleId="CDEAF9D19CFD4DBAB94F209CD23F3716">
    <w:name w:val="CDEAF9D19CFD4DBAB94F209CD23F3716"/>
    <w:rsid w:val="006911BF"/>
  </w:style>
  <w:style w:type="paragraph" w:customStyle="1" w:styleId="184CC299099E4EEDA687325C76247E1C">
    <w:name w:val="184CC299099E4EEDA687325C76247E1C"/>
    <w:rsid w:val="00691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Run06</b:Tag>
    <b:SourceType>JournalArticle</b:SourceType>
    <b:Guid>{BAA8615B-C1EF-4929-AE7E-80A51CAA6A2F}</b:Guid>
    <b:LCID>en-MY</b:LCID>
    <b:Author>
      <b:Author>
        <b:NameList>
          <b:Person>
            <b:Last>Rundcrantz</b:Last>
            <b:First>K</b:First>
          </b:Person>
        </b:NameList>
      </b:Author>
    </b:Author>
    <b:Title>Environmental Compensation in Swedish Road Planning</b:Title>
    <b:Year>2006</b:Year>
    <b:JournalName>European Environment</b:JournalName>
    <b:Pages>350-367</b:Pages>
    <b:Volume>16</b:Volume>
    <b:Issue>6</b:Issue>
    <b:DOI>10.1002/eet.429</b:DOI>
    <b:RefOrder>16</b:RefOrder>
  </b:Source>
  <b:Source>
    <b:Tag>Ler14</b:Tag>
    <b:SourceType>BookSection</b:SourceType>
    <b:Guid>{0B4BA751-F47F-4E8B-A0F7-B4B938AE3259}</b:Guid>
    <b:LCID>en-MY</b:LCID>
    <b:Author>
      <b:Author>
        <b:NameList>
          <b:Person>
            <b:Last>Lerman</b:Last>
            <b:First>P</b:First>
          </b:Person>
        </b:NameList>
      </b:Author>
      <b:BookAuthor>
        <b:NameList>
          <b:Person>
            <b:Last>Danielson</b:Last>
            <b:First>B</b:First>
          </b:Person>
          <b:Person>
            <b:Last>Lerman</b:Last>
            <b:First>P</b:First>
          </b:Person>
          <b:Person>
            <b:Last>Nordblad</b:Last>
            <b:First>J</b:First>
          </b:Person>
          <b:Person>
            <b:Last>Rönn</b:Last>
            <b:First>M</b:First>
          </b:Person>
          <b:Person>
            <b:Last>Swedberg</b:Last>
            <b:First>S</b:First>
          </b:Person>
        </b:NameList>
      </b:BookAuthor>
      <b:Editor>
        <b:NameList>
          <b:Person>
            <b:Last>Grahn Danielson</b:Last>
            <b:First>B</b:First>
          </b:Person>
          <b:Person>
            <b:Last>Rönn</b:Last>
            <b:First>N</b:First>
          </b:Person>
          <b:Person>
            <b:Last>Swedberg</b:Last>
            <b:First>S</b:First>
          </b:Person>
        </b:NameList>
      </b:Editor>
    </b:Author>
    <b:Title>Kapitel 3: Kompensation för kulturmiljöintresse [Chapter 3: Compensation for cultural environmental interests]</b:Title>
    <b:Year>2014</b:Year>
    <b:Publisher>Rio Kulturlandskapet and KTH/Arkitektur</b:Publisher>
    <b:Pages>39-82</b:Pages>
    <b:BookTitle>Kulturarv i samhällsplaneringen – Kompensation av kulturmiljövärden</b:BookTitle>
    <b:City>Stockholm</b:City>
    <b:YearAccessed>2016</b:YearAccessed>
    <b:MonthAccessed>October</b:MonthAccessed>
    <b:DayAccessed>5</b:DayAccessed>
    <b:URL>http://www.kulturland.se/wp-content/uploads/2014/12/Kompensation_low.pdf</b:URL>
    <b:RefOrder>38</b:RefOrder>
  </b:Source>
</b:Sources>
</file>

<file path=customXml/itemProps1.xml><?xml version="1.0" encoding="utf-8"?>
<ds:datastoreItem xmlns:ds="http://schemas.openxmlformats.org/officeDocument/2006/customXml" ds:itemID="{88A90B79-C998-4BB8-AB1A-D3569307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52706</Words>
  <Characters>300426</Characters>
  <Application>Microsoft Office Word</Application>
  <DocSecurity>0</DocSecurity>
  <Lines>2503</Lines>
  <Paragraphs>704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CBD VOLUNTARY GUIDELINES FOR SAFEGUARDS: IMPLEMENTATION PATHWAYS</vt:lpstr>
      <vt:lpstr/>
    </vt:vector>
  </TitlesOfParts>
  <Company/>
  <LinksUpToDate>false</LinksUpToDate>
  <CharactersWithSpaces>352428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VOLUNTARY GUIDELINES FOR SAFEGUARDS: IMPLEMENTATION PATHWAYS</dc:title>
  <dc:subject>CBD/COP/14/INF/22</dc:subject>
  <dc:creator>Home</dc:creator>
  <cp:keywords/>
  <dc:description/>
  <cp:lastModifiedBy>Veronique Lefebvre</cp:lastModifiedBy>
  <cp:revision>2</cp:revision>
  <dcterms:created xsi:type="dcterms:W3CDTF">2018-11-15T09:10:00Z</dcterms:created>
  <dcterms:modified xsi:type="dcterms:W3CDTF">2018-11-15T09:10:00Z</dcterms:modified>
</cp:coreProperties>
</file>