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A96B21" w:rsidRPr="00B17ECB" w14:paraId="46D7FE46" w14:textId="77777777">
        <w:trPr>
          <w:trHeight w:val="851"/>
        </w:trPr>
        <w:tc>
          <w:tcPr>
            <w:tcW w:w="465" w:type="pct"/>
            <w:tcBorders>
              <w:bottom w:val="single" w:sz="8" w:space="0" w:color="auto"/>
            </w:tcBorders>
            <w:vAlign w:val="bottom"/>
          </w:tcPr>
          <w:p w14:paraId="4E779057" w14:textId="77777777" w:rsidR="00A96B21" w:rsidRPr="00B17ECB" w:rsidRDefault="00A96B21">
            <w:pPr>
              <w:spacing w:after="120"/>
              <w:jc w:val="left"/>
            </w:pPr>
            <w:bookmarkStart w:id="0" w:name="_Hlk137651738"/>
            <w:r w:rsidRPr="00B17ECB">
              <w:rPr>
                <w:noProof/>
              </w:rPr>
              <w:drawing>
                <wp:inline distT="0" distB="0" distL="0" distR="0" wp14:anchorId="57BF5D04" wp14:editId="63605804">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5BE93850" w14:textId="77777777" w:rsidR="00A96B21" w:rsidRPr="00B17ECB" w:rsidRDefault="00A96B21">
            <w:pPr>
              <w:spacing w:after="120"/>
              <w:jc w:val="left"/>
            </w:pPr>
            <w:r w:rsidRPr="00B17ECB">
              <w:rPr>
                <w:noProof/>
              </w:rPr>
              <w:drawing>
                <wp:inline distT="0" distB="0" distL="0" distR="0" wp14:anchorId="021D6B12" wp14:editId="3DA14E4E">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703" w:type="pct"/>
            <w:tcBorders>
              <w:bottom w:val="single" w:sz="8" w:space="0" w:color="auto"/>
            </w:tcBorders>
            <w:vAlign w:val="bottom"/>
          </w:tcPr>
          <w:p w14:paraId="1D2245AF" w14:textId="752ECBCA" w:rsidR="00A96B21" w:rsidRPr="00B17ECB" w:rsidRDefault="00A96B21" w:rsidP="00184909">
            <w:pPr>
              <w:spacing w:after="120"/>
              <w:ind w:left="2021"/>
              <w:jc w:val="right"/>
              <w:rPr>
                <w:szCs w:val="22"/>
              </w:rPr>
            </w:pPr>
            <w:r w:rsidRPr="00B17ECB">
              <w:rPr>
                <w:sz w:val="40"/>
                <w:szCs w:val="40"/>
              </w:rPr>
              <w:t>CBD</w:t>
            </w:r>
            <w:r w:rsidRPr="00B17ECB">
              <w:rPr>
                <w:szCs w:val="22"/>
              </w:rPr>
              <w:t>/</w:t>
            </w:r>
            <w:r w:rsidR="009C6041" w:rsidRPr="00B17ECB">
              <w:rPr>
                <w:szCs w:val="22"/>
              </w:rPr>
              <w:t>CP/CC/18/4</w:t>
            </w:r>
          </w:p>
        </w:tc>
      </w:tr>
      <w:tr w:rsidR="00A96B21" w:rsidRPr="00B17ECB" w14:paraId="4F7A9A32" w14:textId="77777777">
        <w:tc>
          <w:tcPr>
            <w:tcW w:w="2297" w:type="pct"/>
            <w:gridSpan w:val="2"/>
            <w:tcBorders>
              <w:top w:val="single" w:sz="8" w:space="0" w:color="auto"/>
              <w:bottom w:val="single" w:sz="12" w:space="0" w:color="auto"/>
            </w:tcBorders>
          </w:tcPr>
          <w:p w14:paraId="6742AA01" w14:textId="77777777" w:rsidR="00A96B21" w:rsidRPr="00B17ECB" w:rsidRDefault="00A96B21">
            <w:pPr>
              <w:pStyle w:val="Cornernotation"/>
              <w:suppressLineNumbers/>
              <w:suppressAutoHyphens/>
              <w:spacing w:before="120" w:after="120"/>
              <w:ind w:left="0" w:right="0" w:firstLine="0"/>
            </w:pPr>
            <w:r w:rsidRPr="00B17ECB">
              <w:rPr>
                <w:b w:val="0"/>
                <w:bCs/>
                <w:noProof/>
              </w:rPr>
              <w:drawing>
                <wp:inline distT="0" distB="0" distL="0" distR="0" wp14:anchorId="7045EC17" wp14:editId="457F1276">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703" w:type="pct"/>
            <w:tcBorders>
              <w:top w:val="single" w:sz="8" w:space="0" w:color="auto"/>
              <w:bottom w:val="single" w:sz="12" w:space="0" w:color="auto"/>
            </w:tcBorders>
          </w:tcPr>
          <w:p w14:paraId="0380DBC2" w14:textId="77777777" w:rsidR="00A96B21" w:rsidRPr="00B17ECB" w:rsidRDefault="00A96B21" w:rsidP="003C6F10">
            <w:pPr>
              <w:ind w:left="2584"/>
              <w:rPr>
                <w:sz w:val="22"/>
                <w:szCs w:val="22"/>
              </w:rPr>
            </w:pPr>
            <w:r w:rsidRPr="00B17ECB">
              <w:rPr>
                <w:sz w:val="22"/>
                <w:szCs w:val="22"/>
              </w:rPr>
              <w:t>Distr.: General</w:t>
            </w:r>
          </w:p>
          <w:p w14:paraId="017B4A77" w14:textId="1F4CF1A1" w:rsidR="00A96B21" w:rsidRPr="00B17ECB" w:rsidRDefault="002D211E" w:rsidP="003C6F10">
            <w:pPr>
              <w:ind w:left="2584"/>
              <w:rPr>
                <w:sz w:val="22"/>
                <w:szCs w:val="22"/>
              </w:rPr>
            </w:pPr>
            <w:r w:rsidRPr="00B17ECB">
              <w:rPr>
                <w:sz w:val="22"/>
                <w:szCs w:val="22"/>
              </w:rPr>
              <w:t>14</w:t>
            </w:r>
            <w:r w:rsidR="000E67E5" w:rsidRPr="00B17ECB">
              <w:rPr>
                <w:sz w:val="22"/>
                <w:szCs w:val="22"/>
              </w:rPr>
              <w:t xml:space="preserve"> </w:t>
            </w:r>
            <w:r w:rsidRPr="00B17ECB">
              <w:rPr>
                <w:sz w:val="22"/>
                <w:szCs w:val="22"/>
              </w:rPr>
              <w:t>September</w:t>
            </w:r>
            <w:r w:rsidR="00A96B21" w:rsidRPr="00B17ECB">
              <w:rPr>
                <w:sz w:val="22"/>
                <w:szCs w:val="22"/>
              </w:rPr>
              <w:t xml:space="preserve"> 2023</w:t>
            </w:r>
            <w:r w:rsidR="00081B29">
              <w:rPr>
                <w:rStyle w:val="FootnoteReference"/>
                <w:szCs w:val="22"/>
              </w:rPr>
              <w:footnoteReference w:customMarkFollows="1" w:id="2"/>
              <w:t>*</w:t>
            </w:r>
          </w:p>
          <w:p w14:paraId="71E4786A" w14:textId="77777777" w:rsidR="00A96B21" w:rsidRPr="00B17ECB" w:rsidRDefault="00A96B21" w:rsidP="003C6F10">
            <w:pPr>
              <w:ind w:left="2584"/>
              <w:rPr>
                <w:sz w:val="22"/>
                <w:szCs w:val="22"/>
              </w:rPr>
            </w:pPr>
          </w:p>
          <w:p w14:paraId="64EC7BC2" w14:textId="5C0CA974" w:rsidR="00A96B21" w:rsidRPr="00B17ECB" w:rsidRDefault="00A96B21" w:rsidP="003C6F10">
            <w:pPr>
              <w:ind w:left="2584"/>
              <w:rPr>
                <w:sz w:val="22"/>
                <w:szCs w:val="22"/>
              </w:rPr>
            </w:pPr>
            <w:r w:rsidRPr="00B17ECB">
              <w:rPr>
                <w:sz w:val="22"/>
                <w:szCs w:val="22"/>
              </w:rPr>
              <w:t>English</w:t>
            </w:r>
            <w:r w:rsidR="00D35B5A" w:rsidRPr="00B17ECB">
              <w:rPr>
                <w:sz w:val="22"/>
                <w:szCs w:val="22"/>
              </w:rPr>
              <w:t xml:space="preserve"> only</w:t>
            </w:r>
          </w:p>
          <w:p w14:paraId="5F54B397" w14:textId="77777777" w:rsidR="00A96B21" w:rsidRPr="00B17ECB" w:rsidRDefault="00A96B21"/>
        </w:tc>
      </w:tr>
    </w:tbl>
    <w:p w14:paraId="570AB91F" w14:textId="77777777" w:rsidR="00C90C34" w:rsidRPr="00B17ECB" w:rsidRDefault="00C90C34" w:rsidP="00C90C34">
      <w:pPr>
        <w:pStyle w:val="Cornernotation"/>
        <w:ind w:left="0" w:firstLine="0"/>
        <w:rPr>
          <w:bCs/>
        </w:rPr>
      </w:pPr>
      <w:r w:rsidRPr="00B17ECB">
        <w:rPr>
          <w:bCs/>
        </w:rPr>
        <w:t xml:space="preserve">Compliance Committee under the </w:t>
      </w:r>
    </w:p>
    <w:p w14:paraId="516CD19F" w14:textId="77777777" w:rsidR="00C90C34" w:rsidRPr="00B17ECB" w:rsidRDefault="00C90C34" w:rsidP="00C90C34">
      <w:pPr>
        <w:pStyle w:val="Cornernotation"/>
        <w:ind w:left="0" w:firstLine="0"/>
        <w:rPr>
          <w:bCs/>
        </w:rPr>
      </w:pPr>
      <w:r w:rsidRPr="00B17ECB">
        <w:rPr>
          <w:bCs/>
        </w:rPr>
        <w:t>Cartagena Protocol on Biosafety</w:t>
      </w:r>
    </w:p>
    <w:p w14:paraId="56B2A829" w14:textId="08F51687" w:rsidR="00C90C34" w:rsidRPr="00B17ECB" w:rsidRDefault="00AF787B" w:rsidP="00C90C34">
      <w:pPr>
        <w:pStyle w:val="Cornernotation"/>
        <w:rPr>
          <w:bCs/>
          <w:sz w:val="22"/>
          <w:szCs w:val="22"/>
        </w:rPr>
      </w:pPr>
      <w:r w:rsidRPr="00B17ECB">
        <w:rPr>
          <w:bCs/>
          <w:sz w:val="22"/>
          <w:szCs w:val="22"/>
        </w:rPr>
        <w:t>Eighteenth</w:t>
      </w:r>
      <w:r w:rsidR="00C90C34" w:rsidRPr="00B17ECB">
        <w:rPr>
          <w:bCs/>
          <w:sz w:val="22"/>
          <w:szCs w:val="22"/>
        </w:rPr>
        <w:t xml:space="preserve"> meeting </w:t>
      </w:r>
    </w:p>
    <w:p w14:paraId="11CE75F4" w14:textId="3E4FDF4B" w:rsidR="0015270A" w:rsidRPr="00B17ECB" w:rsidRDefault="0015270A" w:rsidP="0015270A">
      <w:pPr>
        <w:pStyle w:val="Venuedate"/>
        <w:rPr>
          <w:lang w:val="en-CA"/>
        </w:rPr>
      </w:pPr>
      <w:r w:rsidRPr="00B17ECB">
        <w:rPr>
          <w:lang w:val="en-CA"/>
        </w:rPr>
        <w:t>Montreal, Canada, 24–26 October 2023</w:t>
      </w:r>
    </w:p>
    <w:p w14:paraId="48A334E7" w14:textId="7DEB3C1F" w:rsidR="00C90C34" w:rsidRPr="00B17ECB" w:rsidRDefault="00C90C34" w:rsidP="00C90C34">
      <w:pPr>
        <w:pStyle w:val="Venuedate"/>
        <w:rPr>
          <w:lang w:val="en-CA"/>
        </w:rPr>
      </w:pPr>
      <w:r w:rsidRPr="00B17ECB">
        <w:rPr>
          <w:lang w:val="en-CA"/>
        </w:rPr>
        <w:t xml:space="preserve">Item </w:t>
      </w:r>
      <w:r w:rsidR="003A2AB9" w:rsidRPr="00B17ECB">
        <w:rPr>
          <w:lang w:val="en-CA"/>
        </w:rPr>
        <w:t>5</w:t>
      </w:r>
      <w:r w:rsidR="0078011A" w:rsidRPr="00B17ECB">
        <w:rPr>
          <w:lang w:val="en-CA"/>
        </w:rPr>
        <w:t xml:space="preserve"> of the </w:t>
      </w:r>
      <w:r w:rsidR="0026778B" w:rsidRPr="00B17ECB">
        <w:rPr>
          <w:lang w:val="en-CA"/>
        </w:rPr>
        <w:t>provisional agenda</w:t>
      </w:r>
      <w:r w:rsidR="0080717D">
        <w:rPr>
          <w:rStyle w:val="FootnoteReference"/>
          <w:lang w:val="en-CA"/>
        </w:rPr>
        <w:footnoteReference w:customMarkFollows="1" w:id="3"/>
        <w:t>**</w:t>
      </w:r>
    </w:p>
    <w:p w14:paraId="2613699C" w14:textId="55A65F54" w:rsidR="002E765C" w:rsidRPr="00B17ECB" w:rsidRDefault="002E765C" w:rsidP="00C90C34">
      <w:pPr>
        <w:pStyle w:val="Venuedate"/>
        <w:rPr>
          <w:b/>
          <w:bCs w:val="0"/>
          <w:lang w:val="en-CA"/>
        </w:rPr>
      </w:pPr>
      <w:r w:rsidRPr="00B17ECB">
        <w:rPr>
          <w:b/>
          <w:bCs w:val="0"/>
          <w:lang w:val="en-CA"/>
        </w:rPr>
        <w:t>Individual cases of non-compliance</w:t>
      </w:r>
    </w:p>
    <w:p w14:paraId="16E28000" w14:textId="32092A39" w:rsidR="00C90C34" w:rsidRPr="00B17ECB" w:rsidRDefault="00000000" w:rsidP="00C90C34">
      <w:pPr>
        <w:pStyle w:val="Title"/>
      </w:pPr>
      <w:sdt>
        <w:sdtPr>
          <w:alias w:val="Title"/>
          <w:tag w:val=""/>
          <w:id w:val="-1869446449"/>
          <w:placeholder>
            <w:docPart w:val="79CCC1EF6EA74C1FA69465BB67D46B85"/>
          </w:placeholder>
          <w:dataBinding w:prefixMappings="xmlns:ns0='http://purl.org/dc/elements/1.1/' xmlns:ns1='http://schemas.openxmlformats.org/package/2006/metadata/core-properties' " w:xpath="/ns1:coreProperties[1]/ns0:title[1]" w:storeItemID="{6C3C8BC8-F283-45AE-878A-BAB7291924A1}"/>
          <w:text/>
        </w:sdtPr>
        <w:sdtContent>
          <w:r w:rsidR="002E765C" w:rsidRPr="00B17ECB">
            <w:t>Individual cases of non-compliance</w:t>
          </w:r>
        </w:sdtContent>
      </w:sdt>
    </w:p>
    <w:bookmarkEnd w:id="0"/>
    <w:p w14:paraId="6908A0DC" w14:textId="77777777" w:rsidR="00A96B21" w:rsidRPr="00B17ECB" w:rsidRDefault="00A96B21" w:rsidP="00A96B21">
      <w:pPr>
        <w:pStyle w:val="Subtitle"/>
        <w:spacing w:before="120" w:after="120"/>
        <w:ind w:left="567"/>
        <w:jc w:val="left"/>
        <w:rPr>
          <w:rFonts w:ascii="Times New Roman" w:hAnsi="Times New Roman" w:cs="Times New Roman"/>
          <w:color w:val="auto"/>
        </w:rPr>
      </w:pPr>
      <w:r w:rsidRPr="00B17ECB">
        <w:rPr>
          <w:rFonts w:ascii="Times New Roman" w:hAnsi="Times New Roman" w:cs="Times New Roman"/>
          <w:color w:val="auto"/>
        </w:rPr>
        <w:t>Note by the Secretariat</w:t>
      </w:r>
    </w:p>
    <w:p w14:paraId="0B100D43" w14:textId="57F69C7C" w:rsidR="00FA18C9" w:rsidRPr="00B17ECB" w:rsidRDefault="00DD6A8F" w:rsidP="007C77BC">
      <w:pPr>
        <w:pStyle w:val="Heading1"/>
      </w:pPr>
      <w:r w:rsidRPr="00B17ECB">
        <w:t>Introduction</w:t>
      </w:r>
    </w:p>
    <w:p w14:paraId="5C668C02" w14:textId="67FBA572" w:rsidR="0031031A" w:rsidRPr="00B17ECB" w:rsidRDefault="0031031A" w:rsidP="00506730">
      <w:pPr>
        <w:numPr>
          <w:ilvl w:val="0"/>
          <w:numId w:val="6"/>
        </w:numPr>
        <w:suppressLineNumbers/>
        <w:tabs>
          <w:tab w:val="clear" w:pos="644"/>
          <w:tab w:val="left" w:pos="1134"/>
        </w:tabs>
        <w:suppressAutoHyphens/>
        <w:spacing w:before="120" w:after="120" w:line="238" w:lineRule="auto"/>
        <w:ind w:left="567"/>
        <w:rPr>
          <w:kern w:val="22"/>
          <w:szCs w:val="22"/>
        </w:rPr>
      </w:pPr>
      <w:r w:rsidRPr="00B17ECB">
        <w:rPr>
          <w:kern w:val="22"/>
          <w:szCs w:val="22"/>
        </w:rPr>
        <w:t>At its fourteenth meeting, the Compliance Committee decided to include a standing item on the agenda of its future meetings to facilitate consideration of ongoing individual cases of non</w:t>
      </w:r>
      <w:r w:rsidR="00023E00" w:rsidRPr="00B17ECB">
        <w:rPr>
          <w:kern w:val="22"/>
          <w:szCs w:val="22"/>
        </w:rPr>
        <w:noBreakHyphen/>
      </w:r>
      <w:r w:rsidRPr="00B17ECB">
        <w:rPr>
          <w:kern w:val="22"/>
          <w:szCs w:val="22"/>
        </w:rPr>
        <w:t>compliance.</w:t>
      </w:r>
      <w:r w:rsidRPr="00B17ECB">
        <w:rPr>
          <w:rStyle w:val="FootnoteReference"/>
          <w:kern w:val="22"/>
          <w:szCs w:val="22"/>
        </w:rPr>
        <w:footnoteReference w:id="4"/>
      </w:r>
      <w:r w:rsidR="00BF59BA" w:rsidRPr="00B17ECB">
        <w:rPr>
          <w:kern w:val="22"/>
          <w:szCs w:val="22"/>
        </w:rPr>
        <w:t xml:space="preserve"> </w:t>
      </w:r>
      <w:r w:rsidRPr="00B17ECB">
        <w:rPr>
          <w:kern w:val="22"/>
          <w:szCs w:val="22"/>
        </w:rPr>
        <w:t>Under this agenda item, the Committee has focused its attention on reviewing individual cases of non-compliance concerning the obligation to report in accordance with Article 33 of the Protocol, and the obligation to take the necessary and appropriate legal, administrative and other measures to implement the obligations under the Protocol, in accordance with Article 2, paragraph 1, of the Protocol.</w:t>
      </w:r>
    </w:p>
    <w:p w14:paraId="651622DC" w14:textId="3C06F515" w:rsidR="0031031A" w:rsidRPr="00B17ECB" w:rsidRDefault="0031031A" w:rsidP="00506730">
      <w:pPr>
        <w:pStyle w:val="Para10"/>
        <w:numPr>
          <w:ilvl w:val="0"/>
          <w:numId w:val="6"/>
        </w:numPr>
        <w:suppressLineNumbers/>
        <w:tabs>
          <w:tab w:val="clear" w:pos="644"/>
        </w:tabs>
        <w:suppressAutoHyphens/>
        <w:spacing w:line="238" w:lineRule="auto"/>
        <w:ind w:left="567"/>
        <w:rPr>
          <w:kern w:val="22"/>
          <w:szCs w:val="22"/>
          <w:lang w:val="en-GB"/>
        </w:rPr>
      </w:pPr>
      <w:r w:rsidRPr="00B17ECB">
        <w:rPr>
          <w:kern w:val="22"/>
          <w:szCs w:val="22"/>
          <w:lang w:val="en-GB"/>
        </w:rPr>
        <w:t>The present document provides an overview of developments a</w:t>
      </w:r>
      <w:r w:rsidR="00812F70" w:rsidRPr="00B17ECB">
        <w:rPr>
          <w:kern w:val="22"/>
          <w:szCs w:val="22"/>
          <w:lang w:val="en-GB"/>
        </w:rPr>
        <w:t>nd actions taken and suggests possible follow-up</w:t>
      </w:r>
      <w:r w:rsidRPr="00B17ECB">
        <w:rPr>
          <w:kern w:val="22"/>
          <w:szCs w:val="22"/>
          <w:lang w:val="en-GB"/>
        </w:rPr>
        <w:t xml:space="preserve"> regarding individual cases of non-compliance concerning</w:t>
      </w:r>
      <w:r w:rsidRPr="00B17ECB" w:rsidDel="00C0208F">
        <w:rPr>
          <w:kern w:val="22"/>
          <w:szCs w:val="22"/>
          <w:lang w:val="en-GB"/>
        </w:rPr>
        <w:t xml:space="preserve"> </w:t>
      </w:r>
      <w:r w:rsidRPr="00B17ECB">
        <w:rPr>
          <w:kern w:val="22"/>
          <w:szCs w:val="22"/>
          <w:lang w:val="en-GB"/>
        </w:rPr>
        <w:t>the obligation to submit national reports in accordance with Article 33 of the Protocol</w:t>
      </w:r>
      <w:r w:rsidR="00C0208F" w:rsidRPr="00B17ECB">
        <w:rPr>
          <w:kern w:val="22"/>
          <w:szCs w:val="22"/>
          <w:lang w:val="en-GB"/>
        </w:rPr>
        <w:t xml:space="preserve"> (section II)</w:t>
      </w:r>
      <w:r w:rsidRPr="00B17ECB">
        <w:rPr>
          <w:kern w:val="22"/>
          <w:szCs w:val="22"/>
          <w:lang w:val="en-GB"/>
        </w:rPr>
        <w:t xml:space="preserve"> and the obligation to take the necessary measures to implement the obligations under the Protocol, in accordance with Article</w:t>
      </w:r>
      <w:r w:rsidR="00822EB6" w:rsidRPr="00B17ECB">
        <w:rPr>
          <w:kern w:val="22"/>
          <w:szCs w:val="22"/>
          <w:lang w:val="en-GB"/>
        </w:rPr>
        <w:t> </w:t>
      </w:r>
      <w:r w:rsidRPr="00B17ECB">
        <w:rPr>
          <w:kern w:val="22"/>
          <w:szCs w:val="22"/>
          <w:lang w:val="en-GB"/>
        </w:rPr>
        <w:t>2, paragraph 1, of the Protocol</w:t>
      </w:r>
      <w:r w:rsidR="00C0208F" w:rsidRPr="00B17ECB">
        <w:rPr>
          <w:kern w:val="22"/>
          <w:szCs w:val="22"/>
          <w:lang w:val="en-GB"/>
        </w:rPr>
        <w:t xml:space="preserve"> (section III)</w:t>
      </w:r>
      <w:r w:rsidRPr="00B17ECB">
        <w:rPr>
          <w:kern w:val="22"/>
          <w:szCs w:val="22"/>
          <w:lang w:val="en-GB"/>
        </w:rPr>
        <w:t xml:space="preserve">. </w:t>
      </w:r>
      <w:r w:rsidR="00812F70" w:rsidRPr="00B17ECB">
        <w:rPr>
          <w:kern w:val="22"/>
          <w:szCs w:val="22"/>
          <w:lang w:val="en-GB"/>
        </w:rPr>
        <w:t xml:space="preserve">Section IV of the document contains a summary of findings of a survey </w:t>
      </w:r>
      <w:r w:rsidR="00021B54" w:rsidRPr="00B17ECB">
        <w:rPr>
          <w:kern w:val="22"/>
          <w:szCs w:val="22"/>
          <w:lang w:val="en-GB"/>
        </w:rPr>
        <w:t xml:space="preserve">on compliance challenges </w:t>
      </w:r>
      <w:r w:rsidR="006E5B0A" w:rsidRPr="00B17ECB">
        <w:rPr>
          <w:kern w:val="22"/>
          <w:szCs w:val="22"/>
          <w:lang w:val="en-GB"/>
        </w:rPr>
        <w:t>concerning</w:t>
      </w:r>
      <w:r w:rsidR="00021B54" w:rsidRPr="00B17ECB">
        <w:rPr>
          <w:kern w:val="22"/>
          <w:szCs w:val="22"/>
          <w:lang w:val="en-GB"/>
        </w:rPr>
        <w:t xml:space="preserve"> the preparation of a compliance action plan</w:t>
      </w:r>
      <w:r w:rsidR="00812F70" w:rsidRPr="00B17ECB">
        <w:rPr>
          <w:kern w:val="22"/>
          <w:szCs w:val="22"/>
          <w:lang w:val="en-GB"/>
        </w:rPr>
        <w:t xml:space="preserve">. </w:t>
      </w:r>
    </w:p>
    <w:p w14:paraId="6E665B83" w14:textId="49626140" w:rsidR="001F2962" w:rsidRPr="00B17ECB" w:rsidRDefault="00440CCF" w:rsidP="00C62AE4">
      <w:pPr>
        <w:pStyle w:val="Heading1"/>
      </w:pPr>
      <w:r w:rsidRPr="00B17ECB">
        <w:t xml:space="preserve">Individual cases of non-compliance </w:t>
      </w:r>
      <w:r w:rsidR="00A33696" w:rsidRPr="00B17ECB">
        <w:t xml:space="preserve">concerning the obligation to </w:t>
      </w:r>
      <w:r w:rsidR="001F2962" w:rsidRPr="00B17ECB">
        <w:t>report (Article 33)</w:t>
      </w:r>
    </w:p>
    <w:p w14:paraId="1C0D603C" w14:textId="71F50B54" w:rsidR="00101E4F" w:rsidRPr="00B17ECB" w:rsidRDefault="00101E4F" w:rsidP="00506730">
      <w:pPr>
        <w:pStyle w:val="Para10"/>
        <w:numPr>
          <w:ilvl w:val="0"/>
          <w:numId w:val="6"/>
        </w:numPr>
        <w:suppressLineNumbers/>
        <w:tabs>
          <w:tab w:val="clear" w:pos="644"/>
        </w:tabs>
        <w:suppressAutoHyphens/>
        <w:spacing w:line="238" w:lineRule="auto"/>
        <w:ind w:left="567"/>
        <w:rPr>
          <w:kern w:val="22"/>
          <w:szCs w:val="22"/>
          <w:lang w:val="en-GB"/>
        </w:rPr>
      </w:pPr>
      <w:r w:rsidRPr="00B17ECB">
        <w:rPr>
          <w:kern w:val="22"/>
          <w:szCs w:val="22"/>
          <w:lang w:val="en-GB"/>
        </w:rPr>
        <w:t xml:space="preserve">At its seventeenth meeting, the Committee considered </w:t>
      </w:r>
      <w:r w:rsidR="005925ED" w:rsidRPr="00B17ECB">
        <w:rPr>
          <w:kern w:val="22"/>
          <w:szCs w:val="22"/>
          <w:lang w:val="en-GB"/>
        </w:rPr>
        <w:t>an</w:t>
      </w:r>
      <w:r w:rsidRPr="00B17ECB">
        <w:rPr>
          <w:kern w:val="22"/>
          <w:szCs w:val="22"/>
          <w:lang w:val="en-GB"/>
        </w:rPr>
        <w:t xml:space="preserve"> outstanding individual case of non</w:t>
      </w:r>
      <w:r w:rsidR="00DA580F" w:rsidRPr="00B17ECB">
        <w:rPr>
          <w:kern w:val="22"/>
          <w:szCs w:val="22"/>
          <w:lang w:val="en-GB"/>
        </w:rPr>
        <w:noBreakHyphen/>
      </w:r>
      <w:r w:rsidRPr="00B17ECB">
        <w:rPr>
          <w:kern w:val="22"/>
          <w:szCs w:val="22"/>
          <w:lang w:val="en-GB"/>
        </w:rPr>
        <w:t xml:space="preserve">compliance </w:t>
      </w:r>
      <w:r w:rsidR="00D91627" w:rsidRPr="00B17ECB">
        <w:rPr>
          <w:kern w:val="22"/>
          <w:szCs w:val="22"/>
          <w:lang w:val="en-GB"/>
        </w:rPr>
        <w:t>by a Party</w:t>
      </w:r>
      <w:r w:rsidRPr="00B17ECB">
        <w:rPr>
          <w:kern w:val="22"/>
          <w:szCs w:val="22"/>
          <w:lang w:val="en-GB"/>
        </w:rPr>
        <w:t xml:space="preserve"> </w:t>
      </w:r>
      <w:r w:rsidRPr="00B17ECB">
        <w:rPr>
          <w:kern w:val="22"/>
          <w:szCs w:val="22"/>
        </w:rPr>
        <w:t>with its reporting obligation under Article 33 of the Protocol</w:t>
      </w:r>
      <w:r w:rsidR="00E5537A" w:rsidRPr="00B17ECB">
        <w:rPr>
          <w:kern w:val="22"/>
          <w:szCs w:val="22"/>
        </w:rPr>
        <w:t xml:space="preserve"> in relation to the third national report</w:t>
      </w:r>
      <w:r w:rsidR="005925ED" w:rsidRPr="00B17ECB">
        <w:rPr>
          <w:kern w:val="22"/>
          <w:szCs w:val="22"/>
        </w:rPr>
        <w:t xml:space="preserve">. In </w:t>
      </w:r>
      <w:r w:rsidR="00DA580F" w:rsidRPr="00B17ECB">
        <w:rPr>
          <w:kern w:val="22"/>
          <w:szCs w:val="22"/>
        </w:rPr>
        <w:t xml:space="preserve">the </w:t>
      </w:r>
      <w:r w:rsidR="005925ED" w:rsidRPr="00B17ECB">
        <w:rPr>
          <w:kern w:val="22"/>
          <w:szCs w:val="22"/>
        </w:rPr>
        <w:t xml:space="preserve">light of the submission of the national report by the Party concerned, the Committee agreed </w:t>
      </w:r>
      <w:r w:rsidRPr="00B17ECB">
        <w:t xml:space="preserve">that no further follow-up action was required. </w:t>
      </w:r>
    </w:p>
    <w:p w14:paraId="48319578" w14:textId="57F47D50" w:rsidR="00101E4F" w:rsidRPr="00B17ECB" w:rsidRDefault="00101E4F" w:rsidP="00506730">
      <w:pPr>
        <w:pStyle w:val="Para10"/>
        <w:numPr>
          <w:ilvl w:val="0"/>
          <w:numId w:val="6"/>
        </w:numPr>
        <w:suppressLineNumbers/>
        <w:tabs>
          <w:tab w:val="clear" w:pos="644"/>
        </w:tabs>
        <w:suppressAutoHyphens/>
        <w:spacing w:line="238" w:lineRule="auto"/>
        <w:ind w:left="567"/>
        <w:rPr>
          <w:kern w:val="22"/>
          <w:szCs w:val="22"/>
          <w:lang w:val="en-GB"/>
        </w:rPr>
      </w:pPr>
      <w:r w:rsidRPr="00B17ECB">
        <w:t xml:space="preserve">In accordance with its cyclical organization of work, the Committee reviewed compliance with the reporting obligation under Article 33 of the Protocol at its seventeenth meeting, which was the first meeting after the submission deadline for the fourth national reports. At its current meeting, the Committee </w:t>
      </w:r>
      <w:r w:rsidR="00E02334" w:rsidRPr="00B17ECB">
        <w:t>is expected to</w:t>
      </w:r>
      <w:r w:rsidRPr="00B17ECB">
        <w:t xml:space="preserve"> </w:t>
      </w:r>
      <w:r w:rsidR="00E02334" w:rsidRPr="00B17ECB">
        <w:t>consider</w:t>
      </w:r>
      <w:r w:rsidRPr="00B17ECB">
        <w:t xml:space="preserve"> the status of compliance</w:t>
      </w:r>
      <w:r w:rsidR="00D36E3F" w:rsidRPr="00B17ECB">
        <w:t xml:space="preserve"> with the obligation to report</w:t>
      </w:r>
      <w:r w:rsidRPr="00B17ECB">
        <w:t xml:space="preserve"> </w:t>
      </w:r>
      <w:r w:rsidR="00746725" w:rsidRPr="00B17ECB">
        <w:t>and</w:t>
      </w:r>
      <w:r w:rsidR="000A196A" w:rsidRPr="00B17ECB">
        <w:t xml:space="preserve"> </w:t>
      </w:r>
      <w:r w:rsidR="000A196A" w:rsidRPr="00B17ECB">
        <w:lastRenderedPageBreak/>
        <w:t>follow</w:t>
      </w:r>
      <w:r w:rsidR="00DA7B1F" w:rsidRPr="00B17ECB">
        <w:noBreakHyphen/>
      </w:r>
      <w:r w:rsidR="000A196A" w:rsidRPr="00B17ECB">
        <w:t xml:space="preserve">up </w:t>
      </w:r>
      <w:r w:rsidR="00524876" w:rsidRPr="00B17ECB">
        <w:t>in this regard</w:t>
      </w:r>
      <w:r w:rsidR="00C62FCE" w:rsidRPr="00B17ECB">
        <w:t xml:space="preserve"> as </w:t>
      </w:r>
      <w:r w:rsidR="00524876" w:rsidRPr="00B17ECB">
        <w:t xml:space="preserve">a </w:t>
      </w:r>
      <w:r w:rsidR="00C62FCE" w:rsidRPr="00B17ECB">
        <w:t>general issue of compliance</w:t>
      </w:r>
      <w:r w:rsidR="00524876" w:rsidRPr="00B17ECB">
        <w:t>, under agenda item 4</w:t>
      </w:r>
      <w:r w:rsidRPr="00B17ECB">
        <w:t>.</w:t>
      </w:r>
      <w:r w:rsidRPr="00B17ECB">
        <w:rPr>
          <w:rStyle w:val="FootnoteReference"/>
        </w:rPr>
        <w:footnoteReference w:id="5"/>
      </w:r>
      <w:r w:rsidRPr="00B17ECB">
        <w:t xml:space="preserve"> </w:t>
      </w:r>
      <w:r w:rsidR="00F905C9" w:rsidRPr="00B17ECB">
        <w:t>Th</w:t>
      </w:r>
      <w:r w:rsidR="00DA7B1F" w:rsidRPr="00B17ECB">
        <w:t>e present</w:t>
      </w:r>
      <w:r w:rsidR="00F905C9" w:rsidRPr="00B17ECB">
        <w:t xml:space="preserve"> document </w:t>
      </w:r>
      <w:r w:rsidR="00021A6C" w:rsidRPr="00B17ECB">
        <w:t>presents s</w:t>
      </w:r>
      <w:r w:rsidRPr="00B17ECB">
        <w:t xml:space="preserve">ome cases of non-compliance with the reporting obligation </w:t>
      </w:r>
      <w:r w:rsidR="00FB7A79" w:rsidRPr="00B17ECB">
        <w:t>that have not been resolve</w:t>
      </w:r>
      <w:r w:rsidR="003021FA" w:rsidRPr="00B17ECB">
        <w:t>d through general follow-up at multiple occasions</w:t>
      </w:r>
      <w:r w:rsidR="00FB7A79" w:rsidRPr="00B17ECB">
        <w:t xml:space="preserve"> </w:t>
      </w:r>
      <w:r w:rsidRPr="00B17ECB">
        <w:t xml:space="preserve">to facilitate their consideration </w:t>
      </w:r>
      <w:r w:rsidR="00865019" w:rsidRPr="00B17ECB">
        <w:t>as individual cases of non-compliance.</w:t>
      </w:r>
    </w:p>
    <w:p w14:paraId="247D46D4" w14:textId="53D15852" w:rsidR="00D3059B" w:rsidRPr="00B17ECB" w:rsidRDefault="008E0581" w:rsidP="007C77BC">
      <w:pPr>
        <w:pStyle w:val="Heading2"/>
      </w:pPr>
      <w:r w:rsidRPr="00B17ECB">
        <w:t>A.</w:t>
      </w:r>
      <w:r w:rsidRPr="00B17ECB">
        <w:tab/>
      </w:r>
      <w:r w:rsidR="0091492D" w:rsidRPr="00B17ECB">
        <w:t>Developments and actions taken</w:t>
      </w:r>
    </w:p>
    <w:p w14:paraId="714B488D" w14:textId="71348DF2" w:rsidR="008406B7" w:rsidRPr="00B17ECB" w:rsidRDefault="008406B7" w:rsidP="00506730">
      <w:pPr>
        <w:pStyle w:val="Para1"/>
        <w:numPr>
          <w:ilvl w:val="0"/>
          <w:numId w:val="6"/>
        </w:numPr>
        <w:suppressLineNumbers/>
        <w:tabs>
          <w:tab w:val="clear" w:pos="644"/>
          <w:tab w:val="left" w:pos="1134"/>
        </w:tabs>
        <w:suppressAutoHyphens/>
        <w:spacing w:line="238" w:lineRule="auto"/>
        <w:ind w:left="567"/>
        <w:jc w:val="both"/>
        <w:rPr>
          <w:kern w:val="22"/>
          <w:sz w:val="22"/>
          <w:szCs w:val="22"/>
          <w:lang w:val="en-GB"/>
        </w:rPr>
      </w:pPr>
      <w:r w:rsidRPr="00B17ECB">
        <w:rPr>
          <w:kern w:val="22"/>
          <w:sz w:val="22"/>
          <w:szCs w:val="22"/>
          <w:lang w:val="en-GB"/>
        </w:rPr>
        <w:t>At its seventeenth meeting, the Compliance Committee reviewed the submission of the fourth national reports. The Committee noted</w:t>
      </w:r>
      <w:r w:rsidRPr="00B17ECB">
        <w:rPr>
          <w:sz w:val="22"/>
          <w:szCs w:val="22"/>
        </w:rPr>
        <w:t xml:space="preserve"> with concern that, of the Parties that had not yet submitted their fourth national report, some Parties had also not submitted their third national report.</w:t>
      </w:r>
      <w:r w:rsidR="00773C9A" w:rsidRPr="00B17ECB">
        <w:rPr>
          <w:sz w:val="22"/>
          <w:szCs w:val="22"/>
        </w:rPr>
        <w:t xml:space="preserve"> </w:t>
      </w:r>
    </w:p>
    <w:p w14:paraId="702B2BFA" w14:textId="1B51EF9A" w:rsidR="008406B7" w:rsidRPr="00B17ECB" w:rsidRDefault="00B65AB8" w:rsidP="00506730">
      <w:pPr>
        <w:pStyle w:val="Para1"/>
        <w:numPr>
          <w:ilvl w:val="0"/>
          <w:numId w:val="6"/>
        </w:numPr>
        <w:suppressLineNumbers/>
        <w:tabs>
          <w:tab w:val="clear" w:pos="644"/>
          <w:tab w:val="left" w:pos="1134"/>
        </w:tabs>
        <w:suppressAutoHyphens/>
        <w:spacing w:line="238" w:lineRule="auto"/>
        <w:ind w:left="567"/>
        <w:jc w:val="both"/>
        <w:rPr>
          <w:kern w:val="22"/>
          <w:sz w:val="22"/>
          <w:szCs w:val="22"/>
          <w:lang w:val="en-GB"/>
        </w:rPr>
      </w:pPr>
      <w:r w:rsidRPr="00B17ECB">
        <w:rPr>
          <w:sz w:val="22"/>
          <w:szCs w:val="22"/>
        </w:rPr>
        <w:t>In the report of its seventeenth meeting, t</w:t>
      </w:r>
      <w:r w:rsidR="008406B7" w:rsidRPr="00B17ECB">
        <w:rPr>
          <w:sz w:val="22"/>
          <w:szCs w:val="22"/>
        </w:rPr>
        <w:t>he Committee requested the Executive Secretary to send a letter to those Parties that had submitted neither a third nor a fourth national report, reminding them of their obligation to submit their fourth national report as a matter of urgency.</w:t>
      </w:r>
    </w:p>
    <w:p w14:paraId="05E2F60A" w14:textId="5293413A" w:rsidR="00282C87" w:rsidRPr="00B17ECB" w:rsidRDefault="008406B7" w:rsidP="00506730">
      <w:pPr>
        <w:pStyle w:val="Para1"/>
        <w:numPr>
          <w:ilvl w:val="0"/>
          <w:numId w:val="6"/>
        </w:numPr>
        <w:suppressLineNumbers/>
        <w:tabs>
          <w:tab w:val="clear" w:pos="644"/>
          <w:tab w:val="left" w:pos="1134"/>
        </w:tabs>
        <w:suppressAutoHyphens/>
        <w:spacing w:line="238" w:lineRule="auto"/>
        <w:ind w:left="567"/>
        <w:jc w:val="both"/>
        <w:rPr>
          <w:kern w:val="22"/>
          <w:sz w:val="22"/>
          <w:szCs w:val="22"/>
          <w:lang w:val="en-GB"/>
        </w:rPr>
      </w:pPr>
      <w:r w:rsidRPr="00B17ECB">
        <w:rPr>
          <w:sz w:val="22"/>
          <w:szCs w:val="22"/>
        </w:rPr>
        <w:t xml:space="preserve">The Committee encouraged its members to liaise with those Parties in their region that had submitted neither a third nor a fourth national report with a view to </w:t>
      </w:r>
      <w:proofErr w:type="gramStart"/>
      <w:r w:rsidRPr="00B17ECB">
        <w:rPr>
          <w:sz w:val="22"/>
          <w:szCs w:val="22"/>
        </w:rPr>
        <w:t>offering assistance to</w:t>
      </w:r>
      <w:proofErr w:type="gramEnd"/>
      <w:r w:rsidRPr="00B17ECB">
        <w:rPr>
          <w:sz w:val="22"/>
          <w:szCs w:val="22"/>
        </w:rPr>
        <w:t xml:space="preserve"> those Parties in preparing their fourth national report.</w:t>
      </w:r>
    </w:p>
    <w:p w14:paraId="2C277433" w14:textId="1B049EE6" w:rsidR="00315BEA" w:rsidRPr="00B17ECB" w:rsidRDefault="003F7FA6" w:rsidP="00506730">
      <w:pPr>
        <w:pStyle w:val="Para1"/>
        <w:numPr>
          <w:ilvl w:val="0"/>
          <w:numId w:val="6"/>
        </w:numPr>
        <w:suppressLineNumbers/>
        <w:tabs>
          <w:tab w:val="clear" w:pos="644"/>
          <w:tab w:val="left" w:pos="1134"/>
        </w:tabs>
        <w:suppressAutoHyphens/>
        <w:spacing w:line="238" w:lineRule="auto"/>
        <w:ind w:left="567"/>
        <w:jc w:val="both"/>
        <w:rPr>
          <w:sz w:val="22"/>
          <w:szCs w:val="22"/>
        </w:rPr>
      </w:pPr>
      <w:r w:rsidRPr="00B17ECB">
        <w:rPr>
          <w:sz w:val="22"/>
          <w:szCs w:val="22"/>
        </w:rPr>
        <w:t>Accordingly,</w:t>
      </w:r>
      <w:r w:rsidR="009B1155" w:rsidRPr="00B17ECB">
        <w:rPr>
          <w:sz w:val="22"/>
          <w:szCs w:val="22"/>
        </w:rPr>
        <w:t xml:space="preserve"> in</w:t>
      </w:r>
      <w:r w:rsidR="00F54D04" w:rsidRPr="00B17ECB">
        <w:rPr>
          <w:sz w:val="22"/>
          <w:szCs w:val="22"/>
        </w:rPr>
        <w:t xml:space="preserve"> June 2020</w:t>
      </w:r>
      <w:r w:rsidR="009B1155" w:rsidRPr="00B17ECB">
        <w:rPr>
          <w:sz w:val="22"/>
          <w:szCs w:val="22"/>
        </w:rPr>
        <w:t>,</w:t>
      </w:r>
      <w:r w:rsidR="001F32AC" w:rsidRPr="00B17ECB">
        <w:rPr>
          <w:sz w:val="22"/>
          <w:szCs w:val="22"/>
        </w:rPr>
        <w:t xml:space="preserve"> </w:t>
      </w:r>
      <w:r w:rsidR="0007324C" w:rsidRPr="00B17ECB">
        <w:rPr>
          <w:sz w:val="22"/>
          <w:szCs w:val="22"/>
        </w:rPr>
        <w:t>letter</w:t>
      </w:r>
      <w:r w:rsidR="00806F07" w:rsidRPr="00B17ECB">
        <w:rPr>
          <w:sz w:val="22"/>
          <w:szCs w:val="22"/>
        </w:rPr>
        <w:t>s</w:t>
      </w:r>
      <w:r w:rsidR="0007324C" w:rsidRPr="00B17ECB">
        <w:rPr>
          <w:sz w:val="22"/>
          <w:szCs w:val="22"/>
        </w:rPr>
        <w:t xml:space="preserve"> from the Executive Secretary </w:t>
      </w:r>
      <w:r w:rsidR="001F32AC" w:rsidRPr="00B17ECB">
        <w:rPr>
          <w:sz w:val="22"/>
          <w:szCs w:val="22"/>
        </w:rPr>
        <w:t>w</w:t>
      </w:r>
      <w:r w:rsidR="00806F07" w:rsidRPr="00B17ECB">
        <w:rPr>
          <w:sz w:val="22"/>
          <w:szCs w:val="22"/>
        </w:rPr>
        <w:t>ere</w:t>
      </w:r>
      <w:r w:rsidR="001F32AC" w:rsidRPr="00B17ECB">
        <w:rPr>
          <w:sz w:val="22"/>
          <w:szCs w:val="22"/>
        </w:rPr>
        <w:t xml:space="preserve"> sent </w:t>
      </w:r>
      <w:r w:rsidR="0007324C" w:rsidRPr="00B17ECB">
        <w:rPr>
          <w:sz w:val="22"/>
          <w:szCs w:val="22"/>
        </w:rPr>
        <w:t xml:space="preserve">to the 11 Parties that had submitted </w:t>
      </w:r>
      <w:r w:rsidR="009A4326" w:rsidRPr="00B17ECB">
        <w:rPr>
          <w:sz w:val="22"/>
          <w:szCs w:val="22"/>
        </w:rPr>
        <w:t>neither</w:t>
      </w:r>
      <w:r w:rsidR="00F7287C" w:rsidRPr="00B17ECB">
        <w:rPr>
          <w:sz w:val="22"/>
          <w:szCs w:val="22"/>
        </w:rPr>
        <w:t xml:space="preserve"> </w:t>
      </w:r>
      <w:r w:rsidR="0007324C" w:rsidRPr="00B17ECB">
        <w:rPr>
          <w:sz w:val="22"/>
          <w:szCs w:val="22"/>
        </w:rPr>
        <w:t xml:space="preserve">a third </w:t>
      </w:r>
      <w:r w:rsidR="00F7287C" w:rsidRPr="00B17ECB">
        <w:rPr>
          <w:sz w:val="22"/>
          <w:szCs w:val="22"/>
        </w:rPr>
        <w:t>nor a</w:t>
      </w:r>
      <w:r w:rsidR="0007324C" w:rsidRPr="00B17ECB">
        <w:rPr>
          <w:sz w:val="22"/>
          <w:szCs w:val="22"/>
        </w:rPr>
        <w:t xml:space="preserve"> fourth national report.</w:t>
      </w:r>
      <w:r w:rsidR="0057608D" w:rsidRPr="00B17ECB">
        <w:rPr>
          <w:rStyle w:val="FootnoteReference"/>
          <w:sz w:val="22"/>
          <w:szCs w:val="22"/>
        </w:rPr>
        <w:footnoteReference w:id="6"/>
      </w:r>
      <w:r w:rsidR="0007324C" w:rsidRPr="00B17ECB">
        <w:rPr>
          <w:sz w:val="22"/>
          <w:szCs w:val="22"/>
        </w:rPr>
        <w:t xml:space="preserve"> </w:t>
      </w:r>
    </w:p>
    <w:p w14:paraId="2B781251" w14:textId="65E513FA" w:rsidR="006715C6" w:rsidRPr="00B17ECB" w:rsidRDefault="009B1155" w:rsidP="00506730">
      <w:pPr>
        <w:pStyle w:val="Para1"/>
        <w:numPr>
          <w:ilvl w:val="0"/>
          <w:numId w:val="6"/>
        </w:numPr>
        <w:suppressLineNumbers/>
        <w:tabs>
          <w:tab w:val="clear" w:pos="644"/>
          <w:tab w:val="left" w:pos="1134"/>
        </w:tabs>
        <w:suppressAutoHyphens/>
        <w:spacing w:line="238" w:lineRule="auto"/>
        <w:ind w:left="567"/>
        <w:jc w:val="both"/>
        <w:rPr>
          <w:sz w:val="22"/>
          <w:szCs w:val="22"/>
        </w:rPr>
      </w:pPr>
      <w:r w:rsidRPr="00B17ECB">
        <w:rPr>
          <w:sz w:val="22"/>
          <w:szCs w:val="22"/>
        </w:rPr>
        <w:t>Cabo Verde submitted its third national report</w:t>
      </w:r>
      <w:r w:rsidR="00FD7ABF" w:rsidRPr="00B17ECB">
        <w:rPr>
          <w:sz w:val="22"/>
          <w:szCs w:val="22"/>
        </w:rPr>
        <w:t xml:space="preserve"> </w:t>
      </w:r>
      <w:r w:rsidR="00070E66" w:rsidRPr="00B17ECB">
        <w:rPr>
          <w:sz w:val="22"/>
          <w:szCs w:val="22"/>
        </w:rPr>
        <w:t xml:space="preserve">on the </w:t>
      </w:r>
      <w:r w:rsidR="005C6338" w:rsidRPr="00B17ECB">
        <w:rPr>
          <w:sz w:val="22"/>
          <w:szCs w:val="22"/>
        </w:rPr>
        <w:t xml:space="preserve">Biosafety </w:t>
      </w:r>
      <w:proofErr w:type="gramStart"/>
      <w:r w:rsidR="005C6338" w:rsidRPr="00B17ECB">
        <w:rPr>
          <w:sz w:val="22"/>
          <w:szCs w:val="22"/>
        </w:rPr>
        <w:t>Clearing-House</w:t>
      </w:r>
      <w:proofErr w:type="gramEnd"/>
      <w:r w:rsidR="005C6338" w:rsidRPr="00B17ECB">
        <w:rPr>
          <w:sz w:val="22"/>
          <w:szCs w:val="22"/>
        </w:rPr>
        <w:t xml:space="preserve"> (</w:t>
      </w:r>
      <w:r w:rsidR="00070E66" w:rsidRPr="00B17ECB">
        <w:rPr>
          <w:sz w:val="22"/>
          <w:szCs w:val="22"/>
        </w:rPr>
        <w:t>BCH</w:t>
      </w:r>
      <w:r w:rsidR="005C6338" w:rsidRPr="00B17ECB">
        <w:rPr>
          <w:sz w:val="22"/>
          <w:szCs w:val="22"/>
        </w:rPr>
        <w:t>)</w:t>
      </w:r>
      <w:r w:rsidR="00FD7ABF" w:rsidRPr="00B17ECB">
        <w:rPr>
          <w:sz w:val="22"/>
          <w:szCs w:val="22"/>
        </w:rPr>
        <w:t xml:space="preserve"> in September 2020</w:t>
      </w:r>
      <w:r w:rsidR="006545B4" w:rsidRPr="00B17ECB">
        <w:rPr>
          <w:sz w:val="22"/>
          <w:szCs w:val="22"/>
        </w:rPr>
        <w:t xml:space="preserve">. </w:t>
      </w:r>
    </w:p>
    <w:p w14:paraId="1E0F6639" w14:textId="4AF038E2" w:rsidR="0009110C" w:rsidRPr="00B17ECB" w:rsidRDefault="00806F07" w:rsidP="00506730">
      <w:pPr>
        <w:pStyle w:val="Para1"/>
        <w:numPr>
          <w:ilvl w:val="0"/>
          <w:numId w:val="6"/>
        </w:numPr>
        <w:suppressLineNumbers/>
        <w:tabs>
          <w:tab w:val="clear" w:pos="644"/>
          <w:tab w:val="left" w:pos="1134"/>
        </w:tabs>
        <w:suppressAutoHyphens/>
        <w:spacing w:line="238" w:lineRule="auto"/>
        <w:ind w:left="567"/>
        <w:jc w:val="both"/>
        <w:rPr>
          <w:sz w:val="22"/>
          <w:szCs w:val="22"/>
        </w:rPr>
      </w:pPr>
      <w:r w:rsidRPr="00B17ECB">
        <w:rPr>
          <w:sz w:val="22"/>
          <w:szCs w:val="22"/>
        </w:rPr>
        <w:t xml:space="preserve">The Secretariat sent </w:t>
      </w:r>
      <w:r w:rsidR="009701B5" w:rsidRPr="00B17ECB">
        <w:rPr>
          <w:sz w:val="22"/>
          <w:szCs w:val="22"/>
        </w:rPr>
        <w:t xml:space="preserve">reminders to the </w:t>
      </w:r>
      <w:r w:rsidR="002224C6" w:rsidRPr="00B17ECB">
        <w:rPr>
          <w:sz w:val="22"/>
          <w:szCs w:val="22"/>
        </w:rPr>
        <w:t xml:space="preserve">remaining </w:t>
      </w:r>
      <w:r w:rsidR="00D901D0" w:rsidRPr="00B17ECB">
        <w:rPr>
          <w:sz w:val="22"/>
          <w:szCs w:val="22"/>
        </w:rPr>
        <w:t xml:space="preserve">10 </w:t>
      </w:r>
      <w:r w:rsidR="009701B5" w:rsidRPr="00B17ECB">
        <w:rPr>
          <w:sz w:val="22"/>
          <w:szCs w:val="22"/>
        </w:rPr>
        <w:t>Parties i</w:t>
      </w:r>
      <w:r w:rsidR="006715C6" w:rsidRPr="00B17ECB">
        <w:rPr>
          <w:sz w:val="22"/>
          <w:szCs w:val="22"/>
        </w:rPr>
        <w:t>n</w:t>
      </w:r>
      <w:r w:rsidR="00010517" w:rsidRPr="00B17ECB">
        <w:rPr>
          <w:sz w:val="22"/>
          <w:szCs w:val="22"/>
        </w:rPr>
        <w:t xml:space="preserve"> February 2021</w:t>
      </w:r>
      <w:r w:rsidR="004B5687" w:rsidRPr="00B17ECB">
        <w:rPr>
          <w:sz w:val="22"/>
          <w:szCs w:val="22"/>
        </w:rPr>
        <w:t>,</w:t>
      </w:r>
      <w:r w:rsidR="00067701" w:rsidRPr="00B17ECB">
        <w:rPr>
          <w:sz w:val="22"/>
          <w:szCs w:val="22"/>
        </w:rPr>
        <w:t xml:space="preserve"> and again between January and March 2022</w:t>
      </w:r>
      <w:r w:rsidR="0009110C" w:rsidRPr="00B17ECB">
        <w:rPr>
          <w:sz w:val="22"/>
          <w:szCs w:val="22"/>
        </w:rPr>
        <w:t xml:space="preserve">. </w:t>
      </w:r>
      <w:r w:rsidR="0011629A" w:rsidRPr="00B17ECB">
        <w:rPr>
          <w:sz w:val="22"/>
          <w:szCs w:val="22"/>
        </w:rPr>
        <w:t xml:space="preserve">As </w:t>
      </w:r>
      <w:r w:rsidR="00353040" w:rsidRPr="00B17ECB">
        <w:rPr>
          <w:sz w:val="22"/>
          <w:szCs w:val="22"/>
        </w:rPr>
        <w:t>a result of these communications</w:t>
      </w:r>
      <w:r w:rsidR="001732B8" w:rsidRPr="00B17ECB">
        <w:rPr>
          <w:sz w:val="22"/>
          <w:szCs w:val="22"/>
        </w:rPr>
        <w:t xml:space="preserve">, </w:t>
      </w:r>
      <w:r w:rsidR="009701B5" w:rsidRPr="00B17ECB">
        <w:rPr>
          <w:sz w:val="22"/>
          <w:szCs w:val="22"/>
        </w:rPr>
        <w:t xml:space="preserve">the State of Palestine submitted its fourth national report in hard copy in August 2021 and online on the BCH in December 2021, with technical assistance from the Secretariat. The national focal point of the </w:t>
      </w:r>
      <w:r w:rsidR="001732B8" w:rsidRPr="00B17ECB">
        <w:rPr>
          <w:sz w:val="22"/>
          <w:szCs w:val="22"/>
        </w:rPr>
        <w:t xml:space="preserve">State of Palestine </w:t>
      </w:r>
      <w:r w:rsidR="00CF203F" w:rsidRPr="00B17ECB">
        <w:rPr>
          <w:sz w:val="22"/>
          <w:szCs w:val="22"/>
        </w:rPr>
        <w:t xml:space="preserve">explained that </w:t>
      </w:r>
      <w:r w:rsidR="009701B5" w:rsidRPr="00B17ECB">
        <w:rPr>
          <w:sz w:val="22"/>
          <w:szCs w:val="22"/>
        </w:rPr>
        <w:t>the country</w:t>
      </w:r>
      <w:r w:rsidR="00CF203F" w:rsidRPr="00B17ECB">
        <w:rPr>
          <w:sz w:val="22"/>
          <w:szCs w:val="22"/>
        </w:rPr>
        <w:t xml:space="preserve"> had not received any </w:t>
      </w:r>
      <w:r w:rsidR="00952247" w:rsidRPr="00B17ECB">
        <w:rPr>
          <w:sz w:val="22"/>
          <w:szCs w:val="22"/>
        </w:rPr>
        <w:t xml:space="preserve">financial </w:t>
      </w:r>
      <w:r w:rsidR="00CF203F" w:rsidRPr="00B17ECB">
        <w:rPr>
          <w:sz w:val="22"/>
          <w:szCs w:val="22"/>
        </w:rPr>
        <w:t>support from the Global</w:t>
      </w:r>
      <w:r w:rsidR="00952247" w:rsidRPr="00B17ECB">
        <w:rPr>
          <w:sz w:val="22"/>
          <w:szCs w:val="22"/>
        </w:rPr>
        <w:t xml:space="preserve"> Environmental </w:t>
      </w:r>
      <w:r w:rsidR="00CF203F" w:rsidRPr="00B17ECB">
        <w:rPr>
          <w:sz w:val="22"/>
          <w:szCs w:val="22"/>
        </w:rPr>
        <w:t>Facility</w:t>
      </w:r>
      <w:r w:rsidR="007E7C6F" w:rsidRPr="00B17ECB">
        <w:rPr>
          <w:sz w:val="22"/>
          <w:szCs w:val="22"/>
        </w:rPr>
        <w:t xml:space="preserve"> (GEF</w:t>
      </w:r>
      <w:proofErr w:type="gramStart"/>
      <w:r w:rsidR="007E7C6F" w:rsidRPr="00B17ECB">
        <w:rPr>
          <w:sz w:val="22"/>
          <w:szCs w:val="22"/>
        </w:rPr>
        <w:t>)</w:t>
      </w:r>
      <w:r w:rsidR="00952247" w:rsidRPr="00B17ECB">
        <w:rPr>
          <w:sz w:val="22"/>
          <w:szCs w:val="22"/>
        </w:rPr>
        <w:t>,</w:t>
      </w:r>
      <w:r w:rsidR="00E70D28" w:rsidRPr="00B17ECB">
        <w:rPr>
          <w:sz w:val="22"/>
          <w:szCs w:val="22"/>
        </w:rPr>
        <w:t xml:space="preserve"> </w:t>
      </w:r>
      <w:r w:rsidR="00952247" w:rsidRPr="00B17ECB">
        <w:rPr>
          <w:sz w:val="22"/>
          <w:szCs w:val="22"/>
        </w:rPr>
        <w:t>but</w:t>
      </w:r>
      <w:proofErr w:type="gramEnd"/>
      <w:r w:rsidR="00952247" w:rsidRPr="00B17ECB">
        <w:rPr>
          <w:sz w:val="22"/>
          <w:szCs w:val="22"/>
        </w:rPr>
        <w:t xml:space="preserve"> had managed to secure</w:t>
      </w:r>
      <w:r w:rsidR="00E05877" w:rsidRPr="00B17ECB">
        <w:rPr>
          <w:sz w:val="22"/>
          <w:szCs w:val="22"/>
        </w:rPr>
        <w:t xml:space="preserve"> other</w:t>
      </w:r>
      <w:r w:rsidR="00952247" w:rsidRPr="00B17ECB">
        <w:rPr>
          <w:sz w:val="22"/>
          <w:szCs w:val="22"/>
        </w:rPr>
        <w:t xml:space="preserve"> </w:t>
      </w:r>
      <w:r w:rsidR="00E05877" w:rsidRPr="00B17ECB">
        <w:rPr>
          <w:sz w:val="22"/>
          <w:szCs w:val="22"/>
        </w:rPr>
        <w:t xml:space="preserve">limited </w:t>
      </w:r>
      <w:r w:rsidR="00952247" w:rsidRPr="00B17ECB">
        <w:rPr>
          <w:sz w:val="22"/>
          <w:szCs w:val="22"/>
        </w:rPr>
        <w:t>funds</w:t>
      </w:r>
      <w:r w:rsidR="00E05877" w:rsidRPr="00B17ECB">
        <w:rPr>
          <w:sz w:val="22"/>
          <w:szCs w:val="22"/>
        </w:rPr>
        <w:t xml:space="preserve"> for the preparation of</w:t>
      </w:r>
      <w:r w:rsidR="008A2D03" w:rsidRPr="00B17ECB">
        <w:rPr>
          <w:sz w:val="22"/>
          <w:szCs w:val="22"/>
        </w:rPr>
        <w:t xml:space="preserve"> its</w:t>
      </w:r>
      <w:r w:rsidR="00E05877" w:rsidRPr="00B17ECB">
        <w:rPr>
          <w:sz w:val="22"/>
          <w:szCs w:val="22"/>
        </w:rPr>
        <w:t xml:space="preserve"> national report</w:t>
      </w:r>
      <w:r w:rsidR="008A2D03" w:rsidRPr="00B17ECB">
        <w:rPr>
          <w:sz w:val="22"/>
          <w:szCs w:val="22"/>
        </w:rPr>
        <w:t xml:space="preserve"> and </w:t>
      </w:r>
      <w:r w:rsidR="00290C7A" w:rsidRPr="00B17ECB">
        <w:rPr>
          <w:sz w:val="22"/>
          <w:szCs w:val="22"/>
        </w:rPr>
        <w:t xml:space="preserve">its </w:t>
      </w:r>
      <w:r w:rsidR="008A2D03" w:rsidRPr="00B17ECB">
        <w:rPr>
          <w:sz w:val="22"/>
          <w:szCs w:val="22"/>
        </w:rPr>
        <w:t>National Biosafety Framework</w:t>
      </w:r>
      <w:r w:rsidR="003C489A" w:rsidRPr="00B17ECB">
        <w:rPr>
          <w:sz w:val="22"/>
          <w:szCs w:val="22"/>
        </w:rPr>
        <w:t>.</w:t>
      </w:r>
    </w:p>
    <w:p w14:paraId="2674A619" w14:textId="17B3AB8A" w:rsidR="00B20445" w:rsidRPr="00B17ECB" w:rsidRDefault="00415297" w:rsidP="00506730">
      <w:pPr>
        <w:pStyle w:val="Para1"/>
        <w:numPr>
          <w:ilvl w:val="0"/>
          <w:numId w:val="6"/>
        </w:numPr>
        <w:suppressLineNumbers/>
        <w:tabs>
          <w:tab w:val="clear" w:pos="644"/>
          <w:tab w:val="left" w:pos="1134"/>
        </w:tabs>
        <w:suppressAutoHyphens/>
        <w:spacing w:line="238" w:lineRule="auto"/>
        <w:ind w:left="567"/>
        <w:jc w:val="both"/>
        <w:rPr>
          <w:sz w:val="22"/>
          <w:szCs w:val="22"/>
        </w:rPr>
      </w:pPr>
      <w:r w:rsidRPr="00B17ECB">
        <w:rPr>
          <w:sz w:val="22"/>
          <w:szCs w:val="22"/>
        </w:rPr>
        <w:t>Three</w:t>
      </w:r>
      <w:r w:rsidR="00117F03" w:rsidRPr="00B17ECB">
        <w:rPr>
          <w:sz w:val="22"/>
          <w:szCs w:val="22"/>
        </w:rPr>
        <w:t xml:space="preserve"> </w:t>
      </w:r>
      <w:r w:rsidR="005D0D41" w:rsidRPr="00B17ECB">
        <w:rPr>
          <w:sz w:val="22"/>
          <w:szCs w:val="22"/>
        </w:rPr>
        <w:t xml:space="preserve">more </w:t>
      </w:r>
      <w:r w:rsidR="00117F03" w:rsidRPr="00B17ECB">
        <w:rPr>
          <w:sz w:val="22"/>
          <w:szCs w:val="22"/>
        </w:rPr>
        <w:t>Parties responded to the</w:t>
      </w:r>
      <w:r w:rsidR="002101AB" w:rsidRPr="00B17ECB">
        <w:rPr>
          <w:sz w:val="22"/>
          <w:szCs w:val="22"/>
        </w:rPr>
        <w:t xml:space="preserve"> communications: </w:t>
      </w:r>
    </w:p>
    <w:p w14:paraId="41FACA95" w14:textId="3E4908A8" w:rsidR="00A3282C" w:rsidRPr="00B17ECB" w:rsidRDefault="002101AB" w:rsidP="00506730">
      <w:pPr>
        <w:pStyle w:val="Para1"/>
        <w:numPr>
          <w:ilvl w:val="0"/>
          <w:numId w:val="45"/>
        </w:numPr>
        <w:suppressLineNumbers/>
        <w:tabs>
          <w:tab w:val="left" w:pos="1701"/>
        </w:tabs>
        <w:suppressAutoHyphens/>
        <w:spacing w:line="238" w:lineRule="auto"/>
        <w:ind w:left="567" w:firstLine="567"/>
        <w:jc w:val="both"/>
        <w:rPr>
          <w:sz w:val="22"/>
          <w:szCs w:val="22"/>
        </w:rPr>
      </w:pPr>
      <w:r w:rsidRPr="00B17ECB">
        <w:rPr>
          <w:sz w:val="22"/>
          <w:szCs w:val="22"/>
        </w:rPr>
        <w:t xml:space="preserve">Azerbaijan </w:t>
      </w:r>
      <w:r w:rsidR="00313FB3" w:rsidRPr="00B17ECB">
        <w:rPr>
          <w:sz w:val="22"/>
          <w:szCs w:val="22"/>
        </w:rPr>
        <w:t xml:space="preserve">uploaded a draft fourth national report on the BCH, but </w:t>
      </w:r>
      <w:r w:rsidR="002C7873" w:rsidRPr="00B17ECB">
        <w:rPr>
          <w:sz w:val="22"/>
          <w:szCs w:val="22"/>
        </w:rPr>
        <w:t>it has yet to b</w:t>
      </w:r>
      <w:r w:rsidR="00692C86" w:rsidRPr="00B17ECB">
        <w:rPr>
          <w:sz w:val="22"/>
          <w:szCs w:val="22"/>
        </w:rPr>
        <w:t xml:space="preserve">e </w:t>
      </w:r>
      <w:r w:rsidR="002C7873" w:rsidRPr="00B17ECB">
        <w:rPr>
          <w:sz w:val="22"/>
          <w:szCs w:val="22"/>
        </w:rPr>
        <w:t xml:space="preserve">published </w:t>
      </w:r>
      <w:r w:rsidR="00692C86" w:rsidRPr="00B17ECB">
        <w:rPr>
          <w:sz w:val="22"/>
          <w:szCs w:val="22"/>
        </w:rPr>
        <w:t xml:space="preserve">by the BCH </w:t>
      </w:r>
      <w:r w:rsidR="00956E4C" w:rsidRPr="00B17ECB">
        <w:rPr>
          <w:sz w:val="22"/>
          <w:szCs w:val="22"/>
        </w:rPr>
        <w:t>national focal point.</w:t>
      </w:r>
      <w:r w:rsidR="00FD0696" w:rsidRPr="00B17ECB">
        <w:rPr>
          <w:sz w:val="22"/>
          <w:szCs w:val="22"/>
        </w:rPr>
        <w:t xml:space="preserve"> The Secretariat reached out to provide technical assistance in November 2022, but has not received a </w:t>
      </w:r>
      <w:proofErr w:type="gramStart"/>
      <w:r w:rsidR="00FD0696" w:rsidRPr="00B17ECB">
        <w:rPr>
          <w:sz w:val="22"/>
          <w:szCs w:val="22"/>
        </w:rPr>
        <w:t>reply</w:t>
      </w:r>
      <w:r w:rsidR="006B5C1B" w:rsidRPr="00B17ECB">
        <w:rPr>
          <w:sz w:val="22"/>
          <w:szCs w:val="22"/>
        </w:rPr>
        <w:t>;</w:t>
      </w:r>
      <w:proofErr w:type="gramEnd"/>
    </w:p>
    <w:p w14:paraId="2677BE07" w14:textId="12DDDADE" w:rsidR="00B20445" w:rsidRPr="00B17ECB" w:rsidRDefault="00B20445" w:rsidP="00506730">
      <w:pPr>
        <w:pStyle w:val="Para1"/>
        <w:numPr>
          <w:ilvl w:val="0"/>
          <w:numId w:val="45"/>
        </w:numPr>
        <w:suppressLineNumbers/>
        <w:tabs>
          <w:tab w:val="left" w:pos="1701"/>
        </w:tabs>
        <w:suppressAutoHyphens/>
        <w:spacing w:line="238" w:lineRule="auto"/>
        <w:ind w:left="567" w:firstLine="567"/>
        <w:jc w:val="both"/>
        <w:rPr>
          <w:sz w:val="22"/>
          <w:szCs w:val="22"/>
        </w:rPr>
      </w:pPr>
      <w:r w:rsidRPr="00B17ECB">
        <w:rPr>
          <w:sz w:val="22"/>
          <w:szCs w:val="22"/>
        </w:rPr>
        <w:t>Seychelle</w:t>
      </w:r>
      <w:r w:rsidR="008B3A00" w:rsidRPr="00B17ECB">
        <w:rPr>
          <w:sz w:val="22"/>
          <w:szCs w:val="22"/>
        </w:rPr>
        <w:t xml:space="preserve">s </w:t>
      </w:r>
      <w:r w:rsidR="0075696A" w:rsidRPr="00B17ECB">
        <w:rPr>
          <w:sz w:val="22"/>
          <w:szCs w:val="22"/>
        </w:rPr>
        <w:t xml:space="preserve">replied </w:t>
      </w:r>
      <w:r w:rsidR="00133818" w:rsidRPr="00B17ECB">
        <w:rPr>
          <w:sz w:val="22"/>
          <w:szCs w:val="22"/>
        </w:rPr>
        <w:t>in</w:t>
      </w:r>
      <w:r w:rsidR="0075696A" w:rsidRPr="00B17ECB">
        <w:rPr>
          <w:sz w:val="22"/>
          <w:szCs w:val="22"/>
        </w:rPr>
        <w:t xml:space="preserve"> March 2022 that they were undertaking a national stock take on implementation of their international obligations and would be in a better position </w:t>
      </w:r>
      <w:r w:rsidR="00E14E39" w:rsidRPr="00B17ECB">
        <w:rPr>
          <w:sz w:val="22"/>
          <w:szCs w:val="22"/>
        </w:rPr>
        <w:t>to submit their national report</w:t>
      </w:r>
      <w:r w:rsidR="00455CAC" w:rsidRPr="00B17ECB">
        <w:rPr>
          <w:sz w:val="22"/>
          <w:szCs w:val="22"/>
        </w:rPr>
        <w:t xml:space="preserve"> once </w:t>
      </w:r>
      <w:r w:rsidR="002E766F" w:rsidRPr="00B17ECB">
        <w:rPr>
          <w:sz w:val="22"/>
          <w:szCs w:val="22"/>
        </w:rPr>
        <w:t>this process</w:t>
      </w:r>
      <w:r w:rsidR="00455CAC" w:rsidRPr="00B17ECB">
        <w:rPr>
          <w:sz w:val="22"/>
          <w:szCs w:val="22"/>
        </w:rPr>
        <w:t xml:space="preserve"> was </w:t>
      </w:r>
      <w:proofErr w:type="gramStart"/>
      <w:r w:rsidR="00455CAC" w:rsidRPr="00B17ECB">
        <w:rPr>
          <w:sz w:val="22"/>
          <w:szCs w:val="22"/>
        </w:rPr>
        <w:t>completed</w:t>
      </w:r>
      <w:r w:rsidR="006B5C1B" w:rsidRPr="00B17ECB">
        <w:rPr>
          <w:sz w:val="22"/>
          <w:szCs w:val="22"/>
        </w:rPr>
        <w:t>;</w:t>
      </w:r>
      <w:proofErr w:type="gramEnd"/>
    </w:p>
    <w:p w14:paraId="06E72249" w14:textId="7C5677D0" w:rsidR="00B65764" w:rsidRPr="00B17ECB" w:rsidRDefault="008E51B7" w:rsidP="00506730">
      <w:pPr>
        <w:pStyle w:val="Para1"/>
        <w:numPr>
          <w:ilvl w:val="0"/>
          <w:numId w:val="45"/>
        </w:numPr>
        <w:suppressLineNumbers/>
        <w:tabs>
          <w:tab w:val="left" w:pos="1701"/>
        </w:tabs>
        <w:suppressAutoHyphens/>
        <w:spacing w:line="238" w:lineRule="auto"/>
        <w:ind w:left="567" w:firstLine="567"/>
        <w:jc w:val="both"/>
        <w:rPr>
          <w:sz w:val="22"/>
          <w:szCs w:val="22"/>
        </w:rPr>
      </w:pPr>
      <w:r w:rsidRPr="00B17ECB">
        <w:rPr>
          <w:sz w:val="22"/>
          <w:szCs w:val="22"/>
        </w:rPr>
        <w:t xml:space="preserve">The </w:t>
      </w:r>
      <w:r w:rsidR="0043353E" w:rsidRPr="00B17ECB">
        <w:rPr>
          <w:sz w:val="22"/>
          <w:szCs w:val="22"/>
        </w:rPr>
        <w:t xml:space="preserve">National Focal Point of the </w:t>
      </w:r>
      <w:r w:rsidRPr="00B17ECB">
        <w:rPr>
          <w:sz w:val="22"/>
          <w:szCs w:val="22"/>
        </w:rPr>
        <w:t>Syrian Arab Republic sent an official letter</w:t>
      </w:r>
      <w:r w:rsidR="001560B6" w:rsidRPr="00B17ECB">
        <w:rPr>
          <w:sz w:val="22"/>
          <w:szCs w:val="22"/>
        </w:rPr>
        <w:t xml:space="preserve"> to the Executive Sec</w:t>
      </w:r>
      <w:r w:rsidR="00E37EF2" w:rsidRPr="00B17ECB">
        <w:rPr>
          <w:sz w:val="22"/>
          <w:szCs w:val="22"/>
        </w:rPr>
        <w:t>retary</w:t>
      </w:r>
      <w:r w:rsidRPr="00B17ECB">
        <w:rPr>
          <w:sz w:val="22"/>
          <w:szCs w:val="22"/>
        </w:rPr>
        <w:t xml:space="preserve"> </w:t>
      </w:r>
      <w:r w:rsidR="00D51D5D" w:rsidRPr="00B17ECB">
        <w:rPr>
          <w:sz w:val="22"/>
          <w:szCs w:val="22"/>
        </w:rPr>
        <w:t>in February 2021</w:t>
      </w:r>
      <w:r w:rsidR="00BB4981" w:rsidRPr="00B17ECB">
        <w:rPr>
          <w:sz w:val="22"/>
          <w:szCs w:val="22"/>
        </w:rPr>
        <w:t>,</w:t>
      </w:r>
      <w:r w:rsidRPr="00B17ECB">
        <w:rPr>
          <w:sz w:val="22"/>
          <w:szCs w:val="22"/>
        </w:rPr>
        <w:t xml:space="preserve"> </w:t>
      </w:r>
      <w:r w:rsidR="00FA1BD5" w:rsidRPr="00B17ECB">
        <w:rPr>
          <w:sz w:val="22"/>
          <w:szCs w:val="22"/>
        </w:rPr>
        <w:t xml:space="preserve">explaining its challenges in submitting national reports under the Convention and its Protocols </w:t>
      </w:r>
      <w:r w:rsidR="00D901D0" w:rsidRPr="00B17ECB">
        <w:rPr>
          <w:sz w:val="22"/>
          <w:szCs w:val="22"/>
        </w:rPr>
        <w:t xml:space="preserve">owing </w:t>
      </w:r>
      <w:r w:rsidR="00FA1BD5" w:rsidRPr="00B17ECB">
        <w:rPr>
          <w:sz w:val="22"/>
          <w:szCs w:val="22"/>
        </w:rPr>
        <w:t xml:space="preserve">to lack of </w:t>
      </w:r>
      <w:r w:rsidR="00234EC5" w:rsidRPr="00B17ECB">
        <w:rPr>
          <w:sz w:val="22"/>
          <w:szCs w:val="22"/>
        </w:rPr>
        <w:t xml:space="preserve">access to funds </w:t>
      </w:r>
      <w:r w:rsidR="00FA1BD5" w:rsidRPr="00B17ECB">
        <w:rPr>
          <w:sz w:val="22"/>
          <w:szCs w:val="22"/>
        </w:rPr>
        <w:t xml:space="preserve">from </w:t>
      </w:r>
      <w:r w:rsidR="001D418D" w:rsidRPr="00B17ECB">
        <w:rPr>
          <w:sz w:val="22"/>
          <w:szCs w:val="22"/>
        </w:rPr>
        <w:t>GEF</w:t>
      </w:r>
      <w:r w:rsidR="00FA1BD5" w:rsidRPr="00B17ECB">
        <w:rPr>
          <w:sz w:val="22"/>
          <w:szCs w:val="22"/>
        </w:rPr>
        <w:t xml:space="preserve"> since 2011.</w:t>
      </w:r>
    </w:p>
    <w:p w14:paraId="130B6028" w14:textId="1C3F6C3D" w:rsidR="00EB40ED" w:rsidRPr="00B17ECB" w:rsidRDefault="00567F4E" w:rsidP="00506730">
      <w:pPr>
        <w:pStyle w:val="Para1"/>
        <w:numPr>
          <w:ilvl w:val="0"/>
          <w:numId w:val="6"/>
        </w:numPr>
        <w:suppressLineNumbers/>
        <w:tabs>
          <w:tab w:val="left" w:pos="1134"/>
        </w:tabs>
        <w:suppressAutoHyphens/>
        <w:spacing w:line="238" w:lineRule="auto"/>
        <w:ind w:left="540"/>
        <w:jc w:val="both"/>
        <w:rPr>
          <w:sz w:val="22"/>
          <w:szCs w:val="22"/>
        </w:rPr>
      </w:pPr>
      <w:r w:rsidRPr="00B17ECB">
        <w:rPr>
          <w:sz w:val="22"/>
          <w:szCs w:val="22"/>
        </w:rPr>
        <w:t xml:space="preserve">The remaining </w:t>
      </w:r>
      <w:r w:rsidR="00AE1EF2" w:rsidRPr="00B17ECB">
        <w:rPr>
          <w:sz w:val="22"/>
          <w:szCs w:val="22"/>
        </w:rPr>
        <w:t xml:space="preserve">six </w:t>
      </w:r>
      <w:r w:rsidR="000E7F5F" w:rsidRPr="00B17ECB">
        <w:rPr>
          <w:sz w:val="22"/>
          <w:szCs w:val="22"/>
        </w:rPr>
        <w:t>Parties that have</w:t>
      </w:r>
      <w:r w:rsidR="00694DFA" w:rsidRPr="00B17ECB">
        <w:rPr>
          <w:sz w:val="22"/>
          <w:szCs w:val="22"/>
        </w:rPr>
        <w:t xml:space="preserve"> </w:t>
      </w:r>
      <w:r w:rsidR="001674B2" w:rsidRPr="00B17ECB">
        <w:rPr>
          <w:sz w:val="22"/>
          <w:szCs w:val="22"/>
        </w:rPr>
        <w:t>not</w:t>
      </w:r>
      <w:r w:rsidR="00927093" w:rsidRPr="00B17ECB">
        <w:rPr>
          <w:sz w:val="22"/>
          <w:szCs w:val="22"/>
        </w:rPr>
        <w:t xml:space="preserve"> </w:t>
      </w:r>
      <w:r w:rsidR="000E7F5F" w:rsidRPr="00B17ECB">
        <w:rPr>
          <w:sz w:val="22"/>
          <w:szCs w:val="22"/>
        </w:rPr>
        <w:t xml:space="preserve">submitted a third </w:t>
      </w:r>
      <w:r w:rsidR="00454E89" w:rsidRPr="00B17ECB">
        <w:rPr>
          <w:sz w:val="22"/>
          <w:szCs w:val="22"/>
        </w:rPr>
        <w:t>or</w:t>
      </w:r>
      <w:r w:rsidR="000E7F5F" w:rsidRPr="00B17ECB">
        <w:rPr>
          <w:sz w:val="22"/>
          <w:szCs w:val="22"/>
        </w:rPr>
        <w:t xml:space="preserve"> fourth national report </w:t>
      </w:r>
      <w:r w:rsidR="0004583D" w:rsidRPr="00B17ECB">
        <w:rPr>
          <w:sz w:val="22"/>
          <w:szCs w:val="22"/>
        </w:rPr>
        <w:t>did not respond to any of the communications from the Secretariat.</w:t>
      </w:r>
    </w:p>
    <w:p w14:paraId="568E9447" w14:textId="4828156F" w:rsidR="00471433" w:rsidRPr="00B17ECB" w:rsidRDefault="00BE3DFA" w:rsidP="00506730">
      <w:pPr>
        <w:pStyle w:val="Para1"/>
        <w:numPr>
          <w:ilvl w:val="0"/>
          <w:numId w:val="6"/>
        </w:numPr>
        <w:suppressLineNumbers/>
        <w:tabs>
          <w:tab w:val="left" w:pos="1134"/>
        </w:tabs>
        <w:suppressAutoHyphens/>
        <w:spacing w:line="238" w:lineRule="auto"/>
        <w:ind w:left="540"/>
        <w:jc w:val="both"/>
        <w:rPr>
          <w:sz w:val="22"/>
          <w:szCs w:val="22"/>
        </w:rPr>
      </w:pPr>
      <w:r w:rsidRPr="00B17ECB">
        <w:rPr>
          <w:sz w:val="22"/>
          <w:szCs w:val="22"/>
        </w:rPr>
        <w:t xml:space="preserve">As a result, at the time of </w:t>
      </w:r>
      <w:r w:rsidR="00AE1EF2" w:rsidRPr="00B17ECB">
        <w:rPr>
          <w:sz w:val="22"/>
          <w:szCs w:val="22"/>
        </w:rPr>
        <w:t xml:space="preserve">the second </w:t>
      </w:r>
      <w:r w:rsidRPr="00B17ECB">
        <w:rPr>
          <w:sz w:val="22"/>
          <w:szCs w:val="22"/>
        </w:rPr>
        <w:t xml:space="preserve">part of the tenth meeting of the Conference of the Parties </w:t>
      </w:r>
      <w:r w:rsidR="004173C3" w:rsidRPr="00B17ECB">
        <w:rPr>
          <w:sz w:val="22"/>
          <w:szCs w:val="22"/>
        </w:rPr>
        <w:t xml:space="preserve">serving as the meeting of the Parties to the Protocol in December 2022, there were nine Parties that had submitted neither a third nor a fourth national report. </w:t>
      </w:r>
      <w:r w:rsidR="00471433" w:rsidRPr="00B17ECB">
        <w:rPr>
          <w:sz w:val="22"/>
          <w:szCs w:val="22"/>
        </w:rPr>
        <w:t xml:space="preserve">In adopting decision CP-10/9 on monitoring and reporting, the Conference of the Parties serving as the meeting of the Parties noted its concern </w:t>
      </w:r>
      <w:r w:rsidR="00471433" w:rsidRPr="00B17ECB">
        <w:rPr>
          <w:sz w:val="22"/>
          <w:szCs w:val="22"/>
        </w:rPr>
        <w:lastRenderedPageBreak/>
        <w:t>that, of the Parties that have not yet submitted their fourth national report, some Parties have also not submitted their third national report</w:t>
      </w:r>
      <w:r w:rsidR="000C6477" w:rsidRPr="00B17ECB">
        <w:rPr>
          <w:sz w:val="22"/>
          <w:szCs w:val="22"/>
        </w:rPr>
        <w:t>. The nine</w:t>
      </w:r>
      <w:r w:rsidR="00C30BFB" w:rsidRPr="00B17ECB">
        <w:rPr>
          <w:sz w:val="22"/>
          <w:szCs w:val="22"/>
        </w:rPr>
        <w:t xml:space="preserve"> Parties concerned were</w:t>
      </w:r>
      <w:r w:rsidR="00471433" w:rsidRPr="00B17ECB">
        <w:rPr>
          <w:sz w:val="22"/>
          <w:szCs w:val="22"/>
        </w:rPr>
        <w:t xml:space="preserve"> named </w:t>
      </w:r>
      <w:r w:rsidR="00C30BFB" w:rsidRPr="00B17ECB">
        <w:rPr>
          <w:sz w:val="22"/>
          <w:szCs w:val="22"/>
        </w:rPr>
        <w:t>in a footnote</w:t>
      </w:r>
      <w:r w:rsidR="00471433" w:rsidRPr="00B17ECB">
        <w:rPr>
          <w:sz w:val="22"/>
          <w:szCs w:val="22"/>
        </w:rPr>
        <w:t>.</w:t>
      </w:r>
      <w:r w:rsidR="00471433" w:rsidRPr="00B17ECB">
        <w:rPr>
          <w:sz w:val="22"/>
          <w:szCs w:val="22"/>
          <w:vertAlign w:val="superscript"/>
        </w:rPr>
        <w:footnoteReference w:id="7"/>
      </w:r>
      <w:r w:rsidR="00471433" w:rsidRPr="00B17ECB">
        <w:rPr>
          <w:sz w:val="22"/>
          <w:szCs w:val="22"/>
        </w:rPr>
        <w:t xml:space="preserve">  </w:t>
      </w:r>
    </w:p>
    <w:p w14:paraId="76E7A2D1" w14:textId="30CD7AA7" w:rsidR="00117DE2" w:rsidRPr="00B17ECB" w:rsidRDefault="00117DE2" w:rsidP="00506730">
      <w:pPr>
        <w:pStyle w:val="Para1"/>
        <w:numPr>
          <w:ilvl w:val="0"/>
          <w:numId w:val="6"/>
        </w:numPr>
        <w:suppressLineNumbers/>
        <w:tabs>
          <w:tab w:val="left" w:pos="1134"/>
        </w:tabs>
        <w:suppressAutoHyphens/>
        <w:spacing w:line="238" w:lineRule="auto"/>
        <w:ind w:left="567"/>
        <w:jc w:val="both"/>
        <w:rPr>
          <w:kern w:val="22"/>
          <w:sz w:val="22"/>
          <w:szCs w:val="22"/>
          <w:lang w:val="en-GB"/>
        </w:rPr>
      </w:pPr>
      <w:r w:rsidRPr="00B17ECB">
        <w:rPr>
          <w:kern w:val="22"/>
          <w:sz w:val="22"/>
          <w:szCs w:val="22"/>
          <w:lang w:val="en-GB"/>
        </w:rPr>
        <w:t xml:space="preserve">At the time of </w:t>
      </w:r>
      <w:r w:rsidR="00F8770C" w:rsidRPr="00B17ECB">
        <w:rPr>
          <w:kern w:val="22"/>
          <w:sz w:val="22"/>
          <w:szCs w:val="22"/>
          <w:lang w:val="en-GB"/>
        </w:rPr>
        <w:t>reporting</w:t>
      </w:r>
      <w:r w:rsidRPr="00B17ECB">
        <w:rPr>
          <w:kern w:val="22"/>
          <w:sz w:val="22"/>
          <w:szCs w:val="22"/>
          <w:lang w:val="en-GB"/>
        </w:rPr>
        <w:t>, none of the nine Parties ha</w:t>
      </w:r>
      <w:r w:rsidR="00AE1EF2" w:rsidRPr="00B17ECB">
        <w:rPr>
          <w:kern w:val="22"/>
          <w:sz w:val="22"/>
          <w:szCs w:val="22"/>
          <w:lang w:val="en-GB"/>
        </w:rPr>
        <w:t>d</w:t>
      </w:r>
      <w:r w:rsidRPr="00B17ECB">
        <w:rPr>
          <w:kern w:val="22"/>
          <w:sz w:val="22"/>
          <w:szCs w:val="22"/>
          <w:lang w:val="en-GB"/>
        </w:rPr>
        <w:t xml:space="preserve"> submitted either their third or fourth national report</w:t>
      </w:r>
      <w:r w:rsidR="00547FBB" w:rsidRPr="00B17ECB">
        <w:rPr>
          <w:kern w:val="22"/>
          <w:sz w:val="22"/>
          <w:szCs w:val="22"/>
          <w:lang w:val="en-GB"/>
        </w:rPr>
        <w:t>s</w:t>
      </w:r>
      <w:r w:rsidRPr="00B17ECB">
        <w:rPr>
          <w:kern w:val="22"/>
          <w:sz w:val="22"/>
          <w:szCs w:val="22"/>
          <w:lang w:val="en-GB"/>
        </w:rPr>
        <w:t>.</w:t>
      </w:r>
    </w:p>
    <w:p w14:paraId="7AA52D94" w14:textId="1E421CAA" w:rsidR="00773C9A" w:rsidRPr="00B17ECB" w:rsidRDefault="008406B7" w:rsidP="00506730">
      <w:pPr>
        <w:pStyle w:val="Para1"/>
        <w:numPr>
          <w:ilvl w:val="0"/>
          <w:numId w:val="6"/>
        </w:numPr>
        <w:suppressLineNumbers/>
        <w:tabs>
          <w:tab w:val="left" w:pos="1134"/>
        </w:tabs>
        <w:suppressAutoHyphens/>
        <w:spacing w:line="238" w:lineRule="auto"/>
        <w:ind w:left="567"/>
        <w:jc w:val="both"/>
        <w:rPr>
          <w:i/>
          <w:iCs/>
          <w:kern w:val="22"/>
          <w:sz w:val="22"/>
          <w:szCs w:val="22"/>
          <w:lang w:val="en-GB"/>
        </w:rPr>
      </w:pPr>
      <w:r w:rsidRPr="00B17ECB">
        <w:rPr>
          <w:sz w:val="22"/>
          <w:szCs w:val="22"/>
        </w:rPr>
        <w:t xml:space="preserve">In addition to the targeted communications, the </w:t>
      </w:r>
      <w:r w:rsidR="00427478" w:rsidRPr="00B17ECB">
        <w:rPr>
          <w:sz w:val="22"/>
          <w:szCs w:val="22"/>
        </w:rPr>
        <w:t>Secretariat also obtained some information through</w:t>
      </w:r>
      <w:r w:rsidRPr="00B17ECB">
        <w:rPr>
          <w:sz w:val="22"/>
          <w:szCs w:val="22"/>
        </w:rPr>
        <w:t xml:space="preserve"> the survey on compliance challenges</w:t>
      </w:r>
      <w:r w:rsidR="00AB7276" w:rsidRPr="00B17ECB">
        <w:rPr>
          <w:sz w:val="22"/>
          <w:szCs w:val="22"/>
        </w:rPr>
        <w:t>,</w:t>
      </w:r>
      <w:r w:rsidRPr="00B17ECB">
        <w:rPr>
          <w:rStyle w:val="FootnoteReference"/>
          <w:sz w:val="22"/>
          <w:szCs w:val="22"/>
        </w:rPr>
        <w:footnoteReference w:id="8"/>
      </w:r>
      <w:r w:rsidRPr="00B17ECB">
        <w:rPr>
          <w:sz w:val="22"/>
          <w:szCs w:val="22"/>
        </w:rPr>
        <w:t xml:space="preserve"> </w:t>
      </w:r>
      <w:r w:rsidR="00AB7276" w:rsidRPr="00B17ECB">
        <w:rPr>
          <w:sz w:val="22"/>
          <w:szCs w:val="22"/>
        </w:rPr>
        <w:t>which</w:t>
      </w:r>
      <w:r w:rsidRPr="00B17ECB">
        <w:rPr>
          <w:sz w:val="22"/>
          <w:szCs w:val="22"/>
        </w:rPr>
        <w:t xml:space="preserve"> was also </w:t>
      </w:r>
      <w:r w:rsidR="00E44474" w:rsidRPr="00B17ECB">
        <w:rPr>
          <w:sz w:val="22"/>
          <w:szCs w:val="22"/>
        </w:rPr>
        <w:t xml:space="preserve">sent </w:t>
      </w:r>
      <w:r w:rsidRPr="00B17ECB">
        <w:rPr>
          <w:sz w:val="22"/>
          <w:szCs w:val="22"/>
        </w:rPr>
        <w:t>to those Parties that</w:t>
      </w:r>
      <w:r w:rsidR="00B779E8" w:rsidRPr="00B17ECB">
        <w:rPr>
          <w:sz w:val="22"/>
          <w:szCs w:val="22"/>
        </w:rPr>
        <w:t xml:space="preserve"> </w:t>
      </w:r>
      <w:r w:rsidR="00810921" w:rsidRPr="00B17ECB">
        <w:rPr>
          <w:sz w:val="22"/>
          <w:szCs w:val="22"/>
        </w:rPr>
        <w:t>had</w:t>
      </w:r>
      <w:r w:rsidR="00DD05DD" w:rsidRPr="00B17ECB">
        <w:rPr>
          <w:sz w:val="22"/>
          <w:szCs w:val="22"/>
        </w:rPr>
        <w:t xml:space="preserve"> </w:t>
      </w:r>
      <w:r w:rsidRPr="00B17ECB">
        <w:rPr>
          <w:sz w:val="22"/>
          <w:szCs w:val="22"/>
        </w:rPr>
        <w:t xml:space="preserve">submitted </w:t>
      </w:r>
      <w:r w:rsidRPr="00B17ECB" w:rsidDel="00697C61">
        <w:rPr>
          <w:sz w:val="22"/>
          <w:szCs w:val="22"/>
        </w:rPr>
        <w:t>n</w:t>
      </w:r>
      <w:r w:rsidRPr="00B17ECB">
        <w:rPr>
          <w:sz w:val="22"/>
          <w:szCs w:val="22"/>
        </w:rPr>
        <w:t xml:space="preserve">either </w:t>
      </w:r>
      <w:r w:rsidR="00DD05DD" w:rsidRPr="00B17ECB">
        <w:rPr>
          <w:sz w:val="22"/>
          <w:szCs w:val="22"/>
        </w:rPr>
        <w:t>a third nor a fourth</w:t>
      </w:r>
      <w:r w:rsidR="00362000" w:rsidRPr="00B17ECB">
        <w:rPr>
          <w:sz w:val="22"/>
          <w:szCs w:val="22"/>
        </w:rPr>
        <w:t xml:space="preserve"> </w:t>
      </w:r>
      <w:r w:rsidRPr="00B17ECB">
        <w:rPr>
          <w:sz w:val="22"/>
          <w:szCs w:val="22"/>
        </w:rPr>
        <w:t>national report. The survey provided an opportunity to describe the challenges Parties were facing in complying with their reporting obligation. Of the Parties concerned, only the Syrian Arab Republic responded to the survey, indicating that its challenges were the lack of financial resources</w:t>
      </w:r>
      <w:r w:rsidR="007931AE" w:rsidRPr="00B17ECB">
        <w:rPr>
          <w:sz w:val="22"/>
          <w:szCs w:val="22"/>
        </w:rPr>
        <w:t xml:space="preserve"> and reiterating how</w:t>
      </w:r>
      <w:r w:rsidRPr="00B17ECB">
        <w:rPr>
          <w:sz w:val="22"/>
          <w:szCs w:val="22"/>
        </w:rPr>
        <w:t xml:space="preserve"> </w:t>
      </w:r>
      <w:r w:rsidR="0086529D" w:rsidRPr="00B17ECB">
        <w:rPr>
          <w:sz w:val="22"/>
          <w:szCs w:val="22"/>
        </w:rPr>
        <w:t xml:space="preserve">it </w:t>
      </w:r>
      <w:r w:rsidRPr="00B17ECB">
        <w:rPr>
          <w:sz w:val="22"/>
          <w:szCs w:val="22"/>
        </w:rPr>
        <w:t xml:space="preserve">had not been able to </w:t>
      </w:r>
      <w:r w:rsidR="00835AA4" w:rsidRPr="00B17ECB">
        <w:rPr>
          <w:sz w:val="22"/>
          <w:szCs w:val="22"/>
        </w:rPr>
        <w:t xml:space="preserve">get access to </w:t>
      </w:r>
      <w:r w:rsidRPr="00B17ECB">
        <w:rPr>
          <w:sz w:val="22"/>
          <w:szCs w:val="22"/>
        </w:rPr>
        <w:t xml:space="preserve">GEF funding for the preparation of </w:t>
      </w:r>
      <w:r w:rsidR="0086529D" w:rsidRPr="00B17ECB">
        <w:rPr>
          <w:sz w:val="22"/>
          <w:szCs w:val="22"/>
        </w:rPr>
        <w:t xml:space="preserve">its </w:t>
      </w:r>
      <w:r w:rsidRPr="00B17ECB">
        <w:rPr>
          <w:sz w:val="22"/>
          <w:szCs w:val="22"/>
        </w:rPr>
        <w:t>national reports since 2011.</w:t>
      </w:r>
    </w:p>
    <w:p w14:paraId="06663009" w14:textId="4833A9B2" w:rsidR="008406B7" w:rsidRPr="00B17ECB" w:rsidRDefault="00C968A8" w:rsidP="008406B7">
      <w:pPr>
        <w:pStyle w:val="Heading2"/>
      </w:pPr>
      <w:r w:rsidRPr="00B17ECB">
        <w:t>B</w:t>
      </w:r>
      <w:r w:rsidR="008406B7" w:rsidRPr="00B17ECB">
        <w:t>.</w:t>
      </w:r>
      <w:r w:rsidR="008406B7" w:rsidRPr="00B17ECB">
        <w:tab/>
      </w:r>
      <w:r w:rsidRPr="00B17ECB">
        <w:t>Possible follow-up</w:t>
      </w:r>
      <w:r w:rsidR="0090380B" w:rsidRPr="00B17ECB">
        <w:t xml:space="preserve"> by the Committee</w:t>
      </w:r>
    </w:p>
    <w:p w14:paraId="0CA2B562" w14:textId="503D0D4C" w:rsidR="00285A4A" w:rsidRPr="00B17ECB" w:rsidRDefault="00285A4A" w:rsidP="00506730">
      <w:pPr>
        <w:pStyle w:val="Para1"/>
        <w:numPr>
          <w:ilvl w:val="0"/>
          <w:numId w:val="6"/>
        </w:numPr>
        <w:suppressLineNumbers/>
        <w:tabs>
          <w:tab w:val="left" w:pos="1134"/>
        </w:tabs>
        <w:suppressAutoHyphens/>
        <w:spacing w:line="238" w:lineRule="auto"/>
        <w:ind w:left="567"/>
        <w:jc w:val="both"/>
        <w:rPr>
          <w:kern w:val="22"/>
          <w:sz w:val="22"/>
          <w:szCs w:val="22"/>
          <w:lang w:val="en-GB"/>
        </w:rPr>
      </w:pPr>
      <w:r w:rsidRPr="00B17ECB">
        <w:rPr>
          <w:kern w:val="22"/>
          <w:sz w:val="22"/>
          <w:szCs w:val="22"/>
          <w:lang w:val="en-GB"/>
        </w:rPr>
        <w:t>The Committee may wish to consider</w:t>
      </w:r>
      <w:r w:rsidR="00901ABC" w:rsidRPr="00B17ECB">
        <w:rPr>
          <w:kern w:val="22"/>
          <w:sz w:val="22"/>
          <w:szCs w:val="22"/>
          <w:lang w:val="en-GB"/>
        </w:rPr>
        <w:t xml:space="preserve"> individual </w:t>
      </w:r>
      <w:r w:rsidRPr="00B17ECB">
        <w:rPr>
          <w:kern w:val="22"/>
          <w:sz w:val="22"/>
          <w:szCs w:val="22"/>
          <w:lang w:val="en-GB"/>
        </w:rPr>
        <w:t xml:space="preserve">follow-up actions to support the </w:t>
      </w:r>
      <w:r w:rsidR="00901ABC" w:rsidRPr="00B17ECB">
        <w:rPr>
          <w:kern w:val="22"/>
          <w:sz w:val="22"/>
          <w:szCs w:val="22"/>
          <w:lang w:val="en-GB"/>
        </w:rPr>
        <w:t>nine</w:t>
      </w:r>
      <w:r w:rsidRPr="00B17ECB">
        <w:rPr>
          <w:kern w:val="22"/>
          <w:sz w:val="22"/>
          <w:szCs w:val="22"/>
          <w:lang w:val="en-GB"/>
        </w:rPr>
        <w:t xml:space="preserve"> Parties that have </w:t>
      </w:r>
      <w:r w:rsidR="00697C61" w:rsidRPr="00B17ECB">
        <w:rPr>
          <w:kern w:val="22"/>
          <w:sz w:val="22"/>
          <w:szCs w:val="22"/>
          <w:lang w:val="en-GB"/>
        </w:rPr>
        <w:t xml:space="preserve">not </w:t>
      </w:r>
      <w:r w:rsidRPr="00B17ECB">
        <w:rPr>
          <w:kern w:val="22"/>
          <w:sz w:val="22"/>
          <w:szCs w:val="22"/>
          <w:lang w:val="en-GB"/>
        </w:rPr>
        <w:t>submitted either their third or fourth national report, taking into consideration</w:t>
      </w:r>
      <w:r w:rsidR="003C7A64" w:rsidRPr="00B17ECB">
        <w:rPr>
          <w:kern w:val="22"/>
          <w:sz w:val="22"/>
          <w:szCs w:val="22"/>
          <w:lang w:val="en-GB"/>
        </w:rPr>
        <w:t>,</w:t>
      </w:r>
      <w:r w:rsidRPr="00B17ECB">
        <w:rPr>
          <w:kern w:val="22"/>
          <w:sz w:val="22"/>
          <w:szCs w:val="22"/>
          <w:lang w:val="en-GB"/>
        </w:rPr>
        <w:t xml:space="preserve"> among other factors</w:t>
      </w:r>
      <w:r w:rsidR="003C7A64" w:rsidRPr="00B17ECB">
        <w:rPr>
          <w:kern w:val="22"/>
          <w:sz w:val="22"/>
          <w:szCs w:val="22"/>
          <w:lang w:val="en-GB"/>
        </w:rPr>
        <w:t>,</w:t>
      </w:r>
      <w:r w:rsidRPr="00B17ECB">
        <w:rPr>
          <w:kern w:val="22"/>
          <w:sz w:val="22"/>
          <w:szCs w:val="22"/>
          <w:lang w:val="en-GB"/>
        </w:rPr>
        <w:t xml:space="preserve"> the ac</w:t>
      </w:r>
      <w:proofErr w:type="spellStart"/>
      <w:r w:rsidRPr="00B17ECB">
        <w:rPr>
          <w:kern w:val="22"/>
          <w:sz w:val="22"/>
          <w:szCs w:val="22"/>
        </w:rPr>
        <w:t>tions</w:t>
      </w:r>
      <w:proofErr w:type="spellEnd"/>
      <w:r w:rsidRPr="00B17ECB">
        <w:rPr>
          <w:kern w:val="22"/>
          <w:sz w:val="22"/>
          <w:szCs w:val="22"/>
        </w:rPr>
        <w:t xml:space="preserve"> taken to date </w:t>
      </w:r>
      <w:r w:rsidR="002217FC" w:rsidRPr="00B17ECB">
        <w:rPr>
          <w:kern w:val="22"/>
          <w:sz w:val="22"/>
          <w:szCs w:val="22"/>
        </w:rPr>
        <w:t>in respect of these Parties</w:t>
      </w:r>
      <w:r w:rsidRPr="00B17ECB">
        <w:rPr>
          <w:kern w:val="22"/>
          <w:sz w:val="22"/>
          <w:szCs w:val="22"/>
        </w:rPr>
        <w:t>. Th</w:t>
      </w:r>
      <w:r w:rsidR="002217FC" w:rsidRPr="00B17ECB">
        <w:rPr>
          <w:kern w:val="22"/>
          <w:sz w:val="22"/>
          <w:szCs w:val="22"/>
        </w:rPr>
        <w:t>o</w:t>
      </w:r>
      <w:r w:rsidRPr="00B17ECB">
        <w:rPr>
          <w:kern w:val="22"/>
          <w:sz w:val="22"/>
          <w:szCs w:val="22"/>
        </w:rPr>
        <w:t xml:space="preserve">se actions include informal follow-up by the Secretariat </w:t>
      </w:r>
      <w:r w:rsidR="00477994" w:rsidRPr="00B17ECB">
        <w:rPr>
          <w:kern w:val="22"/>
          <w:sz w:val="22"/>
          <w:szCs w:val="22"/>
        </w:rPr>
        <w:t xml:space="preserve">on </w:t>
      </w:r>
      <w:r w:rsidR="00B41724" w:rsidRPr="00B17ECB">
        <w:rPr>
          <w:kern w:val="22"/>
          <w:sz w:val="22"/>
          <w:szCs w:val="22"/>
        </w:rPr>
        <w:t xml:space="preserve">various occasions </w:t>
      </w:r>
      <w:r w:rsidRPr="00B17ECB">
        <w:rPr>
          <w:kern w:val="22"/>
          <w:sz w:val="22"/>
          <w:szCs w:val="22"/>
        </w:rPr>
        <w:t xml:space="preserve">following the </w:t>
      </w:r>
      <w:r w:rsidR="00E66E45" w:rsidRPr="00B17ECB">
        <w:rPr>
          <w:kern w:val="22"/>
          <w:sz w:val="22"/>
          <w:szCs w:val="22"/>
        </w:rPr>
        <w:t>submission date of the third national report</w:t>
      </w:r>
      <w:r w:rsidRPr="00B17ECB">
        <w:rPr>
          <w:kern w:val="22"/>
          <w:sz w:val="22"/>
          <w:szCs w:val="22"/>
        </w:rPr>
        <w:t xml:space="preserve">, and, following the seventeenth meeting of the Committee, a formal communication by way of letter from the Executive Secretary, as described above. </w:t>
      </w:r>
    </w:p>
    <w:p w14:paraId="1A46EE40" w14:textId="29580FBE" w:rsidR="00285A4A" w:rsidRPr="00B17ECB" w:rsidRDefault="00285A4A" w:rsidP="00506730">
      <w:pPr>
        <w:pStyle w:val="Para1"/>
        <w:numPr>
          <w:ilvl w:val="0"/>
          <w:numId w:val="6"/>
        </w:numPr>
        <w:suppressLineNumbers/>
        <w:tabs>
          <w:tab w:val="left" w:pos="1134"/>
        </w:tabs>
        <w:suppressAutoHyphens/>
        <w:spacing w:line="238" w:lineRule="auto"/>
        <w:ind w:left="567"/>
        <w:jc w:val="both"/>
        <w:rPr>
          <w:kern w:val="22"/>
          <w:sz w:val="22"/>
          <w:szCs w:val="22"/>
          <w:lang w:val="en-GB"/>
        </w:rPr>
      </w:pPr>
      <w:r w:rsidRPr="00B17ECB">
        <w:rPr>
          <w:kern w:val="22"/>
          <w:sz w:val="22"/>
          <w:szCs w:val="22"/>
          <w:lang w:val="en-GB"/>
        </w:rPr>
        <w:t>The Committee may wish to request its Chair to write to the National Focal Point of the Parties concerned,</w:t>
      </w:r>
      <w:r w:rsidR="00904102" w:rsidRPr="00B17ECB">
        <w:rPr>
          <w:kern w:val="22"/>
          <w:sz w:val="22"/>
          <w:szCs w:val="22"/>
          <w:lang w:val="en-GB"/>
        </w:rPr>
        <w:t xml:space="preserve"> </w:t>
      </w:r>
      <w:r w:rsidRPr="00B17ECB">
        <w:rPr>
          <w:kern w:val="22"/>
          <w:sz w:val="22"/>
          <w:szCs w:val="22"/>
          <w:lang w:val="en-GB"/>
        </w:rPr>
        <w:t xml:space="preserve">reminding them of their obligation to submit their national report and inviting them to share any information on the challenges they face in complying with this obligation. </w:t>
      </w:r>
    </w:p>
    <w:p w14:paraId="2E2EDC73" w14:textId="77777777" w:rsidR="00285A4A" w:rsidRPr="00B17ECB" w:rsidRDefault="00285A4A" w:rsidP="00506730">
      <w:pPr>
        <w:pStyle w:val="Para1"/>
        <w:numPr>
          <w:ilvl w:val="0"/>
          <w:numId w:val="6"/>
        </w:numPr>
        <w:suppressLineNumbers/>
        <w:tabs>
          <w:tab w:val="left" w:pos="1134"/>
        </w:tabs>
        <w:suppressAutoHyphens/>
        <w:spacing w:line="238" w:lineRule="auto"/>
        <w:ind w:left="567"/>
        <w:jc w:val="both"/>
        <w:rPr>
          <w:kern w:val="22"/>
          <w:sz w:val="22"/>
          <w:szCs w:val="22"/>
          <w:lang w:val="en-GB"/>
        </w:rPr>
      </w:pPr>
      <w:r w:rsidRPr="00B17ECB">
        <w:rPr>
          <w:kern w:val="22"/>
          <w:sz w:val="22"/>
          <w:szCs w:val="22"/>
          <w:lang w:val="en-GB"/>
        </w:rPr>
        <w:t>The Committee may also wish to urge its members to continue reaching out to the Parties concerned in their region to support them in preparing and submitting their national report.</w:t>
      </w:r>
    </w:p>
    <w:p w14:paraId="56CC0164" w14:textId="77777777" w:rsidR="00285A4A" w:rsidRPr="00B17ECB" w:rsidRDefault="00285A4A" w:rsidP="00506730">
      <w:pPr>
        <w:pStyle w:val="Para1"/>
        <w:numPr>
          <w:ilvl w:val="0"/>
          <w:numId w:val="6"/>
        </w:numPr>
        <w:suppressLineNumbers/>
        <w:tabs>
          <w:tab w:val="left" w:pos="1134"/>
        </w:tabs>
        <w:suppressAutoHyphens/>
        <w:spacing w:line="238" w:lineRule="auto"/>
        <w:ind w:left="567"/>
        <w:jc w:val="both"/>
        <w:rPr>
          <w:kern w:val="22"/>
          <w:sz w:val="22"/>
          <w:szCs w:val="22"/>
          <w:lang w:val="en-GB"/>
        </w:rPr>
      </w:pPr>
      <w:r w:rsidRPr="00B17ECB">
        <w:rPr>
          <w:kern w:val="22"/>
          <w:sz w:val="22"/>
          <w:szCs w:val="22"/>
          <w:lang w:val="en-GB"/>
        </w:rPr>
        <w:t xml:space="preserve">The Committee may wish to return to this matter at its nineteenth meeting. </w:t>
      </w:r>
    </w:p>
    <w:p w14:paraId="4A665C85" w14:textId="486968F4" w:rsidR="00FA1B00" w:rsidRPr="00B17ECB" w:rsidRDefault="00285A4A" w:rsidP="00AF54F2">
      <w:pPr>
        <w:pStyle w:val="Heading1"/>
      </w:pPr>
      <w:r w:rsidRPr="00B17ECB">
        <w:t xml:space="preserve">Individual cases of non-compliance concerning the obligation to </w:t>
      </w:r>
      <w:r w:rsidR="00DF03D5" w:rsidRPr="00B17ECB">
        <w:t xml:space="preserve">take measures to implement the Protocol </w:t>
      </w:r>
      <w:r w:rsidRPr="00B17ECB">
        <w:t xml:space="preserve">(Article </w:t>
      </w:r>
      <w:r w:rsidR="007D4C3D" w:rsidRPr="00B17ECB">
        <w:t>2</w:t>
      </w:r>
      <w:r w:rsidR="00FF01F8" w:rsidRPr="00B17ECB">
        <w:t xml:space="preserve"> </w:t>
      </w:r>
      <w:r w:rsidR="007D4C3D" w:rsidRPr="00B17ECB">
        <w:t>(1)</w:t>
      </w:r>
      <w:r w:rsidRPr="00B17ECB">
        <w:t>)</w:t>
      </w:r>
    </w:p>
    <w:p w14:paraId="44477D62" w14:textId="7218C0F4" w:rsidR="006C4969" w:rsidRPr="00B17ECB" w:rsidRDefault="006C4969" w:rsidP="00506730">
      <w:pPr>
        <w:pStyle w:val="Para1"/>
        <w:numPr>
          <w:ilvl w:val="0"/>
          <w:numId w:val="10"/>
        </w:numPr>
        <w:suppressLineNumbers/>
        <w:tabs>
          <w:tab w:val="left" w:pos="567"/>
        </w:tabs>
        <w:suppressAutoHyphens/>
        <w:spacing w:line="238" w:lineRule="auto"/>
        <w:ind w:left="0" w:firstLine="0"/>
        <w:jc w:val="both"/>
        <w:rPr>
          <w:b/>
          <w:bCs/>
        </w:rPr>
      </w:pPr>
      <w:r w:rsidRPr="00B17ECB">
        <w:rPr>
          <w:b/>
          <w:bCs/>
        </w:rPr>
        <w:t xml:space="preserve">Parties requested to prepare a compliance action </w:t>
      </w:r>
      <w:proofErr w:type="gramStart"/>
      <w:r w:rsidRPr="00B17ECB">
        <w:rPr>
          <w:b/>
          <w:bCs/>
        </w:rPr>
        <w:t>plan</w:t>
      </w:r>
      <w:proofErr w:type="gramEnd"/>
    </w:p>
    <w:p w14:paraId="3BD12F5A" w14:textId="33A1F257" w:rsidR="00BD4BC3" w:rsidRPr="00B17ECB" w:rsidRDefault="008C3C36" w:rsidP="00506730">
      <w:pPr>
        <w:pStyle w:val="Para1"/>
        <w:numPr>
          <w:ilvl w:val="0"/>
          <w:numId w:val="6"/>
        </w:numPr>
        <w:suppressLineNumbers/>
        <w:tabs>
          <w:tab w:val="left" w:pos="1134"/>
        </w:tabs>
        <w:suppressAutoHyphens/>
        <w:spacing w:line="238" w:lineRule="auto"/>
        <w:ind w:left="567"/>
        <w:jc w:val="both"/>
        <w:rPr>
          <w:kern w:val="22"/>
          <w:sz w:val="22"/>
          <w:szCs w:val="22"/>
        </w:rPr>
      </w:pPr>
      <w:r w:rsidRPr="00B17ECB">
        <w:rPr>
          <w:kern w:val="22"/>
          <w:sz w:val="22"/>
          <w:szCs w:val="22"/>
        </w:rPr>
        <w:t>At its fifteenth meeting, t</w:t>
      </w:r>
      <w:r w:rsidR="00BD4BC3" w:rsidRPr="00B17ECB">
        <w:rPr>
          <w:kern w:val="22"/>
          <w:sz w:val="22"/>
          <w:szCs w:val="22"/>
        </w:rPr>
        <w:t xml:space="preserve">he Committee reviewed compliance by Parties with their obligation under Article 2, paragraph 1, of the Protocol to take the necessary and appropriate legal, </w:t>
      </w:r>
      <w:proofErr w:type="gramStart"/>
      <w:r w:rsidR="00BD4BC3" w:rsidRPr="00B17ECB">
        <w:rPr>
          <w:kern w:val="22"/>
          <w:sz w:val="22"/>
          <w:szCs w:val="22"/>
        </w:rPr>
        <w:t>administrative</w:t>
      </w:r>
      <w:proofErr w:type="gramEnd"/>
      <w:r w:rsidR="00BD4BC3" w:rsidRPr="00B17ECB">
        <w:rPr>
          <w:kern w:val="22"/>
          <w:sz w:val="22"/>
          <w:szCs w:val="22"/>
        </w:rPr>
        <w:t xml:space="preserve"> and other measures for the implementation of their obligations under the Protocol. The Committee decided that its Chair would contact those Parties that had reported, in their third national report, not having taken any measures or only having taken draft or temporary measures for the implementation of the Protocol, and request those Parties to develop a compliance action plan setting out a timeline and the actions required to achieve compliance with their obligations.</w:t>
      </w:r>
      <w:r w:rsidR="00BD4BC3" w:rsidRPr="00B17ECB">
        <w:rPr>
          <w:rStyle w:val="FootnoteReference"/>
          <w:kern w:val="22"/>
          <w:sz w:val="22"/>
          <w:szCs w:val="22"/>
        </w:rPr>
        <w:footnoteReference w:id="9"/>
      </w:r>
      <w:r w:rsidR="00BD4BC3" w:rsidRPr="00B17ECB">
        <w:rPr>
          <w:rStyle w:val="FootnoteReference"/>
        </w:rPr>
        <w:t xml:space="preserve"> </w:t>
      </w:r>
      <w:r w:rsidR="00BD4BC3" w:rsidRPr="00B17ECB">
        <w:rPr>
          <w:kern w:val="22"/>
          <w:sz w:val="22"/>
          <w:szCs w:val="22"/>
        </w:rPr>
        <w:t xml:space="preserve">On the basis of information provided in their third national report, </w:t>
      </w:r>
      <w:r w:rsidR="007B13A9" w:rsidRPr="00B17ECB">
        <w:rPr>
          <w:kern w:val="22"/>
          <w:sz w:val="22"/>
          <w:szCs w:val="22"/>
        </w:rPr>
        <w:t>25</w:t>
      </w:r>
      <w:r w:rsidR="00BD4BC3" w:rsidRPr="00B17ECB">
        <w:rPr>
          <w:kern w:val="22"/>
          <w:sz w:val="22"/>
          <w:szCs w:val="22"/>
        </w:rPr>
        <w:t xml:space="preserve"> Parties were identified and requested, by way of a letter from the Chair of the Committee, to develop a compliance action plan.</w:t>
      </w:r>
    </w:p>
    <w:p w14:paraId="1221F7DB" w14:textId="45A6825F" w:rsidR="00BD4BC3" w:rsidRPr="00B17ECB" w:rsidRDefault="004F33BD" w:rsidP="00506730">
      <w:pPr>
        <w:pStyle w:val="Para1"/>
        <w:numPr>
          <w:ilvl w:val="0"/>
          <w:numId w:val="6"/>
        </w:numPr>
        <w:suppressLineNumbers/>
        <w:tabs>
          <w:tab w:val="left" w:pos="1134"/>
        </w:tabs>
        <w:suppressAutoHyphens/>
        <w:spacing w:line="238" w:lineRule="auto"/>
        <w:ind w:left="567"/>
        <w:jc w:val="both"/>
        <w:rPr>
          <w:b/>
          <w:bCs/>
        </w:rPr>
      </w:pPr>
      <w:r w:rsidRPr="00B17ECB">
        <w:rPr>
          <w:kern w:val="22"/>
          <w:sz w:val="22"/>
          <w:szCs w:val="22"/>
        </w:rPr>
        <w:t>The s</w:t>
      </w:r>
      <w:r w:rsidR="008600E6" w:rsidRPr="00B17ECB">
        <w:rPr>
          <w:kern w:val="22"/>
          <w:sz w:val="22"/>
          <w:szCs w:val="22"/>
        </w:rPr>
        <w:t>ubsection</w:t>
      </w:r>
      <w:r w:rsidRPr="00B17ECB">
        <w:rPr>
          <w:kern w:val="22"/>
          <w:sz w:val="22"/>
          <w:szCs w:val="22"/>
        </w:rPr>
        <w:t>s</w:t>
      </w:r>
      <w:r w:rsidR="008600E6" w:rsidRPr="00B17ECB">
        <w:rPr>
          <w:kern w:val="22"/>
          <w:sz w:val="22"/>
          <w:szCs w:val="22"/>
        </w:rPr>
        <w:t xml:space="preserve"> below provide </w:t>
      </w:r>
      <w:r w:rsidR="00D446C1" w:rsidRPr="00B17ECB">
        <w:rPr>
          <w:kern w:val="22"/>
          <w:sz w:val="22"/>
          <w:szCs w:val="22"/>
        </w:rPr>
        <w:t xml:space="preserve">details </w:t>
      </w:r>
      <w:r w:rsidR="004C0170" w:rsidRPr="00B17ECB">
        <w:rPr>
          <w:kern w:val="22"/>
          <w:sz w:val="22"/>
          <w:szCs w:val="22"/>
        </w:rPr>
        <w:t xml:space="preserve">of </w:t>
      </w:r>
      <w:r w:rsidR="001C055E" w:rsidRPr="00B17ECB">
        <w:rPr>
          <w:kern w:val="22"/>
          <w:sz w:val="22"/>
          <w:szCs w:val="22"/>
        </w:rPr>
        <w:t xml:space="preserve">developments and actions taken </w:t>
      </w:r>
      <w:r w:rsidR="00214505" w:rsidRPr="00B17ECB">
        <w:rPr>
          <w:kern w:val="22"/>
          <w:sz w:val="22"/>
          <w:szCs w:val="22"/>
        </w:rPr>
        <w:t xml:space="preserve">in this regard </w:t>
      </w:r>
      <w:r w:rsidR="001C055E" w:rsidRPr="00B17ECB">
        <w:rPr>
          <w:kern w:val="22"/>
          <w:sz w:val="22"/>
          <w:szCs w:val="22"/>
        </w:rPr>
        <w:t xml:space="preserve">since </w:t>
      </w:r>
      <w:r w:rsidR="00214505" w:rsidRPr="00B17ECB">
        <w:rPr>
          <w:kern w:val="22"/>
          <w:sz w:val="22"/>
          <w:szCs w:val="22"/>
        </w:rPr>
        <w:t>the fifteenth meeting</w:t>
      </w:r>
      <w:r w:rsidR="006108EA" w:rsidRPr="00B17ECB">
        <w:rPr>
          <w:kern w:val="22"/>
          <w:sz w:val="22"/>
          <w:szCs w:val="22"/>
        </w:rPr>
        <w:t xml:space="preserve"> </w:t>
      </w:r>
      <w:r w:rsidR="00CD315D" w:rsidRPr="00B17ECB">
        <w:rPr>
          <w:kern w:val="22"/>
          <w:sz w:val="22"/>
          <w:szCs w:val="22"/>
        </w:rPr>
        <w:t xml:space="preserve">of the Committee </w:t>
      </w:r>
      <w:r w:rsidR="006108EA" w:rsidRPr="00B17ECB">
        <w:rPr>
          <w:kern w:val="22"/>
          <w:sz w:val="22"/>
          <w:szCs w:val="22"/>
        </w:rPr>
        <w:t xml:space="preserve">and suggests possible follow-up for </w:t>
      </w:r>
      <w:r w:rsidR="004A4E93" w:rsidRPr="00B17ECB">
        <w:rPr>
          <w:kern w:val="22"/>
          <w:sz w:val="22"/>
          <w:szCs w:val="22"/>
        </w:rPr>
        <w:t xml:space="preserve">consideration by the </w:t>
      </w:r>
      <w:r w:rsidR="006108EA" w:rsidRPr="00B17ECB">
        <w:rPr>
          <w:kern w:val="22"/>
          <w:sz w:val="22"/>
          <w:szCs w:val="22"/>
        </w:rPr>
        <w:t>Committee</w:t>
      </w:r>
      <w:r w:rsidR="004C0170" w:rsidRPr="00B17ECB">
        <w:rPr>
          <w:kern w:val="22"/>
          <w:sz w:val="22"/>
          <w:szCs w:val="22"/>
        </w:rPr>
        <w:t xml:space="preserve">. </w:t>
      </w:r>
      <w:r w:rsidR="00464B32" w:rsidRPr="00B17ECB">
        <w:rPr>
          <w:kern w:val="22"/>
          <w:sz w:val="22"/>
          <w:szCs w:val="22"/>
        </w:rPr>
        <w:t>A</w:t>
      </w:r>
      <w:r w:rsidR="00100516" w:rsidRPr="00B17ECB">
        <w:rPr>
          <w:kern w:val="22"/>
          <w:sz w:val="22"/>
          <w:szCs w:val="22"/>
        </w:rPr>
        <w:t xml:space="preserve"> table with a</w:t>
      </w:r>
      <w:r w:rsidR="00464B32" w:rsidRPr="00B17ECB">
        <w:rPr>
          <w:kern w:val="22"/>
          <w:sz w:val="22"/>
          <w:szCs w:val="22"/>
        </w:rPr>
        <w:t>n overview of the status of preparation of a compliance action plan by the</w:t>
      </w:r>
      <w:r w:rsidR="00100516" w:rsidRPr="00B17ECB">
        <w:rPr>
          <w:kern w:val="22"/>
          <w:sz w:val="22"/>
          <w:szCs w:val="22"/>
        </w:rPr>
        <w:t>se</w:t>
      </w:r>
      <w:r w:rsidR="00464B32" w:rsidRPr="00B17ECB">
        <w:rPr>
          <w:kern w:val="22"/>
          <w:sz w:val="22"/>
          <w:szCs w:val="22"/>
        </w:rPr>
        <w:t xml:space="preserve"> 25 Parties is provided in </w:t>
      </w:r>
      <w:r w:rsidR="00063EF4" w:rsidRPr="00B17ECB">
        <w:rPr>
          <w:kern w:val="22"/>
          <w:sz w:val="22"/>
          <w:szCs w:val="22"/>
        </w:rPr>
        <w:t>a</w:t>
      </w:r>
      <w:r w:rsidR="00464B32" w:rsidRPr="00B17ECB">
        <w:rPr>
          <w:kern w:val="22"/>
          <w:sz w:val="22"/>
          <w:szCs w:val="22"/>
        </w:rPr>
        <w:t>nnex I.</w:t>
      </w:r>
    </w:p>
    <w:p w14:paraId="1B2F98C7" w14:textId="1FE45FB7" w:rsidR="006C4969" w:rsidRPr="00B17ECB" w:rsidRDefault="001D3547" w:rsidP="00173ADC">
      <w:pPr>
        <w:pStyle w:val="Heading2"/>
      </w:pPr>
      <w:r w:rsidRPr="00B17ECB">
        <w:rPr>
          <w:bCs/>
        </w:rPr>
        <w:lastRenderedPageBreak/>
        <w:t>1.</w:t>
      </w:r>
      <w:r w:rsidRPr="00B17ECB">
        <w:rPr>
          <w:bCs/>
        </w:rPr>
        <w:tab/>
      </w:r>
      <w:r w:rsidR="007C07EE" w:rsidRPr="00B17ECB">
        <w:rPr>
          <w:bCs/>
        </w:rPr>
        <w:t xml:space="preserve">Parties that submitted a compliance action plan </w:t>
      </w:r>
    </w:p>
    <w:p w14:paraId="35248C75" w14:textId="315FA7D1" w:rsidR="00477AA3" w:rsidRPr="00B17ECB" w:rsidRDefault="007C07EE" w:rsidP="00506730">
      <w:pPr>
        <w:pStyle w:val="Para1"/>
        <w:numPr>
          <w:ilvl w:val="1"/>
          <w:numId w:val="6"/>
        </w:numPr>
        <w:suppressLineNumbers/>
        <w:tabs>
          <w:tab w:val="clear" w:pos="1570"/>
          <w:tab w:val="num" w:pos="567"/>
        </w:tabs>
        <w:suppressAutoHyphens/>
        <w:spacing w:line="238" w:lineRule="auto"/>
        <w:ind w:left="0" w:firstLine="0"/>
        <w:jc w:val="both"/>
        <w:rPr>
          <w:b/>
          <w:bCs/>
          <w:kern w:val="22"/>
          <w:sz w:val="22"/>
          <w:szCs w:val="22"/>
        </w:rPr>
      </w:pPr>
      <w:r w:rsidRPr="00B17ECB">
        <w:rPr>
          <w:b/>
          <w:bCs/>
          <w:kern w:val="22"/>
          <w:sz w:val="22"/>
          <w:szCs w:val="22"/>
        </w:rPr>
        <w:t xml:space="preserve">Developments and actions </w:t>
      </w:r>
      <w:proofErr w:type="gramStart"/>
      <w:r w:rsidRPr="00B17ECB">
        <w:rPr>
          <w:b/>
          <w:bCs/>
          <w:kern w:val="22"/>
          <w:sz w:val="22"/>
          <w:szCs w:val="22"/>
        </w:rPr>
        <w:t>taken</w:t>
      </w:r>
      <w:proofErr w:type="gramEnd"/>
    </w:p>
    <w:p w14:paraId="59195CCD" w14:textId="7D1A94E4" w:rsidR="00DB7C19" w:rsidRPr="00B17ECB" w:rsidRDefault="008F67DB" w:rsidP="00506730">
      <w:pPr>
        <w:pStyle w:val="Para1"/>
        <w:numPr>
          <w:ilvl w:val="0"/>
          <w:numId w:val="6"/>
        </w:numPr>
        <w:suppressLineNumbers/>
        <w:tabs>
          <w:tab w:val="left" w:pos="1134"/>
        </w:tabs>
        <w:suppressAutoHyphens/>
        <w:spacing w:line="238" w:lineRule="auto"/>
        <w:ind w:left="567"/>
        <w:jc w:val="both"/>
        <w:rPr>
          <w:kern w:val="22"/>
          <w:sz w:val="22"/>
          <w:szCs w:val="22"/>
        </w:rPr>
      </w:pPr>
      <w:r w:rsidRPr="00B17ECB">
        <w:rPr>
          <w:kern w:val="22"/>
          <w:sz w:val="22"/>
          <w:szCs w:val="22"/>
        </w:rPr>
        <w:t>By the time of</w:t>
      </w:r>
      <w:r w:rsidR="00A1472B" w:rsidRPr="00B17ECB">
        <w:rPr>
          <w:kern w:val="22"/>
          <w:sz w:val="22"/>
          <w:szCs w:val="22"/>
        </w:rPr>
        <w:t xml:space="preserve"> the </w:t>
      </w:r>
      <w:r w:rsidR="00A05EDB" w:rsidRPr="00B17ECB">
        <w:rPr>
          <w:kern w:val="22"/>
          <w:sz w:val="22"/>
          <w:szCs w:val="22"/>
        </w:rPr>
        <w:t xml:space="preserve">sixteenth meeting of the Compliance </w:t>
      </w:r>
      <w:r w:rsidRPr="00B17ECB">
        <w:rPr>
          <w:kern w:val="22"/>
          <w:sz w:val="22"/>
          <w:szCs w:val="22"/>
        </w:rPr>
        <w:t>Committee</w:t>
      </w:r>
      <w:r w:rsidR="00EF08EB" w:rsidRPr="00B17ECB">
        <w:rPr>
          <w:kern w:val="22"/>
          <w:sz w:val="22"/>
          <w:szCs w:val="22"/>
        </w:rPr>
        <w:t>,</w:t>
      </w:r>
      <w:r w:rsidR="006D5DF1" w:rsidRPr="00B17ECB">
        <w:rPr>
          <w:kern w:val="22"/>
          <w:sz w:val="22"/>
          <w:szCs w:val="22"/>
        </w:rPr>
        <w:t xml:space="preserve"> </w:t>
      </w:r>
      <w:r w:rsidR="008456D5" w:rsidRPr="00B17ECB">
        <w:rPr>
          <w:kern w:val="22"/>
          <w:sz w:val="22"/>
          <w:szCs w:val="22"/>
        </w:rPr>
        <w:t xml:space="preserve">four </w:t>
      </w:r>
      <w:r w:rsidR="007D4BBA" w:rsidRPr="00B17ECB">
        <w:rPr>
          <w:kern w:val="22"/>
          <w:sz w:val="22"/>
          <w:szCs w:val="22"/>
        </w:rPr>
        <w:t>Parties</w:t>
      </w:r>
      <w:r w:rsidR="00FF317F" w:rsidRPr="00B17ECB">
        <w:rPr>
          <w:kern w:val="22"/>
          <w:sz w:val="22"/>
          <w:szCs w:val="22"/>
        </w:rPr>
        <w:t xml:space="preserve"> (Barbados, Kyrgyzstan, </w:t>
      </w:r>
      <w:proofErr w:type="gramStart"/>
      <w:r w:rsidR="00A1472B" w:rsidRPr="00B17ECB">
        <w:rPr>
          <w:kern w:val="22"/>
          <w:sz w:val="22"/>
          <w:szCs w:val="22"/>
        </w:rPr>
        <w:t>Niger</w:t>
      </w:r>
      <w:proofErr w:type="gramEnd"/>
      <w:r w:rsidR="00FF317F" w:rsidRPr="00B17ECB">
        <w:rPr>
          <w:kern w:val="22"/>
          <w:sz w:val="22"/>
          <w:szCs w:val="22"/>
        </w:rPr>
        <w:t xml:space="preserve"> and Oman)</w:t>
      </w:r>
      <w:r w:rsidR="007D4BBA" w:rsidRPr="00B17ECB">
        <w:rPr>
          <w:kern w:val="22"/>
          <w:sz w:val="22"/>
          <w:szCs w:val="22"/>
        </w:rPr>
        <w:t xml:space="preserve"> </w:t>
      </w:r>
      <w:r w:rsidR="00A1472B" w:rsidRPr="00B17ECB">
        <w:rPr>
          <w:kern w:val="22"/>
          <w:sz w:val="22"/>
          <w:szCs w:val="22"/>
        </w:rPr>
        <w:t xml:space="preserve">had </w:t>
      </w:r>
      <w:r w:rsidR="007D4BBA" w:rsidRPr="00B17ECB">
        <w:rPr>
          <w:kern w:val="22"/>
          <w:sz w:val="22"/>
          <w:szCs w:val="22"/>
        </w:rPr>
        <w:t>submitted a compliance action plan</w:t>
      </w:r>
      <w:r w:rsidR="00043D14" w:rsidRPr="00B17ECB">
        <w:rPr>
          <w:kern w:val="22"/>
          <w:sz w:val="22"/>
          <w:szCs w:val="22"/>
        </w:rPr>
        <w:t>.</w:t>
      </w:r>
      <w:r w:rsidR="00C23A34" w:rsidRPr="00B17ECB">
        <w:rPr>
          <w:kern w:val="22"/>
          <w:sz w:val="22"/>
          <w:szCs w:val="22"/>
        </w:rPr>
        <w:t xml:space="preserve"> </w:t>
      </w:r>
      <w:r w:rsidR="00B804B8" w:rsidRPr="00B17ECB">
        <w:rPr>
          <w:kern w:val="22"/>
          <w:sz w:val="22"/>
          <w:szCs w:val="22"/>
        </w:rPr>
        <w:t xml:space="preserve">Following </w:t>
      </w:r>
      <w:proofErr w:type="gramStart"/>
      <w:r w:rsidR="00B804B8" w:rsidRPr="00B17ECB">
        <w:rPr>
          <w:kern w:val="22"/>
          <w:sz w:val="22"/>
          <w:szCs w:val="22"/>
        </w:rPr>
        <w:t>the  sixteenth</w:t>
      </w:r>
      <w:proofErr w:type="gramEnd"/>
      <w:r w:rsidR="00B804B8" w:rsidRPr="00B17ECB">
        <w:rPr>
          <w:kern w:val="22"/>
          <w:sz w:val="22"/>
          <w:szCs w:val="22"/>
        </w:rPr>
        <w:t xml:space="preserve"> meeting</w:t>
      </w:r>
      <w:r w:rsidR="00A05EDB" w:rsidRPr="00B17ECB">
        <w:rPr>
          <w:kern w:val="22"/>
          <w:sz w:val="22"/>
          <w:szCs w:val="22"/>
        </w:rPr>
        <w:t xml:space="preserve"> of the Committee</w:t>
      </w:r>
      <w:r w:rsidR="00B804B8" w:rsidRPr="00B17ECB">
        <w:rPr>
          <w:kern w:val="22"/>
          <w:sz w:val="22"/>
          <w:szCs w:val="22"/>
        </w:rPr>
        <w:t xml:space="preserve">, </w:t>
      </w:r>
      <w:r w:rsidR="00D91B3F" w:rsidRPr="00B17ECB">
        <w:rPr>
          <w:kern w:val="22"/>
          <w:sz w:val="22"/>
          <w:szCs w:val="22"/>
        </w:rPr>
        <w:t>Morocco</w:t>
      </w:r>
      <w:r w:rsidR="00644FD9" w:rsidRPr="00B17ECB">
        <w:rPr>
          <w:kern w:val="22"/>
          <w:sz w:val="22"/>
          <w:szCs w:val="22"/>
        </w:rPr>
        <w:t xml:space="preserve"> also</w:t>
      </w:r>
      <w:r w:rsidR="00D91B3F" w:rsidRPr="00B17ECB">
        <w:rPr>
          <w:kern w:val="22"/>
          <w:sz w:val="22"/>
          <w:szCs w:val="22"/>
        </w:rPr>
        <w:t xml:space="preserve"> submitted a compliance action plan</w:t>
      </w:r>
      <w:r w:rsidR="00191722" w:rsidRPr="00B17ECB">
        <w:rPr>
          <w:kern w:val="22"/>
          <w:sz w:val="22"/>
          <w:szCs w:val="22"/>
        </w:rPr>
        <w:t>,</w:t>
      </w:r>
      <w:r w:rsidR="00D91B3F" w:rsidRPr="00B17ECB">
        <w:rPr>
          <w:kern w:val="22"/>
          <w:sz w:val="22"/>
          <w:szCs w:val="22"/>
        </w:rPr>
        <w:t xml:space="preserve"> and </w:t>
      </w:r>
      <w:r w:rsidR="00A85A43" w:rsidRPr="00B17ECB">
        <w:rPr>
          <w:kern w:val="22"/>
          <w:sz w:val="22"/>
          <w:szCs w:val="22"/>
        </w:rPr>
        <w:t xml:space="preserve">the </w:t>
      </w:r>
      <w:r w:rsidR="003533A3" w:rsidRPr="00B17ECB">
        <w:rPr>
          <w:kern w:val="22"/>
          <w:sz w:val="22"/>
          <w:szCs w:val="22"/>
        </w:rPr>
        <w:t xml:space="preserve">Niger informed the Secretariat of the adoption of a biosafety law, which completed the activities in its compliance action plan. </w:t>
      </w:r>
    </w:p>
    <w:p w14:paraId="2DA03BF0" w14:textId="7FCEE403" w:rsidR="00BB7300" w:rsidRPr="00B17ECB" w:rsidRDefault="00394CE0" w:rsidP="00506730">
      <w:pPr>
        <w:pStyle w:val="ListParagraph"/>
        <w:numPr>
          <w:ilvl w:val="0"/>
          <w:numId w:val="6"/>
        </w:numPr>
        <w:tabs>
          <w:tab w:val="left" w:pos="1134"/>
        </w:tabs>
        <w:spacing w:before="120" w:after="120"/>
        <w:ind w:left="540"/>
        <w:contextualSpacing w:val="0"/>
        <w:jc w:val="both"/>
        <w:rPr>
          <w:kern w:val="22"/>
          <w:sz w:val="22"/>
          <w:szCs w:val="22"/>
        </w:rPr>
      </w:pPr>
      <w:r w:rsidRPr="00B17ECB">
        <w:rPr>
          <w:kern w:val="22"/>
          <w:sz w:val="22"/>
          <w:szCs w:val="22"/>
        </w:rPr>
        <w:t>A</w:t>
      </w:r>
      <w:r w:rsidR="004F26F6" w:rsidRPr="00B17ECB">
        <w:rPr>
          <w:kern w:val="22"/>
          <w:sz w:val="22"/>
          <w:szCs w:val="22"/>
        </w:rPr>
        <w:t>t its seventeenth meeting, the Committee</w:t>
      </w:r>
      <w:r w:rsidR="001A4447" w:rsidRPr="00B17ECB">
        <w:rPr>
          <w:kern w:val="22"/>
          <w:sz w:val="22"/>
          <w:szCs w:val="22"/>
        </w:rPr>
        <w:t xml:space="preserve"> </w:t>
      </w:r>
      <w:r w:rsidR="004F26F6" w:rsidRPr="00B17ECB">
        <w:rPr>
          <w:kern w:val="22"/>
          <w:sz w:val="22"/>
          <w:szCs w:val="22"/>
        </w:rPr>
        <w:t xml:space="preserve">welcomed the successful completion by </w:t>
      </w:r>
      <w:r w:rsidR="00847BDC" w:rsidRPr="00B17ECB">
        <w:rPr>
          <w:kern w:val="22"/>
          <w:sz w:val="22"/>
          <w:szCs w:val="22"/>
        </w:rPr>
        <w:t xml:space="preserve">the </w:t>
      </w:r>
      <w:r w:rsidR="004F26F6" w:rsidRPr="00B17ECB">
        <w:rPr>
          <w:kern w:val="22"/>
          <w:sz w:val="22"/>
          <w:szCs w:val="22"/>
        </w:rPr>
        <w:t>Niger of the activities described in its compliance action plan</w:t>
      </w:r>
      <w:r w:rsidR="006B265C" w:rsidRPr="00B17ECB">
        <w:rPr>
          <w:kern w:val="22"/>
          <w:sz w:val="22"/>
          <w:szCs w:val="22"/>
        </w:rPr>
        <w:t xml:space="preserve"> and</w:t>
      </w:r>
      <w:r w:rsidR="008E21B6" w:rsidRPr="00B17ECB">
        <w:rPr>
          <w:kern w:val="22"/>
          <w:sz w:val="22"/>
          <w:szCs w:val="22"/>
        </w:rPr>
        <w:t xml:space="preserve"> welcomed the submission of a compliance action plan by Morocco</w:t>
      </w:r>
      <w:r w:rsidR="00BB7300" w:rsidRPr="00B17ECB">
        <w:rPr>
          <w:kern w:val="22"/>
          <w:sz w:val="22"/>
          <w:szCs w:val="22"/>
        </w:rPr>
        <w:t>.</w:t>
      </w:r>
    </w:p>
    <w:p w14:paraId="41FF3CF6" w14:textId="1CA35E4C" w:rsidR="000C58A0" w:rsidRPr="00B17ECB" w:rsidRDefault="00BB7300" w:rsidP="00506730">
      <w:pPr>
        <w:pStyle w:val="ListParagraph"/>
        <w:numPr>
          <w:ilvl w:val="0"/>
          <w:numId w:val="6"/>
        </w:numPr>
        <w:tabs>
          <w:tab w:val="left" w:pos="1134"/>
        </w:tabs>
        <w:spacing w:before="120" w:after="120"/>
        <w:ind w:left="540"/>
        <w:contextualSpacing w:val="0"/>
        <w:jc w:val="both"/>
        <w:rPr>
          <w:kern w:val="22"/>
          <w:sz w:val="22"/>
          <w:szCs w:val="22"/>
        </w:rPr>
      </w:pPr>
      <w:r w:rsidRPr="00B17ECB">
        <w:rPr>
          <w:kern w:val="22"/>
          <w:sz w:val="22"/>
          <w:szCs w:val="22"/>
        </w:rPr>
        <w:t>The Committee</w:t>
      </w:r>
      <w:r w:rsidR="004F26F6" w:rsidRPr="00B17ECB">
        <w:rPr>
          <w:kern w:val="22"/>
          <w:sz w:val="22"/>
          <w:szCs w:val="22"/>
        </w:rPr>
        <w:t xml:space="preserve"> noted with regret that</w:t>
      </w:r>
      <w:r w:rsidR="008C42C3" w:rsidRPr="00B17ECB">
        <w:rPr>
          <w:kern w:val="22"/>
          <w:sz w:val="22"/>
          <w:szCs w:val="22"/>
        </w:rPr>
        <w:t xml:space="preserve"> </w:t>
      </w:r>
      <w:r w:rsidR="004F26F6" w:rsidRPr="00B17ECB">
        <w:rPr>
          <w:kern w:val="22"/>
          <w:sz w:val="22"/>
          <w:szCs w:val="22"/>
        </w:rPr>
        <w:t xml:space="preserve">three Parties that had submitted compliance action plans </w:t>
      </w:r>
      <w:r w:rsidR="00042822" w:rsidRPr="00B17ECB">
        <w:rPr>
          <w:kern w:val="22"/>
          <w:sz w:val="22"/>
          <w:szCs w:val="22"/>
        </w:rPr>
        <w:t xml:space="preserve">(Barbados, </w:t>
      </w:r>
      <w:proofErr w:type="gramStart"/>
      <w:r w:rsidR="00042822" w:rsidRPr="00B17ECB">
        <w:rPr>
          <w:kern w:val="22"/>
          <w:sz w:val="22"/>
          <w:szCs w:val="22"/>
        </w:rPr>
        <w:t>Kyrgyzstan</w:t>
      </w:r>
      <w:proofErr w:type="gramEnd"/>
      <w:r w:rsidR="00042822" w:rsidRPr="00B17ECB">
        <w:rPr>
          <w:kern w:val="22"/>
          <w:sz w:val="22"/>
          <w:szCs w:val="22"/>
        </w:rPr>
        <w:t xml:space="preserve"> and Oman) </w:t>
      </w:r>
      <w:r w:rsidR="004F26F6" w:rsidRPr="00B17ECB">
        <w:rPr>
          <w:kern w:val="22"/>
          <w:sz w:val="22"/>
          <w:szCs w:val="22"/>
        </w:rPr>
        <w:t xml:space="preserve">had not responded to the follow-up communications by the Secretariat concerning the progress made in carrying out the activities outlined in their respective plans. </w:t>
      </w:r>
      <w:r w:rsidR="000144AA" w:rsidRPr="00B17ECB">
        <w:rPr>
          <w:kern w:val="22"/>
          <w:sz w:val="22"/>
          <w:szCs w:val="22"/>
        </w:rPr>
        <w:t xml:space="preserve">The Committee requested the Secretariat to continue following up with Barbados, </w:t>
      </w:r>
      <w:proofErr w:type="gramStart"/>
      <w:r w:rsidR="000144AA" w:rsidRPr="00B17ECB">
        <w:rPr>
          <w:kern w:val="22"/>
          <w:sz w:val="22"/>
          <w:szCs w:val="22"/>
        </w:rPr>
        <w:t>Kyrgyzstan</w:t>
      </w:r>
      <w:proofErr w:type="gramEnd"/>
      <w:r w:rsidR="000144AA" w:rsidRPr="00B17ECB">
        <w:rPr>
          <w:kern w:val="22"/>
          <w:sz w:val="22"/>
          <w:szCs w:val="22"/>
        </w:rPr>
        <w:t xml:space="preserve"> and Oman to monitor any progress made, further to the information provided in their respective compliance action plans</w:t>
      </w:r>
      <w:r w:rsidR="00F6693C" w:rsidRPr="00B17ECB">
        <w:rPr>
          <w:kern w:val="22"/>
          <w:sz w:val="22"/>
          <w:szCs w:val="22"/>
        </w:rPr>
        <w:t>.</w:t>
      </w:r>
    </w:p>
    <w:p w14:paraId="06ED415C" w14:textId="69F55E6C" w:rsidR="00A54DF7" w:rsidRPr="00B17ECB" w:rsidRDefault="00152D94" w:rsidP="00506730">
      <w:pPr>
        <w:pStyle w:val="ListParagraph"/>
        <w:numPr>
          <w:ilvl w:val="0"/>
          <w:numId w:val="6"/>
        </w:numPr>
        <w:tabs>
          <w:tab w:val="left" w:pos="1134"/>
        </w:tabs>
        <w:spacing w:before="120" w:after="120"/>
        <w:ind w:left="540"/>
        <w:contextualSpacing w:val="0"/>
        <w:jc w:val="both"/>
        <w:rPr>
          <w:snapToGrid w:val="0"/>
          <w:kern w:val="22"/>
          <w:sz w:val="22"/>
          <w:szCs w:val="22"/>
        </w:rPr>
      </w:pPr>
      <w:r w:rsidRPr="00B17ECB">
        <w:rPr>
          <w:kern w:val="22"/>
          <w:sz w:val="22"/>
          <w:szCs w:val="22"/>
        </w:rPr>
        <w:t xml:space="preserve">Barbados </w:t>
      </w:r>
      <w:r w:rsidR="004041AE" w:rsidRPr="00B17ECB">
        <w:rPr>
          <w:kern w:val="22"/>
          <w:sz w:val="22"/>
          <w:szCs w:val="22"/>
        </w:rPr>
        <w:t>informed the Secretariat</w:t>
      </w:r>
      <w:r w:rsidR="009B0835" w:rsidRPr="00B17ECB">
        <w:rPr>
          <w:kern w:val="22"/>
          <w:sz w:val="22"/>
          <w:szCs w:val="22"/>
        </w:rPr>
        <w:t xml:space="preserve">, in October 2020, </w:t>
      </w:r>
      <w:r w:rsidR="00EE23FB" w:rsidRPr="00B17ECB">
        <w:rPr>
          <w:kern w:val="22"/>
          <w:sz w:val="22"/>
          <w:szCs w:val="22"/>
        </w:rPr>
        <w:t xml:space="preserve">that </w:t>
      </w:r>
      <w:r w:rsidR="009B0835" w:rsidRPr="00B17ECB">
        <w:rPr>
          <w:kern w:val="22"/>
          <w:sz w:val="22"/>
          <w:szCs w:val="22"/>
        </w:rPr>
        <w:t xml:space="preserve">it had made little progress with the </w:t>
      </w:r>
      <w:r w:rsidR="008C6003" w:rsidRPr="00B17ECB">
        <w:rPr>
          <w:kern w:val="22"/>
          <w:sz w:val="22"/>
          <w:szCs w:val="22"/>
        </w:rPr>
        <w:t>p</w:t>
      </w:r>
      <w:r w:rsidR="009B0835" w:rsidRPr="00B17ECB">
        <w:rPr>
          <w:kern w:val="22"/>
          <w:sz w:val="22"/>
          <w:szCs w:val="22"/>
        </w:rPr>
        <w:t xml:space="preserve">lan </w:t>
      </w:r>
      <w:r w:rsidR="00234A85" w:rsidRPr="00B17ECB">
        <w:rPr>
          <w:kern w:val="22"/>
          <w:sz w:val="22"/>
          <w:szCs w:val="22"/>
        </w:rPr>
        <w:t>owi</w:t>
      </w:r>
      <w:r w:rsidR="00DF540E" w:rsidRPr="00B17ECB">
        <w:rPr>
          <w:kern w:val="22"/>
          <w:sz w:val="22"/>
          <w:szCs w:val="22"/>
        </w:rPr>
        <w:t>ng</w:t>
      </w:r>
      <w:r w:rsidR="00234A85" w:rsidRPr="00B17ECB">
        <w:rPr>
          <w:kern w:val="22"/>
          <w:sz w:val="22"/>
          <w:szCs w:val="22"/>
        </w:rPr>
        <w:t xml:space="preserve"> </w:t>
      </w:r>
      <w:r w:rsidR="007B20CE" w:rsidRPr="00B17ECB">
        <w:rPr>
          <w:kern w:val="22"/>
          <w:sz w:val="22"/>
          <w:szCs w:val="22"/>
        </w:rPr>
        <w:t xml:space="preserve">to challenges during the pandemic </w:t>
      </w:r>
      <w:r w:rsidR="00C8636D" w:rsidRPr="00B17ECB">
        <w:rPr>
          <w:kern w:val="22"/>
          <w:sz w:val="22"/>
          <w:szCs w:val="22"/>
        </w:rPr>
        <w:t xml:space="preserve">and the movement of the responsible officer. </w:t>
      </w:r>
      <w:r w:rsidR="00A879B8" w:rsidRPr="00B17ECB">
        <w:rPr>
          <w:kern w:val="22"/>
          <w:sz w:val="22"/>
          <w:szCs w:val="22"/>
        </w:rPr>
        <w:t xml:space="preserve">The Permanent Secretary in the Ministry </w:t>
      </w:r>
      <w:r w:rsidR="000335BA" w:rsidRPr="00B17ECB">
        <w:rPr>
          <w:kern w:val="22"/>
          <w:sz w:val="22"/>
          <w:szCs w:val="22"/>
        </w:rPr>
        <w:t xml:space="preserve">of </w:t>
      </w:r>
      <w:r w:rsidR="00D927D1" w:rsidRPr="00B17ECB">
        <w:rPr>
          <w:kern w:val="22"/>
          <w:sz w:val="22"/>
          <w:szCs w:val="22"/>
        </w:rPr>
        <w:t>E</w:t>
      </w:r>
      <w:r w:rsidR="000335BA" w:rsidRPr="00B17ECB">
        <w:rPr>
          <w:kern w:val="22"/>
          <w:sz w:val="22"/>
          <w:szCs w:val="22"/>
        </w:rPr>
        <w:t xml:space="preserve">nvironment and National Beautification </w:t>
      </w:r>
      <w:r w:rsidR="00954D9C" w:rsidRPr="00B17ECB">
        <w:rPr>
          <w:kern w:val="22"/>
          <w:sz w:val="22"/>
          <w:szCs w:val="22"/>
        </w:rPr>
        <w:t xml:space="preserve">expressed her commitment to the implementation of the Protocol and explained that </w:t>
      </w:r>
      <w:r w:rsidR="006840D5" w:rsidRPr="00B17ECB">
        <w:rPr>
          <w:kern w:val="22"/>
          <w:sz w:val="22"/>
          <w:szCs w:val="22"/>
        </w:rPr>
        <w:t xml:space="preserve">the country </w:t>
      </w:r>
      <w:r w:rsidR="00954D9C" w:rsidRPr="00B17ECB">
        <w:rPr>
          <w:kern w:val="22"/>
          <w:sz w:val="22"/>
          <w:szCs w:val="22"/>
        </w:rPr>
        <w:t>had end</w:t>
      </w:r>
      <w:r w:rsidR="00AC7746" w:rsidRPr="00B17ECB">
        <w:rPr>
          <w:kern w:val="22"/>
          <w:sz w:val="22"/>
          <w:szCs w:val="22"/>
        </w:rPr>
        <w:t xml:space="preserve">orsed the process for the development of a follow-up Regional Biosafety Project to be funded through </w:t>
      </w:r>
      <w:r w:rsidR="00DF540E" w:rsidRPr="00B17ECB">
        <w:rPr>
          <w:kern w:val="22"/>
          <w:sz w:val="22"/>
          <w:szCs w:val="22"/>
        </w:rPr>
        <w:t>GEF</w:t>
      </w:r>
      <w:r w:rsidR="0052523A" w:rsidRPr="00B17ECB">
        <w:rPr>
          <w:kern w:val="22"/>
          <w:sz w:val="22"/>
          <w:szCs w:val="22"/>
        </w:rPr>
        <w:t xml:space="preserve">, anticipating that the </w:t>
      </w:r>
      <w:r w:rsidR="008C6003" w:rsidRPr="00B17ECB">
        <w:rPr>
          <w:kern w:val="22"/>
          <w:sz w:val="22"/>
          <w:szCs w:val="22"/>
        </w:rPr>
        <w:t>c</w:t>
      </w:r>
      <w:r w:rsidR="0052523A" w:rsidRPr="00B17ECB">
        <w:rPr>
          <w:kern w:val="22"/>
          <w:sz w:val="22"/>
          <w:szCs w:val="22"/>
        </w:rPr>
        <w:t xml:space="preserve">ompliance </w:t>
      </w:r>
      <w:r w:rsidR="008C6003" w:rsidRPr="00B17ECB">
        <w:rPr>
          <w:kern w:val="22"/>
          <w:sz w:val="22"/>
          <w:szCs w:val="22"/>
        </w:rPr>
        <w:t>a</w:t>
      </w:r>
      <w:r w:rsidR="0052523A" w:rsidRPr="00B17ECB">
        <w:rPr>
          <w:kern w:val="22"/>
          <w:sz w:val="22"/>
          <w:szCs w:val="22"/>
        </w:rPr>
        <w:t xml:space="preserve">ction </w:t>
      </w:r>
      <w:r w:rsidR="008C6003" w:rsidRPr="00B17ECB">
        <w:rPr>
          <w:kern w:val="22"/>
          <w:sz w:val="22"/>
          <w:szCs w:val="22"/>
        </w:rPr>
        <w:t>p</w:t>
      </w:r>
      <w:r w:rsidR="0052523A" w:rsidRPr="00B17ECB">
        <w:rPr>
          <w:kern w:val="22"/>
          <w:sz w:val="22"/>
          <w:szCs w:val="22"/>
        </w:rPr>
        <w:t>lan could be completed th</w:t>
      </w:r>
      <w:r w:rsidR="006454F2" w:rsidRPr="00B17ECB">
        <w:rPr>
          <w:kern w:val="22"/>
          <w:sz w:val="22"/>
          <w:szCs w:val="22"/>
        </w:rPr>
        <w:t xml:space="preserve">rough that process. </w:t>
      </w:r>
      <w:r w:rsidR="00A54DF7" w:rsidRPr="00B17ECB">
        <w:rPr>
          <w:kern w:val="22"/>
          <w:sz w:val="22"/>
          <w:szCs w:val="22"/>
        </w:rPr>
        <w:t>I</w:t>
      </w:r>
      <w:r w:rsidR="00A54DF7" w:rsidRPr="00B17ECB">
        <w:rPr>
          <w:snapToGrid w:val="0"/>
          <w:kern w:val="22"/>
          <w:sz w:val="22"/>
          <w:szCs w:val="22"/>
        </w:rPr>
        <w:t>n both its third and fourth national reports, Barb</w:t>
      </w:r>
      <w:r w:rsidR="00CE0613" w:rsidRPr="00B17ECB">
        <w:rPr>
          <w:snapToGrid w:val="0"/>
          <w:kern w:val="22"/>
          <w:sz w:val="22"/>
          <w:szCs w:val="22"/>
        </w:rPr>
        <w:t>a</w:t>
      </w:r>
      <w:r w:rsidR="00A54DF7" w:rsidRPr="00B17ECB">
        <w:rPr>
          <w:snapToGrid w:val="0"/>
          <w:kern w:val="22"/>
          <w:sz w:val="22"/>
          <w:szCs w:val="22"/>
        </w:rPr>
        <w:t xml:space="preserve">dos </w:t>
      </w:r>
      <w:r w:rsidR="00CE0613" w:rsidRPr="00B17ECB">
        <w:rPr>
          <w:snapToGrid w:val="0"/>
          <w:kern w:val="22"/>
          <w:sz w:val="22"/>
          <w:szCs w:val="22"/>
        </w:rPr>
        <w:t>indicated</w:t>
      </w:r>
      <w:r w:rsidR="00A54DF7" w:rsidRPr="00B17ECB">
        <w:rPr>
          <w:snapToGrid w:val="0"/>
          <w:kern w:val="22"/>
          <w:sz w:val="22"/>
          <w:szCs w:val="22"/>
        </w:rPr>
        <w:t xml:space="preserve"> that only draft measures </w:t>
      </w:r>
      <w:r w:rsidR="006936F9" w:rsidRPr="00B17ECB">
        <w:rPr>
          <w:snapToGrid w:val="0"/>
          <w:kern w:val="22"/>
          <w:sz w:val="22"/>
          <w:szCs w:val="22"/>
        </w:rPr>
        <w:t>we</w:t>
      </w:r>
      <w:r w:rsidR="00A54DF7" w:rsidRPr="00B17ECB">
        <w:rPr>
          <w:snapToGrid w:val="0"/>
          <w:kern w:val="22"/>
          <w:sz w:val="22"/>
          <w:szCs w:val="22"/>
        </w:rPr>
        <w:t xml:space="preserve">re in place and stated that </w:t>
      </w:r>
      <w:r w:rsidR="005C3B37" w:rsidRPr="00B17ECB">
        <w:rPr>
          <w:snapToGrid w:val="0"/>
          <w:kern w:val="22"/>
          <w:sz w:val="22"/>
          <w:szCs w:val="22"/>
        </w:rPr>
        <w:t>t</w:t>
      </w:r>
      <w:r w:rsidR="00A54DF7" w:rsidRPr="00B17ECB">
        <w:rPr>
          <w:snapToGrid w:val="0"/>
          <w:kern w:val="22"/>
          <w:sz w:val="22"/>
          <w:szCs w:val="22"/>
        </w:rPr>
        <w:t>he draft biosafety framework was adopted, but it ha</w:t>
      </w:r>
      <w:r w:rsidR="005C3B37" w:rsidRPr="00B17ECB">
        <w:rPr>
          <w:snapToGrid w:val="0"/>
          <w:kern w:val="22"/>
          <w:sz w:val="22"/>
          <w:szCs w:val="22"/>
        </w:rPr>
        <w:t>d</w:t>
      </w:r>
      <w:r w:rsidR="00A54DF7" w:rsidRPr="00B17ECB">
        <w:rPr>
          <w:snapToGrid w:val="0"/>
          <w:kern w:val="22"/>
          <w:sz w:val="22"/>
          <w:szCs w:val="22"/>
        </w:rPr>
        <w:t xml:space="preserve"> not been operationalized. </w:t>
      </w:r>
      <w:r w:rsidR="00A54DF7" w:rsidRPr="00B17ECB">
        <w:rPr>
          <w:kern w:val="22"/>
          <w:sz w:val="22"/>
          <w:szCs w:val="22"/>
        </w:rPr>
        <w:t>No further information has been received.</w:t>
      </w:r>
    </w:p>
    <w:p w14:paraId="08F0F966" w14:textId="50EEB9B2" w:rsidR="00D63C07" w:rsidRPr="00B17ECB" w:rsidRDefault="00D63C07" w:rsidP="00506730">
      <w:pPr>
        <w:pStyle w:val="ListParagraph"/>
        <w:numPr>
          <w:ilvl w:val="0"/>
          <w:numId w:val="6"/>
        </w:numPr>
        <w:tabs>
          <w:tab w:val="left" w:pos="1134"/>
        </w:tabs>
        <w:spacing w:before="120" w:after="120"/>
        <w:ind w:left="540"/>
        <w:contextualSpacing w:val="0"/>
        <w:jc w:val="both"/>
        <w:rPr>
          <w:kern w:val="22"/>
          <w:sz w:val="22"/>
          <w:szCs w:val="22"/>
        </w:rPr>
      </w:pPr>
      <w:r w:rsidRPr="00B17ECB">
        <w:rPr>
          <w:kern w:val="22"/>
          <w:sz w:val="22"/>
          <w:szCs w:val="22"/>
        </w:rPr>
        <w:t xml:space="preserve">Oman reported in both its third and fourth national report that only draft measures </w:t>
      </w:r>
      <w:r w:rsidR="00A90A49" w:rsidRPr="00B17ECB">
        <w:rPr>
          <w:kern w:val="22"/>
          <w:sz w:val="22"/>
          <w:szCs w:val="22"/>
        </w:rPr>
        <w:t>were in place</w:t>
      </w:r>
      <w:r w:rsidRPr="00B17ECB">
        <w:rPr>
          <w:kern w:val="22"/>
          <w:sz w:val="22"/>
          <w:szCs w:val="22"/>
        </w:rPr>
        <w:t>. From the information provided in their fourth national report, it is not clear whether any progress on the development of the draft legislation ha</w:t>
      </w:r>
      <w:r w:rsidR="003D7D24" w:rsidRPr="00B17ECB">
        <w:rPr>
          <w:kern w:val="22"/>
          <w:sz w:val="22"/>
          <w:szCs w:val="22"/>
        </w:rPr>
        <w:t>d</w:t>
      </w:r>
      <w:r w:rsidRPr="00B17ECB">
        <w:rPr>
          <w:kern w:val="22"/>
          <w:sz w:val="22"/>
          <w:szCs w:val="22"/>
        </w:rPr>
        <w:t xml:space="preserve"> been made</w:t>
      </w:r>
      <w:r w:rsidR="003D7D24" w:rsidRPr="00B17ECB">
        <w:rPr>
          <w:kern w:val="22"/>
          <w:sz w:val="22"/>
          <w:szCs w:val="22"/>
        </w:rPr>
        <w:t xml:space="preserve"> since the third national report</w:t>
      </w:r>
      <w:r w:rsidRPr="00B17ECB">
        <w:rPr>
          <w:kern w:val="22"/>
          <w:sz w:val="22"/>
          <w:szCs w:val="22"/>
        </w:rPr>
        <w:t xml:space="preserve">. The Secretariat followed up with the national focal point </w:t>
      </w:r>
      <w:r w:rsidR="001C1132" w:rsidRPr="00B17ECB">
        <w:rPr>
          <w:kern w:val="22"/>
          <w:sz w:val="22"/>
          <w:szCs w:val="22"/>
        </w:rPr>
        <w:t>to clari</w:t>
      </w:r>
      <w:r w:rsidR="001B7929" w:rsidRPr="00B17ECB">
        <w:rPr>
          <w:kern w:val="22"/>
          <w:sz w:val="22"/>
          <w:szCs w:val="22"/>
        </w:rPr>
        <w:t>f</w:t>
      </w:r>
      <w:r w:rsidR="001C1132" w:rsidRPr="00B17ECB">
        <w:rPr>
          <w:kern w:val="22"/>
          <w:sz w:val="22"/>
          <w:szCs w:val="22"/>
        </w:rPr>
        <w:t>y</w:t>
      </w:r>
      <w:r w:rsidRPr="00B17ECB">
        <w:rPr>
          <w:kern w:val="22"/>
          <w:sz w:val="22"/>
          <w:szCs w:val="22"/>
        </w:rPr>
        <w:t xml:space="preserve">, but no </w:t>
      </w:r>
      <w:r w:rsidR="0098297B" w:rsidRPr="00B17ECB">
        <w:rPr>
          <w:kern w:val="22"/>
          <w:sz w:val="22"/>
          <w:szCs w:val="22"/>
        </w:rPr>
        <w:t>response was</w:t>
      </w:r>
      <w:r w:rsidR="002832DF" w:rsidRPr="00B17ECB">
        <w:rPr>
          <w:kern w:val="22"/>
          <w:sz w:val="22"/>
          <w:szCs w:val="22"/>
        </w:rPr>
        <w:t xml:space="preserve"> </w:t>
      </w:r>
      <w:r w:rsidRPr="00B17ECB">
        <w:rPr>
          <w:kern w:val="22"/>
          <w:sz w:val="22"/>
          <w:szCs w:val="22"/>
        </w:rPr>
        <w:t xml:space="preserve">received. </w:t>
      </w:r>
    </w:p>
    <w:p w14:paraId="30B66D4E" w14:textId="3F0FD14A" w:rsidR="00765F80" w:rsidRPr="00B17ECB" w:rsidRDefault="008517C5" w:rsidP="00506730">
      <w:pPr>
        <w:pStyle w:val="Para1"/>
        <w:numPr>
          <w:ilvl w:val="0"/>
          <w:numId w:val="6"/>
        </w:numPr>
        <w:suppressLineNumbers/>
        <w:tabs>
          <w:tab w:val="left" w:pos="1134"/>
        </w:tabs>
        <w:suppressAutoHyphens/>
        <w:ind w:left="539"/>
        <w:jc w:val="both"/>
        <w:rPr>
          <w:kern w:val="22"/>
          <w:sz w:val="22"/>
          <w:szCs w:val="22"/>
        </w:rPr>
      </w:pPr>
      <w:r w:rsidRPr="00B17ECB">
        <w:rPr>
          <w:kern w:val="22"/>
          <w:sz w:val="22"/>
          <w:szCs w:val="22"/>
        </w:rPr>
        <w:t>Kyrgyzsta</w:t>
      </w:r>
      <w:r w:rsidR="00643FF6" w:rsidRPr="00B17ECB">
        <w:rPr>
          <w:kern w:val="22"/>
          <w:sz w:val="22"/>
          <w:szCs w:val="22"/>
        </w:rPr>
        <w:t xml:space="preserve">n </w:t>
      </w:r>
      <w:r w:rsidR="00D63C07" w:rsidRPr="00B17ECB">
        <w:rPr>
          <w:kern w:val="22"/>
          <w:sz w:val="22"/>
          <w:szCs w:val="22"/>
        </w:rPr>
        <w:t>informed the Secr</w:t>
      </w:r>
      <w:r w:rsidR="00313C86" w:rsidRPr="00B17ECB">
        <w:rPr>
          <w:kern w:val="22"/>
          <w:sz w:val="22"/>
          <w:szCs w:val="22"/>
        </w:rPr>
        <w:t>e</w:t>
      </w:r>
      <w:r w:rsidR="00D63C07" w:rsidRPr="00B17ECB">
        <w:rPr>
          <w:kern w:val="22"/>
          <w:sz w:val="22"/>
          <w:szCs w:val="22"/>
        </w:rPr>
        <w:t>tariat</w:t>
      </w:r>
      <w:r w:rsidR="00A75213" w:rsidRPr="00B17ECB">
        <w:rPr>
          <w:kern w:val="22"/>
          <w:sz w:val="22"/>
          <w:szCs w:val="22"/>
        </w:rPr>
        <w:t xml:space="preserve">, in </w:t>
      </w:r>
      <w:r w:rsidR="00335388" w:rsidRPr="00B17ECB">
        <w:rPr>
          <w:kern w:val="22"/>
          <w:sz w:val="22"/>
          <w:szCs w:val="22"/>
        </w:rPr>
        <w:t xml:space="preserve">February 2021, </w:t>
      </w:r>
      <w:r w:rsidR="00313C86" w:rsidRPr="00B17ECB">
        <w:rPr>
          <w:kern w:val="22"/>
          <w:sz w:val="22"/>
          <w:szCs w:val="22"/>
        </w:rPr>
        <w:t xml:space="preserve">of </w:t>
      </w:r>
      <w:r w:rsidR="00D36858" w:rsidRPr="00B17ECB">
        <w:rPr>
          <w:kern w:val="22"/>
          <w:sz w:val="22"/>
          <w:szCs w:val="22"/>
        </w:rPr>
        <w:t>its</w:t>
      </w:r>
      <w:r w:rsidR="00313C86" w:rsidRPr="00B17ECB">
        <w:rPr>
          <w:kern w:val="22"/>
          <w:sz w:val="22"/>
          <w:szCs w:val="22"/>
        </w:rPr>
        <w:t xml:space="preserve"> </w:t>
      </w:r>
      <w:r w:rsidR="00765F80" w:rsidRPr="00B17ECB">
        <w:rPr>
          <w:kern w:val="22"/>
          <w:sz w:val="22"/>
          <w:szCs w:val="22"/>
        </w:rPr>
        <w:t xml:space="preserve">cooperation with the Food and Agriculture Organization </w:t>
      </w:r>
      <w:r w:rsidR="00B13314" w:rsidRPr="00B17ECB">
        <w:rPr>
          <w:kern w:val="22"/>
          <w:sz w:val="22"/>
          <w:szCs w:val="22"/>
        </w:rPr>
        <w:t xml:space="preserve">of the United Nations </w:t>
      </w:r>
      <w:r w:rsidR="00765F80" w:rsidRPr="00B17ECB">
        <w:rPr>
          <w:kern w:val="22"/>
          <w:sz w:val="22"/>
          <w:szCs w:val="22"/>
        </w:rPr>
        <w:t xml:space="preserve">to develop a project on “Implementation of the National Biosafety Mechanism in the Kyrgyz Republic in accordance with </w:t>
      </w:r>
      <w:r w:rsidR="00E8419D" w:rsidRPr="00B17ECB">
        <w:rPr>
          <w:kern w:val="22"/>
          <w:sz w:val="22"/>
          <w:szCs w:val="22"/>
        </w:rPr>
        <w:t xml:space="preserve">the </w:t>
      </w:r>
      <w:r w:rsidR="00765F80" w:rsidRPr="00B17ECB">
        <w:rPr>
          <w:kern w:val="22"/>
          <w:sz w:val="22"/>
          <w:szCs w:val="22"/>
        </w:rPr>
        <w:t xml:space="preserve">Cartagena Protocol on Biosafety”, but no additional information </w:t>
      </w:r>
      <w:r w:rsidR="003B4FD0" w:rsidRPr="00B17ECB">
        <w:rPr>
          <w:kern w:val="22"/>
          <w:sz w:val="22"/>
          <w:szCs w:val="22"/>
        </w:rPr>
        <w:t>was</w:t>
      </w:r>
      <w:r w:rsidR="00765F80" w:rsidRPr="00B17ECB">
        <w:rPr>
          <w:kern w:val="22"/>
          <w:sz w:val="22"/>
          <w:szCs w:val="22"/>
        </w:rPr>
        <w:t xml:space="preserve"> provided</w:t>
      </w:r>
      <w:r w:rsidR="009D79C8" w:rsidRPr="00B17ECB">
        <w:rPr>
          <w:kern w:val="22"/>
          <w:sz w:val="22"/>
          <w:szCs w:val="22"/>
        </w:rPr>
        <w:t xml:space="preserve"> on progress with</w:t>
      </w:r>
      <w:r w:rsidR="005A34D0" w:rsidRPr="00B17ECB">
        <w:rPr>
          <w:kern w:val="22"/>
          <w:sz w:val="22"/>
          <w:szCs w:val="22"/>
        </w:rPr>
        <w:t xml:space="preserve"> its</w:t>
      </w:r>
      <w:r w:rsidR="00670EB1" w:rsidRPr="00B17ECB">
        <w:rPr>
          <w:kern w:val="22"/>
          <w:sz w:val="22"/>
          <w:szCs w:val="22"/>
        </w:rPr>
        <w:t xml:space="preserve"> </w:t>
      </w:r>
      <w:r w:rsidR="006B4FB1" w:rsidRPr="00B17ECB">
        <w:rPr>
          <w:kern w:val="22"/>
          <w:sz w:val="22"/>
          <w:szCs w:val="22"/>
        </w:rPr>
        <w:t>c</w:t>
      </w:r>
      <w:r w:rsidR="00670EB1" w:rsidRPr="00B17ECB">
        <w:rPr>
          <w:kern w:val="22"/>
          <w:sz w:val="22"/>
          <w:szCs w:val="22"/>
        </w:rPr>
        <w:t xml:space="preserve">ompliance </w:t>
      </w:r>
      <w:r w:rsidR="006B4FB1" w:rsidRPr="00B17ECB">
        <w:rPr>
          <w:kern w:val="22"/>
          <w:sz w:val="22"/>
          <w:szCs w:val="22"/>
        </w:rPr>
        <w:t>a</w:t>
      </w:r>
      <w:r w:rsidR="00670EB1" w:rsidRPr="00B17ECB">
        <w:rPr>
          <w:kern w:val="22"/>
          <w:sz w:val="22"/>
          <w:szCs w:val="22"/>
        </w:rPr>
        <w:t xml:space="preserve">ction </w:t>
      </w:r>
      <w:r w:rsidR="006B4FB1" w:rsidRPr="00B17ECB">
        <w:rPr>
          <w:kern w:val="22"/>
          <w:sz w:val="22"/>
          <w:szCs w:val="22"/>
        </w:rPr>
        <w:t>p</w:t>
      </w:r>
      <w:r w:rsidR="00670EB1" w:rsidRPr="00B17ECB">
        <w:rPr>
          <w:kern w:val="22"/>
          <w:sz w:val="22"/>
          <w:szCs w:val="22"/>
        </w:rPr>
        <w:t>lan</w:t>
      </w:r>
      <w:r w:rsidR="00AB1000" w:rsidRPr="00B17ECB">
        <w:rPr>
          <w:kern w:val="22"/>
          <w:sz w:val="22"/>
          <w:szCs w:val="22"/>
        </w:rPr>
        <w:t xml:space="preserve"> a</w:t>
      </w:r>
      <w:r w:rsidR="006B4FB1" w:rsidRPr="00B17ECB">
        <w:rPr>
          <w:kern w:val="22"/>
          <w:sz w:val="22"/>
          <w:szCs w:val="22"/>
        </w:rPr>
        <w:t>n</w:t>
      </w:r>
      <w:r w:rsidR="00AB1000" w:rsidRPr="00B17ECB">
        <w:rPr>
          <w:kern w:val="22"/>
          <w:sz w:val="22"/>
          <w:szCs w:val="22"/>
        </w:rPr>
        <w:t xml:space="preserve">d follow-up emails </w:t>
      </w:r>
      <w:r w:rsidR="002832DF" w:rsidRPr="00B17ECB">
        <w:rPr>
          <w:kern w:val="22"/>
          <w:sz w:val="22"/>
          <w:szCs w:val="22"/>
        </w:rPr>
        <w:t>sent to the national focal point of Kyrgyzstan</w:t>
      </w:r>
      <w:r w:rsidR="003B4FD0" w:rsidRPr="00B17ECB">
        <w:rPr>
          <w:kern w:val="22"/>
          <w:sz w:val="22"/>
          <w:szCs w:val="22"/>
        </w:rPr>
        <w:t xml:space="preserve"> </w:t>
      </w:r>
      <w:r w:rsidR="002832DF" w:rsidRPr="00B17ECB">
        <w:rPr>
          <w:kern w:val="22"/>
          <w:sz w:val="22"/>
          <w:szCs w:val="22"/>
        </w:rPr>
        <w:t>have bounced back. It is to be noted that the national focal point has changed several times</w:t>
      </w:r>
      <w:r w:rsidR="00A256D0" w:rsidRPr="00B17ECB">
        <w:rPr>
          <w:kern w:val="22"/>
          <w:sz w:val="22"/>
          <w:szCs w:val="22"/>
        </w:rPr>
        <w:t xml:space="preserve"> recently.</w:t>
      </w:r>
      <w:r w:rsidR="00782008" w:rsidRPr="00B17ECB">
        <w:rPr>
          <w:kern w:val="22"/>
          <w:sz w:val="22"/>
          <w:szCs w:val="22"/>
        </w:rPr>
        <w:t xml:space="preserve"> </w:t>
      </w:r>
      <w:r w:rsidR="008D5F56" w:rsidRPr="00B17ECB">
        <w:rPr>
          <w:kern w:val="22"/>
          <w:sz w:val="22"/>
          <w:szCs w:val="22"/>
        </w:rPr>
        <w:t xml:space="preserve">Kyrgyzstan has not </w:t>
      </w:r>
      <w:r w:rsidR="00F77F13" w:rsidRPr="00B17ECB">
        <w:rPr>
          <w:kern w:val="22"/>
          <w:sz w:val="22"/>
          <w:szCs w:val="22"/>
        </w:rPr>
        <w:t xml:space="preserve">yet submitted its </w:t>
      </w:r>
      <w:r w:rsidR="00DC2EDE" w:rsidRPr="00B17ECB">
        <w:rPr>
          <w:kern w:val="22"/>
          <w:sz w:val="22"/>
          <w:szCs w:val="22"/>
        </w:rPr>
        <w:t>fourth national report.</w:t>
      </w:r>
    </w:p>
    <w:p w14:paraId="56DFBE26" w14:textId="1EF3C23D" w:rsidR="00621875" w:rsidRPr="00B17ECB" w:rsidRDefault="00936ED4" w:rsidP="00506730">
      <w:pPr>
        <w:pStyle w:val="Para1"/>
        <w:numPr>
          <w:ilvl w:val="0"/>
          <w:numId w:val="6"/>
        </w:numPr>
        <w:suppressLineNumbers/>
        <w:tabs>
          <w:tab w:val="left" w:pos="1134"/>
        </w:tabs>
        <w:suppressAutoHyphens/>
        <w:spacing w:line="238" w:lineRule="auto"/>
        <w:ind w:left="567"/>
        <w:jc w:val="both"/>
        <w:rPr>
          <w:kern w:val="22"/>
          <w:sz w:val="22"/>
          <w:szCs w:val="22"/>
        </w:rPr>
      </w:pPr>
      <w:r w:rsidRPr="00B17ECB">
        <w:rPr>
          <w:kern w:val="22"/>
          <w:sz w:val="22"/>
          <w:szCs w:val="22"/>
        </w:rPr>
        <w:t>The Secretariat</w:t>
      </w:r>
      <w:r w:rsidR="00537D30" w:rsidRPr="00B17ECB">
        <w:rPr>
          <w:kern w:val="22"/>
          <w:sz w:val="22"/>
          <w:szCs w:val="22"/>
        </w:rPr>
        <w:t xml:space="preserve"> </w:t>
      </w:r>
      <w:r w:rsidRPr="00B17ECB">
        <w:rPr>
          <w:kern w:val="22"/>
          <w:sz w:val="22"/>
          <w:szCs w:val="22"/>
        </w:rPr>
        <w:t xml:space="preserve">contacted Morocco </w:t>
      </w:r>
      <w:r w:rsidR="00537D30" w:rsidRPr="00B17ECB">
        <w:rPr>
          <w:kern w:val="22"/>
          <w:sz w:val="22"/>
          <w:szCs w:val="22"/>
        </w:rPr>
        <w:t>following the seventeenth meeting of the Committee</w:t>
      </w:r>
      <w:r w:rsidR="00621875" w:rsidRPr="00B17ECB">
        <w:rPr>
          <w:kern w:val="22"/>
          <w:sz w:val="22"/>
          <w:szCs w:val="22"/>
        </w:rPr>
        <w:t>, but no update</w:t>
      </w:r>
      <w:r w:rsidR="008A353D" w:rsidRPr="00B17ECB">
        <w:rPr>
          <w:kern w:val="22"/>
          <w:sz w:val="22"/>
          <w:szCs w:val="22"/>
        </w:rPr>
        <w:t xml:space="preserve"> on progress with </w:t>
      </w:r>
      <w:r w:rsidR="00EC5949" w:rsidRPr="00B17ECB">
        <w:rPr>
          <w:kern w:val="22"/>
          <w:sz w:val="22"/>
          <w:szCs w:val="22"/>
        </w:rPr>
        <w:t xml:space="preserve">its </w:t>
      </w:r>
      <w:r w:rsidR="00FB1F60" w:rsidRPr="00B17ECB">
        <w:rPr>
          <w:kern w:val="22"/>
          <w:sz w:val="22"/>
          <w:szCs w:val="22"/>
        </w:rPr>
        <w:t>c</w:t>
      </w:r>
      <w:r w:rsidR="00EC5949" w:rsidRPr="00B17ECB">
        <w:rPr>
          <w:kern w:val="22"/>
          <w:sz w:val="22"/>
          <w:szCs w:val="22"/>
        </w:rPr>
        <w:t xml:space="preserve">ompliance </w:t>
      </w:r>
      <w:r w:rsidR="00FB1F60" w:rsidRPr="00B17ECB">
        <w:rPr>
          <w:kern w:val="22"/>
          <w:sz w:val="22"/>
          <w:szCs w:val="22"/>
        </w:rPr>
        <w:t>a</w:t>
      </w:r>
      <w:r w:rsidR="007C4268" w:rsidRPr="00B17ECB">
        <w:rPr>
          <w:kern w:val="22"/>
          <w:sz w:val="22"/>
          <w:szCs w:val="22"/>
        </w:rPr>
        <w:t xml:space="preserve">ction </w:t>
      </w:r>
      <w:r w:rsidR="00FB1F60" w:rsidRPr="00B17ECB">
        <w:rPr>
          <w:kern w:val="22"/>
          <w:sz w:val="22"/>
          <w:szCs w:val="22"/>
        </w:rPr>
        <w:t>p</w:t>
      </w:r>
      <w:r w:rsidR="008A353D" w:rsidRPr="00B17ECB">
        <w:rPr>
          <w:kern w:val="22"/>
          <w:sz w:val="22"/>
          <w:szCs w:val="22"/>
        </w:rPr>
        <w:t>lan</w:t>
      </w:r>
      <w:r w:rsidR="00621875" w:rsidRPr="00B17ECB">
        <w:rPr>
          <w:kern w:val="22"/>
          <w:sz w:val="22"/>
          <w:szCs w:val="22"/>
        </w:rPr>
        <w:t xml:space="preserve"> ha</w:t>
      </w:r>
      <w:r w:rsidR="008A353D" w:rsidRPr="00B17ECB">
        <w:rPr>
          <w:kern w:val="22"/>
          <w:sz w:val="22"/>
          <w:szCs w:val="22"/>
        </w:rPr>
        <w:t>s</w:t>
      </w:r>
      <w:r w:rsidR="00621875" w:rsidRPr="00B17ECB">
        <w:rPr>
          <w:kern w:val="22"/>
          <w:sz w:val="22"/>
          <w:szCs w:val="22"/>
        </w:rPr>
        <w:t xml:space="preserve"> been provid</w:t>
      </w:r>
      <w:r w:rsidR="00F822CD" w:rsidRPr="00B17ECB">
        <w:rPr>
          <w:kern w:val="22"/>
          <w:sz w:val="22"/>
          <w:szCs w:val="22"/>
        </w:rPr>
        <w:t>ed</w:t>
      </w:r>
      <w:r w:rsidR="002D383F" w:rsidRPr="00B17ECB">
        <w:rPr>
          <w:kern w:val="22"/>
          <w:sz w:val="22"/>
          <w:szCs w:val="22"/>
        </w:rPr>
        <w:t xml:space="preserve">. </w:t>
      </w:r>
      <w:r w:rsidR="00070DEA" w:rsidRPr="00B17ECB">
        <w:rPr>
          <w:kern w:val="22"/>
          <w:sz w:val="22"/>
          <w:szCs w:val="22"/>
        </w:rPr>
        <w:t xml:space="preserve">In its fourth national report, Morocco reports again to only have temporary measures in place. In </w:t>
      </w:r>
      <w:r w:rsidR="008C7548" w:rsidRPr="00B17ECB">
        <w:rPr>
          <w:kern w:val="22"/>
          <w:sz w:val="22"/>
          <w:szCs w:val="22"/>
        </w:rPr>
        <w:t>free text information provided in the report</w:t>
      </w:r>
      <w:r w:rsidR="00070DEA" w:rsidRPr="00B17ECB">
        <w:rPr>
          <w:kern w:val="22"/>
          <w:sz w:val="22"/>
          <w:szCs w:val="22"/>
        </w:rPr>
        <w:t xml:space="preserve">, Morocco </w:t>
      </w:r>
      <w:r w:rsidR="00E9766A" w:rsidRPr="00B17ECB">
        <w:rPr>
          <w:kern w:val="22"/>
          <w:sz w:val="22"/>
          <w:szCs w:val="22"/>
        </w:rPr>
        <w:t>explain</w:t>
      </w:r>
      <w:r w:rsidR="008C7548" w:rsidRPr="00B17ECB">
        <w:rPr>
          <w:kern w:val="22"/>
          <w:sz w:val="22"/>
          <w:szCs w:val="22"/>
        </w:rPr>
        <w:t>ed</w:t>
      </w:r>
      <w:r w:rsidR="00070DEA" w:rsidRPr="00B17ECB">
        <w:rPr>
          <w:kern w:val="22"/>
          <w:sz w:val="22"/>
          <w:szCs w:val="22"/>
        </w:rPr>
        <w:t xml:space="preserve"> that there is no legislation relating to living modified organisms yet in Morocco, but that a circular issued by the Department</w:t>
      </w:r>
      <w:r w:rsidR="00026567" w:rsidRPr="00B17ECB">
        <w:rPr>
          <w:kern w:val="22"/>
          <w:sz w:val="22"/>
          <w:szCs w:val="22"/>
        </w:rPr>
        <w:t xml:space="preserve"> of Agriculture on </w:t>
      </w:r>
      <w:r w:rsidR="00ED6129" w:rsidRPr="00B17ECB">
        <w:rPr>
          <w:kern w:val="22"/>
          <w:sz w:val="22"/>
          <w:szCs w:val="22"/>
        </w:rPr>
        <w:t xml:space="preserve">11 </w:t>
      </w:r>
      <w:r w:rsidR="00026567" w:rsidRPr="00B17ECB">
        <w:rPr>
          <w:kern w:val="22"/>
          <w:sz w:val="22"/>
          <w:szCs w:val="22"/>
        </w:rPr>
        <w:t>August 1999</w:t>
      </w:r>
      <w:r w:rsidR="00C965E5" w:rsidRPr="00B17ECB">
        <w:rPr>
          <w:kern w:val="22"/>
          <w:sz w:val="22"/>
          <w:szCs w:val="22"/>
        </w:rPr>
        <w:t xml:space="preserve">, </w:t>
      </w:r>
      <w:r w:rsidR="00026567" w:rsidRPr="00B17ECB">
        <w:rPr>
          <w:kern w:val="22"/>
          <w:sz w:val="22"/>
          <w:szCs w:val="22"/>
        </w:rPr>
        <w:t xml:space="preserve">prohibits the introduction of products made from </w:t>
      </w:r>
      <w:r w:rsidR="00CE0710" w:rsidRPr="00B17ECB">
        <w:rPr>
          <w:kern w:val="22"/>
          <w:sz w:val="22"/>
          <w:szCs w:val="22"/>
        </w:rPr>
        <w:t>living modified organisms</w:t>
      </w:r>
      <w:r w:rsidR="000A112D" w:rsidRPr="00B17ECB">
        <w:rPr>
          <w:kern w:val="22"/>
          <w:sz w:val="22"/>
          <w:szCs w:val="22"/>
        </w:rPr>
        <w:t>.</w:t>
      </w:r>
    </w:p>
    <w:p w14:paraId="14FB3C0F" w14:textId="59BD5FC6" w:rsidR="00F31356" w:rsidRPr="00B17ECB" w:rsidRDefault="00C8562C" w:rsidP="00506730">
      <w:pPr>
        <w:pStyle w:val="Para1"/>
        <w:numPr>
          <w:ilvl w:val="0"/>
          <w:numId w:val="6"/>
        </w:numPr>
        <w:suppressLineNumbers/>
        <w:tabs>
          <w:tab w:val="left" w:pos="1134"/>
        </w:tabs>
        <w:suppressAutoHyphens/>
        <w:spacing w:line="238" w:lineRule="auto"/>
        <w:ind w:left="567"/>
        <w:jc w:val="both"/>
        <w:rPr>
          <w:kern w:val="22"/>
          <w:sz w:val="22"/>
          <w:szCs w:val="22"/>
        </w:rPr>
      </w:pPr>
      <w:r w:rsidRPr="00B17ECB">
        <w:rPr>
          <w:kern w:val="22"/>
          <w:sz w:val="22"/>
          <w:szCs w:val="22"/>
        </w:rPr>
        <w:t>In addition to the above, t</w:t>
      </w:r>
      <w:r w:rsidR="009D3255" w:rsidRPr="00B17ECB">
        <w:rPr>
          <w:kern w:val="22"/>
          <w:sz w:val="22"/>
          <w:szCs w:val="22"/>
        </w:rPr>
        <w:t xml:space="preserve">he Secretariat received </w:t>
      </w:r>
      <w:r w:rsidR="008B5A2E" w:rsidRPr="00B17ECB">
        <w:rPr>
          <w:kern w:val="22"/>
          <w:sz w:val="22"/>
          <w:szCs w:val="22"/>
        </w:rPr>
        <w:t xml:space="preserve">a </w:t>
      </w:r>
      <w:r w:rsidR="008A217A" w:rsidRPr="00B17ECB">
        <w:rPr>
          <w:kern w:val="22"/>
          <w:sz w:val="22"/>
          <w:szCs w:val="22"/>
        </w:rPr>
        <w:t>c</w:t>
      </w:r>
      <w:r w:rsidR="009D3255" w:rsidRPr="00B17ECB">
        <w:rPr>
          <w:kern w:val="22"/>
          <w:sz w:val="22"/>
          <w:szCs w:val="22"/>
        </w:rPr>
        <w:t xml:space="preserve">ompliance </w:t>
      </w:r>
      <w:r w:rsidR="008A217A" w:rsidRPr="00B17ECB">
        <w:rPr>
          <w:kern w:val="22"/>
          <w:sz w:val="22"/>
          <w:szCs w:val="22"/>
        </w:rPr>
        <w:t>a</w:t>
      </w:r>
      <w:r w:rsidR="009D3255" w:rsidRPr="00B17ECB">
        <w:rPr>
          <w:kern w:val="22"/>
          <w:sz w:val="22"/>
          <w:szCs w:val="22"/>
        </w:rPr>
        <w:t xml:space="preserve">ction </w:t>
      </w:r>
      <w:r w:rsidR="008A217A" w:rsidRPr="00B17ECB">
        <w:rPr>
          <w:kern w:val="22"/>
          <w:sz w:val="22"/>
          <w:szCs w:val="22"/>
        </w:rPr>
        <w:t>p</w:t>
      </w:r>
      <w:r w:rsidR="009D3255" w:rsidRPr="00B17ECB">
        <w:rPr>
          <w:kern w:val="22"/>
          <w:sz w:val="22"/>
          <w:szCs w:val="22"/>
        </w:rPr>
        <w:t>lan from</w:t>
      </w:r>
      <w:r w:rsidR="00601598" w:rsidRPr="00B17ECB">
        <w:rPr>
          <w:kern w:val="22"/>
          <w:sz w:val="22"/>
          <w:szCs w:val="22"/>
        </w:rPr>
        <w:t xml:space="preserve"> Burundi </w:t>
      </w:r>
      <w:r w:rsidR="005002A7" w:rsidRPr="00B17ECB">
        <w:rPr>
          <w:kern w:val="22"/>
          <w:sz w:val="22"/>
          <w:szCs w:val="22"/>
        </w:rPr>
        <w:t xml:space="preserve">in September 2021. </w:t>
      </w:r>
      <w:r w:rsidR="00647DD8" w:rsidRPr="00B17ECB">
        <w:rPr>
          <w:kern w:val="22"/>
          <w:sz w:val="22"/>
          <w:szCs w:val="22"/>
        </w:rPr>
        <w:t xml:space="preserve">The Secretariat </w:t>
      </w:r>
      <w:r w:rsidR="005002A7" w:rsidRPr="00B17ECB">
        <w:rPr>
          <w:kern w:val="22"/>
          <w:sz w:val="22"/>
          <w:szCs w:val="22"/>
        </w:rPr>
        <w:t xml:space="preserve">also </w:t>
      </w:r>
      <w:r w:rsidR="009A17A7" w:rsidRPr="00B17ECB">
        <w:rPr>
          <w:kern w:val="22"/>
          <w:sz w:val="22"/>
          <w:szCs w:val="22"/>
        </w:rPr>
        <w:t xml:space="preserve">received drafts of a compliance action plan from Guinea </w:t>
      </w:r>
      <w:r w:rsidR="00647DD8" w:rsidRPr="00B17ECB">
        <w:rPr>
          <w:kern w:val="22"/>
          <w:sz w:val="22"/>
          <w:szCs w:val="22"/>
        </w:rPr>
        <w:t xml:space="preserve">and </w:t>
      </w:r>
      <w:r w:rsidR="000206D7" w:rsidRPr="00B17ECB">
        <w:rPr>
          <w:kern w:val="22"/>
          <w:sz w:val="22"/>
          <w:szCs w:val="22"/>
        </w:rPr>
        <w:t xml:space="preserve">provided feedback on the drafts </w:t>
      </w:r>
      <w:r w:rsidR="00647DD8" w:rsidRPr="00B17ECB">
        <w:rPr>
          <w:kern w:val="22"/>
          <w:sz w:val="22"/>
          <w:szCs w:val="22"/>
        </w:rPr>
        <w:t xml:space="preserve">at </w:t>
      </w:r>
      <w:r w:rsidR="00C451A9" w:rsidRPr="00B17ECB">
        <w:rPr>
          <w:kern w:val="22"/>
          <w:sz w:val="22"/>
          <w:szCs w:val="22"/>
        </w:rPr>
        <w:t xml:space="preserve">the request of </w:t>
      </w:r>
      <w:r w:rsidR="00647DD8" w:rsidRPr="00B17ECB">
        <w:rPr>
          <w:kern w:val="22"/>
          <w:sz w:val="22"/>
          <w:szCs w:val="22"/>
        </w:rPr>
        <w:t>Guinea.</w:t>
      </w:r>
      <w:r w:rsidR="000206D7" w:rsidRPr="00B17ECB">
        <w:rPr>
          <w:kern w:val="22"/>
          <w:sz w:val="22"/>
          <w:szCs w:val="22"/>
        </w:rPr>
        <w:t xml:space="preserve"> Guinea submitted a final version of the plan in February 2023.</w:t>
      </w:r>
      <w:r w:rsidR="00FC09A3" w:rsidRPr="00B17ECB">
        <w:rPr>
          <w:kern w:val="22"/>
          <w:sz w:val="22"/>
          <w:szCs w:val="22"/>
        </w:rPr>
        <w:t xml:space="preserve">The </w:t>
      </w:r>
      <w:r w:rsidR="00611825" w:rsidRPr="00B17ECB">
        <w:rPr>
          <w:kern w:val="22"/>
          <w:sz w:val="22"/>
          <w:szCs w:val="22"/>
        </w:rPr>
        <w:t>p</w:t>
      </w:r>
      <w:r w:rsidR="00FC09A3" w:rsidRPr="00B17ECB">
        <w:rPr>
          <w:kern w:val="22"/>
          <w:sz w:val="22"/>
          <w:szCs w:val="22"/>
        </w:rPr>
        <w:t xml:space="preserve">lans have been shared with the Committee on the </w:t>
      </w:r>
      <w:r w:rsidR="00611825" w:rsidRPr="00B17ECB">
        <w:rPr>
          <w:kern w:val="22"/>
          <w:sz w:val="22"/>
          <w:szCs w:val="22"/>
        </w:rPr>
        <w:t xml:space="preserve">Collaborative Portal of the </w:t>
      </w:r>
      <w:r w:rsidR="00407B99" w:rsidRPr="00B17ECB">
        <w:rPr>
          <w:kern w:val="22"/>
          <w:sz w:val="22"/>
          <w:szCs w:val="22"/>
        </w:rPr>
        <w:t xml:space="preserve">Compliance Committee </w:t>
      </w:r>
      <w:r w:rsidR="00611825" w:rsidRPr="00B17ECB">
        <w:rPr>
          <w:kern w:val="22"/>
          <w:sz w:val="22"/>
          <w:szCs w:val="22"/>
        </w:rPr>
        <w:t xml:space="preserve">for consideration </w:t>
      </w:r>
      <w:r w:rsidR="00F0210A" w:rsidRPr="00B17ECB">
        <w:rPr>
          <w:kern w:val="22"/>
          <w:sz w:val="22"/>
          <w:szCs w:val="22"/>
        </w:rPr>
        <w:t xml:space="preserve">by </w:t>
      </w:r>
      <w:r w:rsidR="00611825" w:rsidRPr="00B17ECB">
        <w:rPr>
          <w:kern w:val="22"/>
          <w:sz w:val="22"/>
          <w:szCs w:val="22"/>
        </w:rPr>
        <w:t xml:space="preserve">the Committee </w:t>
      </w:r>
      <w:r w:rsidR="00F0210A" w:rsidRPr="00B17ECB">
        <w:rPr>
          <w:kern w:val="22"/>
          <w:sz w:val="22"/>
          <w:szCs w:val="22"/>
        </w:rPr>
        <w:t xml:space="preserve">at its </w:t>
      </w:r>
      <w:r w:rsidR="00D74499" w:rsidRPr="00B17ECB">
        <w:rPr>
          <w:kern w:val="22"/>
          <w:sz w:val="22"/>
          <w:szCs w:val="22"/>
        </w:rPr>
        <w:t>eighteenth</w:t>
      </w:r>
      <w:r w:rsidR="00611825" w:rsidRPr="00B17ECB">
        <w:rPr>
          <w:kern w:val="22"/>
          <w:sz w:val="22"/>
          <w:szCs w:val="22"/>
        </w:rPr>
        <w:t xml:space="preserve"> meeting.</w:t>
      </w:r>
    </w:p>
    <w:p w14:paraId="78F7247E" w14:textId="74B91F2A" w:rsidR="00F31356" w:rsidRPr="00B17ECB" w:rsidRDefault="00E24EA4" w:rsidP="00506730">
      <w:pPr>
        <w:pStyle w:val="Para1"/>
        <w:keepNext/>
        <w:numPr>
          <w:ilvl w:val="1"/>
          <w:numId w:val="39"/>
        </w:numPr>
        <w:suppressLineNumbers/>
        <w:suppressAutoHyphens/>
        <w:spacing w:line="238" w:lineRule="auto"/>
        <w:ind w:left="488" w:hanging="488"/>
        <w:jc w:val="both"/>
        <w:rPr>
          <w:b/>
          <w:bCs/>
          <w:kern w:val="22"/>
          <w:sz w:val="22"/>
          <w:szCs w:val="22"/>
        </w:rPr>
      </w:pPr>
      <w:r w:rsidRPr="00B17ECB">
        <w:rPr>
          <w:b/>
          <w:bCs/>
          <w:kern w:val="22"/>
          <w:sz w:val="22"/>
          <w:szCs w:val="22"/>
        </w:rPr>
        <w:lastRenderedPageBreak/>
        <w:t>Possible follow-up by the Committee</w:t>
      </w:r>
    </w:p>
    <w:p w14:paraId="218DF655" w14:textId="181C01F7" w:rsidR="002E660E" w:rsidRPr="00B17ECB" w:rsidRDefault="002E660E" w:rsidP="00506730">
      <w:pPr>
        <w:pStyle w:val="Para1"/>
        <w:numPr>
          <w:ilvl w:val="0"/>
          <w:numId w:val="6"/>
        </w:numPr>
        <w:suppressLineNumbers/>
        <w:tabs>
          <w:tab w:val="left" w:pos="1134"/>
        </w:tabs>
        <w:suppressAutoHyphens/>
        <w:spacing w:line="238" w:lineRule="auto"/>
        <w:ind w:left="567"/>
        <w:jc w:val="both"/>
        <w:rPr>
          <w:kern w:val="22"/>
          <w:sz w:val="22"/>
          <w:szCs w:val="22"/>
        </w:rPr>
      </w:pPr>
      <w:r w:rsidRPr="00B17ECB">
        <w:rPr>
          <w:kern w:val="22"/>
          <w:sz w:val="22"/>
          <w:szCs w:val="22"/>
        </w:rPr>
        <w:t xml:space="preserve">As summarized above, seven Parties have submitted compliance action plans further to the request by the Committee at its fifteenth meeting. Of those Parties, </w:t>
      </w:r>
      <w:r w:rsidR="003C370A" w:rsidRPr="00B17ECB">
        <w:rPr>
          <w:kern w:val="22"/>
          <w:sz w:val="22"/>
          <w:szCs w:val="22"/>
        </w:rPr>
        <w:t xml:space="preserve">the </w:t>
      </w:r>
      <w:r w:rsidRPr="00B17ECB">
        <w:rPr>
          <w:kern w:val="22"/>
          <w:sz w:val="22"/>
          <w:szCs w:val="22"/>
        </w:rPr>
        <w:t xml:space="preserve">Niger has completed the activities in its compliance action plan and no further follow-up is required in this regard. </w:t>
      </w:r>
    </w:p>
    <w:p w14:paraId="5E2FEAFA" w14:textId="36895A4E" w:rsidR="002E660E" w:rsidRPr="00B17ECB" w:rsidRDefault="002E660E" w:rsidP="00506730">
      <w:pPr>
        <w:pStyle w:val="Para1"/>
        <w:numPr>
          <w:ilvl w:val="0"/>
          <w:numId w:val="6"/>
        </w:numPr>
        <w:suppressLineNumbers/>
        <w:tabs>
          <w:tab w:val="left" w:pos="1134"/>
        </w:tabs>
        <w:suppressAutoHyphens/>
        <w:spacing w:line="238" w:lineRule="auto"/>
        <w:ind w:left="567"/>
        <w:jc w:val="both"/>
        <w:rPr>
          <w:kern w:val="22"/>
          <w:sz w:val="22"/>
          <w:szCs w:val="22"/>
        </w:rPr>
      </w:pPr>
      <w:r w:rsidRPr="00B17ECB">
        <w:rPr>
          <w:kern w:val="22"/>
          <w:sz w:val="22"/>
          <w:szCs w:val="22"/>
        </w:rPr>
        <w:t xml:space="preserve">Concerning the three Parties (Barbados, </w:t>
      </w:r>
      <w:proofErr w:type="gramStart"/>
      <w:r w:rsidRPr="00B17ECB">
        <w:rPr>
          <w:kern w:val="22"/>
          <w:sz w:val="22"/>
          <w:szCs w:val="22"/>
        </w:rPr>
        <w:t>Kyrgyzstan</w:t>
      </w:r>
      <w:proofErr w:type="gramEnd"/>
      <w:r w:rsidRPr="00B17ECB">
        <w:rPr>
          <w:kern w:val="22"/>
          <w:sz w:val="22"/>
          <w:szCs w:val="22"/>
        </w:rPr>
        <w:t xml:space="preserve"> and Oman) that have submitted a compliance action plan but provided limited or no information in response to the follow-up by the Secretariat, the Committee may wish to request its Chair to send a letter to these Parties urging them to provide information on the progress made on the activities set out in their compliance action plans. </w:t>
      </w:r>
    </w:p>
    <w:p w14:paraId="6F565953" w14:textId="122E7A1F" w:rsidR="002E660E" w:rsidRPr="00B17ECB" w:rsidRDefault="002E660E" w:rsidP="00506730">
      <w:pPr>
        <w:pStyle w:val="Para1"/>
        <w:numPr>
          <w:ilvl w:val="0"/>
          <w:numId w:val="6"/>
        </w:numPr>
        <w:suppressLineNumbers/>
        <w:tabs>
          <w:tab w:val="left" w:pos="1134"/>
        </w:tabs>
        <w:suppressAutoHyphens/>
        <w:spacing w:line="238" w:lineRule="auto"/>
        <w:ind w:left="567"/>
        <w:jc w:val="both"/>
        <w:rPr>
          <w:kern w:val="22"/>
          <w:sz w:val="22"/>
          <w:szCs w:val="22"/>
        </w:rPr>
      </w:pPr>
      <w:r w:rsidRPr="00B17ECB">
        <w:rPr>
          <w:kern w:val="22"/>
          <w:sz w:val="22"/>
          <w:szCs w:val="22"/>
        </w:rPr>
        <w:t>In relation to Morocco, the Committee may wish to request its Chair to send a letter to Morocco to thank them for preparing its compliance action plan. The Committee may also wish to consider requesting Morocco to provide details on the time</w:t>
      </w:r>
      <w:r w:rsidR="00B126D0" w:rsidRPr="00B17ECB">
        <w:rPr>
          <w:kern w:val="22"/>
          <w:sz w:val="22"/>
          <w:szCs w:val="22"/>
        </w:rPr>
        <w:t xml:space="preserve"> </w:t>
      </w:r>
      <w:r w:rsidRPr="00B17ECB">
        <w:rPr>
          <w:kern w:val="22"/>
          <w:sz w:val="22"/>
          <w:szCs w:val="22"/>
        </w:rPr>
        <w:t xml:space="preserve">frame of the activities included in the compliance action plan </w:t>
      </w:r>
      <w:proofErr w:type="gramStart"/>
      <w:r w:rsidRPr="00B17ECB">
        <w:rPr>
          <w:kern w:val="22"/>
          <w:sz w:val="22"/>
          <w:szCs w:val="22"/>
        </w:rPr>
        <w:t>in order to</w:t>
      </w:r>
      <w:proofErr w:type="gramEnd"/>
      <w:r w:rsidRPr="00B17ECB">
        <w:rPr>
          <w:kern w:val="22"/>
          <w:sz w:val="22"/>
          <w:szCs w:val="22"/>
        </w:rPr>
        <w:t xml:space="preserve"> facilitate follow-up and invite Morocco to specify what type of resources it might need to carry out the activities included in its compliance action plan. The Committee may furthermore wish to request the Secretariat to continue to follow</w:t>
      </w:r>
      <w:r w:rsidR="005F2936" w:rsidRPr="00B17ECB">
        <w:rPr>
          <w:kern w:val="22"/>
          <w:sz w:val="22"/>
          <w:szCs w:val="22"/>
        </w:rPr>
        <w:t xml:space="preserve"> </w:t>
      </w:r>
      <w:r w:rsidRPr="00B17ECB">
        <w:rPr>
          <w:kern w:val="22"/>
          <w:sz w:val="22"/>
          <w:szCs w:val="22"/>
        </w:rPr>
        <w:t>up with Morocco on actions taken further to the steps outlined in its plan.</w:t>
      </w:r>
    </w:p>
    <w:p w14:paraId="5EADC38E" w14:textId="1C0FAA4A" w:rsidR="002E660E" w:rsidRPr="00B17ECB" w:rsidRDefault="002E660E" w:rsidP="00506730">
      <w:pPr>
        <w:pStyle w:val="Para1"/>
        <w:numPr>
          <w:ilvl w:val="0"/>
          <w:numId w:val="6"/>
        </w:numPr>
        <w:suppressLineNumbers/>
        <w:tabs>
          <w:tab w:val="left" w:pos="1134"/>
        </w:tabs>
        <w:suppressAutoHyphens/>
        <w:spacing w:line="238" w:lineRule="auto"/>
        <w:ind w:left="567"/>
        <w:jc w:val="both"/>
        <w:rPr>
          <w:kern w:val="22"/>
          <w:sz w:val="22"/>
          <w:szCs w:val="22"/>
        </w:rPr>
      </w:pPr>
      <w:r w:rsidRPr="00B17ECB">
        <w:rPr>
          <w:kern w:val="22"/>
          <w:sz w:val="22"/>
          <w:szCs w:val="22"/>
        </w:rPr>
        <w:t>The Committee may wish to review the compliance action plans submitted since its seventeenth meeting by Burundi and Guinea and whether they adequately set out the timeline and actions required to achieve compliance, or whether further information, clarification or refinement would be needed. It may also wish to request the Chair of the Committee to write to the national focal points of those two Parties thanking them for having prepared their compliance action plan and informing them that the Secretariat will follow</w:t>
      </w:r>
      <w:r w:rsidR="00FE4CEE" w:rsidRPr="00B17ECB">
        <w:rPr>
          <w:kern w:val="22"/>
          <w:sz w:val="22"/>
          <w:szCs w:val="22"/>
        </w:rPr>
        <w:t xml:space="preserve"> </w:t>
      </w:r>
      <w:r w:rsidRPr="00B17ECB">
        <w:rPr>
          <w:kern w:val="22"/>
          <w:sz w:val="22"/>
          <w:szCs w:val="22"/>
        </w:rPr>
        <w:t xml:space="preserve">up on the progress of the activities outlined in the compliance action plans. </w:t>
      </w:r>
    </w:p>
    <w:p w14:paraId="7204D28B" w14:textId="30560048" w:rsidR="00601598" w:rsidRPr="00B17ECB" w:rsidRDefault="002E660E" w:rsidP="00077A0C">
      <w:pPr>
        <w:pStyle w:val="Para1"/>
        <w:numPr>
          <w:ilvl w:val="0"/>
          <w:numId w:val="6"/>
        </w:numPr>
        <w:suppressLineNumbers/>
        <w:tabs>
          <w:tab w:val="left" w:pos="1134"/>
        </w:tabs>
        <w:suppressAutoHyphens/>
        <w:spacing w:line="238" w:lineRule="auto"/>
        <w:ind w:left="567"/>
        <w:jc w:val="both"/>
        <w:rPr>
          <w:kern w:val="22"/>
          <w:szCs w:val="22"/>
        </w:rPr>
      </w:pPr>
      <w:r w:rsidRPr="00B17ECB">
        <w:rPr>
          <w:kern w:val="22"/>
          <w:sz w:val="22"/>
          <w:szCs w:val="22"/>
        </w:rPr>
        <w:t>Following</w:t>
      </w:r>
      <w:r w:rsidRPr="00B17ECB">
        <w:rPr>
          <w:kern w:val="22"/>
          <w:sz w:val="22"/>
          <w:szCs w:val="22"/>
          <w:lang w:val="en-GB"/>
        </w:rPr>
        <w:t xml:space="preserve"> </w:t>
      </w:r>
      <w:r w:rsidRPr="00B17ECB">
        <w:rPr>
          <w:kern w:val="22"/>
          <w:sz w:val="22"/>
          <w:szCs w:val="22"/>
        </w:rPr>
        <w:t>informal</w:t>
      </w:r>
      <w:r w:rsidRPr="00B17ECB">
        <w:rPr>
          <w:kern w:val="22"/>
          <w:sz w:val="22"/>
          <w:szCs w:val="22"/>
          <w:lang w:val="en-GB"/>
        </w:rPr>
        <w:t xml:space="preserve"> consultations with </w:t>
      </w:r>
      <w:r w:rsidR="00FE4CEE" w:rsidRPr="00B17ECB">
        <w:rPr>
          <w:kern w:val="22"/>
          <w:sz w:val="22"/>
          <w:szCs w:val="22"/>
          <w:lang w:val="en-GB"/>
        </w:rPr>
        <w:t>the United Nations Environment Programme (</w:t>
      </w:r>
      <w:r w:rsidRPr="00B17ECB">
        <w:rPr>
          <w:kern w:val="22"/>
          <w:sz w:val="22"/>
          <w:szCs w:val="22"/>
          <w:lang w:val="en-GB"/>
        </w:rPr>
        <w:t>UNEP</w:t>
      </w:r>
      <w:r w:rsidR="00FE4CEE" w:rsidRPr="00B17ECB">
        <w:rPr>
          <w:kern w:val="22"/>
          <w:sz w:val="22"/>
          <w:szCs w:val="22"/>
          <w:lang w:val="en-GB"/>
        </w:rPr>
        <w:t>)</w:t>
      </w:r>
      <w:r w:rsidRPr="00B17ECB">
        <w:rPr>
          <w:kern w:val="22"/>
          <w:sz w:val="22"/>
          <w:szCs w:val="22"/>
          <w:lang w:val="en-GB"/>
        </w:rPr>
        <w:t xml:space="preserve">, the Secretariat was informed that assistance for the development of the legal measures </w:t>
      </w:r>
      <w:r w:rsidR="0062631B" w:rsidRPr="00B17ECB">
        <w:rPr>
          <w:kern w:val="22"/>
          <w:sz w:val="22"/>
          <w:szCs w:val="22"/>
          <w:lang w:val="en-GB"/>
        </w:rPr>
        <w:t xml:space="preserve">necessary </w:t>
      </w:r>
      <w:r w:rsidRPr="00B17ECB">
        <w:rPr>
          <w:kern w:val="22"/>
          <w:sz w:val="22"/>
          <w:szCs w:val="22"/>
          <w:lang w:val="en-GB"/>
        </w:rPr>
        <w:t xml:space="preserve">to implement the Protocol may be </w:t>
      </w:r>
      <w:r w:rsidR="00055BE7" w:rsidRPr="00B17ECB">
        <w:rPr>
          <w:kern w:val="22"/>
          <w:sz w:val="22"/>
          <w:szCs w:val="22"/>
          <w:lang w:val="en-GB"/>
        </w:rPr>
        <w:t xml:space="preserve">obtained </w:t>
      </w:r>
      <w:r w:rsidRPr="00B17ECB">
        <w:rPr>
          <w:kern w:val="22"/>
          <w:sz w:val="22"/>
          <w:szCs w:val="22"/>
          <w:lang w:val="en-GB"/>
        </w:rPr>
        <w:t>under the Montevideo Environmental Law Programme.</w:t>
      </w:r>
      <w:r w:rsidRPr="00B17ECB">
        <w:rPr>
          <w:rStyle w:val="FootnoteReference"/>
          <w:sz w:val="22"/>
          <w:szCs w:val="22"/>
        </w:rPr>
        <w:footnoteReference w:id="10"/>
      </w:r>
      <w:r w:rsidRPr="00B17ECB">
        <w:rPr>
          <w:kern w:val="22"/>
          <w:sz w:val="22"/>
          <w:szCs w:val="22"/>
          <w:lang w:val="en-GB"/>
        </w:rPr>
        <w:t xml:space="preserve"> The Committee may wish to request that information on the UNEP Law and Environment Assistance Platform </w:t>
      </w:r>
      <w:r w:rsidR="008A0A4A" w:rsidRPr="00B17ECB">
        <w:rPr>
          <w:kern w:val="22"/>
          <w:sz w:val="22"/>
          <w:szCs w:val="22"/>
          <w:lang w:val="en-GB"/>
        </w:rPr>
        <w:t xml:space="preserve">under the Montevideo Environmental Law Programme </w:t>
      </w:r>
      <w:r w:rsidRPr="00B17ECB">
        <w:rPr>
          <w:kern w:val="22"/>
          <w:sz w:val="22"/>
          <w:szCs w:val="22"/>
          <w:lang w:val="en-GB"/>
        </w:rPr>
        <w:t>could be shared as part of the follow-up communications by its Chair to Barbados, Kyrgyzstan, Oman, Morocco, Burundi and Guinea.</w:t>
      </w:r>
      <w:r w:rsidRPr="00B17ECB">
        <w:rPr>
          <w:rStyle w:val="FootnoteReference"/>
          <w:sz w:val="22"/>
          <w:szCs w:val="22"/>
        </w:rPr>
        <w:footnoteReference w:id="11"/>
      </w:r>
    </w:p>
    <w:p w14:paraId="1538826C" w14:textId="64A414C6" w:rsidR="007B2E26" w:rsidRPr="00B17ECB" w:rsidRDefault="0079531D" w:rsidP="005E4907">
      <w:pPr>
        <w:pStyle w:val="Heading2"/>
        <w:rPr>
          <w:bCs/>
        </w:rPr>
      </w:pPr>
      <w:r w:rsidRPr="00B17ECB">
        <w:rPr>
          <w:bCs/>
        </w:rPr>
        <w:t>2.</w:t>
      </w:r>
      <w:r w:rsidR="00063EF4" w:rsidRPr="00B17ECB">
        <w:rPr>
          <w:bCs/>
        </w:rPr>
        <w:tab/>
      </w:r>
      <w:r w:rsidR="007B2E26" w:rsidRPr="00B17ECB">
        <w:rPr>
          <w:bCs/>
        </w:rPr>
        <w:t xml:space="preserve">Parties that did not submit a compliance action plan </w:t>
      </w:r>
      <w:r w:rsidR="003A1CB5" w:rsidRPr="00B17ECB">
        <w:rPr>
          <w:bCs/>
        </w:rPr>
        <w:t xml:space="preserve">but </w:t>
      </w:r>
      <w:r w:rsidR="007B2E26" w:rsidRPr="00B17ECB">
        <w:rPr>
          <w:bCs/>
        </w:rPr>
        <w:t>that informed the Committee that progress was made in the adoption of measures</w:t>
      </w:r>
    </w:p>
    <w:p w14:paraId="215E7262" w14:textId="77777777" w:rsidR="0079531D" w:rsidRPr="00B17ECB" w:rsidRDefault="0079531D" w:rsidP="00506730">
      <w:pPr>
        <w:pStyle w:val="Para1"/>
        <w:numPr>
          <w:ilvl w:val="1"/>
          <w:numId w:val="40"/>
        </w:numPr>
        <w:suppressLineNumbers/>
        <w:suppressAutoHyphens/>
        <w:spacing w:line="238" w:lineRule="auto"/>
        <w:ind w:hanging="490"/>
        <w:jc w:val="both"/>
        <w:rPr>
          <w:b/>
          <w:bCs/>
          <w:kern w:val="22"/>
          <w:sz w:val="22"/>
          <w:szCs w:val="22"/>
        </w:rPr>
      </w:pPr>
      <w:r w:rsidRPr="00B17ECB">
        <w:rPr>
          <w:b/>
          <w:bCs/>
          <w:kern w:val="22"/>
          <w:sz w:val="22"/>
          <w:szCs w:val="22"/>
        </w:rPr>
        <w:t xml:space="preserve">Developments and actions </w:t>
      </w:r>
      <w:proofErr w:type="gramStart"/>
      <w:r w:rsidRPr="00B17ECB">
        <w:rPr>
          <w:b/>
          <w:bCs/>
          <w:kern w:val="22"/>
          <w:sz w:val="22"/>
          <w:szCs w:val="22"/>
        </w:rPr>
        <w:t>taken</w:t>
      </w:r>
      <w:proofErr w:type="gramEnd"/>
    </w:p>
    <w:p w14:paraId="25446C31" w14:textId="444F23A1" w:rsidR="007B2E26" w:rsidRPr="00B17ECB" w:rsidRDefault="007B2E26" w:rsidP="00077A0C">
      <w:pPr>
        <w:pStyle w:val="Para1"/>
        <w:numPr>
          <w:ilvl w:val="0"/>
          <w:numId w:val="6"/>
        </w:numPr>
        <w:suppressLineNumbers/>
        <w:tabs>
          <w:tab w:val="left" w:pos="1134"/>
        </w:tabs>
        <w:suppressAutoHyphens/>
        <w:spacing w:line="238" w:lineRule="auto"/>
        <w:ind w:left="567"/>
        <w:jc w:val="both"/>
        <w:rPr>
          <w:kern w:val="22"/>
          <w:sz w:val="22"/>
          <w:szCs w:val="22"/>
        </w:rPr>
      </w:pPr>
      <w:r w:rsidRPr="00B17ECB">
        <w:rPr>
          <w:kern w:val="22"/>
          <w:sz w:val="22"/>
          <w:szCs w:val="22"/>
        </w:rPr>
        <w:t xml:space="preserve">Of the Parties requested to develop a compliance action plan, </w:t>
      </w:r>
      <w:r w:rsidR="00241537" w:rsidRPr="00B17ECB">
        <w:rPr>
          <w:kern w:val="22"/>
          <w:sz w:val="22"/>
          <w:szCs w:val="22"/>
        </w:rPr>
        <w:t xml:space="preserve">three </w:t>
      </w:r>
      <w:r w:rsidRPr="00B17ECB">
        <w:rPr>
          <w:kern w:val="22"/>
          <w:sz w:val="22"/>
          <w:szCs w:val="22"/>
        </w:rPr>
        <w:t>(Eritrea</w:t>
      </w:r>
      <w:r w:rsidR="00565A19" w:rsidRPr="00B17ECB">
        <w:rPr>
          <w:kern w:val="22"/>
          <w:sz w:val="22"/>
          <w:szCs w:val="22"/>
        </w:rPr>
        <w:t xml:space="preserve">, </w:t>
      </w:r>
      <w:proofErr w:type="gramStart"/>
      <w:r w:rsidRPr="00B17ECB">
        <w:rPr>
          <w:kern w:val="22"/>
          <w:sz w:val="22"/>
          <w:szCs w:val="22"/>
        </w:rPr>
        <w:t>Mauritania</w:t>
      </w:r>
      <w:proofErr w:type="gramEnd"/>
      <w:r w:rsidR="00241537" w:rsidRPr="00B17ECB">
        <w:rPr>
          <w:kern w:val="22"/>
          <w:sz w:val="22"/>
          <w:szCs w:val="22"/>
        </w:rPr>
        <w:t xml:space="preserve"> and Saint Lucia</w:t>
      </w:r>
      <w:r w:rsidRPr="00B17ECB">
        <w:rPr>
          <w:kern w:val="22"/>
          <w:sz w:val="22"/>
          <w:szCs w:val="22"/>
        </w:rPr>
        <w:t>) have responded by indicating that measures ha</w:t>
      </w:r>
      <w:r w:rsidR="00A502E0" w:rsidRPr="00B17ECB">
        <w:rPr>
          <w:kern w:val="22"/>
          <w:sz w:val="22"/>
          <w:szCs w:val="22"/>
        </w:rPr>
        <w:t>d</w:t>
      </w:r>
      <w:r w:rsidRPr="00B17ECB">
        <w:rPr>
          <w:kern w:val="22"/>
          <w:sz w:val="22"/>
          <w:szCs w:val="22"/>
        </w:rPr>
        <w:t xml:space="preserve"> been adopted or that progress ha</w:t>
      </w:r>
      <w:r w:rsidR="00A502E0" w:rsidRPr="00B17ECB">
        <w:rPr>
          <w:kern w:val="22"/>
          <w:sz w:val="22"/>
          <w:szCs w:val="22"/>
        </w:rPr>
        <w:t>d</w:t>
      </w:r>
      <w:r w:rsidRPr="00B17ECB">
        <w:rPr>
          <w:kern w:val="22"/>
          <w:sz w:val="22"/>
          <w:szCs w:val="22"/>
        </w:rPr>
        <w:t xml:space="preserve"> been made in th</w:t>
      </w:r>
      <w:r w:rsidR="00194E77" w:rsidRPr="00B17ECB">
        <w:rPr>
          <w:kern w:val="22"/>
          <w:sz w:val="22"/>
          <w:szCs w:val="22"/>
        </w:rPr>
        <w:t>at</w:t>
      </w:r>
      <w:r w:rsidRPr="00B17ECB">
        <w:rPr>
          <w:kern w:val="22"/>
          <w:sz w:val="22"/>
          <w:szCs w:val="22"/>
        </w:rPr>
        <w:t xml:space="preserve"> regard.</w:t>
      </w:r>
    </w:p>
    <w:p w14:paraId="602BFD29" w14:textId="58D24E3B" w:rsidR="00A237D4" w:rsidRPr="00B17ECB" w:rsidRDefault="00A237D4" w:rsidP="00355FA4">
      <w:pPr>
        <w:pStyle w:val="Para1"/>
        <w:numPr>
          <w:ilvl w:val="0"/>
          <w:numId w:val="0"/>
        </w:numPr>
        <w:suppressLineNumbers/>
        <w:suppressAutoHyphens/>
        <w:spacing w:line="238" w:lineRule="auto"/>
        <w:ind w:left="567"/>
        <w:jc w:val="both"/>
        <w:rPr>
          <w:i/>
          <w:kern w:val="22"/>
          <w:sz w:val="22"/>
          <w:szCs w:val="22"/>
        </w:rPr>
      </w:pPr>
      <w:r w:rsidRPr="00B17ECB">
        <w:rPr>
          <w:i/>
          <w:iCs/>
          <w:kern w:val="22"/>
          <w:sz w:val="22"/>
          <w:szCs w:val="22"/>
        </w:rPr>
        <w:t>Eritrea</w:t>
      </w:r>
    </w:p>
    <w:p w14:paraId="4CF75091" w14:textId="7EE83116" w:rsidR="007B2E26" w:rsidRPr="00B17ECB" w:rsidRDefault="007B2E26" w:rsidP="00077A0C">
      <w:pPr>
        <w:pStyle w:val="Para1"/>
        <w:numPr>
          <w:ilvl w:val="0"/>
          <w:numId w:val="6"/>
        </w:numPr>
        <w:suppressLineNumbers/>
        <w:tabs>
          <w:tab w:val="left" w:pos="1134"/>
        </w:tabs>
        <w:suppressAutoHyphens/>
        <w:spacing w:line="238" w:lineRule="auto"/>
        <w:ind w:left="567"/>
        <w:jc w:val="both"/>
        <w:rPr>
          <w:kern w:val="22"/>
          <w:sz w:val="22"/>
          <w:szCs w:val="22"/>
        </w:rPr>
      </w:pPr>
      <w:r w:rsidRPr="00B17ECB">
        <w:rPr>
          <w:kern w:val="22"/>
          <w:sz w:val="22"/>
          <w:szCs w:val="22"/>
        </w:rPr>
        <w:t>Following the fifteenth meeting</w:t>
      </w:r>
      <w:r w:rsidR="00DF73D2" w:rsidRPr="00B17ECB">
        <w:rPr>
          <w:kern w:val="22"/>
          <w:sz w:val="22"/>
          <w:szCs w:val="22"/>
        </w:rPr>
        <w:t xml:space="preserve"> of the Committee</w:t>
      </w:r>
      <w:r w:rsidRPr="00B17ECB">
        <w:rPr>
          <w:kern w:val="22"/>
          <w:sz w:val="22"/>
          <w:szCs w:val="22"/>
        </w:rPr>
        <w:t xml:space="preserve">, Eritrea responded to the initial request to prepare a compliance action plan, indicating that it had recently adopted the </w:t>
      </w:r>
      <w:r w:rsidR="00040FF8" w:rsidRPr="00B17ECB">
        <w:rPr>
          <w:sz w:val="22"/>
          <w:szCs w:val="22"/>
          <w:lang w:val="en-GB"/>
        </w:rPr>
        <w:t>Eritrean Environmental Protection, Management and Rehabilitation Framework Proclamation No.179/2017</w:t>
      </w:r>
      <w:r w:rsidRPr="00B17ECB">
        <w:rPr>
          <w:kern w:val="22"/>
          <w:sz w:val="22"/>
          <w:szCs w:val="22"/>
        </w:rPr>
        <w:t xml:space="preserve"> and that the measure had been published in the BCH. Although Eritrea published a national record</w:t>
      </w:r>
      <w:r w:rsidR="00804ADF" w:rsidRPr="00B17ECB">
        <w:rPr>
          <w:kern w:val="22"/>
          <w:sz w:val="22"/>
          <w:szCs w:val="22"/>
        </w:rPr>
        <w:t xml:space="preserve"> on the Proclamation</w:t>
      </w:r>
      <w:r w:rsidRPr="00B17ECB">
        <w:rPr>
          <w:kern w:val="22"/>
          <w:sz w:val="22"/>
          <w:szCs w:val="22"/>
        </w:rPr>
        <w:t xml:space="preserve"> in the BCH in 2018 under the category “Biosafety laws, regulations, guidelines and agreements”, the actual legal instrument was not made available</w:t>
      </w:r>
      <w:r w:rsidR="00B455E3" w:rsidRPr="00B17ECB">
        <w:rPr>
          <w:kern w:val="22"/>
          <w:sz w:val="22"/>
          <w:szCs w:val="22"/>
        </w:rPr>
        <w:t xml:space="preserve"> (only a link (no longer functional) to a newspaper article about the issuance of the Proclamation</w:t>
      </w:r>
      <w:r w:rsidR="00B06E9E" w:rsidRPr="00B17ECB">
        <w:rPr>
          <w:kern w:val="22"/>
          <w:sz w:val="22"/>
          <w:szCs w:val="22"/>
        </w:rPr>
        <w:t xml:space="preserve"> was provided</w:t>
      </w:r>
      <w:r w:rsidR="00B455E3" w:rsidRPr="00B17ECB">
        <w:rPr>
          <w:kern w:val="22"/>
          <w:sz w:val="22"/>
          <w:szCs w:val="22"/>
        </w:rPr>
        <w:t>)</w:t>
      </w:r>
      <w:r w:rsidRPr="00B17ECB">
        <w:rPr>
          <w:kern w:val="22"/>
          <w:sz w:val="22"/>
          <w:szCs w:val="22"/>
        </w:rPr>
        <w:t xml:space="preserve">. Following the sixteenth meeting of the Committee, the Chair of the Committee wrote to Eritrea, </w:t>
      </w:r>
      <w:r w:rsidRPr="00B17ECB">
        <w:rPr>
          <w:sz w:val="22"/>
          <w:szCs w:val="22"/>
        </w:rPr>
        <w:t xml:space="preserve">thanking it for having provided information on the recent adoption of the necessary measures to implement the Protocol and reminding Eritrea that that </w:t>
      </w:r>
      <w:r w:rsidR="00A22878" w:rsidRPr="00B17ECB">
        <w:rPr>
          <w:sz w:val="22"/>
          <w:szCs w:val="22"/>
        </w:rPr>
        <w:t xml:space="preserve">this </w:t>
      </w:r>
      <w:r w:rsidRPr="00B17ECB">
        <w:rPr>
          <w:sz w:val="22"/>
          <w:szCs w:val="22"/>
        </w:rPr>
        <w:t xml:space="preserve">information should be included in their fourth national report and </w:t>
      </w:r>
      <w:r w:rsidRPr="00B17ECB">
        <w:rPr>
          <w:sz w:val="22"/>
          <w:szCs w:val="22"/>
        </w:rPr>
        <w:lastRenderedPageBreak/>
        <w:t>that their measures should be published in the BCH.</w:t>
      </w:r>
      <w:r w:rsidRPr="00B17ECB">
        <w:rPr>
          <w:kern w:val="22"/>
          <w:sz w:val="22"/>
          <w:szCs w:val="22"/>
        </w:rPr>
        <w:t xml:space="preserve"> At its seventeenth meeting, the Committee noted that Eritrea had still not submitted the relevant measures to the </w:t>
      </w:r>
      <w:proofErr w:type="gramStart"/>
      <w:r w:rsidR="009C0D60" w:rsidRPr="00B17ECB">
        <w:rPr>
          <w:kern w:val="22"/>
          <w:sz w:val="22"/>
          <w:szCs w:val="22"/>
        </w:rPr>
        <w:t>BCH</w:t>
      </w:r>
      <w:proofErr w:type="gramEnd"/>
      <w:r w:rsidRPr="00B17ECB">
        <w:rPr>
          <w:kern w:val="22"/>
          <w:sz w:val="22"/>
          <w:szCs w:val="22"/>
        </w:rPr>
        <w:t xml:space="preserve"> and it request</w:t>
      </w:r>
      <w:r w:rsidR="00414329" w:rsidRPr="00B17ECB">
        <w:rPr>
          <w:kern w:val="22"/>
          <w:sz w:val="22"/>
          <w:szCs w:val="22"/>
        </w:rPr>
        <w:t>ed</w:t>
      </w:r>
      <w:r w:rsidRPr="00B17ECB">
        <w:rPr>
          <w:kern w:val="22"/>
          <w:sz w:val="22"/>
          <w:szCs w:val="22"/>
        </w:rPr>
        <w:t xml:space="preserve"> the Secretariat to continue following up with Eritrea in th</w:t>
      </w:r>
      <w:r w:rsidR="009C0D60" w:rsidRPr="00B17ECB">
        <w:rPr>
          <w:kern w:val="22"/>
          <w:sz w:val="22"/>
          <w:szCs w:val="22"/>
        </w:rPr>
        <w:t>at</w:t>
      </w:r>
      <w:r w:rsidRPr="00B17ECB">
        <w:rPr>
          <w:kern w:val="22"/>
          <w:sz w:val="22"/>
          <w:szCs w:val="22"/>
        </w:rPr>
        <w:t xml:space="preserve"> regard.</w:t>
      </w:r>
    </w:p>
    <w:p w14:paraId="25C1F549" w14:textId="4AAFB36E" w:rsidR="00B35568" w:rsidRPr="00B17ECB" w:rsidRDefault="007F7E52" w:rsidP="00077A0C">
      <w:pPr>
        <w:pStyle w:val="Para1"/>
        <w:numPr>
          <w:ilvl w:val="0"/>
          <w:numId w:val="6"/>
        </w:numPr>
        <w:suppressLineNumbers/>
        <w:tabs>
          <w:tab w:val="left" w:pos="1134"/>
        </w:tabs>
        <w:suppressAutoHyphens/>
        <w:spacing w:line="238" w:lineRule="auto"/>
        <w:ind w:left="567"/>
        <w:jc w:val="both"/>
        <w:rPr>
          <w:kern w:val="22"/>
          <w:sz w:val="22"/>
          <w:szCs w:val="22"/>
        </w:rPr>
      </w:pPr>
      <w:r w:rsidRPr="00B17ECB">
        <w:rPr>
          <w:kern w:val="22"/>
          <w:sz w:val="22"/>
          <w:szCs w:val="22"/>
        </w:rPr>
        <w:t xml:space="preserve">Since the </w:t>
      </w:r>
      <w:r w:rsidR="009C0D60" w:rsidRPr="00B17ECB">
        <w:rPr>
          <w:kern w:val="22"/>
          <w:sz w:val="22"/>
          <w:szCs w:val="22"/>
        </w:rPr>
        <w:t xml:space="preserve">seventeenth meeting of the </w:t>
      </w:r>
      <w:r w:rsidRPr="00B17ECB">
        <w:rPr>
          <w:kern w:val="22"/>
          <w:sz w:val="22"/>
          <w:szCs w:val="22"/>
        </w:rPr>
        <w:t xml:space="preserve">Committee, Eritrea submitted its fourth national report </w:t>
      </w:r>
      <w:r w:rsidR="00B41CD0" w:rsidRPr="00B17ECB">
        <w:rPr>
          <w:kern w:val="22"/>
          <w:sz w:val="22"/>
          <w:szCs w:val="22"/>
        </w:rPr>
        <w:t>indicating</w:t>
      </w:r>
      <w:r w:rsidRPr="00B17ECB">
        <w:rPr>
          <w:kern w:val="22"/>
          <w:sz w:val="22"/>
          <w:szCs w:val="22"/>
        </w:rPr>
        <w:t xml:space="preserve"> that the necessary measures for the implementation of the Protocol </w:t>
      </w:r>
      <w:r w:rsidR="00715142" w:rsidRPr="00B17ECB">
        <w:rPr>
          <w:kern w:val="22"/>
          <w:sz w:val="22"/>
          <w:szCs w:val="22"/>
        </w:rPr>
        <w:t xml:space="preserve">were </w:t>
      </w:r>
      <w:r w:rsidRPr="00B17ECB">
        <w:rPr>
          <w:kern w:val="22"/>
          <w:sz w:val="22"/>
          <w:szCs w:val="22"/>
        </w:rPr>
        <w:t xml:space="preserve">partially in place. </w:t>
      </w:r>
      <w:r w:rsidR="007A0ECB" w:rsidRPr="00B17ECB">
        <w:rPr>
          <w:kern w:val="22"/>
          <w:sz w:val="22"/>
          <w:szCs w:val="22"/>
        </w:rPr>
        <w:t xml:space="preserve">In free text information provided in the report, Eritrea referred to </w:t>
      </w:r>
      <w:proofErr w:type="gramStart"/>
      <w:r w:rsidR="007A0ECB" w:rsidRPr="00B17ECB">
        <w:rPr>
          <w:kern w:val="22"/>
          <w:sz w:val="22"/>
          <w:szCs w:val="22"/>
        </w:rPr>
        <w:t>a number of</w:t>
      </w:r>
      <w:proofErr w:type="gramEnd"/>
      <w:r w:rsidR="007A0ECB" w:rsidRPr="00B17ECB">
        <w:rPr>
          <w:kern w:val="22"/>
          <w:sz w:val="22"/>
          <w:szCs w:val="22"/>
        </w:rPr>
        <w:t xml:space="preserve"> different documents the country ha</w:t>
      </w:r>
      <w:r w:rsidR="00715142" w:rsidRPr="00B17ECB">
        <w:rPr>
          <w:kern w:val="22"/>
          <w:sz w:val="22"/>
          <w:szCs w:val="22"/>
        </w:rPr>
        <w:t>d</w:t>
      </w:r>
      <w:r w:rsidR="007A0ECB" w:rsidRPr="00B17ECB">
        <w:rPr>
          <w:kern w:val="22"/>
          <w:sz w:val="22"/>
          <w:szCs w:val="22"/>
        </w:rPr>
        <w:t xml:space="preserve"> developed on biosafety, including the 2017 Proclamation.</w:t>
      </w:r>
      <w:r w:rsidRPr="00B17ECB">
        <w:rPr>
          <w:kern w:val="22"/>
          <w:sz w:val="22"/>
          <w:szCs w:val="22"/>
          <w:lang w:val="en-GB"/>
        </w:rPr>
        <w:t xml:space="preserve"> </w:t>
      </w:r>
      <w:r w:rsidR="00442ACD" w:rsidRPr="00B17ECB">
        <w:rPr>
          <w:kern w:val="22"/>
          <w:sz w:val="22"/>
          <w:szCs w:val="22"/>
          <w:lang w:val="en-GB"/>
        </w:rPr>
        <w:t>The</w:t>
      </w:r>
      <w:r w:rsidR="0077194B" w:rsidRPr="00B17ECB">
        <w:rPr>
          <w:kern w:val="22"/>
          <w:sz w:val="22"/>
          <w:szCs w:val="22"/>
          <w:lang w:val="en-GB"/>
        </w:rPr>
        <w:t xml:space="preserve"> Secretariat has followed up with the </w:t>
      </w:r>
      <w:r w:rsidR="0077194B" w:rsidRPr="00B17ECB">
        <w:rPr>
          <w:kern w:val="22"/>
          <w:sz w:val="22"/>
          <w:szCs w:val="22"/>
        </w:rPr>
        <w:t>national focal point</w:t>
      </w:r>
      <w:r w:rsidR="00852498" w:rsidRPr="00B17ECB">
        <w:rPr>
          <w:kern w:val="22"/>
          <w:sz w:val="22"/>
          <w:szCs w:val="22"/>
        </w:rPr>
        <w:t xml:space="preserve"> of Eritrea</w:t>
      </w:r>
      <w:r w:rsidR="00E93D0F" w:rsidRPr="00B17ECB">
        <w:rPr>
          <w:kern w:val="22"/>
          <w:sz w:val="22"/>
          <w:szCs w:val="22"/>
        </w:rPr>
        <w:t xml:space="preserve"> to </w:t>
      </w:r>
      <w:r w:rsidR="00A17016" w:rsidRPr="00B17ECB">
        <w:rPr>
          <w:kern w:val="22"/>
          <w:sz w:val="22"/>
          <w:szCs w:val="22"/>
        </w:rPr>
        <w:t>request that</w:t>
      </w:r>
      <w:r w:rsidR="00F74AA3" w:rsidRPr="00B17ECB">
        <w:rPr>
          <w:kern w:val="22"/>
          <w:sz w:val="22"/>
          <w:szCs w:val="22"/>
        </w:rPr>
        <w:t xml:space="preserve"> </w:t>
      </w:r>
      <w:r w:rsidR="0077194B" w:rsidRPr="00B17ECB">
        <w:rPr>
          <w:kern w:val="22"/>
          <w:sz w:val="22"/>
          <w:szCs w:val="22"/>
        </w:rPr>
        <w:t xml:space="preserve">the </w:t>
      </w:r>
      <w:r w:rsidR="000634F6" w:rsidRPr="00B17ECB">
        <w:rPr>
          <w:kern w:val="22"/>
          <w:sz w:val="22"/>
          <w:szCs w:val="22"/>
        </w:rPr>
        <w:t>P</w:t>
      </w:r>
      <w:r w:rsidR="0077194B" w:rsidRPr="00B17ECB">
        <w:rPr>
          <w:kern w:val="22"/>
          <w:sz w:val="22"/>
          <w:szCs w:val="22"/>
        </w:rPr>
        <w:t>roclamation document</w:t>
      </w:r>
      <w:r w:rsidR="00F74AA3" w:rsidRPr="00B17ECB">
        <w:rPr>
          <w:kern w:val="22"/>
          <w:sz w:val="22"/>
          <w:szCs w:val="22"/>
        </w:rPr>
        <w:t xml:space="preserve"> be uploaded</w:t>
      </w:r>
      <w:r w:rsidR="0077194B" w:rsidRPr="00B17ECB">
        <w:rPr>
          <w:kern w:val="22"/>
          <w:sz w:val="22"/>
          <w:szCs w:val="22"/>
        </w:rPr>
        <w:t xml:space="preserve"> on the BCH, </w:t>
      </w:r>
      <w:r w:rsidR="00852498" w:rsidRPr="00B17ECB">
        <w:rPr>
          <w:kern w:val="22"/>
          <w:sz w:val="22"/>
          <w:szCs w:val="22"/>
        </w:rPr>
        <w:t xml:space="preserve">if </w:t>
      </w:r>
      <w:proofErr w:type="gramStart"/>
      <w:r w:rsidR="00852498" w:rsidRPr="00B17ECB">
        <w:rPr>
          <w:kern w:val="22"/>
          <w:sz w:val="22"/>
          <w:szCs w:val="22"/>
        </w:rPr>
        <w:t>possible</w:t>
      </w:r>
      <w:proofErr w:type="gramEnd"/>
      <w:r w:rsidR="00852498" w:rsidRPr="00B17ECB">
        <w:rPr>
          <w:kern w:val="22"/>
          <w:sz w:val="22"/>
          <w:szCs w:val="22"/>
        </w:rPr>
        <w:t xml:space="preserve"> </w:t>
      </w:r>
      <w:r w:rsidR="00F74AA3" w:rsidRPr="00B17ECB">
        <w:rPr>
          <w:kern w:val="22"/>
          <w:sz w:val="22"/>
          <w:szCs w:val="22"/>
        </w:rPr>
        <w:t>accompanied by</w:t>
      </w:r>
      <w:r w:rsidR="0077194B" w:rsidRPr="00B17ECB">
        <w:rPr>
          <w:kern w:val="22"/>
          <w:sz w:val="22"/>
          <w:szCs w:val="22"/>
        </w:rPr>
        <w:t xml:space="preserve"> an English translation or summary. </w:t>
      </w:r>
      <w:r w:rsidRPr="00B17ECB">
        <w:rPr>
          <w:kern w:val="22"/>
          <w:sz w:val="22"/>
          <w:szCs w:val="22"/>
          <w:lang w:val="en-GB"/>
        </w:rPr>
        <w:t>To date, Eritrea has not published the actual Proclamation in the BCH.</w:t>
      </w:r>
    </w:p>
    <w:p w14:paraId="14220C9B" w14:textId="4D9935E1" w:rsidR="007F7E52" w:rsidRPr="00B17ECB" w:rsidRDefault="00B35568" w:rsidP="00355FA4">
      <w:pPr>
        <w:pStyle w:val="Para1"/>
        <w:numPr>
          <w:ilvl w:val="0"/>
          <w:numId w:val="0"/>
        </w:numPr>
        <w:suppressLineNumbers/>
        <w:suppressAutoHyphens/>
        <w:spacing w:line="238" w:lineRule="auto"/>
        <w:ind w:left="567"/>
        <w:jc w:val="both"/>
        <w:rPr>
          <w:kern w:val="22"/>
          <w:sz w:val="22"/>
          <w:szCs w:val="22"/>
        </w:rPr>
      </w:pPr>
      <w:r w:rsidRPr="00B17ECB">
        <w:rPr>
          <w:i/>
          <w:iCs/>
          <w:kern w:val="22"/>
          <w:sz w:val="22"/>
          <w:szCs w:val="22"/>
          <w:lang w:val="en-GB"/>
        </w:rPr>
        <w:t>Mauritania</w:t>
      </w:r>
      <w:r w:rsidR="00C35F2A" w:rsidRPr="00B17ECB">
        <w:rPr>
          <w:kern w:val="22"/>
          <w:sz w:val="22"/>
          <w:szCs w:val="22"/>
          <w:lang w:val="en-GB"/>
        </w:rPr>
        <w:t xml:space="preserve"> </w:t>
      </w:r>
    </w:p>
    <w:p w14:paraId="4EAF3910" w14:textId="5183626B" w:rsidR="007B2E26" w:rsidRPr="00B17ECB" w:rsidRDefault="007B2E26" w:rsidP="00077A0C">
      <w:pPr>
        <w:pStyle w:val="Para1"/>
        <w:numPr>
          <w:ilvl w:val="0"/>
          <w:numId w:val="6"/>
        </w:numPr>
        <w:suppressLineNumbers/>
        <w:tabs>
          <w:tab w:val="left" w:pos="1134"/>
        </w:tabs>
        <w:suppressAutoHyphens/>
        <w:spacing w:line="238" w:lineRule="auto"/>
        <w:ind w:left="567"/>
        <w:jc w:val="both"/>
        <w:rPr>
          <w:kern w:val="22"/>
          <w:sz w:val="22"/>
          <w:szCs w:val="22"/>
        </w:rPr>
      </w:pPr>
      <w:r w:rsidRPr="00B17ECB">
        <w:rPr>
          <w:kern w:val="22"/>
          <w:sz w:val="22"/>
          <w:szCs w:val="22"/>
        </w:rPr>
        <w:t xml:space="preserve">Following the </w:t>
      </w:r>
      <w:r w:rsidR="001E6166" w:rsidRPr="00B17ECB">
        <w:rPr>
          <w:kern w:val="22"/>
          <w:sz w:val="22"/>
          <w:szCs w:val="22"/>
        </w:rPr>
        <w:t xml:space="preserve">fifteenth meeting of the </w:t>
      </w:r>
      <w:r w:rsidRPr="00B17ECB">
        <w:rPr>
          <w:kern w:val="22"/>
          <w:sz w:val="22"/>
          <w:szCs w:val="22"/>
        </w:rPr>
        <w:t xml:space="preserve">Committee, Mauritania responded to the initial request to prepare a compliance action plan, informing the Chair of the Committee of the difficulties it was facing to take the necessary measures to implement the Protocol. It also explained that the preparation of the compliance action plan would require </w:t>
      </w:r>
      <w:proofErr w:type="gramStart"/>
      <w:r w:rsidRPr="00B17ECB">
        <w:rPr>
          <w:kern w:val="22"/>
          <w:sz w:val="22"/>
          <w:szCs w:val="22"/>
        </w:rPr>
        <w:t>conduct</w:t>
      </w:r>
      <w:r w:rsidR="009734E1" w:rsidRPr="00B17ECB">
        <w:rPr>
          <w:kern w:val="22"/>
          <w:sz w:val="22"/>
          <w:szCs w:val="22"/>
        </w:rPr>
        <w:t>ing</w:t>
      </w:r>
      <w:r w:rsidRPr="00B17ECB">
        <w:rPr>
          <w:kern w:val="22"/>
          <w:sz w:val="22"/>
          <w:szCs w:val="22"/>
        </w:rPr>
        <w:t xml:space="preserve"> an assessment of</w:t>
      </w:r>
      <w:proofErr w:type="gramEnd"/>
      <w:r w:rsidRPr="00B17ECB">
        <w:rPr>
          <w:kern w:val="22"/>
          <w:sz w:val="22"/>
          <w:szCs w:val="22"/>
        </w:rPr>
        <w:t xml:space="preserve"> the status of domestic biosafety measures and </w:t>
      </w:r>
      <w:r w:rsidR="00705756" w:rsidRPr="00B17ECB">
        <w:rPr>
          <w:kern w:val="22"/>
          <w:sz w:val="22"/>
          <w:szCs w:val="22"/>
        </w:rPr>
        <w:t xml:space="preserve">it </w:t>
      </w:r>
      <w:r w:rsidRPr="00B17ECB">
        <w:rPr>
          <w:kern w:val="22"/>
          <w:sz w:val="22"/>
          <w:szCs w:val="22"/>
        </w:rPr>
        <w:t xml:space="preserve">enquired about the availability of funding in this regard. </w:t>
      </w:r>
    </w:p>
    <w:p w14:paraId="5943DFF9" w14:textId="38638C72" w:rsidR="00041EE9" w:rsidRPr="00B17ECB" w:rsidRDefault="007B2E26" w:rsidP="00077A0C">
      <w:pPr>
        <w:pStyle w:val="Para1"/>
        <w:numPr>
          <w:ilvl w:val="0"/>
          <w:numId w:val="6"/>
        </w:numPr>
        <w:suppressLineNumbers/>
        <w:tabs>
          <w:tab w:val="left" w:pos="1134"/>
        </w:tabs>
        <w:suppressAutoHyphens/>
        <w:spacing w:line="238" w:lineRule="auto"/>
        <w:ind w:left="567"/>
        <w:jc w:val="both"/>
        <w:rPr>
          <w:b/>
          <w:bCs/>
          <w:kern w:val="22"/>
          <w:sz w:val="22"/>
          <w:szCs w:val="22"/>
        </w:rPr>
      </w:pPr>
      <w:r w:rsidRPr="00B17ECB">
        <w:rPr>
          <w:kern w:val="22"/>
          <w:sz w:val="22"/>
          <w:szCs w:val="22"/>
        </w:rPr>
        <w:t xml:space="preserve">Following the </w:t>
      </w:r>
      <w:r w:rsidR="001E6166" w:rsidRPr="00B17ECB">
        <w:rPr>
          <w:kern w:val="22"/>
          <w:sz w:val="22"/>
          <w:szCs w:val="22"/>
        </w:rPr>
        <w:t xml:space="preserve">sixteenth meeting of the </w:t>
      </w:r>
      <w:r w:rsidRPr="00B17ECB">
        <w:rPr>
          <w:kern w:val="22"/>
          <w:sz w:val="22"/>
          <w:szCs w:val="22"/>
        </w:rPr>
        <w:t xml:space="preserve">Committee, Mauritania responded to a communication from the Chair of the Committee, informing the Chair of the progress in the development of a draft law on biosafety and a manual and guide on decision-making procedures regarding </w:t>
      </w:r>
      <w:r w:rsidR="00CE0710" w:rsidRPr="00B17ECB">
        <w:rPr>
          <w:kern w:val="22"/>
          <w:sz w:val="22"/>
          <w:szCs w:val="22"/>
        </w:rPr>
        <w:t>living modified organisms</w:t>
      </w:r>
      <w:r w:rsidRPr="00B17ECB">
        <w:rPr>
          <w:kern w:val="22"/>
          <w:sz w:val="22"/>
          <w:szCs w:val="22"/>
        </w:rPr>
        <w:t xml:space="preserve">. Mauritania also indicated that the instruments would be published on the BCH. At its seventeenth meeting, the Committee noted the information provided by Mauritania. The Committee decided that its Chair would send a letter </w:t>
      </w:r>
      <w:r w:rsidR="00A81584" w:rsidRPr="00B17ECB">
        <w:rPr>
          <w:kern w:val="22"/>
          <w:sz w:val="22"/>
          <w:szCs w:val="22"/>
        </w:rPr>
        <w:t xml:space="preserve">to Mauritania </w:t>
      </w:r>
      <w:r w:rsidRPr="00B17ECB">
        <w:rPr>
          <w:kern w:val="22"/>
          <w:sz w:val="22"/>
          <w:szCs w:val="22"/>
        </w:rPr>
        <w:t xml:space="preserve">expressing thanks for having </w:t>
      </w:r>
      <w:r w:rsidRPr="00B17ECB">
        <w:rPr>
          <w:kern w:val="22"/>
          <w:sz w:val="22"/>
          <w:szCs w:val="22"/>
          <w:lang w:val="en-GB"/>
        </w:rPr>
        <w:t>provided information on the expected adoption of measures to implement the Protocol, urging Mauritania to publish the relevant measures in the BCH and report on the progress made in its fourth national report</w:t>
      </w:r>
      <w:r w:rsidR="00BD75D9" w:rsidRPr="00B17ECB">
        <w:rPr>
          <w:kern w:val="22"/>
          <w:sz w:val="22"/>
          <w:szCs w:val="22"/>
          <w:lang w:val="en-GB"/>
        </w:rPr>
        <w:t>.</w:t>
      </w:r>
      <w:r w:rsidRPr="00B17ECB">
        <w:rPr>
          <w:kern w:val="22"/>
          <w:sz w:val="22"/>
          <w:szCs w:val="22"/>
          <w:lang w:val="en-GB"/>
        </w:rPr>
        <w:t xml:space="preserve"> </w:t>
      </w:r>
    </w:p>
    <w:p w14:paraId="32EA875E" w14:textId="7EA2F3D9" w:rsidR="007F7E52" w:rsidRPr="00B17ECB" w:rsidRDefault="00A100D1" w:rsidP="00077A0C">
      <w:pPr>
        <w:pStyle w:val="Para1"/>
        <w:numPr>
          <w:ilvl w:val="0"/>
          <w:numId w:val="6"/>
        </w:numPr>
        <w:suppressLineNumbers/>
        <w:tabs>
          <w:tab w:val="left" w:pos="1134"/>
        </w:tabs>
        <w:suppressAutoHyphens/>
        <w:spacing w:line="238" w:lineRule="auto"/>
        <w:ind w:left="567"/>
        <w:jc w:val="both"/>
        <w:rPr>
          <w:b/>
          <w:kern w:val="22"/>
          <w:sz w:val="22"/>
          <w:szCs w:val="22"/>
        </w:rPr>
      </w:pPr>
      <w:r w:rsidRPr="00B17ECB">
        <w:rPr>
          <w:kern w:val="22"/>
          <w:sz w:val="22"/>
          <w:szCs w:val="22"/>
          <w:lang w:val="en-GB"/>
        </w:rPr>
        <w:t xml:space="preserve">As a result </w:t>
      </w:r>
      <w:r w:rsidRPr="00077A0C">
        <w:rPr>
          <w:kern w:val="22"/>
          <w:sz w:val="22"/>
          <w:szCs w:val="22"/>
        </w:rPr>
        <w:t>of</w:t>
      </w:r>
      <w:r w:rsidRPr="00B17ECB">
        <w:rPr>
          <w:kern w:val="22"/>
          <w:sz w:val="22"/>
          <w:szCs w:val="22"/>
          <w:lang w:val="en-GB"/>
        </w:rPr>
        <w:t xml:space="preserve"> the letter sent by the Chair and several follow-up communications by the Secretariat, </w:t>
      </w:r>
      <w:r w:rsidR="007F7E52" w:rsidRPr="00B17ECB">
        <w:rPr>
          <w:kern w:val="22"/>
          <w:sz w:val="22"/>
          <w:szCs w:val="22"/>
          <w:lang w:val="en-GB"/>
        </w:rPr>
        <w:t>Mauritania submitted its fourth national report</w:t>
      </w:r>
      <w:r w:rsidRPr="00B17ECB">
        <w:rPr>
          <w:kern w:val="22"/>
          <w:sz w:val="22"/>
          <w:szCs w:val="22"/>
          <w:lang w:val="en-GB"/>
        </w:rPr>
        <w:t xml:space="preserve"> </w:t>
      </w:r>
      <w:r w:rsidR="00A474D7" w:rsidRPr="00B17ECB">
        <w:rPr>
          <w:kern w:val="22"/>
          <w:sz w:val="22"/>
          <w:szCs w:val="22"/>
          <w:lang w:val="en-GB"/>
        </w:rPr>
        <w:t>in January 2022</w:t>
      </w:r>
      <w:r w:rsidR="007F7E52" w:rsidRPr="00B17ECB">
        <w:rPr>
          <w:kern w:val="22"/>
          <w:sz w:val="22"/>
          <w:szCs w:val="22"/>
          <w:lang w:val="en-GB"/>
        </w:rPr>
        <w:t xml:space="preserve">, indicating that measures to implement the Protocol </w:t>
      </w:r>
      <w:r w:rsidR="00A9535D" w:rsidRPr="00B17ECB">
        <w:rPr>
          <w:kern w:val="22"/>
          <w:sz w:val="22"/>
          <w:szCs w:val="22"/>
          <w:lang w:val="en-GB"/>
        </w:rPr>
        <w:t xml:space="preserve">were </w:t>
      </w:r>
      <w:r w:rsidR="007F7E52" w:rsidRPr="00B17ECB">
        <w:rPr>
          <w:kern w:val="22"/>
          <w:sz w:val="22"/>
          <w:szCs w:val="22"/>
          <w:lang w:val="en-GB"/>
        </w:rPr>
        <w:t>partially in place. Mauritania specified in its fourth national report that one or more biosafety regulations</w:t>
      </w:r>
      <w:r w:rsidR="006A311B" w:rsidRPr="00B17ECB">
        <w:rPr>
          <w:kern w:val="22"/>
          <w:sz w:val="22"/>
          <w:szCs w:val="22"/>
          <w:lang w:val="en-GB"/>
        </w:rPr>
        <w:t xml:space="preserve"> and</w:t>
      </w:r>
      <w:r w:rsidR="007F7E52" w:rsidRPr="00B17ECB">
        <w:rPr>
          <w:kern w:val="22"/>
          <w:sz w:val="22"/>
          <w:szCs w:val="22"/>
          <w:lang w:val="en-GB"/>
        </w:rPr>
        <w:t xml:space="preserve"> guidelines</w:t>
      </w:r>
      <w:r w:rsidR="006A311B" w:rsidRPr="00B17ECB">
        <w:rPr>
          <w:kern w:val="22"/>
          <w:sz w:val="22"/>
          <w:szCs w:val="22"/>
          <w:lang w:val="en-GB"/>
        </w:rPr>
        <w:t>,</w:t>
      </w:r>
      <w:r w:rsidR="007F7E52" w:rsidRPr="00B17ECB">
        <w:rPr>
          <w:kern w:val="22"/>
          <w:sz w:val="22"/>
          <w:szCs w:val="22"/>
          <w:lang w:val="en-GB"/>
        </w:rPr>
        <w:t xml:space="preserve"> as well as other laws, regulations or guidelines that indirectly apply to biosafety </w:t>
      </w:r>
      <w:r w:rsidR="006A311B" w:rsidRPr="00B17ECB">
        <w:rPr>
          <w:kern w:val="22"/>
          <w:sz w:val="22"/>
          <w:szCs w:val="22"/>
          <w:lang w:val="en-GB"/>
        </w:rPr>
        <w:t xml:space="preserve">were </w:t>
      </w:r>
      <w:r w:rsidR="007F7E52" w:rsidRPr="00B17ECB">
        <w:rPr>
          <w:kern w:val="22"/>
          <w:sz w:val="22"/>
          <w:szCs w:val="22"/>
          <w:lang w:val="en-GB"/>
        </w:rPr>
        <w:t>in place. At the time of preparation of th</w:t>
      </w:r>
      <w:r w:rsidR="006A311B" w:rsidRPr="00B17ECB">
        <w:rPr>
          <w:kern w:val="22"/>
          <w:sz w:val="22"/>
          <w:szCs w:val="22"/>
          <w:lang w:val="en-GB"/>
        </w:rPr>
        <w:t>e present</w:t>
      </w:r>
      <w:r w:rsidR="007F7E52" w:rsidRPr="00B17ECB">
        <w:rPr>
          <w:kern w:val="22"/>
          <w:sz w:val="22"/>
          <w:szCs w:val="22"/>
          <w:lang w:val="en-GB"/>
        </w:rPr>
        <w:t xml:space="preserve"> note, </w:t>
      </w:r>
      <w:r w:rsidR="007F7E52" w:rsidRPr="00B17ECB">
        <w:rPr>
          <w:kern w:val="22"/>
          <w:sz w:val="22"/>
          <w:szCs w:val="22"/>
        </w:rPr>
        <w:t xml:space="preserve">only </w:t>
      </w:r>
      <w:r w:rsidR="00CD3FF8" w:rsidRPr="00B17ECB">
        <w:rPr>
          <w:kern w:val="22"/>
          <w:sz w:val="22"/>
          <w:szCs w:val="22"/>
        </w:rPr>
        <w:t xml:space="preserve">two </w:t>
      </w:r>
      <w:r w:rsidR="007F7E52" w:rsidRPr="00B17ECB">
        <w:rPr>
          <w:kern w:val="22"/>
          <w:sz w:val="22"/>
          <w:szCs w:val="22"/>
        </w:rPr>
        <w:t xml:space="preserve">records </w:t>
      </w:r>
      <w:r w:rsidR="00CD3FF8" w:rsidRPr="00B17ECB">
        <w:rPr>
          <w:kern w:val="22"/>
          <w:sz w:val="22"/>
          <w:szCs w:val="22"/>
        </w:rPr>
        <w:t>on</w:t>
      </w:r>
      <w:r w:rsidR="007F7E52" w:rsidRPr="00B17ECB">
        <w:rPr>
          <w:kern w:val="22"/>
          <w:sz w:val="22"/>
          <w:szCs w:val="22"/>
        </w:rPr>
        <w:t xml:space="preserve"> “Biosafety laws, regulations, guidelines and agreements” </w:t>
      </w:r>
      <w:r w:rsidR="00CD3FF8" w:rsidRPr="00B17ECB">
        <w:rPr>
          <w:kern w:val="22"/>
          <w:sz w:val="22"/>
          <w:szCs w:val="22"/>
        </w:rPr>
        <w:t>ha</w:t>
      </w:r>
      <w:r w:rsidR="006A311B" w:rsidRPr="00B17ECB">
        <w:rPr>
          <w:kern w:val="22"/>
          <w:sz w:val="22"/>
          <w:szCs w:val="22"/>
        </w:rPr>
        <w:t>d</w:t>
      </w:r>
      <w:r w:rsidR="00CD3FF8" w:rsidRPr="00B17ECB">
        <w:rPr>
          <w:kern w:val="22"/>
          <w:sz w:val="22"/>
          <w:szCs w:val="22"/>
        </w:rPr>
        <w:t xml:space="preserve"> been published by Mauritania in the BCH</w:t>
      </w:r>
      <w:r w:rsidR="003048AB" w:rsidRPr="00B17ECB">
        <w:rPr>
          <w:kern w:val="22"/>
          <w:sz w:val="22"/>
          <w:szCs w:val="22"/>
        </w:rPr>
        <w:t>. Both records were</w:t>
      </w:r>
      <w:r w:rsidR="007F7E52" w:rsidRPr="00B17ECB">
        <w:rPr>
          <w:kern w:val="22"/>
          <w:sz w:val="22"/>
          <w:szCs w:val="22"/>
        </w:rPr>
        <w:t xml:space="preserve"> last updated in 2015</w:t>
      </w:r>
      <w:r w:rsidR="00C86EAD" w:rsidRPr="00B17ECB">
        <w:rPr>
          <w:kern w:val="22"/>
          <w:sz w:val="22"/>
          <w:szCs w:val="22"/>
        </w:rPr>
        <w:t>.</w:t>
      </w:r>
    </w:p>
    <w:p w14:paraId="26A005E9" w14:textId="57BD94EC" w:rsidR="00B35568" w:rsidRPr="00B17ECB" w:rsidRDefault="00B35568" w:rsidP="00CE2B9F">
      <w:pPr>
        <w:pStyle w:val="Para1"/>
        <w:keepNext/>
        <w:keepLines/>
        <w:numPr>
          <w:ilvl w:val="0"/>
          <w:numId w:val="0"/>
        </w:numPr>
        <w:suppressLineNumbers/>
        <w:suppressAutoHyphens/>
        <w:spacing w:line="238" w:lineRule="auto"/>
        <w:ind w:left="562"/>
        <w:jc w:val="both"/>
        <w:rPr>
          <w:b/>
          <w:i/>
          <w:kern w:val="22"/>
          <w:sz w:val="22"/>
          <w:szCs w:val="22"/>
        </w:rPr>
      </w:pPr>
      <w:r w:rsidRPr="00B17ECB">
        <w:rPr>
          <w:i/>
          <w:iCs/>
          <w:kern w:val="22"/>
          <w:sz w:val="22"/>
          <w:szCs w:val="22"/>
        </w:rPr>
        <w:t>Saint Lucia</w:t>
      </w:r>
    </w:p>
    <w:p w14:paraId="0824CE95" w14:textId="4C71B674" w:rsidR="00B849FD" w:rsidRPr="00B17ECB" w:rsidRDefault="00B849FD" w:rsidP="00077A0C">
      <w:pPr>
        <w:pStyle w:val="Para1"/>
        <w:numPr>
          <w:ilvl w:val="0"/>
          <w:numId w:val="6"/>
        </w:numPr>
        <w:suppressLineNumbers/>
        <w:tabs>
          <w:tab w:val="left" w:pos="1134"/>
        </w:tabs>
        <w:suppressAutoHyphens/>
        <w:spacing w:line="238" w:lineRule="auto"/>
        <w:ind w:left="567"/>
        <w:jc w:val="both"/>
        <w:rPr>
          <w:b/>
          <w:bCs/>
          <w:kern w:val="22"/>
          <w:sz w:val="22"/>
          <w:szCs w:val="22"/>
        </w:rPr>
      </w:pPr>
      <w:r w:rsidRPr="00B17ECB">
        <w:rPr>
          <w:kern w:val="22"/>
          <w:sz w:val="22"/>
          <w:szCs w:val="22"/>
          <w:lang w:val="en-GB"/>
        </w:rPr>
        <w:t xml:space="preserve">Following </w:t>
      </w:r>
      <w:r w:rsidR="00E84335" w:rsidRPr="00B17ECB">
        <w:rPr>
          <w:kern w:val="22"/>
          <w:sz w:val="22"/>
          <w:szCs w:val="22"/>
          <w:lang w:val="en-GB"/>
        </w:rPr>
        <w:t xml:space="preserve">the </w:t>
      </w:r>
      <w:r w:rsidR="005D20D4" w:rsidRPr="00077A0C">
        <w:rPr>
          <w:kern w:val="22"/>
          <w:sz w:val="22"/>
          <w:szCs w:val="22"/>
        </w:rPr>
        <w:t>seventeenth</w:t>
      </w:r>
      <w:r w:rsidR="005D20D4" w:rsidRPr="00B17ECB">
        <w:rPr>
          <w:kern w:val="22"/>
          <w:sz w:val="22"/>
          <w:szCs w:val="22"/>
          <w:lang w:val="en-GB"/>
        </w:rPr>
        <w:t xml:space="preserve"> meeting of the </w:t>
      </w:r>
      <w:r w:rsidR="00E84335" w:rsidRPr="00B17ECB">
        <w:rPr>
          <w:kern w:val="22"/>
          <w:sz w:val="22"/>
          <w:szCs w:val="22"/>
          <w:lang w:val="en-GB"/>
        </w:rPr>
        <w:t>Committee</w:t>
      </w:r>
      <w:r w:rsidR="008C0839" w:rsidRPr="00B17ECB">
        <w:rPr>
          <w:kern w:val="22"/>
          <w:sz w:val="22"/>
          <w:szCs w:val="22"/>
          <w:lang w:val="en-GB"/>
        </w:rPr>
        <w:t>, Saint Lucia informed the Secretariat</w:t>
      </w:r>
      <w:r w:rsidR="004176D7" w:rsidRPr="00B17ECB">
        <w:rPr>
          <w:kern w:val="22"/>
          <w:sz w:val="22"/>
          <w:szCs w:val="22"/>
          <w:lang w:val="en-GB"/>
        </w:rPr>
        <w:t>,</w:t>
      </w:r>
      <w:r w:rsidR="008C0839" w:rsidRPr="00B17ECB">
        <w:rPr>
          <w:kern w:val="22"/>
          <w:sz w:val="22"/>
          <w:szCs w:val="22"/>
          <w:lang w:val="en-GB"/>
        </w:rPr>
        <w:t xml:space="preserve"> in January 2021</w:t>
      </w:r>
      <w:r w:rsidR="004176D7" w:rsidRPr="00B17ECB">
        <w:rPr>
          <w:kern w:val="22"/>
          <w:sz w:val="22"/>
          <w:szCs w:val="22"/>
          <w:lang w:val="en-GB"/>
        </w:rPr>
        <w:t>,</w:t>
      </w:r>
      <w:r w:rsidR="008C0839" w:rsidRPr="00B17ECB">
        <w:rPr>
          <w:kern w:val="22"/>
          <w:sz w:val="22"/>
          <w:szCs w:val="22"/>
          <w:lang w:val="en-GB"/>
        </w:rPr>
        <w:t xml:space="preserve"> </w:t>
      </w:r>
      <w:r w:rsidR="004176D7" w:rsidRPr="00B17ECB">
        <w:rPr>
          <w:kern w:val="22"/>
          <w:sz w:val="22"/>
          <w:szCs w:val="22"/>
          <w:lang w:val="en-GB"/>
        </w:rPr>
        <w:t xml:space="preserve">that </w:t>
      </w:r>
      <w:r w:rsidR="008C0839" w:rsidRPr="00B17ECB">
        <w:rPr>
          <w:kern w:val="22"/>
          <w:sz w:val="22"/>
          <w:szCs w:val="22"/>
          <w:lang w:val="en-GB"/>
        </w:rPr>
        <w:t xml:space="preserve">a </w:t>
      </w:r>
      <w:r w:rsidR="004176D7" w:rsidRPr="00B17ECB">
        <w:rPr>
          <w:kern w:val="22"/>
          <w:sz w:val="22"/>
          <w:szCs w:val="22"/>
          <w:lang w:val="en-GB"/>
        </w:rPr>
        <w:t>biosafety b</w:t>
      </w:r>
      <w:r w:rsidR="008C0839" w:rsidRPr="00B17ECB">
        <w:rPr>
          <w:kern w:val="22"/>
          <w:sz w:val="22"/>
          <w:szCs w:val="22"/>
          <w:lang w:val="en-GB"/>
        </w:rPr>
        <w:t xml:space="preserve">ill and regulations had been approved by Cabinet </w:t>
      </w:r>
      <w:r w:rsidR="004176D7" w:rsidRPr="00B17ECB">
        <w:rPr>
          <w:kern w:val="22"/>
          <w:sz w:val="22"/>
          <w:szCs w:val="22"/>
          <w:lang w:val="en-GB"/>
        </w:rPr>
        <w:t>and provided a copy of the bill for reference purposes</w:t>
      </w:r>
      <w:r w:rsidR="00E521D4" w:rsidRPr="00B17ECB">
        <w:rPr>
          <w:kern w:val="22"/>
          <w:sz w:val="22"/>
          <w:szCs w:val="22"/>
          <w:lang w:val="en-GB"/>
        </w:rPr>
        <w:t>, explaining that</w:t>
      </w:r>
      <w:r w:rsidR="004176D7" w:rsidRPr="00B17ECB">
        <w:rPr>
          <w:kern w:val="22"/>
          <w:sz w:val="22"/>
          <w:szCs w:val="22"/>
          <w:lang w:val="en-GB"/>
        </w:rPr>
        <w:t xml:space="preserve"> it</w:t>
      </w:r>
      <w:r w:rsidR="008C0839" w:rsidRPr="00B17ECB">
        <w:rPr>
          <w:kern w:val="22"/>
          <w:sz w:val="22"/>
          <w:szCs w:val="22"/>
          <w:lang w:val="en-GB"/>
        </w:rPr>
        <w:t xml:space="preserve"> could not be uploaded on the BCH</w:t>
      </w:r>
      <w:r w:rsidR="00E521D4" w:rsidRPr="00B17ECB">
        <w:rPr>
          <w:kern w:val="22"/>
          <w:sz w:val="22"/>
          <w:szCs w:val="22"/>
          <w:lang w:val="en-GB"/>
        </w:rPr>
        <w:t xml:space="preserve"> until its enactment. In its</w:t>
      </w:r>
      <w:r w:rsidR="00E521D4" w:rsidRPr="00B17ECB" w:rsidDel="00704417">
        <w:rPr>
          <w:kern w:val="22"/>
          <w:sz w:val="22"/>
          <w:szCs w:val="22"/>
          <w:lang w:val="en-GB"/>
        </w:rPr>
        <w:t xml:space="preserve"> </w:t>
      </w:r>
      <w:r w:rsidR="00704417" w:rsidRPr="00B17ECB">
        <w:rPr>
          <w:kern w:val="22"/>
          <w:sz w:val="22"/>
          <w:szCs w:val="22"/>
          <w:lang w:val="en-GB"/>
        </w:rPr>
        <w:t xml:space="preserve">fourth </w:t>
      </w:r>
      <w:r w:rsidR="00E521D4" w:rsidRPr="00B17ECB">
        <w:rPr>
          <w:kern w:val="22"/>
          <w:sz w:val="22"/>
          <w:szCs w:val="22"/>
          <w:lang w:val="en-GB"/>
        </w:rPr>
        <w:t xml:space="preserve">national report, submitted in March 2023, Saint Lucia reported that partial measures were now in place, indicating, in its written contributions, that a </w:t>
      </w:r>
      <w:r w:rsidR="00175F62" w:rsidRPr="00B17ECB">
        <w:rPr>
          <w:kern w:val="22"/>
          <w:sz w:val="22"/>
          <w:szCs w:val="22"/>
          <w:lang w:val="en-GB"/>
        </w:rPr>
        <w:t>“B</w:t>
      </w:r>
      <w:r w:rsidR="00E521D4" w:rsidRPr="00B17ECB">
        <w:rPr>
          <w:kern w:val="22"/>
          <w:sz w:val="22"/>
          <w:szCs w:val="22"/>
          <w:lang w:val="en-GB"/>
        </w:rPr>
        <w:t xml:space="preserve">iosafety </w:t>
      </w:r>
      <w:r w:rsidR="00175F62" w:rsidRPr="00B17ECB">
        <w:rPr>
          <w:kern w:val="22"/>
          <w:sz w:val="22"/>
          <w:szCs w:val="22"/>
          <w:lang w:val="en-GB"/>
        </w:rPr>
        <w:t>P</w:t>
      </w:r>
      <w:r w:rsidR="00E521D4" w:rsidRPr="00B17ECB">
        <w:rPr>
          <w:kern w:val="22"/>
          <w:sz w:val="22"/>
          <w:szCs w:val="22"/>
          <w:lang w:val="en-GB"/>
        </w:rPr>
        <w:t>olicy was adopted by the Cabinet of Ministers and a Biosafety Bill is in draft with instructions from Cabinet to get it enacted</w:t>
      </w:r>
      <w:r w:rsidR="00F377F1" w:rsidRPr="00B17ECB">
        <w:rPr>
          <w:kern w:val="22"/>
          <w:sz w:val="22"/>
          <w:szCs w:val="22"/>
          <w:lang w:val="en-GB"/>
        </w:rPr>
        <w:t>”</w:t>
      </w:r>
      <w:r w:rsidR="00E521D4" w:rsidRPr="00B17ECB">
        <w:rPr>
          <w:kern w:val="22"/>
          <w:sz w:val="22"/>
          <w:szCs w:val="22"/>
          <w:lang w:val="en-GB"/>
        </w:rPr>
        <w:t>.</w:t>
      </w:r>
    </w:p>
    <w:p w14:paraId="7C02BD9B" w14:textId="77777777" w:rsidR="0050394D" w:rsidRPr="00B17ECB" w:rsidRDefault="0050394D" w:rsidP="00506730">
      <w:pPr>
        <w:pStyle w:val="Para1"/>
        <w:keepNext/>
        <w:numPr>
          <w:ilvl w:val="1"/>
          <w:numId w:val="41"/>
        </w:numPr>
        <w:suppressLineNumbers/>
        <w:suppressAutoHyphens/>
        <w:spacing w:line="238" w:lineRule="auto"/>
        <w:ind w:left="488" w:hanging="488"/>
        <w:jc w:val="both"/>
        <w:rPr>
          <w:b/>
          <w:bCs/>
          <w:kern w:val="22"/>
          <w:sz w:val="22"/>
          <w:szCs w:val="22"/>
        </w:rPr>
      </w:pPr>
      <w:r w:rsidRPr="00B17ECB">
        <w:rPr>
          <w:b/>
          <w:bCs/>
          <w:kern w:val="22"/>
          <w:sz w:val="22"/>
          <w:szCs w:val="22"/>
        </w:rPr>
        <w:t>Possible follow-up by the Committee</w:t>
      </w:r>
    </w:p>
    <w:p w14:paraId="50F035C8" w14:textId="11662658" w:rsidR="00C61C72" w:rsidRPr="00B17ECB" w:rsidRDefault="00C61C72" w:rsidP="00077A0C">
      <w:pPr>
        <w:pStyle w:val="Para1"/>
        <w:numPr>
          <w:ilvl w:val="0"/>
          <w:numId w:val="6"/>
        </w:numPr>
        <w:suppressLineNumbers/>
        <w:tabs>
          <w:tab w:val="left" w:pos="1134"/>
        </w:tabs>
        <w:suppressAutoHyphens/>
        <w:spacing w:line="238" w:lineRule="auto"/>
        <w:ind w:left="567"/>
        <w:jc w:val="both"/>
        <w:rPr>
          <w:kern w:val="22"/>
          <w:sz w:val="22"/>
          <w:szCs w:val="22"/>
        </w:rPr>
      </w:pPr>
      <w:r w:rsidRPr="00B17ECB">
        <w:rPr>
          <w:kern w:val="22"/>
          <w:sz w:val="22"/>
          <w:szCs w:val="22"/>
        </w:rPr>
        <w:t xml:space="preserve">For </w:t>
      </w:r>
      <w:r w:rsidRPr="00B17ECB">
        <w:rPr>
          <w:kern w:val="22"/>
          <w:sz w:val="22"/>
          <w:szCs w:val="22"/>
          <w:lang w:val="en-GB"/>
        </w:rPr>
        <w:t>these</w:t>
      </w:r>
      <w:r w:rsidRPr="00B17ECB">
        <w:rPr>
          <w:kern w:val="22"/>
          <w:sz w:val="22"/>
          <w:szCs w:val="22"/>
        </w:rPr>
        <w:t xml:space="preserve"> three Parties, the Committee may wish to request its Chair to:</w:t>
      </w:r>
    </w:p>
    <w:p w14:paraId="2A4C0C9B" w14:textId="41716C43" w:rsidR="00C61C72" w:rsidRPr="00B17ECB" w:rsidRDefault="00DB32A7" w:rsidP="00506730">
      <w:pPr>
        <w:pStyle w:val="ListParagraph"/>
        <w:numPr>
          <w:ilvl w:val="0"/>
          <w:numId w:val="47"/>
        </w:numPr>
        <w:tabs>
          <w:tab w:val="left" w:pos="1701"/>
        </w:tabs>
        <w:spacing w:before="120" w:after="120"/>
        <w:ind w:left="567" w:firstLine="567"/>
        <w:contextualSpacing w:val="0"/>
        <w:rPr>
          <w:kern w:val="22"/>
          <w:sz w:val="22"/>
          <w:szCs w:val="22"/>
        </w:rPr>
      </w:pPr>
      <w:r w:rsidRPr="00B17ECB">
        <w:rPr>
          <w:kern w:val="22"/>
          <w:sz w:val="22"/>
          <w:szCs w:val="22"/>
        </w:rPr>
        <w:t>S</w:t>
      </w:r>
      <w:r w:rsidR="00C61C72" w:rsidRPr="00B17ECB">
        <w:rPr>
          <w:kern w:val="22"/>
          <w:sz w:val="22"/>
          <w:szCs w:val="22"/>
        </w:rPr>
        <w:t xml:space="preserve">end a letter to Eritrea to urge it to publish the text of its </w:t>
      </w:r>
      <w:r w:rsidR="00C61C72" w:rsidRPr="00B17ECB">
        <w:rPr>
          <w:kern w:val="22"/>
          <w:sz w:val="22"/>
          <w:szCs w:val="22"/>
          <w:lang w:val="en-GB"/>
        </w:rPr>
        <w:t xml:space="preserve">Proclamation No.179/2017 </w:t>
      </w:r>
      <w:r w:rsidR="00C61C72" w:rsidRPr="00B17ECB">
        <w:rPr>
          <w:kern w:val="22"/>
          <w:sz w:val="22"/>
          <w:szCs w:val="22"/>
        </w:rPr>
        <w:t xml:space="preserve">on the </w:t>
      </w:r>
      <w:proofErr w:type="gramStart"/>
      <w:r w:rsidR="00C61C72" w:rsidRPr="00B17ECB">
        <w:rPr>
          <w:kern w:val="22"/>
          <w:sz w:val="22"/>
          <w:szCs w:val="22"/>
        </w:rPr>
        <w:t>BCH;</w:t>
      </w:r>
      <w:proofErr w:type="gramEnd"/>
    </w:p>
    <w:p w14:paraId="428C4CB5" w14:textId="3753244D" w:rsidR="00C61C72" w:rsidRPr="00B17ECB" w:rsidRDefault="00DB32A7" w:rsidP="00506730">
      <w:pPr>
        <w:pStyle w:val="ListParagraph"/>
        <w:numPr>
          <w:ilvl w:val="0"/>
          <w:numId w:val="47"/>
        </w:numPr>
        <w:tabs>
          <w:tab w:val="left" w:pos="1701"/>
        </w:tabs>
        <w:spacing w:before="120" w:after="120"/>
        <w:ind w:left="567" w:firstLine="567"/>
        <w:contextualSpacing w:val="0"/>
        <w:rPr>
          <w:kern w:val="22"/>
          <w:sz w:val="22"/>
          <w:szCs w:val="22"/>
        </w:rPr>
      </w:pPr>
      <w:r w:rsidRPr="00B17ECB">
        <w:rPr>
          <w:kern w:val="22"/>
          <w:sz w:val="22"/>
          <w:szCs w:val="22"/>
        </w:rPr>
        <w:t>S</w:t>
      </w:r>
      <w:r w:rsidR="00C61C72" w:rsidRPr="00B17ECB">
        <w:rPr>
          <w:kern w:val="22"/>
          <w:sz w:val="22"/>
          <w:szCs w:val="22"/>
        </w:rPr>
        <w:t xml:space="preserve">end a letter to Mauritania to urge it to publish its recent biosafety measures on the </w:t>
      </w:r>
      <w:proofErr w:type="gramStart"/>
      <w:r w:rsidR="00C61C72" w:rsidRPr="00B17ECB">
        <w:rPr>
          <w:kern w:val="22"/>
          <w:sz w:val="22"/>
          <w:szCs w:val="22"/>
        </w:rPr>
        <w:t>BCH;</w:t>
      </w:r>
      <w:proofErr w:type="gramEnd"/>
    </w:p>
    <w:p w14:paraId="3F757CE6" w14:textId="0BA46F46" w:rsidR="0050394D" w:rsidRPr="00B17ECB" w:rsidRDefault="00DB32A7" w:rsidP="00506730">
      <w:pPr>
        <w:pStyle w:val="ListParagraph"/>
        <w:numPr>
          <w:ilvl w:val="0"/>
          <w:numId w:val="47"/>
        </w:numPr>
        <w:tabs>
          <w:tab w:val="left" w:pos="1701"/>
        </w:tabs>
        <w:spacing w:before="120" w:after="120"/>
        <w:ind w:left="567" w:firstLine="567"/>
        <w:contextualSpacing w:val="0"/>
        <w:rPr>
          <w:kern w:val="22"/>
          <w:sz w:val="22"/>
          <w:szCs w:val="22"/>
        </w:rPr>
      </w:pPr>
      <w:r w:rsidRPr="00B17ECB">
        <w:rPr>
          <w:kern w:val="22"/>
          <w:sz w:val="22"/>
          <w:szCs w:val="22"/>
        </w:rPr>
        <w:t>S</w:t>
      </w:r>
      <w:r w:rsidR="00C61C72" w:rsidRPr="00B17ECB">
        <w:rPr>
          <w:kern w:val="22"/>
          <w:sz w:val="22"/>
          <w:szCs w:val="22"/>
        </w:rPr>
        <w:t>end a letter to Saint Lucia asking for further information on the timeline for enactment of the country’s Biosafety Bill.</w:t>
      </w:r>
    </w:p>
    <w:p w14:paraId="5544B1CE" w14:textId="3F4007A7" w:rsidR="006B51E1" w:rsidRPr="00B17ECB" w:rsidRDefault="0079531D" w:rsidP="00506730">
      <w:pPr>
        <w:pStyle w:val="Heading2"/>
        <w:jc w:val="left"/>
        <w:rPr>
          <w:bCs/>
        </w:rPr>
      </w:pPr>
      <w:r w:rsidRPr="00B17ECB">
        <w:rPr>
          <w:bCs/>
        </w:rPr>
        <w:lastRenderedPageBreak/>
        <w:t>3.</w:t>
      </w:r>
      <w:r w:rsidR="005E4907" w:rsidRPr="00B17ECB">
        <w:rPr>
          <w:bCs/>
        </w:rPr>
        <w:tab/>
      </w:r>
      <w:r w:rsidR="006B51E1" w:rsidRPr="00B17ECB">
        <w:rPr>
          <w:bCs/>
        </w:rPr>
        <w:t xml:space="preserve">Parties that did not </w:t>
      </w:r>
      <w:r w:rsidR="007B2E26" w:rsidRPr="00B17ECB">
        <w:rPr>
          <w:bCs/>
        </w:rPr>
        <w:t>submit</w:t>
      </w:r>
      <w:r w:rsidR="006B51E1" w:rsidRPr="00B17ECB">
        <w:rPr>
          <w:bCs/>
        </w:rPr>
        <w:t xml:space="preserve"> a compliance action plan and did not provide further information to the Committee on measures taken</w:t>
      </w:r>
    </w:p>
    <w:p w14:paraId="3616EFA3" w14:textId="77777777" w:rsidR="0079531D" w:rsidRPr="00B17ECB" w:rsidRDefault="0079531D" w:rsidP="00506730">
      <w:pPr>
        <w:pStyle w:val="Para1"/>
        <w:numPr>
          <w:ilvl w:val="1"/>
          <w:numId w:val="42"/>
        </w:numPr>
        <w:suppressLineNumbers/>
        <w:suppressAutoHyphens/>
        <w:spacing w:line="238" w:lineRule="auto"/>
        <w:ind w:hanging="490"/>
        <w:jc w:val="both"/>
        <w:rPr>
          <w:b/>
          <w:bCs/>
          <w:kern w:val="22"/>
          <w:sz w:val="22"/>
          <w:szCs w:val="22"/>
        </w:rPr>
      </w:pPr>
      <w:r w:rsidRPr="00B17ECB">
        <w:rPr>
          <w:b/>
          <w:bCs/>
          <w:kern w:val="22"/>
          <w:sz w:val="22"/>
          <w:szCs w:val="22"/>
        </w:rPr>
        <w:t xml:space="preserve">Developments and actions </w:t>
      </w:r>
      <w:proofErr w:type="gramStart"/>
      <w:r w:rsidRPr="00B17ECB">
        <w:rPr>
          <w:b/>
          <w:bCs/>
          <w:kern w:val="22"/>
          <w:sz w:val="22"/>
          <w:szCs w:val="22"/>
        </w:rPr>
        <w:t>taken</w:t>
      </w:r>
      <w:proofErr w:type="gramEnd"/>
    </w:p>
    <w:p w14:paraId="785E8EDD" w14:textId="16725B8D" w:rsidR="00B019AD" w:rsidRPr="00B17ECB" w:rsidRDefault="00545D6A" w:rsidP="00077A0C">
      <w:pPr>
        <w:pStyle w:val="Para1"/>
        <w:numPr>
          <w:ilvl w:val="0"/>
          <w:numId w:val="6"/>
        </w:numPr>
        <w:suppressLineNumbers/>
        <w:tabs>
          <w:tab w:val="left" w:pos="1134"/>
        </w:tabs>
        <w:suppressAutoHyphens/>
        <w:spacing w:line="238" w:lineRule="auto"/>
        <w:ind w:left="567"/>
        <w:jc w:val="both"/>
        <w:rPr>
          <w:kern w:val="22"/>
          <w:sz w:val="22"/>
          <w:szCs w:val="22"/>
        </w:rPr>
      </w:pPr>
      <w:r w:rsidRPr="00B17ECB">
        <w:rPr>
          <w:kern w:val="22"/>
          <w:sz w:val="22"/>
          <w:szCs w:val="22"/>
          <w:lang w:val="en-GB"/>
        </w:rPr>
        <w:t>A</w:t>
      </w:r>
      <w:r w:rsidR="00B019AD" w:rsidRPr="00B17ECB">
        <w:rPr>
          <w:kern w:val="22"/>
          <w:sz w:val="22"/>
          <w:szCs w:val="22"/>
          <w:lang w:val="en-GB"/>
        </w:rPr>
        <w:t xml:space="preserve">t its </w:t>
      </w:r>
      <w:r w:rsidR="00B019AD" w:rsidRPr="00077A0C">
        <w:rPr>
          <w:kern w:val="22"/>
          <w:sz w:val="22"/>
          <w:szCs w:val="22"/>
        </w:rPr>
        <w:t>seventeenth</w:t>
      </w:r>
      <w:r w:rsidR="00B019AD" w:rsidRPr="00B17ECB">
        <w:rPr>
          <w:kern w:val="22"/>
          <w:sz w:val="22"/>
          <w:szCs w:val="22"/>
          <w:lang w:val="en-GB"/>
        </w:rPr>
        <w:t xml:space="preserve"> meeting, the Committee expressed regret that </w:t>
      </w:r>
      <w:r w:rsidR="0073108A" w:rsidRPr="00B17ECB">
        <w:rPr>
          <w:kern w:val="22"/>
          <w:sz w:val="22"/>
          <w:szCs w:val="22"/>
          <w:lang w:val="en-GB"/>
        </w:rPr>
        <w:t>many</w:t>
      </w:r>
      <w:r w:rsidR="00B019AD" w:rsidRPr="00B17ECB">
        <w:rPr>
          <w:kern w:val="22"/>
          <w:sz w:val="22"/>
          <w:szCs w:val="22"/>
          <w:lang w:val="en-GB"/>
        </w:rPr>
        <w:t xml:space="preserve"> of</w:t>
      </w:r>
      <w:r w:rsidR="0073108A" w:rsidRPr="00B17ECB">
        <w:rPr>
          <w:kern w:val="22"/>
          <w:sz w:val="22"/>
          <w:szCs w:val="22"/>
          <w:lang w:val="en-GB"/>
        </w:rPr>
        <w:t xml:space="preserve"> the</w:t>
      </w:r>
      <w:r w:rsidR="00B019AD" w:rsidRPr="00B17ECB">
        <w:rPr>
          <w:kern w:val="22"/>
          <w:sz w:val="22"/>
          <w:szCs w:val="22"/>
          <w:lang w:val="en-GB"/>
        </w:rPr>
        <w:t xml:space="preserve"> Parties requested to prepare</w:t>
      </w:r>
      <w:r w:rsidR="00B019AD" w:rsidRPr="00B17ECB" w:rsidDel="008F30D5">
        <w:rPr>
          <w:kern w:val="22"/>
          <w:sz w:val="22"/>
          <w:szCs w:val="22"/>
          <w:lang w:val="en-GB"/>
        </w:rPr>
        <w:t xml:space="preserve"> </w:t>
      </w:r>
      <w:r w:rsidR="00B019AD" w:rsidRPr="00B17ECB">
        <w:rPr>
          <w:kern w:val="22"/>
          <w:sz w:val="22"/>
          <w:szCs w:val="22"/>
          <w:lang w:val="en-GB"/>
        </w:rPr>
        <w:t>compliance action plan</w:t>
      </w:r>
      <w:r w:rsidR="00E41B8E" w:rsidRPr="00B17ECB">
        <w:rPr>
          <w:kern w:val="22"/>
          <w:sz w:val="22"/>
          <w:szCs w:val="22"/>
          <w:lang w:val="en-GB"/>
        </w:rPr>
        <w:t>s still had not done so</w:t>
      </w:r>
      <w:r w:rsidR="00B019AD" w:rsidRPr="00B17ECB">
        <w:rPr>
          <w:kern w:val="22"/>
          <w:sz w:val="22"/>
          <w:szCs w:val="22"/>
          <w:lang w:val="en-GB"/>
        </w:rPr>
        <w:t xml:space="preserve"> and had also not provided further information on measures taken to implement the Protocol</w:t>
      </w:r>
      <w:r w:rsidR="00072790" w:rsidRPr="00B17ECB">
        <w:rPr>
          <w:kern w:val="22"/>
          <w:sz w:val="22"/>
          <w:szCs w:val="22"/>
          <w:lang w:val="en-GB"/>
        </w:rPr>
        <w:t>.</w:t>
      </w:r>
      <w:r w:rsidR="003722E2" w:rsidRPr="00B17ECB">
        <w:rPr>
          <w:kern w:val="22"/>
          <w:sz w:val="22"/>
          <w:szCs w:val="22"/>
          <w:lang w:val="en-GB"/>
        </w:rPr>
        <w:t xml:space="preserve"> The Committee </w:t>
      </w:r>
      <w:r w:rsidR="00515617" w:rsidRPr="00B17ECB">
        <w:rPr>
          <w:kern w:val="22"/>
          <w:sz w:val="22"/>
          <w:szCs w:val="22"/>
          <w:lang w:val="en-GB"/>
        </w:rPr>
        <w:t>requested the Secretariat to continue following</w:t>
      </w:r>
      <w:r w:rsidR="00DE318B" w:rsidRPr="00B17ECB">
        <w:rPr>
          <w:kern w:val="22"/>
          <w:sz w:val="22"/>
          <w:szCs w:val="22"/>
          <w:lang w:val="en-GB"/>
        </w:rPr>
        <w:t xml:space="preserve"> </w:t>
      </w:r>
      <w:r w:rsidR="00515617" w:rsidRPr="00B17ECB">
        <w:rPr>
          <w:kern w:val="22"/>
          <w:sz w:val="22"/>
          <w:szCs w:val="22"/>
          <w:lang w:val="en-GB"/>
        </w:rPr>
        <w:t>up with these Parties, urging them to submit their compliance action plan as soon as possible,</w:t>
      </w:r>
      <w:r w:rsidR="006A0D12" w:rsidRPr="00B17ECB">
        <w:rPr>
          <w:kern w:val="22"/>
          <w:sz w:val="22"/>
          <w:szCs w:val="22"/>
          <w:lang w:val="en-GB"/>
        </w:rPr>
        <w:t xml:space="preserve"> </w:t>
      </w:r>
      <w:r w:rsidR="00BA4BB6" w:rsidRPr="00B17ECB">
        <w:rPr>
          <w:kern w:val="22"/>
          <w:sz w:val="22"/>
          <w:szCs w:val="22"/>
          <w:lang w:val="en-GB"/>
        </w:rPr>
        <w:t xml:space="preserve">while </w:t>
      </w:r>
      <w:r w:rsidR="006A0D12" w:rsidRPr="00B17ECB">
        <w:rPr>
          <w:kern w:val="22"/>
          <w:sz w:val="22"/>
          <w:szCs w:val="22"/>
          <w:lang w:val="en-GB"/>
        </w:rPr>
        <w:t xml:space="preserve">taking into consideration the information </w:t>
      </w:r>
      <w:r w:rsidR="000629FA" w:rsidRPr="00B17ECB">
        <w:rPr>
          <w:kern w:val="22"/>
          <w:sz w:val="22"/>
          <w:szCs w:val="22"/>
          <w:lang w:val="en-GB"/>
        </w:rPr>
        <w:t>these Parties provide or submit in their fourth national report.</w:t>
      </w:r>
    </w:p>
    <w:p w14:paraId="6B88FFA5" w14:textId="4652C535" w:rsidR="004F26F6" w:rsidRPr="00B17ECB" w:rsidRDefault="004F26F6" w:rsidP="00077A0C">
      <w:pPr>
        <w:pStyle w:val="Para1"/>
        <w:numPr>
          <w:ilvl w:val="0"/>
          <w:numId w:val="6"/>
        </w:numPr>
        <w:suppressLineNumbers/>
        <w:tabs>
          <w:tab w:val="left" w:pos="1134"/>
        </w:tabs>
        <w:suppressAutoHyphens/>
        <w:spacing w:line="238" w:lineRule="auto"/>
        <w:ind w:left="567"/>
        <w:jc w:val="both"/>
        <w:rPr>
          <w:kern w:val="22"/>
          <w:sz w:val="22"/>
          <w:szCs w:val="22"/>
        </w:rPr>
      </w:pPr>
      <w:r w:rsidRPr="00B17ECB">
        <w:rPr>
          <w:kern w:val="22"/>
          <w:sz w:val="22"/>
          <w:szCs w:val="22"/>
        </w:rPr>
        <w:t xml:space="preserve">The Committee agreed to reconsider follow-up actions with the Parties concerned, as a matter of priority, at the present meeting in </w:t>
      </w:r>
      <w:r w:rsidR="002E3EAF" w:rsidRPr="00B17ECB">
        <w:rPr>
          <w:kern w:val="22"/>
          <w:sz w:val="22"/>
          <w:szCs w:val="22"/>
        </w:rPr>
        <w:t xml:space="preserve">the </w:t>
      </w:r>
      <w:r w:rsidRPr="00B17ECB">
        <w:rPr>
          <w:kern w:val="22"/>
          <w:sz w:val="22"/>
          <w:szCs w:val="22"/>
        </w:rPr>
        <w:t>light of the information provided in their fourth national report or in their communications with the Secretariat.</w:t>
      </w:r>
    </w:p>
    <w:p w14:paraId="1FA94241" w14:textId="3C2EE772" w:rsidR="001767BC" w:rsidRPr="00B17ECB" w:rsidRDefault="00F65AB0" w:rsidP="00077A0C">
      <w:pPr>
        <w:pStyle w:val="Para1"/>
        <w:numPr>
          <w:ilvl w:val="0"/>
          <w:numId w:val="6"/>
        </w:numPr>
        <w:suppressLineNumbers/>
        <w:tabs>
          <w:tab w:val="left" w:pos="1134"/>
        </w:tabs>
        <w:suppressAutoHyphens/>
        <w:spacing w:line="238" w:lineRule="auto"/>
        <w:ind w:left="567"/>
        <w:jc w:val="both"/>
        <w:rPr>
          <w:kern w:val="22"/>
          <w:sz w:val="22"/>
          <w:szCs w:val="22"/>
        </w:rPr>
      </w:pPr>
      <w:r w:rsidRPr="00B17ECB">
        <w:rPr>
          <w:kern w:val="22"/>
          <w:sz w:val="22"/>
          <w:szCs w:val="22"/>
        </w:rPr>
        <w:t>The Secretariat has sent reminders to these Parties</w:t>
      </w:r>
      <w:r w:rsidR="002D6177" w:rsidRPr="00B17ECB">
        <w:rPr>
          <w:kern w:val="22"/>
          <w:sz w:val="22"/>
          <w:szCs w:val="22"/>
        </w:rPr>
        <w:t xml:space="preserve"> on </w:t>
      </w:r>
      <w:r w:rsidR="00FD3972" w:rsidRPr="00B17ECB">
        <w:rPr>
          <w:kern w:val="22"/>
          <w:sz w:val="22"/>
          <w:szCs w:val="22"/>
        </w:rPr>
        <w:t>several</w:t>
      </w:r>
      <w:r w:rsidR="002D6177" w:rsidRPr="00B17ECB">
        <w:rPr>
          <w:kern w:val="22"/>
          <w:sz w:val="22"/>
          <w:szCs w:val="22"/>
        </w:rPr>
        <w:t xml:space="preserve"> occasions since the </w:t>
      </w:r>
      <w:r w:rsidR="0022303F" w:rsidRPr="00B17ECB">
        <w:rPr>
          <w:kern w:val="22"/>
          <w:sz w:val="22"/>
          <w:szCs w:val="22"/>
        </w:rPr>
        <w:t xml:space="preserve">seventeenth meeting of the </w:t>
      </w:r>
      <w:r w:rsidR="002D6177" w:rsidRPr="00B17ECB">
        <w:rPr>
          <w:kern w:val="22"/>
          <w:sz w:val="22"/>
          <w:szCs w:val="22"/>
        </w:rPr>
        <w:t>Committee</w:t>
      </w:r>
      <w:r w:rsidR="00827010" w:rsidRPr="00B17ECB">
        <w:rPr>
          <w:kern w:val="22"/>
          <w:sz w:val="22"/>
          <w:szCs w:val="22"/>
        </w:rPr>
        <w:t xml:space="preserve">. </w:t>
      </w:r>
      <w:r w:rsidR="00D82BAE" w:rsidRPr="00B17ECB">
        <w:rPr>
          <w:kern w:val="22"/>
          <w:sz w:val="22"/>
          <w:szCs w:val="22"/>
        </w:rPr>
        <w:t xml:space="preserve">The Secretariat requested these Parties </w:t>
      </w:r>
      <w:r w:rsidR="000D41D5" w:rsidRPr="00B17ECB">
        <w:rPr>
          <w:kern w:val="22"/>
          <w:sz w:val="22"/>
          <w:szCs w:val="22"/>
        </w:rPr>
        <w:t xml:space="preserve">to </w:t>
      </w:r>
      <w:r w:rsidR="00D82BAE" w:rsidRPr="00B17ECB">
        <w:rPr>
          <w:kern w:val="22"/>
          <w:sz w:val="22"/>
          <w:szCs w:val="22"/>
        </w:rPr>
        <w:t xml:space="preserve">provide further information on any actions taken </w:t>
      </w:r>
      <w:r w:rsidR="00AB6DA7" w:rsidRPr="00B17ECB">
        <w:rPr>
          <w:kern w:val="22"/>
          <w:sz w:val="22"/>
          <w:szCs w:val="22"/>
        </w:rPr>
        <w:t>towards the adoption of</w:t>
      </w:r>
      <w:r w:rsidR="00D82BAE" w:rsidRPr="00B17ECB">
        <w:rPr>
          <w:kern w:val="22"/>
          <w:sz w:val="22"/>
          <w:szCs w:val="22"/>
        </w:rPr>
        <w:t xml:space="preserve"> measures or to explain any challenges they are facing in responding to the Committee’s request</w:t>
      </w:r>
      <w:r w:rsidR="00827010" w:rsidRPr="00B17ECB">
        <w:rPr>
          <w:kern w:val="22"/>
          <w:sz w:val="22"/>
          <w:szCs w:val="22"/>
        </w:rPr>
        <w:t xml:space="preserve"> to develop compliance action plans</w:t>
      </w:r>
      <w:r w:rsidR="00D82BAE" w:rsidRPr="00B17ECB">
        <w:rPr>
          <w:kern w:val="22"/>
          <w:sz w:val="22"/>
          <w:szCs w:val="22"/>
        </w:rPr>
        <w:t>.</w:t>
      </w:r>
      <w:r w:rsidR="002D6177" w:rsidRPr="00B17ECB">
        <w:rPr>
          <w:kern w:val="22"/>
          <w:sz w:val="22"/>
          <w:szCs w:val="22"/>
        </w:rPr>
        <w:t xml:space="preserve"> </w:t>
      </w:r>
      <w:r w:rsidR="00703126" w:rsidRPr="00B17ECB">
        <w:rPr>
          <w:kern w:val="22"/>
          <w:sz w:val="22"/>
          <w:szCs w:val="22"/>
        </w:rPr>
        <w:t>T</w:t>
      </w:r>
      <w:r w:rsidR="002D6177" w:rsidRPr="00B17ECB">
        <w:rPr>
          <w:kern w:val="22"/>
          <w:sz w:val="22"/>
          <w:szCs w:val="22"/>
        </w:rPr>
        <w:t xml:space="preserve">he Secretariat also </w:t>
      </w:r>
      <w:r w:rsidR="00DC03A8" w:rsidRPr="00B17ECB">
        <w:rPr>
          <w:kern w:val="22"/>
          <w:sz w:val="22"/>
          <w:szCs w:val="22"/>
        </w:rPr>
        <w:t xml:space="preserve">reminded </w:t>
      </w:r>
      <w:r w:rsidR="00703126" w:rsidRPr="00B17ECB">
        <w:rPr>
          <w:kern w:val="22"/>
          <w:sz w:val="22"/>
          <w:szCs w:val="22"/>
        </w:rPr>
        <w:t xml:space="preserve">the </w:t>
      </w:r>
      <w:r w:rsidR="00DC03A8" w:rsidRPr="00B17ECB">
        <w:rPr>
          <w:kern w:val="22"/>
          <w:sz w:val="22"/>
          <w:szCs w:val="22"/>
        </w:rPr>
        <w:t xml:space="preserve">Parties </w:t>
      </w:r>
      <w:r w:rsidR="001D518F" w:rsidRPr="00B17ECB">
        <w:rPr>
          <w:kern w:val="22"/>
          <w:sz w:val="22"/>
          <w:szCs w:val="22"/>
        </w:rPr>
        <w:t xml:space="preserve">concerned </w:t>
      </w:r>
      <w:r w:rsidR="001A512E" w:rsidRPr="00B17ECB">
        <w:rPr>
          <w:kern w:val="22"/>
          <w:sz w:val="22"/>
          <w:szCs w:val="22"/>
        </w:rPr>
        <w:t xml:space="preserve">to include </w:t>
      </w:r>
      <w:r w:rsidR="00703126" w:rsidRPr="00B17ECB">
        <w:rPr>
          <w:kern w:val="22"/>
          <w:sz w:val="22"/>
          <w:szCs w:val="22"/>
        </w:rPr>
        <w:t xml:space="preserve">any </w:t>
      </w:r>
      <w:r w:rsidR="001A512E" w:rsidRPr="00B17ECB">
        <w:rPr>
          <w:kern w:val="22"/>
          <w:sz w:val="22"/>
          <w:szCs w:val="22"/>
        </w:rPr>
        <w:t xml:space="preserve">information on the adoption of measures </w:t>
      </w:r>
      <w:r w:rsidR="001446C2" w:rsidRPr="00B17ECB">
        <w:rPr>
          <w:kern w:val="22"/>
          <w:sz w:val="22"/>
          <w:szCs w:val="22"/>
        </w:rPr>
        <w:t>in their fourth national report.</w:t>
      </w:r>
      <w:r w:rsidR="00DC03A8" w:rsidRPr="00B17ECB">
        <w:rPr>
          <w:kern w:val="22"/>
          <w:sz w:val="22"/>
          <w:szCs w:val="22"/>
        </w:rPr>
        <w:t xml:space="preserve"> </w:t>
      </w:r>
      <w:r w:rsidR="00D82BAE" w:rsidRPr="00B17ECB">
        <w:rPr>
          <w:kern w:val="22"/>
          <w:sz w:val="22"/>
          <w:szCs w:val="22"/>
        </w:rPr>
        <w:t xml:space="preserve"> </w:t>
      </w:r>
    </w:p>
    <w:p w14:paraId="68D80E8F" w14:textId="445722F5" w:rsidR="00C20EA5" w:rsidRPr="00B17ECB" w:rsidRDefault="00C20EA5" w:rsidP="00077A0C">
      <w:pPr>
        <w:pStyle w:val="Para1"/>
        <w:numPr>
          <w:ilvl w:val="0"/>
          <w:numId w:val="6"/>
        </w:numPr>
        <w:suppressLineNumbers/>
        <w:tabs>
          <w:tab w:val="left" w:pos="1134"/>
        </w:tabs>
        <w:suppressAutoHyphens/>
        <w:spacing w:line="238" w:lineRule="auto"/>
        <w:ind w:left="567"/>
        <w:jc w:val="both"/>
        <w:rPr>
          <w:kern w:val="22"/>
          <w:sz w:val="22"/>
          <w:szCs w:val="22"/>
        </w:rPr>
      </w:pPr>
      <w:r w:rsidRPr="00B17ECB">
        <w:rPr>
          <w:kern w:val="22"/>
          <w:sz w:val="22"/>
          <w:szCs w:val="22"/>
        </w:rPr>
        <w:t xml:space="preserve">Excluding Eritrea, </w:t>
      </w:r>
      <w:proofErr w:type="gramStart"/>
      <w:r w:rsidRPr="00B17ECB">
        <w:rPr>
          <w:kern w:val="22"/>
          <w:sz w:val="22"/>
          <w:szCs w:val="22"/>
        </w:rPr>
        <w:t>Mauritania</w:t>
      </w:r>
      <w:proofErr w:type="gramEnd"/>
      <w:r w:rsidRPr="00B17ECB">
        <w:rPr>
          <w:kern w:val="22"/>
          <w:sz w:val="22"/>
          <w:szCs w:val="22"/>
        </w:rPr>
        <w:t xml:space="preserve"> and Saint Lucia, at </w:t>
      </w:r>
      <w:r w:rsidR="00751801" w:rsidRPr="00B17ECB">
        <w:rPr>
          <w:kern w:val="22"/>
          <w:sz w:val="22"/>
          <w:szCs w:val="22"/>
          <w:lang w:val="en-GB"/>
        </w:rPr>
        <w:t xml:space="preserve">the time of </w:t>
      </w:r>
      <w:r w:rsidR="000D74A6" w:rsidRPr="00B17ECB">
        <w:rPr>
          <w:kern w:val="22"/>
          <w:sz w:val="22"/>
          <w:szCs w:val="22"/>
          <w:lang w:val="en-GB"/>
        </w:rPr>
        <w:t>reporting</w:t>
      </w:r>
      <w:r w:rsidR="00751801" w:rsidRPr="00B17ECB">
        <w:rPr>
          <w:kern w:val="22"/>
          <w:sz w:val="22"/>
          <w:szCs w:val="22"/>
          <w:lang w:val="en-GB"/>
        </w:rPr>
        <w:t>,</w:t>
      </w:r>
      <w:r w:rsidRPr="00B17ECB">
        <w:rPr>
          <w:kern w:val="22"/>
          <w:sz w:val="22"/>
          <w:szCs w:val="22"/>
        </w:rPr>
        <w:t xml:space="preserve"> </w:t>
      </w:r>
      <w:r w:rsidR="00011467" w:rsidRPr="00B17ECB">
        <w:rPr>
          <w:kern w:val="22"/>
          <w:sz w:val="22"/>
          <w:szCs w:val="22"/>
        </w:rPr>
        <w:t xml:space="preserve">a total of </w:t>
      </w:r>
      <w:r w:rsidRPr="00B17ECB">
        <w:rPr>
          <w:kern w:val="22"/>
          <w:sz w:val="22"/>
          <w:szCs w:val="22"/>
        </w:rPr>
        <w:t>15 Parties ha</w:t>
      </w:r>
      <w:r w:rsidR="00FE227C" w:rsidRPr="00B17ECB">
        <w:rPr>
          <w:kern w:val="22"/>
          <w:sz w:val="22"/>
          <w:szCs w:val="22"/>
        </w:rPr>
        <w:t>d</w:t>
      </w:r>
      <w:r w:rsidRPr="00B17ECB">
        <w:rPr>
          <w:kern w:val="22"/>
          <w:sz w:val="22"/>
          <w:szCs w:val="22"/>
        </w:rPr>
        <w:t xml:space="preserve"> been requested to prepare a compliance action plan but ha</w:t>
      </w:r>
      <w:r w:rsidR="00FE227C" w:rsidRPr="00B17ECB">
        <w:rPr>
          <w:kern w:val="22"/>
          <w:sz w:val="22"/>
          <w:szCs w:val="22"/>
        </w:rPr>
        <w:t>d</w:t>
      </w:r>
      <w:r w:rsidRPr="00B17ECB">
        <w:rPr>
          <w:kern w:val="22"/>
          <w:sz w:val="22"/>
          <w:szCs w:val="22"/>
        </w:rPr>
        <w:t xml:space="preserve"> not yet done so. Of th</w:t>
      </w:r>
      <w:r w:rsidR="00FE227C" w:rsidRPr="00B17ECB">
        <w:rPr>
          <w:kern w:val="22"/>
          <w:sz w:val="22"/>
          <w:szCs w:val="22"/>
        </w:rPr>
        <w:t>o</w:t>
      </w:r>
      <w:r w:rsidRPr="00B17ECB">
        <w:rPr>
          <w:kern w:val="22"/>
          <w:sz w:val="22"/>
          <w:szCs w:val="22"/>
        </w:rPr>
        <w:t xml:space="preserve">se, </w:t>
      </w:r>
      <w:r w:rsidR="00FB597F" w:rsidRPr="00B17ECB">
        <w:rPr>
          <w:kern w:val="22"/>
          <w:sz w:val="22"/>
          <w:szCs w:val="22"/>
        </w:rPr>
        <w:t>1</w:t>
      </w:r>
      <w:r w:rsidR="0019617E" w:rsidRPr="00B17ECB">
        <w:rPr>
          <w:kern w:val="22"/>
          <w:sz w:val="22"/>
          <w:szCs w:val="22"/>
        </w:rPr>
        <w:t>0</w:t>
      </w:r>
      <w:r w:rsidRPr="00B17ECB">
        <w:rPr>
          <w:sz w:val="22"/>
          <w:szCs w:val="22"/>
        </w:rPr>
        <w:t xml:space="preserve"> ha</w:t>
      </w:r>
      <w:r w:rsidR="00FE227C" w:rsidRPr="00B17ECB">
        <w:rPr>
          <w:sz w:val="22"/>
          <w:szCs w:val="22"/>
        </w:rPr>
        <w:t>d</w:t>
      </w:r>
      <w:r w:rsidRPr="00B17ECB">
        <w:rPr>
          <w:sz w:val="22"/>
          <w:szCs w:val="22"/>
        </w:rPr>
        <w:t xml:space="preserve"> submitted their fourth national report</w:t>
      </w:r>
      <w:r w:rsidR="00C77179" w:rsidRPr="00B17ECB">
        <w:rPr>
          <w:sz w:val="22"/>
          <w:szCs w:val="22"/>
        </w:rPr>
        <w:t>s</w:t>
      </w:r>
      <w:r w:rsidRPr="00B17ECB">
        <w:rPr>
          <w:sz w:val="22"/>
          <w:szCs w:val="22"/>
        </w:rPr>
        <w:t xml:space="preserve"> </w:t>
      </w:r>
      <w:r w:rsidRPr="00B17ECB">
        <w:rPr>
          <w:kern w:val="22"/>
          <w:sz w:val="22"/>
          <w:szCs w:val="22"/>
        </w:rPr>
        <w:t xml:space="preserve">and responded to the question </w:t>
      </w:r>
      <w:r w:rsidR="00C77179" w:rsidRPr="00B17ECB">
        <w:rPr>
          <w:kern w:val="22"/>
          <w:sz w:val="22"/>
          <w:szCs w:val="22"/>
        </w:rPr>
        <w:t xml:space="preserve">as to </w:t>
      </w:r>
      <w:r w:rsidRPr="00B17ECB">
        <w:rPr>
          <w:kern w:val="22"/>
          <w:sz w:val="22"/>
          <w:szCs w:val="22"/>
        </w:rPr>
        <w:t>whether the</w:t>
      </w:r>
      <w:r w:rsidR="00C77179" w:rsidRPr="00B17ECB">
        <w:rPr>
          <w:kern w:val="22"/>
          <w:sz w:val="22"/>
          <w:szCs w:val="22"/>
        </w:rPr>
        <w:t>y</w:t>
      </w:r>
      <w:r w:rsidRPr="00B17ECB">
        <w:rPr>
          <w:kern w:val="22"/>
          <w:sz w:val="22"/>
          <w:szCs w:val="22"/>
        </w:rPr>
        <w:t xml:space="preserve"> ha</w:t>
      </w:r>
      <w:r w:rsidR="00011467" w:rsidRPr="00B17ECB">
        <w:rPr>
          <w:kern w:val="22"/>
          <w:sz w:val="22"/>
          <w:szCs w:val="22"/>
        </w:rPr>
        <w:t>d</w:t>
      </w:r>
      <w:r w:rsidRPr="00B17ECB">
        <w:rPr>
          <w:kern w:val="22"/>
          <w:sz w:val="22"/>
          <w:szCs w:val="22"/>
        </w:rPr>
        <w:t xml:space="preserve"> taken the national measures </w:t>
      </w:r>
      <w:r w:rsidR="00C77179" w:rsidRPr="00B17ECB">
        <w:rPr>
          <w:kern w:val="22"/>
          <w:sz w:val="22"/>
          <w:szCs w:val="22"/>
        </w:rPr>
        <w:t xml:space="preserve">necessary </w:t>
      </w:r>
      <w:r w:rsidRPr="00B17ECB">
        <w:rPr>
          <w:kern w:val="22"/>
          <w:sz w:val="22"/>
          <w:szCs w:val="22"/>
        </w:rPr>
        <w:t>for the implementation of the Protocol.</w:t>
      </w:r>
    </w:p>
    <w:p w14:paraId="43B36A87" w14:textId="5DE4ED17" w:rsidR="00C20EA5" w:rsidRPr="00B17ECB" w:rsidRDefault="00C20EA5" w:rsidP="00077A0C">
      <w:pPr>
        <w:pStyle w:val="Para1"/>
        <w:numPr>
          <w:ilvl w:val="0"/>
          <w:numId w:val="6"/>
        </w:numPr>
        <w:suppressLineNumbers/>
        <w:tabs>
          <w:tab w:val="left" w:pos="1134"/>
        </w:tabs>
        <w:suppressAutoHyphens/>
        <w:spacing w:line="238" w:lineRule="auto"/>
        <w:ind w:left="567"/>
        <w:jc w:val="both"/>
        <w:rPr>
          <w:kern w:val="22"/>
          <w:sz w:val="22"/>
          <w:szCs w:val="22"/>
        </w:rPr>
      </w:pPr>
      <w:r w:rsidRPr="00B17ECB">
        <w:rPr>
          <w:kern w:val="22"/>
          <w:sz w:val="22"/>
          <w:szCs w:val="22"/>
        </w:rPr>
        <w:t>Of th</w:t>
      </w:r>
      <w:r w:rsidR="009531DB" w:rsidRPr="00B17ECB">
        <w:rPr>
          <w:kern w:val="22"/>
          <w:sz w:val="22"/>
          <w:szCs w:val="22"/>
        </w:rPr>
        <w:t>o</w:t>
      </w:r>
      <w:r w:rsidRPr="00B17ECB">
        <w:rPr>
          <w:kern w:val="22"/>
          <w:sz w:val="22"/>
          <w:szCs w:val="22"/>
        </w:rPr>
        <w:t xml:space="preserve">se </w:t>
      </w:r>
      <w:r w:rsidR="00FB597F" w:rsidRPr="00B17ECB">
        <w:rPr>
          <w:kern w:val="22"/>
          <w:sz w:val="22"/>
          <w:szCs w:val="22"/>
        </w:rPr>
        <w:t>1</w:t>
      </w:r>
      <w:r w:rsidR="001A0D78" w:rsidRPr="00B17ECB">
        <w:rPr>
          <w:kern w:val="22"/>
          <w:sz w:val="22"/>
          <w:szCs w:val="22"/>
        </w:rPr>
        <w:t>0</w:t>
      </w:r>
      <w:r w:rsidRPr="00B17ECB">
        <w:rPr>
          <w:kern w:val="22"/>
          <w:sz w:val="22"/>
          <w:szCs w:val="22"/>
        </w:rPr>
        <w:t xml:space="preserve"> Parties:</w:t>
      </w:r>
    </w:p>
    <w:p w14:paraId="550A8A11" w14:textId="1617F7E8" w:rsidR="00C20EA5" w:rsidRPr="00B17ECB" w:rsidRDefault="00011467" w:rsidP="00506730">
      <w:pPr>
        <w:pStyle w:val="ListParagraph"/>
        <w:numPr>
          <w:ilvl w:val="1"/>
          <w:numId w:val="48"/>
        </w:numPr>
        <w:tabs>
          <w:tab w:val="left" w:pos="1701"/>
        </w:tabs>
        <w:spacing w:before="120" w:after="120"/>
        <w:ind w:left="567" w:firstLine="567"/>
        <w:contextualSpacing w:val="0"/>
        <w:rPr>
          <w:kern w:val="22"/>
          <w:sz w:val="22"/>
          <w:szCs w:val="22"/>
        </w:rPr>
      </w:pPr>
      <w:r w:rsidRPr="00B17ECB">
        <w:rPr>
          <w:kern w:val="22"/>
          <w:sz w:val="22"/>
          <w:szCs w:val="22"/>
        </w:rPr>
        <w:t xml:space="preserve">Four </w:t>
      </w:r>
      <w:r w:rsidR="00C20EA5" w:rsidRPr="00B17ECB">
        <w:rPr>
          <w:kern w:val="22"/>
          <w:sz w:val="22"/>
          <w:szCs w:val="22"/>
        </w:rPr>
        <w:t>reported</w:t>
      </w:r>
      <w:r w:rsidR="0086494A" w:rsidRPr="00B17ECB">
        <w:rPr>
          <w:rStyle w:val="FootnoteReference"/>
          <w:kern w:val="22"/>
          <w:sz w:val="22"/>
          <w:szCs w:val="22"/>
        </w:rPr>
        <w:footnoteReference w:id="12"/>
      </w:r>
      <w:r w:rsidR="00C20EA5" w:rsidRPr="00B17ECB">
        <w:rPr>
          <w:kern w:val="22"/>
          <w:sz w:val="22"/>
          <w:szCs w:val="22"/>
        </w:rPr>
        <w:t xml:space="preserve"> that national measures </w:t>
      </w:r>
      <w:r w:rsidR="00BE5F55" w:rsidRPr="00B17ECB">
        <w:rPr>
          <w:kern w:val="22"/>
          <w:sz w:val="22"/>
          <w:szCs w:val="22"/>
        </w:rPr>
        <w:t xml:space="preserve">were </w:t>
      </w:r>
      <w:r w:rsidR="00C20EA5" w:rsidRPr="00B17ECB">
        <w:rPr>
          <w:kern w:val="22"/>
          <w:sz w:val="22"/>
          <w:szCs w:val="22"/>
        </w:rPr>
        <w:t xml:space="preserve">partially in </w:t>
      </w:r>
      <w:proofErr w:type="gramStart"/>
      <w:r w:rsidR="00C20EA5" w:rsidRPr="00B17ECB">
        <w:rPr>
          <w:kern w:val="22"/>
          <w:sz w:val="22"/>
          <w:szCs w:val="22"/>
        </w:rPr>
        <w:t>place;</w:t>
      </w:r>
      <w:proofErr w:type="gramEnd"/>
    </w:p>
    <w:p w14:paraId="105FA3E4" w14:textId="599195E8" w:rsidR="00C20EA5" w:rsidRPr="00B17ECB" w:rsidRDefault="00BE5F55" w:rsidP="00506730">
      <w:pPr>
        <w:pStyle w:val="ListParagraph"/>
        <w:numPr>
          <w:ilvl w:val="1"/>
          <w:numId w:val="48"/>
        </w:numPr>
        <w:tabs>
          <w:tab w:val="left" w:pos="1701"/>
        </w:tabs>
        <w:spacing w:before="120" w:after="120"/>
        <w:ind w:left="567" w:firstLine="567"/>
        <w:contextualSpacing w:val="0"/>
        <w:rPr>
          <w:kern w:val="22"/>
          <w:sz w:val="22"/>
          <w:szCs w:val="22"/>
        </w:rPr>
      </w:pPr>
      <w:r w:rsidRPr="00B17ECB">
        <w:rPr>
          <w:kern w:val="22"/>
          <w:sz w:val="22"/>
          <w:szCs w:val="22"/>
        </w:rPr>
        <w:t>Five</w:t>
      </w:r>
      <w:r w:rsidR="00C20EA5" w:rsidRPr="00B17ECB">
        <w:rPr>
          <w:kern w:val="22"/>
          <w:sz w:val="22"/>
          <w:szCs w:val="22"/>
        </w:rPr>
        <w:t xml:space="preserve"> reported</w:t>
      </w:r>
      <w:r w:rsidR="00A01766" w:rsidRPr="00B17ECB">
        <w:rPr>
          <w:rStyle w:val="FootnoteReference"/>
          <w:kern w:val="22"/>
          <w:sz w:val="22"/>
          <w:szCs w:val="22"/>
        </w:rPr>
        <w:footnoteReference w:id="13"/>
      </w:r>
      <w:r w:rsidR="00C20EA5" w:rsidRPr="00B17ECB">
        <w:rPr>
          <w:kern w:val="22"/>
          <w:sz w:val="22"/>
          <w:szCs w:val="22"/>
        </w:rPr>
        <w:t xml:space="preserve"> that only draft measures </w:t>
      </w:r>
      <w:proofErr w:type="gramStart"/>
      <w:r w:rsidR="00C20EA5" w:rsidRPr="00B17ECB">
        <w:rPr>
          <w:kern w:val="22"/>
          <w:sz w:val="22"/>
          <w:szCs w:val="22"/>
        </w:rPr>
        <w:t>exist</w:t>
      </w:r>
      <w:r w:rsidRPr="00B17ECB">
        <w:rPr>
          <w:kern w:val="22"/>
          <w:sz w:val="22"/>
          <w:szCs w:val="22"/>
        </w:rPr>
        <w:t>ed</w:t>
      </w:r>
      <w:r w:rsidR="00C20EA5" w:rsidRPr="00B17ECB">
        <w:rPr>
          <w:kern w:val="22"/>
          <w:sz w:val="22"/>
          <w:szCs w:val="22"/>
        </w:rPr>
        <w:t>;</w:t>
      </w:r>
      <w:proofErr w:type="gramEnd"/>
    </w:p>
    <w:p w14:paraId="401F2304" w14:textId="4130CFC1" w:rsidR="00C20EA5" w:rsidRPr="00B17ECB" w:rsidRDefault="00C20EA5" w:rsidP="00506730">
      <w:pPr>
        <w:pStyle w:val="ListParagraph"/>
        <w:numPr>
          <w:ilvl w:val="1"/>
          <w:numId w:val="48"/>
        </w:numPr>
        <w:tabs>
          <w:tab w:val="left" w:pos="1701"/>
        </w:tabs>
        <w:spacing w:before="120" w:after="120"/>
        <w:ind w:left="567" w:firstLine="567"/>
        <w:contextualSpacing w:val="0"/>
        <w:rPr>
          <w:kern w:val="22"/>
          <w:sz w:val="22"/>
          <w:szCs w:val="22"/>
        </w:rPr>
      </w:pPr>
      <w:r w:rsidRPr="00B17ECB">
        <w:rPr>
          <w:kern w:val="22"/>
          <w:sz w:val="22"/>
          <w:szCs w:val="22"/>
        </w:rPr>
        <w:t>One reported</w:t>
      </w:r>
      <w:r w:rsidRPr="00B17ECB">
        <w:rPr>
          <w:rStyle w:val="FootnoteReference"/>
          <w:kern w:val="22"/>
          <w:sz w:val="22"/>
          <w:szCs w:val="22"/>
        </w:rPr>
        <w:footnoteReference w:id="14"/>
      </w:r>
      <w:r w:rsidRPr="00B17ECB">
        <w:rPr>
          <w:kern w:val="22"/>
          <w:sz w:val="22"/>
          <w:szCs w:val="22"/>
        </w:rPr>
        <w:t xml:space="preserve"> that no measures ha</w:t>
      </w:r>
      <w:r w:rsidR="00BE5F55" w:rsidRPr="00B17ECB">
        <w:rPr>
          <w:kern w:val="22"/>
          <w:sz w:val="22"/>
          <w:szCs w:val="22"/>
        </w:rPr>
        <w:t>d</w:t>
      </w:r>
      <w:r w:rsidRPr="00B17ECB">
        <w:rPr>
          <w:kern w:val="22"/>
          <w:sz w:val="22"/>
          <w:szCs w:val="22"/>
        </w:rPr>
        <w:t xml:space="preserve"> been taken.</w:t>
      </w:r>
    </w:p>
    <w:p w14:paraId="058F2B58" w14:textId="089EFD3A" w:rsidR="00C20EA5" w:rsidRPr="00B17ECB" w:rsidRDefault="00C20EA5" w:rsidP="00077A0C">
      <w:pPr>
        <w:pStyle w:val="Para1"/>
        <w:numPr>
          <w:ilvl w:val="0"/>
          <w:numId w:val="6"/>
        </w:numPr>
        <w:suppressLineNumbers/>
        <w:tabs>
          <w:tab w:val="left" w:pos="1134"/>
        </w:tabs>
        <w:suppressAutoHyphens/>
        <w:spacing w:line="238" w:lineRule="auto"/>
        <w:ind w:left="567"/>
        <w:jc w:val="both"/>
        <w:rPr>
          <w:kern w:val="22"/>
          <w:sz w:val="22"/>
          <w:szCs w:val="22"/>
        </w:rPr>
      </w:pPr>
      <w:r w:rsidRPr="00B17ECB">
        <w:rPr>
          <w:kern w:val="22"/>
          <w:sz w:val="22"/>
          <w:szCs w:val="22"/>
        </w:rPr>
        <w:t xml:space="preserve">The </w:t>
      </w:r>
      <w:r w:rsidR="00750120" w:rsidRPr="00B17ECB">
        <w:rPr>
          <w:kern w:val="22"/>
          <w:sz w:val="22"/>
          <w:szCs w:val="22"/>
        </w:rPr>
        <w:t>four</w:t>
      </w:r>
      <w:r w:rsidRPr="00B17ECB">
        <w:rPr>
          <w:kern w:val="22"/>
          <w:sz w:val="22"/>
          <w:szCs w:val="22"/>
        </w:rPr>
        <w:t xml:space="preserve"> Parties that reported that national measures </w:t>
      </w:r>
      <w:r w:rsidR="00F569D3" w:rsidRPr="00B17ECB">
        <w:rPr>
          <w:kern w:val="22"/>
          <w:sz w:val="22"/>
          <w:szCs w:val="22"/>
        </w:rPr>
        <w:t xml:space="preserve">were </w:t>
      </w:r>
      <w:r w:rsidRPr="00B17ECB">
        <w:rPr>
          <w:kern w:val="22"/>
          <w:sz w:val="22"/>
          <w:szCs w:val="22"/>
        </w:rPr>
        <w:t xml:space="preserve">partially in place would no longer seem to fulfil the criteria for developing a compliance action plan. The BCH shows, however, that: </w:t>
      </w:r>
    </w:p>
    <w:p w14:paraId="607E8F1B" w14:textId="082BBC39" w:rsidR="00C20EA5" w:rsidRPr="00B17ECB" w:rsidRDefault="0059681D" w:rsidP="00506730">
      <w:pPr>
        <w:pStyle w:val="ListParagraph"/>
        <w:numPr>
          <w:ilvl w:val="1"/>
          <w:numId w:val="49"/>
        </w:numPr>
        <w:tabs>
          <w:tab w:val="left" w:pos="1701"/>
        </w:tabs>
        <w:spacing w:before="120" w:after="120"/>
        <w:ind w:left="567" w:firstLine="567"/>
        <w:contextualSpacing w:val="0"/>
        <w:jc w:val="both"/>
        <w:rPr>
          <w:kern w:val="22"/>
          <w:sz w:val="22"/>
          <w:szCs w:val="22"/>
        </w:rPr>
      </w:pPr>
      <w:r w:rsidRPr="00B17ECB">
        <w:rPr>
          <w:kern w:val="22"/>
          <w:sz w:val="22"/>
          <w:szCs w:val="22"/>
        </w:rPr>
        <w:t>F</w:t>
      </w:r>
      <w:r w:rsidR="00C20EA5" w:rsidRPr="00B17ECB">
        <w:rPr>
          <w:kern w:val="22"/>
          <w:sz w:val="22"/>
          <w:szCs w:val="22"/>
        </w:rPr>
        <w:t xml:space="preserve">or </w:t>
      </w:r>
      <w:r w:rsidR="002F3F9D" w:rsidRPr="00B17ECB">
        <w:rPr>
          <w:kern w:val="22"/>
          <w:sz w:val="22"/>
          <w:szCs w:val="22"/>
        </w:rPr>
        <w:t>t</w:t>
      </w:r>
      <w:r w:rsidR="004B02AE" w:rsidRPr="00B17ECB">
        <w:rPr>
          <w:kern w:val="22"/>
          <w:sz w:val="22"/>
          <w:szCs w:val="22"/>
        </w:rPr>
        <w:t>wo</w:t>
      </w:r>
      <w:r w:rsidR="00C20EA5" w:rsidRPr="00B17ECB">
        <w:rPr>
          <w:kern w:val="22"/>
          <w:sz w:val="22"/>
          <w:szCs w:val="22"/>
        </w:rPr>
        <w:t xml:space="preserve"> of th</w:t>
      </w:r>
      <w:r w:rsidR="009531DB" w:rsidRPr="00B17ECB">
        <w:rPr>
          <w:kern w:val="22"/>
          <w:sz w:val="22"/>
          <w:szCs w:val="22"/>
        </w:rPr>
        <w:t>o</w:t>
      </w:r>
      <w:r w:rsidR="00C20EA5" w:rsidRPr="00B17ECB">
        <w:rPr>
          <w:kern w:val="22"/>
          <w:sz w:val="22"/>
          <w:szCs w:val="22"/>
        </w:rPr>
        <w:t>se Parties</w:t>
      </w:r>
      <w:r w:rsidR="00EA2F7A" w:rsidRPr="00B17ECB">
        <w:rPr>
          <w:kern w:val="22"/>
          <w:sz w:val="22"/>
          <w:szCs w:val="22"/>
        </w:rPr>
        <w:t>,</w:t>
      </w:r>
      <w:r w:rsidR="00C20EA5" w:rsidRPr="00B17ECB">
        <w:rPr>
          <w:rStyle w:val="FootnoteReference"/>
          <w:kern w:val="22"/>
          <w:sz w:val="22"/>
          <w:szCs w:val="22"/>
        </w:rPr>
        <w:footnoteReference w:id="15"/>
      </w:r>
      <w:r w:rsidR="00C20EA5" w:rsidRPr="00B17ECB">
        <w:rPr>
          <w:kern w:val="22"/>
          <w:sz w:val="22"/>
          <w:szCs w:val="22"/>
        </w:rPr>
        <w:t xml:space="preserve"> the only measures available on the BCH are their national biosafety framework, developed under the UNEP-GEF global project for the development of national biosafety </w:t>
      </w:r>
      <w:proofErr w:type="gramStart"/>
      <w:r w:rsidR="00C20EA5" w:rsidRPr="00B17ECB">
        <w:rPr>
          <w:kern w:val="22"/>
          <w:sz w:val="22"/>
          <w:szCs w:val="22"/>
        </w:rPr>
        <w:t>frameworks;</w:t>
      </w:r>
      <w:proofErr w:type="gramEnd"/>
      <w:r w:rsidR="00C20EA5" w:rsidRPr="00B17ECB">
        <w:rPr>
          <w:kern w:val="22"/>
          <w:sz w:val="22"/>
          <w:szCs w:val="22"/>
        </w:rPr>
        <w:t xml:space="preserve"> </w:t>
      </w:r>
    </w:p>
    <w:p w14:paraId="7244EB3A" w14:textId="1297ADF0" w:rsidR="00C20EA5" w:rsidRPr="00B17ECB" w:rsidRDefault="0059681D" w:rsidP="00506730">
      <w:pPr>
        <w:pStyle w:val="ListParagraph"/>
        <w:numPr>
          <w:ilvl w:val="1"/>
          <w:numId w:val="49"/>
        </w:numPr>
        <w:tabs>
          <w:tab w:val="left" w:pos="1701"/>
        </w:tabs>
        <w:spacing w:before="120" w:after="120"/>
        <w:ind w:left="567" w:firstLine="567"/>
        <w:contextualSpacing w:val="0"/>
        <w:jc w:val="both"/>
        <w:rPr>
          <w:kern w:val="22"/>
          <w:sz w:val="22"/>
          <w:szCs w:val="22"/>
        </w:rPr>
      </w:pPr>
      <w:r w:rsidRPr="00B17ECB">
        <w:rPr>
          <w:kern w:val="22"/>
          <w:sz w:val="22"/>
          <w:szCs w:val="22"/>
        </w:rPr>
        <w:t>F</w:t>
      </w:r>
      <w:r w:rsidR="00C20EA5" w:rsidRPr="00B17ECB">
        <w:rPr>
          <w:kern w:val="22"/>
          <w:sz w:val="22"/>
          <w:szCs w:val="22"/>
        </w:rPr>
        <w:t>or one Party,</w:t>
      </w:r>
      <w:r w:rsidR="00C20EA5" w:rsidRPr="00B17ECB">
        <w:rPr>
          <w:rStyle w:val="FootnoteReference"/>
          <w:kern w:val="22"/>
          <w:sz w:val="22"/>
          <w:szCs w:val="22"/>
        </w:rPr>
        <w:footnoteReference w:id="16"/>
      </w:r>
      <w:r w:rsidR="00C20EA5" w:rsidRPr="00B17ECB">
        <w:rPr>
          <w:kern w:val="22"/>
          <w:sz w:val="22"/>
          <w:szCs w:val="22"/>
        </w:rPr>
        <w:t xml:space="preserve"> no measures have been published on the </w:t>
      </w:r>
      <w:proofErr w:type="gramStart"/>
      <w:r w:rsidR="00C20EA5" w:rsidRPr="00B17ECB">
        <w:rPr>
          <w:kern w:val="22"/>
          <w:sz w:val="22"/>
          <w:szCs w:val="22"/>
        </w:rPr>
        <w:t>BCH</w:t>
      </w:r>
      <w:r w:rsidRPr="00B17ECB">
        <w:rPr>
          <w:kern w:val="22"/>
          <w:sz w:val="22"/>
          <w:szCs w:val="22"/>
        </w:rPr>
        <w:t>;</w:t>
      </w:r>
      <w:proofErr w:type="gramEnd"/>
    </w:p>
    <w:p w14:paraId="590109E7" w14:textId="5FF88490" w:rsidR="00C20EA5" w:rsidRPr="00B17ECB" w:rsidRDefault="0059681D" w:rsidP="00506730">
      <w:pPr>
        <w:pStyle w:val="ListParagraph"/>
        <w:numPr>
          <w:ilvl w:val="1"/>
          <w:numId w:val="49"/>
        </w:numPr>
        <w:tabs>
          <w:tab w:val="left" w:pos="1701"/>
        </w:tabs>
        <w:spacing w:before="120" w:after="120"/>
        <w:ind w:left="567" w:firstLine="567"/>
        <w:contextualSpacing w:val="0"/>
        <w:jc w:val="both"/>
        <w:rPr>
          <w:kern w:val="22"/>
          <w:sz w:val="22"/>
          <w:szCs w:val="22"/>
        </w:rPr>
      </w:pPr>
      <w:r w:rsidRPr="00B17ECB">
        <w:rPr>
          <w:kern w:val="22"/>
          <w:sz w:val="22"/>
          <w:szCs w:val="22"/>
        </w:rPr>
        <w:t>F</w:t>
      </w:r>
      <w:r w:rsidR="00C20EA5" w:rsidRPr="00B17ECB">
        <w:rPr>
          <w:kern w:val="22"/>
          <w:sz w:val="22"/>
          <w:szCs w:val="22"/>
        </w:rPr>
        <w:t xml:space="preserve">or </w:t>
      </w:r>
      <w:r w:rsidR="004B02AE" w:rsidRPr="00B17ECB">
        <w:rPr>
          <w:kern w:val="22"/>
          <w:sz w:val="22"/>
          <w:szCs w:val="22"/>
        </w:rPr>
        <w:t>one</w:t>
      </w:r>
      <w:r w:rsidR="00C20EA5" w:rsidRPr="00B17ECB">
        <w:rPr>
          <w:kern w:val="22"/>
          <w:sz w:val="22"/>
          <w:szCs w:val="22"/>
        </w:rPr>
        <w:t xml:space="preserve"> Part</w:t>
      </w:r>
      <w:r w:rsidR="00C50A1D" w:rsidRPr="00B17ECB">
        <w:rPr>
          <w:kern w:val="22"/>
          <w:sz w:val="22"/>
          <w:szCs w:val="22"/>
        </w:rPr>
        <w:t>y</w:t>
      </w:r>
      <w:r w:rsidR="00C20EA5" w:rsidRPr="00B17ECB">
        <w:rPr>
          <w:kern w:val="22"/>
          <w:sz w:val="22"/>
          <w:szCs w:val="22"/>
        </w:rPr>
        <w:t>,</w:t>
      </w:r>
      <w:r w:rsidR="00C20EA5" w:rsidRPr="00B17ECB">
        <w:rPr>
          <w:rStyle w:val="FootnoteReference"/>
          <w:kern w:val="22"/>
          <w:sz w:val="22"/>
          <w:szCs w:val="22"/>
        </w:rPr>
        <w:footnoteReference w:id="17"/>
      </w:r>
      <w:r w:rsidR="00C20EA5" w:rsidRPr="00B17ECB">
        <w:rPr>
          <w:rStyle w:val="FootnoteReference"/>
          <w:sz w:val="22"/>
          <w:szCs w:val="22"/>
        </w:rPr>
        <w:t xml:space="preserve"> </w:t>
      </w:r>
      <w:r w:rsidR="00C20EA5" w:rsidRPr="00B17ECB">
        <w:rPr>
          <w:kern w:val="22"/>
          <w:sz w:val="22"/>
          <w:szCs w:val="22"/>
        </w:rPr>
        <w:t>a record referring to biosafety measures is available on the BCH, but the actual measures have not been submitted to the BCH.</w:t>
      </w:r>
    </w:p>
    <w:p w14:paraId="39141A03" w14:textId="5C0260E0" w:rsidR="0055284C" w:rsidRPr="00B17ECB" w:rsidRDefault="00C20EA5" w:rsidP="00077A0C">
      <w:pPr>
        <w:pStyle w:val="Para1"/>
        <w:numPr>
          <w:ilvl w:val="0"/>
          <w:numId w:val="6"/>
        </w:numPr>
        <w:suppressLineNumbers/>
        <w:tabs>
          <w:tab w:val="left" w:pos="1134"/>
        </w:tabs>
        <w:suppressAutoHyphens/>
        <w:spacing w:line="238" w:lineRule="auto"/>
        <w:ind w:left="567"/>
        <w:jc w:val="both"/>
        <w:rPr>
          <w:kern w:val="22"/>
          <w:sz w:val="22"/>
          <w:szCs w:val="22"/>
        </w:rPr>
      </w:pPr>
      <w:r w:rsidRPr="00B17ECB">
        <w:rPr>
          <w:kern w:val="22"/>
          <w:sz w:val="22"/>
          <w:szCs w:val="22"/>
        </w:rPr>
        <w:t>The other</w:t>
      </w:r>
      <w:r w:rsidR="0079142E" w:rsidRPr="00B17ECB">
        <w:rPr>
          <w:kern w:val="22"/>
          <w:sz w:val="22"/>
          <w:szCs w:val="22"/>
        </w:rPr>
        <w:t xml:space="preserve"> six Parties</w:t>
      </w:r>
      <w:r w:rsidRPr="00B17ECB">
        <w:rPr>
          <w:kern w:val="22"/>
          <w:sz w:val="22"/>
          <w:szCs w:val="22"/>
        </w:rPr>
        <w:t xml:space="preserve"> that reported having only draft measures or no measures would continue to meet the criteria for developing a compliance action plan. It may be noted that, following the </w:t>
      </w:r>
      <w:r w:rsidR="00E909D4" w:rsidRPr="00B17ECB">
        <w:rPr>
          <w:kern w:val="22"/>
          <w:sz w:val="22"/>
          <w:szCs w:val="22"/>
        </w:rPr>
        <w:t xml:space="preserve">seventeenth meeting of the </w:t>
      </w:r>
      <w:r w:rsidRPr="00B17ECB">
        <w:rPr>
          <w:kern w:val="22"/>
          <w:sz w:val="22"/>
          <w:szCs w:val="22"/>
        </w:rPr>
        <w:t>Committee, two of these Parties (Botswana and Samoa) submitted draft compliance action plans to the Secretariat, requesting feedback. The Secretariat provided comments on how the plans could be improved but final plans have not yet been received.</w:t>
      </w:r>
    </w:p>
    <w:p w14:paraId="241F97AF" w14:textId="618E8BCD" w:rsidR="00C72C8A" w:rsidRPr="00B17ECB" w:rsidRDefault="00C72C8A" w:rsidP="00077A0C">
      <w:pPr>
        <w:pStyle w:val="Para1"/>
        <w:numPr>
          <w:ilvl w:val="0"/>
          <w:numId w:val="6"/>
        </w:numPr>
        <w:suppressLineNumbers/>
        <w:tabs>
          <w:tab w:val="left" w:pos="1134"/>
        </w:tabs>
        <w:suppressAutoHyphens/>
        <w:spacing w:line="238" w:lineRule="auto"/>
        <w:ind w:left="567"/>
        <w:jc w:val="both"/>
        <w:rPr>
          <w:kern w:val="22"/>
          <w:sz w:val="22"/>
          <w:szCs w:val="22"/>
        </w:rPr>
      </w:pPr>
      <w:r w:rsidRPr="00B17ECB">
        <w:rPr>
          <w:kern w:val="22"/>
          <w:sz w:val="22"/>
          <w:szCs w:val="22"/>
        </w:rPr>
        <w:lastRenderedPageBreak/>
        <w:t>No information is available from five Parties who have not yet submitted their fourth national report.</w:t>
      </w:r>
      <w:r w:rsidR="00C303BC" w:rsidRPr="00B17ECB">
        <w:rPr>
          <w:rStyle w:val="FootnoteReference"/>
          <w:kern w:val="22"/>
          <w:sz w:val="22"/>
          <w:szCs w:val="22"/>
        </w:rPr>
        <w:footnoteReference w:id="18"/>
      </w:r>
    </w:p>
    <w:p w14:paraId="3B62B082" w14:textId="77777777" w:rsidR="00506EA0" w:rsidRPr="00B17ECB" w:rsidRDefault="00506EA0" w:rsidP="00506730">
      <w:pPr>
        <w:pStyle w:val="Para1"/>
        <w:numPr>
          <w:ilvl w:val="1"/>
          <w:numId w:val="43"/>
        </w:numPr>
        <w:suppressLineNumbers/>
        <w:suppressAutoHyphens/>
        <w:spacing w:line="238" w:lineRule="auto"/>
        <w:ind w:hanging="490"/>
        <w:jc w:val="both"/>
        <w:rPr>
          <w:b/>
          <w:bCs/>
          <w:kern w:val="22"/>
          <w:sz w:val="22"/>
          <w:szCs w:val="22"/>
        </w:rPr>
      </w:pPr>
      <w:r w:rsidRPr="00B17ECB">
        <w:rPr>
          <w:b/>
          <w:bCs/>
          <w:kern w:val="22"/>
          <w:sz w:val="22"/>
          <w:szCs w:val="22"/>
        </w:rPr>
        <w:t>Possible follow-up by the Committee</w:t>
      </w:r>
    </w:p>
    <w:p w14:paraId="5D2F23ED" w14:textId="00FB4AEB" w:rsidR="004408B9" w:rsidRPr="00B17ECB" w:rsidRDefault="002C4365" w:rsidP="00077A0C">
      <w:pPr>
        <w:pStyle w:val="Para1"/>
        <w:numPr>
          <w:ilvl w:val="0"/>
          <w:numId w:val="6"/>
        </w:numPr>
        <w:suppressLineNumbers/>
        <w:tabs>
          <w:tab w:val="left" w:pos="1134"/>
        </w:tabs>
        <w:suppressAutoHyphens/>
        <w:spacing w:line="238" w:lineRule="auto"/>
        <w:ind w:left="567"/>
        <w:jc w:val="both"/>
        <w:rPr>
          <w:b/>
          <w:bCs/>
          <w:iCs/>
          <w:kern w:val="22"/>
          <w:szCs w:val="22"/>
        </w:rPr>
      </w:pPr>
      <w:r w:rsidRPr="00B17ECB">
        <w:rPr>
          <w:kern w:val="22"/>
          <w:sz w:val="22"/>
          <w:szCs w:val="22"/>
        </w:rPr>
        <w:t xml:space="preserve">For the </w:t>
      </w:r>
      <w:r w:rsidR="00BB5DA7" w:rsidRPr="00B17ECB">
        <w:rPr>
          <w:kern w:val="22"/>
          <w:sz w:val="22"/>
          <w:szCs w:val="22"/>
        </w:rPr>
        <w:t>four</w:t>
      </w:r>
      <w:r w:rsidRPr="00B17ECB">
        <w:rPr>
          <w:kern w:val="22"/>
          <w:sz w:val="22"/>
          <w:szCs w:val="22"/>
        </w:rPr>
        <w:t xml:space="preserve"> Parties that reported in their fourth national reports that national measures </w:t>
      </w:r>
      <w:r w:rsidR="002A3B19" w:rsidRPr="00B17ECB">
        <w:rPr>
          <w:kern w:val="22"/>
          <w:sz w:val="22"/>
          <w:szCs w:val="22"/>
        </w:rPr>
        <w:t xml:space="preserve">were </w:t>
      </w:r>
      <w:r w:rsidRPr="00B17ECB">
        <w:rPr>
          <w:kern w:val="22"/>
          <w:sz w:val="22"/>
          <w:szCs w:val="22"/>
        </w:rPr>
        <w:t xml:space="preserve">partially in place but who have not published corresponding information on the BCH, the Committee may wish to request </w:t>
      </w:r>
      <w:r w:rsidR="00A34F2B" w:rsidRPr="00B17ECB">
        <w:rPr>
          <w:kern w:val="22"/>
          <w:sz w:val="22"/>
          <w:szCs w:val="22"/>
        </w:rPr>
        <w:t>its</w:t>
      </w:r>
      <w:r w:rsidRPr="00B17ECB">
        <w:rPr>
          <w:kern w:val="22"/>
          <w:sz w:val="22"/>
          <w:szCs w:val="22"/>
        </w:rPr>
        <w:t xml:space="preserve"> </w:t>
      </w:r>
      <w:r w:rsidR="00E16020" w:rsidRPr="00B17ECB">
        <w:rPr>
          <w:kern w:val="22"/>
          <w:sz w:val="22"/>
          <w:szCs w:val="22"/>
        </w:rPr>
        <w:t>Chair</w:t>
      </w:r>
      <w:r w:rsidRPr="00B17ECB">
        <w:rPr>
          <w:kern w:val="22"/>
          <w:sz w:val="22"/>
          <w:szCs w:val="22"/>
        </w:rPr>
        <w:t xml:space="preserve"> to communicate with these Parties and request them to publish the relevant measures on the BCH.</w:t>
      </w:r>
    </w:p>
    <w:p w14:paraId="74822318" w14:textId="1A5D1134" w:rsidR="004408B9" w:rsidRPr="00B17ECB" w:rsidRDefault="00033DD8" w:rsidP="00077A0C">
      <w:pPr>
        <w:pStyle w:val="Para1"/>
        <w:numPr>
          <w:ilvl w:val="0"/>
          <w:numId w:val="6"/>
        </w:numPr>
        <w:suppressLineNumbers/>
        <w:tabs>
          <w:tab w:val="left" w:pos="1134"/>
        </w:tabs>
        <w:suppressAutoHyphens/>
        <w:spacing w:line="238" w:lineRule="auto"/>
        <w:ind w:left="567"/>
        <w:jc w:val="both"/>
        <w:rPr>
          <w:kern w:val="22"/>
          <w:sz w:val="22"/>
          <w:szCs w:val="22"/>
        </w:rPr>
      </w:pPr>
      <w:r w:rsidRPr="00B17ECB">
        <w:rPr>
          <w:kern w:val="22"/>
          <w:sz w:val="22"/>
          <w:szCs w:val="22"/>
        </w:rPr>
        <w:t>Th</w:t>
      </w:r>
      <w:r w:rsidR="00724085" w:rsidRPr="00B17ECB">
        <w:rPr>
          <w:kern w:val="22"/>
          <w:sz w:val="22"/>
          <w:szCs w:val="22"/>
        </w:rPr>
        <w:t>is leaves</w:t>
      </w:r>
      <w:r w:rsidRPr="00B17ECB">
        <w:rPr>
          <w:kern w:val="22"/>
          <w:sz w:val="22"/>
          <w:szCs w:val="22"/>
        </w:rPr>
        <w:t xml:space="preserve"> </w:t>
      </w:r>
      <w:r w:rsidR="006B4723" w:rsidRPr="00B17ECB">
        <w:rPr>
          <w:kern w:val="22"/>
          <w:sz w:val="22"/>
          <w:szCs w:val="22"/>
        </w:rPr>
        <w:t xml:space="preserve">11 </w:t>
      </w:r>
      <w:r w:rsidR="004408B9" w:rsidRPr="00B17ECB">
        <w:rPr>
          <w:kern w:val="22"/>
          <w:sz w:val="22"/>
          <w:szCs w:val="22"/>
        </w:rPr>
        <w:t xml:space="preserve">Parties whose compliance action plan is still outstanding and </w:t>
      </w:r>
      <w:r w:rsidRPr="00B17ECB">
        <w:rPr>
          <w:kern w:val="22"/>
          <w:sz w:val="22"/>
          <w:szCs w:val="22"/>
        </w:rPr>
        <w:t xml:space="preserve">who </w:t>
      </w:r>
      <w:r w:rsidR="004408B9" w:rsidRPr="00B17ECB">
        <w:rPr>
          <w:kern w:val="22"/>
          <w:sz w:val="22"/>
          <w:szCs w:val="22"/>
        </w:rPr>
        <w:t xml:space="preserve">continue not to have fully or partially taken the measures necessary for the implementation of the </w:t>
      </w:r>
      <w:proofErr w:type="gramStart"/>
      <w:r w:rsidR="004408B9" w:rsidRPr="00B17ECB">
        <w:rPr>
          <w:kern w:val="22"/>
          <w:sz w:val="22"/>
          <w:szCs w:val="22"/>
        </w:rPr>
        <w:t>Protocol, or</w:t>
      </w:r>
      <w:proofErr w:type="gramEnd"/>
      <w:r w:rsidR="004408B9" w:rsidRPr="00B17ECB">
        <w:rPr>
          <w:kern w:val="22"/>
          <w:sz w:val="22"/>
          <w:szCs w:val="22"/>
        </w:rPr>
        <w:t xml:space="preserve"> have not provided any information indicating that such measures have been taken.</w:t>
      </w:r>
      <w:r w:rsidR="003829C6" w:rsidRPr="00B17ECB">
        <w:rPr>
          <w:rStyle w:val="FootnoteReference"/>
          <w:kern w:val="22"/>
          <w:sz w:val="22"/>
          <w:szCs w:val="22"/>
        </w:rPr>
        <w:footnoteReference w:id="19"/>
      </w:r>
      <w:r w:rsidR="004408B9" w:rsidRPr="00B17ECB">
        <w:rPr>
          <w:kern w:val="22"/>
          <w:sz w:val="22"/>
          <w:szCs w:val="22"/>
        </w:rPr>
        <w:t xml:space="preserve"> </w:t>
      </w:r>
    </w:p>
    <w:p w14:paraId="3F89546B" w14:textId="2FE5210C" w:rsidR="004408B9" w:rsidRPr="00B17ECB" w:rsidRDefault="00681BB0" w:rsidP="00077A0C">
      <w:pPr>
        <w:pStyle w:val="Para1"/>
        <w:numPr>
          <w:ilvl w:val="0"/>
          <w:numId w:val="6"/>
        </w:numPr>
        <w:suppressLineNumbers/>
        <w:tabs>
          <w:tab w:val="left" w:pos="1134"/>
        </w:tabs>
        <w:suppressAutoHyphens/>
        <w:spacing w:line="238" w:lineRule="auto"/>
        <w:ind w:left="567"/>
        <w:jc w:val="both"/>
        <w:rPr>
          <w:kern w:val="22"/>
          <w:sz w:val="22"/>
          <w:szCs w:val="22"/>
        </w:rPr>
      </w:pPr>
      <w:r w:rsidRPr="00B17ECB">
        <w:rPr>
          <w:kern w:val="22"/>
          <w:sz w:val="22"/>
          <w:szCs w:val="22"/>
        </w:rPr>
        <w:t>T</w:t>
      </w:r>
      <w:r w:rsidR="004408B9" w:rsidRPr="00B17ECB">
        <w:rPr>
          <w:kern w:val="22"/>
          <w:sz w:val="22"/>
          <w:szCs w:val="22"/>
        </w:rPr>
        <w:t xml:space="preserve">he Committee may wish to request that </w:t>
      </w:r>
      <w:r w:rsidR="00103300" w:rsidRPr="00B17ECB">
        <w:rPr>
          <w:kern w:val="22"/>
          <w:sz w:val="22"/>
          <w:szCs w:val="22"/>
        </w:rPr>
        <w:t xml:space="preserve">its </w:t>
      </w:r>
      <w:r w:rsidR="004408B9" w:rsidRPr="00B17ECB">
        <w:rPr>
          <w:kern w:val="22"/>
          <w:sz w:val="22"/>
          <w:szCs w:val="22"/>
        </w:rPr>
        <w:t xml:space="preserve">Chair </w:t>
      </w:r>
      <w:r w:rsidRPr="00B17ECB">
        <w:rPr>
          <w:kern w:val="22"/>
          <w:sz w:val="22"/>
          <w:szCs w:val="22"/>
        </w:rPr>
        <w:t>send a letter to</w:t>
      </w:r>
      <w:r w:rsidR="004408B9" w:rsidRPr="00B17ECB">
        <w:rPr>
          <w:kern w:val="22"/>
          <w:sz w:val="22"/>
          <w:szCs w:val="22"/>
        </w:rPr>
        <w:t xml:space="preserve"> these Parties, urging them to develop a compliance action plan setting out a timeline and the actions required to achieve compliance with their obligation to introduce the necessary measures to implement their obligations under the Protocol in accordance with Article 2, paragraph 1, of the Protocol. </w:t>
      </w:r>
      <w:r w:rsidR="00CB0395" w:rsidRPr="00B17ECB">
        <w:rPr>
          <w:kern w:val="22"/>
          <w:sz w:val="22"/>
          <w:szCs w:val="22"/>
        </w:rPr>
        <w:t xml:space="preserve">In the letter to Botswana and to Samoa, the Committee may wish to request that the Chair acknowledge the preparation of </w:t>
      </w:r>
      <w:r w:rsidR="00D8633E" w:rsidRPr="00B17ECB">
        <w:rPr>
          <w:kern w:val="22"/>
          <w:sz w:val="22"/>
          <w:szCs w:val="22"/>
        </w:rPr>
        <w:t>the</w:t>
      </w:r>
      <w:r w:rsidR="00CB0395" w:rsidRPr="00B17ECB">
        <w:rPr>
          <w:kern w:val="22"/>
          <w:sz w:val="22"/>
          <w:szCs w:val="22"/>
        </w:rPr>
        <w:t xml:space="preserve"> draft compliance action plan. </w:t>
      </w:r>
    </w:p>
    <w:p w14:paraId="1330F61E" w14:textId="52076AE1" w:rsidR="00B53F2C" w:rsidRPr="00B17ECB" w:rsidRDefault="006F2DCC" w:rsidP="00506730">
      <w:pPr>
        <w:pStyle w:val="Heading2"/>
        <w:jc w:val="left"/>
      </w:pPr>
      <w:r w:rsidRPr="00B17ECB">
        <w:t xml:space="preserve">B. </w:t>
      </w:r>
      <w:r w:rsidRPr="00B17ECB">
        <w:tab/>
      </w:r>
      <w:r w:rsidR="007162B6" w:rsidRPr="00B17ECB">
        <w:t>Identification of further Parties t</w:t>
      </w:r>
      <w:r w:rsidR="007F48EC" w:rsidRPr="00B17ECB">
        <w:t>hat have not adopted any measures or that have adopted only draft or temporary measures to implement the Protocol and suggested follow-up</w:t>
      </w:r>
    </w:p>
    <w:p w14:paraId="7076D978" w14:textId="3BB37407" w:rsidR="00B60D7B" w:rsidRPr="00B17ECB" w:rsidRDefault="002B50FE" w:rsidP="00077A0C">
      <w:pPr>
        <w:pStyle w:val="Para1"/>
        <w:numPr>
          <w:ilvl w:val="0"/>
          <w:numId w:val="6"/>
        </w:numPr>
        <w:suppressLineNumbers/>
        <w:tabs>
          <w:tab w:val="left" w:pos="1134"/>
        </w:tabs>
        <w:suppressAutoHyphens/>
        <w:spacing w:line="238" w:lineRule="auto"/>
        <w:ind w:left="567"/>
        <w:jc w:val="both"/>
        <w:rPr>
          <w:kern w:val="22"/>
          <w:sz w:val="22"/>
          <w:szCs w:val="22"/>
          <w:lang w:val="en-GB"/>
        </w:rPr>
      </w:pPr>
      <w:r w:rsidRPr="00B17ECB">
        <w:rPr>
          <w:iCs/>
          <w:kern w:val="22"/>
          <w:sz w:val="22"/>
          <w:szCs w:val="22"/>
          <w:lang w:val="en-GB"/>
        </w:rPr>
        <w:t xml:space="preserve">In </w:t>
      </w:r>
      <w:r w:rsidRPr="00B17ECB">
        <w:rPr>
          <w:kern w:val="22"/>
          <w:sz w:val="22"/>
          <w:szCs w:val="22"/>
        </w:rPr>
        <w:t>addition</w:t>
      </w:r>
      <w:r w:rsidRPr="00B17ECB">
        <w:rPr>
          <w:iCs/>
          <w:kern w:val="22"/>
          <w:sz w:val="22"/>
          <w:szCs w:val="22"/>
          <w:lang w:val="en-GB"/>
        </w:rPr>
        <w:t xml:space="preserve"> to </w:t>
      </w:r>
      <w:r w:rsidRPr="00B17ECB">
        <w:rPr>
          <w:kern w:val="22"/>
          <w:sz w:val="22"/>
          <w:szCs w:val="22"/>
        </w:rPr>
        <w:t>the</w:t>
      </w:r>
      <w:r w:rsidRPr="00B17ECB">
        <w:rPr>
          <w:iCs/>
          <w:kern w:val="22"/>
          <w:sz w:val="22"/>
          <w:szCs w:val="22"/>
          <w:lang w:val="en-GB"/>
        </w:rPr>
        <w:t xml:space="preserve"> </w:t>
      </w:r>
      <w:r w:rsidRPr="00077A0C">
        <w:rPr>
          <w:kern w:val="22"/>
          <w:sz w:val="22"/>
          <w:szCs w:val="22"/>
        </w:rPr>
        <w:t>Parties</w:t>
      </w:r>
      <w:r w:rsidR="009711A7" w:rsidRPr="00B17ECB">
        <w:rPr>
          <w:iCs/>
          <w:kern w:val="22"/>
          <w:sz w:val="22"/>
          <w:szCs w:val="22"/>
          <w:lang w:val="en-GB"/>
        </w:rPr>
        <w:t xml:space="preserve"> that</w:t>
      </w:r>
      <w:r w:rsidRPr="00B17ECB">
        <w:rPr>
          <w:iCs/>
          <w:kern w:val="22"/>
          <w:sz w:val="22"/>
          <w:szCs w:val="22"/>
          <w:lang w:val="en-GB"/>
        </w:rPr>
        <w:t xml:space="preserve"> the Committee identified </w:t>
      </w:r>
      <w:r w:rsidR="002B7805" w:rsidRPr="00B17ECB">
        <w:rPr>
          <w:iCs/>
          <w:kern w:val="22"/>
          <w:sz w:val="22"/>
          <w:szCs w:val="22"/>
          <w:lang w:val="en-GB"/>
        </w:rPr>
        <w:t xml:space="preserve">at its fifteenth meeting </w:t>
      </w:r>
      <w:r w:rsidRPr="00B17ECB">
        <w:rPr>
          <w:iCs/>
          <w:kern w:val="22"/>
          <w:sz w:val="22"/>
          <w:szCs w:val="22"/>
          <w:lang w:val="en-GB"/>
        </w:rPr>
        <w:t xml:space="preserve">on the basis of information provided in their third national reports, </w:t>
      </w:r>
      <w:r w:rsidR="00A93249" w:rsidRPr="00B17ECB">
        <w:rPr>
          <w:iCs/>
          <w:kern w:val="22"/>
          <w:sz w:val="22"/>
          <w:szCs w:val="22"/>
          <w:lang w:val="en-GB"/>
        </w:rPr>
        <w:t>a</w:t>
      </w:r>
      <w:r w:rsidR="00024C7A" w:rsidRPr="00B17ECB">
        <w:rPr>
          <w:iCs/>
          <w:kern w:val="22"/>
          <w:sz w:val="22"/>
          <w:szCs w:val="22"/>
          <w:lang w:val="en-GB"/>
        </w:rPr>
        <w:t xml:space="preserve"> further Party</w:t>
      </w:r>
      <w:r w:rsidR="00001C0D" w:rsidRPr="00B17ECB">
        <w:rPr>
          <w:iCs/>
          <w:kern w:val="22"/>
          <w:sz w:val="22"/>
          <w:szCs w:val="22"/>
          <w:lang w:val="en-GB"/>
        </w:rPr>
        <w:t xml:space="preserve">, Cabo Verde, </w:t>
      </w:r>
      <w:r w:rsidR="00A93249" w:rsidRPr="00B17ECB">
        <w:rPr>
          <w:iCs/>
          <w:kern w:val="22"/>
          <w:sz w:val="22"/>
          <w:szCs w:val="22"/>
          <w:lang w:val="en-GB"/>
        </w:rPr>
        <w:t xml:space="preserve">has subsequently submitted its third national report </w:t>
      </w:r>
      <w:r w:rsidR="00F74E22" w:rsidRPr="00B17ECB">
        <w:rPr>
          <w:iCs/>
          <w:kern w:val="22"/>
          <w:sz w:val="22"/>
          <w:szCs w:val="22"/>
          <w:lang w:val="en-GB"/>
        </w:rPr>
        <w:t>and indicated</w:t>
      </w:r>
      <w:r w:rsidR="00001C0D" w:rsidRPr="00B17ECB">
        <w:rPr>
          <w:iCs/>
          <w:kern w:val="22"/>
          <w:sz w:val="22"/>
          <w:szCs w:val="22"/>
          <w:lang w:val="en-GB"/>
        </w:rPr>
        <w:t xml:space="preserve"> </w:t>
      </w:r>
      <w:r w:rsidR="00B60D7B" w:rsidRPr="00B17ECB">
        <w:rPr>
          <w:iCs/>
          <w:kern w:val="22"/>
          <w:sz w:val="22"/>
          <w:szCs w:val="22"/>
          <w:lang w:val="en-GB"/>
        </w:rPr>
        <w:t xml:space="preserve">that only draft measures </w:t>
      </w:r>
      <w:r w:rsidR="0047600A" w:rsidRPr="00B17ECB">
        <w:rPr>
          <w:iCs/>
          <w:kern w:val="22"/>
          <w:sz w:val="22"/>
          <w:szCs w:val="22"/>
          <w:lang w:val="en-GB"/>
        </w:rPr>
        <w:t xml:space="preserve">were </w:t>
      </w:r>
      <w:r w:rsidR="00B60D7B" w:rsidRPr="00B17ECB">
        <w:rPr>
          <w:iCs/>
          <w:kern w:val="22"/>
          <w:sz w:val="22"/>
          <w:szCs w:val="22"/>
          <w:lang w:val="en-GB"/>
        </w:rPr>
        <w:t>in place.</w:t>
      </w:r>
      <w:r w:rsidR="00141B6F" w:rsidRPr="00B17ECB">
        <w:rPr>
          <w:rStyle w:val="FootnoteReference"/>
          <w:iCs/>
          <w:kern w:val="22"/>
          <w:sz w:val="22"/>
          <w:szCs w:val="22"/>
          <w:lang w:val="en-GB"/>
        </w:rPr>
        <w:footnoteReference w:id="20"/>
      </w:r>
      <w:r w:rsidR="00B60D7B" w:rsidRPr="00B17ECB">
        <w:rPr>
          <w:iCs/>
          <w:kern w:val="22"/>
          <w:sz w:val="22"/>
          <w:szCs w:val="22"/>
          <w:lang w:val="en-GB"/>
        </w:rPr>
        <w:t xml:space="preserve"> </w:t>
      </w:r>
      <w:r w:rsidR="00F74E22" w:rsidRPr="00B17ECB">
        <w:rPr>
          <w:iCs/>
          <w:kern w:val="22"/>
          <w:sz w:val="22"/>
          <w:szCs w:val="22"/>
          <w:lang w:val="en-GB"/>
        </w:rPr>
        <w:t xml:space="preserve">Furthermore, in the </w:t>
      </w:r>
      <w:r w:rsidR="005A79C0" w:rsidRPr="00B17ECB">
        <w:rPr>
          <w:iCs/>
          <w:kern w:val="22"/>
          <w:sz w:val="22"/>
          <w:szCs w:val="22"/>
          <w:lang w:val="en-GB"/>
        </w:rPr>
        <w:t xml:space="preserve">fourth national reports received to date, </w:t>
      </w:r>
      <w:r w:rsidR="00A93249" w:rsidRPr="00B17ECB">
        <w:rPr>
          <w:iCs/>
          <w:kern w:val="22"/>
          <w:sz w:val="22"/>
          <w:szCs w:val="22"/>
          <w:lang w:val="en-GB"/>
        </w:rPr>
        <w:t>eight</w:t>
      </w:r>
      <w:r w:rsidR="00A93249" w:rsidRPr="00B17ECB">
        <w:rPr>
          <w:kern w:val="22"/>
          <w:sz w:val="22"/>
          <w:szCs w:val="22"/>
        </w:rPr>
        <w:t xml:space="preserve"> </w:t>
      </w:r>
      <w:r w:rsidR="00A93249" w:rsidRPr="00B17ECB">
        <w:rPr>
          <w:iCs/>
          <w:kern w:val="22"/>
          <w:sz w:val="22"/>
          <w:szCs w:val="22"/>
          <w:lang w:val="en-GB"/>
        </w:rPr>
        <w:t>more Parties have indicated that they ha</w:t>
      </w:r>
      <w:r w:rsidR="0047600A" w:rsidRPr="00B17ECB">
        <w:rPr>
          <w:iCs/>
          <w:kern w:val="22"/>
          <w:sz w:val="22"/>
          <w:szCs w:val="22"/>
          <w:lang w:val="en-GB"/>
        </w:rPr>
        <w:t>d</w:t>
      </w:r>
      <w:r w:rsidR="00A93249" w:rsidRPr="00B17ECB">
        <w:rPr>
          <w:iCs/>
          <w:kern w:val="22"/>
          <w:sz w:val="22"/>
          <w:szCs w:val="22"/>
          <w:lang w:val="en-GB"/>
        </w:rPr>
        <w:t xml:space="preserve"> not yet taken any measures to implement the Protocol, or that they ha</w:t>
      </w:r>
      <w:r w:rsidR="0047600A" w:rsidRPr="00B17ECB">
        <w:rPr>
          <w:iCs/>
          <w:kern w:val="22"/>
          <w:sz w:val="22"/>
          <w:szCs w:val="22"/>
          <w:lang w:val="en-GB"/>
        </w:rPr>
        <w:t>d</w:t>
      </w:r>
      <w:r w:rsidR="00A93249" w:rsidRPr="00B17ECB">
        <w:rPr>
          <w:iCs/>
          <w:kern w:val="22"/>
          <w:sz w:val="22"/>
          <w:szCs w:val="22"/>
          <w:lang w:val="en-GB"/>
        </w:rPr>
        <w:t xml:space="preserve"> taken only draft or temporary measures.</w:t>
      </w:r>
      <w:r w:rsidRPr="00B17ECB" w:rsidDel="00B60D7B">
        <w:rPr>
          <w:kern w:val="22"/>
          <w:sz w:val="22"/>
          <w:szCs w:val="22"/>
          <w:lang w:val="en-GB"/>
        </w:rPr>
        <w:t xml:space="preserve"> </w:t>
      </w:r>
    </w:p>
    <w:p w14:paraId="34A82C90" w14:textId="6446EC45" w:rsidR="00AB4900" w:rsidRPr="00B17ECB" w:rsidRDefault="003C784B" w:rsidP="00077A0C">
      <w:pPr>
        <w:pStyle w:val="Para1"/>
        <w:numPr>
          <w:ilvl w:val="0"/>
          <w:numId w:val="6"/>
        </w:numPr>
        <w:suppressLineNumbers/>
        <w:tabs>
          <w:tab w:val="left" w:pos="1134"/>
        </w:tabs>
        <w:suppressAutoHyphens/>
        <w:spacing w:line="238" w:lineRule="auto"/>
        <w:ind w:left="567"/>
        <w:jc w:val="both"/>
        <w:rPr>
          <w:kern w:val="22"/>
          <w:sz w:val="22"/>
          <w:szCs w:val="22"/>
          <w:lang w:val="en-GB"/>
        </w:rPr>
      </w:pPr>
      <w:proofErr w:type="gramStart"/>
      <w:r w:rsidRPr="00B17ECB">
        <w:rPr>
          <w:kern w:val="22"/>
          <w:sz w:val="22"/>
          <w:szCs w:val="22"/>
        </w:rPr>
        <w:t>On the basis of</w:t>
      </w:r>
      <w:proofErr w:type="gramEnd"/>
      <w:r w:rsidRPr="00B17ECB">
        <w:rPr>
          <w:kern w:val="22"/>
          <w:sz w:val="22"/>
          <w:szCs w:val="22"/>
        </w:rPr>
        <w:t xml:space="preserve"> </w:t>
      </w:r>
      <w:r w:rsidR="005A79C0" w:rsidRPr="00B17ECB">
        <w:rPr>
          <w:kern w:val="22"/>
          <w:sz w:val="22"/>
          <w:szCs w:val="22"/>
        </w:rPr>
        <w:t xml:space="preserve">this </w:t>
      </w:r>
      <w:r w:rsidRPr="00B17ECB">
        <w:rPr>
          <w:kern w:val="22"/>
          <w:sz w:val="22"/>
          <w:szCs w:val="22"/>
        </w:rPr>
        <w:t>information</w:t>
      </w:r>
      <w:r w:rsidR="005A79C0" w:rsidRPr="00B17ECB">
        <w:rPr>
          <w:kern w:val="22"/>
          <w:sz w:val="22"/>
          <w:szCs w:val="22"/>
        </w:rPr>
        <w:t>,</w:t>
      </w:r>
      <w:r w:rsidRPr="00B17ECB">
        <w:rPr>
          <w:kern w:val="22"/>
          <w:sz w:val="22"/>
          <w:szCs w:val="22"/>
        </w:rPr>
        <w:t xml:space="preserve"> these </w:t>
      </w:r>
      <w:r w:rsidR="00082409" w:rsidRPr="00B17ECB">
        <w:rPr>
          <w:kern w:val="22"/>
          <w:sz w:val="22"/>
          <w:szCs w:val="22"/>
        </w:rPr>
        <w:t xml:space="preserve">nine </w:t>
      </w:r>
      <w:r w:rsidRPr="00B17ECB">
        <w:rPr>
          <w:kern w:val="22"/>
          <w:sz w:val="22"/>
          <w:szCs w:val="22"/>
        </w:rPr>
        <w:t>Parties</w:t>
      </w:r>
      <w:r w:rsidR="00864EB8" w:rsidRPr="00B17ECB">
        <w:rPr>
          <w:rStyle w:val="FootnoteReference"/>
          <w:kern w:val="22"/>
          <w:sz w:val="22"/>
          <w:szCs w:val="22"/>
        </w:rPr>
        <w:footnoteReference w:id="21"/>
      </w:r>
      <w:r w:rsidRPr="00B17ECB">
        <w:rPr>
          <w:kern w:val="22"/>
          <w:sz w:val="22"/>
          <w:szCs w:val="22"/>
        </w:rPr>
        <w:t xml:space="preserve"> now fulfil the criteria the Committee used to identify Parties for preparing a compliance action plan. </w:t>
      </w:r>
      <w:r w:rsidR="009C6262" w:rsidRPr="00B17ECB">
        <w:rPr>
          <w:sz w:val="22"/>
          <w:szCs w:val="22"/>
          <w:lang w:val="en-GB"/>
        </w:rPr>
        <w:t xml:space="preserve">From the information submitted by these Parties to the </w:t>
      </w:r>
      <w:r w:rsidR="00637F8D" w:rsidRPr="00B17ECB">
        <w:rPr>
          <w:sz w:val="22"/>
          <w:szCs w:val="22"/>
          <w:lang w:val="en-GB"/>
        </w:rPr>
        <w:t>BCH</w:t>
      </w:r>
      <w:r w:rsidR="009D1EF7" w:rsidRPr="00B17ECB">
        <w:rPr>
          <w:sz w:val="22"/>
          <w:szCs w:val="22"/>
          <w:lang w:val="en-GB"/>
        </w:rPr>
        <w:t>,</w:t>
      </w:r>
      <w:r w:rsidR="009C6262" w:rsidRPr="00B17ECB">
        <w:rPr>
          <w:sz w:val="22"/>
          <w:szCs w:val="22"/>
          <w:lang w:val="en-GB"/>
        </w:rPr>
        <w:t xml:space="preserve"> however, it seems that two</w:t>
      </w:r>
      <w:r w:rsidR="00326E04" w:rsidRPr="00B17ECB">
        <w:rPr>
          <w:sz w:val="22"/>
          <w:szCs w:val="22"/>
          <w:lang w:val="en-GB"/>
        </w:rPr>
        <w:t xml:space="preserve"> </w:t>
      </w:r>
      <w:r w:rsidR="002B176B" w:rsidRPr="00B17ECB">
        <w:rPr>
          <w:sz w:val="22"/>
          <w:szCs w:val="22"/>
          <w:lang w:val="en-GB"/>
        </w:rPr>
        <w:t xml:space="preserve">of them </w:t>
      </w:r>
      <w:r w:rsidR="00326E04" w:rsidRPr="00B17ECB">
        <w:rPr>
          <w:sz w:val="22"/>
          <w:szCs w:val="22"/>
          <w:lang w:val="en-GB"/>
        </w:rPr>
        <w:t>(Armenia and Côte d’Ivoire)</w:t>
      </w:r>
      <w:r w:rsidR="00AB4900" w:rsidRPr="00B17ECB">
        <w:rPr>
          <w:rStyle w:val="FootnoteReference"/>
          <w:iCs/>
          <w:kern w:val="22"/>
          <w:sz w:val="22"/>
          <w:szCs w:val="22"/>
          <w:lang w:val="en-GB"/>
        </w:rPr>
        <w:footnoteReference w:id="22"/>
      </w:r>
      <w:r w:rsidR="009C6262" w:rsidRPr="00B17ECB">
        <w:rPr>
          <w:sz w:val="22"/>
          <w:szCs w:val="22"/>
          <w:lang w:val="en-GB"/>
        </w:rPr>
        <w:t xml:space="preserve"> </w:t>
      </w:r>
      <w:r w:rsidR="00A20505" w:rsidRPr="00B17ECB">
        <w:rPr>
          <w:sz w:val="22"/>
          <w:szCs w:val="22"/>
          <w:lang w:val="en-GB"/>
        </w:rPr>
        <w:t xml:space="preserve">have adopted measures. </w:t>
      </w:r>
      <w:r w:rsidR="00996925" w:rsidRPr="00B17ECB">
        <w:rPr>
          <w:kern w:val="22"/>
          <w:sz w:val="22"/>
          <w:szCs w:val="22"/>
        </w:rPr>
        <w:t>An overview of the answers provided by these Parties in their national report</w:t>
      </w:r>
      <w:r w:rsidR="004925CC" w:rsidRPr="00B17ECB">
        <w:rPr>
          <w:kern w:val="22"/>
          <w:sz w:val="22"/>
          <w:szCs w:val="22"/>
        </w:rPr>
        <w:t>s</w:t>
      </w:r>
      <w:r w:rsidR="00996925" w:rsidRPr="00B17ECB">
        <w:rPr>
          <w:kern w:val="22"/>
          <w:sz w:val="22"/>
          <w:szCs w:val="22"/>
        </w:rPr>
        <w:t xml:space="preserve"> and of the measures </w:t>
      </w:r>
      <w:r w:rsidR="00E246A2" w:rsidRPr="00B17ECB">
        <w:rPr>
          <w:kern w:val="22"/>
          <w:sz w:val="22"/>
          <w:szCs w:val="22"/>
        </w:rPr>
        <w:t xml:space="preserve">they </w:t>
      </w:r>
      <w:r w:rsidR="00996925" w:rsidRPr="00B17ECB">
        <w:rPr>
          <w:kern w:val="22"/>
          <w:sz w:val="22"/>
          <w:szCs w:val="22"/>
        </w:rPr>
        <w:t xml:space="preserve">submitted to the BCH is provided in </w:t>
      </w:r>
      <w:r w:rsidR="00C13C4E" w:rsidRPr="00B17ECB">
        <w:rPr>
          <w:kern w:val="22"/>
          <w:sz w:val="22"/>
          <w:szCs w:val="22"/>
        </w:rPr>
        <w:t>a</w:t>
      </w:r>
      <w:r w:rsidR="00996925" w:rsidRPr="00B17ECB">
        <w:rPr>
          <w:kern w:val="22"/>
          <w:sz w:val="22"/>
          <w:szCs w:val="22"/>
        </w:rPr>
        <w:t xml:space="preserve">nnex II. </w:t>
      </w:r>
    </w:p>
    <w:p w14:paraId="7CA1594F" w14:textId="0FE2EE8F" w:rsidR="003E2CF9" w:rsidRPr="00B17ECB" w:rsidRDefault="003C784B" w:rsidP="00077A0C">
      <w:pPr>
        <w:pStyle w:val="Para1"/>
        <w:numPr>
          <w:ilvl w:val="0"/>
          <w:numId w:val="6"/>
        </w:numPr>
        <w:suppressLineNumbers/>
        <w:tabs>
          <w:tab w:val="left" w:pos="1134"/>
        </w:tabs>
        <w:suppressAutoHyphens/>
        <w:spacing w:line="238" w:lineRule="auto"/>
        <w:ind w:left="567"/>
        <w:jc w:val="both"/>
        <w:rPr>
          <w:kern w:val="22"/>
          <w:sz w:val="22"/>
          <w:szCs w:val="22"/>
          <w:lang w:val="en-GB"/>
        </w:rPr>
      </w:pPr>
      <w:r w:rsidRPr="00B17ECB">
        <w:rPr>
          <w:sz w:val="22"/>
          <w:szCs w:val="22"/>
          <w:lang w:val="en-GB"/>
        </w:rPr>
        <w:t xml:space="preserve">The </w:t>
      </w:r>
      <w:r w:rsidRPr="00B17ECB">
        <w:rPr>
          <w:iCs/>
          <w:kern w:val="22"/>
          <w:sz w:val="22"/>
          <w:szCs w:val="22"/>
          <w:lang w:val="en-GB"/>
        </w:rPr>
        <w:t>Committee</w:t>
      </w:r>
      <w:r w:rsidRPr="00B17ECB">
        <w:rPr>
          <w:sz w:val="22"/>
          <w:szCs w:val="22"/>
          <w:lang w:val="en-GB"/>
        </w:rPr>
        <w:t xml:space="preserve"> may </w:t>
      </w:r>
      <w:r w:rsidRPr="00077A0C">
        <w:rPr>
          <w:kern w:val="22"/>
          <w:sz w:val="22"/>
          <w:szCs w:val="22"/>
        </w:rPr>
        <w:t>wish</w:t>
      </w:r>
      <w:r w:rsidRPr="00B17ECB">
        <w:rPr>
          <w:sz w:val="22"/>
          <w:szCs w:val="22"/>
          <w:lang w:val="en-GB"/>
        </w:rPr>
        <w:t xml:space="preserve"> to differentiate between the two Parties that have submitted several measures to the BCH </w:t>
      </w:r>
      <w:r w:rsidR="00E819FF" w:rsidRPr="00B17ECB">
        <w:rPr>
          <w:sz w:val="22"/>
          <w:szCs w:val="22"/>
          <w:lang w:val="en-GB"/>
        </w:rPr>
        <w:t xml:space="preserve">(Armenia and Côte d’Ivoire) </w:t>
      </w:r>
      <w:r w:rsidRPr="00B17ECB">
        <w:rPr>
          <w:sz w:val="22"/>
          <w:szCs w:val="22"/>
          <w:lang w:val="en-GB"/>
        </w:rPr>
        <w:t>and th</w:t>
      </w:r>
      <w:r w:rsidR="00E819FF" w:rsidRPr="00B17ECB">
        <w:rPr>
          <w:sz w:val="22"/>
          <w:szCs w:val="22"/>
          <w:lang w:val="en-GB"/>
        </w:rPr>
        <w:t xml:space="preserve">e other </w:t>
      </w:r>
      <w:r w:rsidR="00AD092B" w:rsidRPr="00B17ECB">
        <w:rPr>
          <w:sz w:val="22"/>
          <w:szCs w:val="22"/>
          <w:lang w:val="en-GB"/>
        </w:rPr>
        <w:t xml:space="preserve">seven </w:t>
      </w:r>
      <w:r w:rsidR="00E819FF" w:rsidRPr="00B17ECB">
        <w:rPr>
          <w:sz w:val="22"/>
          <w:szCs w:val="22"/>
          <w:lang w:val="en-GB"/>
        </w:rPr>
        <w:t>Parties</w:t>
      </w:r>
      <w:r w:rsidRPr="00B17ECB">
        <w:rPr>
          <w:sz w:val="22"/>
          <w:szCs w:val="22"/>
          <w:lang w:val="en-GB"/>
        </w:rPr>
        <w:t xml:space="preserve"> in its follow</w:t>
      </w:r>
      <w:r w:rsidR="00C13C4E" w:rsidRPr="00B17ECB">
        <w:rPr>
          <w:sz w:val="22"/>
          <w:szCs w:val="22"/>
          <w:lang w:val="en-GB"/>
        </w:rPr>
        <w:t>-</w:t>
      </w:r>
      <w:r w:rsidRPr="00B17ECB">
        <w:rPr>
          <w:sz w:val="22"/>
          <w:szCs w:val="22"/>
          <w:lang w:val="en-GB"/>
        </w:rPr>
        <w:t xml:space="preserve">up. </w:t>
      </w:r>
      <w:r w:rsidR="003E2CF9" w:rsidRPr="00B17ECB">
        <w:rPr>
          <w:kern w:val="22"/>
          <w:sz w:val="22"/>
          <w:szCs w:val="22"/>
          <w:lang w:val="en-GB"/>
        </w:rPr>
        <w:t xml:space="preserve">The Committee </w:t>
      </w:r>
      <w:r w:rsidR="003E2CF9" w:rsidRPr="00B17ECB">
        <w:rPr>
          <w:iCs/>
          <w:kern w:val="22"/>
          <w:sz w:val="22"/>
          <w:szCs w:val="22"/>
          <w:lang w:val="en-GB"/>
        </w:rPr>
        <w:t>may</w:t>
      </w:r>
      <w:r w:rsidR="003E2CF9" w:rsidRPr="00B17ECB">
        <w:rPr>
          <w:kern w:val="22"/>
          <w:sz w:val="22"/>
          <w:szCs w:val="22"/>
          <w:lang w:val="en-GB"/>
        </w:rPr>
        <w:t xml:space="preserve"> wish to consider requesting the Secretariat to contact </w:t>
      </w:r>
      <w:r w:rsidR="0050176D" w:rsidRPr="00B17ECB">
        <w:rPr>
          <w:kern w:val="22"/>
          <w:sz w:val="22"/>
          <w:szCs w:val="22"/>
          <w:lang w:val="en-GB"/>
        </w:rPr>
        <w:t>Armenia and Côte d’Ivoire</w:t>
      </w:r>
      <w:r w:rsidR="003E2CF9" w:rsidRPr="00B17ECB">
        <w:rPr>
          <w:kern w:val="22"/>
          <w:sz w:val="22"/>
          <w:szCs w:val="22"/>
          <w:lang w:val="en-GB"/>
        </w:rPr>
        <w:t xml:space="preserve"> and request these Parties to clarify</w:t>
      </w:r>
      <w:r w:rsidR="005530EB" w:rsidRPr="00B17ECB">
        <w:rPr>
          <w:kern w:val="22"/>
          <w:sz w:val="22"/>
          <w:szCs w:val="22"/>
          <w:lang w:val="en-GB"/>
        </w:rPr>
        <w:t xml:space="preserve"> whether the </w:t>
      </w:r>
      <w:r w:rsidR="00E86338" w:rsidRPr="00B17ECB">
        <w:rPr>
          <w:kern w:val="22"/>
          <w:sz w:val="22"/>
          <w:szCs w:val="22"/>
          <w:lang w:val="en-GB"/>
        </w:rPr>
        <w:t xml:space="preserve">fact that the Party has </w:t>
      </w:r>
      <w:r w:rsidR="0050176D" w:rsidRPr="00B17ECB">
        <w:rPr>
          <w:kern w:val="22"/>
          <w:sz w:val="22"/>
          <w:szCs w:val="22"/>
          <w:lang w:val="en-GB"/>
        </w:rPr>
        <w:t>submitted multiple legal</w:t>
      </w:r>
      <w:r w:rsidR="00E86338" w:rsidRPr="00B17ECB">
        <w:rPr>
          <w:kern w:val="22"/>
          <w:sz w:val="22"/>
          <w:szCs w:val="22"/>
          <w:lang w:val="en-GB"/>
        </w:rPr>
        <w:t xml:space="preserve"> instruments</w:t>
      </w:r>
      <w:r w:rsidR="0050176D" w:rsidRPr="00B17ECB">
        <w:rPr>
          <w:kern w:val="22"/>
          <w:sz w:val="22"/>
          <w:szCs w:val="22"/>
          <w:lang w:val="en-GB"/>
        </w:rPr>
        <w:t xml:space="preserve"> to the BCH</w:t>
      </w:r>
      <w:r w:rsidR="00E86338" w:rsidRPr="00B17ECB">
        <w:rPr>
          <w:kern w:val="22"/>
          <w:sz w:val="22"/>
          <w:szCs w:val="22"/>
          <w:lang w:val="en-GB"/>
        </w:rPr>
        <w:t xml:space="preserve"> would mean that measures are </w:t>
      </w:r>
      <w:r w:rsidR="00276211" w:rsidRPr="00B17ECB">
        <w:rPr>
          <w:kern w:val="22"/>
          <w:sz w:val="22"/>
          <w:szCs w:val="22"/>
          <w:lang w:val="en-GB"/>
        </w:rPr>
        <w:t xml:space="preserve">now </w:t>
      </w:r>
      <w:r w:rsidR="00E86338" w:rsidRPr="00B17ECB">
        <w:rPr>
          <w:kern w:val="22"/>
          <w:sz w:val="22"/>
          <w:szCs w:val="22"/>
          <w:lang w:val="en-GB"/>
        </w:rPr>
        <w:t xml:space="preserve">partially in place. </w:t>
      </w:r>
    </w:p>
    <w:p w14:paraId="3C6D3621" w14:textId="4571546B" w:rsidR="00B26F34" w:rsidRPr="00B17ECB" w:rsidRDefault="00E2550C" w:rsidP="00077A0C">
      <w:pPr>
        <w:pStyle w:val="Para1"/>
        <w:numPr>
          <w:ilvl w:val="0"/>
          <w:numId w:val="6"/>
        </w:numPr>
        <w:suppressLineNumbers/>
        <w:tabs>
          <w:tab w:val="left" w:pos="1134"/>
        </w:tabs>
        <w:suppressAutoHyphens/>
        <w:spacing w:line="238" w:lineRule="auto"/>
        <w:ind w:left="567"/>
        <w:jc w:val="both"/>
        <w:rPr>
          <w:kern w:val="22"/>
          <w:sz w:val="22"/>
          <w:szCs w:val="22"/>
          <w:lang w:val="en-GB"/>
        </w:rPr>
      </w:pPr>
      <w:r w:rsidRPr="00B17ECB">
        <w:rPr>
          <w:iCs/>
          <w:kern w:val="22"/>
          <w:sz w:val="22"/>
          <w:szCs w:val="22"/>
          <w:lang w:val="en-GB"/>
        </w:rPr>
        <w:t>For</w:t>
      </w:r>
      <w:r w:rsidR="002B50FE" w:rsidRPr="00B17ECB">
        <w:rPr>
          <w:iCs/>
          <w:kern w:val="22"/>
          <w:sz w:val="22"/>
          <w:szCs w:val="22"/>
          <w:lang w:val="en-GB"/>
        </w:rPr>
        <w:t xml:space="preserve"> </w:t>
      </w:r>
      <w:r w:rsidR="002B50FE" w:rsidRPr="00B17ECB">
        <w:rPr>
          <w:kern w:val="22"/>
          <w:sz w:val="22"/>
          <w:szCs w:val="22"/>
          <w:lang w:val="en-GB"/>
        </w:rPr>
        <w:t>the</w:t>
      </w:r>
      <w:r w:rsidR="00481477" w:rsidRPr="00B17ECB">
        <w:rPr>
          <w:kern w:val="22"/>
          <w:sz w:val="22"/>
          <w:szCs w:val="22"/>
          <w:lang w:val="en-GB"/>
        </w:rPr>
        <w:t xml:space="preserve"> remaining</w:t>
      </w:r>
      <w:r w:rsidR="00E86338" w:rsidRPr="00B17ECB">
        <w:rPr>
          <w:sz w:val="22"/>
          <w:szCs w:val="22"/>
          <w:lang w:val="en-GB"/>
        </w:rPr>
        <w:t xml:space="preserve"> </w:t>
      </w:r>
      <w:r w:rsidR="00AD092B" w:rsidRPr="00B17ECB">
        <w:rPr>
          <w:sz w:val="22"/>
          <w:szCs w:val="22"/>
          <w:lang w:val="en-GB"/>
        </w:rPr>
        <w:t xml:space="preserve">seven </w:t>
      </w:r>
      <w:r w:rsidR="00E86338" w:rsidRPr="00077A0C">
        <w:rPr>
          <w:kern w:val="22"/>
          <w:sz w:val="22"/>
          <w:szCs w:val="22"/>
        </w:rPr>
        <w:t>Parties</w:t>
      </w:r>
      <w:r w:rsidR="00E86338" w:rsidRPr="00B17ECB">
        <w:rPr>
          <w:sz w:val="22"/>
          <w:szCs w:val="22"/>
          <w:lang w:val="en-GB"/>
        </w:rPr>
        <w:t xml:space="preserve"> who</w:t>
      </w:r>
      <w:r w:rsidR="008F6315" w:rsidRPr="00B17ECB">
        <w:rPr>
          <w:sz w:val="22"/>
          <w:szCs w:val="22"/>
          <w:lang w:val="en-GB"/>
        </w:rPr>
        <w:t xml:space="preserve"> have not published any</w:t>
      </w:r>
      <w:r w:rsidR="00E86338" w:rsidRPr="00B17ECB">
        <w:rPr>
          <w:sz w:val="22"/>
          <w:szCs w:val="22"/>
          <w:lang w:val="en-GB"/>
        </w:rPr>
        <w:t xml:space="preserve"> records on </w:t>
      </w:r>
      <w:r w:rsidR="008F6315" w:rsidRPr="00B17ECB">
        <w:rPr>
          <w:sz w:val="22"/>
          <w:szCs w:val="22"/>
          <w:lang w:val="en-GB"/>
        </w:rPr>
        <w:t xml:space="preserve">measures in </w:t>
      </w:r>
      <w:r w:rsidR="00E86338" w:rsidRPr="00B17ECB">
        <w:rPr>
          <w:sz w:val="22"/>
          <w:szCs w:val="22"/>
          <w:lang w:val="en-GB"/>
        </w:rPr>
        <w:t xml:space="preserve">the </w:t>
      </w:r>
      <w:r w:rsidR="00C315B1" w:rsidRPr="00B17ECB">
        <w:rPr>
          <w:sz w:val="22"/>
          <w:szCs w:val="22"/>
          <w:lang w:val="en-GB"/>
        </w:rPr>
        <w:t>BCH,</w:t>
      </w:r>
      <w:r w:rsidR="00E86338" w:rsidRPr="00B17ECB">
        <w:rPr>
          <w:sz w:val="22"/>
          <w:szCs w:val="22"/>
          <w:lang w:val="en-GB"/>
        </w:rPr>
        <w:t xml:space="preserve"> </w:t>
      </w:r>
      <w:r w:rsidR="00BC7F2E" w:rsidRPr="00B17ECB">
        <w:rPr>
          <w:sz w:val="22"/>
          <w:szCs w:val="22"/>
          <w:lang w:val="en-GB"/>
        </w:rPr>
        <w:t>or</w:t>
      </w:r>
      <w:r w:rsidR="008F6315" w:rsidRPr="00B17ECB">
        <w:rPr>
          <w:sz w:val="22"/>
          <w:szCs w:val="22"/>
          <w:lang w:val="en-GB"/>
        </w:rPr>
        <w:t xml:space="preserve"> have</w:t>
      </w:r>
      <w:r w:rsidR="00BC7F2E" w:rsidRPr="00B17ECB">
        <w:rPr>
          <w:sz w:val="22"/>
          <w:szCs w:val="22"/>
          <w:lang w:val="en-GB"/>
        </w:rPr>
        <w:t xml:space="preserve"> only</w:t>
      </w:r>
      <w:r w:rsidR="00C013A5" w:rsidRPr="00B17ECB">
        <w:rPr>
          <w:sz w:val="22"/>
          <w:szCs w:val="22"/>
          <w:lang w:val="en-GB"/>
        </w:rPr>
        <w:t xml:space="preserve"> published records on</w:t>
      </w:r>
      <w:r w:rsidR="00BC7F2E" w:rsidRPr="00B17ECB">
        <w:rPr>
          <w:sz w:val="22"/>
          <w:szCs w:val="22"/>
          <w:lang w:val="en-GB"/>
        </w:rPr>
        <w:t xml:space="preserve"> draft measures</w:t>
      </w:r>
      <w:r w:rsidR="008F5158" w:rsidRPr="00B17ECB">
        <w:rPr>
          <w:sz w:val="22"/>
          <w:szCs w:val="22"/>
          <w:lang w:val="en-GB"/>
        </w:rPr>
        <w:t>, the C</w:t>
      </w:r>
      <w:r w:rsidR="001B02E2" w:rsidRPr="00B17ECB">
        <w:rPr>
          <w:sz w:val="22"/>
          <w:szCs w:val="22"/>
          <w:lang w:val="en-GB"/>
        </w:rPr>
        <w:t>ommittee may wish to request its Chair to send letters to these Parties</w:t>
      </w:r>
      <w:r w:rsidR="00BC7F2E" w:rsidRPr="00B17ECB">
        <w:rPr>
          <w:sz w:val="22"/>
          <w:szCs w:val="22"/>
          <w:lang w:val="en-GB"/>
        </w:rPr>
        <w:t xml:space="preserve"> </w:t>
      </w:r>
      <w:r w:rsidR="002B50FE" w:rsidRPr="00B17ECB">
        <w:rPr>
          <w:iCs/>
          <w:kern w:val="22"/>
          <w:sz w:val="22"/>
          <w:szCs w:val="22"/>
          <w:lang w:val="en-GB"/>
        </w:rPr>
        <w:t>request</w:t>
      </w:r>
      <w:r w:rsidR="001B02E2" w:rsidRPr="00B17ECB">
        <w:rPr>
          <w:iCs/>
          <w:kern w:val="22"/>
          <w:sz w:val="22"/>
          <w:szCs w:val="22"/>
          <w:lang w:val="en-GB"/>
        </w:rPr>
        <w:t>ing</w:t>
      </w:r>
      <w:r w:rsidR="002B50FE" w:rsidRPr="00B17ECB">
        <w:rPr>
          <w:iCs/>
          <w:kern w:val="22"/>
          <w:sz w:val="22"/>
          <w:szCs w:val="22"/>
          <w:lang w:val="en-GB"/>
        </w:rPr>
        <w:t xml:space="preserve"> them</w:t>
      </w:r>
      <w:r w:rsidR="002B50FE" w:rsidRPr="00B17ECB">
        <w:rPr>
          <w:kern w:val="22"/>
          <w:sz w:val="22"/>
          <w:szCs w:val="22"/>
          <w:lang w:val="en-GB"/>
        </w:rPr>
        <w:t xml:space="preserve"> to develop a compliance action plan setting out a timeline and the actions required to achieve compliance with their obligation to introduce the necessary measures to implement their obligations under the Protocol in accordance with Article 2, paragraph</w:t>
      </w:r>
      <w:r w:rsidR="0039355F" w:rsidRPr="00B17ECB">
        <w:rPr>
          <w:kern w:val="22"/>
          <w:sz w:val="22"/>
          <w:szCs w:val="22"/>
          <w:lang w:val="en-GB"/>
        </w:rPr>
        <w:t> </w:t>
      </w:r>
      <w:r w:rsidR="002B50FE" w:rsidRPr="00B17ECB">
        <w:rPr>
          <w:kern w:val="22"/>
          <w:sz w:val="22"/>
          <w:szCs w:val="22"/>
          <w:lang w:val="en-GB"/>
        </w:rPr>
        <w:t xml:space="preserve">1 </w:t>
      </w:r>
      <w:r w:rsidR="002B50FE" w:rsidRPr="00B17ECB">
        <w:rPr>
          <w:kern w:val="22"/>
          <w:sz w:val="22"/>
          <w:szCs w:val="22"/>
          <w:lang w:val="en-GB"/>
        </w:rPr>
        <w:lastRenderedPageBreak/>
        <w:t>of the Protocol</w:t>
      </w:r>
      <w:r w:rsidR="007872C9" w:rsidRPr="00B17ECB">
        <w:rPr>
          <w:sz w:val="22"/>
          <w:szCs w:val="22"/>
          <w:lang w:val="en-GB"/>
        </w:rPr>
        <w:t>.</w:t>
      </w:r>
      <w:r w:rsidR="006139C3" w:rsidRPr="00B17ECB">
        <w:rPr>
          <w:rStyle w:val="FootnoteReference"/>
          <w:sz w:val="22"/>
          <w:szCs w:val="22"/>
        </w:rPr>
        <w:footnoteReference w:id="23"/>
      </w:r>
      <w:r w:rsidR="007872C9" w:rsidRPr="00B17ECB">
        <w:rPr>
          <w:sz w:val="22"/>
          <w:szCs w:val="22"/>
          <w:lang w:val="en-GB"/>
        </w:rPr>
        <w:t xml:space="preserve"> The</w:t>
      </w:r>
      <w:r w:rsidR="002B50FE" w:rsidRPr="00B17ECB">
        <w:rPr>
          <w:kern w:val="22"/>
          <w:sz w:val="22"/>
          <w:szCs w:val="22"/>
          <w:lang w:val="en-GB"/>
        </w:rPr>
        <w:t xml:space="preserve"> template</w:t>
      </w:r>
      <w:r w:rsidR="00726429" w:rsidRPr="00B17ECB">
        <w:rPr>
          <w:sz w:val="22"/>
          <w:szCs w:val="22"/>
          <w:lang w:val="en-GB"/>
        </w:rPr>
        <w:t xml:space="preserve"> for compliance action plans</w:t>
      </w:r>
      <w:r w:rsidR="002B50FE" w:rsidRPr="00B17ECB">
        <w:rPr>
          <w:kern w:val="22"/>
          <w:sz w:val="22"/>
          <w:szCs w:val="22"/>
          <w:lang w:val="en-GB"/>
        </w:rPr>
        <w:t xml:space="preserve"> presented in </w:t>
      </w:r>
      <w:r w:rsidR="00CA15EB" w:rsidRPr="00B17ECB">
        <w:rPr>
          <w:kern w:val="22"/>
          <w:sz w:val="22"/>
          <w:szCs w:val="22"/>
          <w:lang w:val="en-GB"/>
        </w:rPr>
        <w:t xml:space="preserve">the </w:t>
      </w:r>
      <w:r w:rsidR="00C262B2" w:rsidRPr="00B17ECB">
        <w:rPr>
          <w:kern w:val="22"/>
          <w:sz w:val="22"/>
          <w:szCs w:val="22"/>
          <w:lang w:val="en-GB"/>
        </w:rPr>
        <w:t>a</w:t>
      </w:r>
      <w:r w:rsidR="00CA15EB" w:rsidRPr="00B17ECB">
        <w:rPr>
          <w:kern w:val="22"/>
          <w:sz w:val="22"/>
          <w:szCs w:val="22"/>
          <w:lang w:val="en-GB"/>
        </w:rPr>
        <w:t xml:space="preserve">nnex to document </w:t>
      </w:r>
      <w:r w:rsidR="00301F79" w:rsidRPr="00B17ECB">
        <w:rPr>
          <w:kern w:val="22"/>
          <w:sz w:val="22"/>
          <w:szCs w:val="22"/>
          <w:lang w:val="en-GB"/>
        </w:rPr>
        <w:t>CBD/CP/CC/16/</w:t>
      </w:r>
      <w:r w:rsidR="00535238" w:rsidRPr="00B17ECB">
        <w:rPr>
          <w:kern w:val="22"/>
          <w:sz w:val="22"/>
          <w:szCs w:val="22"/>
          <w:lang w:val="en-GB"/>
        </w:rPr>
        <w:t>5</w:t>
      </w:r>
      <w:r w:rsidR="00726429" w:rsidRPr="00B17ECB">
        <w:rPr>
          <w:sz w:val="22"/>
          <w:szCs w:val="22"/>
          <w:lang w:val="en-GB"/>
        </w:rPr>
        <w:t xml:space="preserve"> could be included in the letter</w:t>
      </w:r>
      <w:r w:rsidR="002B50FE" w:rsidRPr="00B17ECB">
        <w:rPr>
          <w:kern w:val="22"/>
          <w:sz w:val="22"/>
          <w:szCs w:val="22"/>
          <w:lang w:val="en-GB"/>
        </w:rPr>
        <w:t>.</w:t>
      </w:r>
    </w:p>
    <w:p w14:paraId="2DAF9622" w14:textId="4A0936DD" w:rsidR="00B26F34" w:rsidRPr="00B17ECB" w:rsidRDefault="00B26F34" w:rsidP="00B26F34">
      <w:pPr>
        <w:pStyle w:val="Heading1"/>
      </w:pPr>
      <w:r w:rsidRPr="00B17ECB">
        <w:t>Information on challenges in the preparation of compliance action plans</w:t>
      </w:r>
    </w:p>
    <w:p w14:paraId="505412D0" w14:textId="27C05421" w:rsidR="00B26F34" w:rsidRPr="00B17ECB" w:rsidRDefault="00B26F34" w:rsidP="00077A0C">
      <w:pPr>
        <w:pStyle w:val="Para1"/>
        <w:numPr>
          <w:ilvl w:val="0"/>
          <w:numId w:val="6"/>
        </w:numPr>
        <w:suppressLineNumbers/>
        <w:tabs>
          <w:tab w:val="left" w:pos="1134"/>
        </w:tabs>
        <w:suppressAutoHyphens/>
        <w:spacing w:line="238" w:lineRule="auto"/>
        <w:ind w:left="567"/>
        <w:jc w:val="both"/>
        <w:rPr>
          <w:kern w:val="22"/>
          <w:sz w:val="22"/>
          <w:szCs w:val="22"/>
        </w:rPr>
      </w:pPr>
      <w:r w:rsidRPr="00B17ECB">
        <w:rPr>
          <w:kern w:val="22"/>
          <w:sz w:val="22"/>
          <w:szCs w:val="22"/>
        </w:rPr>
        <w:t xml:space="preserve">In </w:t>
      </w:r>
      <w:r w:rsidRPr="00B17ECB">
        <w:rPr>
          <w:iCs/>
          <w:kern w:val="22"/>
          <w:sz w:val="22"/>
          <w:szCs w:val="22"/>
          <w:lang w:val="en-GB"/>
        </w:rPr>
        <w:t>response</w:t>
      </w:r>
      <w:r w:rsidRPr="00B17ECB">
        <w:rPr>
          <w:kern w:val="22"/>
          <w:sz w:val="22"/>
          <w:szCs w:val="22"/>
        </w:rPr>
        <w:t xml:space="preserve"> to the request by the Conference of the Parties serving as the meeting of the Parties to the Cartagena Protocol on Biosafety, the Secretariat prepared a survey on compliance challenges.</w:t>
      </w:r>
      <w:r w:rsidRPr="00B17ECB">
        <w:rPr>
          <w:rStyle w:val="FootnoteReference"/>
          <w:kern w:val="22"/>
          <w:sz w:val="22"/>
          <w:szCs w:val="22"/>
        </w:rPr>
        <w:footnoteReference w:id="24"/>
      </w:r>
      <w:r w:rsidRPr="00B17ECB">
        <w:rPr>
          <w:kern w:val="22"/>
          <w:sz w:val="22"/>
          <w:szCs w:val="22"/>
        </w:rPr>
        <w:t xml:space="preserve"> Additional questions on the development, challenges in and effects of the preparation of a compliance action plan were included in the survey that was sent to those</w:t>
      </w:r>
      <w:r w:rsidR="00D646C2" w:rsidRPr="00B17ECB">
        <w:rPr>
          <w:kern w:val="22"/>
          <w:sz w:val="22"/>
          <w:szCs w:val="22"/>
        </w:rPr>
        <w:t xml:space="preserve"> </w:t>
      </w:r>
      <w:r w:rsidR="00DA70C7" w:rsidRPr="00B17ECB">
        <w:rPr>
          <w:kern w:val="22"/>
          <w:sz w:val="22"/>
          <w:szCs w:val="22"/>
        </w:rPr>
        <w:t>25</w:t>
      </w:r>
      <w:r w:rsidRPr="00B17ECB">
        <w:rPr>
          <w:kern w:val="22"/>
          <w:sz w:val="22"/>
          <w:szCs w:val="22"/>
        </w:rPr>
        <w:t xml:space="preserve"> Parties that had been requested to prepare a compliance action plan.</w:t>
      </w:r>
      <w:r w:rsidRPr="00B17ECB">
        <w:rPr>
          <w:rStyle w:val="FootnoteReference"/>
          <w:kern w:val="22"/>
          <w:sz w:val="22"/>
          <w:szCs w:val="22"/>
        </w:rPr>
        <w:footnoteReference w:id="25"/>
      </w:r>
      <w:r w:rsidRPr="00B17ECB">
        <w:rPr>
          <w:kern w:val="22"/>
          <w:sz w:val="22"/>
          <w:szCs w:val="22"/>
        </w:rPr>
        <w:t xml:space="preserve"> </w:t>
      </w:r>
    </w:p>
    <w:p w14:paraId="4462A462" w14:textId="53AABFC6" w:rsidR="00B26F34" w:rsidRPr="00B17ECB" w:rsidRDefault="00B26F34" w:rsidP="00077A0C">
      <w:pPr>
        <w:pStyle w:val="Para1"/>
        <w:numPr>
          <w:ilvl w:val="0"/>
          <w:numId w:val="6"/>
        </w:numPr>
        <w:suppressLineNumbers/>
        <w:tabs>
          <w:tab w:val="left" w:pos="1134"/>
        </w:tabs>
        <w:suppressAutoHyphens/>
        <w:spacing w:line="238" w:lineRule="auto"/>
        <w:ind w:left="567"/>
        <w:jc w:val="both"/>
        <w:rPr>
          <w:kern w:val="22"/>
          <w:sz w:val="22"/>
          <w:szCs w:val="22"/>
        </w:rPr>
      </w:pPr>
      <w:r w:rsidRPr="00B17ECB">
        <w:rPr>
          <w:kern w:val="22"/>
          <w:sz w:val="22"/>
          <w:szCs w:val="22"/>
        </w:rPr>
        <w:t xml:space="preserve">Of the </w:t>
      </w:r>
      <w:r w:rsidR="00DA70C7" w:rsidRPr="00B17ECB">
        <w:rPr>
          <w:kern w:val="22"/>
          <w:sz w:val="22"/>
          <w:szCs w:val="22"/>
        </w:rPr>
        <w:t>25</w:t>
      </w:r>
      <w:r w:rsidRPr="00B17ECB">
        <w:rPr>
          <w:kern w:val="22"/>
          <w:sz w:val="22"/>
          <w:szCs w:val="22"/>
        </w:rPr>
        <w:t xml:space="preserve"> Parties, </w:t>
      </w:r>
      <w:r w:rsidR="00DA70C7" w:rsidRPr="00B17ECB">
        <w:rPr>
          <w:kern w:val="22"/>
          <w:sz w:val="22"/>
          <w:szCs w:val="22"/>
        </w:rPr>
        <w:t xml:space="preserve">10 </w:t>
      </w:r>
      <w:r w:rsidRPr="00B17ECB">
        <w:rPr>
          <w:kern w:val="22"/>
          <w:sz w:val="22"/>
          <w:szCs w:val="22"/>
        </w:rPr>
        <w:t xml:space="preserve">responded to the survey. Of those </w:t>
      </w:r>
      <w:r w:rsidR="00DA70C7" w:rsidRPr="00B17ECB">
        <w:rPr>
          <w:kern w:val="22"/>
          <w:sz w:val="22"/>
          <w:szCs w:val="22"/>
        </w:rPr>
        <w:t>10</w:t>
      </w:r>
      <w:r w:rsidRPr="00B17ECB">
        <w:rPr>
          <w:kern w:val="22"/>
          <w:sz w:val="22"/>
          <w:szCs w:val="22"/>
        </w:rPr>
        <w:t xml:space="preserve">, </w:t>
      </w:r>
      <w:r w:rsidR="002337CC" w:rsidRPr="00B17ECB">
        <w:rPr>
          <w:kern w:val="22"/>
          <w:sz w:val="22"/>
          <w:szCs w:val="22"/>
        </w:rPr>
        <w:t xml:space="preserve">four </w:t>
      </w:r>
      <w:r w:rsidRPr="00B17ECB">
        <w:rPr>
          <w:kern w:val="22"/>
          <w:sz w:val="22"/>
          <w:szCs w:val="22"/>
        </w:rPr>
        <w:t>ha</w:t>
      </w:r>
      <w:r w:rsidR="007A1A1E" w:rsidRPr="00B17ECB">
        <w:rPr>
          <w:kern w:val="22"/>
          <w:sz w:val="22"/>
          <w:szCs w:val="22"/>
        </w:rPr>
        <w:t>ve</w:t>
      </w:r>
      <w:r w:rsidRPr="00B17ECB">
        <w:rPr>
          <w:kern w:val="22"/>
          <w:sz w:val="22"/>
          <w:szCs w:val="22"/>
        </w:rPr>
        <w:t xml:space="preserve"> submitted a compliance action plan</w:t>
      </w:r>
      <w:r w:rsidR="007A1A1E" w:rsidRPr="00B17ECB">
        <w:rPr>
          <w:kern w:val="22"/>
          <w:sz w:val="22"/>
          <w:szCs w:val="22"/>
        </w:rPr>
        <w:t xml:space="preserve"> to the Committee</w:t>
      </w:r>
      <w:r w:rsidRPr="00B17ECB">
        <w:rPr>
          <w:kern w:val="22"/>
          <w:sz w:val="22"/>
          <w:szCs w:val="22"/>
        </w:rPr>
        <w:t>.</w:t>
      </w:r>
      <w:r w:rsidR="00E60020" w:rsidRPr="00B17ECB">
        <w:rPr>
          <w:rStyle w:val="FootnoteReference"/>
          <w:kern w:val="22"/>
          <w:sz w:val="22"/>
          <w:szCs w:val="22"/>
        </w:rPr>
        <w:footnoteReference w:id="26"/>
      </w:r>
      <w:r w:rsidR="00A946BE" w:rsidRPr="00B17ECB">
        <w:rPr>
          <w:kern w:val="22"/>
          <w:sz w:val="22"/>
          <w:szCs w:val="22"/>
        </w:rPr>
        <w:t xml:space="preserve"> </w:t>
      </w:r>
    </w:p>
    <w:p w14:paraId="4B105B38" w14:textId="0987A997" w:rsidR="009476A3" w:rsidRPr="00B17ECB" w:rsidRDefault="001908DB" w:rsidP="00077A0C">
      <w:pPr>
        <w:pStyle w:val="Para1"/>
        <w:numPr>
          <w:ilvl w:val="0"/>
          <w:numId w:val="6"/>
        </w:numPr>
        <w:suppressLineNumbers/>
        <w:tabs>
          <w:tab w:val="left" w:pos="1134"/>
        </w:tabs>
        <w:suppressAutoHyphens/>
        <w:spacing w:line="238" w:lineRule="auto"/>
        <w:ind w:left="567"/>
        <w:jc w:val="both"/>
        <w:rPr>
          <w:kern w:val="22"/>
          <w:sz w:val="22"/>
          <w:szCs w:val="22"/>
        </w:rPr>
      </w:pPr>
      <w:r w:rsidRPr="00B17ECB">
        <w:rPr>
          <w:kern w:val="22"/>
          <w:sz w:val="22"/>
          <w:szCs w:val="22"/>
        </w:rPr>
        <w:t>O</w:t>
      </w:r>
      <w:r w:rsidR="00A402BA" w:rsidRPr="00B17ECB">
        <w:rPr>
          <w:kern w:val="22"/>
          <w:sz w:val="22"/>
          <w:szCs w:val="22"/>
        </w:rPr>
        <w:t xml:space="preserve">nly two Parties that </w:t>
      </w:r>
      <w:r w:rsidRPr="00B17ECB">
        <w:rPr>
          <w:kern w:val="22"/>
          <w:sz w:val="22"/>
          <w:szCs w:val="22"/>
        </w:rPr>
        <w:t xml:space="preserve">had </w:t>
      </w:r>
      <w:r w:rsidR="00A402BA" w:rsidRPr="00B17ECB">
        <w:rPr>
          <w:kern w:val="22"/>
          <w:sz w:val="22"/>
          <w:szCs w:val="22"/>
        </w:rPr>
        <w:t xml:space="preserve">submitted a compliance action plan responded to the question </w:t>
      </w:r>
      <w:r w:rsidR="00696991" w:rsidRPr="00B17ECB">
        <w:rPr>
          <w:kern w:val="22"/>
          <w:sz w:val="22"/>
          <w:szCs w:val="22"/>
        </w:rPr>
        <w:t xml:space="preserve">as to </w:t>
      </w:r>
      <w:r w:rsidR="00A402BA" w:rsidRPr="00B17ECB">
        <w:rPr>
          <w:kern w:val="22"/>
          <w:sz w:val="22"/>
          <w:szCs w:val="22"/>
        </w:rPr>
        <w:t xml:space="preserve">whether the development of the compliance action plan had contributed </w:t>
      </w:r>
      <w:r w:rsidR="00335E5F" w:rsidRPr="00B17ECB">
        <w:rPr>
          <w:kern w:val="22"/>
          <w:sz w:val="22"/>
          <w:szCs w:val="22"/>
        </w:rPr>
        <w:t>to achieving compliance with the obligation to take the necessary measures to implement the Protocol</w:t>
      </w:r>
      <w:r w:rsidR="00400C80" w:rsidRPr="00B17ECB">
        <w:rPr>
          <w:kern w:val="22"/>
          <w:sz w:val="22"/>
          <w:szCs w:val="22"/>
        </w:rPr>
        <w:t>. One</w:t>
      </w:r>
      <w:r w:rsidR="00FC50A9" w:rsidRPr="00B17ECB">
        <w:rPr>
          <w:kern w:val="22"/>
          <w:sz w:val="22"/>
          <w:szCs w:val="22"/>
        </w:rPr>
        <w:t xml:space="preserve"> of</w:t>
      </w:r>
      <w:r w:rsidR="00400C80" w:rsidRPr="00B17ECB">
        <w:rPr>
          <w:kern w:val="22"/>
          <w:sz w:val="22"/>
          <w:szCs w:val="22"/>
        </w:rPr>
        <w:t xml:space="preserve"> them</w:t>
      </w:r>
      <w:r w:rsidR="00AA5C29" w:rsidRPr="00B17ECB">
        <w:rPr>
          <w:kern w:val="22"/>
          <w:sz w:val="22"/>
          <w:szCs w:val="22"/>
        </w:rPr>
        <w:t xml:space="preserve"> indicated that the compliance action plan had not contributed to achieving compliance as the activities set out in the plan had not yet been carried out</w:t>
      </w:r>
      <w:r w:rsidR="001A5669" w:rsidRPr="00B17ECB">
        <w:rPr>
          <w:kern w:val="22"/>
          <w:sz w:val="22"/>
          <w:szCs w:val="22"/>
        </w:rPr>
        <w:t>,</w:t>
      </w:r>
      <w:r w:rsidR="00AA5C29" w:rsidRPr="00B17ECB">
        <w:rPr>
          <w:kern w:val="22"/>
          <w:sz w:val="22"/>
          <w:szCs w:val="22"/>
        </w:rPr>
        <w:t xml:space="preserve"> </w:t>
      </w:r>
      <w:r w:rsidR="0014468D" w:rsidRPr="00B17ECB">
        <w:rPr>
          <w:kern w:val="22"/>
          <w:sz w:val="22"/>
          <w:szCs w:val="22"/>
        </w:rPr>
        <w:t xml:space="preserve">while the other respondent </w:t>
      </w:r>
      <w:r w:rsidR="00AA5C29" w:rsidRPr="00B17ECB">
        <w:rPr>
          <w:kern w:val="22"/>
          <w:sz w:val="22"/>
          <w:szCs w:val="22"/>
        </w:rPr>
        <w:t xml:space="preserve">indicated that </w:t>
      </w:r>
      <w:r w:rsidR="00396332" w:rsidRPr="00B17ECB">
        <w:rPr>
          <w:kern w:val="22"/>
          <w:sz w:val="22"/>
          <w:szCs w:val="22"/>
        </w:rPr>
        <w:t xml:space="preserve">the development of the </w:t>
      </w:r>
      <w:r w:rsidR="003C1404" w:rsidRPr="00B17ECB">
        <w:rPr>
          <w:kern w:val="22"/>
          <w:sz w:val="22"/>
          <w:szCs w:val="22"/>
        </w:rPr>
        <w:t>plan had only contributed to some extent to achieving compliance</w:t>
      </w:r>
      <w:r w:rsidR="0014468D" w:rsidRPr="00B17ECB">
        <w:rPr>
          <w:kern w:val="22"/>
          <w:sz w:val="22"/>
          <w:szCs w:val="22"/>
        </w:rPr>
        <w:t xml:space="preserve"> and that only activities not requiring financial resources had been carried out</w:t>
      </w:r>
      <w:r w:rsidR="003C1404" w:rsidRPr="00B17ECB">
        <w:rPr>
          <w:kern w:val="22"/>
          <w:sz w:val="22"/>
          <w:szCs w:val="22"/>
        </w:rPr>
        <w:t>.</w:t>
      </w:r>
    </w:p>
    <w:p w14:paraId="1EA9E7B4" w14:textId="77777777" w:rsidR="009476A3" w:rsidRPr="00B17ECB" w:rsidRDefault="009476A3" w:rsidP="00077A0C">
      <w:pPr>
        <w:pStyle w:val="Para1"/>
        <w:numPr>
          <w:ilvl w:val="0"/>
          <w:numId w:val="6"/>
        </w:numPr>
        <w:suppressLineNumbers/>
        <w:tabs>
          <w:tab w:val="left" w:pos="1134"/>
        </w:tabs>
        <w:suppressAutoHyphens/>
        <w:spacing w:line="238" w:lineRule="auto"/>
        <w:ind w:left="567"/>
        <w:jc w:val="both"/>
        <w:rPr>
          <w:kern w:val="22"/>
          <w:sz w:val="22"/>
          <w:szCs w:val="22"/>
        </w:rPr>
      </w:pPr>
      <w:r w:rsidRPr="00B17ECB">
        <w:rPr>
          <w:kern w:val="22"/>
          <w:sz w:val="22"/>
          <w:szCs w:val="22"/>
        </w:rPr>
        <w:t xml:space="preserve">The respondents that replied that their country had not submitted a compliance action plan indicated that different factors had prevented their country from preparing and submitting the compliance action plan, </w:t>
      </w:r>
      <w:proofErr w:type="gramStart"/>
      <w:r w:rsidRPr="00B17ECB">
        <w:rPr>
          <w:kern w:val="22"/>
          <w:sz w:val="22"/>
          <w:szCs w:val="22"/>
        </w:rPr>
        <w:t>including:</w:t>
      </w:r>
      <w:proofErr w:type="gramEnd"/>
      <w:r w:rsidRPr="00B17ECB">
        <w:rPr>
          <w:kern w:val="22"/>
          <w:sz w:val="22"/>
          <w:szCs w:val="22"/>
        </w:rPr>
        <w:t xml:space="preserve"> lack of human resources, lack of capacities, absence of a legal framework, lack of financial resources and internal conflicts. </w:t>
      </w:r>
    </w:p>
    <w:p w14:paraId="4D7F3963" w14:textId="3D89B337" w:rsidR="00B26F34" w:rsidRPr="00B17ECB" w:rsidRDefault="00B26F34" w:rsidP="00077A0C">
      <w:pPr>
        <w:pStyle w:val="Para1"/>
        <w:numPr>
          <w:ilvl w:val="0"/>
          <w:numId w:val="6"/>
        </w:numPr>
        <w:suppressLineNumbers/>
        <w:tabs>
          <w:tab w:val="left" w:pos="1134"/>
        </w:tabs>
        <w:suppressAutoHyphens/>
        <w:spacing w:line="238" w:lineRule="auto"/>
        <w:ind w:left="567"/>
        <w:jc w:val="both"/>
        <w:rPr>
          <w:bCs/>
          <w:snapToGrid/>
          <w:kern w:val="22"/>
          <w:sz w:val="22"/>
          <w:szCs w:val="22"/>
        </w:rPr>
      </w:pPr>
      <w:r w:rsidRPr="00B17ECB">
        <w:rPr>
          <w:bCs/>
          <w:snapToGrid/>
          <w:kern w:val="22"/>
          <w:sz w:val="22"/>
          <w:szCs w:val="22"/>
        </w:rPr>
        <w:t xml:space="preserve">Although </w:t>
      </w:r>
      <w:r w:rsidRPr="00B17ECB">
        <w:rPr>
          <w:kern w:val="22"/>
          <w:sz w:val="22"/>
          <w:szCs w:val="22"/>
        </w:rPr>
        <w:t>the</w:t>
      </w:r>
      <w:r w:rsidRPr="00B17ECB">
        <w:rPr>
          <w:bCs/>
          <w:snapToGrid/>
          <w:kern w:val="22"/>
          <w:sz w:val="22"/>
          <w:szCs w:val="22"/>
        </w:rPr>
        <w:t xml:space="preserve"> number of responses was very limited</w:t>
      </w:r>
      <w:r w:rsidR="00BF62E5" w:rsidRPr="00B17ECB">
        <w:rPr>
          <w:bCs/>
          <w:snapToGrid/>
          <w:kern w:val="22"/>
          <w:sz w:val="22"/>
          <w:szCs w:val="22"/>
        </w:rPr>
        <w:t>,</w:t>
      </w:r>
      <w:r w:rsidR="00AA5DC2" w:rsidRPr="00B17ECB">
        <w:rPr>
          <w:bCs/>
          <w:snapToGrid/>
          <w:kern w:val="22"/>
          <w:sz w:val="22"/>
          <w:szCs w:val="22"/>
        </w:rPr>
        <w:t xml:space="preserve"> </w:t>
      </w:r>
      <w:r w:rsidRPr="00B17ECB">
        <w:rPr>
          <w:bCs/>
          <w:snapToGrid/>
          <w:kern w:val="22"/>
          <w:sz w:val="22"/>
          <w:szCs w:val="22"/>
        </w:rPr>
        <w:t>it seems</w:t>
      </w:r>
      <w:r w:rsidRPr="00B17ECB" w:rsidDel="00A16D2D">
        <w:rPr>
          <w:bCs/>
          <w:snapToGrid/>
          <w:kern w:val="22"/>
          <w:sz w:val="22"/>
          <w:szCs w:val="22"/>
        </w:rPr>
        <w:t xml:space="preserve"> that </w:t>
      </w:r>
      <w:r w:rsidRPr="00B17ECB">
        <w:rPr>
          <w:bCs/>
          <w:snapToGrid/>
          <w:kern w:val="22"/>
          <w:sz w:val="22"/>
          <w:szCs w:val="22"/>
        </w:rPr>
        <w:t>further successes may be achieved if resources are made available to support these Parties in their efforts to comply with the obligation to take the necessary measures to implement the Protocol.</w:t>
      </w:r>
    </w:p>
    <w:p w14:paraId="24C9621C" w14:textId="3481A94C" w:rsidR="00B26F34" w:rsidRPr="00B17ECB" w:rsidRDefault="00B26F34" w:rsidP="00077A0C">
      <w:pPr>
        <w:pStyle w:val="Para1"/>
        <w:numPr>
          <w:ilvl w:val="0"/>
          <w:numId w:val="6"/>
        </w:numPr>
        <w:suppressLineNumbers/>
        <w:tabs>
          <w:tab w:val="left" w:pos="1134"/>
        </w:tabs>
        <w:suppressAutoHyphens/>
        <w:spacing w:line="238" w:lineRule="auto"/>
        <w:ind w:left="567"/>
        <w:jc w:val="both"/>
        <w:rPr>
          <w:bCs/>
          <w:snapToGrid/>
          <w:kern w:val="22"/>
          <w:sz w:val="22"/>
          <w:szCs w:val="22"/>
        </w:rPr>
      </w:pPr>
      <w:r w:rsidRPr="00B17ECB">
        <w:rPr>
          <w:bCs/>
          <w:snapToGrid/>
          <w:kern w:val="22"/>
          <w:sz w:val="22"/>
          <w:szCs w:val="22"/>
        </w:rPr>
        <w:t xml:space="preserve">A </w:t>
      </w:r>
      <w:r w:rsidRPr="00077A0C">
        <w:rPr>
          <w:kern w:val="22"/>
          <w:sz w:val="22"/>
          <w:szCs w:val="22"/>
        </w:rPr>
        <w:t>summary</w:t>
      </w:r>
      <w:r w:rsidRPr="00B17ECB">
        <w:rPr>
          <w:bCs/>
          <w:snapToGrid/>
          <w:kern w:val="22"/>
          <w:sz w:val="22"/>
          <w:szCs w:val="22"/>
        </w:rPr>
        <w:t xml:space="preserve"> of the </w:t>
      </w:r>
      <w:r w:rsidR="001A044A" w:rsidRPr="00B17ECB">
        <w:rPr>
          <w:bCs/>
          <w:snapToGrid/>
          <w:kern w:val="22"/>
          <w:sz w:val="22"/>
          <w:szCs w:val="22"/>
        </w:rPr>
        <w:t xml:space="preserve">survey </w:t>
      </w:r>
      <w:r w:rsidRPr="00B17ECB">
        <w:rPr>
          <w:bCs/>
          <w:snapToGrid/>
          <w:kern w:val="22"/>
          <w:sz w:val="22"/>
          <w:szCs w:val="22"/>
        </w:rPr>
        <w:t>responses</w:t>
      </w:r>
      <w:r w:rsidR="00F71366" w:rsidRPr="00B17ECB">
        <w:rPr>
          <w:bCs/>
          <w:snapToGrid/>
          <w:kern w:val="22"/>
          <w:sz w:val="22"/>
          <w:szCs w:val="22"/>
        </w:rPr>
        <w:t xml:space="preserve"> concerning the development of the compliance action plan</w:t>
      </w:r>
      <w:r w:rsidRPr="00B17ECB">
        <w:rPr>
          <w:bCs/>
          <w:snapToGrid/>
          <w:kern w:val="22"/>
          <w:sz w:val="22"/>
          <w:szCs w:val="22"/>
        </w:rPr>
        <w:t xml:space="preserve"> is provided in </w:t>
      </w:r>
      <w:r w:rsidR="005E4907" w:rsidRPr="00B17ECB">
        <w:rPr>
          <w:bCs/>
          <w:snapToGrid/>
          <w:kern w:val="22"/>
          <w:sz w:val="22"/>
          <w:szCs w:val="22"/>
        </w:rPr>
        <w:t>a</w:t>
      </w:r>
      <w:r w:rsidRPr="00B17ECB">
        <w:rPr>
          <w:bCs/>
          <w:snapToGrid/>
          <w:kern w:val="22"/>
          <w:sz w:val="22"/>
          <w:szCs w:val="22"/>
        </w:rPr>
        <w:t xml:space="preserve">nnex III. </w:t>
      </w:r>
    </w:p>
    <w:p w14:paraId="233ADACF" w14:textId="77777777" w:rsidR="00B26F34" w:rsidRPr="00B17ECB" w:rsidRDefault="00B26F34" w:rsidP="00B26F34">
      <w:pPr>
        <w:pStyle w:val="Para1"/>
        <w:numPr>
          <w:ilvl w:val="0"/>
          <w:numId w:val="0"/>
        </w:numPr>
        <w:suppressLineNumbers/>
        <w:suppressAutoHyphens/>
        <w:spacing w:line="238" w:lineRule="auto"/>
        <w:ind w:left="567"/>
        <w:jc w:val="both"/>
        <w:rPr>
          <w:kern w:val="22"/>
          <w:sz w:val="22"/>
          <w:szCs w:val="22"/>
        </w:rPr>
      </w:pPr>
    </w:p>
    <w:p w14:paraId="120FE6BC" w14:textId="77777777" w:rsidR="00842858" w:rsidRPr="00B17ECB" w:rsidRDefault="00842858" w:rsidP="00842858">
      <w:pPr>
        <w:rPr>
          <w:szCs w:val="22"/>
        </w:rPr>
      </w:pPr>
    </w:p>
    <w:p w14:paraId="7B2CB316" w14:textId="77777777" w:rsidR="00520DC6" w:rsidRPr="00B17ECB" w:rsidRDefault="00520DC6" w:rsidP="00C2354A">
      <w:pPr>
        <w:pStyle w:val="Para10"/>
        <w:numPr>
          <w:ilvl w:val="0"/>
          <w:numId w:val="0"/>
        </w:numPr>
        <w:ind w:left="567"/>
        <w:sectPr w:rsidR="00520DC6" w:rsidRPr="00B17ECB" w:rsidSect="00A54FA0">
          <w:headerReference w:type="even" r:id="rId14"/>
          <w:headerReference w:type="default" r:id="rId15"/>
          <w:footerReference w:type="even" r:id="rId16"/>
          <w:footerReference w:type="default" r:id="rId17"/>
          <w:footnotePr>
            <w:numRestart w:val="eachSect"/>
          </w:footnotePr>
          <w:pgSz w:w="12240" w:h="15840"/>
          <w:pgMar w:top="1134" w:right="1440" w:bottom="1134" w:left="1440" w:header="709" w:footer="709" w:gutter="0"/>
          <w:cols w:space="708"/>
          <w:titlePg/>
          <w:docGrid w:linePitch="360"/>
        </w:sectPr>
      </w:pPr>
    </w:p>
    <w:p w14:paraId="6D4D96CA" w14:textId="30C436F2" w:rsidR="00AD60EA" w:rsidRPr="00077A0C" w:rsidRDefault="00E1597C" w:rsidP="00506730">
      <w:pPr>
        <w:pStyle w:val="Annex"/>
        <w:ind w:left="567"/>
        <w:rPr>
          <w:bCs/>
        </w:rPr>
      </w:pPr>
      <w:r w:rsidRPr="00077A0C">
        <w:rPr>
          <w:bCs/>
          <w:sz w:val="24"/>
        </w:rPr>
        <w:lastRenderedPageBreak/>
        <w:t>Annex</w:t>
      </w:r>
      <w:r w:rsidR="00AD60EA" w:rsidRPr="00077A0C">
        <w:rPr>
          <w:bCs/>
          <w:sz w:val="24"/>
        </w:rPr>
        <w:t xml:space="preserve"> I</w:t>
      </w:r>
    </w:p>
    <w:p w14:paraId="65136A46" w14:textId="6133342F" w:rsidR="00E1597C" w:rsidRPr="00B17ECB" w:rsidRDefault="000E42B8" w:rsidP="00E1597C">
      <w:pPr>
        <w:pStyle w:val="Title"/>
      </w:pPr>
      <w:r w:rsidRPr="00B17ECB">
        <w:t xml:space="preserve">Overview of Parties requested to prepare a compliance action </w:t>
      </w:r>
      <w:proofErr w:type="gramStart"/>
      <w:r w:rsidRPr="00B17ECB">
        <w:t>plan</w:t>
      </w:r>
      <w:proofErr w:type="gramEnd"/>
    </w:p>
    <w:tbl>
      <w:tblPr>
        <w:tblStyle w:val="TableGrid"/>
        <w:tblW w:w="13603" w:type="dxa"/>
        <w:tblLook w:val="04A0" w:firstRow="1" w:lastRow="0" w:firstColumn="1" w:lastColumn="0" w:noHBand="0" w:noVBand="1"/>
      </w:tblPr>
      <w:tblGrid>
        <w:gridCol w:w="514"/>
        <w:gridCol w:w="1749"/>
        <w:gridCol w:w="2336"/>
        <w:gridCol w:w="5177"/>
        <w:gridCol w:w="3827"/>
      </w:tblGrid>
      <w:tr w:rsidR="00181716" w:rsidRPr="00B17ECB" w14:paraId="1BADC012" w14:textId="3AC1ED35" w:rsidTr="00506730">
        <w:trPr>
          <w:tblHeader/>
        </w:trPr>
        <w:tc>
          <w:tcPr>
            <w:tcW w:w="514" w:type="dxa"/>
            <w:tcBorders>
              <w:bottom w:val="single" w:sz="4" w:space="0" w:color="auto"/>
            </w:tcBorders>
            <w:shd w:val="clear" w:color="auto" w:fill="auto"/>
          </w:tcPr>
          <w:p w14:paraId="04C8BC07" w14:textId="77777777" w:rsidR="00520DC6" w:rsidRPr="00B17ECB" w:rsidRDefault="00520DC6" w:rsidP="00506730">
            <w:pPr>
              <w:suppressLineNumbers/>
              <w:suppressAutoHyphens/>
              <w:spacing w:before="60" w:after="60"/>
              <w:jc w:val="center"/>
              <w:rPr>
                <w:i/>
                <w:kern w:val="22"/>
                <w:szCs w:val="22"/>
              </w:rPr>
            </w:pPr>
          </w:p>
        </w:tc>
        <w:tc>
          <w:tcPr>
            <w:tcW w:w="1749" w:type="dxa"/>
            <w:tcBorders>
              <w:bottom w:val="single" w:sz="4" w:space="0" w:color="auto"/>
            </w:tcBorders>
            <w:shd w:val="clear" w:color="auto" w:fill="auto"/>
          </w:tcPr>
          <w:p w14:paraId="23E2086D" w14:textId="77777777" w:rsidR="00520DC6" w:rsidRPr="00B17ECB" w:rsidRDefault="00520DC6" w:rsidP="00506730">
            <w:pPr>
              <w:suppressLineNumbers/>
              <w:suppressAutoHyphens/>
              <w:spacing w:before="60" w:after="60"/>
              <w:jc w:val="center"/>
              <w:rPr>
                <w:i/>
                <w:kern w:val="22"/>
                <w:szCs w:val="22"/>
              </w:rPr>
            </w:pPr>
            <w:r w:rsidRPr="00B17ECB">
              <w:rPr>
                <w:i/>
                <w:kern w:val="22"/>
                <w:szCs w:val="22"/>
              </w:rPr>
              <w:t>Party</w:t>
            </w:r>
          </w:p>
        </w:tc>
        <w:tc>
          <w:tcPr>
            <w:tcW w:w="2336" w:type="dxa"/>
            <w:tcBorders>
              <w:bottom w:val="single" w:sz="4" w:space="0" w:color="auto"/>
            </w:tcBorders>
            <w:shd w:val="clear" w:color="auto" w:fill="auto"/>
          </w:tcPr>
          <w:p w14:paraId="3169F3B2" w14:textId="582FE0C5" w:rsidR="00520DC6" w:rsidRPr="00B17ECB" w:rsidRDefault="00520DC6" w:rsidP="00506730">
            <w:pPr>
              <w:suppressLineNumbers/>
              <w:suppressAutoHyphens/>
              <w:spacing w:before="60" w:after="60"/>
              <w:jc w:val="left"/>
              <w:rPr>
                <w:i/>
                <w:kern w:val="22"/>
                <w:szCs w:val="22"/>
              </w:rPr>
            </w:pPr>
            <w:r w:rsidRPr="00B17ECB">
              <w:rPr>
                <w:i/>
                <w:kern w:val="22"/>
                <w:szCs w:val="22"/>
              </w:rPr>
              <w:t xml:space="preserve">Status of measures according to </w:t>
            </w:r>
            <w:r w:rsidR="00373A39" w:rsidRPr="00B17ECB">
              <w:rPr>
                <w:i/>
                <w:kern w:val="22"/>
                <w:szCs w:val="22"/>
              </w:rPr>
              <w:t xml:space="preserve">the third </w:t>
            </w:r>
            <w:r w:rsidRPr="00B17ECB">
              <w:rPr>
                <w:i/>
                <w:kern w:val="22"/>
                <w:szCs w:val="22"/>
              </w:rPr>
              <w:t>national report</w:t>
            </w:r>
          </w:p>
        </w:tc>
        <w:tc>
          <w:tcPr>
            <w:tcW w:w="5177" w:type="dxa"/>
            <w:tcBorders>
              <w:bottom w:val="single" w:sz="4" w:space="0" w:color="auto"/>
            </w:tcBorders>
            <w:shd w:val="clear" w:color="auto" w:fill="auto"/>
          </w:tcPr>
          <w:p w14:paraId="48B6D30C" w14:textId="7A919EF1" w:rsidR="00520DC6" w:rsidRPr="00B17ECB" w:rsidRDefault="00520DC6" w:rsidP="00506730">
            <w:pPr>
              <w:suppressLineNumbers/>
              <w:suppressAutoHyphens/>
              <w:spacing w:before="60" w:after="60"/>
              <w:jc w:val="left"/>
              <w:rPr>
                <w:i/>
                <w:kern w:val="22"/>
                <w:szCs w:val="22"/>
              </w:rPr>
            </w:pPr>
            <w:r w:rsidRPr="00B17ECB">
              <w:rPr>
                <w:i/>
                <w:kern w:val="22"/>
                <w:szCs w:val="22"/>
              </w:rPr>
              <w:t xml:space="preserve">Compliance </w:t>
            </w:r>
            <w:r w:rsidR="00373A39" w:rsidRPr="00B17ECB">
              <w:rPr>
                <w:i/>
                <w:kern w:val="22"/>
                <w:szCs w:val="22"/>
              </w:rPr>
              <w:t>a</w:t>
            </w:r>
            <w:r w:rsidRPr="00B17ECB">
              <w:rPr>
                <w:i/>
                <w:kern w:val="22"/>
                <w:szCs w:val="22"/>
              </w:rPr>
              <w:t xml:space="preserve">ction </w:t>
            </w:r>
            <w:r w:rsidR="00373A39" w:rsidRPr="00B17ECB">
              <w:rPr>
                <w:i/>
                <w:kern w:val="22"/>
                <w:szCs w:val="22"/>
              </w:rPr>
              <w:t>p</w:t>
            </w:r>
            <w:r w:rsidRPr="00B17ECB">
              <w:rPr>
                <w:i/>
                <w:kern w:val="22"/>
                <w:szCs w:val="22"/>
              </w:rPr>
              <w:t>lan</w:t>
            </w:r>
          </w:p>
        </w:tc>
        <w:tc>
          <w:tcPr>
            <w:tcW w:w="3827" w:type="dxa"/>
            <w:tcBorders>
              <w:bottom w:val="single" w:sz="4" w:space="0" w:color="auto"/>
            </w:tcBorders>
            <w:shd w:val="clear" w:color="auto" w:fill="auto"/>
          </w:tcPr>
          <w:p w14:paraId="28CB55F7" w14:textId="63001AD3" w:rsidR="00520DC6" w:rsidRPr="00B17ECB" w:rsidRDefault="00520DC6" w:rsidP="00506730">
            <w:pPr>
              <w:suppressLineNumbers/>
              <w:suppressAutoHyphens/>
              <w:spacing w:before="60" w:after="60"/>
              <w:jc w:val="left"/>
              <w:rPr>
                <w:i/>
                <w:kern w:val="22"/>
                <w:szCs w:val="22"/>
              </w:rPr>
            </w:pPr>
            <w:r w:rsidRPr="00B17ECB">
              <w:rPr>
                <w:i/>
                <w:kern w:val="22"/>
                <w:szCs w:val="22"/>
              </w:rPr>
              <w:t xml:space="preserve">Status of measures according to </w:t>
            </w:r>
            <w:r w:rsidR="00373A39" w:rsidRPr="00B17ECB">
              <w:rPr>
                <w:i/>
                <w:kern w:val="22"/>
                <w:szCs w:val="22"/>
              </w:rPr>
              <w:t>the fourth</w:t>
            </w:r>
            <w:r w:rsidRPr="00B17ECB">
              <w:rPr>
                <w:i/>
                <w:kern w:val="22"/>
                <w:szCs w:val="22"/>
              </w:rPr>
              <w:t xml:space="preserve"> national report</w:t>
            </w:r>
          </w:p>
        </w:tc>
      </w:tr>
      <w:tr w:rsidR="00E82193" w:rsidRPr="00B17ECB" w14:paraId="6047EA93" w14:textId="4B7B0867" w:rsidTr="0078559C">
        <w:tc>
          <w:tcPr>
            <w:tcW w:w="13603" w:type="dxa"/>
            <w:gridSpan w:val="5"/>
            <w:shd w:val="clear" w:color="auto" w:fill="D9D9D9" w:themeFill="background1" w:themeFillShade="D9"/>
          </w:tcPr>
          <w:p w14:paraId="7ED92692" w14:textId="17A6A25E" w:rsidR="00AD092B" w:rsidRPr="00B17ECB" w:rsidRDefault="00AD092B" w:rsidP="00506730">
            <w:pPr>
              <w:suppressLineNumbers/>
              <w:suppressAutoHyphens/>
              <w:spacing w:before="120" w:after="120"/>
              <w:jc w:val="left"/>
              <w:rPr>
                <w:i/>
                <w:kern w:val="22"/>
                <w:szCs w:val="22"/>
              </w:rPr>
            </w:pPr>
            <w:r w:rsidRPr="00B17ECB">
              <w:rPr>
                <w:i/>
                <w:kern w:val="22"/>
                <w:szCs w:val="22"/>
              </w:rPr>
              <w:t>Parties that submitted a compliance action plan</w:t>
            </w:r>
          </w:p>
        </w:tc>
      </w:tr>
      <w:tr w:rsidR="00181716" w:rsidRPr="00B17ECB" w14:paraId="73AD01AF" w14:textId="09985A27" w:rsidTr="00506730">
        <w:tc>
          <w:tcPr>
            <w:tcW w:w="514" w:type="dxa"/>
          </w:tcPr>
          <w:p w14:paraId="73AE361F" w14:textId="16120A30" w:rsidR="00520DC6" w:rsidRPr="00B17ECB" w:rsidRDefault="008A5CC0" w:rsidP="00077A0C">
            <w:pPr>
              <w:suppressLineNumbers/>
              <w:suppressAutoHyphens/>
              <w:spacing w:before="60" w:after="60"/>
              <w:ind w:left="22"/>
              <w:jc w:val="left"/>
              <w:rPr>
                <w:iCs/>
                <w:kern w:val="22"/>
                <w:szCs w:val="22"/>
              </w:rPr>
            </w:pPr>
            <w:r w:rsidRPr="00B17ECB">
              <w:rPr>
                <w:iCs/>
                <w:kern w:val="22"/>
                <w:szCs w:val="22"/>
              </w:rPr>
              <w:t>1</w:t>
            </w:r>
          </w:p>
        </w:tc>
        <w:tc>
          <w:tcPr>
            <w:tcW w:w="1749" w:type="dxa"/>
          </w:tcPr>
          <w:p w14:paraId="7D5F3D51" w14:textId="77777777" w:rsidR="00520DC6" w:rsidRPr="00B17ECB" w:rsidRDefault="00520DC6" w:rsidP="00506730">
            <w:pPr>
              <w:suppressLineNumbers/>
              <w:suppressAutoHyphens/>
              <w:spacing w:before="60" w:after="60"/>
              <w:jc w:val="left"/>
            </w:pPr>
            <w:r w:rsidRPr="00B17ECB">
              <w:t>Barbados</w:t>
            </w:r>
          </w:p>
        </w:tc>
        <w:tc>
          <w:tcPr>
            <w:tcW w:w="2336" w:type="dxa"/>
          </w:tcPr>
          <w:p w14:paraId="49C04895" w14:textId="4BEC2D34" w:rsidR="00520DC6" w:rsidRPr="00B17ECB" w:rsidRDefault="001A62B4" w:rsidP="00506730">
            <w:pPr>
              <w:suppressLineNumbers/>
              <w:suppressAutoHyphens/>
              <w:spacing w:before="60" w:after="60"/>
              <w:jc w:val="left"/>
              <w:rPr>
                <w:iCs/>
                <w:kern w:val="22"/>
                <w:szCs w:val="22"/>
              </w:rPr>
            </w:pPr>
            <w:r w:rsidRPr="00B17ECB">
              <w:rPr>
                <w:iCs/>
                <w:kern w:val="22"/>
                <w:szCs w:val="22"/>
              </w:rPr>
              <w:t xml:space="preserve">Draft </w:t>
            </w:r>
            <w:r w:rsidR="00520DC6" w:rsidRPr="00B17ECB">
              <w:rPr>
                <w:iCs/>
                <w:kern w:val="22"/>
                <w:szCs w:val="22"/>
              </w:rPr>
              <w:t>measures</w:t>
            </w:r>
          </w:p>
        </w:tc>
        <w:tc>
          <w:tcPr>
            <w:tcW w:w="5177" w:type="dxa"/>
          </w:tcPr>
          <w:p w14:paraId="70AD5537" w14:textId="71DEC0FF" w:rsidR="00520DC6" w:rsidRPr="00B17ECB" w:rsidRDefault="00D3245D" w:rsidP="00506730">
            <w:pPr>
              <w:suppressLineNumbers/>
              <w:suppressAutoHyphens/>
              <w:spacing w:before="60" w:after="60"/>
              <w:jc w:val="left"/>
              <w:rPr>
                <w:iCs/>
                <w:kern w:val="22"/>
                <w:szCs w:val="22"/>
              </w:rPr>
            </w:pPr>
            <w:r w:rsidRPr="00B17ECB">
              <w:rPr>
                <w:iCs/>
                <w:kern w:val="22"/>
                <w:szCs w:val="22"/>
              </w:rPr>
              <w:t>S</w:t>
            </w:r>
            <w:r w:rsidR="00520DC6" w:rsidRPr="00B17ECB">
              <w:rPr>
                <w:iCs/>
                <w:kern w:val="22"/>
                <w:szCs w:val="22"/>
              </w:rPr>
              <w:t>ubmitted</w:t>
            </w:r>
            <w:r w:rsidRPr="00B17ECB">
              <w:rPr>
                <w:iCs/>
                <w:kern w:val="22"/>
                <w:szCs w:val="22"/>
              </w:rPr>
              <w:t xml:space="preserve"> (</w:t>
            </w:r>
            <w:r w:rsidR="006C2368" w:rsidRPr="00B17ECB">
              <w:rPr>
                <w:iCs/>
                <w:kern w:val="22"/>
                <w:szCs w:val="22"/>
              </w:rPr>
              <w:t>April</w:t>
            </w:r>
            <w:r w:rsidR="00901B3E" w:rsidRPr="00B17ECB">
              <w:rPr>
                <w:iCs/>
                <w:kern w:val="22"/>
                <w:szCs w:val="22"/>
              </w:rPr>
              <w:t xml:space="preserve"> 2019)</w:t>
            </w:r>
          </w:p>
        </w:tc>
        <w:tc>
          <w:tcPr>
            <w:tcW w:w="3827" w:type="dxa"/>
          </w:tcPr>
          <w:p w14:paraId="44AB1E0F" w14:textId="7CE45AA4" w:rsidR="00520DC6" w:rsidRPr="00B17ECB" w:rsidRDefault="00A52D79" w:rsidP="00506730">
            <w:pPr>
              <w:suppressLineNumbers/>
              <w:suppressAutoHyphens/>
              <w:spacing w:before="60" w:after="60"/>
              <w:jc w:val="left"/>
              <w:rPr>
                <w:iCs/>
                <w:kern w:val="22"/>
                <w:szCs w:val="22"/>
              </w:rPr>
            </w:pPr>
            <w:r w:rsidRPr="00B17ECB">
              <w:rPr>
                <w:iCs/>
                <w:kern w:val="22"/>
                <w:szCs w:val="22"/>
              </w:rPr>
              <w:t xml:space="preserve">Draft </w:t>
            </w:r>
            <w:r w:rsidR="00520DC6" w:rsidRPr="00B17ECB">
              <w:rPr>
                <w:iCs/>
                <w:kern w:val="22"/>
                <w:szCs w:val="22"/>
              </w:rPr>
              <w:t>measures</w:t>
            </w:r>
          </w:p>
        </w:tc>
      </w:tr>
      <w:tr w:rsidR="00181716" w:rsidRPr="00B17ECB" w14:paraId="1AB382D7" w14:textId="17FD30E5" w:rsidTr="00506730">
        <w:tc>
          <w:tcPr>
            <w:tcW w:w="514" w:type="dxa"/>
          </w:tcPr>
          <w:p w14:paraId="501E7700" w14:textId="4D1D9EBD" w:rsidR="00520DC6" w:rsidRPr="00B17ECB" w:rsidRDefault="008A5CC0" w:rsidP="00077A0C">
            <w:pPr>
              <w:suppressLineNumbers/>
              <w:suppressAutoHyphens/>
              <w:spacing w:before="60" w:after="60"/>
              <w:jc w:val="left"/>
              <w:rPr>
                <w:iCs/>
                <w:kern w:val="22"/>
                <w:szCs w:val="22"/>
              </w:rPr>
            </w:pPr>
            <w:r w:rsidRPr="00B17ECB">
              <w:rPr>
                <w:iCs/>
                <w:kern w:val="22"/>
                <w:szCs w:val="22"/>
              </w:rPr>
              <w:t>2</w:t>
            </w:r>
          </w:p>
        </w:tc>
        <w:tc>
          <w:tcPr>
            <w:tcW w:w="1749" w:type="dxa"/>
          </w:tcPr>
          <w:p w14:paraId="3BC80E2C" w14:textId="590AAFC5" w:rsidR="00520DC6" w:rsidRPr="00B17ECB" w:rsidRDefault="00520DC6" w:rsidP="00506730">
            <w:pPr>
              <w:suppressLineNumbers/>
              <w:suppressAutoHyphens/>
              <w:spacing w:before="60" w:after="60"/>
              <w:jc w:val="left"/>
            </w:pPr>
            <w:r w:rsidRPr="00B17ECB">
              <w:t>Burundi</w:t>
            </w:r>
          </w:p>
        </w:tc>
        <w:tc>
          <w:tcPr>
            <w:tcW w:w="2336" w:type="dxa"/>
          </w:tcPr>
          <w:p w14:paraId="04D4794B" w14:textId="045FA78F" w:rsidR="00520DC6" w:rsidRPr="00B17ECB" w:rsidRDefault="001A62B4" w:rsidP="00506730">
            <w:pPr>
              <w:suppressLineNumbers/>
              <w:suppressAutoHyphens/>
              <w:spacing w:before="60" w:after="60"/>
              <w:jc w:val="left"/>
              <w:rPr>
                <w:iCs/>
                <w:kern w:val="22"/>
                <w:szCs w:val="22"/>
              </w:rPr>
            </w:pPr>
            <w:r w:rsidRPr="00B17ECB">
              <w:rPr>
                <w:iCs/>
                <w:kern w:val="22"/>
                <w:szCs w:val="22"/>
              </w:rPr>
              <w:t>D</w:t>
            </w:r>
            <w:r w:rsidR="00520DC6" w:rsidRPr="00B17ECB">
              <w:rPr>
                <w:iCs/>
                <w:kern w:val="22"/>
                <w:szCs w:val="22"/>
              </w:rPr>
              <w:t>raft measures</w:t>
            </w:r>
          </w:p>
        </w:tc>
        <w:tc>
          <w:tcPr>
            <w:tcW w:w="5177" w:type="dxa"/>
          </w:tcPr>
          <w:p w14:paraId="663DD469" w14:textId="78C79101" w:rsidR="00520DC6" w:rsidRPr="00B17ECB" w:rsidRDefault="00901B3E" w:rsidP="00506730">
            <w:pPr>
              <w:suppressLineNumbers/>
              <w:suppressAutoHyphens/>
              <w:spacing w:before="60" w:after="60"/>
              <w:jc w:val="left"/>
              <w:rPr>
                <w:iCs/>
                <w:kern w:val="22"/>
                <w:szCs w:val="22"/>
              </w:rPr>
            </w:pPr>
            <w:r w:rsidRPr="00B17ECB">
              <w:rPr>
                <w:iCs/>
                <w:kern w:val="22"/>
                <w:szCs w:val="22"/>
              </w:rPr>
              <w:t>Submitted (</w:t>
            </w:r>
            <w:r w:rsidR="000503D4" w:rsidRPr="00B17ECB">
              <w:rPr>
                <w:iCs/>
                <w:kern w:val="22"/>
                <w:szCs w:val="22"/>
              </w:rPr>
              <w:t>September 2021</w:t>
            </w:r>
            <w:r w:rsidR="00224040" w:rsidRPr="00B17ECB">
              <w:rPr>
                <w:iCs/>
                <w:kern w:val="22"/>
                <w:szCs w:val="22"/>
              </w:rPr>
              <w:t xml:space="preserve">, </w:t>
            </w:r>
            <w:r w:rsidR="00520DC6" w:rsidRPr="00B17ECB">
              <w:rPr>
                <w:iCs/>
                <w:kern w:val="22"/>
                <w:szCs w:val="22"/>
              </w:rPr>
              <w:t>not yet considered by the Committee</w:t>
            </w:r>
            <w:r w:rsidR="00224040" w:rsidRPr="00B17ECB">
              <w:rPr>
                <w:iCs/>
                <w:kern w:val="22"/>
                <w:szCs w:val="22"/>
              </w:rPr>
              <w:t>)</w:t>
            </w:r>
          </w:p>
        </w:tc>
        <w:tc>
          <w:tcPr>
            <w:tcW w:w="3827" w:type="dxa"/>
          </w:tcPr>
          <w:p w14:paraId="6D0AB9C0" w14:textId="64ABC5D4" w:rsidR="00520DC6" w:rsidRPr="00B17ECB" w:rsidDel="000661DD" w:rsidRDefault="00A52D79" w:rsidP="00506730">
            <w:pPr>
              <w:suppressLineNumbers/>
              <w:suppressAutoHyphens/>
              <w:spacing w:before="60" w:after="60"/>
              <w:jc w:val="left"/>
              <w:rPr>
                <w:iCs/>
                <w:kern w:val="22"/>
                <w:szCs w:val="22"/>
              </w:rPr>
            </w:pPr>
            <w:r w:rsidRPr="00B17ECB">
              <w:rPr>
                <w:iCs/>
                <w:kern w:val="22"/>
                <w:szCs w:val="22"/>
              </w:rPr>
              <w:t>D</w:t>
            </w:r>
            <w:r w:rsidR="00520DC6" w:rsidRPr="00B17ECB">
              <w:rPr>
                <w:iCs/>
                <w:kern w:val="22"/>
                <w:szCs w:val="22"/>
              </w:rPr>
              <w:t>raft measures</w:t>
            </w:r>
          </w:p>
        </w:tc>
      </w:tr>
      <w:tr w:rsidR="00181716" w:rsidRPr="00B17ECB" w14:paraId="6F14BCEA" w14:textId="1E0C75B5" w:rsidTr="00506730">
        <w:tc>
          <w:tcPr>
            <w:tcW w:w="514" w:type="dxa"/>
          </w:tcPr>
          <w:p w14:paraId="3E2262B7" w14:textId="2CD14EA7" w:rsidR="00520DC6" w:rsidRPr="00B17ECB" w:rsidRDefault="008A5CC0" w:rsidP="00077A0C">
            <w:pPr>
              <w:suppressLineNumbers/>
              <w:suppressAutoHyphens/>
              <w:spacing w:before="60" w:after="60"/>
              <w:ind w:left="22"/>
              <w:jc w:val="left"/>
              <w:rPr>
                <w:iCs/>
                <w:kern w:val="22"/>
                <w:szCs w:val="22"/>
                <w:lang w:val="fr-FR"/>
              </w:rPr>
            </w:pPr>
            <w:r w:rsidRPr="00B17ECB">
              <w:rPr>
                <w:iCs/>
                <w:kern w:val="22"/>
                <w:szCs w:val="22"/>
                <w:lang w:val="fr-FR"/>
              </w:rPr>
              <w:t>3</w:t>
            </w:r>
          </w:p>
        </w:tc>
        <w:tc>
          <w:tcPr>
            <w:tcW w:w="1749" w:type="dxa"/>
          </w:tcPr>
          <w:p w14:paraId="4831E590" w14:textId="098EEB4B" w:rsidR="00520DC6" w:rsidRPr="00B17ECB" w:rsidRDefault="00520DC6" w:rsidP="00506730">
            <w:pPr>
              <w:suppressLineNumbers/>
              <w:suppressAutoHyphens/>
              <w:spacing w:before="60" w:after="60"/>
              <w:jc w:val="left"/>
            </w:pPr>
            <w:r w:rsidRPr="00B17ECB">
              <w:t>Guinea</w:t>
            </w:r>
          </w:p>
        </w:tc>
        <w:tc>
          <w:tcPr>
            <w:tcW w:w="2336" w:type="dxa"/>
          </w:tcPr>
          <w:p w14:paraId="3D40B269" w14:textId="2EC48BBB" w:rsidR="00520DC6" w:rsidRPr="00B17ECB" w:rsidRDefault="001A62B4" w:rsidP="00506730">
            <w:pPr>
              <w:suppressLineNumbers/>
              <w:suppressAutoHyphens/>
              <w:spacing w:before="60" w:after="60"/>
              <w:jc w:val="left"/>
              <w:rPr>
                <w:iCs/>
                <w:kern w:val="22"/>
                <w:szCs w:val="22"/>
              </w:rPr>
            </w:pPr>
            <w:r w:rsidRPr="00B17ECB">
              <w:rPr>
                <w:iCs/>
                <w:kern w:val="22"/>
                <w:szCs w:val="22"/>
              </w:rPr>
              <w:t xml:space="preserve">Draft </w:t>
            </w:r>
            <w:r w:rsidR="00520DC6" w:rsidRPr="00B17ECB">
              <w:rPr>
                <w:iCs/>
                <w:kern w:val="22"/>
                <w:szCs w:val="22"/>
              </w:rPr>
              <w:t>measures</w:t>
            </w:r>
          </w:p>
        </w:tc>
        <w:tc>
          <w:tcPr>
            <w:tcW w:w="5177" w:type="dxa"/>
          </w:tcPr>
          <w:p w14:paraId="76092B9A" w14:textId="131956C1" w:rsidR="00520DC6" w:rsidRPr="00B17ECB" w:rsidRDefault="000503D4" w:rsidP="00506730">
            <w:pPr>
              <w:suppressLineNumbers/>
              <w:suppressAutoHyphens/>
              <w:spacing w:before="60" w:after="60"/>
              <w:jc w:val="left"/>
              <w:rPr>
                <w:iCs/>
                <w:kern w:val="22"/>
                <w:szCs w:val="22"/>
              </w:rPr>
            </w:pPr>
            <w:r w:rsidRPr="00B17ECB">
              <w:rPr>
                <w:iCs/>
                <w:kern w:val="22"/>
                <w:szCs w:val="22"/>
              </w:rPr>
              <w:t>Submitted (February 2023</w:t>
            </w:r>
            <w:r w:rsidR="00B34F68" w:rsidRPr="00B17ECB">
              <w:rPr>
                <w:iCs/>
                <w:kern w:val="22"/>
                <w:szCs w:val="22"/>
              </w:rPr>
              <w:t>,</w:t>
            </w:r>
            <w:r w:rsidR="00520DC6" w:rsidRPr="00B17ECB">
              <w:rPr>
                <w:iCs/>
                <w:kern w:val="22"/>
                <w:szCs w:val="22"/>
              </w:rPr>
              <w:t xml:space="preserve"> not yet considered by the Committee</w:t>
            </w:r>
            <w:r w:rsidR="00B34F68" w:rsidRPr="00B17ECB">
              <w:rPr>
                <w:iCs/>
                <w:kern w:val="22"/>
                <w:szCs w:val="22"/>
              </w:rPr>
              <w:t>)</w:t>
            </w:r>
          </w:p>
        </w:tc>
        <w:tc>
          <w:tcPr>
            <w:tcW w:w="3827" w:type="dxa"/>
          </w:tcPr>
          <w:p w14:paraId="58DA9B65" w14:textId="74C32113" w:rsidR="00520DC6" w:rsidRPr="00B17ECB" w:rsidDel="000661DD" w:rsidRDefault="00A52D79" w:rsidP="00506730">
            <w:pPr>
              <w:suppressLineNumbers/>
              <w:suppressAutoHyphens/>
              <w:spacing w:before="60" w:after="60"/>
              <w:jc w:val="left"/>
              <w:rPr>
                <w:iCs/>
                <w:kern w:val="22"/>
                <w:szCs w:val="22"/>
              </w:rPr>
            </w:pPr>
            <w:r w:rsidRPr="00B17ECB">
              <w:rPr>
                <w:iCs/>
                <w:kern w:val="22"/>
                <w:szCs w:val="22"/>
              </w:rPr>
              <w:t>M</w:t>
            </w:r>
            <w:r w:rsidR="00DE4E6E" w:rsidRPr="00B17ECB">
              <w:rPr>
                <w:iCs/>
                <w:kern w:val="22"/>
                <w:szCs w:val="22"/>
              </w:rPr>
              <w:t xml:space="preserve">easures partially in place </w:t>
            </w:r>
            <w:r w:rsidR="00AC0ABB" w:rsidRPr="00B17ECB">
              <w:rPr>
                <w:iCs/>
                <w:kern w:val="22"/>
                <w:szCs w:val="22"/>
              </w:rPr>
              <w:br/>
            </w:r>
            <w:r w:rsidR="00DE4E6E" w:rsidRPr="00B17ECB">
              <w:rPr>
                <w:iCs/>
                <w:kern w:val="22"/>
                <w:szCs w:val="22"/>
              </w:rPr>
              <w:t xml:space="preserve">(report available offline only) </w:t>
            </w:r>
          </w:p>
        </w:tc>
      </w:tr>
      <w:tr w:rsidR="00181716" w:rsidRPr="00B17ECB" w14:paraId="106FCA28" w14:textId="6A8CAE5B" w:rsidTr="00506730">
        <w:tc>
          <w:tcPr>
            <w:tcW w:w="514" w:type="dxa"/>
          </w:tcPr>
          <w:p w14:paraId="4F26876A" w14:textId="7CD8CFE2" w:rsidR="00520DC6" w:rsidRPr="00B17ECB" w:rsidRDefault="008A5CC0" w:rsidP="00077A0C">
            <w:pPr>
              <w:suppressLineNumbers/>
              <w:suppressAutoHyphens/>
              <w:spacing w:before="60" w:after="60"/>
              <w:jc w:val="left"/>
              <w:rPr>
                <w:iCs/>
                <w:kern w:val="22"/>
                <w:szCs w:val="22"/>
              </w:rPr>
            </w:pPr>
            <w:r w:rsidRPr="00B17ECB">
              <w:rPr>
                <w:iCs/>
                <w:kern w:val="22"/>
                <w:szCs w:val="22"/>
              </w:rPr>
              <w:t>4</w:t>
            </w:r>
          </w:p>
        </w:tc>
        <w:tc>
          <w:tcPr>
            <w:tcW w:w="1749" w:type="dxa"/>
          </w:tcPr>
          <w:p w14:paraId="1425DCA1" w14:textId="77777777" w:rsidR="00520DC6" w:rsidRPr="00B17ECB" w:rsidRDefault="00520DC6" w:rsidP="00506730">
            <w:pPr>
              <w:suppressLineNumbers/>
              <w:suppressAutoHyphens/>
              <w:spacing w:before="60" w:after="60"/>
              <w:jc w:val="left"/>
            </w:pPr>
            <w:r w:rsidRPr="00B17ECB">
              <w:t>Kyrgyzstan</w:t>
            </w:r>
          </w:p>
        </w:tc>
        <w:tc>
          <w:tcPr>
            <w:tcW w:w="2336" w:type="dxa"/>
          </w:tcPr>
          <w:p w14:paraId="0B8DCE47" w14:textId="021FE260" w:rsidR="00520DC6" w:rsidRPr="00B17ECB" w:rsidRDefault="001A62B4" w:rsidP="00506730">
            <w:pPr>
              <w:suppressLineNumbers/>
              <w:suppressAutoHyphens/>
              <w:spacing w:before="60" w:after="60"/>
              <w:jc w:val="left"/>
              <w:rPr>
                <w:iCs/>
                <w:kern w:val="22"/>
                <w:szCs w:val="22"/>
              </w:rPr>
            </w:pPr>
            <w:r w:rsidRPr="00B17ECB">
              <w:rPr>
                <w:iCs/>
                <w:kern w:val="22"/>
                <w:szCs w:val="22"/>
              </w:rPr>
              <w:t xml:space="preserve">Draft </w:t>
            </w:r>
            <w:r w:rsidR="00520DC6" w:rsidRPr="00B17ECB">
              <w:rPr>
                <w:iCs/>
                <w:kern w:val="22"/>
                <w:szCs w:val="22"/>
              </w:rPr>
              <w:t>measures</w:t>
            </w:r>
          </w:p>
        </w:tc>
        <w:tc>
          <w:tcPr>
            <w:tcW w:w="5177" w:type="dxa"/>
          </w:tcPr>
          <w:p w14:paraId="5A2F3FB3" w14:textId="51A38E9A" w:rsidR="00520DC6" w:rsidRPr="00B17ECB" w:rsidRDefault="000503D4" w:rsidP="00506730">
            <w:pPr>
              <w:suppressLineNumbers/>
              <w:suppressAutoHyphens/>
              <w:spacing w:before="60" w:after="60"/>
              <w:jc w:val="left"/>
              <w:rPr>
                <w:iCs/>
                <w:kern w:val="22"/>
                <w:szCs w:val="22"/>
              </w:rPr>
            </w:pPr>
            <w:r w:rsidRPr="00B17ECB">
              <w:rPr>
                <w:iCs/>
                <w:kern w:val="22"/>
                <w:szCs w:val="22"/>
              </w:rPr>
              <w:t>S</w:t>
            </w:r>
            <w:r w:rsidR="00520DC6" w:rsidRPr="00B17ECB">
              <w:rPr>
                <w:iCs/>
                <w:kern w:val="22"/>
                <w:szCs w:val="22"/>
              </w:rPr>
              <w:t>ubmitted</w:t>
            </w:r>
            <w:r w:rsidRPr="00B17ECB">
              <w:rPr>
                <w:iCs/>
                <w:kern w:val="22"/>
                <w:szCs w:val="22"/>
              </w:rPr>
              <w:t xml:space="preserve"> (</w:t>
            </w:r>
            <w:r w:rsidR="005A0260" w:rsidRPr="00B17ECB">
              <w:rPr>
                <w:iCs/>
                <w:kern w:val="22"/>
                <w:szCs w:val="22"/>
              </w:rPr>
              <w:t>April 2019)</w:t>
            </w:r>
          </w:p>
        </w:tc>
        <w:tc>
          <w:tcPr>
            <w:tcW w:w="3827" w:type="dxa"/>
          </w:tcPr>
          <w:p w14:paraId="61ABA1EC" w14:textId="40B255D6" w:rsidR="00520DC6" w:rsidRPr="00B17ECB" w:rsidRDefault="00A52D79" w:rsidP="00506730">
            <w:pPr>
              <w:suppressLineNumbers/>
              <w:suppressAutoHyphens/>
              <w:spacing w:before="60" w:after="60"/>
              <w:jc w:val="left"/>
              <w:rPr>
                <w:iCs/>
                <w:kern w:val="22"/>
                <w:szCs w:val="22"/>
              </w:rPr>
            </w:pPr>
            <w:r w:rsidRPr="00B17ECB">
              <w:rPr>
                <w:iCs/>
                <w:kern w:val="22"/>
                <w:szCs w:val="22"/>
              </w:rPr>
              <w:t xml:space="preserve">Report </w:t>
            </w:r>
            <w:r w:rsidR="00520DC6" w:rsidRPr="00B17ECB">
              <w:rPr>
                <w:iCs/>
                <w:kern w:val="22"/>
                <w:szCs w:val="22"/>
              </w:rPr>
              <w:t>not available</w:t>
            </w:r>
          </w:p>
        </w:tc>
      </w:tr>
      <w:tr w:rsidR="00181716" w:rsidRPr="00B17ECB" w14:paraId="0AFCCD3D" w14:textId="733C7650" w:rsidTr="00506730">
        <w:tc>
          <w:tcPr>
            <w:tcW w:w="514" w:type="dxa"/>
          </w:tcPr>
          <w:p w14:paraId="71F5E451" w14:textId="24AC0637" w:rsidR="00520DC6" w:rsidRPr="00B17ECB" w:rsidRDefault="008A5CC0" w:rsidP="00077A0C">
            <w:pPr>
              <w:suppressLineNumbers/>
              <w:suppressAutoHyphens/>
              <w:spacing w:before="60" w:after="60"/>
              <w:jc w:val="left"/>
              <w:rPr>
                <w:iCs/>
                <w:kern w:val="22"/>
                <w:szCs w:val="22"/>
              </w:rPr>
            </w:pPr>
            <w:r w:rsidRPr="00B17ECB">
              <w:rPr>
                <w:iCs/>
                <w:kern w:val="22"/>
                <w:szCs w:val="22"/>
              </w:rPr>
              <w:t>5</w:t>
            </w:r>
          </w:p>
        </w:tc>
        <w:tc>
          <w:tcPr>
            <w:tcW w:w="1749" w:type="dxa"/>
          </w:tcPr>
          <w:p w14:paraId="0144E2A7" w14:textId="77777777" w:rsidR="00520DC6" w:rsidRPr="00B17ECB" w:rsidRDefault="00520DC6" w:rsidP="00506730">
            <w:pPr>
              <w:suppressLineNumbers/>
              <w:suppressAutoHyphens/>
              <w:spacing w:before="60" w:after="60"/>
              <w:jc w:val="left"/>
            </w:pPr>
            <w:r w:rsidRPr="00B17ECB">
              <w:t>Morocco</w:t>
            </w:r>
          </w:p>
        </w:tc>
        <w:tc>
          <w:tcPr>
            <w:tcW w:w="2336" w:type="dxa"/>
          </w:tcPr>
          <w:p w14:paraId="4AB7D172" w14:textId="0EFF387D" w:rsidR="00520DC6" w:rsidRPr="00B17ECB" w:rsidRDefault="001A62B4" w:rsidP="00506730">
            <w:pPr>
              <w:suppressLineNumbers/>
              <w:suppressAutoHyphens/>
              <w:spacing w:before="60" w:after="60"/>
              <w:jc w:val="left"/>
              <w:rPr>
                <w:iCs/>
                <w:kern w:val="22"/>
                <w:szCs w:val="22"/>
              </w:rPr>
            </w:pPr>
            <w:r w:rsidRPr="00B17ECB">
              <w:rPr>
                <w:iCs/>
                <w:kern w:val="22"/>
                <w:szCs w:val="22"/>
              </w:rPr>
              <w:t xml:space="preserve">Temporary </w:t>
            </w:r>
            <w:r w:rsidR="00520DC6" w:rsidRPr="00B17ECB">
              <w:rPr>
                <w:iCs/>
                <w:kern w:val="22"/>
                <w:szCs w:val="22"/>
              </w:rPr>
              <w:t>measures</w:t>
            </w:r>
          </w:p>
        </w:tc>
        <w:tc>
          <w:tcPr>
            <w:tcW w:w="5177" w:type="dxa"/>
          </w:tcPr>
          <w:p w14:paraId="08EAE5C6" w14:textId="7282618D" w:rsidR="00520DC6" w:rsidRPr="00B17ECB" w:rsidRDefault="005A0260" w:rsidP="00506730">
            <w:pPr>
              <w:suppressLineNumbers/>
              <w:suppressAutoHyphens/>
              <w:spacing w:before="60" w:after="60"/>
              <w:jc w:val="left"/>
              <w:rPr>
                <w:iCs/>
                <w:kern w:val="22"/>
                <w:szCs w:val="22"/>
              </w:rPr>
            </w:pPr>
            <w:r w:rsidRPr="00B17ECB">
              <w:rPr>
                <w:iCs/>
                <w:kern w:val="22"/>
                <w:szCs w:val="22"/>
              </w:rPr>
              <w:t>S</w:t>
            </w:r>
            <w:r w:rsidR="00520DC6" w:rsidRPr="00B17ECB">
              <w:rPr>
                <w:iCs/>
                <w:kern w:val="22"/>
                <w:szCs w:val="22"/>
              </w:rPr>
              <w:t>ubmitted</w:t>
            </w:r>
            <w:r w:rsidRPr="00B17ECB">
              <w:rPr>
                <w:iCs/>
                <w:kern w:val="22"/>
                <w:szCs w:val="22"/>
              </w:rPr>
              <w:t xml:space="preserve"> (</w:t>
            </w:r>
            <w:r w:rsidR="00B63677" w:rsidRPr="00B17ECB">
              <w:rPr>
                <w:iCs/>
                <w:kern w:val="22"/>
                <w:szCs w:val="22"/>
              </w:rPr>
              <w:t>December 2019)</w:t>
            </w:r>
          </w:p>
        </w:tc>
        <w:tc>
          <w:tcPr>
            <w:tcW w:w="3827" w:type="dxa"/>
          </w:tcPr>
          <w:p w14:paraId="367D9653" w14:textId="331CC16C" w:rsidR="00520DC6" w:rsidRPr="00B17ECB" w:rsidRDefault="00A52D79" w:rsidP="00506730">
            <w:pPr>
              <w:suppressLineNumbers/>
              <w:suppressAutoHyphens/>
              <w:spacing w:before="60" w:after="60"/>
              <w:jc w:val="left"/>
              <w:rPr>
                <w:iCs/>
                <w:kern w:val="22"/>
                <w:szCs w:val="22"/>
              </w:rPr>
            </w:pPr>
            <w:r w:rsidRPr="00B17ECB">
              <w:rPr>
                <w:iCs/>
                <w:kern w:val="22"/>
                <w:szCs w:val="22"/>
              </w:rPr>
              <w:t xml:space="preserve">Temporary </w:t>
            </w:r>
            <w:r w:rsidR="00520DC6" w:rsidRPr="00B17ECB">
              <w:rPr>
                <w:iCs/>
                <w:kern w:val="22"/>
                <w:szCs w:val="22"/>
              </w:rPr>
              <w:t>measures</w:t>
            </w:r>
          </w:p>
        </w:tc>
      </w:tr>
      <w:tr w:rsidR="00181716" w:rsidRPr="00B17ECB" w14:paraId="17A37ADD" w14:textId="5123524E" w:rsidTr="00506730">
        <w:tc>
          <w:tcPr>
            <w:tcW w:w="514" w:type="dxa"/>
          </w:tcPr>
          <w:p w14:paraId="1F5A63E5" w14:textId="76774238" w:rsidR="00520DC6" w:rsidRPr="00B17ECB" w:rsidRDefault="008A5CC0" w:rsidP="00077A0C">
            <w:pPr>
              <w:suppressLineNumbers/>
              <w:suppressAutoHyphens/>
              <w:spacing w:before="60" w:after="60"/>
              <w:ind w:left="22"/>
              <w:jc w:val="left"/>
              <w:rPr>
                <w:iCs/>
                <w:kern w:val="22"/>
                <w:szCs w:val="22"/>
                <w:lang w:val="fr-FR"/>
              </w:rPr>
            </w:pPr>
            <w:r w:rsidRPr="00B17ECB">
              <w:rPr>
                <w:iCs/>
                <w:kern w:val="22"/>
                <w:szCs w:val="22"/>
                <w:lang w:val="fr-FR"/>
              </w:rPr>
              <w:t>6</w:t>
            </w:r>
          </w:p>
        </w:tc>
        <w:tc>
          <w:tcPr>
            <w:tcW w:w="1749" w:type="dxa"/>
          </w:tcPr>
          <w:p w14:paraId="69B70DA6" w14:textId="77777777" w:rsidR="00520DC6" w:rsidRPr="00B17ECB" w:rsidRDefault="00520DC6" w:rsidP="00506730">
            <w:pPr>
              <w:suppressLineNumbers/>
              <w:suppressAutoHyphens/>
              <w:spacing w:before="60" w:after="60"/>
              <w:jc w:val="left"/>
            </w:pPr>
            <w:r w:rsidRPr="00B17ECB">
              <w:t>Niger</w:t>
            </w:r>
          </w:p>
        </w:tc>
        <w:tc>
          <w:tcPr>
            <w:tcW w:w="2336" w:type="dxa"/>
          </w:tcPr>
          <w:p w14:paraId="2E9381C2" w14:textId="395EE546" w:rsidR="00520DC6" w:rsidRPr="00B17ECB" w:rsidRDefault="001A62B4" w:rsidP="00506730">
            <w:pPr>
              <w:suppressLineNumbers/>
              <w:suppressAutoHyphens/>
              <w:spacing w:before="60" w:after="60"/>
              <w:jc w:val="left"/>
              <w:rPr>
                <w:iCs/>
                <w:kern w:val="22"/>
                <w:szCs w:val="22"/>
              </w:rPr>
            </w:pPr>
            <w:r w:rsidRPr="00B17ECB">
              <w:rPr>
                <w:iCs/>
                <w:kern w:val="22"/>
                <w:szCs w:val="22"/>
              </w:rPr>
              <w:t xml:space="preserve">Draft </w:t>
            </w:r>
            <w:r w:rsidR="00520DC6" w:rsidRPr="00B17ECB">
              <w:rPr>
                <w:iCs/>
                <w:kern w:val="22"/>
                <w:szCs w:val="22"/>
              </w:rPr>
              <w:t>measures</w:t>
            </w:r>
          </w:p>
        </w:tc>
        <w:tc>
          <w:tcPr>
            <w:tcW w:w="5177" w:type="dxa"/>
          </w:tcPr>
          <w:p w14:paraId="6BE5AAE4" w14:textId="6B95C626" w:rsidR="00520DC6" w:rsidRPr="00B17ECB" w:rsidRDefault="00520DC6" w:rsidP="00506730">
            <w:pPr>
              <w:suppressLineNumbers/>
              <w:suppressAutoHyphens/>
              <w:spacing w:before="60" w:after="60"/>
              <w:jc w:val="left"/>
              <w:rPr>
                <w:iCs/>
                <w:kern w:val="22"/>
                <w:szCs w:val="22"/>
              </w:rPr>
            </w:pPr>
            <w:r w:rsidRPr="00B17ECB">
              <w:rPr>
                <w:iCs/>
                <w:kern w:val="22"/>
                <w:szCs w:val="22"/>
              </w:rPr>
              <w:t>Submitted</w:t>
            </w:r>
            <w:r w:rsidR="00B63677" w:rsidRPr="00B17ECB">
              <w:rPr>
                <w:iCs/>
                <w:kern w:val="22"/>
                <w:szCs w:val="22"/>
              </w:rPr>
              <w:t xml:space="preserve"> (December 2018)</w:t>
            </w:r>
            <w:r w:rsidRPr="00B17ECB">
              <w:rPr>
                <w:iCs/>
                <w:kern w:val="22"/>
                <w:szCs w:val="22"/>
              </w:rPr>
              <w:t>, activities carried out successfully, measures submitted to BCH</w:t>
            </w:r>
          </w:p>
        </w:tc>
        <w:tc>
          <w:tcPr>
            <w:tcW w:w="3827" w:type="dxa"/>
          </w:tcPr>
          <w:p w14:paraId="64D9EE9A" w14:textId="4450565E" w:rsidR="00520DC6" w:rsidRPr="00B17ECB" w:rsidRDefault="00A52D79" w:rsidP="00506730">
            <w:pPr>
              <w:suppressLineNumbers/>
              <w:suppressAutoHyphens/>
              <w:spacing w:before="60" w:after="60"/>
              <w:jc w:val="left"/>
              <w:rPr>
                <w:iCs/>
                <w:kern w:val="22"/>
                <w:szCs w:val="22"/>
              </w:rPr>
            </w:pPr>
            <w:r w:rsidRPr="00B17ECB">
              <w:rPr>
                <w:iCs/>
              </w:rPr>
              <w:t xml:space="preserve">Measures </w:t>
            </w:r>
            <w:r w:rsidR="00520DC6" w:rsidRPr="00B17ECB">
              <w:rPr>
                <w:iCs/>
                <w:kern w:val="22"/>
              </w:rPr>
              <w:t>fully</w:t>
            </w:r>
            <w:r w:rsidR="00520DC6" w:rsidRPr="00B17ECB">
              <w:rPr>
                <w:iCs/>
              </w:rPr>
              <w:t xml:space="preserve"> in place</w:t>
            </w:r>
          </w:p>
        </w:tc>
      </w:tr>
      <w:tr w:rsidR="00181716" w:rsidRPr="00B17ECB" w14:paraId="578B96A6" w14:textId="6BF2DB22" w:rsidTr="00506730">
        <w:tc>
          <w:tcPr>
            <w:tcW w:w="514" w:type="dxa"/>
            <w:tcBorders>
              <w:bottom w:val="single" w:sz="4" w:space="0" w:color="auto"/>
            </w:tcBorders>
          </w:tcPr>
          <w:p w14:paraId="75AD3FDB" w14:textId="5834612B" w:rsidR="00520DC6" w:rsidRPr="00B17ECB" w:rsidRDefault="008A5CC0" w:rsidP="00077A0C">
            <w:pPr>
              <w:suppressLineNumbers/>
              <w:suppressAutoHyphens/>
              <w:spacing w:before="60" w:after="60"/>
              <w:jc w:val="left"/>
              <w:rPr>
                <w:iCs/>
                <w:kern w:val="22"/>
                <w:szCs w:val="22"/>
              </w:rPr>
            </w:pPr>
            <w:r w:rsidRPr="00B17ECB">
              <w:rPr>
                <w:iCs/>
                <w:kern w:val="22"/>
                <w:szCs w:val="22"/>
              </w:rPr>
              <w:t>7</w:t>
            </w:r>
          </w:p>
        </w:tc>
        <w:tc>
          <w:tcPr>
            <w:tcW w:w="1749" w:type="dxa"/>
            <w:tcBorders>
              <w:bottom w:val="single" w:sz="4" w:space="0" w:color="auto"/>
            </w:tcBorders>
          </w:tcPr>
          <w:p w14:paraId="1277B105" w14:textId="77777777" w:rsidR="00520DC6" w:rsidRPr="00B17ECB" w:rsidRDefault="00520DC6" w:rsidP="00506730">
            <w:pPr>
              <w:suppressLineNumbers/>
              <w:suppressAutoHyphens/>
              <w:spacing w:before="60" w:after="60"/>
              <w:jc w:val="left"/>
            </w:pPr>
            <w:r w:rsidRPr="00B17ECB">
              <w:rPr>
                <w:iCs/>
                <w:kern w:val="22"/>
                <w:szCs w:val="22"/>
              </w:rPr>
              <w:t>Oman</w:t>
            </w:r>
          </w:p>
        </w:tc>
        <w:tc>
          <w:tcPr>
            <w:tcW w:w="2336" w:type="dxa"/>
            <w:tcBorders>
              <w:bottom w:val="single" w:sz="4" w:space="0" w:color="auto"/>
            </w:tcBorders>
          </w:tcPr>
          <w:p w14:paraId="14CEB50E" w14:textId="61ED4CA7" w:rsidR="00520DC6" w:rsidRPr="00B17ECB" w:rsidRDefault="001A62B4" w:rsidP="00506730">
            <w:pPr>
              <w:suppressLineNumbers/>
              <w:suppressAutoHyphens/>
              <w:spacing w:before="60" w:after="60"/>
              <w:jc w:val="left"/>
              <w:rPr>
                <w:iCs/>
                <w:kern w:val="22"/>
                <w:szCs w:val="22"/>
              </w:rPr>
            </w:pPr>
            <w:r w:rsidRPr="00B17ECB">
              <w:rPr>
                <w:iCs/>
                <w:kern w:val="22"/>
                <w:szCs w:val="22"/>
              </w:rPr>
              <w:t xml:space="preserve">Draft </w:t>
            </w:r>
            <w:r w:rsidR="00520DC6" w:rsidRPr="00B17ECB">
              <w:rPr>
                <w:iCs/>
                <w:kern w:val="22"/>
                <w:szCs w:val="22"/>
              </w:rPr>
              <w:t>measures</w:t>
            </w:r>
          </w:p>
        </w:tc>
        <w:tc>
          <w:tcPr>
            <w:tcW w:w="5177" w:type="dxa"/>
            <w:tcBorders>
              <w:bottom w:val="single" w:sz="4" w:space="0" w:color="auto"/>
            </w:tcBorders>
          </w:tcPr>
          <w:p w14:paraId="5904A251" w14:textId="0DB8E2FA" w:rsidR="00520DC6" w:rsidRPr="00B17ECB" w:rsidRDefault="00286FDA" w:rsidP="00506730">
            <w:pPr>
              <w:suppressLineNumbers/>
              <w:suppressAutoHyphens/>
              <w:spacing w:before="60" w:after="60"/>
              <w:jc w:val="left"/>
              <w:rPr>
                <w:iCs/>
                <w:kern w:val="22"/>
                <w:szCs w:val="22"/>
              </w:rPr>
            </w:pPr>
            <w:r w:rsidRPr="00B17ECB">
              <w:rPr>
                <w:iCs/>
                <w:kern w:val="22"/>
                <w:szCs w:val="22"/>
              </w:rPr>
              <w:t>S</w:t>
            </w:r>
            <w:r w:rsidR="00520DC6" w:rsidRPr="00B17ECB">
              <w:rPr>
                <w:iCs/>
                <w:kern w:val="22"/>
                <w:szCs w:val="22"/>
              </w:rPr>
              <w:t>ubmitted</w:t>
            </w:r>
            <w:r w:rsidRPr="00B17ECB">
              <w:rPr>
                <w:iCs/>
                <w:kern w:val="22"/>
                <w:szCs w:val="22"/>
              </w:rPr>
              <w:t xml:space="preserve"> (March 2019)</w:t>
            </w:r>
          </w:p>
        </w:tc>
        <w:tc>
          <w:tcPr>
            <w:tcW w:w="3827" w:type="dxa"/>
            <w:tcBorders>
              <w:bottom w:val="single" w:sz="4" w:space="0" w:color="auto"/>
            </w:tcBorders>
          </w:tcPr>
          <w:p w14:paraId="21D3DB2A" w14:textId="3AEC25B7" w:rsidR="00520DC6" w:rsidRPr="00B17ECB" w:rsidRDefault="00A52D79" w:rsidP="00506730">
            <w:pPr>
              <w:suppressLineNumbers/>
              <w:suppressAutoHyphens/>
              <w:spacing w:before="60" w:after="60"/>
              <w:jc w:val="left"/>
              <w:rPr>
                <w:iCs/>
                <w:kern w:val="22"/>
                <w:szCs w:val="22"/>
              </w:rPr>
            </w:pPr>
            <w:r w:rsidRPr="00B17ECB">
              <w:rPr>
                <w:iCs/>
                <w:kern w:val="22"/>
                <w:szCs w:val="22"/>
              </w:rPr>
              <w:t xml:space="preserve">Draft </w:t>
            </w:r>
            <w:r w:rsidR="00520DC6" w:rsidRPr="00B17ECB">
              <w:rPr>
                <w:iCs/>
                <w:kern w:val="22"/>
                <w:szCs w:val="22"/>
              </w:rPr>
              <w:t>measures</w:t>
            </w:r>
          </w:p>
        </w:tc>
      </w:tr>
      <w:tr w:rsidR="00E82193" w:rsidRPr="00B17ECB" w14:paraId="3FD3B8F8" w14:textId="2F6686EA" w:rsidTr="0078559C">
        <w:tc>
          <w:tcPr>
            <w:tcW w:w="13603" w:type="dxa"/>
            <w:gridSpan w:val="5"/>
            <w:shd w:val="clear" w:color="auto" w:fill="D9D9D9" w:themeFill="background1" w:themeFillShade="D9"/>
          </w:tcPr>
          <w:p w14:paraId="2E6A8609" w14:textId="763DE52E" w:rsidR="00AD092B" w:rsidRPr="00B17ECB" w:rsidRDefault="00AD092B" w:rsidP="00506730">
            <w:pPr>
              <w:suppressLineNumbers/>
              <w:suppressAutoHyphens/>
              <w:spacing w:before="120" w:after="120"/>
              <w:jc w:val="left"/>
              <w:rPr>
                <w:i/>
                <w:kern w:val="22"/>
                <w:szCs w:val="22"/>
              </w:rPr>
            </w:pPr>
            <w:r w:rsidRPr="00B17ECB">
              <w:rPr>
                <w:i/>
                <w:kern w:val="22"/>
                <w:szCs w:val="22"/>
              </w:rPr>
              <w:t xml:space="preserve">Parties that did not submit a compliance action plan but indicated in communications with the Secretariat that they have made progress </w:t>
            </w:r>
          </w:p>
        </w:tc>
      </w:tr>
      <w:tr w:rsidR="00181716" w:rsidRPr="00B17ECB" w14:paraId="44EDF1FC" w14:textId="1E1F7E5A" w:rsidTr="00506730">
        <w:tc>
          <w:tcPr>
            <w:tcW w:w="514" w:type="dxa"/>
          </w:tcPr>
          <w:p w14:paraId="211F4795" w14:textId="6C808E27" w:rsidR="00EB62DE" w:rsidRPr="00B17ECB" w:rsidRDefault="008A5CC0" w:rsidP="00077A0C">
            <w:pPr>
              <w:suppressLineNumbers/>
              <w:suppressAutoHyphens/>
              <w:spacing w:before="60" w:after="60"/>
              <w:jc w:val="left"/>
              <w:rPr>
                <w:iCs/>
                <w:kern w:val="22"/>
                <w:szCs w:val="22"/>
              </w:rPr>
            </w:pPr>
            <w:r w:rsidRPr="00B17ECB">
              <w:rPr>
                <w:iCs/>
                <w:kern w:val="22"/>
                <w:szCs w:val="22"/>
              </w:rPr>
              <w:t>8</w:t>
            </w:r>
          </w:p>
        </w:tc>
        <w:tc>
          <w:tcPr>
            <w:tcW w:w="1749" w:type="dxa"/>
          </w:tcPr>
          <w:p w14:paraId="4809DA79" w14:textId="0A6C1707" w:rsidR="00EB62DE" w:rsidRPr="00B17ECB" w:rsidRDefault="00EB62DE" w:rsidP="00506730">
            <w:pPr>
              <w:suppressLineNumbers/>
              <w:suppressAutoHyphens/>
              <w:spacing w:before="60" w:after="60"/>
              <w:jc w:val="left"/>
              <w:rPr>
                <w:iCs/>
                <w:kern w:val="22"/>
                <w:szCs w:val="22"/>
              </w:rPr>
            </w:pPr>
            <w:r w:rsidRPr="00B17ECB">
              <w:rPr>
                <w:kern w:val="22"/>
              </w:rPr>
              <w:t>Eritrea</w:t>
            </w:r>
          </w:p>
        </w:tc>
        <w:tc>
          <w:tcPr>
            <w:tcW w:w="2336" w:type="dxa"/>
          </w:tcPr>
          <w:p w14:paraId="3D0F2867" w14:textId="37E81E18" w:rsidR="00EB62DE" w:rsidRPr="00B17ECB" w:rsidRDefault="001A62B4" w:rsidP="00506730">
            <w:pPr>
              <w:suppressLineNumbers/>
              <w:suppressAutoHyphens/>
              <w:spacing w:before="60" w:after="60"/>
              <w:jc w:val="left"/>
              <w:rPr>
                <w:iCs/>
                <w:kern w:val="22"/>
                <w:szCs w:val="22"/>
              </w:rPr>
            </w:pPr>
            <w:r w:rsidRPr="00B17ECB">
              <w:rPr>
                <w:iCs/>
                <w:kern w:val="22"/>
                <w:szCs w:val="22"/>
              </w:rPr>
              <w:t xml:space="preserve">Draft </w:t>
            </w:r>
            <w:r w:rsidR="00EB62DE" w:rsidRPr="00B17ECB">
              <w:rPr>
                <w:iCs/>
                <w:kern w:val="22"/>
                <w:szCs w:val="22"/>
              </w:rPr>
              <w:t>measures</w:t>
            </w:r>
          </w:p>
        </w:tc>
        <w:tc>
          <w:tcPr>
            <w:tcW w:w="5177" w:type="dxa"/>
          </w:tcPr>
          <w:p w14:paraId="098DC619" w14:textId="69C8980B" w:rsidR="00EB62DE" w:rsidRPr="00B17ECB" w:rsidRDefault="00373A39" w:rsidP="00506730">
            <w:pPr>
              <w:suppressLineNumbers/>
              <w:suppressAutoHyphens/>
              <w:spacing w:before="60" w:after="60"/>
              <w:jc w:val="left"/>
              <w:rPr>
                <w:iCs/>
                <w:kern w:val="22"/>
                <w:szCs w:val="22"/>
              </w:rPr>
            </w:pPr>
            <w:r w:rsidRPr="00B17ECB">
              <w:rPr>
                <w:iCs/>
                <w:kern w:val="22"/>
                <w:szCs w:val="22"/>
              </w:rPr>
              <w:t xml:space="preserve">Not </w:t>
            </w:r>
            <w:r w:rsidR="00EB62DE" w:rsidRPr="00B17ECB">
              <w:rPr>
                <w:iCs/>
                <w:kern w:val="22"/>
                <w:szCs w:val="22"/>
              </w:rPr>
              <w:t xml:space="preserve">submitted </w:t>
            </w:r>
          </w:p>
        </w:tc>
        <w:tc>
          <w:tcPr>
            <w:tcW w:w="3827" w:type="dxa"/>
          </w:tcPr>
          <w:p w14:paraId="1EF555EC" w14:textId="6F3F23F3" w:rsidR="00EB62DE" w:rsidRPr="00B17ECB" w:rsidRDefault="00A52D79" w:rsidP="00506730">
            <w:pPr>
              <w:suppressLineNumbers/>
              <w:suppressAutoHyphens/>
              <w:spacing w:before="60" w:after="60"/>
              <w:jc w:val="left"/>
              <w:rPr>
                <w:iCs/>
                <w:kern w:val="22"/>
                <w:szCs w:val="22"/>
              </w:rPr>
            </w:pPr>
            <w:r w:rsidRPr="00B17ECB">
              <w:rPr>
                <w:iCs/>
                <w:kern w:val="22"/>
                <w:szCs w:val="22"/>
              </w:rPr>
              <w:t xml:space="preserve">Measures </w:t>
            </w:r>
            <w:r w:rsidR="00EB62DE" w:rsidRPr="00B17ECB">
              <w:rPr>
                <w:iCs/>
                <w:kern w:val="22"/>
                <w:szCs w:val="22"/>
              </w:rPr>
              <w:t>partially in place</w:t>
            </w:r>
          </w:p>
        </w:tc>
      </w:tr>
      <w:tr w:rsidR="003F140F" w:rsidRPr="00B17ECB" w14:paraId="7077DFA2" w14:textId="77777777" w:rsidTr="00506730">
        <w:tc>
          <w:tcPr>
            <w:tcW w:w="514" w:type="dxa"/>
          </w:tcPr>
          <w:p w14:paraId="1DC7EF2B" w14:textId="1ADA5EB6" w:rsidR="00101AD8" w:rsidRPr="00B17ECB" w:rsidRDefault="008A5CC0" w:rsidP="00077A0C">
            <w:pPr>
              <w:suppressLineNumbers/>
              <w:suppressAutoHyphens/>
              <w:spacing w:before="60" w:after="60"/>
              <w:ind w:left="22"/>
              <w:jc w:val="left"/>
              <w:rPr>
                <w:iCs/>
                <w:kern w:val="22"/>
                <w:szCs w:val="22"/>
              </w:rPr>
            </w:pPr>
            <w:r w:rsidRPr="00B17ECB">
              <w:rPr>
                <w:iCs/>
                <w:kern w:val="22"/>
                <w:szCs w:val="22"/>
              </w:rPr>
              <w:t>9</w:t>
            </w:r>
          </w:p>
        </w:tc>
        <w:tc>
          <w:tcPr>
            <w:tcW w:w="1749" w:type="dxa"/>
          </w:tcPr>
          <w:p w14:paraId="1A2EFFBE" w14:textId="08710112" w:rsidR="00101AD8" w:rsidRPr="00B17ECB" w:rsidRDefault="00101AD8" w:rsidP="00506730">
            <w:pPr>
              <w:suppressLineNumbers/>
              <w:suppressAutoHyphens/>
              <w:spacing w:before="60" w:after="60"/>
              <w:jc w:val="left"/>
            </w:pPr>
            <w:r w:rsidRPr="00B17ECB">
              <w:t>Mauritania</w:t>
            </w:r>
          </w:p>
        </w:tc>
        <w:tc>
          <w:tcPr>
            <w:tcW w:w="2336" w:type="dxa"/>
          </w:tcPr>
          <w:p w14:paraId="1815DB91" w14:textId="3B2EE151" w:rsidR="00101AD8" w:rsidRPr="00B17ECB" w:rsidRDefault="001A62B4" w:rsidP="00506730">
            <w:pPr>
              <w:suppressLineNumbers/>
              <w:suppressAutoHyphens/>
              <w:spacing w:before="60" w:after="60"/>
              <w:jc w:val="left"/>
              <w:rPr>
                <w:iCs/>
                <w:kern w:val="22"/>
                <w:szCs w:val="22"/>
              </w:rPr>
            </w:pPr>
            <w:r w:rsidRPr="00B17ECB">
              <w:rPr>
                <w:iCs/>
                <w:kern w:val="22"/>
                <w:szCs w:val="22"/>
              </w:rPr>
              <w:t xml:space="preserve">Draft </w:t>
            </w:r>
            <w:r w:rsidR="00101AD8" w:rsidRPr="00B17ECB">
              <w:rPr>
                <w:iCs/>
                <w:kern w:val="22"/>
                <w:szCs w:val="22"/>
              </w:rPr>
              <w:t>measures</w:t>
            </w:r>
          </w:p>
        </w:tc>
        <w:tc>
          <w:tcPr>
            <w:tcW w:w="5177" w:type="dxa"/>
          </w:tcPr>
          <w:p w14:paraId="1994FE5A" w14:textId="46703F5D" w:rsidR="00101AD8" w:rsidRPr="00B17ECB" w:rsidRDefault="00373A39" w:rsidP="00506730">
            <w:pPr>
              <w:suppressLineNumbers/>
              <w:suppressAutoHyphens/>
              <w:spacing w:before="60" w:after="60"/>
              <w:jc w:val="left"/>
              <w:rPr>
                <w:iCs/>
                <w:kern w:val="22"/>
                <w:szCs w:val="22"/>
              </w:rPr>
            </w:pPr>
            <w:r w:rsidRPr="00B17ECB">
              <w:rPr>
                <w:iCs/>
                <w:kern w:val="22"/>
                <w:szCs w:val="22"/>
              </w:rPr>
              <w:t>N</w:t>
            </w:r>
            <w:r w:rsidR="00101AD8" w:rsidRPr="00B17ECB">
              <w:rPr>
                <w:iCs/>
                <w:kern w:val="22"/>
                <w:szCs w:val="22"/>
              </w:rPr>
              <w:t>ot submitted</w:t>
            </w:r>
          </w:p>
        </w:tc>
        <w:tc>
          <w:tcPr>
            <w:tcW w:w="3827" w:type="dxa"/>
          </w:tcPr>
          <w:p w14:paraId="03EE90C6" w14:textId="200C825D" w:rsidR="00101AD8" w:rsidRPr="00B17ECB" w:rsidRDefault="00A52D79" w:rsidP="00506730">
            <w:pPr>
              <w:suppressLineNumbers/>
              <w:suppressAutoHyphens/>
              <w:spacing w:before="60" w:after="60"/>
              <w:jc w:val="left"/>
              <w:rPr>
                <w:iCs/>
                <w:kern w:val="22"/>
                <w:szCs w:val="22"/>
              </w:rPr>
            </w:pPr>
            <w:r w:rsidRPr="00B17ECB">
              <w:rPr>
                <w:iCs/>
                <w:kern w:val="22"/>
                <w:szCs w:val="22"/>
              </w:rPr>
              <w:t xml:space="preserve">Measures </w:t>
            </w:r>
            <w:r w:rsidR="00101AD8" w:rsidRPr="00B17ECB">
              <w:rPr>
                <w:iCs/>
                <w:kern w:val="22"/>
                <w:szCs w:val="22"/>
              </w:rPr>
              <w:t>partially in place</w:t>
            </w:r>
          </w:p>
        </w:tc>
      </w:tr>
      <w:tr w:rsidR="00BB462E" w:rsidRPr="00B17ECB" w14:paraId="6105B6F4" w14:textId="77777777" w:rsidTr="00506730">
        <w:tc>
          <w:tcPr>
            <w:tcW w:w="514" w:type="dxa"/>
          </w:tcPr>
          <w:p w14:paraId="29391886" w14:textId="5B3BA50E" w:rsidR="00C07AA0" w:rsidRPr="00B17ECB" w:rsidRDefault="00C07AA0" w:rsidP="00077A0C">
            <w:pPr>
              <w:suppressLineNumbers/>
              <w:suppressAutoHyphens/>
              <w:spacing w:before="60" w:after="60"/>
              <w:ind w:left="22"/>
              <w:jc w:val="left"/>
              <w:rPr>
                <w:iCs/>
                <w:kern w:val="22"/>
                <w:szCs w:val="22"/>
              </w:rPr>
            </w:pPr>
            <w:r w:rsidRPr="00B17ECB">
              <w:rPr>
                <w:iCs/>
                <w:kern w:val="22"/>
                <w:szCs w:val="22"/>
              </w:rPr>
              <w:t>10</w:t>
            </w:r>
          </w:p>
        </w:tc>
        <w:tc>
          <w:tcPr>
            <w:tcW w:w="1749" w:type="dxa"/>
          </w:tcPr>
          <w:p w14:paraId="0E6E8973" w14:textId="66251E54" w:rsidR="00C07AA0" w:rsidRPr="00B17ECB" w:rsidRDefault="00C07AA0" w:rsidP="00506730">
            <w:pPr>
              <w:suppressLineNumbers/>
              <w:suppressAutoHyphens/>
              <w:spacing w:before="60" w:after="60"/>
              <w:jc w:val="left"/>
            </w:pPr>
            <w:r w:rsidRPr="00B17ECB">
              <w:t>Saint Lucia</w:t>
            </w:r>
          </w:p>
        </w:tc>
        <w:tc>
          <w:tcPr>
            <w:tcW w:w="2336" w:type="dxa"/>
          </w:tcPr>
          <w:p w14:paraId="419BC02B" w14:textId="3D4BA9D8" w:rsidR="00C07AA0" w:rsidRPr="00B17ECB" w:rsidRDefault="001A62B4" w:rsidP="00506730">
            <w:pPr>
              <w:suppressLineNumbers/>
              <w:suppressAutoHyphens/>
              <w:spacing w:before="60" w:after="60"/>
              <w:jc w:val="left"/>
              <w:rPr>
                <w:iCs/>
                <w:kern w:val="22"/>
                <w:szCs w:val="22"/>
              </w:rPr>
            </w:pPr>
            <w:r w:rsidRPr="00B17ECB">
              <w:rPr>
                <w:iCs/>
                <w:kern w:val="22"/>
                <w:szCs w:val="22"/>
              </w:rPr>
              <w:t xml:space="preserve">Draft </w:t>
            </w:r>
            <w:r w:rsidR="00C07AA0" w:rsidRPr="00B17ECB">
              <w:rPr>
                <w:iCs/>
                <w:kern w:val="22"/>
                <w:szCs w:val="22"/>
              </w:rPr>
              <w:t>measures</w:t>
            </w:r>
          </w:p>
        </w:tc>
        <w:tc>
          <w:tcPr>
            <w:tcW w:w="5177" w:type="dxa"/>
          </w:tcPr>
          <w:p w14:paraId="0F27FEBA" w14:textId="1A37F4DD" w:rsidR="00C07AA0" w:rsidRPr="00B17ECB" w:rsidRDefault="00373A39" w:rsidP="00506730">
            <w:pPr>
              <w:suppressLineNumbers/>
              <w:suppressAutoHyphens/>
              <w:spacing w:before="60" w:after="60"/>
              <w:jc w:val="left"/>
              <w:rPr>
                <w:iCs/>
                <w:kern w:val="22"/>
                <w:szCs w:val="22"/>
              </w:rPr>
            </w:pPr>
            <w:r w:rsidRPr="00B17ECB">
              <w:rPr>
                <w:iCs/>
                <w:kern w:val="22"/>
                <w:szCs w:val="22"/>
              </w:rPr>
              <w:t xml:space="preserve">Not </w:t>
            </w:r>
            <w:r w:rsidR="00C07AA0" w:rsidRPr="00B17ECB">
              <w:rPr>
                <w:iCs/>
                <w:kern w:val="22"/>
                <w:szCs w:val="22"/>
              </w:rPr>
              <w:t>submitted</w:t>
            </w:r>
          </w:p>
        </w:tc>
        <w:tc>
          <w:tcPr>
            <w:tcW w:w="3827" w:type="dxa"/>
          </w:tcPr>
          <w:p w14:paraId="0C63D587" w14:textId="70A06FA5" w:rsidR="00C07AA0" w:rsidRPr="00B17ECB" w:rsidRDefault="00A52D79" w:rsidP="00506730">
            <w:pPr>
              <w:suppressLineNumbers/>
              <w:suppressAutoHyphens/>
              <w:spacing w:before="60" w:after="60"/>
              <w:jc w:val="left"/>
              <w:rPr>
                <w:iCs/>
                <w:kern w:val="22"/>
                <w:szCs w:val="22"/>
              </w:rPr>
            </w:pPr>
            <w:r w:rsidRPr="00B17ECB">
              <w:rPr>
                <w:iCs/>
                <w:kern w:val="22"/>
                <w:szCs w:val="22"/>
              </w:rPr>
              <w:t xml:space="preserve">Measures </w:t>
            </w:r>
            <w:r w:rsidR="00C07AA0" w:rsidRPr="00B17ECB">
              <w:rPr>
                <w:iCs/>
                <w:kern w:val="22"/>
                <w:szCs w:val="22"/>
              </w:rPr>
              <w:t>partially in place</w:t>
            </w:r>
          </w:p>
        </w:tc>
      </w:tr>
      <w:tr w:rsidR="00101AD8" w:rsidRPr="00B17ECB" w14:paraId="2461146B" w14:textId="77777777" w:rsidTr="0078559C">
        <w:tc>
          <w:tcPr>
            <w:tcW w:w="13603" w:type="dxa"/>
            <w:gridSpan w:val="5"/>
            <w:shd w:val="clear" w:color="auto" w:fill="D9D9D9" w:themeFill="background1" w:themeFillShade="D9"/>
          </w:tcPr>
          <w:p w14:paraId="733CE71F" w14:textId="37F8F63F" w:rsidR="00AD092B" w:rsidRPr="00B17ECB" w:rsidRDefault="00AD092B" w:rsidP="00506730">
            <w:pPr>
              <w:suppressLineNumbers/>
              <w:suppressAutoHyphens/>
              <w:spacing w:before="120" w:after="120"/>
              <w:jc w:val="left"/>
              <w:rPr>
                <w:i/>
                <w:kern w:val="22"/>
                <w:szCs w:val="22"/>
              </w:rPr>
            </w:pPr>
            <w:r w:rsidRPr="00B17ECB">
              <w:rPr>
                <w:i/>
                <w:kern w:val="22"/>
                <w:szCs w:val="22"/>
              </w:rPr>
              <w:t xml:space="preserve">Parties that did not submit a compliance action plan that reported in their fourth national report that measures are now </w:t>
            </w:r>
            <w:r w:rsidR="00373A39" w:rsidRPr="00B17ECB">
              <w:rPr>
                <w:i/>
                <w:kern w:val="22"/>
                <w:szCs w:val="22"/>
              </w:rPr>
              <w:t>“</w:t>
            </w:r>
            <w:r w:rsidRPr="00B17ECB">
              <w:rPr>
                <w:i/>
                <w:kern w:val="22"/>
                <w:szCs w:val="22"/>
              </w:rPr>
              <w:t>partially in place</w:t>
            </w:r>
            <w:r w:rsidR="00373A39" w:rsidRPr="00B17ECB">
              <w:rPr>
                <w:i/>
                <w:kern w:val="22"/>
                <w:szCs w:val="22"/>
              </w:rPr>
              <w:t>”</w:t>
            </w:r>
          </w:p>
        </w:tc>
      </w:tr>
      <w:tr w:rsidR="00181716" w:rsidRPr="00B17ECB" w14:paraId="17517EC8" w14:textId="77777777" w:rsidTr="00506730">
        <w:tc>
          <w:tcPr>
            <w:tcW w:w="514" w:type="dxa"/>
          </w:tcPr>
          <w:p w14:paraId="4A5D14ED" w14:textId="650BA521" w:rsidR="007323B2" w:rsidRPr="00B17ECB" w:rsidRDefault="008A5CC0" w:rsidP="00077A0C">
            <w:pPr>
              <w:suppressLineNumbers/>
              <w:suppressAutoHyphens/>
              <w:spacing w:before="60" w:after="60"/>
              <w:ind w:left="22"/>
              <w:jc w:val="left"/>
              <w:rPr>
                <w:iCs/>
                <w:kern w:val="22"/>
                <w:szCs w:val="22"/>
              </w:rPr>
            </w:pPr>
            <w:r w:rsidRPr="00B17ECB">
              <w:rPr>
                <w:iCs/>
                <w:kern w:val="22"/>
                <w:szCs w:val="22"/>
              </w:rPr>
              <w:t>1</w:t>
            </w:r>
            <w:r w:rsidR="00C07AA0" w:rsidRPr="00B17ECB">
              <w:rPr>
                <w:iCs/>
                <w:kern w:val="22"/>
                <w:szCs w:val="22"/>
              </w:rPr>
              <w:t>1</w:t>
            </w:r>
          </w:p>
        </w:tc>
        <w:tc>
          <w:tcPr>
            <w:tcW w:w="1749" w:type="dxa"/>
          </w:tcPr>
          <w:p w14:paraId="6FF8951F" w14:textId="7A1666A6" w:rsidR="007323B2" w:rsidRPr="00B17ECB" w:rsidRDefault="007323B2" w:rsidP="00506730">
            <w:pPr>
              <w:suppressLineNumbers/>
              <w:suppressAutoHyphens/>
              <w:spacing w:before="60" w:after="60"/>
              <w:jc w:val="left"/>
            </w:pPr>
            <w:r w:rsidRPr="00B17ECB">
              <w:t>Grenada</w:t>
            </w:r>
          </w:p>
        </w:tc>
        <w:tc>
          <w:tcPr>
            <w:tcW w:w="2336" w:type="dxa"/>
          </w:tcPr>
          <w:p w14:paraId="2E7DBBFA" w14:textId="69BD5B65" w:rsidR="007323B2" w:rsidRPr="00B17ECB" w:rsidRDefault="00373A39" w:rsidP="00506730">
            <w:pPr>
              <w:suppressLineNumbers/>
              <w:suppressAutoHyphens/>
              <w:spacing w:before="60" w:after="60"/>
              <w:jc w:val="left"/>
              <w:rPr>
                <w:iCs/>
                <w:kern w:val="22"/>
                <w:szCs w:val="22"/>
              </w:rPr>
            </w:pPr>
            <w:r w:rsidRPr="00B17ECB">
              <w:rPr>
                <w:iCs/>
                <w:kern w:val="22"/>
                <w:szCs w:val="22"/>
              </w:rPr>
              <w:t xml:space="preserve">Draft </w:t>
            </w:r>
            <w:r w:rsidR="007323B2" w:rsidRPr="00B17ECB">
              <w:rPr>
                <w:iCs/>
                <w:kern w:val="22"/>
                <w:szCs w:val="22"/>
              </w:rPr>
              <w:t>measures</w:t>
            </w:r>
          </w:p>
        </w:tc>
        <w:tc>
          <w:tcPr>
            <w:tcW w:w="5177" w:type="dxa"/>
          </w:tcPr>
          <w:p w14:paraId="28A12716" w14:textId="43A4629C" w:rsidR="007323B2" w:rsidRPr="00B17ECB" w:rsidRDefault="00373A39" w:rsidP="00506730">
            <w:pPr>
              <w:suppressLineNumbers/>
              <w:suppressAutoHyphens/>
              <w:spacing w:before="60" w:after="60"/>
              <w:jc w:val="left"/>
              <w:rPr>
                <w:iCs/>
                <w:kern w:val="22"/>
                <w:szCs w:val="22"/>
              </w:rPr>
            </w:pPr>
            <w:r w:rsidRPr="00B17ECB">
              <w:rPr>
                <w:iCs/>
                <w:kern w:val="22"/>
                <w:szCs w:val="22"/>
              </w:rPr>
              <w:t>Not submitted</w:t>
            </w:r>
          </w:p>
        </w:tc>
        <w:tc>
          <w:tcPr>
            <w:tcW w:w="3827" w:type="dxa"/>
          </w:tcPr>
          <w:p w14:paraId="4965327C" w14:textId="4C34A634" w:rsidR="007323B2" w:rsidRPr="00B17ECB" w:rsidRDefault="00373A39" w:rsidP="00506730">
            <w:pPr>
              <w:suppressLineNumbers/>
              <w:suppressAutoHyphens/>
              <w:spacing w:before="60" w:after="60"/>
              <w:jc w:val="left"/>
              <w:rPr>
                <w:iCs/>
                <w:kern w:val="22"/>
                <w:szCs w:val="22"/>
              </w:rPr>
            </w:pPr>
            <w:r w:rsidRPr="00B17ECB">
              <w:rPr>
                <w:iCs/>
                <w:kern w:val="22"/>
                <w:szCs w:val="22"/>
              </w:rPr>
              <w:t xml:space="preserve">Measures </w:t>
            </w:r>
            <w:r w:rsidR="007323B2" w:rsidRPr="00B17ECB">
              <w:rPr>
                <w:iCs/>
                <w:kern w:val="22"/>
                <w:szCs w:val="22"/>
              </w:rPr>
              <w:t>partially in place</w:t>
            </w:r>
          </w:p>
        </w:tc>
      </w:tr>
      <w:tr w:rsidR="00181716" w:rsidRPr="00B17ECB" w14:paraId="01CD8265" w14:textId="77777777" w:rsidTr="00506730">
        <w:tc>
          <w:tcPr>
            <w:tcW w:w="514" w:type="dxa"/>
          </w:tcPr>
          <w:p w14:paraId="6AC648F9" w14:textId="0ACABF74" w:rsidR="00034ED1" w:rsidRPr="00B17ECB" w:rsidRDefault="008A5CC0" w:rsidP="00077A0C">
            <w:pPr>
              <w:suppressLineNumbers/>
              <w:suppressAutoHyphens/>
              <w:spacing w:before="60" w:after="60"/>
              <w:jc w:val="left"/>
              <w:rPr>
                <w:iCs/>
                <w:kern w:val="22"/>
                <w:szCs w:val="22"/>
              </w:rPr>
            </w:pPr>
            <w:r w:rsidRPr="00B17ECB">
              <w:rPr>
                <w:iCs/>
                <w:kern w:val="22"/>
                <w:szCs w:val="22"/>
              </w:rPr>
              <w:t>1</w:t>
            </w:r>
            <w:r w:rsidR="00C07AA0" w:rsidRPr="00B17ECB">
              <w:rPr>
                <w:iCs/>
                <w:kern w:val="22"/>
                <w:szCs w:val="22"/>
              </w:rPr>
              <w:t>2</w:t>
            </w:r>
          </w:p>
        </w:tc>
        <w:tc>
          <w:tcPr>
            <w:tcW w:w="1749" w:type="dxa"/>
          </w:tcPr>
          <w:p w14:paraId="53EA57D7" w14:textId="560B48C8" w:rsidR="00034ED1" w:rsidRPr="00B17ECB" w:rsidRDefault="00034ED1" w:rsidP="00506730">
            <w:pPr>
              <w:suppressLineNumbers/>
              <w:suppressAutoHyphens/>
              <w:spacing w:before="60" w:after="60"/>
              <w:jc w:val="left"/>
            </w:pPr>
            <w:r w:rsidRPr="00B17ECB">
              <w:t>Guyana</w:t>
            </w:r>
          </w:p>
        </w:tc>
        <w:tc>
          <w:tcPr>
            <w:tcW w:w="2336" w:type="dxa"/>
          </w:tcPr>
          <w:p w14:paraId="6038B5C9" w14:textId="1D85D69C" w:rsidR="00034ED1" w:rsidRPr="00B17ECB" w:rsidRDefault="00373A39" w:rsidP="00506730">
            <w:pPr>
              <w:suppressLineNumbers/>
              <w:suppressAutoHyphens/>
              <w:spacing w:before="60" w:after="60"/>
              <w:jc w:val="left"/>
              <w:rPr>
                <w:iCs/>
                <w:kern w:val="22"/>
                <w:szCs w:val="22"/>
              </w:rPr>
            </w:pPr>
            <w:r w:rsidRPr="00B17ECB">
              <w:rPr>
                <w:iCs/>
                <w:kern w:val="22"/>
                <w:szCs w:val="22"/>
              </w:rPr>
              <w:t xml:space="preserve">Draft </w:t>
            </w:r>
            <w:r w:rsidR="00034ED1" w:rsidRPr="00B17ECB">
              <w:rPr>
                <w:iCs/>
                <w:kern w:val="22"/>
                <w:szCs w:val="22"/>
              </w:rPr>
              <w:t>measures</w:t>
            </w:r>
          </w:p>
        </w:tc>
        <w:tc>
          <w:tcPr>
            <w:tcW w:w="5177" w:type="dxa"/>
          </w:tcPr>
          <w:p w14:paraId="7AA2C252" w14:textId="1F1F7E2A" w:rsidR="00034ED1" w:rsidRPr="00B17ECB" w:rsidRDefault="00373A39" w:rsidP="00506730">
            <w:pPr>
              <w:suppressLineNumbers/>
              <w:suppressAutoHyphens/>
              <w:spacing w:before="60" w:after="60"/>
              <w:jc w:val="left"/>
              <w:rPr>
                <w:iCs/>
                <w:kern w:val="22"/>
                <w:szCs w:val="22"/>
              </w:rPr>
            </w:pPr>
            <w:r w:rsidRPr="00B17ECB">
              <w:rPr>
                <w:iCs/>
                <w:kern w:val="22"/>
                <w:szCs w:val="22"/>
              </w:rPr>
              <w:t>Not submitted</w:t>
            </w:r>
          </w:p>
        </w:tc>
        <w:tc>
          <w:tcPr>
            <w:tcW w:w="3827" w:type="dxa"/>
          </w:tcPr>
          <w:p w14:paraId="5105CFFB" w14:textId="3E75D4E4" w:rsidR="00034ED1" w:rsidRPr="00B17ECB" w:rsidRDefault="00373A39" w:rsidP="00506730">
            <w:pPr>
              <w:suppressLineNumbers/>
              <w:suppressAutoHyphens/>
              <w:spacing w:before="60" w:after="60"/>
              <w:jc w:val="left"/>
              <w:rPr>
                <w:iCs/>
                <w:kern w:val="22"/>
                <w:szCs w:val="22"/>
              </w:rPr>
            </w:pPr>
            <w:r w:rsidRPr="00B17ECB">
              <w:rPr>
                <w:iCs/>
                <w:kern w:val="22"/>
                <w:szCs w:val="22"/>
              </w:rPr>
              <w:t xml:space="preserve">Measures </w:t>
            </w:r>
            <w:r w:rsidR="00034ED1" w:rsidRPr="00B17ECB">
              <w:rPr>
                <w:iCs/>
                <w:kern w:val="22"/>
                <w:szCs w:val="22"/>
              </w:rPr>
              <w:t>partially in place</w:t>
            </w:r>
          </w:p>
        </w:tc>
      </w:tr>
      <w:tr w:rsidR="00181716" w:rsidRPr="00B17ECB" w14:paraId="70AEDDB3" w14:textId="77777777" w:rsidTr="00506730">
        <w:tc>
          <w:tcPr>
            <w:tcW w:w="514" w:type="dxa"/>
          </w:tcPr>
          <w:p w14:paraId="0ECCD315" w14:textId="1637CD81" w:rsidR="008A48BB" w:rsidRPr="00B17ECB" w:rsidRDefault="008A5CC0" w:rsidP="00077A0C">
            <w:pPr>
              <w:suppressLineNumbers/>
              <w:suppressAutoHyphens/>
              <w:spacing w:before="60" w:after="60"/>
              <w:jc w:val="left"/>
              <w:rPr>
                <w:iCs/>
                <w:kern w:val="22"/>
                <w:szCs w:val="22"/>
              </w:rPr>
            </w:pPr>
            <w:r w:rsidRPr="00B17ECB">
              <w:rPr>
                <w:iCs/>
                <w:kern w:val="22"/>
                <w:szCs w:val="22"/>
              </w:rPr>
              <w:t>1</w:t>
            </w:r>
            <w:r w:rsidR="00C07AA0" w:rsidRPr="00B17ECB">
              <w:rPr>
                <w:iCs/>
                <w:kern w:val="22"/>
                <w:szCs w:val="22"/>
              </w:rPr>
              <w:t>3</w:t>
            </w:r>
          </w:p>
        </w:tc>
        <w:tc>
          <w:tcPr>
            <w:tcW w:w="1749" w:type="dxa"/>
          </w:tcPr>
          <w:p w14:paraId="62CA8114" w14:textId="135B3299" w:rsidR="008A48BB" w:rsidRPr="00B17ECB" w:rsidRDefault="008A48BB" w:rsidP="00506730">
            <w:pPr>
              <w:suppressLineNumbers/>
              <w:suppressAutoHyphens/>
              <w:spacing w:before="60" w:after="60"/>
              <w:jc w:val="left"/>
            </w:pPr>
            <w:r w:rsidRPr="00B17ECB">
              <w:t>Palau</w:t>
            </w:r>
          </w:p>
        </w:tc>
        <w:tc>
          <w:tcPr>
            <w:tcW w:w="2336" w:type="dxa"/>
          </w:tcPr>
          <w:p w14:paraId="0DC6BBCD" w14:textId="2940C504" w:rsidR="008A48BB" w:rsidRPr="00B17ECB" w:rsidRDefault="00373A39" w:rsidP="00506730">
            <w:pPr>
              <w:suppressLineNumbers/>
              <w:suppressAutoHyphens/>
              <w:spacing w:before="60" w:after="60"/>
              <w:jc w:val="left"/>
              <w:rPr>
                <w:iCs/>
                <w:kern w:val="22"/>
                <w:szCs w:val="22"/>
              </w:rPr>
            </w:pPr>
            <w:r w:rsidRPr="00B17ECB">
              <w:rPr>
                <w:iCs/>
                <w:kern w:val="22"/>
                <w:szCs w:val="22"/>
              </w:rPr>
              <w:t xml:space="preserve">Draft </w:t>
            </w:r>
            <w:r w:rsidR="008A48BB" w:rsidRPr="00B17ECB">
              <w:rPr>
                <w:iCs/>
                <w:kern w:val="22"/>
                <w:szCs w:val="22"/>
              </w:rPr>
              <w:t>measures</w:t>
            </w:r>
          </w:p>
        </w:tc>
        <w:tc>
          <w:tcPr>
            <w:tcW w:w="5177" w:type="dxa"/>
          </w:tcPr>
          <w:p w14:paraId="1C1F71A7" w14:textId="75D382D6" w:rsidR="008A48BB" w:rsidRPr="00B17ECB" w:rsidRDefault="00373A39" w:rsidP="00506730">
            <w:pPr>
              <w:suppressLineNumbers/>
              <w:suppressAutoHyphens/>
              <w:spacing w:before="60" w:after="60"/>
              <w:jc w:val="left"/>
              <w:rPr>
                <w:iCs/>
                <w:kern w:val="22"/>
                <w:szCs w:val="22"/>
              </w:rPr>
            </w:pPr>
            <w:r w:rsidRPr="00B17ECB">
              <w:rPr>
                <w:iCs/>
                <w:kern w:val="22"/>
                <w:szCs w:val="22"/>
              </w:rPr>
              <w:t>Not submitted</w:t>
            </w:r>
          </w:p>
        </w:tc>
        <w:tc>
          <w:tcPr>
            <w:tcW w:w="3827" w:type="dxa"/>
          </w:tcPr>
          <w:p w14:paraId="7D57E6C3" w14:textId="7ECC5736" w:rsidR="008A48BB" w:rsidRPr="00B17ECB" w:rsidRDefault="00373A39" w:rsidP="00506730">
            <w:pPr>
              <w:suppressLineNumbers/>
              <w:suppressAutoHyphens/>
              <w:spacing w:before="60" w:after="60"/>
              <w:jc w:val="left"/>
              <w:rPr>
                <w:iCs/>
                <w:kern w:val="22"/>
                <w:szCs w:val="22"/>
              </w:rPr>
            </w:pPr>
            <w:r w:rsidRPr="00B17ECB">
              <w:rPr>
                <w:iCs/>
                <w:kern w:val="22"/>
                <w:szCs w:val="22"/>
              </w:rPr>
              <w:t xml:space="preserve">Measures </w:t>
            </w:r>
            <w:r w:rsidR="008A48BB" w:rsidRPr="00B17ECB">
              <w:rPr>
                <w:iCs/>
                <w:kern w:val="22"/>
                <w:szCs w:val="22"/>
              </w:rPr>
              <w:t>partially in place</w:t>
            </w:r>
          </w:p>
        </w:tc>
      </w:tr>
      <w:tr w:rsidR="00181716" w:rsidRPr="00B17ECB" w14:paraId="3E9A879E" w14:textId="77777777" w:rsidTr="00506730">
        <w:tc>
          <w:tcPr>
            <w:tcW w:w="514" w:type="dxa"/>
          </w:tcPr>
          <w:p w14:paraId="558BD599" w14:textId="4E4F35B1" w:rsidR="00FA6032" w:rsidRPr="00B17ECB" w:rsidRDefault="008A5CC0" w:rsidP="00506730">
            <w:pPr>
              <w:suppressLineNumbers/>
              <w:suppressAutoHyphens/>
              <w:spacing w:before="60" w:after="60"/>
              <w:ind w:left="22"/>
              <w:jc w:val="center"/>
              <w:rPr>
                <w:iCs/>
                <w:kern w:val="22"/>
                <w:szCs w:val="22"/>
              </w:rPr>
            </w:pPr>
            <w:r w:rsidRPr="00B17ECB">
              <w:rPr>
                <w:iCs/>
                <w:kern w:val="22"/>
                <w:szCs w:val="22"/>
              </w:rPr>
              <w:lastRenderedPageBreak/>
              <w:t>1</w:t>
            </w:r>
            <w:r w:rsidR="00110355" w:rsidRPr="00B17ECB">
              <w:rPr>
                <w:iCs/>
                <w:kern w:val="22"/>
                <w:szCs w:val="22"/>
              </w:rPr>
              <w:t>4</w:t>
            </w:r>
          </w:p>
        </w:tc>
        <w:tc>
          <w:tcPr>
            <w:tcW w:w="1749" w:type="dxa"/>
          </w:tcPr>
          <w:p w14:paraId="708E20EE" w14:textId="4FCB9B25" w:rsidR="00FA6032" w:rsidRPr="00B17ECB" w:rsidRDefault="00FA6032" w:rsidP="00506730">
            <w:pPr>
              <w:suppressLineNumbers/>
              <w:suppressAutoHyphens/>
              <w:spacing w:before="60" w:after="60"/>
              <w:jc w:val="left"/>
            </w:pPr>
            <w:r w:rsidRPr="00B17ECB">
              <w:t>United Arab Emirates</w:t>
            </w:r>
          </w:p>
        </w:tc>
        <w:tc>
          <w:tcPr>
            <w:tcW w:w="2336" w:type="dxa"/>
          </w:tcPr>
          <w:p w14:paraId="17922CD8" w14:textId="74D0AA42" w:rsidR="00FA6032" w:rsidRPr="00B17ECB" w:rsidRDefault="00373A39" w:rsidP="00506730">
            <w:pPr>
              <w:suppressLineNumbers/>
              <w:suppressAutoHyphens/>
              <w:spacing w:before="60" w:after="60"/>
              <w:jc w:val="left"/>
              <w:rPr>
                <w:iCs/>
                <w:kern w:val="22"/>
                <w:szCs w:val="22"/>
              </w:rPr>
            </w:pPr>
            <w:r w:rsidRPr="00B17ECB">
              <w:rPr>
                <w:iCs/>
                <w:kern w:val="22"/>
                <w:szCs w:val="22"/>
              </w:rPr>
              <w:t xml:space="preserve">Draft </w:t>
            </w:r>
            <w:r w:rsidR="00FA6032" w:rsidRPr="00B17ECB">
              <w:rPr>
                <w:iCs/>
                <w:kern w:val="22"/>
                <w:szCs w:val="22"/>
              </w:rPr>
              <w:t>measures</w:t>
            </w:r>
          </w:p>
        </w:tc>
        <w:tc>
          <w:tcPr>
            <w:tcW w:w="5177" w:type="dxa"/>
          </w:tcPr>
          <w:p w14:paraId="5DCF20FA" w14:textId="510BBE18" w:rsidR="00FA6032" w:rsidRPr="00B17ECB" w:rsidRDefault="00373A39" w:rsidP="00506730">
            <w:pPr>
              <w:suppressLineNumbers/>
              <w:suppressAutoHyphens/>
              <w:spacing w:before="60" w:after="60"/>
              <w:jc w:val="left"/>
              <w:rPr>
                <w:iCs/>
                <w:kern w:val="22"/>
                <w:szCs w:val="22"/>
              </w:rPr>
            </w:pPr>
            <w:r w:rsidRPr="00B17ECB">
              <w:rPr>
                <w:iCs/>
              </w:rPr>
              <w:t>Not submitted</w:t>
            </w:r>
          </w:p>
        </w:tc>
        <w:tc>
          <w:tcPr>
            <w:tcW w:w="3827" w:type="dxa"/>
          </w:tcPr>
          <w:p w14:paraId="6E30EDBC" w14:textId="0C528D34" w:rsidR="00FA6032" w:rsidRPr="00B17ECB" w:rsidRDefault="00373A39" w:rsidP="00506730">
            <w:pPr>
              <w:suppressLineNumbers/>
              <w:suppressAutoHyphens/>
              <w:spacing w:before="60" w:after="60"/>
              <w:jc w:val="left"/>
              <w:rPr>
                <w:iCs/>
                <w:kern w:val="22"/>
                <w:szCs w:val="22"/>
              </w:rPr>
            </w:pPr>
            <w:r w:rsidRPr="00B17ECB">
              <w:rPr>
                <w:iCs/>
                <w:kern w:val="22"/>
                <w:szCs w:val="22"/>
              </w:rPr>
              <w:t xml:space="preserve">Measures </w:t>
            </w:r>
            <w:r w:rsidR="00FA6032" w:rsidRPr="00B17ECB">
              <w:rPr>
                <w:iCs/>
                <w:kern w:val="22"/>
                <w:szCs w:val="22"/>
              </w:rPr>
              <w:t>partially in place</w:t>
            </w:r>
          </w:p>
        </w:tc>
      </w:tr>
      <w:tr w:rsidR="001551B6" w:rsidRPr="00B17ECB" w14:paraId="560278DD" w14:textId="77777777" w:rsidTr="00CF0903">
        <w:tc>
          <w:tcPr>
            <w:tcW w:w="13603" w:type="dxa"/>
            <w:gridSpan w:val="5"/>
            <w:shd w:val="clear" w:color="auto" w:fill="D9D9D9" w:themeFill="background1" w:themeFillShade="D9"/>
          </w:tcPr>
          <w:p w14:paraId="507C591C" w14:textId="0FBEEC71" w:rsidR="00AD092B" w:rsidRPr="00B17ECB" w:rsidRDefault="00AD092B" w:rsidP="00506730">
            <w:pPr>
              <w:suppressLineNumbers/>
              <w:suppressAutoHyphens/>
              <w:spacing w:before="120" w:after="120"/>
              <w:jc w:val="left"/>
              <w:rPr>
                <w:i/>
                <w:kern w:val="22"/>
                <w:szCs w:val="22"/>
              </w:rPr>
            </w:pPr>
            <w:r w:rsidRPr="00B17ECB">
              <w:rPr>
                <w:i/>
                <w:kern w:val="22"/>
                <w:szCs w:val="22"/>
              </w:rPr>
              <w:t>Parties that did not submit a compliance action plan and reported in their fourth national report that only draft measures exist or no measures have been taken or have not submitted a fourth national report</w:t>
            </w:r>
          </w:p>
        </w:tc>
      </w:tr>
      <w:tr w:rsidR="00181716" w:rsidRPr="00B17ECB" w14:paraId="25FC1B8D" w14:textId="1ED55643" w:rsidTr="00506730">
        <w:tc>
          <w:tcPr>
            <w:tcW w:w="514" w:type="dxa"/>
          </w:tcPr>
          <w:p w14:paraId="14F40980" w14:textId="4A888EE3" w:rsidR="008F7CEF" w:rsidRPr="00B17ECB" w:rsidRDefault="008A5CC0" w:rsidP="00506730">
            <w:pPr>
              <w:suppressLineNumbers/>
              <w:suppressAutoHyphens/>
              <w:spacing w:before="60" w:after="60"/>
              <w:ind w:left="22"/>
              <w:jc w:val="center"/>
              <w:rPr>
                <w:iCs/>
                <w:kern w:val="22"/>
                <w:szCs w:val="22"/>
              </w:rPr>
            </w:pPr>
            <w:r w:rsidRPr="00B17ECB">
              <w:rPr>
                <w:iCs/>
                <w:kern w:val="22"/>
                <w:szCs w:val="22"/>
              </w:rPr>
              <w:t>15</w:t>
            </w:r>
          </w:p>
        </w:tc>
        <w:tc>
          <w:tcPr>
            <w:tcW w:w="1749" w:type="dxa"/>
          </w:tcPr>
          <w:p w14:paraId="711D36E5" w14:textId="7BD8C232" w:rsidR="008F7CEF" w:rsidRPr="00B17ECB" w:rsidRDefault="008F7CEF" w:rsidP="00506730">
            <w:pPr>
              <w:suppressLineNumbers/>
              <w:suppressAutoHyphens/>
              <w:spacing w:before="60" w:after="60"/>
              <w:jc w:val="left"/>
              <w:rPr>
                <w:iCs/>
                <w:kern w:val="22"/>
                <w:szCs w:val="22"/>
              </w:rPr>
            </w:pPr>
            <w:r w:rsidRPr="00B17ECB">
              <w:t>Bahamas</w:t>
            </w:r>
          </w:p>
        </w:tc>
        <w:tc>
          <w:tcPr>
            <w:tcW w:w="2336" w:type="dxa"/>
          </w:tcPr>
          <w:p w14:paraId="08CFEB04" w14:textId="11D678D0" w:rsidR="008F7CEF" w:rsidRPr="00B17ECB" w:rsidRDefault="00373A39" w:rsidP="00506730">
            <w:pPr>
              <w:suppressLineNumbers/>
              <w:suppressAutoHyphens/>
              <w:spacing w:before="60" w:after="60"/>
              <w:jc w:val="left"/>
              <w:rPr>
                <w:iCs/>
                <w:kern w:val="22"/>
                <w:szCs w:val="22"/>
              </w:rPr>
            </w:pPr>
            <w:r w:rsidRPr="00B17ECB">
              <w:rPr>
                <w:iCs/>
                <w:kern w:val="22"/>
                <w:szCs w:val="22"/>
              </w:rPr>
              <w:t xml:space="preserve">Draft </w:t>
            </w:r>
            <w:r w:rsidR="008F7CEF" w:rsidRPr="00B17ECB">
              <w:rPr>
                <w:iCs/>
                <w:kern w:val="22"/>
                <w:szCs w:val="22"/>
              </w:rPr>
              <w:t>measures</w:t>
            </w:r>
          </w:p>
        </w:tc>
        <w:tc>
          <w:tcPr>
            <w:tcW w:w="5177" w:type="dxa"/>
          </w:tcPr>
          <w:p w14:paraId="2B779F0B" w14:textId="20EBA933" w:rsidR="008F7CEF" w:rsidRPr="00B17ECB" w:rsidRDefault="00373A39" w:rsidP="00506730">
            <w:pPr>
              <w:suppressLineNumbers/>
              <w:suppressAutoHyphens/>
              <w:spacing w:before="60" w:after="60"/>
              <w:jc w:val="left"/>
              <w:rPr>
                <w:iCs/>
                <w:kern w:val="22"/>
                <w:szCs w:val="22"/>
              </w:rPr>
            </w:pPr>
            <w:r w:rsidRPr="00B17ECB">
              <w:rPr>
                <w:iCs/>
                <w:kern w:val="22"/>
                <w:szCs w:val="22"/>
              </w:rPr>
              <w:t xml:space="preserve">Not </w:t>
            </w:r>
            <w:r w:rsidR="008F7CEF" w:rsidRPr="00B17ECB">
              <w:rPr>
                <w:iCs/>
                <w:kern w:val="22"/>
                <w:szCs w:val="22"/>
              </w:rPr>
              <w:t>submitted</w:t>
            </w:r>
          </w:p>
        </w:tc>
        <w:tc>
          <w:tcPr>
            <w:tcW w:w="3827" w:type="dxa"/>
          </w:tcPr>
          <w:p w14:paraId="271D3161" w14:textId="6FA470D6" w:rsidR="008F7CEF" w:rsidRPr="00B17ECB" w:rsidRDefault="00373A39" w:rsidP="00506730">
            <w:pPr>
              <w:suppressLineNumbers/>
              <w:suppressAutoHyphens/>
              <w:spacing w:before="60" w:after="60"/>
              <w:jc w:val="left"/>
              <w:rPr>
                <w:iCs/>
                <w:kern w:val="22"/>
                <w:szCs w:val="22"/>
              </w:rPr>
            </w:pPr>
            <w:r w:rsidRPr="00B17ECB">
              <w:rPr>
                <w:iCs/>
                <w:kern w:val="22"/>
                <w:szCs w:val="22"/>
              </w:rPr>
              <w:t xml:space="preserve">Draft </w:t>
            </w:r>
            <w:r w:rsidR="008F7CEF" w:rsidRPr="00B17ECB">
              <w:rPr>
                <w:iCs/>
                <w:kern w:val="22"/>
                <w:szCs w:val="22"/>
              </w:rPr>
              <w:t>measures</w:t>
            </w:r>
          </w:p>
        </w:tc>
      </w:tr>
      <w:tr w:rsidR="00181716" w:rsidRPr="00B17ECB" w14:paraId="76B24FE0" w14:textId="3917B69C" w:rsidTr="00506730">
        <w:tc>
          <w:tcPr>
            <w:tcW w:w="514" w:type="dxa"/>
          </w:tcPr>
          <w:p w14:paraId="53B9A45F" w14:textId="73DE7114" w:rsidR="00B12576" w:rsidRPr="00B17ECB" w:rsidRDefault="008A5CC0" w:rsidP="00506730">
            <w:pPr>
              <w:suppressLineNumbers/>
              <w:suppressAutoHyphens/>
              <w:spacing w:before="60" w:after="60"/>
              <w:ind w:left="22"/>
              <w:jc w:val="center"/>
              <w:rPr>
                <w:iCs/>
                <w:kern w:val="22"/>
                <w:szCs w:val="22"/>
              </w:rPr>
            </w:pPr>
            <w:r w:rsidRPr="00B17ECB">
              <w:rPr>
                <w:iCs/>
                <w:kern w:val="22"/>
                <w:szCs w:val="22"/>
              </w:rPr>
              <w:t>16</w:t>
            </w:r>
          </w:p>
        </w:tc>
        <w:tc>
          <w:tcPr>
            <w:tcW w:w="1749" w:type="dxa"/>
          </w:tcPr>
          <w:p w14:paraId="13E3BA8A" w14:textId="4CA55526" w:rsidR="00B12576" w:rsidRPr="00B17ECB" w:rsidRDefault="00B12576" w:rsidP="00506730">
            <w:pPr>
              <w:suppressLineNumbers/>
              <w:suppressAutoHyphens/>
              <w:spacing w:before="60" w:after="60"/>
              <w:jc w:val="left"/>
              <w:rPr>
                <w:iCs/>
                <w:kern w:val="22"/>
                <w:szCs w:val="22"/>
              </w:rPr>
            </w:pPr>
            <w:r w:rsidRPr="00B17ECB">
              <w:t>Botswana</w:t>
            </w:r>
          </w:p>
        </w:tc>
        <w:tc>
          <w:tcPr>
            <w:tcW w:w="2336" w:type="dxa"/>
          </w:tcPr>
          <w:p w14:paraId="2277F46F" w14:textId="0C2B7BEE" w:rsidR="00B12576" w:rsidRPr="00B17ECB" w:rsidRDefault="00373A39" w:rsidP="00506730">
            <w:pPr>
              <w:suppressLineNumbers/>
              <w:suppressAutoHyphens/>
              <w:spacing w:before="60" w:after="60"/>
              <w:jc w:val="left"/>
              <w:rPr>
                <w:iCs/>
                <w:kern w:val="22"/>
                <w:szCs w:val="22"/>
              </w:rPr>
            </w:pPr>
            <w:r w:rsidRPr="00B17ECB">
              <w:rPr>
                <w:iCs/>
                <w:kern w:val="22"/>
                <w:szCs w:val="22"/>
              </w:rPr>
              <w:t xml:space="preserve">Draft </w:t>
            </w:r>
            <w:r w:rsidR="00B12576" w:rsidRPr="00B17ECB">
              <w:rPr>
                <w:iCs/>
                <w:kern w:val="22"/>
                <w:szCs w:val="22"/>
              </w:rPr>
              <w:t>measures</w:t>
            </w:r>
          </w:p>
        </w:tc>
        <w:tc>
          <w:tcPr>
            <w:tcW w:w="5177" w:type="dxa"/>
          </w:tcPr>
          <w:p w14:paraId="6EE917EB" w14:textId="37A50B92" w:rsidR="00B12576" w:rsidRPr="00B17ECB" w:rsidRDefault="00373A39" w:rsidP="00506730">
            <w:pPr>
              <w:suppressLineNumbers/>
              <w:suppressAutoHyphens/>
              <w:spacing w:before="60" w:after="60"/>
              <w:jc w:val="left"/>
              <w:rPr>
                <w:iCs/>
                <w:kern w:val="22"/>
                <w:szCs w:val="22"/>
              </w:rPr>
            </w:pPr>
            <w:r w:rsidRPr="00B17ECB">
              <w:rPr>
                <w:iCs/>
                <w:kern w:val="22"/>
                <w:szCs w:val="22"/>
              </w:rPr>
              <w:t xml:space="preserve">Not </w:t>
            </w:r>
            <w:r w:rsidR="00B12576" w:rsidRPr="00B17ECB">
              <w:rPr>
                <w:iCs/>
                <w:kern w:val="22"/>
                <w:szCs w:val="22"/>
              </w:rPr>
              <w:t>submitted</w:t>
            </w:r>
            <w:r w:rsidR="00534839" w:rsidRPr="00B17ECB">
              <w:rPr>
                <w:iCs/>
                <w:kern w:val="22"/>
                <w:szCs w:val="22"/>
              </w:rPr>
              <w:t xml:space="preserve"> – </w:t>
            </w:r>
            <w:r w:rsidR="00237743" w:rsidRPr="00B17ECB">
              <w:rPr>
                <w:iCs/>
                <w:kern w:val="22"/>
                <w:szCs w:val="22"/>
              </w:rPr>
              <w:t>(</w:t>
            </w:r>
            <w:r w:rsidR="00534839" w:rsidRPr="00B17ECB">
              <w:rPr>
                <w:iCs/>
                <w:kern w:val="22"/>
                <w:szCs w:val="22"/>
              </w:rPr>
              <w:t xml:space="preserve">Secretariat provided comments on a draft compliance action plan in </w:t>
            </w:r>
            <w:r w:rsidR="00237743" w:rsidRPr="00B17ECB">
              <w:rPr>
                <w:iCs/>
                <w:kern w:val="22"/>
                <w:szCs w:val="22"/>
              </w:rPr>
              <w:t>Dec</w:t>
            </w:r>
            <w:r w:rsidR="00421551" w:rsidRPr="00B17ECB">
              <w:rPr>
                <w:iCs/>
                <w:kern w:val="22"/>
                <w:szCs w:val="22"/>
              </w:rPr>
              <w:t>ember</w:t>
            </w:r>
            <w:r w:rsidR="00237743" w:rsidRPr="00B17ECB">
              <w:rPr>
                <w:iCs/>
                <w:kern w:val="22"/>
                <w:szCs w:val="22"/>
              </w:rPr>
              <w:t xml:space="preserve"> 2020)</w:t>
            </w:r>
          </w:p>
        </w:tc>
        <w:tc>
          <w:tcPr>
            <w:tcW w:w="3827" w:type="dxa"/>
          </w:tcPr>
          <w:p w14:paraId="7F478B27" w14:textId="1A3365EA" w:rsidR="00B12576" w:rsidRPr="00B17ECB" w:rsidRDefault="00373A39" w:rsidP="00506730">
            <w:pPr>
              <w:suppressLineNumbers/>
              <w:suppressAutoHyphens/>
              <w:spacing w:before="60" w:after="60"/>
              <w:jc w:val="left"/>
              <w:rPr>
                <w:iCs/>
                <w:kern w:val="22"/>
                <w:szCs w:val="22"/>
              </w:rPr>
            </w:pPr>
            <w:r w:rsidRPr="00B17ECB">
              <w:rPr>
                <w:iCs/>
                <w:kern w:val="22"/>
                <w:szCs w:val="22"/>
              </w:rPr>
              <w:t xml:space="preserve">Draft </w:t>
            </w:r>
            <w:r w:rsidR="00B12576" w:rsidRPr="00B17ECB">
              <w:rPr>
                <w:iCs/>
                <w:kern w:val="22"/>
                <w:szCs w:val="22"/>
              </w:rPr>
              <w:t>measures</w:t>
            </w:r>
          </w:p>
        </w:tc>
      </w:tr>
      <w:tr w:rsidR="003F140F" w:rsidRPr="00B17ECB" w14:paraId="1D2CE84C" w14:textId="77777777" w:rsidTr="00506730">
        <w:tc>
          <w:tcPr>
            <w:tcW w:w="514" w:type="dxa"/>
          </w:tcPr>
          <w:p w14:paraId="5FD05718" w14:textId="51B9AAE4" w:rsidR="00F13EAA" w:rsidRPr="00B17ECB" w:rsidRDefault="000D428B" w:rsidP="00506730">
            <w:pPr>
              <w:suppressLineNumbers/>
              <w:suppressAutoHyphens/>
              <w:spacing w:before="60" w:after="60"/>
              <w:ind w:left="22"/>
              <w:jc w:val="center"/>
              <w:rPr>
                <w:iCs/>
                <w:kern w:val="22"/>
                <w:szCs w:val="22"/>
              </w:rPr>
            </w:pPr>
            <w:r w:rsidRPr="00B17ECB">
              <w:rPr>
                <w:iCs/>
                <w:kern w:val="22"/>
                <w:szCs w:val="22"/>
              </w:rPr>
              <w:t>17</w:t>
            </w:r>
          </w:p>
        </w:tc>
        <w:tc>
          <w:tcPr>
            <w:tcW w:w="1749" w:type="dxa"/>
          </w:tcPr>
          <w:p w14:paraId="56AA265C" w14:textId="77777777" w:rsidR="00F13EAA" w:rsidRPr="00B17ECB" w:rsidRDefault="00F13EAA" w:rsidP="00506730">
            <w:pPr>
              <w:suppressLineNumbers/>
              <w:suppressAutoHyphens/>
              <w:spacing w:before="60" w:after="60"/>
              <w:jc w:val="left"/>
              <w:rPr>
                <w:iCs/>
                <w:kern w:val="22"/>
                <w:szCs w:val="22"/>
              </w:rPr>
            </w:pPr>
            <w:r w:rsidRPr="00B17ECB">
              <w:t>Dominica</w:t>
            </w:r>
          </w:p>
        </w:tc>
        <w:tc>
          <w:tcPr>
            <w:tcW w:w="2336" w:type="dxa"/>
          </w:tcPr>
          <w:p w14:paraId="588E6DD0" w14:textId="63F878DE" w:rsidR="00F13EAA" w:rsidRPr="00B17ECB" w:rsidRDefault="00373A39" w:rsidP="00506730">
            <w:pPr>
              <w:suppressLineNumbers/>
              <w:suppressAutoHyphens/>
              <w:spacing w:before="60" w:after="60"/>
              <w:jc w:val="left"/>
              <w:rPr>
                <w:iCs/>
                <w:kern w:val="22"/>
                <w:szCs w:val="22"/>
              </w:rPr>
            </w:pPr>
            <w:r w:rsidRPr="00B17ECB">
              <w:rPr>
                <w:iCs/>
                <w:kern w:val="22"/>
                <w:szCs w:val="22"/>
              </w:rPr>
              <w:t xml:space="preserve">No </w:t>
            </w:r>
            <w:r w:rsidR="00F13EAA" w:rsidRPr="00B17ECB">
              <w:rPr>
                <w:iCs/>
                <w:kern w:val="22"/>
                <w:szCs w:val="22"/>
              </w:rPr>
              <w:t>measures</w:t>
            </w:r>
          </w:p>
        </w:tc>
        <w:tc>
          <w:tcPr>
            <w:tcW w:w="5177" w:type="dxa"/>
          </w:tcPr>
          <w:p w14:paraId="6B17AEF5" w14:textId="1B237D29" w:rsidR="00F13EAA" w:rsidRPr="00B17ECB" w:rsidRDefault="00373A39" w:rsidP="00506730">
            <w:pPr>
              <w:suppressLineNumbers/>
              <w:suppressAutoHyphens/>
              <w:spacing w:before="60" w:after="60"/>
              <w:jc w:val="left"/>
              <w:rPr>
                <w:iCs/>
                <w:kern w:val="22"/>
                <w:szCs w:val="22"/>
              </w:rPr>
            </w:pPr>
            <w:r w:rsidRPr="00B17ECB">
              <w:rPr>
                <w:iCs/>
                <w:kern w:val="22"/>
                <w:szCs w:val="22"/>
              </w:rPr>
              <w:t xml:space="preserve">Not </w:t>
            </w:r>
            <w:r w:rsidR="00F13EAA" w:rsidRPr="00B17ECB">
              <w:rPr>
                <w:iCs/>
                <w:kern w:val="22"/>
                <w:szCs w:val="22"/>
              </w:rPr>
              <w:t>submitted</w:t>
            </w:r>
          </w:p>
        </w:tc>
        <w:tc>
          <w:tcPr>
            <w:tcW w:w="3827" w:type="dxa"/>
          </w:tcPr>
          <w:p w14:paraId="069FEA83" w14:textId="014D06C8" w:rsidR="00F13EAA" w:rsidRPr="00B17ECB" w:rsidRDefault="00373A39" w:rsidP="00506730">
            <w:pPr>
              <w:suppressLineNumbers/>
              <w:suppressAutoHyphens/>
              <w:spacing w:before="60" w:after="60"/>
              <w:jc w:val="left"/>
              <w:rPr>
                <w:iCs/>
                <w:kern w:val="22"/>
                <w:szCs w:val="22"/>
              </w:rPr>
            </w:pPr>
            <w:r w:rsidRPr="00B17ECB">
              <w:rPr>
                <w:iCs/>
                <w:kern w:val="22"/>
                <w:szCs w:val="22"/>
              </w:rPr>
              <w:t xml:space="preserve">Report </w:t>
            </w:r>
            <w:r w:rsidR="00F13EAA" w:rsidRPr="00B17ECB">
              <w:rPr>
                <w:iCs/>
                <w:kern w:val="22"/>
                <w:szCs w:val="22"/>
              </w:rPr>
              <w:t>not available</w:t>
            </w:r>
          </w:p>
        </w:tc>
      </w:tr>
      <w:tr w:rsidR="00181716" w:rsidRPr="00B17ECB" w14:paraId="5420614B" w14:textId="77777777" w:rsidTr="00506730">
        <w:tc>
          <w:tcPr>
            <w:tcW w:w="514" w:type="dxa"/>
          </w:tcPr>
          <w:p w14:paraId="6B0D2418" w14:textId="5ADDD846" w:rsidR="00F13EAA" w:rsidRPr="00B17ECB" w:rsidRDefault="000D428B" w:rsidP="00506730">
            <w:pPr>
              <w:suppressLineNumbers/>
              <w:suppressAutoHyphens/>
              <w:spacing w:before="60" w:after="60"/>
              <w:jc w:val="center"/>
              <w:rPr>
                <w:iCs/>
                <w:kern w:val="22"/>
                <w:szCs w:val="22"/>
              </w:rPr>
            </w:pPr>
            <w:r w:rsidRPr="00B17ECB">
              <w:rPr>
                <w:iCs/>
                <w:kern w:val="22"/>
                <w:szCs w:val="22"/>
              </w:rPr>
              <w:t>18</w:t>
            </w:r>
          </w:p>
        </w:tc>
        <w:tc>
          <w:tcPr>
            <w:tcW w:w="1749" w:type="dxa"/>
          </w:tcPr>
          <w:p w14:paraId="722E9CE2" w14:textId="77777777" w:rsidR="00F13EAA" w:rsidRPr="00B17ECB" w:rsidRDefault="00F13EAA" w:rsidP="00506730">
            <w:pPr>
              <w:suppressLineNumbers/>
              <w:suppressAutoHyphens/>
              <w:spacing w:before="60" w:after="60"/>
              <w:jc w:val="left"/>
            </w:pPr>
            <w:r w:rsidRPr="00B17ECB">
              <w:t>Fiji</w:t>
            </w:r>
          </w:p>
        </w:tc>
        <w:tc>
          <w:tcPr>
            <w:tcW w:w="2336" w:type="dxa"/>
          </w:tcPr>
          <w:p w14:paraId="01458729" w14:textId="7CF110A6" w:rsidR="00F13EAA" w:rsidRPr="00B17ECB" w:rsidRDefault="00373A39" w:rsidP="00506730">
            <w:pPr>
              <w:suppressLineNumbers/>
              <w:suppressAutoHyphens/>
              <w:spacing w:before="60" w:after="60"/>
              <w:jc w:val="left"/>
              <w:rPr>
                <w:iCs/>
                <w:kern w:val="22"/>
                <w:szCs w:val="22"/>
              </w:rPr>
            </w:pPr>
            <w:r w:rsidRPr="00B17ECB">
              <w:rPr>
                <w:iCs/>
                <w:kern w:val="22"/>
                <w:szCs w:val="22"/>
              </w:rPr>
              <w:t xml:space="preserve">Draft </w:t>
            </w:r>
            <w:r w:rsidR="00F13EAA" w:rsidRPr="00B17ECB">
              <w:rPr>
                <w:iCs/>
                <w:kern w:val="22"/>
                <w:szCs w:val="22"/>
              </w:rPr>
              <w:t>measures</w:t>
            </w:r>
          </w:p>
        </w:tc>
        <w:tc>
          <w:tcPr>
            <w:tcW w:w="5177" w:type="dxa"/>
          </w:tcPr>
          <w:p w14:paraId="635EE983" w14:textId="5BB74944" w:rsidR="00F13EAA" w:rsidRPr="00B17ECB" w:rsidRDefault="00373A39" w:rsidP="00506730">
            <w:pPr>
              <w:suppressLineNumbers/>
              <w:suppressAutoHyphens/>
              <w:spacing w:before="60" w:after="60"/>
              <w:jc w:val="left"/>
              <w:rPr>
                <w:iCs/>
                <w:kern w:val="22"/>
                <w:szCs w:val="22"/>
              </w:rPr>
            </w:pPr>
            <w:r w:rsidRPr="00B17ECB">
              <w:rPr>
                <w:iCs/>
                <w:kern w:val="22"/>
                <w:szCs w:val="22"/>
              </w:rPr>
              <w:t xml:space="preserve">Not </w:t>
            </w:r>
            <w:r w:rsidR="00F13EAA" w:rsidRPr="00B17ECB">
              <w:rPr>
                <w:iCs/>
                <w:kern w:val="22"/>
                <w:szCs w:val="22"/>
              </w:rPr>
              <w:t>submitted</w:t>
            </w:r>
          </w:p>
        </w:tc>
        <w:tc>
          <w:tcPr>
            <w:tcW w:w="3827" w:type="dxa"/>
          </w:tcPr>
          <w:p w14:paraId="4B313A94" w14:textId="79A64A5D" w:rsidR="00F13EAA" w:rsidRPr="00B17ECB" w:rsidRDefault="00373A39" w:rsidP="00506730">
            <w:pPr>
              <w:suppressLineNumbers/>
              <w:suppressAutoHyphens/>
              <w:spacing w:before="60" w:after="60"/>
              <w:jc w:val="left"/>
              <w:rPr>
                <w:iCs/>
                <w:kern w:val="22"/>
                <w:szCs w:val="22"/>
              </w:rPr>
            </w:pPr>
            <w:r w:rsidRPr="00B17ECB">
              <w:rPr>
                <w:iCs/>
                <w:kern w:val="22"/>
                <w:szCs w:val="22"/>
              </w:rPr>
              <w:t xml:space="preserve">Report </w:t>
            </w:r>
            <w:r w:rsidR="00F13EAA" w:rsidRPr="00B17ECB">
              <w:rPr>
                <w:iCs/>
                <w:kern w:val="22"/>
                <w:szCs w:val="22"/>
              </w:rPr>
              <w:t>not available</w:t>
            </w:r>
          </w:p>
        </w:tc>
      </w:tr>
      <w:tr w:rsidR="00E51DBC" w:rsidRPr="00B17ECB" w14:paraId="7A437D24" w14:textId="77777777" w:rsidTr="00506730">
        <w:tc>
          <w:tcPr>
            <w:tcW w:w="514" w:type="dxa"/>
          </w:tcPr>
          <w:p w14:paraId="54079193" w14:textId="0BBEE168" w:rsidR="00646B34" w:rsidRPr="00B17ECB" w:rsidRDefault="00AD092B" w:rsidP="00506730">
            <w:pPr>
              <w:suppressLineNumbers/>
              <w:suppressAutoHyphens/>
              <w:spacing w:before="60" w:after="60"/>
              <w:jc w:val="center"/>
              <w:rPr>
                <w:iCs/>
                <w:kern w:val="22"/>
                <w:szCs w:val="22"/>
              </w:rPr>
            </w:pPr>
            <w:r w:rsidRPr="00B17ECB">
              <w:rPr>
                <w:iCs/>
                <w:kern w:val="22"/>
                <w:szCs w:val="22"/>
              </w:rPr>
              <w:t>1</w:t>
            </w:r>
            <w:r w:rsidR="000D428B" w:rsidRPr="00B17ECB">
              <w:rPr>
                <w:iCs/>
                <w:kern w:val="22"/>
                <w:szCs w:val="22"/>
              </w:rPr>
              <w:t>9</w:t>
            </w:r>
          </w:p>
        </w:tc>
        <w:tc>
          <w:tcPr>
            <w:tcW w:w="1749" w:type="dxa"/>
          </w:tcPr>
          <w:p w14:paraId="41688A92" w14:textId="30692871" w:rsidR="00646B34" w:rsidRPr="00B17ECB" w:rsidRDefault="00646B34" w:rsidP="00506730">
            <w:pPr>
              <w:suppressLineNumbers/>
              <w:suppressAutoHyphens/>
              <w:spacing w:before="60" w:after="60"/>
              <w:jc w:val="left"/>
            </w:pPr>
            <w:r w:rsidRPr="00B17ECB">
              <w:t>Gambia</w:t>
            </w:r>
          </w:p>
        </w:tc>
        <w:tc>
          <w:tcPr>
            <w:tcW w:w="2336" w:type="dxa"/>
          </w:tcPr>
          <w:p w14:paraId="6298D888" w14:textId="007B1A8B" w:rsidR="00646B34" w:rsidRPr="00B17ECB" w:rsidRDefault="00373A39" w:rsidP="00506730">
            <w:pPr>
              <w:suppressLineNumbers/>
              <w:suppressAutoHyphens/>
              <w:spacing w:before="60" w:after="60"/>
              <w:jc w:val="left"/>
              <w:rPr>
                <w:iCs/>
                <w:kern w:val="22"/>
                <w:szCs w:val="22"/>
              </w:rPr>
            </w:pPr>
            <w:r w:rsidRPr="00B17ECB">
              <w:rPr>
                <w:iCs/>
                <w:kern w:val="22"/>
                <w:szCs w:val="22"/>
              </w:rPr>
              <w:t xml:space="preserve">Draft </w:t>
            </w:r>
            <w:r w:rsidR="00646B34" w:rsidRPr="00B17ECB">
              <w:rPr>
                <w:iCs/>
                <w:kern w:val="22"/>
                <w:szCs w:val="22"/>
              </w:rPr>
              <w:t>measures</w:t>
            </w:r>
          </w:p>
        </w:tc>
        <w:tc>
          <w:tcPr>
            <w:tcW w:w="5177" w:type="dxa"/>
          </w:tcPr>
          <w:p w14:paraId="1CB7BCEA" w14:textId="550B4BD5" w:rsidR="00646B34" w:rsidRPr="00B17ECB" w:rsidRDefault="00373A39" w:rsidP="00506730">
            <w:pPr>
              <w:suppressLineNumbers/>
              <w:suppressAutoHyphens/>
              <w:spacing w:before="60" w:after="60"/>
              <w:jc w:val="left"/>
              <w:rPr>
                <w:iCs/>
                <w:kern w:val="22"/>
                <w:szCs w:val="22"/>
              </w:rPr>
            </w:pPr>
            <w:r w:rsidRPr="00B17ECB">
              <w:rPr>
                <w:iCs/>
                <w:kern w:val="22"/>
                <w:szCs w:val="22"/>
              </w:rPr>
              <w:t xml:space="preserve">Not </w:t>
            </w:r>
            <w:r w:rsidR="00646B34" w:rsidRPr="00B17ECB">
              <w:rPr>
                <w:iCs/>
                <w:kern w:val="22"/>
                <w:szCs w:val="22"/>
              </w:rPr>
              <w:t>submitted</w:t>
            </w:r>
          </w:p>
        </w:tc>
        <w:tc>
          <w:tcPr>
            <w:tcW w:w="3827" w:type="dxa"/>
          </w:tcPr>
          <w:p w14:paraId="4FD718E0" w14:textId="4201D2AD" w:rsidR="00646B34" w:rsidRPr="00B17ECB" w:rsidRDefault="00373A39" w:rsidP="00506730">
            <w:pPr>
              <w:suppressLineNumbers/>
              <w:suppressAutoHyphens/>
              <w:spacing w:before="60" w:after="60"/>
              <w:jc w:val="left"/>
              <w:rPr>
                <w:iCs/>
                <w:kern w:val="22"/>
                <w:szCs w:val="22"/>
              </w:rPr>
            </w:pPr>
            <w:r w:rsidRPr="00B17ECB">
              <w:rPr>
                <w:iCs/>
                <w:kern w:val="22"/>
                <w:szCs w:val="22"/>
              </w:rPr>
              <w:t xml:space="preserve">Draft </w:t>
            </w:r>
            <w:r w:rsidR="00646B34" w:rsidRPr="00B17ECB">
              <w:rPr>
                <w:iCs/>
                <w:kern w:val="22"/>
                <w:szCs w:val="22"/>
              </w:rPr>
              <w:t>measures (report available offline only)</w:t>
            </w:r>
          </w:p>
        </w:tc>
      </w:tr>
      <w:tr w:rsidR="00181716" w:rsidRPr="00B17ECB" w14:paraId="51656829" w14:textId="77777777" w:rsidTr="00506730">
        <w:tc>
          <w:tcPr>
            <w:tcW w:w="514" w:type="dxa"/>
          </w:tcPr>
          <w:p w14:paraId="18302EC2" w14:textId="34D9FC71" w:rsidR="0040189B" w:rsidRPr="00B17ECB" w:rsidRDefault="00AD092B" w:rsidP="00506730">
            <w:pPr>
              <w:suppressLineNumbers/>
              <w:suppressAutoHyphens/>
              <w:spacing w:before="60" w:after="60"/>
              <w:jc w:val="center"/>
              <w:rPr>
                <w:iCs/>
                <w:kern w:val="22"/>
                <w:szCs w:val="22"/>
              </w:rPr>
            </w:pPr>
            <w:r w:rsidRPr="00B17ECB">
              <w:rPr>
                <w:iCs/>
                <w:kern w:val="22"/>
                <w:szCs w:val="22"/>
              </w:rPr>
              <w:t>2</w:t>
            </w:r>
            <w:r w:rsidR="000D428B" w:rsidRPr="00B17ECB">
              <w:rPr>
                <w:iCs/>
                <w:kern w:val="22"/>
                <w:szCs w:val="22"/>
              </w:rPr>
              <w:t>0</w:t>
            </w:r>
          </w:p>
        </w:tc>
        <w:tc>
          <w:tcPr>
            <w:tcW w:w="1749" w:type="dxa"/>
          </w:tcPr>
          <w:p w14:paraId="0B7E8E2A" w14:textId="77777777" w:rsidR="0040189B" w:rsidRPr="00B17ECB" w:rsidRDefault="0040189B" w:rsidP="00506730">
            <w:pPr>
              <w:suppressLineNumbers/>
              <w:suppressAutoHyphens/>
              <w:spacing w:before="60" w:after="60"/>
              <w:jc w:val="left"/>
            </w:pPr>
            <w:r w:rsidRPr="00B17ECB">
              <w:t>Saint Vincent and the Grenadines</w:t>
            </w:r>
          </w:p>
        </w:tc>
        <w:tc>
          <w:tcPr>
            <w:tcW w:w="2336" w:type="dxa"/>
          </w:tcPr>
          <w:p w14:paraId="112091E4" w14:textId="4C288742" w:rsidR="0040189B" w:rsidRPr="00B17ECB" w:rsidRDefault="00373A39" w:rsidP="00506730">
            <w:pPr>
              <w:suppressLineNumbers/>
              <w:suppressAutoHyphens/>
              <w:spacing w:before="60" w:after="60"/>
              <w:jc w:val="left"/>
              <w:rPr>
                <w:iCs/>
                <w:kern w:val="22"/>
                <w:szCs w:val="22"/>
              </w:rPr>
            </w:pPr>
            <w:r w:rsidRPr="00B17ECB">
              <w:rPr>
                <w:iCs/>
                <w:kern w:val="22"/>
                <w:szCs w:val="22"/>
              </w:rPr>
              <w:t xml:space="preserve">Draft </w:t>
            </w:r>
            <w:r w:rsidR="0040189B" w:rsidRPr="00B17ECB">
              <w:rPr>
                <w:iCs/>
                <w:kern w:val="22"/>
                <w:szCs w:val="22"/>
              </w:rPr>
              <w:t>measures</w:t>
            </w:r>
          </w:p>
        </w:tc>
        <w:tc>
          <w:tcPr>
            <w:tcW w:w="5177" w:type="dxa"/>
          </w:tcPr>
          <w:p w14:paraId="298986E3" w14:textId="70A85C05" w:rsidR="0040189B" w:rsidRPr="00B17ECB" w:rsidRDefault="00373A39" w:rsidP="00506730">
            <w:pPr>
              <w:suppressLineNumbers/>
              <w:suppressAutoHyphens/>
              <w:spacing w:before="60" w:after="60"/>
              <w:jc w:val="left"/>
              <w:rPr>
                <w:iCs/>
                <w:kern w:val="22"/>
                <w:szCs w:val="22"/>
              </w:rPr>
            </w:pPr>
            <w:r w:rsidRPr="00B17ECB">
              <w:rPr>
                <w:iCs/>
                <w:kern w:val="22"/>
                <w:szCs w:val="22"/>
              </w:rPr>
              <w:t xml:space="preserve">Not </w:t>
            </w:r>
            <w:r w:rsidR="0040189B" w:rsidRPr="00B17ECB">
              <w:rPr>
                <w:iCs/>
                <w:kern w:val="22"/>
                <w:szCs w:val="22"/>
              </w:rPr>
              <w:t>submitted</w:t>
            </w:r>
          </w:p>
        </w:tc>
        <w:tc>
          <w:tcPr>
            <w:tcW w:w="3827" w:type="dxa"/>
          </w:tcPr>
          <w:p w14:paraId="1C0868A4" w14:textId="578D155A" w:rsidR="0040189B" w:rsidRPr="00B17ECB" w:rsidRDefault="00373A39" w:rsidP="00506730">
            <w:pPr>
              <w:suppressLineNumbers/>
              <w:suppressAutoHyphens/>
              <w:spacing w:before="60" w:after="60"/>
              <w:jc w:val="left"/>
              <w:rPr>
                <w:iCs/>
                <w:kern w:val="22"/>
                <w:szCs w:val="22"/>
              </w:rPr>
            </w:pPr>
            <w:r w:rsidRPr="00B17ECB">
              <w:rPr>
                <w:iCs/>
                <w:kern w:val="22"/>
                <w:szCs w:val="22"/>
              </w:rPr>
              <w:t xml:space="preserve">Report </w:t>
            </w:r>
            <w:r w:rsidR="0040189B" w:rsidRPr="00B17ECB">
              <w:rPr>
                <w:iCs/>
                <w:kern w:val="22"/>
                <w:szCs w:val="22"/>
              </w:rPr>
              <w:t>not available</w:t>
            </w:r>
          </w:p>
        </w:tc>
      </w:tr>
      <w:tr w:rsidR="00181716" w:rsidRPr="00B17ECB" w14:paraId="799EA2A5" w14:textId="77777777" w:rsidTr="00506730">
        <w:tc>
          <w:tcPr>
            <w:tcW w:w="514" w:type="dxa"/>
          </w:tcPr>
          <w:p w14:paraId="02F9D808" w14:textId="29B65497" w:rsidR="003F140F" w:rsidRPr="00B17ECB" w:rsidRDefault="00AD092B" w:rsidP="00506730">
            <w:pPr>
              <w:suppressLineNumbers/>
              <w:suppressAutoHyphens/>
              <w:spacing w:before="60" w:after="60"/>
              <w:ind w:left="22"/>
              <w:jc w:val="center"/>
              <w:rPr>
                <w:iCs/>
                <w:kern w:val="22"/>
                <w:szCs w:val="22"/>
              </w:rPr>
            </w:pPr>
            <w:r w:rsidRPr="00B17ECB">
              <w:rPr>
                <w:iCs/>
                <w:kern w:val="22"/>
                <w:szCs w:val="22"/>
              </w:rPr>
              <w:t>2</w:t>
            </w:r>
            <w:r w:rsidR="000D428B" w:rsidRPr="00B17ECB">
              <w:rPr>
                <w:iCs/>
                <w:kern w:val="22"/>
                <w:szCs w:val="22"/>
              </w:rPr>
              <w:t>1</w:t>
            </w:r>
          </w:p>
        </w:tc>
        <w:tc>
          <w:tcPr>
            <w:tcW w:w="1749" w:type="dxa"/>
          </w:tcPr>
          <w:p w14:paraId="45E16B7F" w14:textId="77777777" w:rsidR="003F140F" w:rsidRPr="00B17ECB" w:rsidRDefault="003F140F" w:rsidP="00506730">
            <w:pPr>
              <w:suppressLineNumbers/>
              <w:suppressAutoHyphens/>
              <w:spacing w:before="60" w:after="60"/>
              <w:jc w:val="left"/>
            </w:pPr>
            <w:r w:rsidRPr="00B17ECB">
              <w:t>Samoa</w:t>
            </w:r>
          </w:p>
        </w:tc>
        <w:tc>
          <w:tcPr>
            <w:tcW w:w="2336" w:type="dxa"/>
          </w:tcPr>
          <w:p w14:paraId="73E5B0A4" w14:textId="5DE9CEDF" w:rsidR="003F140F" w:rsidRPr="00B17ECB" w:rsidRDefault="00373A39" w:rsidP="00506730">
            <w:pPr>
              <w:suppressLineNumbers/>
              <w:suppressAutoHyphens/>
              <w:spacing w:before="60" w:after="60"/>
              <w:jc w:val="left"/>
              <w:rPr>
                <w:iCs/>
                <w:kern w:val="22"/>
                <w:szCs w:val="22"/>
              </w:rPr>
            </w:pPr>
            <w:r w:rsidRPr="00B17ECB">
              <w:rPr>
                <w:iCs/>
                <w:kern w:val="22"/>
                <w:szCs w:val="22"/>
              </w:rPr>
              <w:t xml:space="preserve">Draft </w:t>
            </w:r>
            <w:r w:rsidR="003F140F" w:rsidRPr="00B17ECB">
              <w:rPr>
                <w:iCs/>
                <w:kern w:val="22"/>
                <w:szCs w:val="22"/>
              </w:rPr>
              <w:t>measures</w:t>
            </w:r>
          </w:p>
        </w:tc>
        <w:tc>
          <w:tcPr>
            <w:tcW w:w="5177" w:type="dxa"/>
          </w:tcPr>
          <w:p w14:paraId="4DB67BB0" w14:textId="52D80104" w:rsidR="003F140F" w:rsidRPr="00B17ECB" w:rsidRDefault="00373A39" w:rsidP="00506730">
            <w:pPr>
              <w:suppressLineNumbers/>
              <w:suppressAutoHyphens/>
              <w:spacing w:before="60" w:after="60"/>
              <w:jc w:val="left"/>
              <w:rPr>
                <w:iCs/>
                <w:kern w:val="22"/>
                <w:szCs w:val="22"/>
              </w:rPr>
            </w:pPr>
            <w:r w:rsidRPr="00B17ECB">
              <w:rPr>
                <w:iCs/>
                <w:kern w:val="22"/>
                <w:szCs w:val="22"/>
              </w:rPr>
              <w:t xml:space="preserve">Not </w:t>
            </w:r>
            <w:r w:rsidR="003F140F" w:rsidRPr="00B17ECB">
              <w:rPr>
                <w:iCs/>
                <w:kern w:val="22"/>
                <w:szCs w:val="22"/>
              </w:rPr>
              <w:t>submitted - (Secretariat provided comments on a draft compliance action plan in May 2022)</w:t>
            </w:r>
          </w:p>
        </w:tc>
        <w:tc>
          <w:tcPr>
            <w:tcW w:w="3827" w:type="dxa"/>
          </w:tcPr>
          <w:p w14:paraId="6CB3EF5E" w14:textId="77777777" w:rsidR="003F140F" w:rsidRPr="00B17ECB" w:rsidRDefault="003F140F" w:rsidP="00506730">
            <w:pPr>
              <w:suppressLineNumbers/>
              <w:suppressAutoHyphens/>
              <w:spacing w:before="60" w:after="60"/>
              <w:jc w:val="left"/>
              <w:rPr>
                <w:iCs/>
                <w:kern w:val="22"/>
                <w:szCs w:val="22"/>
              </w:rPr>
            </w:pPr>
            <w:r w:rsidRPr="00B17ECB">
              <w:rPr>
                <w:iCs/>
                <w:kern w:val="22"/>
                <w:szCs w:val="22"/>
              </w:rPr>
              <w:t xml:space="preserve">No measures have been taken </w:t>
            </w:r>
            <w:r w:rsidRPr="00B17ECB">
              <w:rPr>
                <w:iCs/>
                <w:kern w:val="22"/>
                <w:szCs w:val="22"/>
              </w:rPr>
              <w:br/>
              <w:t>(report available offline only)</w:t>
            </w:r>
          </w:p>
        </w:tc>
      </w:tr>
      <w:tr w:rsidR="00E51DBC" w:rsidRPr="00B17ECB" w14:paraId="46097A59" w14:textId="77777777" w:rsidTr="00506730">
        <w:tc>
          <w:tcPr>
            <w:tcW w:w="514" w:type="dxa"/>
          </w:tcPr>
          <w:p w14:paraId="268139CE" w14:textId="33C9C33E" w:rsidR="00646B34" w:rsidRPr="00B17ECB" w:rsidRDefault="000D428B" w:rsidP="00506730">
            <w:pPr>
              <w:suppressLineNumbers/>
              <w:suppressAutoHyphens/>
              <w:spacing w:before="60" w:after="60"/>
              <w:jc w:val="center"/>
              <w:rPr>
                <w:iCs/>
                <w:kern w:val="22"/>
                <w:szCs w:val="22"/>
              </w:rPr>
            </w:pPr>
            <w:r w:rsidRPr="00B17ECB">
              <w:rPr>
                <w:iCs/>
                <w:kern w:val="22"/>
                <w:szCs w:val="22"/>
              </w:rPr>
              <w:t>2</w:t>
            </w:r>
            <w:r w:rsidR="00850B63" w:rsidRPr="00B17ECB">
              <w:rPr>
                <w:iCs/>
                <w:kern w:val="22"/>
                <w:szCs w:val="22"/>
              </w:rPr>
              <w:t>2</w:t>
            </w:r>
          </w:p>
        </w:tc>
        <w:tc>
          <w:tcPr>
            <w:tcW w:w="1749" w:type="dxa"/>
          </w:tcPr>
          <w:p w14:paraId="46936941" w14:textId="49A3A58A" w:rsidR="00646B34" w:rsidRPr="00B17ECB" w:rsidRDefault="00646B34" w:rsidP="00506730">
            <w:pPr>
              <w:suppressLineNumbers/>
              <w:suppressAutoHyphens/>
              <w:spacing w:before="60" w:after="60"/>
              <w:jc w:val="left"/>
            </w:pPr>
            <w:r w:rsidRPr="00B17ECB">
              <w:t>Suriname</w:t>
            </w:r>
          </w:p>
        </w:tc>
        <w:tc>
          <w:tcPr>
            <w:tcW w:w="2336" w:type="dxa"/>
          </w:tcPr>
          <w:p w14:paraId="2039BF27" w14:textId="7E88886B" w:rsidR="00646B34" w:rsidRPr="00B17ECB" w:rsidRDefault="00373A39" w:rsidP="00506730">
            <w:pPr>
              <w:suppressLineNumbers/>
              <w:suppressAutoHyphens/>
              <w:spacing w:before="60" w:after="60"/>
              <w:jc w:val="left"/>
              <w:rPr>
                <w:iCs/>
                <w:kern w:val="22"/>
                <w:szCs w:val="22"/>
              </w:rPr>
            </w:pPr>
            <w:r w:rsidRPr="00B17ECB">
              <w:rPr>
                <w:iCs/>
                <w:kern w:val="22"/>
                <w:szCs w:val="22"/>
              </w:rPr>
              <w:t xml:space="preserve">Draft </w:t>
            </w:r>
            <w:r w:rsidR="00646B34" w:rsidRPr="00B17ECB">
              <w:rPr>
                <w:iCs/>
                <w:kern w:val="22"/>
                <w:szCs w:val="22"/>
              </w:rPr>
              <w:t>measures</w:t>
            </w:r>
          </w:p>
        </w:tc>
        <w:tc>
          <w:tcPr>
            <w:tcW w:w="5177" w:type="dxa"/>
          </w:tcPr>
          <w:p w14:paraId="6266FB28" w14:textId="7F82EE85" w:rsidR="00646B34" w:rsidRPr="00B17ECB" w:rsidRDefault="00373A39" w:rsidP="00506730">
            <w:pPr>
              <w:suppressLineNumbers/>
              <w:suppressAutoHyphens/>
              <w:spacing w:before="60" w:after="60"/>
              <w:jc w:val="left"/>
              <w:rPr>
                <w:iCs/>
                <w:kern w:val="22"/>
                <w:szCs w:val="22"/>
              </w:rPr>
            </w:pPr>
            <w:r w:rsidRPr="00B17ECB">
              <w:rPr>
                <w:iCs/>
                <w:kern w:val="22"/>
                <w:szCs w:val="22"/>
              </w:rPr>
              <w:t xml:space="preserve">Not </w:t>
            </w:r>
            <w:r w:rsidR="00646B34" w:rsidRPr="00B17ECB">
              <w:rPr>
                <w:iCs/>
                <w:kern w:val="22"/>
                <w:szCs w:val="22"/>
              </w:rPr>
              <w:t>submitted</w:t>
            </w:r>
          </w:p>
        </w:tc>
        <w:tc>
          <w:tcPr>
            <w:tcW w:w="3827" w:type="dxa"/>
          </w:tcPr>
          <w:p w14:paraId="23BE0C05" w14:textId="6178E21D" w:rsidR="00646B34" w:rsidRPr="00B17ECB" w:rsidRDefault="00373A39" w:rsidP="00506730">
            <w:pPr>
              <w:suppressLineNumbers/>
              <w:suppressAutoHyphens/>
              <w:spacing w:before="60" w:after="60"/>
              <w:jc w:val="left"/>
              <w:rPr>
                <w:iCs/>
                <w:kern w:val="22"/>
                <w:szCs w:val="22"/>
              </w:rPr>
            </w:pPr>
            <w:r w:rsidRPr="00B17ECB">
              <w:rPr>
                <w:iCs/>
                <w:kern w:val="22"/>
                <w:szCs w:val="22"/>
              </w:rPr>
              <w:t xml:space="preserve">Draft </w:t>
            </w:r>
            <w:r w:rsidR="00646B34" w:rsidRPr="00B17ECB">
              <w:rPr>
                <w:iCs/>
                <w:kern w:val="22"/>
                <w:szCs w:val="22"/>
              </w:rPr>
              <w:t>measures</w:t>
            </w:r>
          </w:p>
        </w:tc>
      </w:tr>
      <w:tr w:rsidR="004F44F8" w:rsidRPr="00B17ECB" w14:paraId="07A29A0F" w14:textId="77777777" w:rsidTr="00506730">
        <w:tc>
          <w:tcPr>
            <w:tcW w:w="514" w:type="dxa"/>
          </w:tcPr>
          <w:p w14:paraId="2AADC3C0" w14:textId="5E53FB5C" w:rsidR="004F44F8" w:rsidRPr="00B17ECB" w:rsidRDefault="00AD092B" w:rsidP="00506730">
            <w:pPr>
              <w:suppressLineNumbers/>
              <w:suppressAutoHyphens/>
              <w:spacing w:before="60" w:after="60"/>
              <w:ind w:left="22"/>
              <w:jc w:val="center"/>
              <w:rPr>
                <w:iCs/>
                <w:kern w:val="22"/>
                <w:szCs w:val="22"/>
              </w:rPr>
            </w:pPr>
            <w:r w:rsidRPr="00B17ECB">
              <w:rPr>
                <w:iCs/>
                <w:kern w:val="22"/>
                <w:szCs w:val="22"/>
              </w:rPr>
              <w:t>2</w:t>
            </w:r>
            <w:r w:rsidR="000D428B" w:rsidRPr="00B17ECB">
              <w:rPr>
                <w:iCs/>
                <w:kern w:val="22"/>
                <w:szCs w:val="22"/>
              </w:rPr>
              <w:t>3</w:t>
            </w:r>
          </w:p>
        </w:tc>
        <w:tc>
          <w:tcPr>
            <w:tcW w:w="1749" w:type="dxa"/>
          </w:tcPr>
          <w:p w14:paraId="673B62E1" w14:textId="77777777" w:rsidR="004F44F8" w:rsidRPr="00B17ECB" w:rsidRDefault="004F44F8" w:rsidP="00506730">
            <w:pPr>
              <w:suppressLineNumbers/>
              <w:suppressAutoHyphens/>
              <w:spacing w:before="60" w:after="60"/>
              <w:jc w:val="left"/>
              <w:rPr>
                <w:iCs/>
                <w:kern w:val="22"/>
                <w:szCs w:val="22"/>
              </w:rPr>
            </w:pPr>
            <w:r w:rsidRPr="00B17ECB">
              <w:t xml:space="preserve">Trinidad and Tobago </w:t>
            </w:r>
          </w:p>
        </w:tc>
        <w:tc>
          <w:tcPr>
            <w:tcW w:w="2336" w:type="dxa"/>
          </w:tcPr>
          <w:p w14:paraId="6C4D528A" w14:textId="67709FE6" w:rsidR="004F44F8" w:rsidRPr="00B17ECB" w:rsidRDefault="00373A39" w:rsidP="00506730">
            <w:pPr>
              <w:suppressLineNumbers/>
              <w:suppressAutoHyphens/>
              <w:spacing w:before="60" w:after="60"/>
              <w:jc w:val="left"/>
              <w:rPr>
                <w:iCs/>
                <w:kern w:val="22"/>
                <w:szCs w:val="22"/>
              </w:rPr>
            </w:pPr>
            <w:r w:rsidRPr="00B17ECB">
              <w:rPr>
                <w:iCs/>
                <w:kern w:val="22"/>
                <w:szCs w:val="22"/>
              </w:rPr>
              <w:t xml:space="preserve">Draft </w:t>
            </w:r>
            <w:r w:rsidR="004F44F8" w:rsidRPr="00B17ECB">
              <w:rPr>
                <w:iCs/>
                <w:kern w:val="22"/>
                <w:szCs w:val="22"/>
              </w:rPr>
              <w:t>measures</w:t>
            </w:r>
          </w:p>
        </w:tc>
        <w:tc>
          <w:tcPr>
            <w:tcW w:w="5177" w:type="dxa"/>
          </w:tcPr>
          <w:p w14:paraId="6D645B30" w14:textId="0AA81875" w:rsidR="004F44F8" w:rsidRPr="00B17ECB" w:rsidRDefault="00373A39" w:rsidP="00506730">
            <w:pPr>
              <w:suppressLineNumbers/>
              <w:suppressAutoHyphens/>
              <w:spacing w:before="60" w:after="60"/>
              <w:jc w:val="left"/>
              <w:rPr>
                <w:iCs/>
                <w:kern w:val="22"/>
                <w:szCs w:val="22"/>
              </w:rPr>
            </w:pPr>
            <w:r w:rsidRPr="00B17ECB">
              <w:rPr>
                <w:iCs/>
                <w:kern w:val="22"/>
                <w:szCs w:val="22"/>
              </w:rPr>
              <w:t xml:space="preserve">Not </w:t>
            </w:r>
            <w:r w:rsidR="004F44F8" w:rsidRPr="00B17ECB">
              <w:rPr>
                <w:iCs/>
                <w:kern w:val="22"/>
                <w:szCs w:val="22"/>
              </w:rPr>
              <w:t>submitted</w:t>
            </w:r>
          </w:p>
        </w:tc>
        <w:tc>
          <w:tcPr>
            <w:tcW w:w="3827" w:type="dxa"/>
          </w:tcPr>
          <w:p w14:paraId="3E0B1F5F" w14:textId="1ECF84B1" w:rsidR="004F44F8" w:rsidRPr="00B17ECB" w:rsidRDefault="00373A39" w:rsidP="00506730">
            <w:pPr>
              <w:suppressLineNumbers/>
              <w:suppressAutoHyphens/>
              <w:spacing w:before="60" w:after="60"/>
              <w:jc w:val="left"/>
              <w:rPr>
                <w:iCs/>
                <w:kern w:val="22"/>
                <w:szCs w:val="22"/>
              </w:rPr>
            </w:pPr>
            <w:r w:rsidRPr="00B17ECB">
              <w:rPr>
                <w:iCs/>
                <w:kern w:val="22"/>
                <w:szCs w:val="22"/>
              </w:rPr>
              <w:t xml:space="preserve">Report </w:t>
            </w:r>
            <w:r w:rsidR="004F44F8" w:rsidRPr="00B17ECB">
              <w:rPr>
                <w:iCs/>
                <w:kern w:val="22"/>
                <w:szCs w:val="22"/>
              </w:rPr>
              <w:t>not available</w:t>
            </w:r>
          </w:p>
        </w:tc>
      </w:tr>
      <w:tr w:rsidR="00E51DBC" w:rsidRPr="00B17ECB" w14:paraId="0CDB1D21" w14:textId="77777777" w:rsidTr="00506730">
        <w:tc>
          <w:tcPr>
            <w:tcW w:w="514" w:type="dxa"/>
          </w:tcPr>
          <w:p w14:paraId="6E170DA0" w14:textId="56DEF075" w:rsidR="00646B34" w:rsidRPr="00B17ECB" w:rsidRDefault="000D428B" w:rsidP="00506730">
            <w:pPr>
              <w:suppressLineNumbers/>
              <w:suppressAutoHyphens/>
              <w:spacing w:before="60" w:after="60"/>
              <w:jc w:val="center"/>
              <w:rPr>
                <w:iCs/>
                <w:kern w:val="22"/>
                <w:szCs w:val="22"/>
              </w:rPr>
            </w:pPr>
            <w:r w:rsidRPr="00B17ECB">
              <w:rPr>
                <w:iCs/>
                <w:kern w:val="22"/>
                <w:szCs w:val="22"/>
              </w:rPr>
              <w:t>24</w:t>
            </w:r>
          </w:p>
        </w:tc>
        <w:tc>
          <w:tcPr>
            <w:tcW w:w="1749" w:type="dxa"/>
          </w:tcPr>
          <w:p w14:paraId="0572A672" w14:textId="18DD054B" w:rsidR="00646B34" w:rsidRPr="00B17ECB" w:rsidRDefault="00646B34" w:rsidP="00506730">
            <w:pPr>
              <w:suppressLineNumbers/>
              <w:suppressAutoHyphens/>
              <w:spacing w:before="60" w:after="60"/>
              <w:jc w:val="left"/>
            </w:pPr>
            <w:r w:rsidRPr="00B17ECB">
              <w:t>Tunisia</w:t>
            </w:r>
          </w:p>
        </w:tc>
        <w:tc>
          <w:tcPr>
            <w:tcW w:w="2336" w:type="dxa"/>
          </w:tcPr>
          <w:p w14:paraId="1A680582" w14:textId="1F743545" w:rsidR="00646B34" w:rsidRPr="00B17ECB" w:rsidRDefault="00373A39" w:rsidP="00506730">
            <w:pPr>
              <w:suppressLineNumbers/>
              <w:suppressAutoHyphens/>
              <w:spacing w:before="60" w:after="60"/>
              <w:jc w:val="left"/>
              <w:rPr>
                <w:iCs/>
                <w:kern w:val="22"/>
                <w:szCs w:val="22"/>
              </w:rPr>
            </w:pPr>
            <w:r w:rsidRPr="00B17ECB">
              <w:rPr>
                <w:iCs/>
                <w:kern w:val="22"/>
                <w:szCs w:val="22"/>
              </w:rPr>
              <w:t xml:space="preserve">Draft </w:t>
            </w:r>
            <w:r w:rsidR="00646B34" w:rsidRPr="00B17ECB">
              <w:rPr>
                <w:iCs/>
                <w:kern w:val="22"/>
                <w:szCs w:val="22"/>
              </w:rPr>
              <w:t>measures</w:t>
            </w:r>
          </w:p>
        </w:tc>
        <w:tc>
          <w:tcPr>
            <w:tcW w:w="5177" w:type="dxa"/>
          </w:tcPr>
          <w:p w14:paraId="23A81881" w14:textId="11225A35" w:rsidR="00646B34" w:rsidRPr="00B17ECB" w:rsidRDefault="00373A39" w:rsidP="00506730">
            <w:pPr>
              <w:suppressLineNumbers/>
              <w:suppressAutoHyphens/>
              <w:spacing w:before="60" w:after="60"/>
              <w:jc w:val="left"/>
              <w:rPr>
                <w:iCs/>
                <w:kern w:val="22"/>
                <w:szCs w:val="22"/>
              </w:rPr>
            </w:pPr>
            <w:r w:rsidRPr="00B17ECB">
              <w:rPr>
                <w:iCs/>
                <w:kern w:val="22"/>
                <w:szCs w:val="22"/>
              </w:rPr>
              <w:t xml:space="preserve">Not </w:t>
            </w:r>
            <w:r w:rsidR="00646B34" w:rsidRPr="00B17ECB">
              <w:rPr>
                <w:iCs/>
                <w:kern w:val="22"/>
                <w:szCs w:val="22"/>
              </w:rPr>
              <w:t>submitted</w:t>
            </w:r>
          </w:p>
        </w:tc>
        <w:tc>
          <w:tcPr>
            <w:tcW w:w="3827" w:type="dxa"/>
          </w:tcPr>
          <w:p w14:paraId="02C0E342" w14:textId="5CE21F22" w:rsidR="00646B34" w:rsidRPr="00B17ECB" w:rsidRDefault="00373A39" w:rsidP="00506730">
            <w:pPr>
              <w:suppressLineNumbers/>
              <w:suppressAutoHyphens/>
              <w:spacing w:before="60" w:after="60"/>
              <w:jc w:val="left"/>
              <w:rPr>
                <w:iCs/>
                <w:kern w:val="22"/>
                <w:szCs w:val="22"/>
              </w:rPr>
            </w:pPr>
            <w:r w:rsidRPr="00B17ECB">
              <w:rPr>
                <w:iCs/>
                <w:kern w:val="22"/>
                <w:szCs w:val="22"/>
              </w:rPr>
              <w:t xml:space="preserve">Draft </w:t>
            </w:r>
            <w:r w:rsidR="00646B34" w:rsidRPr="00B17ECB">
              <w:rPr>
                <w:iCs/>
                <w:kern w:val="22"/>
                <w:szCs w:val="22"/>
              </w:rPr>
              <w:t>measures</w:t>
            </w:r>
          </w:p>
        </w:tc>
      </w:tr>
      <w:tr w:rsidR="00181716" w:rsidRPr="00B17ECB" w14:paraId="6631B615" w14:textId="15E28741" w:rsidTr="00506730">
        <w:tc>
          <w:tcPr>
            <w:tcW w:w="514" w:type="dxa"/>
          </w:tcPr>
          <w:p w14:paraId="40ECA508" w14:textId="41BB91E5" w:rsidR="00626402" w:rsidRPr="00B17ECB" w:rsidRDefault="008A5CC0" w:rsidP="00506730">
            <w:pPr>
              <w:suppressLineNumbers/>
              <w:suppressAutoHyphens/>
              <w:spacing w:before="60" w:after="60"/>
              <w:ind w:left="22"/>
              <w:jc w:val="center"/>
              <w:rPr>
                <w:iCs/>
                <w:kern w:val="22"/>
                <w:szCs w:val="22"/>
              </w:rPr>
            </w:pPr>
            <w:r w:rsidRPr="00B17ECB">
              <w:rPr>
                <w:iCs/>
                <w:kern w:val="22"/>
                <w:szCs w:val="22"/>
              </w:rPr>
              <w:t>25</w:t>
            </w:r>
          </w:p>
        </w:tc>
        <w:tc>
          <w:tcPr>
            <w:tcW w:w="1749" w:type="dxa"/>
          </w:tcPr>
          <w:p w14:paraId="5183FB32" w14:textId="77777777" w:rsidR="00626402" w:rsidRPr="00B17ECB" w:rsidRDefault="00626402" w:rsidP="00506730">
            <w:pPr>
              <w:suppressLineNumbers/>
              <w:suppressAutoHyphens/>
              <w:spacing w:before="60" w:after="60"/>
              <w:jc w:val="left"/>
              <w:rPr>
                <w:iCs/>
                <w:kern w:val="22"/>
                <w:szCs w:val="22"/>
              </w:rPr>
            </w:pPr>
            <w:r w:rsidRPr="00B17ECB">
              <w:t>Yemen</w:t>
            </w:r>
          </w:p>
        </w:tc>
        <w:tc>
          <w:tcPr>
            <w:tcW w:w="2336" w:type="dxa"/>
          </w:tcPr>
          <w:p w14:paraId="4F489E74" w14:textId="63982A11" w:rsidR="00626402" w:rsidRPr="00B17ECB" w:rsidRDefault="00373A39" w:rsidP="00506730">
            <w:pPr>
              <w:suppressLineNumbers/>
              <w:suppressAutoHyphens/>
              <w:spacing w:before="60" w:after="60"/>
              <w:jc w:val="left"/>
              <w:rPr>
                <w:iCs/>
                <w:kern w:val="22"/>
                <w:szCs w:val="22"/>
              </w:rPr>
            </w:pPr>
            <w:r w:rsidRPr="00B17ECB">
              <w:rPr>
                <w:iCs/>
                <w:kern w:val="22"/>
                <w:szCs w:val="22"/>
              </w:rPr>
              <w:t xml:space="preserve">Temporary </w:t>
            </w:r>
            <w:r w:rsidR="00626402" w:rsidRPr="00B17ECB">
              <w:rPr>
                <w:iCs/>
                <w:kern w:val="22"/>
                <w:szCs w:val="22"/>
              </w:rPr>
              <w:t>measures</w:t>
            </w:r>
          </w:p>
        </w:tc>
        <w:tc>
          <w:tcPr>
            <w:tcW w:w="5177" w:type="dxa"/>
          </w:tcPr>
          <w:p w14:paraId="2FF3BA8F" w14:textId="3BD95D60" w:rsidR="00626402" w:rsidRPr="00B17ECB" w:rsidRDefault="00373A39" w:rsidP="00506730">
            <w:pPr>
              <w:suppressLineNumbers/>
              <w:suppressAutoHyphens/>
              <w:spacing w:before="60" w:after="60"/>
              <w:jc w:val="left"/>
              <w:rPr>
                <w:iCs/>
                <w:kern w:val="22"/>
                <w:szCs w:val="22"/>
              </w:rPr>
            </w:pPr>
            <w:r w:rsidRPr="00B17ECB">
              <w:rPr>
                <w:iCs/>
                <w:kern w:val="22"/>
                <w:szCs w:val="22"/>
              </w:rPr>
              <w:t xml:space="preserve">Not </w:t>
            </w:r>
            <w:r w:rsidR="00626402" w:rsidRPr="00B17ECB">
              <w:rPr>
                <w:iCs/>
                <w:kern w:val="22"/>
                <w:szCs w:val="22"/>
              </w:rPr>
              <w:t>submitted</w:t>
            </w:r>
          </w:p>
        </w:tc>
        <w:tc>
          <w:tcPr>
            <w:tcW w:w="3827" w:type="dxa"/>
          </w:tcPr>
          <w:p w14:paraId="3448C170" w14:textId="345CD0FC" w:rsidR="00626402" w:rsidRPr="00B17ECB" w:rsidRDefault="00373A39" w:rsidP="00506730">
            <w:pPr>
              <w:suppressLineNumbers/>
              <w:suppressAutoHyphens/>
              <w:spacing w:before="60" w:after="60"/>
              <w:jc w:val="left"/>
              <w:rPr>
                <w:iCs/>
                <w:kern w:val="22"/>
                <w:szCs w:val="22"/>
              </w:rPr>
            </w:pPr>
            <w:r w:rsidRPr="00B17ECB">
              <w:rPr>
                <w:iCs/>
                <w:kern w:val="22"/>
                <w:szCs w:val="22"/>
              </w:rPr>
              <w:t xml:space="preserve">Report </w:t>
            </w:r>
            <w:r w:rsidR="00626402" w:rsidRPr="00B17ECB">
              <w:rPr>
                <w:iCs/>
                <w:kern w:val="22"/>
                <w:szCs w:val="22"/>
              </w:rPr>
              <w:t>not available</w:t>
            </w:r>
          </w:p>
        </w:tc>
      </w:tr>
    </w:tbl>
    <w:p w14:paraId="0CF8E21F" w14:textId="77777777" w:rsidR="000E42B8" w:rsidRPr="00B17ECB" w:rsidRDefault="000E42B8" w:rsidP="000E42B8"/>
    <w:p w14:paraId="4A4296E4" w14:textId="77777777" w:rsidR="00894399" w:rsidRPr="00B17ECB" w:rsidRDefault="00894399" w:rsidP="00ED3849">
      <w:pPr>
        <w:pStyle w:val="Para10"/>
        <w:numPr>
          <w:ilvl w:val="0"/>
          <w:numId w:val="0"/>
        </w:numPr>
        <w:ind w:left="567"/>
        <w:jc w:val="center"/>
        <w:sectPr w:rsidR="00894399" w:rsidRPr="00B17ECB" w:rsidSect="00BB64F4">
          <w:pgSz w:w="15840" w:h="12240" w:orient="landscape"/>
          <w:pgMar w:top="1440" w:right="1134" w:bottom="1440" w:left="1134" w:header="709" w:footer="709" w:gutter="0"/>
          <w:cols w:space="708"/>
          <w:docGrid w:linePitch="360"/>
        </w:sectPr>
      </w:pPr>
    </w:p>
    <w:p w14:paraId="722CEA59" w14:textId="77777777" w:rsidR="009B2B3A" w:rsidRPr="00B17ECB" w:rsidRDefault="00894399" w:rsidP="00894399">
      <w:pPr>
        <w:pStyle w:val="Para10"/>
        <w:numPr>
          <w:ilvl w:val="0"/>
          <w:numId w:val="0"/>
        </w:numPr>
        <w:ind w:left="567"/>
        <w:jc w:val="left"/>
        <w:rPr>
          <w:b/>
          <w:bCs/>
          <w:sz w:val="24"/>
        </w:rPr>
        <w:sectPr w:rsidR="009B2B3A" w:rsidRPr="00B17ECB" w:rsidSect="008A5CC0">
          <w:pgSz w:w="15840" w:h="12240" w:orient="landscape"/>
          <w:pgMar w:top="1440" w:right="1134" w:bottom="1440" w:left="1134" w:header="709" w:footer="709" w:gutter="0"/>
          <w:cols w:space="708"/>
          <w:docGrid w:linePitch="360"/>
        </w:sectPr>
      </w:pPr>
      <w:r w:rsidRPr="00B17ECB">
        <w:rPr>
          <w:b/>
          <w:bCs/>
          <w:sz w:val="24"/>
        </w:rPr>
        <w:lastRenderedPageBreak/>
        <w:t>Annex II</w:t>
      </w:r>
    </w:p>
    <w:p w14:paraId="307902E9" w14:textId="53E9F61A" w:rsidR="00894399" w:rsidRPr="00B17ECB" w:rsidRDefault="00E62F8A" w:rsidP="00506730">
      <w:pPr>
        <w:pStyle w:val="Title"/>
        <w:jc w:val="left"/>
      </w:pPr>
      <w:r w:rsidRPr="00B17ECB">
        <w:t>Overview of Parties</w:t>
      </w:r>
      <w:r w:rsidR="00656BE4" w:rsidRPr="00B17ECB">
        <w:t xml:space="preserve"> that have not been</w:t>
      </w:r>
      <w:r w:rsidR="00845A7C" w:rsidRPr="00B17ECB">
        <w:t xml:space="preserve"> requested to prepare a compliance action plan</w:t>
      </w:r>
      <w:r w:rsidR="00CD53A0" w:rsidRPr="00B17ECB">
        <w:t xml:space="preserve"> </w:t>
      </w:r>
      <w:r w:rsidR="00566C25" w:rsidRPr="00B17ECB">
        <w:t xml:space="preserve">whose fourth national report </w:t>
      </w:r>
      <w:r w:rsidR="00AD092B" w:rsidRPr="00B17ECB">
        <w:t>or recently submitted third national report</w:t>
      </w:r>
      <w:r w:rsidR="00566C25" w:rsidRPr="00B17ECB">
        <w:t xml:space="preserve"> </w:t>
      </w:r>
      <w:r w:rsidR="00A4542D" w:rsidRPr="00B17ECB">
        <w:t>shows</w:t>
      </w:r>
      <w:r w:rsidR="00CD53A0" w:rsidRPr="00B17ECB">
        <w:t xml:space="preserve"> that no measures have been taken </w:t>
      </w:r>
      <w:r w:rsidR="007F3581" w:rsidRPr="00B17ECB">
        <w:t xml:space="preserve">to implement the Protocol </w:t>
      </w:r>
      <w:r w:rsidR="00CD53A0" w:rsidRPr="00B17ECB">
        <w:t xml:space="preserve">or that only draft or temporary measures have been </w:t>
      </w:r>
      <w:proofErr w:type="gramStart"/>
      <w:r w:rsidR="00CD53A0" w:rsidRPr="00B17ECB">
        <w:t>taken</w:t>
      </w:r>
      <w:proofErr w:type="gramEnd"/>
      <w:r w:rsidR="00CD53A0" w:rsidRPr="00B17ECB">
        <w:t xml:space="preserve"> </w:t>
      </w:r>
    </w:p>
    <w:tbl>
      <w:tblPr>
        <w:tblStyle w:val="TableGrid"/>
        <w:tblW w:w="13603" w:type="dxa"/>
        <w:tblLook w:val="04A0" w:firstRow="1" w:lastRow="0" w:firstColumn="1" w:lastColumn="0" w:noHBand="0" w:noVBand="1"/>
      </w:tblPr>
      <w:tblGrid>
        <w:gridCol w:w="515"/>
        <w:gridCol w:w="2315"/>
        <w:gridCol w:w="2614"/>
        <w:gridCol w:w="2395"/>
        <w:gridCol w:w="5764"/>
      </w:tblGrid>
      <w:tr w:rsidR="0096262B" w:rsidRPr="00B17ECB" w14:paraId="5479CB7C" w14:textId="3384DA74" w:rsidTr="00506730">
        <w:trPr>
          <w:trHeight w:val="922"/>
          <w:tblHeader/>
        </w:trPr>
        <w:tc>
          <w:tcPr>
            <w:tcW w:w="515" w:type="dxa"/>
          </w:tcPr>
          <w:p w14:paraId="3606BB24" w14:textId="77777777" w:rsidR="00BC4158" w:rsidRPr="00B17ECB" w:rsidRDefault="00BC4158" w:rsidP="00506730">
            <w:pPr>
              <w:pStyle w:val="ListParagraph"/>
              <w:suppressLineNumbers/>
              <w:suppressAutoHyphens/>
              <w:spacing w:before="60" w:after="60"/>
              <w:contextualSpacing w:val="0"/>
              <w:rPr>
                <w:i/>
                <w:kern w:val="22"/>
                <w:sz w:val="22"/>
                <w:szCs w:val="22"/>
                <w:lang w:val="en-GB"/>
              </w:rPr>
            </w:pPr>
          </w:p>
        </w:tc>
        <w:tc>
          <w:tcPr>
            <w:tcW w:w="2315" w:type="dxa"/>
          </w:tcPr>
          <w:p w14:paraId="3B461AA9" w14:textId="6264E5DD" w:rsidR="00BC4158" w:rsidRPr="00B17ECB" w:rsidRDefault="002000D8" w:rsidP="00506730">
            <w:pPr>
              <w:suppressLineNumbers/>
              <w:suppressAutoHyphens/>
              <w:spacing w:before="60" w:after="60"/>
              <w:jc w:val="left"/>
              <w:rPr>
                <w:i/>
                <w:kern w:val="22"/>
                <w:szCs w:val="22"/>
              </w:rPr>
            </w:pPr>
            <w:r w:rsidRPr="00B17ECB">
              <w:rPr>
                <w:i/>
                <w:kern w:val="22"/>
                <w:szCs w:val="22"/>
              </w:rPr>
              <w:t>Party</w:t>
            </w:r>
          </w:p>
        </w:tc>
        <w:tc>
          <w:tcPr>
            <w:tcW w:w="2614" w:type="dxa"/>
          </w:tcPr>
          <w:p w14:paraId="28554242" w14:textId="221E4917" w:rsidR="00BC4158" w:rsidRPr="00B17ECB" w:rsidRDefault="00FE7BA1" w:rsidP="00506730">
            <w:pPr>
              <w:suppressLineNumbers/>
              <w:suppressAutoHyphens/>
              <w:spacing w:before="60" w:after="60"/>
              <w:jc w:val="left"/>
              <w:rPr>
                <w:i/>
                <w:kern w:val="22"/>
                <w:szCs w:val="22"/>
              </w:rPr>
            </w:pPr>
            <w:r w:rsidRPr="00B17ECB">
              <w:rPr>
                <w:i/>
                <w:kern w:val="22"/>
                <w:szCs w:val="22"/>
              </w:rPr>
              <w:t xml:space="preserve">Status of measures according to </w:t>
            </w:r>
            <w:r w:rsidR="00954FFD" w:rsidRPr="00B17ECB">
              <w:rPr>
                <w:i/>
                <w:kern w:val="22"/>
                <w:szCs w:val="22"/>
              </w:rPr>
              <w:t>the third</w:t>
            </w:r>
            <w:r w:rsidR="00BC4158" w:rsidRPr="00B17ECB">
              <w:rPr>
                <w:i/>
                <w:kern w:val="22"/>
                <w:szCs w:val="22"/>
              </w:rPr>
              <w:t xml:space="preserve"> </w:t>
            </w:r>
            <w:r w:rsidRPr="00B17ECB">
              <w:rPr>
                <w:i/>
                <w:kern w:val="22"/>
                <w:szCs w:val="22"/>
              </w:rPr>
              <w:t>national report</w:t>
            </w:r>
          </w:p>
        </w:tc>
        <w:tc>
          <w:tcPr>
            <w:tcW w:w="2395" w:type="dxa"/>
          </w:tcPr>
          <w:p w14:paraId="0B79A349" w14:textId="3F87C2E5" w:rsidR="00BC4158" w:rsidRPr="00B17ECB" w:rsidRDefault="00FE7BA1" w:rsidP="00506730">
            <w:pPr>
              <w:suppressLineNumbers/>
              <w:suppressAutoHyphens/>
              <w:spacing w:before="60" w:after="60"/>
              <w:jc w:val="left"/>
              <w:rPr>
                <w:i/>
                <w:kern w:val="22"/>
                <w:szCs w:val="22"/>
              </w:rPr>
            </w:pPr>
            <w:r w:rsidRPr="00B17ECB">
              <w:rPr>
                <w:i/>
                <w:kern w:val="22"/>
                <w:szCs w:val="22"/>
              </w:rPr>
              <w:t xml:space="preserve">Status of measures according to </w:t>
            </w:r>
            <w:r w:rsidR="00954FFD" w:rsidRPr="00B17ECB">
              <w:rPr>
                <w:i/>
                <w:kern w:val="22"/>
                <w:szCs w:val="22"/>
              </w:rPr>
              <w:t xml:space="preserve">the fourth </w:t>
            </w:r>
            <w:r w:rsidRPr="00B17ECB">
              <w:rPr>
                <w:i/>
                <w:kern w:val="22"/>
                <w:szCs w:val="22"/>
              </w:rPr>
              <w:t>national report</w:t>
            </w:r>
          </w:p>
        </w:tc>
        <w:tc>
          <w:tcPr>
            <w:tcW w:w="5764" w:type="dxa"/>
          </w:tcPr>
          <w:p w14:paraId="5D404D23" w14:textId="73CEC327" w:rsidR="002000D8" w:rsidRPr="00B17ECB" w:rsidRDefault="002000D8" w:rsidP="00506730">
            <w:pPr>
              <w:suppressLineNumbers/>
              <w:suppressAutoHyphens/>
              <w:spacing w:before="60" w:after="60"/>
              <w:jc w:val="left"/>
              <w:rPr>
                <w:i/>
                <w:kern w:val="22"/>
                <w:szCs w:val="22"/>
              </w:rPr>
            </w:pPr>
            <w:r w:rsidRPr="00B17ECB">
              <w:rPr>
                <w:i/>
                <w:kern w:val="22"/>
                <w:szCs w:val="22"/>
              </w:rPr>
              <w:t>Measures published on the Biosafety Clearing-House</w:t>
            </w:r>
          </w:p>
        </w:tc>
      </w:tr>
      <w:tr w:rsidR="0096262B" w:rsidRPr="00B17ECB" w14:paraId="0A3E8C81" w14:textId="3F88AE2B" w:rsidTr="00506730">
        <w:tc>
          <w:tcPr>
            <w:tcW w:w="515" w:type="dxa"/>
          </w:tcPr>
          <w:p w14:paraId="5F803514" w14:textId="564C9A3D" w:rsidR="00BC4158" w:rsidRPr="00B17ECB" w:rsidRDefault="0096262B" w:rsidP="00506730">
            <w:pPr>
              <w:suppressLineNumbers/>
              <w:suppressAutoHyphens/>
              <w:spacing w:before="60" w:after="60"/>
              <w:ind w:left="22"/>
              <w:jc w:val="center"/>
              <w:rPr>
                <w:iCs/>
                <w:kern w:val="22"/>
                <w:szCs w:val="22"/>
              </w:rPr>
            </w:pPr>
            <w:r w:rsidRPr="00B17ECB">
              <w:rPr>
                <w:iCs/>
                <w:kern w:val="22"/>
                <w:szCs w:val="22"/>
              </w:rPr>
              <w:t>1</w:t>
            </w:r>
          </w:p>
        </w:tc>
        <w:tc>
          <w:tcPr>
            <w:tcW w:w="2315" w:type="dxa"/>
          </w:tcPr>
          <w:p w14:paraId="548122B8" w14:textId="77777777" w:rsidR="00BC4158" w:rsidRPr="00B17ECB" w:rsidRDefault="00BC4158" w:rsidP="00506730">
            <w:pPr>
              <w:suppressLineNumbers/>
              <w:suppressAutoHyphens/>
              <w:spacing w:before="60" w:after="60"/>
              <w:jc w:val="left"/>
              <w:rPr>
                <w:iCs/>
                <w:kern w:val="22"/>
                <w:szCs w:val="22"/>
              </w:rPr>
            </w:pPr>
            <w:r w:rsidRPr="00B17ECB">
              <w:rPr>
                <w:iCs/>
                <w:kern w:val="22"/>
                <w:szCs w:val="22"/>
              </w:rPr>
              <w:t>Antigua and Barbuda</w:t>
            </w:r>
          </w:p>
        </w:tc>
        <w:tc>
          <w:tcPr>
            <w:tcW w:w="2614" w:type="dxa"/>
          </w:tcPr>
          <w:p w14:paraId="0E9A3E4C" w14:textId="63F8C1C4" w:rsidR="00BC4158" w:rsidRPr="00B17ECB" w:rsidRDefault="008428E5" w:rsidP="00506730">
            <w:pPr>
              <w:suppressLineNumbers/>
              <w:suppressAutoHyphens/>
              <w:spacing w:before="60" w:after="60"/>
              <w:jc w:val="left"/>
              <w:rPr>
                <w:iCs/>
                <w:kern w:val="22"/>
                <w:szCs w:val="22"/>
              </w:rPr>
            </w:pPr>
            <w:r w:rsidRPr="00B17ECB">
              <w:rPr>
                <w:iCs/>
                <w:kern w:val="22"/>
                <w:szCs w:val="22"/>
              </w:rPr>
              <w:t xml:space="preserve">Measures </w:t>
            </w:r>
            <w:r w:rsidR="00BC4158" w:rsidRPr="00B17ECB">
              <w:rPr>
                <w:iCs/>
                <w:kern w:val="22"/>
                <w:szCs w:val="22"/>
              </w:rPr>
              <w:t>partially</w:t>
            </w:r>
            <w:r w:rsidR="008B3A19" w:rsidRPr="00B17ECB">
              <w:rPr>
                <w:iCs/>
                <w:kern w:val="22"/>
                <w:szCs w:val="22"/>
              </w:rPr>
              <w:t xml:space="preserve"> in place</w:t>
            </w:r>
          </w:p>
        </w:tc>
        <w:tc>
          <w:tcPr>
            <w:tcW w:w="2395" w:type="dxa"/>
          </w:tcPr>
          <w:p w14:paraId="791DE09B" w14:textId="17065E32" w:rsidR="00BC4158" w:rsidRPr="00B17ECB" w:rsidRDefault="008428E5" w:rsidP="00506730">
            <w:pPr>
              <w:suppressLineNumbers/>
              <w:suppressAutoHyphens/>
              <w:spacing w:before="60" w:after="60"/>
              <w:jc w:val="left"/>
              <w:rPr>
                <w:iCs/>
                <w:kern w:val="22"/>
                <w:szCs w:val="22"/>
              </w:rPr>
            </w:pPr>
            <w:r w:rsidRPr="00B17ECB">
              <w:rPr>
                <w:iCs/>
                <w:kern w:val="22"/>
                <w:szCs w:val="22"/>
              </w:rPr>
              <w:t xml:space="preserve">Draft </w:t>
            </w:r>
            <w:r w:rsidR="00196CA9" w:rsidRPr="00B17ECB">
              <w:rPr>
                <w:iCs/>
                <w:kern w:val="22"/>
                <w:szCs w:val="22"/>
              </w:rPr>
              <w:t>measures</w:t>
            </w:r>
          </w:p>
        </w:tc>
        <w:tc>
          <w:tcPr>
            <w:tcW w:w="5764" w:type="dxa"/>
          </w:tcPr>
          <w:p w14:paraId="40F7EF1E" w14:textId="20D108A1" w:rsidR="006650BC" w:rsidRPr="00B17ECB" w:rsidRDefault="009164C5" w:rsidP="00506730">
            <w:pPr>
              <w:suppressLineNumbers/>
              <w:suppressAutoHyphens/>
              <w:spacing w:before="60" w:after="60"/>
              <w:jc w:val="left"/>
              <w:rPr>
                <w:iCs/>
                <w:kern w:val="22"/>
                <w:szCs w:val="22"/>
              </w:rPr>
            </w:pPr>
            <w:r w:rsidRPr="00B17ECB">
              <w:rPr>
                <w:iCs/>
                <w:kern w:val="22"/>
                <w:szCs w:val="22"/>
              </w:rPr>
              <w:t>Draft National Biosafety Framework (UNEP-GEF)</w:t>
            </w:r>
          </w:p>
        </w:tc>
      </w:tr>
      <w:tr w:rsidR="0096262B" w:rsidRPr="00B17ECB" w14:paraId="2FFDD6A5" w14:textId="4551BFD0" w:rsidTr="00506730">
        <w:tc>
          <w:tcPr>
            <w:tcW w:w="515" w:type="dxa"/>
          </w:tcPr>
          <w:p w14:paraId="1CA0DD73" w14:textId="53C60833" w:rsidR="00BC4158" w:rsidRPr="00B17ECB" w:rsidRDefault="0096262B" w:rsidP="00506730">
            <w:pPr>
              <w:suppressLineNumbers/>
              <w:suppressAutoHyphens/>
              <w:spacing w:before="60" w:after="60"/>
              <w:ind w:left="22"/>
              <w:jc w:val="center"/>
              <w:rPr>
                <w:iCs/>
                <w:kern w:val="22"/>
                <w:szCs w:val="22"/>
              </w:rPr>
            </w:pPr>
            <w:r w:rsidRPr="00B17ECB">
              <w:rPr>
                <w:iCs/>
                <w:kern w:val="22"/>
                <w:szCs w:val="22"/>
              </w:rPr>
              <w:t>2</w:t>
            </w:r>
          </w:p>
        </w:tc>
        <w:tc>
          <w:tcPr>
            <w:tcW w:w="2315" w:type="dxa"/>
          </w:tcPr>
          <w:p w14:paraId="625C3B2C" w14:textId="77777777" w:rsidR="00BC4158" w:rsidRPr="00B17ECB" w:rsidRDefault="00BC4158" w:rsidP="00506730">
            <w:pPr>
              <w:suppressLineNumbers/>
              <w:suppressAutoHyphens/>
              <w:spacing w:before="60" w:after="60"/>
              <w:jc w:val="left"/>
              <w:rPr>
                <w:iCs/>
                <w:kern w:val="22"/>
                <w:szCs w:val="22"/>
              </w:rPr>
            </w:pPr>
            <w:r w:rsidRPr="00B17ECB">
              <w:rPr>
                <w:iCs/>
                <w:kern w:val="22"/>
                <w:szCs w:val="22"/>
              </w:rPr>
              <w:t>Armenia</w:t>
            </w:r>
          </w:p>
        </w:tc>
        <w:tc>
          <w:tcPr>
            <w:tcW w:w="2614" w:type="dxa"/>
          </w:tcPr>
          <w:p w14:paraId="2B9D2F51" w14:textId="7CFDB037" w:rsidR="00BC4158" w:rsidRPr="00B17ECB" w:rsidRDefault="008428E5" w:rsidP="00506730">
            <w:pPr>
              <w:suppressLineNumbers/>
              <w:suppressAutoHyphens/>
              <w:spacing w:before="60" w:after="60"/>
              <w:jc w:val="left"/>
              <w:rPr>
                <w:iCs/>
                <w:kern w:val="22"/>
                <w:szCs w:val="22"/>
              </w:rPr>
            </w:pPr>
            <w:r w:rsidRPr="00B17ECB">
              <w:rPr>
                <w:iCs/>
                <w:kern w:val="22"/>
              </w:rPr>
              <w:t>Temporary</w:t>
            </w:r>
            <w:r w:rsidRPr="00B17ECB">
              <w:rPr>
                <w:iCs/>
              </w:rPr>
              <w:t xml:space="preserve"> </w:t>
            </w:r>
            <w:r w:rsidR="00196CA9" w:rsidRPr="00B17ECB">
              <w:rPr>
                <w:iCs/>
              </w:rPr>
              <w:t>measures</w:t>
            </w:r>
            <w:r w:rsidR="00BC4158" w:rsidRPr="00B17ECB">
              <w:rPr>
                <w:rStyle w:val="FootnoteReference"/>
                <w:iCs/>
                <w:kern w:val="22"/>
              </w:rPr>
              <w:footnoteReference w:id="27"/>
            </w:r>
          </w:p>
        </w:tc>
        <w:tc>
          <w:tcPr>
            <w:tcW w:w="2395" w:type="dxa"/>
          </w:tcPr>
          <w:p w14:paraId="0757023F" w14:textId="06A85362" w:rsidR="00BC4158" w:rsidRPr="00B17ECB" w:rsidRDefault="008428E5" w:rsidP="00506730">
            <w:pPr>
              <w:suppressLineNumbers/>
              <w:suppressAutoHyphens/>
              <w:spacing w:before="60" w:after="60"/>
              <w:jc w:val="left"/>
              <w:rPr>
                <w:iCs/>
                <w:kern w:val="22"/>
                <w:szCs w:val="22"/>
              </w:rPr>
            </w:pPr>
            <w:r w:rsidRPr="00B17ECB">
              <w:rPr>
                <w:iCs/>
                <w:kern w:val="22"/>
                <w:szCs w:val="22"/>
              </w:rPr>
              <w:t xml:space="preserve">Draft </w:t>
            </w:r>
            <w:r w:rsidR="00196CA9" w:rsidRPr="00B17ECB">
              <w:rPr>
                <w:iCs/>
                <w:kern w:val="22"/>
                <w:szCs w:val="22"/>
              </w:rPr>
              <w:t>measures</w:t>
            </w:r>
          </w:p>
        </w:tc>
        <w:tc>
          <w:tcPr>
            <w:tcW w:w="5764" w:type="dxa"/>
          </w:tcPr>
          <w:p w14:paraId="301F57AC" w14:textId="12EDB37D" w:rsidR="004D245F" w:rsidRPr="00B17ECB" w:rsidRDefault="006C0861" w:rsidP="00506730">
            <w:pPr>
              <w:suppressLineNumbers/>
              <w:suppressAutoHyphens/>
              <w:spacing w:before="60" w:after="60"/>
              <w:jc w:val="left"/>
              <w:rPr>
                <w:iCs/>
                <w:kern w:val="22"/>
                <w:szCs w:val="22"/>
              </w:rPr>
            </w:pPr>
            <w:r w:rsidRPr="00B17ECB">
              <w:rPr>
                <w:iCs/>
                <w:kern w:val="22"/>
                <w:szCs w:val="22"/>
              </w:rPr>
              <w:t xml:space="preserve">Draft National Biosafety Framework (UNEP-GEF); </w:t>
            </w:r>
            <w:r w:rsidR="004D245F" w:rsidRPr="00B17ECB">
              <w:rPr>
                <w:iCs/>
                <w:kern w:val="22"/>
                <w:szCs w:val="22"/>
              </w:rPr>
              <w:t xml:space="preserve">Draft law </w:t>
            </w:r>
            <w:r w:rsidR="00BF7990" w:rsidRPr="00B17ECB">
              <w:rPr>
                <w:iCs/>
                <w:kern w:val="22"/>
                <w:szCs w:val="22"/>
              </w:rPr>
              <w:t>on risk assessment;</w:t>
            </w:r>
            <w:r w:rsidR="00BF7990" w:rsidRPr="00B17ECB" w:rsidDel="006C0861">
              <w:rPr>
                <w:iCs/>
                <w:kern w:val="22"/>
                <w:szCs w:val="22"/>
              </w:rPr>
              <w:t xml:space="preserve"> </w:t>
            </w:r>
            <w:r w:rsidR="004D0997" w:rsidRPr="00B17ECB">
              <w:rPr>
                <w:iCs/>
                <w:kern w:val="22"/>
                <w:szCs w:val="22"/>
              </w:rPr>
              <w:t>severa</w:t>
            </w:r>
            <w:r w:rsidR="00BF7990" w:rsidRPr="00B17ECB">
              <w:rPr>
                <w:iCs/>
                <w:kern w:val="22"/>
                <w:szCs w:val="22"/>
              </w:rPr>
              <w:t xml:space="preserve">l legal instruments (incl. on fauna, flora and </w:t>
            </w:r>
            <w:r w:rsidR="00D4498E" w:rsidRPr="00B17ECB">
              <w:rPr>
                <w:iCs/>
                <w:kern w:val="22"/>
                <w:szCs w:val="22"/>
              </w:rPr>
              <w:t>the criminal code)</w:t>
            </w:r>
          </w:p>
        </w:tc>
      </w:tr>
      <w:tr w:rsidR="0096262B" w:rsidRPr="00B17ECB" w14:paraId="7A779C9D" w14:textId="1C90811E" w:rsidTr="00506730">
        <w:tc>
          <w:tcPr>
            <w:tcW w:w="515" w:type="dxa"/>
          </w:tcPr>
          <w:p w14:paraId="382054C7" w14:textId="6F3577E6" w:rsidR="00BC4158" w:rsidRPr="00B17ECB" w:rsidRDefault="0096262B" w:rsidP="00506730">
            <w:pPr>
              <w:suppressLineNumbers/>
              <w:suppressAutoHyphens/>
              <w:spacing w:before="60" w:after="60"/>
              <w:ind w:left="22"/>
              <w:jc w:val="center"/>
              <w:rPr>
                <w:iCs/>
                <w:kern w:val="22"/>
                <w:szCs w:val="22"/>
              </w:rPr>
            </w:pPr>
            <w:r w:rsidRPr="00B17ECB">
              <w:rPr>
                <w:iCs/>
                <w:kern w:val="22"/>
                <w:szCs w:val="22"/>
              </w:rPr>
              <w:t>3</w:t>
            </w:r>
          </w:p>
        </w:tc>
        <w:tc>
          <w:tcPr>
            <w:tcW w:w="2315" w:type="dxa"/>
          </w:tcPr>
          <w:p w14:paraId="4B613228" w14:textId="77777777" w:rsidR="00BC4158" w:rsidRPr="00B17ECB" w:rsidRDefault="00BC4158" w:rsidP="00506730">
            <w:pPr>
              <w:suppressLineNumbers/>
              <w:suppressAutoHyphens/>
              <w:spacing w:before="60" w:after="60"/>
              <w:jc w:val="left"/>
              <w:rPr>
                <w:iCs/>
                <w:kern w:val="22"/>
                <w:szCs w:val="22"/>
              </w:rPr>
            </w:pPr>
            <w:r w:rsidRPr="00B17ECB">
              <w:rPr>
                <w:iCs/>
                <w:kern w:val="22"/>
                <w:szCs w:val="22"/>
              </w:rPr>
              <w:t>Côte d’Ivoire</w:t>
            </w:r>
          </w:p>
        </w:tc>
        <w:tc>
          <w:tcPr>
            <w:tcW w:w="2614" w:type="dxa"/>
          </w:tcPr>
          <w:p w14:paraId="2B8A5F25" w14:textId="37E27694" w:rsidR="00BC4158" w:rsidRPr="00B17ECB" w:rsidRDefault="008428E5" w:rsidP="00506730">
            <w:pPr>
              <w:suppressLineNumbers/>
              <w:suppressAutoHyphens/>
              <w:spacing w:before="60" w:after="60"/>
              <w:jc w:val="left"/>
              <w:rPr>
                <w:iCs/>
                <w:kern w:val="22"/>
                <w:szCs w:val="22"/>
              </w:rPr>
            </w:pPr>
            <w:r w:rsidRPr="00B17ECB">
              <w:rPr>
                <w:iCs/>
                <w:kern w:val="22"/>
                <w:szCs w:val="22"/>
              </w:rPr>
              <w:t xml:space="preserve">Measures </w:t>
            </w:r>
            <w:r w:rsidR="00D679FE" w:rsidRPr="00B17ECB">
              <w:rPr>
                <w:iCs/>
                <w:kern w:val="22"/>
                <w:szCs w:val="22"/>
              </w:rPr>
              <w:t>partially</w:t>
            </w:r>
            <w:r w:rsidR="008B3A19" w:rsidRPr="00B17ECB">
              <w:rPr>
                <w:iCs/>
                <w:kern w:val="22"/>
                <w:szCs w:val="22"/>
              </w:rPr>
              <w:t xml:space="preserve"> in place</w:t>
            </w:r>
          </w:p>
        </w:tc>
        <w:tc>
          <w:tcPr>
            <w:tcW w:w="2395" w:type="dxa"/>
          </w:tcPr>
          <w:p w14:paraId="6ACDF688" w14:textId="76012C54" w:rsidR="00BC4158" w:rsidRPr="00B17ECB" w:rsidRDefault="008428E5" w:rsidP="00506730">
            <w:pPr>
              <w:suppressLineNumbers/>
              <w:suppressAutoHyphens/>
              <w:spacing w:before="60" w:after="60"/>
              <w:jc w:val="left"/>
              <w:rPr>
                <w:iCs/>
                <w:kern w:val="22"/>
                <w:szCs w:val="22"/>
              </w:rPr>
            </w:pPr>
            <w:r w:rsidRPr="00B17ECB">
              <w:rPr>
                <w:iCs/>
                <w:kern w:val="22"/>
                <w:szCs w:val="22"/>
              </w:rPr>
              <w:t xml:space="preserve">Temporary </w:t>
            </w:r>
            <w:r w:rsidR="00196CA9" w:rsidRPr="00B17ECB">
              <w:rPr>
                <w:iCs/>
                <w:kern w:val="22"/>
                <w:szCs w:val="22"/>
              </w:rPr>
              <w:t>measures</w:t>
            </w:r>
          </w:p>
        </w:tc>
        <w:tc>
          <w:tcPr>
            <w:tcW w:w="5764" w:type="dxa"/>
          </w:tcPr>
          <w:p w14:paraId="6D9FFEC3" w14:textId="77777777" w:rsidR="008B7095" w:rsidRPr="00B17ECB" w:rsidRDefault="00692CBD" w:rsidP="00506730">
            <w:pPr>
              <w:suppressLineNumbers/>
              <w:suppressAutoHyphens/>
              <w:spacing w:before="60" w:after="60"/>
              <w:jc w:val="left"/>
              <w:rPr>
                <w:iCs/>
                <w:kern w:val="22"/>
                <w:szCs w:val="22"/>
              </w:rPr>
            </w:pPr>
            <w:r w:rsidRPr="00B17ECB">
              <w:rPr>
                <w:iCs/>
                <w:kern w:val="22"/>
                <w:szCs w:val="22"/>
              </w:rPr>
              <w:t>Law N. 2016-553</w:t>
            </w:r>
            <w:r w:rsidR="00FE6547" w:rsidRPr="00B17ECB">
              <w:rPr>
                <w:iCs/>
                <w:kern w:val="22"/>
                <w:szCs w:val="22"/>
              </w:rPr>
              <w:t xml:space="preserve"> of Biosafety of 26 July 2016; </w:t>
            </w:r>
          </w:p>
          <w:p w14:paraId="1FE5A5F3" w14:textId="6074D465" w:rsidR="008B7095" w:rsidRPr="00B17ECB" w:rsidRDefault="006F3030" w:rsidP="00506730">
            <w:pPr>
              <w:suppressLineNumbers/>
              <w:suppressAutoHyphens/>
              <w:spacing w:before="60" w:after="60"/>
              <w:jc w:val="left"/>
              <w:rPr>
                <w:iCs/>
                <w:kern w:val="22"/>
                <w:szCs w:val="22"/>
                <w:lang w:val="fr-FR"/>
              </w:rPr>
            </w:pPr>
            <w:r w:rsidRPr="00B17ECB">
              <w:rPr>
                <w:iCs/>
                <w:kern w:val="22"/>
                <w:szCs w:val="22"/>
                <w:lang w:val="fr-FR"/>
              </w:rPr>
              <w:t>D</w:t>
            </w:r>
            <w:r w:rsidR="00576F56" w:rsidRPr="00B17ECB">
              <w:rPr>
                <w:iCs/>
                <w:kern w:val="22"/>
                <w:szCs w:val="22"/>
                <w:lang w:val="fr-FR"/>
              </w:rPr>
              <w:t>é</w:t>
            </w:r>
            <w:r w:rsidRPr="00B17ECB">
              <w:rPr>
                <w:iCs/>
                <w:kern w:val="22"/>
                <w:szCs w:val="22"/>
                <w:lang w:val="fr-FR"/>
              </w:rPr>
              <w:t>cre</w:t>
            </w:r>
            <w:r w:rsidR="00572A67" w:rsidRPr="00B17ECB">
              <w:rPr>
                <w:iCs/>
                <w:kern w:val="22"/>
                <w:szCs w:val="22"/>
                <w:lang w:val="fr-FR"/>
              </w:rPr>
              <w:t>t N. 2014-882 du 16 d</w:t>
            </w:r>
            <w:r w:rsidR="00576F56" w:rsidRPr="00B17ECB">
              <w:rPr>
                <w:iCs/>
                <w:kern w:val="22"/>
                <w:szCs w:val="22"/>
                <w:lang w:val="fr-FR"/>
              </w:rPr>
              <w:t>é</w:t>
            </w:r>
            <w:r w:rsidR="00572A67" w:rsidRPr="00B17ECB">
              <w:rPr>
                <w:iCs/>
                <w:kern w:val="22"/>
                <w:szCs w:val="22"/>
                <w:lang w:val="fr-FR"/>
              </w:rPr>
              <w:t>cembre 2014 portant adh</w:t>
            </w:r>
            <w:r w:rsidR="00576F56" w:rsidRPr="00B17ECB">
              <w:rPr>
                <w:iCs/>
                <w:kern w:val="22"/>
                <w:szCs w:val="22"/>
                <w:lang w:val="fr-FR"/>
              </w:rPr>
              <w:t>é</w:t>
            </w:r>
            <w:r w:rsidR="00572A67" w:rsidRPr="00B17ECB">
              <w:rPr>
                <w:iCs/>
                <w:kern w:val="22"/>
                <w:szCs w:val="22"/>
                <w:lang w:val="fr-FR"/>
              </w:rPr>
              <w:t>sion de la République de Côte d’Ivoire au Protocol de Cartagena sur la Prévention des Risque</w:t>
            </w:r>
            <w:r w:rsidR="00576F56" w:rsidRPr="00B17ECB">
              <w:rPr>
                <w:iCs/>
                <w:kern w:val="22"/>
                <w:szCs w:val="22"/>
                <w:lang w:val="fr-FR"/>
              </w:rPr>
              <w:t>s</w:t>
            </w:r>
            <w:r w:rsidR="00572A67" w:rsidRPr="00B17ECB">
              <w:rPr>
                <w:iCs/>
                <w:kern w:val="22"/>
                <w:szCs w:val="22"/>
                <w:lang w:val="fr-FR"/>
              </w:rPr>
              <w:t xml:space="preserve"> Biotechnologiques</w:t>
            </w:r>
            <w:r w:rsidR="002F6278" w:rsidRPr="00B17ECB">
              <w:rPr>
                <w:iCs/>
                <w:kern w:val="22"/>
                <w:szCs w:val="22"/>
                <w:lang w:val="fr-FR"/>
              </w:rPr>
              <w:t xml:space="preserve"> relatif </w:t>
            </w:r>
            <w:r w:rsidR="00D04184" w:rsidRPr="00B17ECB">
              <w:rPr>
                <w:iCs/>
                <w:kern w:val="22"/>
                <w:szCs w:val="22"/>
                <w:lang w:val="fr-FR"/>
              </w:rPr>
              <w:t>à la Convention sur la Diversité Biologique adopté le 29 janvier 2000, à Cartagena</w:t>
            </w:r>
            <w:r w:rsidR="002537A7" w:rsidRPr="00B17ECB">
              <w:rPr>
                <w:iCs/>
                <w:kern w:val="22"/>
                <w:szCs w:val="22"/>
                <w:lang w:val="fr-FR"/>
              </w:rPr>
              <w:t xml:space="preserve"> (Colombie)</w:t>
            </w:r>
            <w:r w:rsidR="00576F56" w:rsidRPr="00B17ECB">
              <w:rPr>
                <w:iCs/>
                <w:kern w:val="22"/>
                <w:szCs w:val="22"/>
                <w:lang w:val="fr-FR"/>
              </w:rPr>
              <w:t xml:space="preserve">; </w:t>
            </w:r>
          </w:p>
          <w:p w14:paraId="77FF7BCD" w14:textId="40881011" w:rsidR="00A11ED6" w:rsidRPr="00B17ECB" w:rsidRDefault="00D736C5" w:rsidP="00506730">
            <w:pPr>
              <w:suppressLineNumbers/>
              <w:suppressAutoHyphens/>
              <w:spacing w:before="60" w:after="60"/>
              <w:jc w:val="left"/>
              <w:rPr>
                <w:iCs/>
                <w:kern w:val="22"/>
                <w:szCs w:val="22"/>
                <w:lang w:val="fr-FR"/>
              </w:rPr>
            </w:pPr>
            <w:r w:rsidRPr="00B17ECB">
              <w:rPr>
                <w:iCs/>
                <w:kern w:val="22"/>
                <w:szCs w:val="22"/>
                <w:lang w:val="fr-FR"/>
              </w:rPr>
              <w:t xml:space="preserve">Loi N. 2014-881 du 16 décembre 2014 modifiant la Loi N. 2007-496 du 31 mai 2007 autorisant le Président de la République à faire adhérer l’État de Côte d’Ivoire au Protocole de Cartagena </w:t>
            </w:r>
            <w:r w:rsidR="00041B0C" w:rsidRPr="00B17ECB">
              <w:rPr>
                <w:iCs/>
                <w:kern w:val="22"/>
                <w:szCs w:val="22"/>
                <w:lang w:val="fr-FR"/>
              </w:rPr>
              <w:t>sur la Prévention des Risques Biotechnologiques relatif à la Convention sur la Diversité Biologique adopté le 29 janvier 2000, à Cartagena (Colombie) ;</w:t>
            </w:r>
          </w:p>
          <w:p w14:paraId="0334FDBD" w14:textId="3CF121A4" w:rsidR="008B7095" w:rsidRPr="00B17ECB" w:rsidRDefault="00591F01" w:rsidP="00506730">
            <w:pPr>
              <w:suppressLineNumbers/>
              <w:suppressAutoHyphens/>
              <w:spacing w:before="60" w:after="60"/>
              <w:jc w:val="left"/>
              <w:rPr>
                <w:iCs/>
                <w:kern w:val="22"/>
                <w:szCs w:val="22"/>
                <w:lang w:val="fr-FR"/>
              </w:rPr>
            </w:pPr>
            <w:r w:rsidRPr="00B17ECB">
              <w:rPr>
                <w:iCs/>
                <w:kern w:val="22"/>
                <w:szCs w:val="22"/>
                <w:lang w:val="fr-FR"/>
              </w:rPr>
              <w:t xml:space="preserve">Conditions d’Entrée en Côte d’Ivoire d’Exportation et de Réexportation ; </w:t>
            </w:r>
          </w:p>
          <w:p w14:paraId="2697081B" w14:textId="77777777" w:rsidR="008B7095" w:rsidRPr="00B17ECB" w:rsidRDefault="00591F01" w:rsidP="00506730">
            <w:pPr>
              <w:suppressLineNumbers/>
              <w:suppressAutoHyphens/>
              <w:spacing w:before="60" w:after="60"/>
              <w:jc w:val="left"/>
              <w:rPr>
                <w:iCs/>
                <w:kern w:val="22"/>
                <w:szCs w:val="22"/>
              </w:rPr>
            </w:pPr>
            <w:r w:rsidRPr="00B17ECB">
              <w:rPr>
                <w:iCs/>
                <w:kern w:val="22"/>
                <w:szCs w:val="22"/>
              </w:rPr>
              <w:t>Decree N. 6</w:t>
            </w:r>
            <w:r w:rsidR="0006624C" w:rsidRPr="00B17ECB">
              <w:rPr>
                <w:iCs/>
                <w:kern w:val="22"/>
                <w:szCs w:val="22"/>
              </w:rPr>
              <w:t xml:space="preserve">3-457, </w:t>
            </w:r>
            <w:r w:rsidR="00655269" w:rsidRPr="00B17ECB">
              <w:rPr>
                <w:iCs/>
                <w:kern w:val="22"/>
                <w:szCs w:val="22"/>
              </w:rPr>
              <w:t>N</w:t>
            </w:r>
            <w:r w:rsidR="0006624C" w:rsidRPr="00B17ECB">
              <w:rPr>
                <w:iCs/>
                <w:kern w:val="22"/>
                <w:szCs w:val="22"/>
              </w:rPr>
              <w:t>ovembe</w:t>
            </w:r>
            <w:r w:rsidR="00655269" w:rsidRPr="00B17ECB">
              <w:rPr>
                <w:iCs/>
                <w:kern w:val="22"/>
                <w:szCs w:val="22"/>
              </w:rPr>
              <w:t>r</w:t>
            </w:r>
            <w:r w:rsidR="0006624C" w:rsidRPr="00B17ECB">
              <w:rPr>
                <w:iCs/>
                <w:kern w:val="22"/>
                <w:szCs w:val="22"/>
              </w:rPr>
              <w:t xml:space="preserve"> 7th 1963 establishing the importation and exportation conditions of plants and other </w:t>
            </w:r>
            <w:r w:rsidR="0006624C" w:rsidRPr="00B17ECB">
              <w:rPr>
                <w:iCs/>
                <w:kern w:val="22"/>
                <w:szCs w:val="22"/>
              </w:rPr>
              <w:lastRenderedPageBreak/>
              <w:t xml:space="preserve">materials which are liable to carry dangerous organisms regarding the cultivations; </w:t>
            </w:r>
          </w:p>
          <w:p w14:paraId="53BFFB47" w14:textId="52E8D1A1" w:rsidR="008B7095" w:rsidRPr="00B17ECB" w:rsidRDefault="0006624C" w:rsidP="00506730">
            <w:pPr>
              <w:suppressLineNumbers/>
              <w:suppressAutoHyphens/>
              <w:spacing w:before="60" w:after="60"/>
              <w:jc w:val="left"/>
              <w:rPr>
                <w:iCs/>
                <w:kern w:val="22"/>
                <w:szCs w:val="22"/>
              </w:rPr>
            </w:pPr>
            <w:r w:rsidRPr="00B17ECB">
              <w:rPr>
                <w:iCs/>
                <w:kern w:val="22"/>
                <w:szCs w:val="22"/>
              </w:rPr>
              <w:t xml:space="preserve">Law N. 64-490, </w:t>
            </w:r>
            <w:r w:rsidR="00267A63" w:rsidRPr="00B17ECB">
              <w:rPr>
                <w:iCs/>
                <w:kern w:val="22"/>
                <w:szCs w:val="22"/>
              </w:rPr>
              <w:t>December</w:t>
            </w:r>
            <w:r w:rsidRPr="00B17ECB">
              <w:rPr>
                <w:iCs/>
                <w:kern w:val="22"/>
                <w:szCs w:val="22"/>
              </w:rPr>
              <w:t xml:space="preserve"> 21</w:t>
            </w:r>
            <w:r w:rsidRPr="00B17ECB">
              <w:rPr>
                <w:iCs/>
                <w:kern w:val="22"/>
                <w:szCs w:val="22"/>
                <w:vertAlign w:val="superscript"/>
              </w:rPr>
              <w:t>st</w:t>
            </w:r>
            <w:r w:rsidRPr="00B17ECB">
              <w:rPr>
                <w:iCs/>
                <w:kern w:val="22"/>
                <w:szCs w:val="22"/>
              </w:rPr>
              <w:t xml:space="preserve"> 1964 regarding plant</w:t>
            </w:r>
            <w:r w:rsidR="00041B0C" w:rsidRPr="00B17ECB">
              <w:rPr>
                <w:iCs/>
                <w:kern w:val="22"/>
                <w:szCs w:val="22"/>
              </w:rPr>
              <w:t>s</w:t>
            </w:r>
            <w:r w:rsidRPr="00B17ECB">
              <w:rPr>
                <w:iCs/>
                <w:kern w:val="22"/>
                <w:szCs w:val="22"/>
              </w:rPr>
              <w:t xml:space="preserve"> protection; </w:t>
            </w:r>
          </w:p>
          <w:p w14:paraId="3B239362" w14:textId="77777777" w:rsidR="008B7095" w:rsidRPr="00B17ECB" w:rsidRDefault="009D3414" w:rsidP="00506730">
            <w:pPr>
              <w:suppressLineNumbers/>
              <w:suppressAutoHyphens/>
              <w:spacing w:before="60" w:after="60"/>
              <w:jc w:val="left"/>
              <w:rPr>
                <w:iCs/>
                <w:kern w:val="22"/>
                <w:szCs w:val="22"/>
              </w:rPr>
            </w:pPr>
            <w:r w:rsidRPr="00B17ECB">
              <w:rPr>
                <w:iCs/>
                <w:kern w:val="22"/>
                <w:szCs w:val="22"/>
              </w:rPr>
              <w:t xml:space="preserve">Decree N. 96-894 </w:t>
            </w:r>
            <w:r w:rsidR="00267A63" w:rsidRPr="00B17ECB">
              <w:rPr>
                <w:iCs/>
                <w:kern w:val="22"/>
                <w:szCs w:val="22"/>
              </w:rPr>
              <w:t>November 8</w:t>
            </w:r>
            <w:r w:rsidR="00267A63" w:rsidRPr="00B17ECB">
              <w:rPr>
                <w:iCs/>
                <w:kern w:val="22"/>
                <w:szCs w:val="22"/>
                <w:vertAlign w:val="superscript"/>
              </w:rPr>
              <w:t>th</w:t>
            </w:r>
            <w:r w:rsidR="00267A63" w:rsidRPr="00B17ECB">
              <w:rPr>
                <w:iCs/>
                <w:kern w:val="22"/>
                <w:szCs w:val="22"/>
              </w:rPr>
              <w:t xml:space="preserve"> 1996, establishing the rules and procedures regarding the environmental impact studies of development projects; </w:t>
            </w:r>
          </w:p>
          <w:p w14:paraId="1CD68E71" w14:textId="77777777" w:rsidR="002F1DE5" w:rsidRPr="00B17ECB" w:rsidRDefault="00267A63" w:rsidP="00506730">
            <w:pPr>
              <w:suppressLineNumbers/>
              <w:suppressAutoHyphens/>
              <w:spacing w:before="60" w:after="60"/>
              <w:jc w:val="left"/>
              <w:rPr>
                <w:iCs/>
                <w:kern w:val="22"/>
                <w:szCs w:val="22"/>
              </w:rPr>
            </w:pPr>
            <w:r w:rsidRPr="00B17ECB">
              <w:rPr>
                <w:iCs/>
                <w:kern w:val="22"/>
                <w:szCs w:val="22"/>
              </w:rPr>
              <w:t>Law N. 96-776, October 3</w:t>
            </w:r>
            <w:r w:rsidRPr="00B17ECB">
              <w:rPr>
                <w:iCs/>
                <w:kern w:val="22"/>
                <w:szCs w:val="22"/>
                <w:vertAlign w:val="superscript"/>
              </w:rPr>
              <w:t>rd</w:t>
            </w:r>
            <w:r w:rsidRPr="00B17ECB">
              <w:rPr>
                <w:iCs/>
                <w:kern w:val="22"/>
                <w:szCs w:val="22"/>
              </w:rPr>
              <w:t xml:space="preserve"> 1996 relating to Environmental Code; </w:t>
            </w:r>
          </w:p>
          <w:p w14:paraId="4EF5B03E" w14:textId="77777777" w:rsidR="00D52AC0" w:rsidRPr="00B17ECB" w:rsidRDefault="00267A63" w:rsidP="00506730">
            <w:pPr>
              <w:suppressLineNumbers/>
              <w:suppressAutoHyphens/>
              <w:spacing w:before="60" w:after="60"/>
              <w:jc w:val="left"/>
              <w:rPr>
                <w:iCs/>
                <w:kern w:val="22"/>
                <w:szCs w:val="22"/>
              </w:rPr>
            </w:pPr>
            <w:r w:rsidRPr="00B17ECB">
              <w:rPr>
                <w:iCs/>
                <w:kern w:val="22"/>
                <w:szCs w:val="22"/>
              </w:rPr>
              <w:t xml:space="preserve">Biosafety National Framework; </w:t>
            </w:r>
          </w:p>
          <w:p w14:paraId="2EEF617F" w14:textId="012E4C3D" w:rsidR="00F77CAA" w:rsidRPr="00B17ECB" w:rsidRDefault="00267A63" w:rsidP="00506730">
            <w:pPr>
              <w:suppressLineNumbers/>
              <w:suppressAutoHyphens/>
              <w:spacing w:before="60" w:after="60"/>
              <w:jc w:val="left"/>
              <w:rPr>
                <w:iCs/>
                <w:kern w:val="22"/>
                <w:szCs w:val="22"/>
              </w:rPr>
            </w:pPr>
            <w:r w:rsidRPr="00B17ECB">
              <w:rPr>
                <w:iCs/>
                <w:kern w:val="22"/>
                <w:szCs w:val="22"/>
              </w:rPr>
              <w:t>Draft National Biosafety Framework (UNEP-GEF)</w:t>
            </w:r>
            <w:r w:rsidR="001B4CB6" w:rsidRPr="00B17ECB">
              <w:rPr>
                <w:iCs/>
                <w:kern w:val="22"/>
                <w:szCs w:val="22"/>
              </w:rPr>
              <w:t xml:space="preserve">; </w:t>
            </w:r>
          </w:p>
        </w:tc>
      </w:tr>
      <w:tr w:rsidR="00E24EA4" w:rsidRPr="00B17ECB" w14:paraId="07F9D154" w14:textId="77777777" w:rsidTr="00506730">
        <w:tc>
          <w:tcPr>
            <w:tcW w:w="515" w:type="dxa"/>
          </w:tcPr>
          <w:p w14:paraId="5A04BF6C" w14:textId="7145978E" w:rsidR="00BD0D57" w:rsidRPr="00B17ECB" w:rsidRDefault="00BD0D57" w:rsidP="00506730">
            <w:pPr>
              <w:suppressLineNumbers/>
              <w:suppressAutoHyphens/>
              <w:spacing w:before="60" w:after="60"/>
              <w:ind w:left="22"/>
              <w:jc w:val="center"/>
              <w:rPr>
                <w:iCs/>
                <w:kern w:val="22"/>
                <w:szCs w:val="22"/>
              </w:rPr>
            </w:pPr>
            <w:r w:rsidRPr="00B17ECB">
              <w:rPr>
                <w:iCs/>
                <w:kern w:val="22"/>
                <w:szCs w:val="22"/>
              </w:rPr>
              <w:lastRenderedPageBreak/>
              <w:t>4</w:t>
            </w:r>
          </w:p>
        </w:tc>
        <w:tc>
          <w:tcPr>
            <w:tcW w:w="2315" w:type="dxa"/>
          </w:tcPr>
          <w:p w14:paraId="03308242" w14:textId="3947FCBA" w:rsidR="00BD0D57" w:rsidRPr="00B17ECB" w:rsidRDefault="00BD0D57" w:rsidP="00506730">
            <w:pPr>
              <w:suppressLineNumbers/>
              <w:suppressAutoHyphens/>
              <w:spacing w:before="60" w:after="60"/>
              <w:jc w:val="left"/>
              <w:rPr>
                <w:iCs/>
                <w:kern w:val="22"/>
                <w:szCs w:val="22"/>
              </w:rPr>
            </w:pPr>
            <w:r w:rsidRPr="00B17ECB">
              <w:rPr>
                <w:iCs/>
                <w:kern w:val="22"/>
                <w:szCs w:val="22"/>
              </w:rPr>
              <w:t>Cabo Verde</w:t>
            </w:r>
          </w:p>
        </w:tc>
        <w:tc>
          <w:tcPr>
            <w:tcW w:w="2614" w:type="dxa"/>
          </w:tcPr>
          <w:p w14:paraId="7701C04A" w14:textId="13F3A50A" w:rsidR="00BD0D57" w:rsidRPr="00B17ECB" w:rsidRDefault="00B341F7" w:rsidP="00506730">
            <w:pPr>
              <w:suppressLineNumbers/>
              <w:suppressAutoHyphens/>
              <w:spacing w:before="60" w:after="60"/>
              <w:jc w:val="left"/>
              <w:rPr>
                <w:iCs/>
                <w:kern w:val="22"/>
                <w:szCs w:val="22"/>
              </w:rPr>
            </w:pPr>
            <w:r w:rsidRPr="00B17ECB">
              <w:rPr>
                <w:iCs/>
                <w:kern w:val="22"/>
                <w:szCs w:val="22"/>
              </w:rPr>
              <w:t xml:space="preserve">Draft </w:t>
            </w:r>
            <w:r w:rsidR="00BD0D57" w:rsidRPr="00B17ECB">
              <w:rPr>
                <w:iCs/>
                <w:kern w:val="22"/>
                <w:szCs w:val="22"/>
              </w:rPr>
              <w:t>measures</w:t>
            </w:r>
            <w:r w:rsidR="00BD0D57" w:rsidRPr="00B17ECB">
              <w:rPr>
                <w:rStyle w:val="FootnoteReference"/>
                <w:iCs/>
                <w:kern w:val="22"/>
                <w:szCs w:val="22"/>
              </w:rPr>
              <w:footnoteReference w:id="28"/>
            </w:r>
          </w:p>
        </w:tc>
        <w:tc>
          <w:tcPr>
            <w:tcW w:w="2395" w:type="dxa"/>
          </w:tcPr>
          <w:p w14:paraId="193ADE6F" w14:textId="13934AD0" w:rsidR="00BD0D57" w:rsidRPr="00B17ECB" w:rsidRDefault="005011F6" w:rsidP="00506730">
            <w:pPr>
              <w:suppressLineNumbers/>
              <w:suppressAutoHyphens/>
              <w:spacing w:before="60" w:after="60"/>
              <w:jc w:val="left"/>
              <w:rPr>
                <w:iCs/>
                <w:kern w:val="22"/>
                <w:szCs w:val="22"/>
              </w:rPr>
            </w:pPr>
            <w:r w:rsidRPr="00B17ECB">
              <w:rPr>
                <w:iCs/>
                <w:kern w:val="22"/>
                <w:szCs w:val="22"/>
              </w:rPr>
              <w:t xml:space="preserve">Report </w:t>
            </w:r>
            <w:r w:rsidR="00A27EBD" w:rsidRPr="00B17ECB">
              <w:rPr>
                <w:iCs/>
                <w:kern w:val="22"/>
                <w:szCs w:val="22"/>
              </w:rPr>
              <w:t>not available</w:t>
            </w:r>
          </w:p>
        </w:tc>
        <w:tc>
          <w:tcPr>
            <w:tcW w:w="5764" w:type="dxa"/>
          </w:tcPr>
          <w:p w14:paraId="027402FF" w14:textId="07EF4EC7" w:rsidR="00BD0D57" w:rsidRPr="00B17ECB" w:rsidRDefault="009B4E47" w:rsidP="00506730">
            <w:pPr>
              <w:suppressLineNumbers/>
              <w:suppressAutoHyphens/>
              <w:spacing w:before="60" w:after="60"/>
              <w:jc w:val="left"/>
              <w:rPr>
                <w:iCs/>
                <w:kern w:val="22"/>
                <w:szCs w:val="22"/>
              </w:rPr>
            </w:pPr>
            <w:r w:rsidRPr="00B17ECB">
              <w:rPr>
                <w:iCs/>
                <w:kern w:val="22"/>
                <w:szCs w:val="22"/>
              </w:rPr>
              <w:t>Draft National Biosafety Framework (UNEP-GEF)</w:t>
            </w:r>
          </w:p>
        </w:tc>
      </w:tr>
      <w:tr w:rsidR="0096262B" w:rsidRPr="00B17ECB" w14:paraId="028D09A2" w14:textId="3AF85532" w:rsidTr="00506730">
        <w:tc>
          <w:tcPr>
            <w:tcW w:w="515" w:type="dxa"/>
          </w:tcPr>
          <w:p w14:paraId="59C031BD" w14:textId="15D41D19" w:rsidR="00BC4158" w:rsidRPr="00B17ECB" w:rsidRDefault="005011F6" w:rsidP="00506730">
            <w:pPr>
              <w:suppressLineNumbers/>
              <w:suppressAutoHyphens/>
              <w:spacing w:before="60" w:after="60"/>
              <w:ind w:left="22"/>
              <w:jc w:val="center"/>
              <w:rPr>
                <w:iCs/>
                <w:kern w:val="22"/>
                <w:szCs w:val="22"/>
              </w:rPr>
            </w:pPr>
            <w:r w:rsidRPr="00B17ECB">
              <w:rPr>
                <w:iCs/>
                <w:kern w:val="22"/>
                <w:szCs w:val="22"/>
              </w:rPr>
              <w:t>5</w:t>
            </w:r>
          </w:p>
        </w:tc>
        <w:tc>
          <w:tcPr>
            <w:tcW w:w="2315" w:type="dxa"/>
          </w:tcPr>
          <w:p w14:paraId="3D40FF7E" w14:textId="77777777" w:rsidR="00BC4158" w:rsidRPr="00B17ECB" w:rsidRDefault="00BC4158" w:rsidP="00506730">
            <w:pPr>
              <w:suppressLineNumbers/>
              <w:suppressAutoHyphens/>
              <w:spacing w:before="60" w:after="60"/>
              <w:jc w:val="left"/>
              <w:rPr>
                <w:iCs/>
                <w:kern w:val="22"/>
                <w:szCs w:val="22"/>
              </w:rPr>
            </w:pPr>
            <w:r w:rsidRPr="00B17ECB">
              <w:rPr>
                <w:iCs/>
                <w:kern w:val="22"/>
                <w:szCs w:val="22"/>
              </w:rPr>
              <w:t>Kuwait</w:t>
            </w:r>
          </w:p>
        </w:tc>
        <w:tc>
          <w:tcPr>
            <w:tcW w:w="2614" w:type="dxa"/>
          </w:tcPr>
          <w:p w14:paraId="3B53CE68" w14:textId="2C2C56F6" w:rsidR="00BC4158" w:rsidRPr="00B17ECB" w:rsidRDefault="00B341F7" w:rsidP="00506730">
            <w:pPr>
              <w:suppressLineNumbers/>
              <w:suppressAutoHyphens/>
              <w:spacing w:before="60" w:after="60"/>
              <w:jc w:val="left"/>
              <w:rPr>
                <w:iCs/>
                <w:kern w:val="22"/>
                <w:szCs w:val="22"/>
              </w:rPr>
            </w:pPr>
            <w:r w:rsidRPr="00B17ECB">
              <w:rPr>
                <w:iCs/>
                <w:kern w:val="22"/>
                <w:szCs w:val="22"/>
              </w:rPr>
              <w:t xml:space="preserve">Report </w:t>
            </w:r>
            <w:r w:rsidR="00A3321D" w:rsidRPr="00B17ECB">
              <w:rPr>
                <w:iCs/>
                <w:kern w:val="22"/>
                <w:szCs w:val="22"/>
              </w:rPr>
              <w:t>not available</w:t>
            </w:r>
          </w:p>
        </w:tc>
        <w:tc>
          <w:tcPr>
            <w:tcW w:w="2395" w:type="dxa"/>
          </w:tcPr>
          <w:p w14:paraId="01966AD4" w14:textId="01C56B03" w:rsidR="00BC4158" w:rsidRPr="00B17ECB" w:rsidRDefault="005011F6" w:rsidP="00506730">
            <w:pPr>
              <w:suppressLineNumbers/>
              <w:suppressAutoHyphens/>
              <w:spacing w:before="60" w:after="60"/>
              <w:jc w:val="left"/>
              <w:rPr>
                <w:iCs/>
                <w:kern w:val="22"/>
                <w:szCs w:val="22"/>
              </w:rPr>
            </w:pPr>
            <w:r w:rsidRPr="00B17ECB">
              <w:rPr>
                <w:iCs/>
                <w:kern w:val="22"/>
                <w:szCs w:val="22"/>
              </w:rPr>
              <w:t xml:space="preserve">Draft </w:t>
            </w:r>
            <w:r w:rsidR="00196CA9" w:rsidRPr="00B17ECB">
              <w:rPr>
                <w:iCs/>
                <w:kern w:val="22"/>
                <w:szCs w:val="22"/>
              </w:rPr>
              <w:t>measures</w:t>
            </w:r>
          </w:p>
        </w:tc>
        <w:tc>
          <w:tcPr>
            <w:tcW w:w="5764" w:type="dxa"/>
          </w:tcPr>
          <w:p w14:paraId="07CA3838" w14:textId="02357B17" w:rsidR="003D16F4" w:rsidRPr="00B17ECB" w:rsidRDefault="00CC535F" w:rsidP="00506730">
            <w:pPr>
              <w:suppressLineNumbers/>
              <w:suppressAutoHyphens/>
              <w:spacing w:before="60" w:after="60"/>
              <w:jc w:val="left"/>
              <w:rPr>
                <w:iCs/>
                <w:kern w:val="22"/>
                <w:szCs w:val="22"/>
              </w:rPr>
            </w:pPr>
            <w:r w:rsidRPr="00B17ECB">
              <w:rPr>
                <w:iCs/>
                <w:kern w:val="22"/>
                <w:szCs w:val="22"/>
              </w:rPr>
              <w:t>N</w:t>
            </w:r>
            <w:r w:rsidR="00C30FF9" w:rsidRPr="00B17ECB">
              <w:rPr>
                <w:iCs/>
                <w:kern w:val="22"/>
                <w:szCs w:val="22"/>
              </w:rPr>
              <w:t>o measures published in the BCH</w:t>
            </w:r>
          </w:p>
        </w:tc>
      </w:tr>
      <w:tr w:rsidR="0096262B" w:rsidRPr="00B17ECB" w14:paraId="23A6E7F6" w14:textId="0255D12E" w:rsidTr="00506730">
        <w:tc>
          <w:tcPr>
            <w:tcW w:w="515" w:type="dxa"/>
          </w:tcPr>
          <w:p w14:paraId="77B72B52" w14:textId="056CFAF6" w:rsidR="00BC4158" w:rsidRPr="00B17ECB" w:rsidRDefault="005011F6" w:rsidP="00506730">
            <w:pPr>
              <w:suppressLineNumbers/>
              <w:suppressAutoHyphens/>
              <w:spacing w:before="60" w:after="60"/>
              <w:ind w:left="22"/>
              <w:jc w:val="center"/>
              <w:rPr>
                <w:iCs/>
                <w:kern w:val="22"/>
                <w:szCs w:val="22"/>
              </w:rPr>
            </w:pPr>
            <w:r w:rsidRPr="00B17ECB">
              <w:rPr>
                <w:iCs/>
                <w:kern w:val="22"/>
                <w:szCs w:val="22"/>
              </w:rPr>
              <w:t>6</w:t>
            </w:r>
          </w:p>
        </w:tc>
        <w:tc>
          <w:tcPr>
            <w:tcW w:w="2315" w:type="dxa"/>
          </w:tcPr>
          <w:p w14:paraId="4905D937" w14:textId="77777777" w:rsidR="00BC4158" w:rsidRPr="00B17ECB" w:rsidRDefault="00BC4158" w:rsidP="00506730">
            <w:pPr>
              <w:suppressLineNumbers/>
              <w:suppressAutoHyphens/>
              <w:spacing w:before="60" w:after="60"/>
              <w:jc w:val="left"/>
              <w:rPr>
                <w:iCs/>
                <w:kern w:val="22"/>
                <w:szCs w:val="22"/>
              </w:rPr>
            </w:pPr>
            <w:r w:rsidRPr="00B17ECB">
              <w:rPr>
                <w:iCs/>
                <w:kern w:val="22"/>
                <w:szCs w:val="22"/>
              </w:rPr>
              <w:t>Lebanon</w:t>
            </w:r>
          </w:p>
        </w:tc>
        <w:tc>
          <w:tcPr>
            <w:tcW w:w="2614" w:type="dxa"/>
          </w:tcPr>
          <w:p w14:paraId="17DD9224" w14:textId="65F6DCEA" w:rsidR="00BC4158" w:rsidRPr="00B17ECB" w:rsidRDefault="005011F6" w:rsidP="00506730">
            <w:pPr>
              <w:suppressLineNumbers/>
              <w:suppressAutoHyphens/>
              <w:spacing w:before="60" w:after="60"/>
              <w:jc w:val="left"/>
              <w:rPr>
                <w:iCs/>
                <w:kern w:val="22"/>
                <w:szCs w:val="22"/>
              </w:rPr>
            </w:pPr>
            <w:r w:rsidRPr="00B17ECB">
              <w:rPr>
                <w:iCs/>
                <w:kern w:val="22"/>
                <w:szCs w:val="22"/>
              </w:rPr>
              <w:t xml:space="preserve">Measures </w:t>
            </w:r>
            <w:r w:rsidR="00D679FE" w:rsidRPr="00B17ECB">
              <w:rPr>
                <w:iCs/>
                <w:kern w:val="22"/>
                <w:szCs w:val="22"/>
              </w:rPr>
              <w:t>partially</w:t>
            </w:r>
            <w:r w:rsidR="008B3A19" w:rsidRPr="00B17ECB">
              <w:rPr>
                <w:iCs/>
                <w:kern w:val="22"/>
                <w:szCs w:val="22"/>
              </w:rPr>
              <w:t xml:space="preserve"> in place</w:t>
            </w:r>
          </w:p>
        </w:tc>
        <w:tc>
          <w:tcPr>
            <w:tcW w:w="2395" w:type="dxa"/>
          </w:tcPr>
          <w:p w14:paraId="006AFE35" w14:textId="2B8EE703" w:rsidR="00BC4158" w:rsidRPr="00B17ECB" w:rsidRDefault="005011F6" w:rsidP="00506730">
            <w:pPr>
              <w:suppressLineNumbers/>
              <w:suppressAutoHyphens/>
              <w:spacing w:before="60" w:after="60"/>
              <w:jc w:val="left"/>
              <w:rPr>
                <w:iCs/>
                <w:kern w:val="22"/>
                <w:szCs w:val="22"/>
              </w:rPr>
            </w:pPr>
            <w:r w:rsidRPr="00B17ECB">
              <w:rPr>
                <w:iCs/>
                <w:kern w:val="22"/>
                <w:szCs w:val="22"/>
              </w:rPr>
              <w:t xml:space="preserve">Draft </w:t>
            </w:r>
            <w:r w:rsidR="00196CA9" w:rsidRPr="00B17ECB">
              <w:rPr>
                <w:iCs/>
                <w:kern w:val="22"/>
                <w:szCs w:val="22"/>
              </w:rPr>
              <w:t>measures</w:t>
            </w:r>
          </w:p>
        </w:tc>
        <w:tc>
          <w:tcPr>
            <w:tcW w:w="5764" w:type="dxa"/>
          </w:tcPr>
          <w:p w14:paraId="7B0B2198" w14:textId="352450F2" w:rsidR="00B128F8" w:rsidRPr="00B17ECB" w:rsidRDefault="00CC535F" w:rsidP="00506730">
            <w:pPr>
              <w:suppressLineNumbers/>
              <w:suppressAutoHyphens/>
              <w:spacing w:before="60" w:after="60"/>
              <w:jc w:val="left"/>
              <w:rPr>
                <w:iCs/>
                <w:kern w:val="22"/>
                <w:szCs w:val="22"/>
              </w:rPr>
            </w:pPr>
            <w:r w:rsidRPr="00B17ECB">
              <w:rPr>
                <w:iCs/>
                <w:kern w:val="22"/>
                <w:szCs w:val="22"/>
              </w:rPr>
              <w:t>Draft National Biosafety Framework (UNEP-GEF)</w:t>
            </w:r>
          </w:p>
        </w:tc>
      </w:tr>
      <w:tr w:rsidR="0096262B" w:rsidRPr="00B17ECB" w14:paraId="4AE31BFE" w14:textId="09CBC01B" w:rsidTr="00506730">
        <w:tc>
          <w:tcPr>
            <w:tcW w:w="515" w:type="dxa"/>
          </w:tcPr>
          <w:p w14:paraId="551D7E64" w14:textId="40E46FA8" w:rsidR="00BC4158" w:rsidRPr="00B17ECB" w:rsidRDefault="005011F6" w:rsidP="00506730">
            <w:pPr>
              <w:suppressLineNumbers/>
              <w:suppressAutoHyphens/>
              <w:spacing w:before="60" w:after="60"/>
              <w:ind w:left="22"/>
              <w:jc w:val="center"/>
              <w:rPr>
                <w:iCs/>
                <w:kern w:val="22"/>
                <w:szCs w:val="22"/>
              </w:rPr>
            </w:pPr>
            <w:r w:rsidRPr="00B17ECB">
              <w:rPr>
                <w:iCs/>
                <w:kern w:val="22"/>
                <w:szCs w:val="22"/>
              </w:rPr>
              <w:t>7</w:t>
            </w:r>
          </w:p>
        </w:tc>
        <w:tc>
          <w:tcPr>
            <w:tcW w:w="2315" w:type="dxa"/>
          </w:tcPr>
          <w:p w14:paraId="6786A63E" w14:textId="77777777" w:rsidR="00BC4158" w:rsidRPr="00B17ECB" w:rsidRDefault="00BC4158" w:rsidP="00506730">
            <w:pPr>
              <w:suppressLineNumbers/>
              <w:suppressAutoHyphens/>
              <w:spacing w:before="60" w:after="60"/>
              <w:jc w:val="left"/>
              <w:rPr>
                <w:iCs/>
                <w:kern w:val="22"/>
                <w:szCs w:val="22"/>
              </w:rPr>
            </w:pPr>
            <w:r w:rsidRPr="00B17ECB">
              <w:rPr>
                <w:iCs/>
                <w:kern w:val="22"/>
                <w:szCs w:val="22"/>
              </w:rPr>
              <w:t>Liberia</w:t>
            </w:r>
          </w:p>
        </w:tc>
        <w:tc>
          <w:tcPr>
            <w:tcW w:w="2614" w:type="dxa"/>
          </w:tcPr>
          <w:p w14:paraId="48780F87" w14:textId="6722A74E" w:rsidR="00BC4158" w:rsidRPr="00B17ECB" w:rsidRDefault="005011F6" w:rsidP="00506730">
            <w:pPr>
              <w:suppressLineNumbers/>
              <w:suppressAutoHyphens/>
              <w:spacing w:before="60" w:after="60"/>
              <w:jc w:val="left"/>
              <w:rPr>
                <w:iCs/>
                <w:kern w:val="22"/>
                <w:szCs w:val="22"/>
              </w:rPr>
            </w:pPr>
            <w:r w:rsidRPr="00B17ECB">
              <w:rPr>
                <w:iCs/>
                <w:kern w:val="22"/>
                <w:szCs w:val="22"/>
              </w:rPr>
              <w:t xml:space="preserve">Measures </w:t>
            </w:r>
            <w:r w:rsidR="00D679FE" w:rsidRPr="00B17ECB">
              <w:rPr>
                <w:iCs/>
                <w:kern w:val="22"/>
                <w:szCs w:val="22"/>
              </w:rPr>
              <w:t>partially</w:t>
            </w:r>
            <w:r w:rsidR="008B3A19" w:rsidRPr="00B17ECB">
              <w:rPr>
                <w:iCs/>
                <w:kern w:val="22"/>
                <w:szCs w:val="22"/>
              </w:rPr>
              <w:t xml:space="preserve"> in place</w:t>
            </w:r>
          </w:p>
        </w:tc>
        <w:tc>
          <w:tcPr>
            <w:tcW w:w="2395" w:type="dxa"/>
          </w:tcPr>
          <w:p w14:paraId="33A48DDD" w14:textId="3AF89109" w:rsidR="00BC4158" w:rsidRPr="00B17ECB" w:rsidRDefault="005011F6" w:rsidP="00506730">
            <w:pPr>
              <w:suppressLineNumbers/>
              <w:suppressAutoHyphens/>
              <w:spacing w:before="60" w:after="60"/>
              <w:jc w:val="left"/>
              <w:rPr>
                <w:iCs/>
                <w:kern w:val="22"/>
                <w:szCs w:val="22"/>
              </w:rPr>
            </w:pPr>
            <w:r w:rsidRPr="00B17ECB">
              <w:rPr>
                <w:iCs/>
                <w:kern w:val="22"/>
                <w:szCs w:val="22"/>
              </w:rPr>
              <w:t xml:space="preserve">Draft </w:t>
            </w:r>
            <w:r w:rsidR="00196CA9" w:rsidRPr="00B17ECB">
              <w:rPr>
                <w:iCs/>
                <w:kern w:val="22"/>
                <w:szCs w:val="22"/>
              </w:rPr>
              <w:t>measures</w:t>
            </w:r>
          </w:p>
        </w:tc>
        <w:tc>
          <w:tcPr>
            <w:tcW w:w="5764" w:type="dxa"/>
          </w:tcPr>
          <w:p w14:paraId="0A690930" w14:textId="37570012" w:rsidR="00F1388C" w:rsidRPr="00B17ECB" w:rsidRDefault="00CC535F" w:rsidP="00506730">
            <w:pPr>
              <w:suppressLineNumbers/>
              <w:suppressAutoHyphens/>
              <w:spacing w:before="60" w:after="60"/>
              <w:jc w:val="left"/>
              <w:rPr>
                <w:iCs/>
                <w:kern w:val="22"/>
                <w:szCs w:val="22"/>
              </w:rPr>
            </w:pPr>
            <w:r w:rsidRPr="00B17ECB">
              <w:rPr>
                <w:iCs/>
                <w:kern w:val="22"/>
                <w:szCs w:val="22"/>
              </w:rPr>
              <w:t>Draft National Biosafety Framework (UNEP-GEF)</w:t>
            </w:r>
          </w:p>
        </w:tc>
      </w:tr>
      <w:tr w:rsidR="0096262B" w:rsidRPr="00B17ECB" w14:paraId="13660BC5" w14:textId="5B826476" w:rsidTr="00506730">
        <w:tc>
          <w:tcPr>
            <w:tcW w:w="515" w:type="dxa"/>
          </w:tcPr>
          <w:p w14:paraId="05B5CEC5" w14:textId="169C5407" w:rsidR="00BC4158" w:rsidRPr="00B17ECB" w:rsidRDefault="005011F6" w:rsidP="00506730">
            <w:pPr>
              <w:suppressLineNumbers/>
              <w:suppressAutoHyphens/>
              <w:spacing w:before="60" w:after="60"/>
              <w:ind w:left="22"/>
              <w:jc w:val="center"/>
              <w:rPr>
                <w:iCs/>
                <w:kern w:val="22"/>
                <w:szCs w:val="22"/>
              </w:rPr>
            </w:pPr>
            <w:r w:rsidRPr="00B17ECB">
              <w:rPr>
                <w:iCs/>
                <w:kern w:val="22"/>
                <w:szCs w:val="22"/>
              </w:rPr>
              <w:t>8</w:t>
            </w:r>
          </w:p>
        </w:tc>
        <w:tc>
          <w:tcPr>
            <w:tcW w:w="2315" w:type="dxa"/>
          </w:tcPr>
          <w:p w14:paraId="2ACA19D5" w14:textId="77777777" w:rsidR="00BC4158" w:rsidRPr="00B17ECB" w:rsidRDefault="00BC4158" w:rsidP="00506730">
            <w:pPr>
              <w:suppressLineNumbers/>
              <w:suppressAutoHyphens/>
              <w:spacing w:before="60" w:after="60"/>
              <w:jc w:val="left"/>
              <w:rPr>
                <w:iCs/>
                <w:kern w:val="22"/>
                <w:szCs w:val="22"/>
              </w:rPr>
            </w:pPr>
            <w:r w:rsidRPr="00B17ECB">
              <w:rPr>
                <w:iCs/>
                <w:kern w:val="22"/>
                <w:szCs w:val="22"/>
              </w:rPr>
              <w:t>Myanmar</w:t>
            </w:r>
          </w:p>
        </w:tc>
        <w:tc>
          <w:tcPr>
            <w:tcW w:w="2614" w:type="dxa"/>
          </w:tcPr>
          <w:p w14:paraId="25309024" w14:textId="06505BC6" w:rsidR="00BC4158" w:rsidRPr="00B17ECB" w:rsidRDefault="005011F6" w:rsidP="00506730">
            <w:pPr>
              <w:suppressLineNumbers/>
              <w:suppressAutoHyphens/>
              <w:spacing w:before="60" w:after="60"/>
              <w:jc w:val="left"/>
              <w:rPr>
                <w:iCs/>
                <w:kern w:val="22"/>
                <w:szCs w:val="22"/>
              </w:rPr>
            </w:pPr>
            <w:r w:rsidRPr="00B17ECB">
              <w:rPr>
                <w:iCs/>
                <w:kern w:val="22"/>
              </w:rPr>
              <w:t>Temporary</w:t>
            </w:r>
            <w:r w:rsidRPr="00B17ECB">
              <w:rPr>
                <w:iCs/>
              </w:rPr>
              <w:t xml:space="preserve"> </w:t>
            </w:r>
            <w:r w:rsidR="00196CA9" w:rsidRPr="00B17ECB">
              <w:rPr>
                <w:iCs/>
              </w:rPr>
              <w:t>measures</w:t>
            </w:r>
            <w:r w:rsidR="00D679FE" w:rsidRPr="00B17ECB">
              <w:rPr>
                <w:rStyle w:val="FootnoteReference"/>
                <w:iCs/>
                <w:kern w:val="22"/>
              </w:rPr>
              <w:footnoteReference w:id="29"/>
            </w:r>
          </w:p>
        </w:tc>
        <w:tc>
          <w:tcPr>
            <w:tcW w:w="2395" w:type="dxa"/>
          </w:tcPr>
          <w:p w14:paraId="264DD80C" w14:textId="04BD9153" w:rsidR="00BC4158" w:rsidRPr="00B17ECB" w:rsidRDefault="005011F6" w:rsidP="00506730">
            <w:pPr>
              <w:suppressLineNumbers/>
              <w:suppressAutoHyphens/>
              <w:spacing w:before="60" w:after="60"/>
              <w:jc w:val="left"/>
              <w:rPr>
                <w:iCs/>
                <w:kern w:val="22"/>
                <w:szCs w:val="22"/>
              </w:rPr>
            </w:pPr>
            <w:r w:rsidRPr="00B17ECB">
              <w:rPr>
                <w:iCs/>
                <w:kern w:val="22"/>
                <w:szCs w:val="22"/>
              </w:rPr>
              <w:t xml:space="preserve">Temporary </w:t>
            </w:r>
            <w:r w:rsidR="00196CA9" w:rsidRPr="00B17ECB">
              <w:rPr>
                <w:iCs/>
                <w:kern w:val="22"/>
                <w:szCs w:val="22"/>
              </w:rPr>
              <w:t>measures</w:t>
            </w:r>
          </w:p>
        </w:tc>
        <w:tc>
          <w:tcPr>
            <w:tcW w:w="5764" w:type="dxa"/>
          </w:tcPr>
          <w:p w14:paraId="722B7C8A" w14:textId="363F2ED8" w:rsidR="00F1388C" w:rsidRPr="00B17ECB" w:rsidRDefault="00CC535F" w:rsidP="00506730">
            <w:pPr>
              <w:suppressLineNumbers/>
              <w:suppressAutoHyphens/>
              <w:spacing w:before="60" w:after="60"/>
              <w:jc w:val="left"/>
              <w:rPr>
                <w:iCs/>
                <w:kern w:val="22"/>
                <w:szCs w:val="22"/>
              </w:rPr>
            </w:pPr>
            <w:r w:rsidRPr="00B17ECB">
              <w:rPr>
                <w:iCs/>
                <w:kern w:val="22"/>
                <w:szCs w:val="22"/>
              </w:rPr>
              <w:t>Draft National Biosafety Framework (UNEP-GEF)</w:t>
            </w:r>
          </w:p>
        </w:tc>
      </w:tr>
      <w:tr w:rsidR="0096262B" w:rsidRPr="00B17ECB" w14:paraId="562A8690" w14:textId="2989E3D2" w:rsidTr="00506730">
        <w:tc>
          <w:tcPr>
            <w:tcW w:w="515" w:type="dxa"/>
          </w:tcPr>
          <w:p w14:paraId="4CDE3C03" w14:textId="53DD7C7E" w:rsidR="00BC4158" w:rsidRPr="00B17ECB" w:rsidRDefault="005011F6" w:rsidP="00506730">
            <w:pPr>
              <w:suppressLineNumbers/>
              <w:suppressAutoHyphens/>
              <w:spacing w:before="60" w:after="60"/>
              <w:ind w:left="22"/>
              <w:jc w:val="center"/>
              <w:rPr>
                <w:iCs/>
                <w:kern w:val="22"/>
                <w:szCs w:val="22"/>
              </w:rPr>
            </w:pPr>
            <w:r w:rsidRPr="00B17ECB">
              <w:rPr>
                <w:iCs/>
                <w:kern w:val="22"/>
                <w:szCs w:val="22"/>
              </w:rPr>
              <w:t>9</w:t>
            </w:r>
          </w:p>
        </w:tc>
        <w:tc>
          <w:tcPr>
            <w:tcW w:w="2315" w:type="dxa"/>
          </w:tcPr>
          <w:p w14:paraId="04B128D1" w14:textId="77777777" w:rsidR="00BC4158" w:rsidRPr="00B17ECB" w:rsidRDefault="00BC4158" w:rsidP="00506730">
            <w:pPr>
              <w:suppressLineNumbers/>
              <w:suppressAutoHyphens/>
              <w:spacing w:before="60" w:after="60"/>
              <w:jc w:val="left"/>
              <w:rPr>
                <w:iCs/>
                <w:kern w:val="22"/>
                <w:szCs w:val="22"/>
              </w:rPr>
            </w:pPr>
            <w:r w:rsidRPr="00B17ECB">
              <w:rPr>
                <w:iCs/>
                <w:kern w:val="22"/>
                <w:szCs w:val="22"/>
              </w:rPr>
              <w:t>Somalia</w:t>
            </w:r>
          </w:p>
        </w:tc>
        <w:tc>
          <w:tcPr>
            <w:tcW w:w="2614" w:type="dxa"/>
          </w:tcPr>
          <w:p w14:paraId="14B9E22D" w14:textId="6C9106A6" w:rsidR="00BC4158" w:rsidRPr="00B17ECB" w:rsidRDefault="005011F6" w:rsidP="00506730">
            <w:pPr>
              <w:suppressLineNumbers/>
              <w:suppressAutoHyphens/>
              <w:spacing w:before="60" w:after="60"/>
              <w:jc w:val="left"/>
              <w:rPr>
                <w:iCs/>
                <w:kern w:val="22"/>
                <w:szCs w:val="22"/>
              </w:rPr>
            </w:pPr>
            <w:r w:rsidRPr="00B17ECB">
              <w:rPr>
                <w:iCs/>
                <w:kern w:val="22"/>
                <w:szCs w:val="22"/>
              </w:rPr>
              <w:t xml:space="preserve">Measures </w:t>
            </w:r>
            <w:r w:rsidR="00EF694C" w:rsidRPr="00B17ECB">
              <w:rPr>
                <w:iCs/>
                <w:kern w:val="22"/>
                <w:szCs w:val="22"/>
              </w:rPr>
              <w:t>fully</w:t>
            </w:r>
            <w:r w:rsidR="00271415" w:rsidRPr="00B17ECB">
              <w:rPr>
                <w:iCs/>
                <w:kern w:val="22"/>
                <w:szCs w:val="22"/>
              </w:rPr>
              <w:t xml:space="preserve"> in place</w:t>
            </w:r>
          </w:p>
        </w:tc>
        <w:tc>
          <w:tcPr>
            <w:tcW w:w="2395" w:type="dxa"/>
          </w:tcPr>
          <w:p w14:paraId="1B7798B8" w14:textId="23D92020" w:rsidR="00BC4158" w:rsidRPr="00B17ECB" w:rsidRDefault="005011F6" w:rsidP="00506730">
            <w:pPr>
              <w:suppressLineNumbers/>
              <w:suppressAutoHyphens/>
              <w:spacing w:before="60" w:after="60"/>
              <w:jc w:val="left"/>
              <w:rPr>
                <w:iCs/>
                <w:kern w:val="22"/>
                <w:szCs w:val="22"/>
              </w:rPr>
            </w:pPr>
            <w:r w:rsidRPr="00B17ECB">
              <w:rPr>
                <w:iCs/>
                <w:kern w:val="22"/>
                <w:szCs w:val="22"/>
              </w:rPr>
              <w:t xml:space="preserve">No </w:t>
            </w:r>
            <w:r w:rsidR="00BC4158" w:rsidRPr="00B17ECB">
              <w:rPr>
                <w:iCs/>
                <w:kern w:val="22"/>
                <w:szCs w:val="22"/>
              </w:rPr>
              <w:t>measures</w:t>
            </w:r>
          </w:p>
        </w:tc>
        <w:tc>
          <w:tcPr>
            <w:tcW w:w="5764" w:type="dxa"/>
          </w:tcPr>
          <w:p w14:paraId="2E7D234F" w14:textId="14DB4D7B" w:rsidR="00F1388C" w:rsidRPr="00B17ECB" w:rsidRDefault="00CC535F" w:rsidP="00506730">
            <w:pPr>
              <w:suppressLineNumbers/>
              <w:suppressAutoHyphens/>
              <w:spacing w:before="60" w:after="60"/>
              <w:jc w:val="left"/>
              <w:rPr>
                <w:iCs/>
                <w:kern w:val="22"/>
                <w:szCs w:val="22"/>
              </w:rPr>
            </w:pPr>
            <w:r w:rsidRPr="00B17ECB">
              <w:rPr>
                <w:iCs/>
                <w:kern w:val="22"/>
                <w:szCs w:val="22"/>
              </w:rPr>
              <w:t>No measures published in the BCH</w:t>
            </w:r>
          </w:p>
        </w:tc>
      </w:tr>
    </w:tbl>
    <w:p w14:paraId="6B5FCD7E" w14:textId="77777777" w:rsidR="00B906A6" w:rsidRPr="00B17ECB" w:rsidRDefault="00B906A6" w:rsidP="00E62F8A">
      <w:pPr>
        <w:pStyle w:val="Para10"/>
        <w:numPr>
          <w:ilvl w:val="0"/>
          <w:numId w:val="0"/>
        </w:numPr>
        <w:ind w:left="567"/>
        <w:jc w:val="left"/>
        <w:rPr>
          <w:rFonts w:ascii="Times New Roman Bold" w:eastAsiaTheme="majorEastAsia" w:hAnsi="Times New Roman Bold"/>
          <w:b/>
          <w:bCs/>
          <w:spacing w:val="5"/>
          <w:kern w:val="28"/>
          <w:sz w:val="28"/>
          <w:szCs w:val="28"/>
          <w:lang w:val="en-GB"/>
          <w14:ligatures w14:val="standardContextual"/>
        </w:rPr>
      </w:pPr>
    </w:p>
    <w:p w14:paraId="795FFAD8" w14:textId="77777777" w:rsidR="00052F29" w:rsidRPr="00B17ECB" w:rsidRDefault="00052F29" w:rsidP="00E62F8A">
      <w:pPr>
        <w:pStyle w:val="Para10"/>
        <w:numPr>
          <w:ilvl w:val="0"/>
          <w:numId w:val="0"/>
        </w:numPr>
        <w:ind w:left="567"/>
        <w:jc w:val="left"/>
        <w:rPr>
          <w:rFonts w:ascii="Times New Roman Bold" w:eastAsiaTheme="majorEastAsia" w:hAnsi="Times New Roman Bold"/>
          <w:b/>
          <w:bCs/>
          <w:spacing w:val="5"/>
          <w:kern w:val="28"/>
          <w:sz w:val="28"/>
          <w:szCs w:val="28"/>
          <w:lang w:val="en-GB"/>
          <w14:ligatures w14:val="standardContextual"/>
        </w:rPr>
        <w:sectPr w:rsidR="00052F29" w:rsidRPr="00B17ECB" w:rsidSect="009B2B3A">
          <w:footnotePr>
            <w:numRestart w:val="eachSect"/>
          </w:footnotePr>
          <w:type w:val="continuous"/>
          <w:pgSz w:w="15840" w:h="12240" w:orient="landscape"/>
          <w:pgMar w:top="1440" w:right="1134" w:bottom="1440" w:left="1134" w:header="709" w:footer="709" w:gutter="0"/>
          <w:cols w:space="708"/>
          <w:docGrid w:linePitch="360"/>
        </w:sectPr>
      </w:pPr>
    </w:p>
    <w:p w14:paraId="37493066" w14:textId="77777777" w:rsidR="0044227C" w:rsidRPr="00B17ECB" w:rsidRDefault="00052F29" w:rsidP="00052F29">
      <w:pPr>
        <w:pStyle w:val="Para10"/>
        <w:numPr>
          <w:ilvl w:val="0"/>
          <w:numId w:val="0"/>
        </w:numPr>
        <w:ind w:left="567"/>
        <w:jc w:val="left"/>
        <w:rPr>
          <w:b/>
          <w:bCs/>
          <w:sz w:val="28"/>
          <w:szCs w:val="28"/>
        </w:rPr>
        <w:sectPr w:rsidR="0044227C" w:rsidRPr="00B17ECB" w:rsidSect="002B559C">
          <w:pgSz w:w="12240" w:h="15840"/>
          <w:pgMar w:top="1134" w:right="1440" w:bottom="1134" w:left="1440" w:header="709" w:footer="709" w:gutter="0"/>
          <w:cols w:space="708"/>
          <w:docGrid w:linePitch="360"/>
        </w:sectPr>
      </w:pPr>
      <w:r w:rsidRPr="00B17ECB">
        <w:rPr>
          <w:b/>
          <w:bCs/>
          <w:sz w:val="28"/>
          <w:szCs w:val="28"/>
        </w:rPr>
        <w:lastRenderedPageBreak/>
        <w:t>Annex III</w:t>
      </w:r>
    </w:p>
    <w:p w14:paraId="0D9AE182" w14:textId="68B8BDA4" w:rsidR="00494266" w:rsidRPr="00B17ECB" w:rsidRDefault="00052F29" w:rsidP="00DF1B57">
      <w:pPr>
        <w:pStyle w:val="Para10"/>
        <w:numPr>
          <w:ilvl w:val="0"/>
          <w:numId w:val="0"/>
        </w:numPr>
        <w:ind w:left="567"/>
        <w:jc w:val="left"/>
        <w:rPr>
          <w:rFonts w:ascii="Times New Roman Bold" w:eastAsiaTheme="majorEastAsia" w:hAnsi="Times New Roman Bold"/>
          <w:b/>
          <w:bCs/>
          <w:spacing w:val="5"/>
          <w:kern w:val="28"/>
          <w:szCs w:val="22"/>
          <w:lang w:val="en-GB"/>
          <w14:ligatures w14:val="standardContextual"/>
        </w:rPr>
      </w:pPr>
      <w:r w:rsidRPr="00B17ECB">
        <w:rPr>
          <w:rFonts w:ascii="Times New Roman Bold" w:eastAsiaTheme="majorEastAsia" w:hAnsi="Times New Roman Bold"/>
          <w:b/>
          <w:bCs/>
          <w:spacing w:val="5"/>
          <w:kern w:val="28"/>
          <w:sz w:val="28"/>
          <w:szCs w:val="28"/>
          <w:lang w:val="en-GB"/>
          <w14:ligatures w14:val="standardContextual"/>
        </w:rPr>
        <w:t xml:space="preserve">Summary of responses </w:t>
      </w:r>
      <w:r w:rsidR="00494266" w:rsidRPr="00B17ECB">
        <w:rPr>
          <w:rFonts w:ascii="Times New Roman Bold" w:eastAsiaTheme="majorEastAsia" w:hAnsi="Times New Roman Bold"/>
          <w:b/>
          <w:bCs/>
          <w:spacing w:val="5"/>
          <w:kern w:val="28"/>
          <w:sz w:val="28"/>
          <w:szCs w:val="28"/>
          <w:lang w:val="en-GB"/>
          <w14:ligatures w14:val="standardContextual"/>
        </w:rPr>
        <w:t xml:space="preserve">to questions related to compliance action plans in the survey on compliance </w:t>
      </w:r>
      <w:proofErr w:type="gramStart"/>
      <w:r w:rsidR="00494266" w:rsidRPr="00B17ECB">
        <w:rPr>
          <w:rFonts w:ascii="Times New Roman Bold" w:eastAsiaTheme="majorEastAsia" w:hAnsi="Times New Roman Bold"/>
          <w:b/>
          <w:bCs/>
          <w:spacing w:val="5"/>
          <w:kern w:val="28"/>
          <w:sz w:val="28"/>
          <w:szCs w:val="28"/>
          <w:lang w:val="en-GB"/>
          <w14:ligatures w14:val="standardContextual"/>
        </w:rPr>
        <w:t>challenges</w:t>
      </w:r>
      <w:proofErr w:type="gramEnd"/>
      <w:r w:rsidR="00494266" w:rsidRPr="00B17ECB">
        <w:rPr>
          <w:rFonts w:ascii="Times New Roman Bold" w:eastAsiaTheme="majorEastAsia" w:hAnsi="Times New Roman Bold"/>
          <w:b/>
          <w:bCs/>
          <w:spacing w:val="5"/>
          <w:kern w:val="28"/>
          <w:sz w:val="28"/>
          <w:szCs w:val="28"/>
          <w:lang w:val="en-GB"/>
          <w14:ligatures w14:val="standardContextual"/>
        </w:rPr>
        <w:t xml:space="preserve"> </w:t>
      </w:r>
    </w:p>
    <w:p w14:paraId="38FAB022" w14:textId="1FC1E6FE" w:rsidR="000C21A2" w:rsidRPr="00B17ECB" w:rsidRDefault="00B94C35" w:rsidP="00506730">
      <w:pPr>
        <w:pStyle w:val="Para1"/>
        <w:numPr>
          <w:ilvl w:val="0"/>
          <w:numId w:val="8"/>
        </w:numPr>
        <w:suppressLineNumbers/>
        <w:tabs>
          <w:tab w:val="clear" w:pos="644"/>
          <w:tab w:val="left" w:pos="1134"/>
        </w:tabs>
        <w:suppressAutoHyphens/>
        <w:spacing w:line="238" w:lineRule="auto"/>
        <w:ind w:left="567"/>
        <w:jc w:val="both"/>
        <w:rPr>
          <w:kern w:val="22"/>
          <w:sz w:val="22"/>
          <w:szCs w:val="22"/>
        </w:rPr>
      </w:pPr>
      <w:r w:rsidRPr="00B17ECB">
        <w:rPr>
          <w:kern w:val="22"/>
          <w:sz w:val="22"/>
          <w:szCs w:val="22"/>
        </w:rPr>
        <w:t xml:space="preserve">Of the </w:t>
      </w:r>
      <w:r w:rsidR="0044227C" w:rsidRPr="00B17ECB">
        <w:rPr>
          <w:kern w:val="22"/>
          <w:sz w:val="22"/>
          <w:szCs w:val="22"/>
        </w:rPr>
        <w:t>25</w:t>
      </w:r>
      <w:r w:rsidRPr="00B17ECB">
        <w:rPr>
          <w:kern w:val="22"/>
          <w:sz w:val="22"/>
          <w:szCs w:val="22"/>
        </w:rPr>
        <w:t xml:space="preserve"> Parties that had been requested to prepare a compliance action plan, </w:t>
      </w:r>
      <w:r w:rsidR="0044227C" w:rsidRPr="00B17ECB">
        <w:rPr>
          <w:kern w:val="22"/>
          <w:sz w:val="22"/>
          <w:szCs w:val="22"/>
        </w:rPr>
        <w:t xml:space="preserve">10 </w:t>
      </w:r>
      <w:r w:rsidRPr="00B17ECB">
        <w:rPr>
          <w:kern w:val="22"/>
          <w:sz w:val="22"/>
          <w:szCs w:val="22"/>
        </w:rPr>
        <w:t>responded to the survey on compliance challenges developed further to decision CP-10/2.</w:t>
      </w:r>
      <w:r w:rsidRPr="00B17ECB">
        <w:rPr>
          <w:kern w:val="22"/>
          <w:sz w:val="22"/>
          <w:szCs w:val="22"/>
          <w:vertAlign w:val="superscript"/>
        </w:rPr>
        <w:footnoteReference w:id="30"/>
      </w:r>
      <w:r w:rsidRPr="00B17ECB">
        <w:rPr>
          <w:kern w:val="22"/>
          <w:sz w:val="22"/>
          <w:szCs w:val="22"/>
          <w:vertAlign w:val="superscript"/>
        </w:rPr>
        <w:t xml:space="preserve"> </w:t>
      </w:r>
      <w:r w:rsidR="000C21A2" w:rsidRPr="00B17ECB">
        <w:rPr>
          <w:kern w:val="22"/>
          <w:sz w:val="22"/>
          <w:szCs w:val="22"/>
        </w:rPr>
        <w:t xml:space="preserve">The </w:t>
      </w:r>
      <w:r w:rsidR="00592F4B" w:rsidRPr="00B17ECB">
        <w:rPr>
          <w:kern w:val="22"/>
          <w:sz w:val="22"/>
          <w:szCs w:val="22"/>
        </w:rPr>
        <w:t xml:space="preserve">questions included in the survey to solicit information concerning the development of the compliance action plan are presented </w:t>
      </w:r>
      <w:r w:rsidR="00D9694B" w:rsidRPr="00B17ECB">
        <w:rPr>
          <w:kern w:val="22"/>
          <w:sz w:val="22"/>
          <w:szCs w:val="22"/>
        </w:rPr>
        <w:t>at the end of th</w:t>
      </w:r>
      <w:r w:rsidR="0044227C" w:rsidRPr="00B17ECB">
        <w:rPr>
          <w:kern w:val="22"/>
          <w:sz w:val="22"/>
          <w:szCs w:val="22"/>
        </w:rPr>
        <w:t>e present</w:t>
      </w:r>
      <w:r w:rsidR="00D9694B" w:rsidRPr="00B17ECB">
        <w:rPr>
          <w:kern w:val="22"/>
          <w:sz w:val="22"/>
          <w:szCs w:val="22"/>
        </w:rPr>
        <w:t xml:space="preserve"> annex</w:t>
      </w:r>
      <w:r w:rsidR="00592F4B" w:rsidRPr="00B17ECB">
        <w:rPr>
          <w:kern w:val="22"/>
          <w:sz w:val="22"/>
          <w:szCs w:val="22"/>
        </w:rPr>
        <w:t>.</w:t>
      </w:r>
    </w:p>
    <w:p w14:paraId="503BAB42" w14:textId="691A33C9" w:rsidR="00B94C35" w:rsidRPr="00B17ECB" w:rsidRDefault="00B94C35" w:rsidP="00506730">
      <w:pPr>
        <w:pStyle w:val="Para1"/>
        <w:numPr>
          <w:ilvl w:val="0"/>
          <w:numId w:val="8"/>
        </w:numPr>
        <w:suppressLineNumbers/>
        <w:tabs>
          <w:tab w:val="clear" w:pos="644"/>
          <w:tab w:val="left" w:pos="1134"/>
        </w:tabs>
        <w:suppressAutoHyphens/>
        <w:spacing w:line="238" w:lineRule="auto"/>
        <w:ind w:left="567"/>
        <w:jc w:val="both"/>
        <w:rPr>
          <w:kern w:val="22"/>
          <w:sz w:val="22"/>
          <w:szCs w:val="22"/>
        </w:rPr>
      </w:pPr>
      <w:r w:rsidRPr="00B17ECB">
        <w:rPr>
          <w:kern w:val="22"/>
          <w:sz w:val="22"/>
          <w:szCs w:val="22"/>
        </w:rPr>
        <w:t>Four</w:t>
      </w:r>
      <w:r w:rsidRPr="00B17ECB">
        <w:rPr>
          <w:kern w:val="22"/>
          <w:sz w:val="22"/>
          <w:szCs w:val="22"/>
          <w:vertAlign w:val="superscript"/>
        </w:rPr>
        <w:footnoteReference w:id="31"/>
      </w:r>
      <w:r w:rsidRPr="00B17ECB">
        <w:rPr>
          <w:kern w:val="22"/>
          <w:sz w:val="22"/>
          <w:szCs w:val="22"/>
          <w:vertAlign w:val="superscript"/>
        </w:rPr>
        <w:t xml:space="preserve"> </w:t>
      </w:r>
      <w:r w:rsidRPr="00B17ECB">
        <w:rPr>
          <w:kern w:val="22"/>
          <w:sz w:val="22"/>
          <w:szCs w:val="22"/>
        </w:rPr>
        <w:t>of these Parties responded that their country had submitted a compliance action plan, while six Parties</w:t>
      </w:r>
      <w:r w:rsidRPr="00B17ECB">
        <w:rPr>
          <w:kern w:val="22"/>
          <w:sz w:val="22"/>
          <w:szCs w:val="22"/>
          <w:vertAlign w:val="superscript"/>
        </w:rPr>
        <w:footnoteReference w:id="32"/>
      </w:r>
      <w:r w:rsidRPr="00B17ECB">
        <w:rPr>
          <w:kern w:val="22"/>
          <w:sz w:val="22"/>
          <w:szCs w:val="22"/>
          <w:vertAlign w:val="superscript"/>
        </w:rPr>
        <w:t xml:space="preserve"> </w:t>
      </w:r>
      <w:r w:rsidRPr="00B17ECB">
        <w:rPr>
          <w:kern w:val="22"/>
          <w:sz w:val="22"/>
          <w:szCs w:val="22"/>
        </w:rPr>
        <w:t xml:space="preserve">responded that they had not submitted a compliance action plan. It is to be noted that these responses </w:t>
      </w:r>
      <w:r w:rsidR="00A17D56" w:rsidRPr="00B17ECB">
        <w:rPr>
          <w:kern w:val="22"/>
          <w:sz w:val="22"/>
          <w:szCs w:val="22"/>
        </w:rPr>
        <w:t xml:space="preserve">are </w:t>
      </w:r>
      <w:r w:rsidR="00376048" w:rsidRPr="00B17ECB">
        <w:rPr>
          <w:kern w:val="22"/>
          <w:sz w:val="22"/>
          <w:szCs w:val="22"/>
        </w:rPr>
        <w:t xml:space="preserve">to some extent </w:t>
      </w:r>
      <w:r w:rsidR="00A17D56" w:rsidRPr="00B17ECB">
        <w:rPr>
          <w:kern w:val="22"/>
          <w:sz w:val="22"/>
          <w:szCs w:val="22"/>
        </w:rPr>
        <w:t>inconsistent with the records kept by the Secretariat in this regard.</w:t>
      </w:r>
      <w:r w:rsidRPr="00B17ECB">
        <w:rPr>
          <w:kern w:val="22"/>
          <w:sz w:val="22"/>
          <w:szCs w:val="22"/>
          <w:vertAlign w:val="superscript"/>
        </w:rPr>
        <w:footnoteReference w:id="33"/>
      </w:r>
      <w:r w:rsidRPr="00B17ECB">
        <w:rPr>
          <w:kern w:val="22"/>
          <w:sz w:val="22"/>
          <w:szCs w:val="22"/>
        </w:rPr>
        <w:t xml:space="preserve"> </w:t>
      </w:r>
    </w:p>
    <w:p w14:paraId="1C25EA4E" w14:textId="1A4A5BF1" w:rsidR="00B94C35" w:rsidRPr="00B17ECB" w:rsidRDefault="000C01C5" w:rsidP="00506730">
      <w:pPr>
        <w:pStyle w:val="Para1"/>
        <w:numPr>
          <w:ilvl w:val="0"/>
          <w:numId w:val="8"/>
        </w:numPr>
        <w:suppressLineNumbers/>
        <w:tabs>
          <w:tab w:val="clear" w:pos="644"/>
          <w:tab w:val="left" w:pos="1134"/>
        </w:tabs>
        <w:suppressAutoHyphens/>
        <w:spacing w:line="238" w:lineRule="auto"/>
        <w:ind w:left="567"/>
        <w:jc w:val="both"/>
        <w:rPr>
          <w:kern w:val="22"/>
          <w:sz w:val="22"/>
          <w:szCs w:val="22"/>
        </w:rPr>
      </w:pPr>
      <w:r w:rsidRPr="00B17ECB">
        <w:rPr>
          <w:kern w:val="22"/>
          <w:sz w:val="22"/>
          <w:szCs w:val="22"/>
        </w:rPr>
        <w:t>T</w:t>
      </w:r>
      <w:r w:rsidR="00B94C35" w:rsidRPr="00B17ECB">
        <w:rPr>
          <w:kern w:val="22"/>
          <w:sz w:val="22"/>
          <w:szCs w:val="22"/>
        </w:rPr>
        <w:t>he</w:t>
      </w:r>
      <w:r w:rsidR="00B94C35" w:rsidRPr="00B17ECB" w:rsidDel="000C01C5">
        <w:rPr>
          <w:kern w:val="22"/>
          <w:sz w:val="22"/>
          <w:szCs w:val="22"/>
        </w:rPr>
        <w:t xml:space="preserve"> </w:t>
      </w:r>
      <w:r w:rsidR="00B94C35" w:rsidRPr="00B17ECB">
        <w:rPr>
          <w:kern w:val="22"/>
          <w:sz w:val="22"/>
          <w:szCs w:val="22"/>
        </w:rPr>
        <w:t xml:space="preserve">respondents that replied that their country had not submitted a compliance action plan indicated that different factors had prevented their country from preparing and submitting the compliance action plan, including: lack of human resources, lack of capacities, absence of a legal framework, lack of financial resources and internal conflicts. </w:t>
      </w:r>
    </w:p>
    <w:p w14:paraId="759A7851" w14:textId="518180A3" w:rsidR="00B94C35" w:rsidRPr="00B17ECB" w:rsidRDefault="00B94C35" w:rsidP="00506730">
      <w:pPr>
        <w:pStyle w:val="Para1"/>
        <w:numPr>
          <w:ilvl w:val="0"/>
          <w:numId w:val="8"/>
        </w:numPr>
        <w:suppressLineNumbers/>
        <w:tabs>
          <w:tab w:val="clear" w:pos="644"/>
          <w:tab w:val="left" w:pos="1134"/>
        </w:tabs>
        <w:suppressAutoHyphens/>
        <w:spacing w:line="238" w:lineRule="auto"/>
        <w:ind w:left="567"/>
        <w:jc w:val="both"/>
        <w:rPr>
          <w:kern w:val="22"/>
          <w:sz w:val="22"/>
          <w:szCs w:val="22"/>
        </w:rPr>
      </w:pPr>
      <w:r w:rsidRPr="00B17ECB">
        <w:rPr>
          <w:kern w:val="22"/>
          <w:sz w:val="22"/>
          <w:szCs w:val="22"/>
        </w:rPr>
        <w:t xml:space="preserve">Of the </w:t>
      </w:r>
      <w:r w:rsidR="001E11F6" w:rsidRPr="00B17ECB">
        <w:rPr>
          <w:kern w:val="22"/>
          <w:sz w:val="22"/>
          <w:szCs w:val="22"/>
        </w:rPr>
        <w:t>two</w:t>
      </w:r>
      <w:r w:rsidRPr="00B17ECB" w:rsidDel="002F6196">
        <w:rPr>
          <w:kern w:val="22"/>
          <w:sz w:val="22"/>
          <w:szCs w:val="22"/>
        </w:rPr>
        <w:t xml:space="preserve"> </w:t>
      </w:r>
      <w:r w:rsidRPr="00B17ECB">
        <w:rPr>
          <w:kern w:val="22"/>
          <w:sz w:val="22"/>
          <w:szCs w:val="22"/>
        </w:rPr>
        <w:t>respondents that indicated that their country had submitted a compliance action plan</w:t>
      </w:r>
      <w:r w:rsidR="00FF3374" w:rsidRPr="00B17ECB">
        <w:rPr>
          <w:kern w:val="22"/>
          <w:sz w:val="22"/>
          <w:szCs w:val="22"/>
        </w:rPr>
        <w:t xml:space="preserve"> and whose compliance action plan has been received</w:t>
      </w:r>
      <w:r w:rsidRPr="00B17ECB">
        <w:rPr>
          <w:kern w:val="22"/>
          <w:sz w:val="22"/>
          <w:szCs w:val="22"/>
        </w:rPr>
        <w:t xml:space="preserve">, </w:t>
      </w:r>
      <w:r w:rsidRPr="00B17ECB" w:rsidDel="005B61EA">
        <w:rPr>
          <w:kern w:val="22"/>
          <w:sz w:val="22"/>
          <w:szCs w:val="22"/>
        </w:rPr>
        <w:t>one</w:t>
      </w:r>
      <w:r w:rsidRPr="00B17ECB">
        <w:rPr>
          <w:kern w:val="22"/>
          <w:sz w:val="22"/>
          <w:szCs w:val="22"/>
          <w:vertAlign w:val="superscript"/>
        </w:rPr>
        <w:footnoteReference w:id="34"/>
      </w:r>
      <w:r w:rsidRPr="00B17ECB">
        <w:rPr>
          <w:kern w:val="22"/>
          <w:sz w:val="22"/>
          <w:szCs w:val="22"/>
        </w:rPr>
        <w:t xml:space="preserve"> indicated that the compliance action plan had not contributed to achieving compliance</w:t>
      </w:r>
      <w:r w:rsidR="00F320D2" w:rsidRPr="00B17ECB">
        <w:rPr>
          <w:kern w:val="22"/>
          <w:sz w:val="22"/>
          <w:szCs w:val="22"/>
        </w:rPr>
        <w:t xml:space="preserve"> as the activities set out in the plan had not yet been carried out.</w:t>
      </w:r>
    </w:p>
    <w:p w14:paraId="4206AE4B" w14:textId="6F48D1C6" w:rsidR="00B94C35" w:rsidRPr="00B17ECB" w:rsidRDefault="001E11F6" w:rsidP="00506730">
      <w:pPr>
        <w:pStyle w:val="Para1"/>
        <w:numPr>
          <w:ilvl w:val="0"/>
          <w:numId w:val="8"/>
        </w:numPr>
        <w:suppressLineNumbers/>
        <w:tabs>
          <w:tab w:val="clear" w:pos="644"/>
          <w:tab w:val="left" w:pos="1134"/>
        </w:tabs>
        <w:suppressAutoHyphens/>
        <w:spacing w:line="238" w:lineRule="auto"/>
        <w:ind w:left="567"/>
        <w:jc w:val="both"/>
        <w:rPr>
          <w:kern w:val="22"/>
          <w:sz w:val="22"/>
          <w:szCs w:val="22"/>
        </w:rPr>
      </w:pPr>
      <w:r w:rsidRPr="00B17ECB">
        <w:rPr>
          <w:kern w:val="22"/>
          <w:sz w:val="22"/>
          <w:szCs w:val="22"/>
        </w:rPr>
        <w:t>The other</w:t>
      </w:r>
      <w:r w:rsidR="00B94C35" w:rsidRPr="00B17ECB">
        <w:rPr>
          <w:kern w:val="22"/>
          <w:sz w:val="22"/>
          <w:szCs w:val="22"/>
          <w:vertAlign w:val="superscript"/>
        </w:rPr>
        <w:footnoteReference w:id="35"/>
      </w:r>
      <w:r w:rsidR="00B94C35" w:rsidRPr="00B17ECB">
        <w:rPr>
          <w:kern w:val="22"/>
          <w:sz w:val="22"/>
          <w:szCs w:val="22"/>
        </w:rPr>
        <w:t xml:space="preserve"> </w:t>
      </w:r>
      <w:r w:rsidR="00F44951" w:rsidRPr="00B17ECB">
        <w:rPr>
          <w:kern w:val="22"/>
          <w:sz w:val="22"/>
          <w:szCs w:val="22"/>
        </w:rPr>
        <w:t>respon</w:t>
      </w:r>
      <w:r w:rsidR="00942B73" w:rsidRPr="00B17ECB">
        <w:rPr>
          <w:kern w:val="22"/>
          <w:sz w:val="22"/>
          <w:szCs w:val="22"/>
        </w:rPr>
        <w:t>dent</w:t>
      </w:r>
      <w:r w:rsidR="00F44951" w:rsidRPr="00B17ECB">
        <w:rPr>
          <w:kern w:val="22"/>
          <w:sz w:val="22"/>
          <w:szCs w:val="22"/>
        </w:rPr>
        <w:t xml:space="preserve"> </w:t>
      </w:r>
      <w:r w:rsidR="00B94C35" w:rsidRPr="00B17ECB">
        <w:rPr>
          <w:kern w:val="22"/>
          <w:sz w:val="22"/>
          <w:szCs w:val="22"/>
        </w:rPr>
        <w:t>indicated that the compliance action plan had contributed to some extent to achieving compliance with the obligation to take the necessary measures to implement the Protocol.</w:t>
      </w:r>
      <w:r w:rsidR="00B94C35" w:rsidRPr="00B17ECB" w:rsidDel="00F320D2">
        <w:rPr>
          <w:kern w:val="22"/>
          <w:sz w:val="22"/>
          <w:szCs w:val="22"/>
        </w:rPr>
        <w:t xml:space="preserve"> </w:t>
      </w:r>
      <w:r w:rsidR="004922F8" w:rsidRPr="00B17ECB">
        <w:rPr>
          <w:kern w:val="22"/>
          <w:sz w:val="22"/>
          <w:szCs w:val="22"/>
        </w:rPr>
        <w:t>That</w:t>
      </w:r>
      <w:r w:rsidR="00B94C35" w:rsidRPr="00B17ECB" w:rsidDel="004922F8">
        <w:rPr>
          <w:kern w:val="22"/>
          <w:sz w:val="22"/>
          <w:szCs w:val="22"/>
        </w:rPr>
        <w:t xml:space="preserve"> </w:t>
      </w:r>
      <w:r w:rsidR="00B94C35" w:rsidRPr="00B17ECB">
        <w:rPr>
          <w:kern w:val="22"/>
          <w:sz w:val="22"/>
          <w:szCs w:val="22"/>
        </w:rPr>
        <w:t xml:space="preserve">Party specified that those activities that did not require financial resources had been carried out but that other activities were dependent on financial resources and qualified human resources and that the latter activities had not been completed. </w:t>
      </w:r>
    </w:p>
    <w:p w14:paraId="15593842" w14:textId="79439E27" w:rsidR="00B94C35" w:rsidRPr="00B17ECB" w:rsidRDefault="008C53FA" w:rsidP="00506730">
      <w:pPr>
        <w:pStyle w:val="Para1"/>
        <w:numPr>
          <w:ilvl w:val="0"/>
          <w:numId w:val="8"/>
        </w:numPr>
        <w:suppressLineNumbers/>
        <w:tabs>
          <w:tab w:val="clear" w:pos="644"/>
          <w:tab w:val="left" w:pos="1134"/>
        </w:tabs>
        <w:suppressAutoHyphens/>
        <w:spacing w:line="238" w:lineRule="auto"/>
        <w:ind w:left="567"/>
        <w:jc w:val="both"/>
        <w:rPr>
          <w:kern w:val="22"/>
          <w:sz w:val="22"/>
          <w:szCs w:val="22"/>
        </w:rPr>
      </w:pPr>
      <w:r w:rsidRPr="00B17ECB">
        <w:rPr>
          <w:kern w:val="22"/>
          <w:sz w:val="22"/>
          <w:szCs w:val="22"/>
        </w:rPr>
        <w:t>R</w:t>
      </w:r>
      <w:r w:rsidR="00B94C35" w:rsidRPr="00B17ECB">
        <w:rPr>
          <w:kern w:val="22"/>
          <w:sz w:val="22"/>
          <w:szCs w:val="22"/>
        </w:rPr>
        <w:t>espondents suggested that the Committee assist them</w:t>
      </w:r>
      <w:r w:rsidR="00AF698C" w:rsidRPr="00B17ECB">
        <w:rPr>
          <w:kern w:val="22"/>
          <w:sz w:val="22"/>
          <w:szCs w:val="22"/>
        </w:rPr>
        <w:t>,</w:t>
      </w:r>
      <w:r w:rsidR="00B94C35" w:rsidRPr="00B17ECB">
        <w:rPr>
          <w:kern w:val="22"/>
          <w:sz w:val="22"/>
          <w:szCs w:val="22"/>
        </w:rPr>
        <w:t xml:space="preserve"> including through capacity-building activities, provision of expertise, financial </w:t>
      </w:r>
      <w:proofErr w:type="gramStart"/>
      <w:r w:rsidR="00B94C35" w:rsidRPr="00B17ECB">
        <w:rPr>
          <w:kern w:val="22"/>
          <w:sz w:val="22"/>
          <w:szCs w:val="22"/>
        </w:rPr>
        <w:t>resources</w:t>
      </w:r>
      <w:proofErr w:type="gramEnd"/>
      <w:r w:rsidR="00B94C35" w:rsidRPr="00B17ECB">
        <w:rPr>
          <w:kern w:val="22"/>
          <w:sz w:val="22"/>
          <w:szCs w:val="22"/>
        </w:rPr>
        <w:t xml:space="preserve"> and support in awareness</w:t>
      </w:r>
      <w:r w:rsidR="00137B04" w:rsidRPr="00B17ECB">
        <w:rPr>
          <w:kern w:val="22"/>
          <w:sz w:val="22"/>
          <w:szCs w:val="22"/>
        </w:rPr>
        <w:t>-</w:t>
      </w:r>
      <w:r w:rsidR="00B94C35" w:rsidRPr="00B17ECB">
        <w:rPr>
          <w:kern w:val="22"/>
          <w:sz w:val="22"/>
          <w:szCs w:val="22"/>
        </w:rPr>
        <w:t xml:space="preserve">raising activities. The areas in which Parties indicated </w:t>
      </w:r>
      <w:r w:rsidR="0092638B" w:rsidRPr="00B17ECB">
        <w:rPr>
          <w:kern w:val="22"/>
          <w:sz w:val="22"/>
          <w:szCs w:val="22"/>
        </w:rPr>
        <w:t xml:space="preserve">that they </w:t>
      </w:r>
      <w:r w:rsidR="00B94C35" w:rsidRPr="00B17ECB">
        <w:rPr>
          <w:kern w:val="22"/>
          <w:sz w:val="22"/>
          <w:szCs w:val="22"/>
        </w:rPr>
        <w:t>require</w:t>
      </w:r>
      <w:r w:rsidR="0092638B" w:rsidRPr="00B17ECB">
        <w:rPr>
          <w:kern w:val="22"/>
          <w:sz w:val="22"/>
          <w:szCs w:val="22"/>
        </w:rPr>
        <w:t>d</w:t>
      </w:r>
      <w:r w:rsidR="00B94C35" w:rsidRPr="00B17ECB">
        <w:rPr>
          <w:kern w:val="22"/>
          <w:sz w:val="22"/>
          <w:szCs w:val="22"/>
        </w:rPr>
        <w:t xml:space="preserve"> assistance include</w:t>
      </w:r>
      <w:r w:rsidR="0092638B" w:rsidRPr="00B17ECB">
        <w:rPr>
          <w:kern w:val="22"/>
          <w:sz w:val="22"/>
          <w:szCs w:val="22"/>
        </w:rPr>
        <w:t>d</w:t>
      </w:r>
      <w:r w:rsidR="00B94C35" w:rsidRPr="00B17ECB">
        <w:rPr>
          <w:kern w:val="22"/>
          <w:sz w:val="22"/>
          <w:szCs w:val="22"/>
        </w:rPr>
        <w:t>: general implementation of the Protocol and compliance</w:t>
      </w:r>
      <w:r w:rsidR="006B7EDA" w:rsidRPr="00B17ECB">
        <w:rPr>
          <w:kern w:val="22"/>
          <w:sz w:val="22"/>
          <w:szCs w:val="22"/>
        </w:rPr>
        <w:t>;</w:t>
      </w:r>
      <w:r w:rsidR="00B94C35" w:rsidRPr="00B17ECB">
        <w:rPr>
          <w:kern w:val="22"/>
          <w:sz w:val="22"/>
          <w:szCs w:val="22"/>
        </w:rPr>
        <w:t xml:space="preserve"> strengthening of institutional frameworks</w:t>
      </w:r>
      <w:r w:rsidR="006B7EDA" w:rsidRPr="00B17ECB">
        <w:rPr>
          <w:kern w:val="22"/>
          <w:sz w:val="22"/>
          <w:szCs w:val="22"/>
        </w:rPr>
        <w:t>;</w:t>
      </w:r>
      <w:r w:rsidR="00B94C35" w:rsidRPr="00B17ECB">
        <w:rPr>
          <w:kern w:val="22"/>
          <w:sz w:val="22"/>
          <w:szCs w:val="22"/>
        </w:rPr>
        <w:t xml:space="preserve"> </w:t>
      </w:r>
      <w:r w:rsidR="006B7EDA" w:rsidRPr="00B17ECB">
        <w:rPr>
          <w:kern w:val="22"/>
          <w:sz w:val="22"/>
          <w:szCs w:val="22"/>
        </w:rPr>
        <w:t>and</w:t>
      </w:r>
      <w:r w:rsidR="00B94C35" w:rsidRPr="00B17ECB">
        <w:rPr>
          <w:kern w:val="22"/>
          <w:sz w:val="22"/>
          <w:szCs w:val="22"/>
        </w:rPr>
        <w:t xml:space="preserve"> some technical areas</w:t>
      </w:r>
      <w:r w:rsidR="00137B04" w:rsidRPr="00B17ECB">
        <w:rPr>
          <w:kern w:val="22"/>
          <w:sz w:val="22"/>
          <w:szCs w:val="22"/>
        </w:rPr>
        <w:t>,</w:t>
      </w:r>
      <w:r w:rsidR="00B94C35" w:rsidRPr="00B17ECB">
        <w:rPr>
          <w:kern w:val="22"/>
          <w:sz w:val="22"/>
          <w:szCs w:val="22"/>
        </w:rPr>
        <w:t xml:space="preserve"> including new technologies and socioeconomic considerations. </w:t>
      </w:r>
    </w:p>
    <w:p w14:paraId="1ACFFA9F" w14:textId="32174830" w:rsidR="00B94C35" w:rsidRPr="00B17ECB" w:rsidRDefault="00B94C35" w:rsidP="00506730">
      <w:pPr>
        <w:pStyle w:val="Para1"/>
        <w:numPr>
          <w:ilvl w:val="0"/>
          <w:numId w:val="8"/>
        </w:numPr>
        <w:suppressLineNumbers/>
        <w:tabs>
          <w:tab w:val="clear" w:pos="644"/>
          <w:tab w:val="left" w:pos="1134"/>
        </w:tabs>
        <w:suppressAutoHyphens/>
        <w:spacing w:line="238" w:lineRule="auto"/>
        <w:ind w:left="567"/>
        <w:jc w:val="both"/>
        <w:rPr>
          <w:kern w:val="22"/>
          <w:sz w:val="22"/>
          <w:szCs w:val="22"/>
        </w:rPr>
      </w:pPr>
      <w:r w:rsidRPr="00B17ECB">
        <w:rPr>
          <w:kern w:val="22"/>
          <w:sz w:val="22"/>
          <w:szCs w:val="22"/>
        </w:rPr>
        <w:t xml:space="preserve">Respondents indicated that the lack of financial resources and capacities, as well as the fragmentation of mandates among different national entities, and the lack of integration of biosafety in national policy instruments </w:t>
      </w:r>
      <w:r w:rsidR="00E711D6" w:rsidRPr="00B17ECB">
        <w:rPr>
          <w:kern w:val="22"/>
          <w:sz w:val="22"/>
          <w:szCs w:val="22"/>
        </w:rPr>
        <w:t xml:space="preserve">were </w:t>
      </w:r>
      <w:r w:rsidRPr="00B17ECB">
        <w:rPr>
          <w:kern w:val="22"/>
          <w:sz w:val="22"/>
          <w:szCs w:val="22"/>
        </w:rPr>
        <w:t>factors that hinder</w:t>
      </w:r>
      <w:r w:rsidR="00E711D6" w:rsidRPr="00B17ECB">
        <w:rPr>
          <w:kern w:val="22"/>
          <w:sz w:val="22"/>
          <w:szCs w:val="22"/>
        </w:rPr>
        <w:t>ed</w:t>
      </w:r>
      <w:r w:rsidRPr="00B17ECB">
        <w:rPr>
          <w:kern w:val="22"/>
          <w:sz w:val="22"/>
          <w:szCs w:val="22"/>
        </w:rPr>
        <w:t xml:space="preserve"> achieving compliance with the obligation to take the necessary measures to implement the Protocol. </w:t>
      </w:r>
    </w:p>
    <w:p w14:paraId="13804C9C" w14:textId="2DAD4900" w:rsidR="00592F4B" w:rsidRPr="00B17ECB" w:rsidRDefault="00E231AA" w:rsidP="00506730">
      <w:pPr>
        <w:pStyle w:val="Para1"/>
        <w:numPr>
          <w:ilvl w:val="0"/>
          <w:numId w:val="8"/>
        </w:numPr>
        <w:suppressLineNumbers/>
        <w:tabs>
          <w:tab w:val="clear" w:pos="644"/>
          <w:tab w:val="left" w:pos="1134"/>
        </w:tabs>
        <w:suppressAutoHyphens/>
        <w:spacing w:line="238" w:lineRule="auto"/>
        <w:ind w:left="567"/>
        <w:jc w:val="both"/>
        <w:rPr>
          <w:kern w:val="22"/>
          <w:sz w:val="22"/>
          <w:szCs w:val="22"/>
        </w:rPr>
      </w:pPr>
      <w:r w:rsidRPr="00B17ECB">
        <w:rPr>
          <w:kern w:val="22"/>
          <w:sz w:val="22"/>
          <w:szCs w:val="22"/>
        </w:rPr>
        <w:t>Two respondents indicated that their country had submitted a compliance action plan, although no compliance action plan ha</w:t>
      </w:r>
      <w:r w:rsidR="005A443E" w:rsidRPr="00B17ECB">
        <w:rPr>
          <w:kern w:val="22"/>
          <w:sz w:val="22"/>
          <w:szCs w:val="22"/>
        </w:rPr>
        <w:t>d</w:t>
      </w:r>
      <w:r w:rsidRPr="00B17ECB">
        <w:rPr>
          <w:kern w:val="22"/>
          <w:sz w:val="22"/>
          <w:szCs w:val="22"/>
        </w:rPr>
        <w:t xml:space="preserve"> been received. Nonetheless, </w:t>
      </w:r>
      <w:r w:rsidR="0097711B" w:rsidRPr="00B17ECB">
        <w:rPr>
          <w:kern w:val="22"/>
          <w:sz w:val="22"/>
          <w:szCs w:val="22"/>
        </w:rPr>
        <w:t>one of these respondents</w:t>
      </w:r>
      <w:r w:rsidR="005B61EA" w:rsidRPr="00B17ECB">
        <w:rPr>
          <w:kern w:val="22"/>
          <w:sz w:val="22"/>
          <w:szCs w:val="22"/>
          <w:vertAlign w:val="superscript"/>
        </w:rPr>
        <w:footnoteReference w:id="36"/>
      </w:r>
      <w:r w:rsidR="0097711B" w:rsidRPr="00B17ECB">
        <w:rPr>
          <w:kern w:val="22"/>
          <w:sz w:val="22"/>
          <w:szCs w:val="22"/>
        </w:rPr>
        <w:t xml:space="preserve"> indicated </w:t>
      </w:r>
      <w:r w:rsidR="005B61EA" w:rsidRPr="00B17ECB">
        <w:rPr>
          <w:kern w:val="22"/>
          <w:sz w:val="22"/>
          <w:szCs w:val="22"/>
        </w:rPr>
        <w:t>that the compliance action plan had contributed to achieving compliance with the obligation to take the necessary measures to implement the Protocol and that measures were now in place.</w:t>
      </w:r>
      <w:r w:rsidR="00F320D2" w:rsidRPr="00B17ECB">
        <w:rPr>
          <w:kern w:val="22"/>
          <w:sz w:val="22"/>
          <w:szCs w:val="22"/>
        </w:rPr>
        <w:t xml:space="preserve"> </w:t>
      </w:r>
      <w:r w:rsidR="006E5BC4" w:rsidRPr="00B17ECB">
        <w:rPr>
          <w:kern w:val="22"/>
          <w:sz w:val="22"/>
          <w:szCs w:val="22"/>
        </w:rPr>
        <w:t>The other</w:t>
      </w:r>
      <w:r w:rsidR="00F320D2" w:rsidRPr="00B17ECB">
        <w:rPr>
          <w:kern w:val="22"/>
          <w:sz w:val="22"/>
          <w:szCs w:val="22"/>
          <w:vertAlign w:val="superscript"/>
        </w:rPr>
        <w:footnoteReference w:id="37"/>
      </w:r>
      <w:r w:rsidR="00F320D2" w:rsidRPr="00B17ECB">
        <w:rPr>
          <w:kern w:val="22"/>
          <w:sz w:val="22"/>
          <w:szCs w:val="22"/>
        </w:rPr>
        <w:t xml:space="preserve"> respondent indicated that the compliance action plan had contributed to some extent to achieving compliance with the obligation to take the necessary measures to implement the Protocol and further </w:t>
      </w:r>
      <w:r w:rsidR="00F320D2" w:rsidRPr="00B17ECB">
        <w:rPr>
          <w:kern w:val="22"/>
          <w:sz w:val="22"/>
          <w:szCs w:val="22"/>
        </w:rPr>
        <w:lastRenderedPageBreak/>
        <w:t>specified that some legislation had already been adopted and that other legislation was the process of being adopted.</w:t>
      </w:r>
    </w:p>
    <w:p w14:paraId="0AFBA7AA" w14:textId="2274CC11" w:rsidR="00592F4B" w:rsidRPr="00B17ECB" w:rsidRDefault="00067C31" w:rsidP="00506730">
      <w:pPr>
        <w:pStyle w:val="Para1"/>
        <w:numPr>
          <w:ilvl w:val="0"/>
          <w:numId w:val="0"/>
        </w:numPr>
        <w:suppressLineNumbers/>
        <w:suppressAutoHyphens/>
        <w:spacing w:line="238" w:lineRule="auto"/>
        <w:rPr>
          <w:b/>
          <w:bCs/>
          <w:kern w:val="22"/>
          <w:sz w:val="22"/>
          <w:szCs w:val="22"/>
        </w:rPr>
      </w:pPr>
      <w:r w:rsidRPr="00B17ECB">
        <w:rPr>
          <w:b/>
          <w:bCs/>
          <w:kern w:val="22"/>
          <w:sz w:val="22"/>
          <w:szCs w:val="22"/>
        </w:rPr>
        <w:t>Q</w:t>
      </w:r>
      <w:r w:rsidR="00592F4B" w:rsidRPr="00B17ECB">
        <w:rPr>
          <w:b/>
          <w:bCs/>
          <w:kern w:val="22"/>
          <w:sz w:val="22"/>
          <w:szCs w:val="22"/>
        </w:rPr>
        <w:t>uestions concerning the preparation of compliance action plans included in the survey on compliance challenges</w:t>
      </w:r>
      <w:r w:rsidR="00B20CE3" w:rsidRPr="00B17ECB">
        <w:rPr>
          <w:rStyle w:val="FootnoteReference"/>
          <w:b/>
          <w:bCs/>
          <w:kern w:val="22"/>
          <w:sz w:val="22"/>
          <w:szCs w:val="22"/>
        </w:rPr>
        <w:footnoteReference w:id="38"/>
      </w:r>
    </w:p>
    <w:p w14:paraId="74BFB135" w14:textId="1D8DEF15" w:rsidR="00592F4B" w:rsidRPr="00B17ECB" w:rsidRDefault="00592F4B" w:rsidP="00181716">
      <w:pPr>
        <w:pStyle w:val="Default"/>
        <w:numPr>
          <w:ilvl w:val="0"/>
          <w:numId w:val="11"/>
        </w:numPr>
        <w:rPr>
          <w:rFonts w:asciiTheme="majorBidi" w:hAnsiTheme="majorBidi" w:cstheme="majorBidi"/>
          <w:i/>
          <w:iCs/>
          <w:color w:val="242424"/>
          <w:sz w:val="22"/>
          <w:szCs w:val="22"/>
        </w:rPr>
      </w:pPr>
      <w:r w:rsidRPr="00B17ECB">
        <w:rPr>
          <w:rFonts w:asciiTheme="majorBidi" w:hAnsiTheme="majorBidi" w:cstheme="majorBidi"/>
          <w:i/>
          <w:iCs/>
          <w:color w:val="242424"/>
          <w:sz w:val="22"/>
          <w:szCs w:val="22"/>
        </w:rPr>
        <w:t xml:space="preserve">Has your country submitted a Compliance </w:t>
      </w:r>
      <w:r w:rsidR="00A07D2F" w:rsidRPr="00B17ECB">
        <w:rPr>
          <w:rFonts w:asciiTheme="majorBidi" w:hAnsiTheme="majorBidi" w:cstheme="majorBidi"/>
          <w:i/>
          <w:iCs/>
          <w:color w:val="242424"/>
          <w:sz w:val="22"/>
          <w:szCs w:val="22"/>
        </w:rPr>
        <w:t>A</w:t>
      </w:r>
      <w:r w:rsidRPr="00B17ECB">
        <w:rPr>
          <w:rFonts w:asciiTheme="majorBidi" w:hAnsiTheme="majorBidi" w:cstheme="majorBidi"/>
          <w:i/>
          <w:iCs/>
          <w:color w:val="242424"/>
          <w:sz w:val="22"/>
          <w:szCs w:val="22"/>
        </w:rPr>
        <w:t>ction Plan</w:t>
      </w:r>
      <w:r w:rsidRPr="00B17ECB">
        <w:rPr>
          <w:rFonts w:asciiTheme="majorBidi" w:hAnsiTheme="majorBidi" w:cstheme="majorBidi"/>
          <w:i/>
          <w:iCs/>
          <w:color w:val="AE1515"/>
          <w:sz w:val="22"/>
          <w:szCs w:val="22"/>
        </w:rPr>
        <w:t xml:space="preserve"> *</w:t>
      </w:r>
    </w:p>
    <w:p w14:paraId="78FE32FD" w14:textId="77777777" w:rsidR="00592F4B" w:rsidRPr="00B17ECB" w:rsidRDefault="00592F4B" w:rsidP="00181716">
      <w:pPr>
        <w:pStyle w:val="Default"/>
        <w:numPr>
          <w:ilvl w:val="0"/>
          <w:numId w:val="13"/>
        </w:numPr>
        <w:rPr>
          <w:rFonts w:asciiTheme="majorBidi" w:hAnsiTheme="majorBidi" w:cstheme="majorBidi"/>
          <w:i/>
          <w:iCs/>
          <w:color w:val="242424"/>
          <w:sz w:val="22"/>
          <w:szCs w:val="22"/>
        </w:rPr>
      </w:pPr>
      <w:r w:rsidRPr="00B17ECB">
        <w:rPr>
          <w:rFonts w:asciiTheme="majorBidi" w:hAnsiTheme="majorBidi" w:cstheme="majorBidi"/>
          <w:i/>
          <w:iCs/>
          <w:color w:val="242424"/>
          <w:sz w:val="22"/>
          <w:szCs w:val="22"/>
        </w:rPr>
        <w:t>Yes</w:t>
      </w:r>
    </w:p>
    <w:p w14:paraId="4AF7141D" w14:textId="77777777" w:rsidR="00592F4B" w:rsidRPr="00B17ECB" w:rsidRDefault="00592F4B" w:rsidP="00181716">
      <w:pPr>
        <w:pStyle w:val="Default"/>
        <w:numPr>
          <w:ilvl w:val="0"/>
          <w:numId w:val="13"/>
        </w:numPr>
        <w:rPr>
          <w:rFonts w:asciiTheme="majorBidi" w:hAnsiTheme="majorBidi" w:cstheme="majorBidi"/>
          <w:i/>
          <w:iCs/>
          <w:color w:val="242424"/>
          <w:sz w:val="22"/>
          <w:szCs w:val="22"/>
        </w:rPr>
      </w:pPr>
      <w:r w:rsidRPr="00B17ECB">
        <w:rPr>
          <w:rFonts w:asciiTheme="majorBidi" w:hAnsiTheme="majorBidi" w:cstheme="majorBidi"/>
          <w:i/>
          <w:iCs/>
          <w:color w:val="242424"/>
          <w:sz w:val="22"/>
          <w:szCs w:val="22"/>
        </w:rPr>
        <w:t>No</w:t>
      </w:r>
    </w:p>
    <w:p w14:paraId="03CB6E49" w14:textId="77777777" w:rsidR="00592F4B" w:rsidRPr="00B17ECB" w:rsidRDefault="00592F4B" w:rsidP="00592F4B">
      <w:pPr>
        <w:pStyle w:val="Default"/>
        <w:rPr>
          <w:rFonts w:asciiTheme="majorBidi" w:hAnsiTheme="majorBidi" w:cstheme="majorBidi"/>
          <w:i/>
          <w:iCs/>
          <w:sz w:val="22"/>
          <w:szCs w:val="22"/>
        </w:rPr>
      </w:pPr>
    </w:p>
    <w:p w14:paraId="2E52A084" w14:textId="77777777" w:rsidR="00592F4B" w:rsidRPr="00B17ECB" w:rsidRDefault="00592F4B" w:rsidP="00181716">
      <w:pPr>
        <w:pStyle w:val="Default"/>
        <w:numPr>
          <w:ilvl w:val="0"/>
          <w:numId w:val="11"/>
        </w:numPr>
        <w:rPr>
          <w:rFonts w:asciiTheme="majorBidi" w:hAnsiTheme="majorBidi" w:cstheme="majorBidi"/>
          <w:i/>
          <w:iCs/>
          <w:color w:val="242424"/>
          <w:sz w:val="22"/>
          <w:szCs w:val="22"/>
        </w:rPr>
      </w:pPr>
      <w:r w:rsidRPr="00B17ECB">
        <w:rPr>
          <w:rFonts w:asciiTheme="majorBidi" w:hAnsiTheme="majorBidi" w:cstheme="majorBidi"/>
          <w:i/>
          <w:iCs/>
          <w:color w:val="242424"/>
          <w:sz w:val="22"/>
          <w:szCs w:val="22"/>
        </w:rPr>
        <w:t xml:space="preserve">Please provide information on factors preventing your country from preparing and submitting a Compliance Action Plan to the Compliance Committee </w:t>
      </w:r>
      <w:r w:rsidRPr="00B17ECB">
        <w:rPr>
          <w:rFonts w:asciiTheme="majorBidi" w:hAnsiTheme="majorBidi" w:cstheme="majorBidi"/>
          <w:i/>
          <w:iCs/>
          <w:color w:val="AE1515"/>
          <w:sz w:val="22"/>
          <w:szCs w:val="22"/>
        </w:rPr>
        <w:t>*</w:t>
      </w:r>
    </w:p>
    <w:p w14:paraId="32E4B20F" w14:textId="77777777" w:rsidR="00592F4B" w:rsidRPr="00B17ECB" w:rsidRDefault="00592F4B" w:rsidP="00592F4B">
      <w:pPr>
        <w:pStyle w:val="Default"/>
        <w:ind w:left="720"/>
        <w:rPr>
          <w:rFonts w:asciiTheme="majorBidi" w:hAnsiTheme="majorBidi" w:cstheme="majorBidi"/>
          <w:i/>
          <w:iCs/>
          <w:color w:val="242424"/>
          <w:sz w:val="22"/>
          <w:szCs w:val="22"/>
        </w:rPr>
      </w:pPr>
      <w:r w:rsidRPr="00B17ECB">
        <w:rPr>
          <w:rFonts w:asciiTheme="majorBidi" w:hAnsiTheme="majorBidi" w:cstheme="majorBidi"/>
          <w:i/>
          <w:iCs/>
          <w:color w:val="242424"/>
          <w:sz w:val="22"/>
          <w:szCs w:val="22"/>
        </w:rPr>
        <w:t>[…]</w:t>
      </w:r>
    </w:p>
    <w:p w14:paraId="0A8FB594" w14:textId="77777777" w:rsidR="00592F4B" w:rsidRPr="00B17ECB" w:rsidRDefault="00592F4B" w:rsidP="00592F4B">
      <w:pPr>
        <w:pStyle w:val="Default"/>
        <w:ind w:left="720"/>
        <w:rPr>
          <w:rFonts w:asciiTheme="majorBidi" w:hAnsiTheme="majorBidi" w:cstheme="majorBidi"/>
          <w:i/>
          <w:iCs/>
          <w:color w:val="242424"/>
          <w:sz w:val="22"/>
          <w:szCs w:val="22"/>
        </w:rPr>
      </w:pPr>
    </w:p>
    <w:p w14:paraId="4635B739" w14:textId="6BD6626F" w:rsidR="00592F4B" w:rsidRPr="00B17ECB" w:rsidRDefault="00592F4B" w:rsidP="00181716">
      <w:pPr>
        <w:pStyle w:val="Default"/>
        <w:numPr>
          <w:ilvl w:val="0"/>
          <w:numId w:val="11"/>
        </w:numPr>
        <w:rPr>
          <w:rFonts w:asciiTheme="majorBidi" w:hAnsiTheme="majorBidi" w:cstheme="majorBidi"/>
          <w:i/>
          <w:iCs/>
          <w:color w:val="242424"/>
          <w:sz w:val="22"/>
          <w:szCs w:val="22"/>
        </w:rPr>
      </w:pPr>
      <w:r w:rsidRPr="00B17ECB">
        <w:rPr>
          <w:rFonts w:asciiTheme="majorBidi" w:hAnsiTheme="majorBidi" w:cstheme="majorBidi"/>
          <w:i/>
          <w:iCs/>
          <w:color w:val="242424"/>
          <w:sz w:val="22"/>
          <w:szCs w:val="22"/>
        </w:rPr>
        <w:t>Has the development of the Compliance Action Plan contributed to achieving compliance with your country</w:t>
      </w:r>
      <w:r w:rsidR="006F3136" w:rsidRPr="00B17ECB">
        <w:rPr>
          <w:rFonts w:asciiTheme="majorBidi" w:hAnsiTheme="majorBidi" w:cstheme="majorBidi"/>
          <w:i/>
          <w:iCs/>
          <w:color w:val="242424"/>
          <w:sz w:val="22"/>
          <w:szCs w:val="22"/>
        </w:rPr>
        <w:t>’</w:t>
      </w:r>
      <w:r w:rsidRPr="00B17ECB">
        <w:rPr>
          <w:rFonts w:asciiTheme="majorBidi" w:hAnsiTheme="majorBidi" w:cstheme="majorBidi"/>
          <w:i/>
          <w:iCs/>
          <w:color w:val="242424"/>
          <w:sz w:val="22"/>
          <w:szCs w:val="22"/>
        </w:rPr>
        <w:t xml:space="preserve">s obligation to take the necessary measures to implement the Protocol? </w:t>
      </w:r>
      <w:r w:rsidRPr="00B17ECB">
        <w:rPr>
          <w:rFonts w:asciiTheme="majorBidi" w:hAnsiTheme="majorBidi" w:cstheme="majorBidi"/>
          <w:i/>
          <w:iCs/>
          <w:color w:val="AE1515"/>
          <w:sz w:val="22"/>
          <w:szCs w:val="22"/>
        </w:rPr>
        <w:t>*</w:t>
      </w:r>
    </w:p>
    <w:p w14:paraId="15C2D1FD" w14:textId="77777777" w:rsidR="00592F4B" w:rsidRPr="00B17ECB" w:rsidRDefault="00592F4B" w:rsidP="00181716">
      <w:pPr>
        <w:pStyle w:val="Default"/>
        <w:numPr>
          <w:ilvl w:val="0"/>
          <w:numId w:val="12"/>
        </w:numPr>
        <w:rPr>
          <w:rFonts w:asciiTheme="majorBidi" w:hAnsiTheme="majorBidi" w:cstheme="majorBidi"/>
          <w:i/>
          <w:iCs/>
          <w:color w:val="242424"/>
          <w:sz w:val="22"/>
          <w:szCs w:val="22"/>
        </w:rPr>
      </w:pPr>
      <w:r w:rsidRPr="00B17ECB">
        <w:rPr>
          <w:rFonts w:asciiTheme="majorBidi" w:hAnsiTheme="majorBidi" w:cstheme="majorBidi"/>
          <w:i/>
          <w:iCs/>
          <w:color w:val="242424"/>
          <w:sz w:val="22"/>
          <w:szCs w:val="22"/>
        </w:rPr>
        <w:t>Yes, measures are now in place</w:t>
      </w:r>
    </w:p>
    <w:p w14:paraId="6DFE86F0" w14:textId="77777777" w:rsidR="00592F4B" w:rsidRPr="00B17ECB" w:rsidRDefault="00592F4B" w:rsidP="00181716">
      <w:pPr>
        <w:pStyle w:val="Default"/>
        <w:numPr>
          <w:ilvl w:val="0"/>
          <w:numId w:val="12"/>
        </w:numPr>
        <w:rPr>
          <w:rFonts w:asciiTheme="majorBidi" w:hAnsiTheme="majorBidi" w:cstheme="majorBidi"/>
          <w:i/>
          <w:iCs/>
          <w:color w:val="242424"/>
          <w:sz w:val="22"/>
          <w:szCs w:val="22"/>
        </w:rPr>
      </w:pPr>
      <w:r w:rsidRPr="00B17ECB">
        <w:rPr>
          <w:rFonts w:asciiTheme="majorBidi" w:hAnsiTheme="majorBidi" w:cstheme="majorBidi"/>
          <w:i/>
          <w:iCs/>
          <w:color w:val="242424"/>
          <w:sz w:val="22"/>
          <w:szCs w:val="22"/>
        </w:rPr>
        <w:t>Yes, to some extent</w:t>
      </w:r>
    </w:p>
    <w:p w14:paraId="588B8F96" w14:textId="77777777" w:rsidR="00592F4B" w:rsidRPr="00B17ECB" w:rsidRDefault="00592F4B" w:rsidP="00181716">
      <w:pPr>
        <w:pStyle w:val="Default"/>
        <w:numPr>
          <w:ilvl w:val="0"/>
          <w:numId w:val="12"/>
        </w:numPr>
        <w:rPr>
          <w:rFonts w:asciiTheme="majorBidi" w:hAnsiTheme="majorBidi" w:cstheme="majorBidi"/>
          <w:i/>
          <w:iCs/>
          <w:color w:val="242424"/>
          <w:sz w:val="22"/>
          <w:szCs w:val="22"/>
        </w:rPr>
      </w:pPr>
      <w:r w:rsidRPr="00B17ECB">
        <w:rPr>
          <w:rFonts w:asciiTheme="majorBidi" w:hAnsiTheme="majorBidi" w:cstheme="majorBidi"/>
          <w:i/>
          <w:iCs/>
          <w:color w:val="242424"/>
          <w:sz w:val="22"/>
          <w:szCs w:val="22"/>
        </w:rPr>
        <w:t>No</w:t>
      </w:r>
    </w:p>
    <w:p w14:paraId="7D1044A1" w14:textId="77777777" w:rsidR="00592F4B" w:rsidRPr="00B17ECB" w:rsidRDefault="00592F4B" w:rsidP="00592F4B">
      <w:pPr>
        <w:pStyle w:val="Default"/>
        <w:ind w:left="720"/>
        <w:rPr>
          <w:rFonts w:asciiTheme="majorBidi" w:hAnsiTheme="majorBidi" w:cstheme="majorBidi"/>
          <w:i/>
          <w:iCs/>
          <w:color w:val="242424"/>
          <w:sz w:val="22"/>
          <w:szCs w:val="22"/>
        </w:rPr>
      </w:pPr>
    </w:p>
    <w:p w14:paraId="7425DE34" w14:textId="67C69995" w:rsidR="00592F4B" w:rsidRPr="00B17ECB" w:rsidRDefault="00592F4B" w:rsidP="00181716">
      <w:pPr>
        <w:pStyle w:val="Default"/>
        <w:numPr>
          <w:ilvl w:val="0"/>
          <w:numId w:val="11"/>
        </w:numPr>
        <w:rPr>
          <w:rFonts w:asciiTheme="majorBidi" w:hAnsiTheme="majorBidi" w:cstheme="majorBidi"/>
          <w:i/>
          <w:iCs/>
          <w:color w:val="242424"/>
          <w:sz w:val="22"/>
          <w:szCs w:val="22"/>
        </w:rPr>
      </w:pPr>
      <w:r w:rsidRPr="00B17ECB">
        <w:rPr>
          <w:rFonts w:asciiTheme="majorBidi" w:hAnsiTheme="majorBidi" w:cstheme="majorBidi"/>
          <w:i/>
          <w:iCs/>
          <w:color w:val="242424"/>
          <w:sz w:val="22"/>
          <w:szCs w:val="22"/>
        </w:rPr>
        <w:t xml:space="preserve">Please explain how the development of the compliance action plan has contributed to achieving compliance </w:t>
      </w:r>
      <w:r w:rsidR="006F3136" w:rsidRPr="00B17ECB">
        <w:rPr>
          <w:rFonts w:asciiTheme="majorBidi" w:hAnsiTheme="majorBidi" w:cstheme="majorBidi"/>
          <w:i/>
          <w:iCs/>
          <w:color w:val="242424"/>
          <w:sz w:val="22"/>
          <w:szCs w:val="22"/>
        </w:rPr>
        <w:t>“</w:t>
      </w:r>
      <w:r w:rsidRPr="00B17ECB">
        <w:rPr>
          <w:rFonts w:asciiTheme="majorBidi" w:hAnsiTheme="majorBidi" w:cstheme="majorBidi"/>
          <w:i/>
          <w:iCs/>
          <w:color w:val="242424"/>
          <w:sz w:val="22"/>
          <w:szCs w:val="22"/>
        </w:rPr>
        <w:t>to some extent</w:t>
      </w:r>
      <w:r w:rsidR="006F3136" w:rsidRPr="00B17ECB">
        <w:rPr>
          <w:rFonts w:asciiTheme="majorBidi" w:hAnsiTheme="majorBidi" w:cstheme="majorBidi"/>
          <w:i/>
          <w:iCs/>
          <w:color w:val="242424"/>
          <w:sz w:val="22"/>
          <w:szCs w:val="22"/>
        </w:rPr>
        <w:t>”</w:t>
      </w:r>
      <w:r w:rsidRPr="00B17ECB">
        <w:rPr>
          <w:rFonts w:asciiTheme="majorBidi" w:hAnsiTheme="majorBidi" w:cstheme="majorBidi"/>
          <w:i/>
          <w:iCs/>
          <w:color w:val="AE1515"/>
          <w:sz w:val="22"/>
          <w:szCs w:val="22"/>
        </w:rPr>
        <w:t xml:space="preserve"> *</w:t>
      </w:r>
    </w:p>
    <w:p w14:paraId="6BCA6BB2" w14:textId="77777777" w:rsidR="00592F4B" w:rsidRPr="00B17ECB" w:rsidRDefault="00592F4B" w:rsidP="00592F4B">
      <w:pPr>
        <w:pStyle w:val="Default"/>
        <w:ind w:left="720"/>
        <w:rPr>
          <w:rFonts w:asciiTheme="majorBidi" w:hAnsiTheme="majorBidi" w:cstheme="majorBidi"/>
          <w:i/>
          <w:iCs/>
          <w:color w:val="242424"/>
          <w:sz w:val="22"/>
          <w:szCs w:val="22"/>
        </w:rPr>
      </w:pPr>
      <w:r w:rsidRPr="00B17ECB">
        <w:rPr>
          <w:rFonts w:asciiTheme="majorBidi" w:hAnsiTheme="majorBidi" w:cstheme="majorBidi"/>
          <w:i/>
          <w:iCs/>
          <w:color w:val="242424"/>
          <w:sz w:val="22"/>
          <w:szCs w:val="22"/>
        </w:rPr>
        <w:t>[…]</w:t>
      </w:r>
    </w:p>
    <w:p w14:paraId="4F9280C7" w14:textId="77777777" w:rsidR="00592F4B" w:rsidRPr="00B17ECB" w:rsidRDefault="00592F4B" w:rsidP="00592F4B">
      <w:pPr>
        <w:pStyle w:val="Default"/>
        <w:ind w:left="720"/>
        <w:rPr>
          <w:rFonts w:asciiTheme="majorBidi" w:hAnsiTheme="majorBidi" w:cstheme="majorBidi"/>
          <w:i/>
          <w:iCs/>
          <w:color w:val="242424"/>
          <w:sz w:val="22"/>
          <w:szCs w:val="22"/>
        </w:rPr>
      </w:pPr>
    </w:p>
    <w:p w14:paraId="42632889" w14:textId="77777777" w:rsidR="00592F4B" w:rsidRPr="00B17ECB" w:rsidRDefault="00592F4B" w:rsidP="00181716">
      <w:pPr>
        <w:pStyle w:val="Default"/>
        <w:numPr>
          <w:ilvl w:val="0"/>
          <w:numId w:val="11"/>
        </w:numPr>
        <w:rPr>
          <w:rFonts w:asciiTheme="majorBidi" w:hAnsiTheme="majorBidi" w:cstheme="majorBidi"/>
          <w:i/>
          <w:iCs/>
          <w:color w:val="242424"/>
          <w:sz w:val="22"/>
          <w:szCs w:val="22"/>
        </w:rPr>
      </w:pPr>
      <w:r w:rsidRPr="00B17ECB">
        <w:rPr>
          <w:rFonts w:asciiTheme="majorBidi" w:hAnsiTheme="majorBidi" w:cstheme="majorBidi"/>
          <w:i/>
          <w:iCs/>
          <w:color w:val="242424"/>
          <w:sz w:val="22"/>
          <w:szCs w:val="22"/>
        </w:rPr>
        <w:t>Please provide clarification why the development of the Compliance Action Plan has not contributed to achieving compliance</w:t>
      </w:r>
      <w:r w:rsidRPr="00B17ECB">
        <w:rPr>
          <w:rFonts w:asciiTheme="majorBidi" w:hAnsiTheme="majorBidi" w:cstheme="majorBidi"/>
          <w:i/>
          <w:iCs/>
          <w:color w:val="AE1515"/>
          <w:sz w:val="22"/>
          <w:szCs w:val="22"/>
        </w:rPr>
        <w:t>*</w:t>
      </w:r>
    </w:p>
    <w:p w14:paraId="68380ED0" w14:textId="77777777" w:rsidR="00592F4B" w:rsidRPr="00B17ECB" w:rsidRDefault="00592F4B" w:rsidP="00506730">
      <w:pPr>
        <w:pStyle w:val="Para10"/>
        <w:numPr>
          <w:ilvl w:val="0"/>
          <w:numId w:val="0"/>
        </w:numPr>
        <w:ind w:left="927" w:hanging="360"/>
        <w:jc w:val="left"/>
        <w:rPr>
          <w:rFonts w:ascii="Times New Roman Bold" w:eastAsiaTheme="majorEastAsia" w:hAnsi="Times New Roman Bold"/>
          <w:b/>
          <w:bCs/>
          <w:spacing w:val="5"/>
          <w:kern w:val="28"/>
          <w:sz w:val="28"/>
          <w:szCs w:val="28"/>
          <w:lang w:val="en-US"/>
          <w14:ligatures w14:val="standardContextual"/>
        </w:rPr>
      </w:pPr>
    </w:p>
    <w:p w14:paraId="5F1C3237" w14:textId="76798F3D" w:rsidR="002B559C" w:rsidRPr="004701EE" w:rsidRDefault="00ED3849" w:rsidP="00ED3849">
      <w:pPr>
        <w:pStyle w:val="Para10"/>
        <w:numPr>
          <w:ilvl w:val="0"/>
          <w:numId w:val="0"/>
        </w:numPr>
        <w:ind w:left="567"/>
        <w:jc w:val="center"/>
      </w:pPr>
      <w:r w:rsidRPr="00B17ECB">
        <w:t>__________</w:t>
      </w:r>
    </w:p>
    <w:sectPr w:rsidR="002B559C" w:rsidRPr="004701EE" w:rsidSect="0044227C">
      <w:footnotePr>
        <w:numRestart w:val="eachSect"/>
      </w:footnotePr>
      <w:type w:val="continuous"/>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069A2" w14:textId="77777777" w:rsidR="005E6658" w:rsidRDefault="005E6658" w:rsidP="00A96B21">
      <w:r>
        <w:separator/>
      </w:r>
    </w:p>
  </w:endnote>
  <w:endnote w:type="continuationSeparator" w:id="0">
    <w:p w14:paraId="4243A910" w14:textId="77777777" w:rsidR="005E6658" w:rsidRDefault="005E6658" w:rsidP="00A96B21">
      <w:r>
        <w:continuationSeparator/>
      </w:r>
    </w:p>
  </w:endnote>
  <w:endnote w:type="continuationNotice" w:id="1">
    <w:p w14:paraId="45F3489F" w14:textId="77777777" w:rsidR="005E6658" w:rsidRDefault="005E66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6FBF" w14:textId="77777777" w:rsidR="002B559C" w:rsidRDefault="002B559C">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11934"/>
      <w:docPartObj>
        <w:docPartGallery w:val="Page Numbers (Bottom of Page)"/>
        <w:docPartUnique/>
      </w:docPartObj>
    </w:sdtPr>
    <w:sdtContent>
      <w:sdt>
        <w:sdtPr>
          <w:id w:val="-1769616900"/>
          <w:docPartObj>
            <w:docPartGallery w:val="Page Numbers (Top of Page)"/>
            <w:docPartUnique/>
          </w:docPartObj>
        </w:sdtPr>
        <w:sdtContent>
          <w:p w14:paraId="052C3E4D" w14:textId="77777777" w:rsidR="002B559C" w:rsidRDefault="002B559C" w:rsidP="002B559C">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EC4E6" w14:textId="77777777" w:rsidR="005E6658" w:rsidRDefault="005E6658" w:rsidP="00A96B21">
      <w:r>
        <w:separator/>
      </w:r>
    </w:p>
  </w:footnote>
  <w:footnote w:type="continuationSeparator" w:id="0">
    <w:p w14:paraId="76892942" w14:textId="77777777" w:rsidR="005E6658" w:rsidRDefault="005E6658" w:rsidP="00A96B21">
      <w:r>
        <w:continuationSeparator/>
      </w:r>
    </w:p>
  </w:footnote>
  <w:footnote w:type="continuationNotice" w:id="1">
    <w:p w14:paraId="40A9441F" w14:textId="77777777" w:rsidR="005E6658" w:rsidRDefault="005E6658"/>
  </w:footnote>
  <w:footnote w:id="2">
    <w:p w14:paraId="65DE8108" w14:textId="77777777" w:rsidR="00081B29" w:rsidRPr="005C2789" w:rsidRDefault="00081B29" w:rsidP="00081B29">
      <w:pPr>
        <w:pStyle w:val="FootnoteText"/>
        <w:rPr>
          <w:lang w:val="en-US"/>
        </w:rPr>
      </w:pPr>
      <w:r>
        <w:rPr>
          <w:rStyle w:val="FootnoteReference"/>
        </w:rPr>
        <w:t>*</w:t>
      </w:r>
      <w:r>
        <w:t xml:space="preserve"> </w:t>
      </w:r>
      <w:r w:rsidRPr="005C2789">
        <w:rPr>
          <w:sz w:val="18"/>
          <w:szCs w:val="18"/>
          <w:lang w:val="en-US"/>
        </w:rPr>
        <w:t>Reissued for technical reasons on 10 October 2023.</w:t>
      </w:r>
    </w:p>
  </w:footnote>
  <w:footnote w:id="3">
    <w:p w14:paraId="446E6ED7" w14:textId="184995BF" w:rsidR="0080717D" w:rsidRPr="0080717D" w:rsidRDefault="0080717D">
      <w:pPr>
        <w:pStyle w:val="FootnoteText"/>
        <w:rPr>
          <w:sz w:val="18"/>
          <w:szCs w:val="18"/>
          <w:lang w:val="en-US"/>
        </w:rPr>
      </w:pPr>
      <w:r>
        <w:rPr>
          <w:rStyle w:val="FootnoteReference"/>
        </w:rPr>
        <w:t>**</w:t>
      </w:r>
      <w:r>
        <w:t xml:space="preserve"> </w:t>
      </w:r>
      <w:r w:rsidRPr="0080717D">
        <w:rPr>
          <w:sz w:val="18"/>
          <w:szCs w:val="18"/>
          <w:lang w:val="en-US"/>
        </w:rPr>
        <w:t>CBD/BS/CC/18/1.</w:t>
      </w:r>
    </w:p>
  </w:footnote>
  <w:footnote w:id="4">
    <w:p w14:paraId="1D442E9C" w14:textId="77777777" w:rsidR="0031031A" w:rsidRPr="00F94A84" w:rsidRDefault="0031031A" w:rsidP="0031031A">
      <w:pPr>
        <w:pStyle w:val="FootnoteText"/>
        <w:suppressLineNumbers/>
        <w:suppressAutoHyphens/>
        <w:rPr>
          <w:kern w:val="18"/>
        </w:rPr>
      </w:pPr>
      <w:r w:rsidRPr="0080717D">
        <w:rPr>
          <w:rStyle w:val="FootnoteReference"/>
          <w:kern w:val="18"/>
          <w:sz w:val="18"/>
          <w:szCs w:val="18"/>
        </w:rPr>
        <w:footnoteRef/>
      </w:r>
      <w:r w:rsidRPr="0080717D">
        <w:rPr>
          <w:kern w:val="18"/>
          <w:sz w:val="18"/>
          <w:szCs w:val="18"/>
        </w:rPr>
        <w:t xml:space="preserve"> See </w:t>
      </w:r>
      <w:hyperlink r:id="rId1" w:history="1">
        <w:r w:rsidRPr="0080717D">
          <w:rPr>
            <w:rStyle w:val="Hyperlink"/>
            <w:kern w:val="18"/>
            <w:sz w:val="18"/>
            <w:szCs w:val="18"/>
          </w:rPr>
          <w:t>CBD/CP/CC/14/5</w:t>
        </w:r>
      </w:hyperlink>
      <w:r w:rsidRPr="0080717D">
        <w:rPr>
          <w:kern w:val="18"/>
          <w:sz w:val="18"/>
          <w:szCs w:val="18"/>
        </w:rPr>
        <w:t>, para. 25.</w:t>
      </w:r>
    </w:p>
  </w:footnote>
  <w:footnote w:id="5">
    <w:p w14:paraId="7DA174B5" w14:textId="5B062E41" w:rsidR="00101E4F" w:rsidRPr="00506730" w:rsidRDefault="00101E4F" w:rsidP="00101E4F">
      <w:pPr>
        <w:pStyle w:val="FootnoteText"/>
        <w:rPr>
          <w:sz w:val="18"/>
          <w:szCs w:val="18"/>
        </w:rPr>
      </w:pPr>
      <w:r w:rsidRPr="00506730">
        <w:rPr>
          <w:rStyle w:val="FootnoteReference"/>
          <w:sz w:val="18"/>
          <w:szCs w:val="18"/>
        </w:rPr>
        <w:footnoteRef/>
      </w:r>
      <w:r w:rsidRPr="00506730">
        <w:rPr>
          <w:sz w:val="18"/>
          <w:szCs w:val="18"/>
        </w:rPr>
        <w:t xml:space="preserve"> More information is provided in document CBD/CP/CC/18/3</w:t>
      </w:r>
      <w:r w:rsidR="00C73F70" w:rsidRPr="00506730">
        <w:rPr>
          <w:sz w:val="18"/>
          <w:szCs w:val="18"/>
        </w:rPr>
        <w:t>.</w:t>
      </w:r>
    </w:p>
  </w:footnote>
  <w:footnote w:id="6">
    <w:p w14:paraId="6652925D" w14:textId="77777777" w:rsidR="0057608D" w:rsidRPr="00C02D3F" w:rsidRDefault="0057608D" w:rsidP="0057608D">
      <w:pPr>
        <w:pStyle w:val="FootnoteText"/>
        <w:rPr>
          <w:lang w:val="en-US"/>
        </w:rPr>
      </w:pPr>
      <w:r w:rsidRPr="00506730">
        <w:rPr>
          <w:rStyle w:val="FootnoteReference"/>
          <w:sz w:val="18"/>
          <w:szCs w:val="18"/>
        </w:rPr>
        <w:footnoteRef/>
      </w:r>
      <w:r w:rsidRPr="00506730">
        <w:rPr>
          <w:sz w:val="18"/>
          <w:szCs w:val="18"/>
        </w:rPr>
        <w:t xml:space="preserve"> Azerbaijan, Belize, Cabo Verde, Libya, Nauru, Papua New Guinea, Qatar, Saudi Arabia, Seychelles, State of </w:t>
      </w:r>
      <w:proofErr w:type="gramStart"/>
      <w:r w:rsidRPr="00506730">
        <w:rPr>
          <w:sz w:val="18"/>
          <w:szCs w:val="18"/>
        </w:rPr>
        <w:t>Palestine</w:t>
      </w:r>
      <w:proofErr w:type="gramEnd"/>
      <w:r w:rsidRPr="00506730">
        <w:rPr>
          <w:sz w:val="18"/>
          <w:szCs w:val="18"/>
        </w:rPr>
        <w:t xml:space="preserve"> and Syrian Arab Republic.</w:t>
      </w:r>
    </w:p>
  </w:footnote>
  <w:footnote w:id="7">
    <w:p w14:paraId="0FB8954F" w14:textId="77777777" w:rsidR="00471433" w:rsidRPr="00506730" w:rsidRDefault="00471433" w:rsidP="00471433">
      <w:pPr>
        <w:pStyle w:val="FootnoteText"/>
        <w:rPr>
          <w:sz w:val="18"/>
          <w:szCs w:val="18"/>
        </w:rPr>
      </w:pPr>
      <w:r w:rsidRPr="00506730">
        <w:rPr>
          <w:rStyle w:val="FootnoteReference"/>
          <w:sz w:val="18"/>
          <w:szCs w:val="18"/>
        </w:rPr>
        <w:footnoteRef/>
      </w:r>
      <w:r w:rsidRPr="00506730">
        <w:rPr>
          <w:sz w:val="18"/>
          <w:szCs w:val="18"/>
        </w:rPr>
        <w:t xml:space="preserve"> Azerbaijan, Belize, Libya, Nauru, Papua New Guinea, Qatar, Saudi Arabia, </w:t>
      </w:r>
      <w:proofErr w:type="gramStart"/>
      <w:r w:rsidRPr="00506730">
        <w:rPr>
          <w:sz w:val="18"/>
          <w:szCs w:val="18"/>
        </w:rPr>
        <w:t>Seychelles</w:t>
      </w:r>
      <w:proofErr w:type="gramEnd"/>
      <w:r w:rsidRPr="00506730">
        <w:rPr>
          <w:sz w:val="18"/>
          <w:szCs w:val="18"/>
        </w:rPr>
        <w:t xml:space="preserve"> and Syrian Arab Republic.</w:t>
      </w:r>
    </w:p>
  </w:footnote>
  <w:footnote w:id="8">
    <w:p w14:paraId="0008035F" w14:textId="2567BBF2" w:rsidR="008406B7" w:rsidRPr="00506730" w:rsidRDefault="008406B7" w:rsidP="008406B7">
      <w:pPr>
        <w:pStyle w:val="FootnoteText"/>
        <w:rPr>
          <w:sz w:val="18"/>
          <w:szCs w:val="18"/>
        </w:rPr>
      </w:pPr>
      <w:r w:rsidRPr="00506730">
        <w:rPr>
          <w:rStyle w:val="FootnoteReference"/>
          <w:sz w:val="18"/>
          <w:szCs w:val="18"/>
        </w:rPr>
        <w:footnoteRef/>
      </w:r>
      <w:r w:rsidRPr="00506730">
        <w:rPr>
          <w:sz w:val="18"/>
          <w:szCs w:val="18"/>
        </w:rPr>
        <w:t xml:space="preserve"> See CBD/CP/CC/18/</w:t>
      </w:r>
      <w:r w:rsidR="00496791" w:rsidRPr="00506730">
        <w:rPr>
          <w:sz w:val="18"/>
          <w:szCs w:val="18"/>
        </w:rPr>
        <w:t>3, annex</w:t>
      </w:r>
      <w:r w:rsidR="00BF63EE" w:rsidRPr="00506730">
        <w:rPr>
          <w:sz w:val="18"/>
          <w:szCs w:val="18"/>
        </w:rPr>
        <w:t xml:space="preserve"> II</w:t>
      </w:r>
      <w:r w:rsidR="000116F5" w:rsidRPr="00506730">
        <w:rPr>
          <w:sz w:val="18"/>
          <w:szCs w:val="18"/>
        </w:rPr>
        <w:t xml:space="preserve">. </w:t>
      </w:r>
    </w:p>
  </w:footnote>
  <w:footnote w:id="9">
    <w:p w14:paraId="619B2986" w14:textId="3457164C" w:rsidR="00BD4BC3" w:rsidRPr="00DB40C8" w:rsidRDefault="00BD4BC3" w:rsidP="00BD4BC3">
      <w:pPr>
        <w:pStyle w:val="FootnoteText"/>
        <w:suppressLineNumbers/>
        <w:suppressAutoHyphens/>
        <w:rPr>
          <w:kern w:val="18"/>
        </w:rPr>
      </w:pPr>
      <w:r w:rsidRPr="00506730">
        <w:rPr>
          <w:rStyle w:val="FootnoteReference"/>
          <w:kern w:val="18"/>
          <w:sz w:val="18"/>
          <w:szCs w:val="18"/>
        </w:rPr>
        <w:footnoteRef/>
      </w:r>
      <w:r w:rsidRPr="00506730">
        <w:rPr>
          <w:kern w:val="18"/>
          <w:sz w:val="18"/>
          <w:szCs w:val="18"/>
        </w:rPr>
        <w:t xml:space="preserve"> </w:t>
      </w:r>
      <w:r w:rsidR="00F17DC9" w:rsidRPr="00506730">
        <w:rPr>
          <w:kern w:val="18"/>
          <w:sz w:val="18"/>
          <w:szCs w:val="18"/>
        </w:rPr>
        <w:t xml:space="preserve">The request to develop compliance action plans was further to </w:t>
      </w:r>
      <w:r w:rsidRPr="00506730">
        <w:rPr>
          <w:kern w:val="18"/>
          <w:sz w:val="18"/>
          <w:szCs w:val="18"/>
        </w:rPr>
        <w:t>section VI, paragraph 1(c), of the procedures and mechanisms on compliance, as contained in the annex to decision BS-I/7.</w:t>
      </w:r>
    </w:p>
  </w:footnote>
  <w:footnote w:id="10">
    <w:p w14:paraId="2646A2D2" w14:textId="6553E59B" w:rsidR="002E660E" w:rsidRPr="00663298" w:rsidRDefault="002E660E" w:rsidP="002E660E">
      <w:pPr>
        <w:rPr>
          <w:sz w:val="18"/>
          <w:szCs w:val="18"/>
        </w:rPr>
      </w:pPr>
      <w:r w:rsidRPr="003068FD">
        <w:rPr>
          <w:rStyle w:val="FootnoteReference"/>
          <w:sz w:val="20"/>
          <w:szCs w:val="20"/>
        </w:rPr>
        <w:footnoteRef/>
      </w:r>
      <w:r w:rsidR="005E4907">
        <w:rPr>
          <w:kern w:val="18"/>
          <w:sz w:val="20"/>
          <w:szCs w:val="20"/>
        </w:rPr>
        <w:t xml:space="preserve"> </w:t>
      </w:r>
      <w:hyperlink r:id="rId2" w:history="1">
        <w:r w:rsidR="0068433E" w:rsidRPr="00663298">
          <w:rPr>
            <w:rStyle w:val="Hyperlink"/>
            <w:kern w:val="18"/>
            <w:sz w:val="18"/>
            <w:szCs w:val="18"/>
          </w:rPr>
          <w:t>www.unep.org/explore-topics/environmental-rights-and-governance/what-we-do/promoting-environmental-rule-law-1</w:t>
        </w:r>
      </w:hyperlink>
      <w:r w:rsidR="0068433E" w:rsidRPr="00663298">
        <w:rPr>
          <w:kern w:val="18"/>
          <w:sz w:val="18"/>
          <w:szCs w:val="18"/>
        </w:rPr>
        <w:t xml:space="preserve">. </w:t>
      </w:r>
    </w:p>
  </w:footnote>
  <w:footnote w:id="11">
    <w:p w14:paraId="7EE11366" w14:textId="7922069E" w:rsidR="002E660E" w:rsidRPr="00146638" w:rsidRDefault="002E660E" w:rsidP="002E660E">
      <w:r w:rsidRPr="00663298">
        <w:rPr>
          <w:rStyle w:val="FootnoteReference"/>
          <w:sz w:val="18"/>
          <w:szCs w:val="18"/>
        </w:rPr>
        <w:footnoteRef/>
      </w:r>
      <w:r w:rsidRPr="00663298">
        <w:rPr>
          <w:sz w:val="18"/>
          <w:szCs w:val="18"/>
        </w:rPr>
        <w:t xml:space="preserve"> </w:t>
      </w:r>
      <w:hyperlink r:id="rId3" w:history="1">
        <w:r w:rsidR="005E4907" w:rsidRPr="00663298">
          <w:rPr>
            <w:rStyle w:val="Hyperlink"/>
            <w:sz w:val="18"/>
            <w:szCs w:val="18"/>
            <w:lang w:val="en-US"/>
          </w:rPr>
          <w:t>https://leap.unep.org/content/basic-page/about-unep-leap</w:t>
        </w:r>
      </w:hyperlink>
      <w:r w:rsidR="0033588C" w:rsidRPr="00663298">
        <w:rPr>
          <w:sz w:val="18"/>
          <w:szCs w:val="18"/>
          <w:lang w:val="en-US"/>
        </w:rPr>
        <w:t>.</w:t>
      </w:r>
    </w:p>
  </w:footnote>
  <w:footnote w:id="12">
    <w:p w14:paraId="42F5095F" w14:textId="5E9C481B" w:rsidR="0086494A" w:rsidRPr="00506730" w:rsidRDefault="0086494A">
      <w:pPr>
        <w:pStyle w:val="FootnoteText"/>
        <w:rPr>
          <w:sz w:val="18"/>
          <w:szCs w:val="18"/>
        </w:rPr>
      </w:pPr>
      <w:r w:rsidRPr="00506730">
        <w:rPr>
          <w:rStyle w:val="FootnoteReference"/>
          <w:sz w:val="18"/>
          <w:szCs w:val="18"/>
        </w:rPr>
        <w:footnoteRef/>
      </w:r>
      <w:r w:rsidRPr="00506730">
        <w:rPr>
          <w:sz w:val="18"/>
          <w:szCs w:val="18"/>
        </w:rPr>
        <w:t xml:space="preserve"> Grenada, Guyana, </w:t>
      </w:r>
      <w:proofErr w:type="gramStart"/>
      <w:r w:rsidRPr="00506730">
        <w:rPr>
          <w:sz w:val="18"/>
          <w:szCs w:val="18"/>
        </w:rPr>
        <w:t>Palau</w:t>
      </w:r>
      <w:proofErr w:type="gramEnd"/>
      <w:r w:rsidR="004C6AA9">
        <w:rPr>
          <w:sz w:val="18"/>
          <w:szCs w:val="18"/>
        </w:rPr>
        <w:t xml:space="preserve"> and</w:t>
      </w:r>
      <w:r w:rsidRPr="00506730">
        <w:rPr>
          <w:sz w:val="18"/>
          <w:szCs w:val="18"/>
        </w:rPr>
        <w:t xml:space="preserve"> United Arab Emirates.</w:t>
      </w:r>
    </w:p>
  </w:footnote>
  <w:footnote w:id="13">
    <w:p w14:paraId="51789712" w14:textId="2C871F68" w:rsidR="00A01766" w:rsidRPr="00506730" w:rsidRDefault="00A01766">
      <w:pPr>
        <w:pStyle w:val="FootnoteText"/>
        <w:rPr>
          <w:sz w:val="18"/>
          <w:szCs w:val="18"/>
        </w:rPr>
      </w:pPr>
      <w:r w:rsidRPr="00506730">
        <w:rPr>
          <w:rStyle w:val="FootnoteReference"/>
          <w:sz w:val="18"/>
          <w:szCs w:val="18"/>
        </w:rPr>
        <w:footnoteRef/>
      </w:r>
      <w:r w:rsidRPr="00506730">
        <w:rPr>
          <w:sz w:val="18"/>
          <w:szCs w:val="18"/>
        </w:rPr>
        <w:t xml:space="preserve"> </w:t>
      </w:r>
      <w:r w:rsidR="004220EA" w:rsidRPr="00506730">
        <w:rPr>
          <w:sz w:val="18"/>
          <w:szCs w:val="18"/>
        </w:rPr>
        <w:t xml:space="preserve">Bahamas, Botswana, Gambia, </w:t>
      </w:r>
      <w:proofErr w:type="gramStart"/>
      <w:r w:rsidR="004220EA" w:rsidRPr="00506730">
        <w:rPr>
          <w:sz w:val="18"/>
          <w:szCs w:val="18"/>
        </w:rPr>
        <w:t>Suriname</w:t>
      </w:r>
      <w:proofErr w:type="gramEnd"/>
      <w:r w:rsidR="004C6AA9">
        <w:rPr>
          <w:sz w:val="18"/>
          <w:szCs w:val="18"/>
        </w:rPr>
        <w:t xml:space="preserve"> and</w:t>
      </w:r>
      <w:r w:rsidR="004220EA" w:rsidRPr="00506730">
        <w:rPr>
          <w:sz w:val="18"/>
          <w:szCs w:val="18"/>
        </w:rPr>
        <w:t xml:space="preserve"> Tunisia. </w:t>
      </w:r>
    </w:p>
  </w:footnote>
  <w:footnote w:id="14">
    <w:p w14:paraId="6F0E1D7A" w14:textId="77777777" w:rsidR="00C20EA5" w:rsidRPr="00506730" w:rsidRDefault="00C20EA5" w:rsidP="00C20EA5">
      <w:pPr>
        <w:pStyle w:val="FootnoteText"/>
        <w:rPr>
          <w:sz w:val="18"/>
          <w:szCs w:val="18"/>
        </w:rPr>
      </w:pPr>
      <w:r w:rsidRPr="00506730">
        <w:rPr>
          <w:rStyle w:val="FootnoteReference"/>
          <w:sz w:val="18"/>
          <w:szCs w:val="18"/>
        </w:rPr>
        <w:footnoteRef/>
      </w:r>
      <w:r w:rsidRPr="00506730">
        <w:rPr>
          <w:sz w:val="18"/>
          <w:szCs w:val="18"/>
        </w:rPr>
        <w:t xml:space="preserve"> Samoa.</w:t>
      </w:r>
    </w:p>
  </w:footnote>
  <w:footnote w:id="15">
    <w:p w14:paraId="0B8DBE0B" w14:textId="56CCAC53" w:rsidR="00C20EA5" w:rsidRPr="00506730" w:rsidRDefault="00C20EA5" w:rsidP="00C20EA5">
      <w:pPr>
        <w:pStyle w:val="FootnoteText"/>
        <w:rPr>
          <w:sz w:val="18"/>
          <w:szCs w:val="18"/>
        </w:rPr>
      </w:pPr>
      <w:r w:rsidRPr="00506730">
        <w:rPr>
          <w:rStyle w:val="FootnoteReference"/>
          <w:sz w:val="18"/>
          <w:szCs w:val="18"/>
        </w:rPr>
        <w:footnoteRef/>
      </w:r>
      <w:r w:rsidRPr="00506730">
        <w:rPr>
          <w:sz w:val="18"/>
          <w:szCs w:val="18"/>
        </w:rPr>
        <w:t xml:space="preserve"> Guyana</w:t>
      </w:r>
      <w:r w:rsidR="004C6AA9">
        <w:rPr>
          <w:sz w:val="18"/>
          <w:szCs w:val="18"/>
        </w:rPr>
        <w:t xml:space="preserve"> and</w:t>
      </w:r>
      <w:r w:rsidRPr="00506730">
        <w:rPr>
          <w:sz w:val="18"/>
          <w:szCs w:val="18"/>
        </w:rPr>
        <w:t xml:space="preserve"> Palau.</w:t>
      </w:r>
    </w:p>
  </w:footnote>
  <w:footnote w:id="16">
    <w:p w14:paraId="57C0750D" w14:textId="77777777" w:rsidR="00C20EA5" w:rsidRPr="00506730" w:rsidRDefault="00C20EA5" w:rsidP="00C20EA5">
      <w:pPr>
        <w:pStyle w:val="FootnoteText"/>
        <w:rPr>
          <w:sz w:val="18"/>
          <w:szCs w:val="18"/>
        </w:rPr>
      </w:pPr>
      <w:r w:rsidRPr="00506730">
        <w:rPr>
          <w:rStyle w:val="FootnoteReference"/>
          <w:sz w:val="18"/>
          <w:szCs w:val="18"/>
        </w:rPr>
        <w:footnoteRef/>
      </w:r>
      <w:r w:rsidRPr="00506730">
        <w:rPr>
          <w:sz w:val="18"/>
          <w:szCs w:val="18"/>
        </w:rPr>
        <w:t xml:space="preserve"> United Arab Emirates.</w:t>
      </w:r>
    </w:p>
  </w:footnote>
  <w:footnote w:id="17">
    <w:p w14:paraId="0D575163" w14:textId="3C2D6269" w:rsidR="00C20EA5" w:rsidRPr="009F5008" w:rsidRDefault="00C20EA5" w:rsidP="00C20EA5">
      <w:pPr>
        <w:pStyle w:val="FootnoteText"/>
      </w:pPr>
      <w:r w:rsidRPr="00506730">
        <w:rPr>
          <w:rStyle w:val="FootnoteReference"/>
          <w:sz w:val="18"/>
          <w:szCs w:val="18"/>
        </w:rPr>
        <w:footnoteRef/>
      </w:r>
      <w:r w:rsidRPr="00506730">
        <w:rPr>
          <w:sz w:val="18"/>
          <w:szCs w:val="18"/>
        </w:rPr>
        <w:t xml:space="preserve"> Grenada.</w:t>
      </w:r>
    </w:p>
  </w:footnote>
  <w:footnote w:id="18">
    <w:p w14:paraId="349620D3" w14:textId="294E6E66" w:rsidR="00C303BC" w:rsidRPr="00506730" w:rsidRDefault="00C303BC">
      <w:pPr>
        <w:pStyle w:val="FootnoteText"/>
        <w:rPr>
          <w:sz w:val="18"/>
          <w:szCs w:val="18"/>
          <w:lang w:val="en-US"/>
        </w:rPr>
      </w:pPr>
      <w:r w:rsidRPr="00506730">
        <w:rPr>
          <w:rStyle w:val="FootnoteReference"/>
          <w:sz w:val="18"/>
          <w:szCs w:val="18"/>
        </w:rPr>
        <w:footnoteRef/>
      </w:r>
      <w:r w:rsidRPr="00506730">
        <w:rPr>
          <w:sz w:val="18"/>
          <w:szCs w:val="18"/>
        </w:rPr>
        <w:t xml:space="preserve"> </w:t>
      </w:r>
      <w:r w:rsidRPr="00506730">
        <w:rPr>
          <w:sz w:val="18"/>
          <w:szCs w:val="18"/>
          <w:lang w:val="en-US"/>
        </w:rPr>
        <w:t xml:space="preserve">Dominica, Fiji, Saint Vincent and the Grenadines, Trinidad and Tobago, Yemen. </w:t>
      </w:r>
    </w:p>
  </w:footnote>
  <w:footnote w:id="19">
    <w:p w14:paraId="581096B2" w14:textId="77777777" w:rsidR="003829C6" w:rsidRPr="00506730" w:rsidRDefault="003829C6" w:rsidP="003829C6">
      <w:pPr>
        <w:pStyle w:val="FootnoteText"/>
        <w:rPr>
          <w:sz w:val="18"/>
          <w:szCs w:val="18"/>
          <w:lang w:val="en-US"/>
        </w:rPr>
      </w:pPr>
      <w:r w:rsidRPr="00506730">
        <w:rPr>
          <w:rStyle w:val="FootnoteReference"/>
          <w:sz w:val="18"/>
          <w:szCs w:val="18"/>
        </w:rPr>
        <w:footnoteRef/>
      </w:r>
      <w:r w:rsidRPr="00506730">
        <w:rPr>
          <w:sz w:val="18"/>
          <w:szCs w:val="18"/>
          <w:lang w:val="en-US"/>
        </w:rPr>
        <w:t xml:space="preserve"> Bahamas, Botswana, Dominica, Fiji, Gambia, Saint Vincent and the Grenadines, Samoa, Suriname, Trinidad and Tobago, </w:t>
      </w:r>
      <w:proofErr w:type="gramStart"/>
      <w:r w:rsidRPr="00506730">
        <w:rPr>
          <w:sz w:val="18"/>
          <w:szCs w:val="18"/>
          <w:lang w:val="en-US"/>
        </w:rPr>
        <w:t>Tunisia</w:t>
      </w:r>
      <w:proofErr w:type="gramEnd"/>
      <w:r w:rsidRPr="00506730">
        <w:rPr>
          <w:sz w:val="18"/>
          <w:szCs w:val="18"/>
          <w:lang w:val="en-US"/>
        </w:rPr>
        <w:t xml:space="preserve"> and Yemen.</w:t>
      </w:r>
    </w:p>
  </w:footnote>
  <w:footnote w:id="20">
    <w:p w14:paraId="6BEE02F0" w14:textId="18BF56D8" w:rsidR="00141B6F" w:rsidRPr="00506730" w:rsidRDefault="00141B6F">
      <w:pPr>
        <w:pStyle w:val="FootnoteText"/>
        <w:rPr>
          <w:sz w:val="18"/>
          <w:szCs w:val="18"/>
          <w:lang w:val="en-US"/>
        </w:rPr>
      </w:pPr>
      <w:r w:rsidRPr="00506730">
        <w:rPr>
          <w:rStyle w:val="FootnoteReference"/>
          <w:sz w:val="18"/>
          <w:szCs w:val="18"/>
        </w:rPr>
        <w:footnoteRef/>
      </w:r>
      <w:r w:rsidRPr="00506730">
        <w:rPr>
          <w:sz w:val="18"/>
          <w:szCs w:val="18"/>
          <w:lang w:val="en-US"/>
        </w:rPr>
        <w:t xml:space="preserve"> The fourth national report from Cabo Verde has not</w:t>
      </w:r>
      <w:r w:rsidR="00513DE3" w:rsidRPr="00506730">
        <w:rPr>
          <w:sz w:val="18"/>
          <w:szCs w:val="18"/>
          <w:lang w:val="en-US"/>
        </w:rPr>
        <w:t xml:space="preserve"> yet</w:t>
      </w:r>
      <w:r w:rsidRPr="00506730">
        <w:rPr>
          <w:sz w:val="18"/>
          <w:szCs w:val="18"/>
          <w:lang w:val="en-US"/>
        </w:rPr>
        <w:t xml:space="preserve"> been received. </w:t>
      </w:r>
    </w:p>
  </w:footnote>
  <w:footnote w:id="21">
    <w:p w14:paraId="1E0BF22C" w14:textId="04FBDA4D" w:rsidR="00864EB8" w:rsidRPr="00506730" w:rsidRDefault="00864EB8" w:rsidP="00864EB8">
      <w:pPr>
        <w:pStyle w:val="FootnoteText"/>
        <w:rPr>
          <w:sz w:val="18"/>
          <w:szCs w:val="18"/>
          <w:lang w:val="en-US"/>
        </w:rPr>
      </w:pPr>
      <w:r w:rsidRPr="00506730">
        <w:rPr>
          <w:rStyle w:val="FootnoteReference"/>
          <w:sz w:val="18"/>
          <w:szCs w:val="18"/>
        </w:rPr>
        <w:footnoteRef/>
      </w:r>
      <w:r w:rsidRPr="00506730">
        <w:rPr>
          <w:sz w:val="18"/>
          <w:szCs w:val="18"/>
          <w:lang w:val="en-US"/>
        </w:rPr>
        <w:t xml:space="preserve"> Antigua and Barbuda, Armenia, </w:t>
      </w:r>
      <w:r w:rsidR="00BF6A77" w:rsidRPr="00506730">
        <w:rPr>
          <w:sz w:val="18"/>
          <w:szCs w:val="18"/>
          <w:lang w:val="en-US"/>
        </w:rPr>
        <w:t xml:space="preserve">Cabo Verde, </w:t>
      </w:r>
      <w:r w:rsidRPr="00506730">
        <w:rPr>
          <w:sz w:val="18"/>
          <w:szCs w:val="18"/>
          <w:lang w:val="en-US"/>
        </w:rPr>
        <w:t xml:space="preserve">Côte d’Ivoire, Kuwait, Lebanon, Liberia, </w:t>
      </w:r>
      <w:proofErr w:type="gramStart"/>
      <w:r w:rsidRPr="00506730">
        <w:rPr>
          <w:sz w:val="18"/>
          <w:szCs w:val="18"/>
          <w:lang w:val="en-US"/>
        </w:rPr>
        <w:t>Myanmar</w:t>
      </w:r>
      <w:proofErr w:type="gramEnd"/>
      <w:r w:rsidR="00EA3266">
        <w:rPr>
          <w:sz w:val="18"/>
          <w:szCs w:val="18"/>
          <w:lang w:val="en-US"/>
        </w:rPr>
        <w:t xml:space="preserve"> and</w:t>
      </w:r>
      <w:r w:rsidRPr="00506730">
        <w:rPr>
          <w:sz w:val="18"/>
          <w:szCs w:val="18"/>
          <w:lang w:val="en-US"/>
        </w:rPr>
        <w:t xml:space="preserve"> Somalia.</w:t>
      </w:r>
    </w:p>
  </w:footnote>
  <w:footnote w:id="22">
    <w:p w14:paraId="2FEEB503" w14:textId="72FAAFDF" w:rsidR="00AB4900" w:rsidRPr="003A10F5" w:rsidRDefault="00AB4900">
      <w:pPr>
        <w:pStyle w:val="FootnoteText"/>
        <w:rPr>
          <w:lang w:val="en-US"/>
        </w:rPr>
      </w:pPr>
      <w:r w:rsidRPr="00506730">
        <w:rPr>
          <w:rStyle w:val="FootnoteReference"/>
          <w:sz w:val="18"/>
          <w:szCs w:val="18"/>
        </w:rPr>
        <w:footnoteRef/>
      </w:r>
      <w:r w:rsidRPr="00506730">
        <w:rPr>
          <w:sz w:val="18"/>
          <w:szCs w:val="18"/>
        </w:rPr>
        <w:t xml:space="preserve"> </w:t>
      </w:r>
      <w:r w:rsidR="001D0FB4" w:rsidRPr="00506730">
        <w:rPr>
          <w:sz w:val="18"/>
          <w:szCs w:val="18"/>
          <w:lang w:val="en-US"/>
        </w:rPr>
        <w:t xml:space="preserve">The </w:t>
      </w:r>
      <w:r w:rsidR="000C7DF7" w:rsidRPr="00506730">
        <w:rPr>
          <w:sz w:val="18"/>
          <w:szCs w:val="18"/>
          <w:lang w:val="en-US"/>
        </w:rPr>
        <w:t xml:space="preserve">measures </w:t>
      </w:r>
      <w:r w:rsidR="001D0FB4" w:rsidRPr="00C43C42">
        <w:rPr>
          <w:sz w:val="18"/>
          <w:szCs w:val="18"/>
          <w:lang w:val="en-US"/>
        </w:rPr>
        <w:t xml:space="preserve">taken by </w:t>
      </w:r>
      <w:r w:rsidR="001D0FB4" w:rsidRPr="00506730">
        <w:rPr>
          <w:sz w:val="18"/>
          <w:szCs w:val="18"/>
          <w:lang w:val="en-US"/>
        </w:rPr>
        <w:t xml:space="preserve">Armenia </w:t>
      </w:r>
      <w:r w:rsidR="000C7DF7" w:rsidRPr="00506730">
        <w:rPr>
          <w:sz w:val="18"/>
          <w:szCs w:val="18"/>
          <w:lang w:val="en-US"/>
        </w:rPr>
        <w:t xml:space="preserve">are available </w:t>
      </w:r>
      <w:r w:rsidR="00C43C42" w:rsidRPr="00C43C42">
        <w:rPr>
          <w:sz w:val="18"/>
          <w:szCs w:val="18"/>
          <w:lang w:val="en-US"/>
        </w:rPr>
        <w:t>on</w:t>
      </w:r>
      <w:r w:rsidR="00C43C42" w:rsidRPr="00506730">
        <w:rPr>
          <w:sz w:val="18"/>
          <w:szCs w:val="18"/>
          <w:lang w:val="en-US"/>
        </w:rPr>
        <w:t xml:space="preserve"> </w:t>
      </w:r>
      <w:r w:rsidR="00674D33">
        <w:rPr>
          <w:sz w:val="18"/>
          <w:szCs w:val="18"/>
          <w:lang w:val="en-US"/>
        </w:rPr>
        <w:t>the</w:t>
      </w:r>
      <w:r w:rsidR="00674D33" w:rsidRPr="00506730">
        <w:rPr>
          <w:sz w:val="18"/>
          <w:szCs w:val="18"/>
          <w:lang w:val="en-US"/>
        </w:rPr>
        <w:t xml:space="preserve"> </w:t>
      </w:r>
      <w:r w:rsidR="000C7DF7" w:rsidRPr="00506730">
        <w:rPr>
          <w:sz w:val="18"/>
          <w:szCs w:val="18"/>
          <w:lang w:val="en-US"/>
        </w:rPr>
        <w:t xml:space="preserve">country profile in the </w:t>
      </w:r>
      <w:r w:rsidR="006078A8" w:rsidRPr="00506730">
        <w:rPr>
          <w:sz w:val="18"/>
          <w:szCs w:val="18"/>
          <w:lang w:val="en-US"/>
        </w:rPr>
        <w:t xml:space="preserve">BCH: </w:t>
      </w:r>
      <w:hyperlink r:id="rId4" w:history="1">
        <w:r w:rsidR="00327CBA" w:rsidRPr="00506730">
          <w:rPr>
            <w:rStyle w:val="Hyperlink"/>
            <w:sz w:val="18"/>
            <w:szCs w:val="18"/>
          </w:rPr>
          <w:t>bch.cbd.int/</w:t>
        </w:r>
        <w:proofErr w:type="spellStart"/>
        <w:r w:rsidR="00327CBA" w:rsidRPr="00506730">
          <w:rPr>
            <w:rStyle w:val="Hyperlink"/>
            <w:sz w:val="18"/>
            <w:szCs w:val="18"/>
          </w:rPr>
          <w:t>en</w:t>
        </w:r>
        <w:proofErr w:type="spellEnd"/>
        <w:r w:rsidR="00327CBA" w:rsidRPr="00506730">
          <w:rPr>
            <w:rStyle w:val="Hyperlink"/>
            <w:sz w:val="18"/>
            <w:szCs w:val="18"/>
          </w:rPr>
          <w:t>/countries/AM</w:t>
        </w:r>
      </w:hyperlink>
      <w:r w:rsidR="00327CBA" w:rsidRPr="00C43C42">
        <w:rPr>
          <w:sz w:val="18"/>
          <w:szCs w:val="18"/>
          <w:lang w:val="en-US"/>
        </w:rPr>
        <w:t xml:space="preserve"> </w:t>
      </w:r>
      <w:r w:rsidRPr="00506730">
        <w:rPr>
          <w:sz w:val="18"/>
          <w:szCs w:val="18"/>
          <w:lang w:val="en-US"/>
        </w:rPr>
        <w:t xml:space="preserve">and </w:t>
      </w:r>
      <w:r w:rsidR="001D0FB4" w:rsidRPr="00C43C42">
        <w:rPr>
          <w:sz w:val="18"/>
          <w:szCs w:val="18"/>
          <w:lang w:val="en-US"/>
        </w:rPr>
        <w:t xml:space="preserve">the </w:t>
      </w:r>
      <w:r w:rsidR="001D0FB4" w:rsidRPr="00506730">
        <w:rPr>
          <w:sz w:val="18"/>
          <w:szCs w:val="18"/>
          <w:lang w:val="en-US"/>
        </w:rPr>
        <w:t>measures</w:t>
      </w:r>
      <w:r w:rsidR="001D0FB4" w:rsidRPr="00C43C42">
        <w:rPr>
          <w:sz w:val="18"/>
          <w:szCs w:val="18"/>
          <w:lang w:val="en-US"/>
        </w:rPr>
        <w:t xml:space="preserve"> taken by </w:t>
      </w:r>
      <w:r w:rsidRPr="00506730">
        <w:rPr>
          <w:sz w:val="18"/>
          <w:szCs w:val="18"/>
          <w:lang w:val="en-US"/>
        </w:rPr>
        <w:t>Côte d’Ivoire</w:t>
      </w:r>
      <w:r w:rsidR="006078A8" w:rsidRPr="00506730">
        <w:rPr>
          <w:sz w:val="18"/>
          <w:szCs w:val="18"/>
          <w:lang w:val="en-US"/>
        </w:rPr>
        <w:t xml:space="preserve"> are available </w:t>
      </w:r>
      <w:r w:rsidR="00C43C42" w:rsidRPr="00C43C42">
        <w:rPr>
          <w:sz w:val="18"/>
          <w:szCs w:val="18"/>
          <w:lang w:val="en-US"/>
        </w:rPr>
        <w:t>on</w:t>
      </w:r>
      <w:r w:rsidR="00C43C42" w:rsidRPr="00506730">
        <w:rPr>
          <w:sz w:val="18"/>
          <w:szCs w:val="18"/>
          <w:lang w:val="en-US"/>
        </w:rPr>
        <w:t xml:space="preserve"> </w:t>
      </w:r>
      <w:r w:rsidR="00674D33">
        <w:rPr>
          <w:sz w:val="18"/>
          <w:szCs w:val="18"/>
          <w:lang w:val="en-US"/>
        </w:rPr>
        <w:t>the</w:t>
      </w:r>
      <w:r w:rsidR="00674D33" w:rsidRPr="00506730">
        <w:rPr>
          <w:sz w:val="18"/>
          <w:szCs w:val="18"/>
          <w:lang w:val="en-US"/>
        </w:rPr>
        <w:t xml:space="preserve"> </w:t>
      </w:r>
      <w:r w:rsidR="006078A8" w:rsidRPr="00506730">
        <w:rPr>
          <w:sz w:val="18"/>
          <w:szCs w:val="18"/>
          <w:lang w:val="en-US"/>
        </w:rPr>
        <w:t xml:space="preserve">country profile in the BCH: </w:t>
      </w:r>
      <w:hyperlink r:id="rId5" w:history="1">
        <w:r w:rsidR="000125D3" w:rsidRPr="00506730">
          <w:rPr>
            <w:rStyle w:val="Hyperlink"/>
            <w:sz w:val="18"/>
            <w:szCs w:val="18"/>
          </w:rPr>
          <w:t>bch.cbd.int/</w:t>
        </w:r>
        <w:proofErr w:type="spellStart"/>
        <w:r w:rsidR="000125D3" w:rsidRPr="00506730">
          <w:rPr>
            <w:rStyle w:val="Hyperlink"/>
            <w:sz w:val="18"/>
            <w:szCs w:val="18"/>
          </w:rPr>
          <w:t>en</w:t>
        </w:r>
        <w:proofErr w:type="spellEnd"/>
        <w:r w:rsidR="000125D3" w:rsidRPr="00506730">
          <w:rPr>
            <w:rStyle w:val="Hyperlink"/>
            <w:sz w:val="18"/>
            <w:szCs w:val="18"/>
          </w:rPr>
          <w:t>/countries/CI</w:t>
        </w:r>
      </w:hyperlink>
      <w:r w:rsidRPr="00506730">
        <w:rPr>
          <w:sz w:val="18"/>
          <w:szCs w:val="18"/>
          <w:lang w:val="en-US"/>
        </w:rPr>
        <w:t>.</w:t>
      </w:r>
      <w:r w:rsidR="000125D3">
        <w:rPr>
          <w:sz w:val="18"/>
          <w:szCs w:val="18"/>
          <w:lang w:val="en-US"/>
        </w:rPr>
        <w:t xml:space="preserve"> </w:t>
      </w:r>
      <w:r>
        <w:rPr>
          <w:lang w:val="en-US"/>
        </w:rPr>
        <w:t xml:space="preserve"> </w:t>
      </w:r>
    </w:p>
  </w:footnote>
  <w:footnote w:id="23">
    <w:p w14:paraId="5C2FDB81" w14:textId="77777777" w:rsidR="006139C3" w:rsidRPr="00506730" w:rsidRDefault="006139C3" w:rsidP="006139C3">
      <w:pPr>
        <w:pStyle w:val="FootnoteText"/>
        <w:suppressLineNumbers/>
        <w:suppressAutoHyphens/>
        <w:rPr>
          <w:kern w:val="18"/>
          <w:sz w:val="18"/>
          <w:szCs w:val="18"/>
        </w:rPr>
      </w:pPr>
      <w:r w:rsidRPr="00506730">
        <w:rPr>
          <w:rStyle w:val="FootnoteReference"/>
          <w:sz w:val="18"/>
          <w:szCs w:val="18"/>
        </w:rPr>
        <w:footnoteRef/>
      </w:r>
      <w:r w:rsidRPr="00506730">
        <w:rPr>
          <w:sz w:val="18"/>
          <w:szCs w:val="18"/>
        </w:rPr>
        <w:t xml:space="preserve"> </w:t>
      </w:r>
      <w:r w:rsidRPr="00506730">
        <w:rPr>
          <w:kern w:val="18"/>
          <w:sz w:val="18"/>
          <w:szCs w:val="18"/>
        </w:rPr>
        <w:t>See section VI, paragraph 1(c), of the procedures and mechanisms on compliance, as contained in the annex to decision BS-I/7.</w:t>
      </w:r>
    </w:p>
  </w:footnote>
  <w:footnote w:id="24">
    <w:p w14:paraId="0E518922" w14:textId="77777777" w:rsidR="00B26F34" w:rsidRPr="00506730" w:rsidRDefault="00B26F34" w:rsidP="00B26F34">
      <w:pPr>
        <w:pStyle w:val="FootnoteText"/>
        <w:rPr>
          <w:sz w:val="18"/>
          <w:szCs w:val="18"/>
          <w:lang w:val="en-US"/>
        </w:rPr>
      </w:pPr>
      <w:r w:rsidRPr="00506730">
        <w:rPr>
          <w:rStyle w:val="FootnoteReference"/>
          <w:sz w:val="18"/>
          <w:szCs w:val="18"/>
        </w:rPr>
        <w:footnoteRef/>
      </w:r>
      <w:r w:rsidRPr="00506730">
        <w:rPr>
          <w:sz w:val="18"/>
          <w:szCs w:val="18"/>
          <w:lang w:val="en-US"/>
        </w:rPr>
        <w:t xml:space="preserve"> More information on the background to and the results of the survey on compliance challenges are contained in document CBD/CP/CC/18/3.</w:t>
      </w:r>
    </w:p>
  </w:footnote>
  <w:footnote w:id="25">
    <w:p w14:paraId="69068609" w14:textId="163A01F7" w:rsidR="00B26F34" w:rsidRPr="00506730" w:rsidRDefault="00B26F34" w:rsidP="00B26F34">
      <w:pPr>
        <w:pStyle w:val="FootnoteText"/>
        <w:rPr>
          <w:sz w:val="18"/>
          <w:szCs w:val="18"/>
          <w:lang w:val="en-US"/>
        </w:rPr>
      </w:pPr>
      <w:r w:rsidRPr="00506730">
        <w:rPr>
          <w:rStyle w:val="FootnoteReference"/>
          <w:sz w:val="18"/>
          <w:szCs w:val="18"/>
        </w:rPr>
        <w:footnoteRef/>
      </w:r>
      <w:r w:rsidRPr="00506730">
        <w:rPr>
          <w:sz w:val="18"/>
          <w:szCs w:val="18"/>
        </w:rPr>
        <w:t xml:space="preserve"> </w:t>
      </w:r>
      <w:r w:rsidRPr="00506730">
        <w:rPr>
          <w:sz w:val="18"/>
          <w:szCs w:val="18"/>
          <w:lang w:val="en-US"/>
        </w:rPr>
        <w:t xml:space="preserve">The questions relating to compliance action plans were included as questions 8 to 12 in the survey and are presented in </w:t>
      </w:r>
      <w:r w:rsidR="00DD0D79" w:rsidRPr="0044310B">
        <w:rPr>
          <w:sz w:val="18"/>
          <w:szCs w:val="18"/>
          <w:lang w:val="en-US"/>
        </w:rPr>
        <w:t>a</w:t>
      </w:r>
      <w:r w:rsidRPr="00506730">
        <w:rPr>
          <w:sz w:val="18"/>
          <w:szCs w:val="18"/>
          <w:lang w:val="en-US"/>
        </w:rPr>
        <w:t>nnex II to document CBD/CP/CC/18/3.</w:t>
      </w:r>
    </w:p>
  </w:footnote>
  <w:footnote w:id="26">
    <w:p w14:paraId="1FD95533" w14:textId="740B5B40" w:rsidR="00E60020" w:rsidRPr="00D91FB5" w:rsidRDefault="00E60020">
      <w:pPr>
        <w:pStyle w:val="FootnoteText"/>
        <w:rPr>
          <w:lang w:val="en-US"/>
        </w:rPr>
      </w:pPr>
      <w:r w:rsidRPr="00506730">
        <w:rPr>
          <w:rStyle w:val="FootnoteReference"/>
          <w:sz w:val="18"/>
          <w:szCs w:val="18"/>
        </w:rPr>
        <w:footnoteRef/>
      </w:r>
      <w:r w:rsidRPr="00506730">
        <w:rPr>
          <w:sz w:val="18"/>
          <w:szCs w:val="18"/>
        </w:rPr>
        <w:t xml:space="preserve"> </w:t>
      </w:r>
      <w:r w:rsidRPr="00506730">
        <w:rPr>
          <w:sz w:val="18"/>
          <w:szCs w:val="18"/>
          <w:lang w:val="en-US"/>
        </w:rPr>
        <w:t>Only two of th</w:t>
      </w:r>
      <w:r w:rsidR="00847C06" w:rsidRPr="0044310B">
        <w:rPr>
          <w:sz w:val="18"/>
          <w:szCs w:val="18"/>
          <w:lang w:val="en-US"/>
        </w:rPr>
        <w:t>o</w:t>
      </w:r>
      <w:r w:rsidRPr="00506730">
        <w:rPr>
          <w:sz w:val="18"/>
          <w:szCs w:val="18"/>
          <w:lang w:val="en-US"/>
        </w:rPr>
        <w:t>se Parties</w:t>
      </w:r>
      <w:r w:rsidR="00822FAC" w:rsidRPr="0044310B">
        <w:rPr>
          <w:sz w:val="18"/>
          <w:szCs w:val="18"/>
          <w:lang w:val="en-US"/>
        </w:rPr>
        <w:t>,</w:t>
      </w:r>
      <w:r w:rsidRPr="00506730">
        <w:rPr>
          <w:sz w:val="18"/>
          <w:szCs w:val="18"/>
          <w:lang w:val="en-US"/>
        </w:rPr>
        <w:t xml:space="preserve"> </w:t>
      </w:r>
      <w:r w:rsidR="00822FAC" w:rsidRPr="00506730">
        <w:rPr>
          <w:sz w:val="18"/>
          <w:szCs w:val="18"/>
          <w:lang w:val="en-US"/>
        </w:rPr>
        <w:t>however</w:t>
      </w:r>
      <w:r w:rsidR="00822FAC" w:rsidRPr="0044310B">
        <w:rPr>
          <w:sz w:val="18"/>
          <w:szCs w:val="18"/>
          <w:lang w:val="en-US"/>
        </w:rPr>
        <w:t xml:space="preserve">, </w:t>
      </w:r>
      <w:r w:rsidRPr="00506730">
        <w:rPr>
          <w:sz w:val="18"/>
          <w:szCs w:val="18"/>
          <w:lang w:val="en-US"/>
        </w:rPr>
        <w:t>responded in the survey that they had submitted a compliance action plan.</w:t>
      </w:r>
      <w:r>
        <w:rPr>
          <w:lang w:val="en-US"/>
        </w:rPr>
        <w:t xml:space="preserve"> </w:t>
      </w:r>
    </w:p>
  </w:footnote>
  <w:footnote w:id="27">
    <w:p w14:paraId="591AE087" w14:textId="639515A6" w:rsidR="00BC4158" w:rsidRPr="00506730" w:rsidRDefault="00BC4158" w:rsidP="00BC4158">
      <w:pPr>
        <w:pStyle w:val="FootnoteText"/>
        <w:rPr>
          <w:sz w:val="18"/>
          <w:szCs w:val="18"/>
        </w:rPr>
      </w:pPr>
      <w:r w:rsidRPr="00506730">
        <w:rPr>
          <w:rStyle w:val="FootnoteReference"/>
          <w:sz w:val="18"/>
          <w:szCs w:val="18"/>
        </w:rPr>
        <w:footnoteRef/>
      </w:r>
      <w:r w:rsidRPr="00506730">
        <w:rPr>
          <w:sz w:val="18"/>
          <w:szCs w:val="18"/>
        </w:rPr>
        <w:t xml:space="preserve"> </w:t>
      </w:r>
      <w:r w:rsidR="007F3581" w:rsidRPr="00506730">
        <w:rPr>
          <w:sz w:val="18"/>
          <w:szCs w:val="18"/>
        </w:rPr>
        <w:t xml:space="preserve">The </w:t>
      </w:r>
      <w:r w:rsidRPr="00506730">
        <w:rPr>
          <w:sz w:val="18"/>
          <w:szCs w:val="18"/>
        </w:rPr>
        <w:t>third national report of Armenia was submitted after the identification of the Parties that were to be requested to prepare a compliance action plan. Consequently, Armenia has not been requested to prepare a compliance action plan.</w:t>
      </w:r>
    </w:p>
  </w:footnote>
  <w:footnote w:id="28">
    <w:p w14:paraId="68AEA7EC" w14:textId="72B89A9C" w:rsidR="00BD0D57" w:rsidRPr="00506730" w:rsidRDefault="00BD0D57">
      <w:pPr>
        <w:pStyle w:val="FootnoteText"/>
        <w:rPr>
          <w:sz w:val="18"/>
          <w:szCs w:val="18"/>
        </w:rPr>
      </w:pPr>
      <w:r w:rsidRPr="00506730">
        <w:rPr>
          <w:rStyle w:val="FootnoteReference"/>
          <w:sz w:val="18"/>
          <w:szCs w:val="18"/>
        </w:rPr>
        <w:footnoteRef/>
      </w:r>
      <w:r w:rsidRPr="00506730">
        <w:rPr>
          <w:sz w:val="18"/>
          <w:szCs w:val="18"/>
        </w:rPr>
        <w:t xml:space="preserve"> Cabo Verde submitted its third national report </w:t>
      </w:r>
      <w:r w:rsidR="008206F7" w:rsidRPr="00506730">
        <w:rPr>
          <w:sz w:val="18"/>
          <w:szCs w:val="18"/>
        </w:rPr>
        <w:t>in September 2020</w:t>
      </w:r>
      <w:r w:rsidR="00FA5384" w:rsidRPr="00506730">
        <w:rPr>
          <w:sz w:val="18"/>
          <w:szCs w:val="18"/>
        </w:rPr>
        <w:t xml:space="preserve"> </w:t>
      </w:r>
      <w:r w:rsidRPr="00506730">
        <w:rPr>
          <w:sz w:val="18"/>
          <w:szCs w:val="18"/>
        </w:rPr>
        <w:t xml:space="preserve">after the </w:t>
      </w:r>
      <w:r w:rsidR="00E37F08" w:rsidRPr="000D493C">
        <w:rPr>
          <w:sz w:val="18"/>
          <w:szCs w:val="18"/>
        </w:rPr>
        <w:t>seventeenth meeting</w:t>
      </w:r>
      <w:r w:rsidR="00E37F08" w:rsidRPr="00E37F08">
        <w:rPr>
          <w:sz w:val="18"/>
          <w:szCs w:val="18"/>
        </w:rPr>
        <w:t xml:space="preserve"> </w:t>
      </w:r>
      <w:r w:rsidR="00E37F08">
        <w:rPr>
          <w:sz w:val="18"/>
          <w:szCs w:val="18"/>
        </w:rPr>
        <w:t xml:space="preserve">of the Compliance </w:t>
      </w:r>
      <w:r w:rsidRPr="00506730">
        <w:rPr>
          <w:sz w:val="18"/>
          <w:szCs w:val="18"/>
        </w:rPr>
        <w:t xml:space="preserve">Committee. </w:t>
      </w:r>
    </w:p>
  </w:footnote>
  <w:footnote w:id="29">
    <w:p w14:paraId="3CACD9FF" w14:textId="257BE7AA" w:rsidR="00D679FE" w:rsidRPr="003A0E01" w:rsidRDefault="00D679FE" w:rsidP="00D679FE">
      <w:pPr>
        <w:pStyle w:val="FootnoteText"/>
      </w:pPr>
      <w:r w:rsidRPr="00506730">
        <w:rPr>
          <w:rStyle w:val="FootnoteReference"/>
          <w:sz w:val="18"/>
          <w:szCs w:val="18"/>
        </w:rPr>
        <w:footnoteRef/>
      </w:r>
      <w:r w:rsidRPr="00506730">
        <w:rPr>
          <w:sz w:val="18"/>
          <w:szCs w:val="18"/>
        </w:rPr>
        <w:t xml:space="preserve"> The third national report of Myanmar was submitted after the identification of the Parties that were to be requested to prepare a compliance action plan. Consequently, Myanmar has not been requested to prepare a compliance action plan.</w:t>
      </w:r>
      <w:r>
        <w:t xml:space="preserve"> </w:t>
      </w:r>
    </w:p>
  </w:footnote>
  <w:footnote w:id="30">
    <w:p w14:paraId="37CE538B" w14:textId="77777777" w:rsidR="00B94C35" w:rsidRPr="00506730" w:rsidRDefault="00B94C35" w:rsidP="00B94C35">
      <w:pPr>
        <w:pStyle w:val="FootnoteText"/>
        <w:rPr>
          <w:sz w:val="18"/>
          <w:szCs w:val="18"/>
        </w:rPr>
      </w:pPr>
      <w:r w:rsidRPr="00506730">
        <w:rPr>
          <w:rStyle w:val="FootnoteReference"/>
          <w:sz w:val="18"/>
          <w:szCs w:val="18"/>
        </w:rPr>
        <w:footnoteRef/>
      </w:r>
      <w:r w:rsidRPr="00506730">
        <w:rPr>
          <w:sz w:val="18"/>
          <w:szCs w:val="18"/>
        </w:rPr>
        <w:t xml:space="preserve"> Burundi, Guinea, Guyana, Morocco, Niger, Saint Lucia, Trinidad and Tobago, Tunisia, United Arab Emirates, Yemen. </w:t>
      </w:r>
    </w:p>
  </w:footnote>
  <w:footnote w:id="31">
    <w:p w14:paraId="0167D4AA" w14:textId="77777777" w:rsidR="00B94C35" w:rsidRPr="00506730" w:rsidRDefault="00B94C35" w:rsidP="00B94C35">
      <w:pPr>
        <w:pStyle w:val="FootnoteText"/>
        <w:rPr>
          <w:sz w:val="18"/>
          <w:szCs w:val="18"/>
          <w:lang w:val="en-US"/>
        </w:rPr>
      </w:pPr>
      <w:r w:rsidRPr="00506730">
        <w:rPr>
          <w:rStyle w:val="FootnoteReference"/>
          <w:sz w:val="18"/>
          <w:szCs w:val="18"/>
        </w:rPr>
        <w:footnoteRef/>
      </w:r>
      <w:r w:rsidRPr="00506730">
        <w:rPr>
          <w:sz w:val="18"/>
          <w:szCs w:val="18"/>
          <w:lang w:val="en-US"/>
        </w:rPr>
        <w:t xml:space="preserve"> Guinea, Guyana, Morocco, United Arab Emirates. </w:t>
      </w:r>
    </w:p>
  </w:footnote>
  <w:footnote w:id="32">
    <w:p w14:paraId="07563715" w14:textId="77777777" w:rsidR="00B94C35" w:rsidRPr="00506730" w:rsidRDefault="00B94C35" w:rsidP="00B94C35">
      <w:pPr>
        <w:pStyle w:val="FootnoteText"/>
        <w:rPr>
          <w:sz w:val="18"/>
          <w:szCs w:val="18"/>
        </w:rPr>
      </w:pPr>
      <w:r w:rsidRPr="00506730">
        <w:rPr>
          <w:rStyle w:val="FootnoteReference"/>
          <w:sz w:val="18"/>
          <w:szCs w:val="18"/>
        </w:rPr>
        <w:footnoteRef/>
      </w:r>
      <w:r w:rsidRPr="00506730">
        <w:rPr>
          <w:sz w:val="18"/>
          <w:szCs w:val="18"/>
        </w:rPr>
        <w:t xml:space="preserve"> Burundi, Niger, Trinidad and Tobago, Tunisia, Saint Lucia, Yemen. </w:t>
      </w:r>
    </w:p>
  </w:footnote>
  <w:footnote w:id="33">
    <w:p w14:paraId="118BD263" w14:textId="23054005" w:rsidR="00B94C35" w:rsidRPr="00506730" w:rsidRDefault="00B94C35" w:rsidP="00B94C35">
      <w:pPr>
        <w:pStyle w:val="FootnoteText"/>
        <w:rPr>
          <w:sz w:val="18"/>
          <w:szCs w:val="18"/>
        </w:rPr>
      </w:pPr>
      <w:r w:rsidRPr="00506730">
        <w:rPr>
          <w:rStyle w:val="FootnoteReference"/>
          <w:sz w:val="18"/>
          <w:szCs w:val="18"/>
        </w:rPr>
        <w:footnoteRef/>
      </w:r>
      <w:r w:rsidRPr="00506730">
        <w:rPr>
          <w:sz w:val="18"/>
          <w:szCs w:val="18"/>
        </w:rPr>
        <w:t xml:space="preserve"> </w:t>
      </w:r>
      <w:r w:rsidR="003D4F63" w:rsidRPr="00506730">
        <w:rPr>
          <w:sz w:val="18"/>
          <w:szCs w:val="18"/>
        </w:rPr>
        <w:t>In fact,</w:t>
      </w:r>
      <w:r w:rsidRPr="00506730">
        <w:rPr>
          <w:sz w:val="18"/>
          <w:szCs w:val="18"/>
        </w:rPr>
        <w:t xml:space="preserve"> Burundi and </w:t>
      </w:r>
      <w:r w:rsidR="00DA6886" w:rsidRPr="00506730">
        <w:rPr>
          <w:sz w:val="18"/>
          <w:szCs w:val="18"/>
        </w:rPr>
        <w:t xml:space="preserve">the </w:t>
      </w:r>
      <w:r w:rsidRPr="00857F77">
        <w:rPr>
          <w:sz w:val="18"/>
          <w:szCs w:val="18"/>
        </w:rPr>
        <w:t xml:space="preserve">Niger did submit a compliance action plan, while </w:t>
      </w:r>
      <w:r w:rsidR="00A17D56" w:rsidRPr="00857F77">
        <w:rPr>
          <w:sz w:val="18"/>
          <w:szCs w:val="18"/>
        </w:rPr>
        <w:t xml:space="preserve">the Secretariat has not received a compliance action plan from </w:t>
      </w:r>
      <w:r w:rsidR="00E840F8" w:rsidRPr="00857F77">
        <w:rPr>
          <w:sz w:val="18"/>
          <w:szCs w:val="18"/>
        </w:rPr>
        <w:t xml:space="preserve">Guyana </w:t>
      </w:r>
      <w:r w:rsidR="00A17D56" w:rsidRPr="00857F77">
        <w:rPr>
          <w:sz w:val="18"/>
          <w:szCs w:val="18"/>
        </w:rPr>
        <w:t>or the</w:t>
      </w:r>
      <w:r w:rsidRPr="00857F77">
        <w:rPr>
          <w:sz w:val="18"/>
          <w:szCs w:val="18"/>
        </w:rPr>
        <w:t xml:space="preserve"> United Arab </w:t>
      </w:r>
      <w:r w:rsidR="00A17D56" w:rsidRPr="00857F77">
        <w:rPr>
          <w:sz w:val="18"/>
          <w:szCs w:val="18"/>
        </w:rPr>
        <w:t>Emirates</w:t>
      </w:r>
      <w:r w:rsidRPr="00857F77">
        <w:rPr>
          <w:sz w:val="18"/>
          <w:szCs w:val="18"/>
        </w:rPr>
        <w:t>.</w:t>
      </w:r>
      <w:r w:rsidR="00AD7C65" w:rsidRPr="00506730">
        <w:rPr>
          <w:sz w:val="18"/>
          <w:szCs w:val="18"/>
        </w:rPr>
        <w:t xml:space="preserve"> </w:t>
      </w:r>
    </w:p>
  </w:footnote>
  <w:footnote w:id="34">
    <w:p w14:paraId="38C0BDBD" w14:textId="77777777" w:rsidR="00B94C35" w:rsidRPr="00506730" w:rsidRDefault="00B94C35" w:rsidP="00B94C35">
      <w:pPr>
        <w:pStyle w:val="FootnoteText"/>
        <w:rPr>
          <w:sz w:val="18"/>
          <w:szCs w:val="18"/>
          <w:lang w:val="it-IT"/>
        </w:rPr>
      </w:pPr>
      <w:r w:rsidRPr="00506730">
        <w:rPr>
          <w:rStyle w:val="FootnoteReference"/>
          <w:sz w:val="18"/>
          <w:szCs w:val="18"/>
        </w:rPr>
        <w:footnoteRef/>
      </w:r>
      <w:r w:rsidRPr="00506730">
        <w:rPr>
          <w:sz w:val="18"/>
          <w:szCs w:val="18"/>
          <w:lang w:val="it-IT"/>
        </w:rPr>
        <w:t xml:space="preserve"> Guinea. </w:t>
      </w:r>
    </w:p>
  </w:footnote>
  <w:footnote w:id="35">
    <w:p w14:paraId="553BC1A4" w14:textId="5FB7EDA9" w:rsidR="00B94C35" w:rsidRPr="00506730" w:rsidRDefault="00B94C35" w:rsidP="00B94C35">
      <w:pPr>
        <w:pStyle w:val="FootnoteText"/>
        <w:rPr>
          <w:sz w:val="18"/>
          <w:szCs w:val="18"/>
          <w:lang w:val="it-IT"/>
        </w:rPr>
      </w:pPr>
      <w:r w:rsidRPr="00506730">
        <w:rPr>
          <w:rStyle w:val="FootnoteReference"/>
          <w:sz w:val="18"/>
          <w:szCs w:val="18"/>
        </w:rPr>
        <w:footnoteRef/>
      </w:r>
      <w:r w:rsidRPr="00506730">
        <w:rPr>
          <w:sz w:val="18"/>
          <w:szCs w:val="18"/>
          <w:lang w:val="it-IT"/>
        </w:rPr>
        <w:t xml:space="preserve"> Morocco. </w:t>
      </w:r>
    </w:p>
  </w:footnote>
  <w:footnote w:id="36">
    <w:p w14:paraId="76174BDC" w14:textId="77777777" w:rsidR="005B61EA" w:rsidRPr="00506730" w:rsidRDefault="005B61EA" w:rsidP="005B61EA">
      <w:pPr>
        <w:pStyle w:val="FootnoteText"/>
        <w:rPr>
          <w:sz w:val="18"/>
          <w:szCs w:val="18"/>
          <w:lang w:val="it-IT"/>
        </w:rPr>
      </w:pPr>
      <w:r w:rsidRPr="00506730">
        <w:rPr>
          <w:rStyle w:val="FootnoteReference"/>
          <w:sz w:val="18"/>
          <w:szCs w:val="18"/>
        </w:rPr>
        <w:footnoteRef/>
      </w:r>
      <w:r w:rsidRPr="00506730">
        <w:rPr>
          <w:sz w:val="18"/>
          <w:szCs w:val="18"/>
          <w:lang w:val="it-IT"/>
        </w:rPr>
        <w:t xml:space="preserve"> Guyana.</w:t>
      </w:r>
    </w:p>
  </w:footnote>
  <w:footnote w:id="37">
    <w:p w14:paraId="4ED01E85" w14:textId="4CAAE601" w:rsidR="00F320D2" w:rsidRPr="00566459" w:rsidRDefault="00F320D2" w:rsidP="00F320D2">
      <w:pPr>
        <w:pStyle w:val="FootnoteText"/>
        <w:rPr>
          <w:lang w:val="it-IT"/>
        </w:rPr>
      </w:pPr>
      <w:r w:rsidRPr="00506730">
        <w:rPr>
          <w:rStyle w:val="FootnoteReference"/>
          <w:sz w:val="18"/>
          <w:szCs w:val="18"/>
        </w:rPr>
        <w:footnoteRef/>
      </w:r>
      <w:r w:rsidRPr="00506730">
        <w:rPr>
          <w:sz w:val="18"/>
          <w:szCs w:val="18"/>
          <w:lang w:val="it-IT"/>
        </w:rPr>
        <w:t xml:space="preserve"> United Arab Emirates.</w:t>
      </w:r>
      <w:r w:rsidRPr="00566459">
        <w:rPr>
          <w:lang w:val="it-IT"/>
        </w:rPr>
        <w:t xml:space="preserve"> </w:t>
      </w:r>
    </w:p>
  </w:footnote>
  <w:footnote w:id="38">
    <w:p w14:paraId="75C5640A" w14:textId="040FDA6A" w:rsidR="00B20CE3" w:rsidRPr="00506730" w:rsidRDefault="00B20CE3">
      <w:pPr>
        <w:pStyle w:val="FootnoteText"/>
        <w:rPr>
          <w:sz w:val="18"/>
          <w:szCs w:val="18"/>
          <w:lang w:val="en-US"/>
        </w:rPr>
      </w:pPr>
      <w:r w:rsidRPr="00506730">
        <w:rPr>
          <w:rStyle w:val="FootnoteReference"/>
          <w:sz w:val="18"/>
          <w:szCs w:val="18"/>
        </w:rPr>
        <w:footnoteRef/>
      </w:r>
      <w:r w:rsidRPr="00506730">
        <w:rPr>
          <w:sz w:val="18"/>
          <w:szCs w:val="18"/>
        </w:rPr>
        <w:t xml:space="preserve"> </w:t>
      </w:r>
      <w:r w:rsidRPr="00506730">
        <w:rPr>
          <w:sz w:val="18"/>
          <w:szCs w:val="18"/>
          <w:lang w:val="en-US"/>
        </w:rPr>
        <w:t xml:space="preserve">Questions marked with an </w:t>
      </w:r>
      <w:proofErr w:type="spellStart"/>
      <w:r w:rsidRPr="00506730">
        <w:rPr>
          <w:sz w:val="18"/>
          <w:szCs w:val="18"/>
          <w:lang w:val="en-US"/>
        </w:rPr>
        <w:t>asterix</w:t>
      </w:r>
      <w:proofErr w:type="spellEnd"/>
      <w:r w:rsidRPr="00506730">
        <w:rPr>
          <w:sz w:val="18"/>
          <w:szCs w:val="18"/>
          <w:lang w:val="en-US"/>
        </w:rPr>
        <w:t xml:space="preserve"> (*) were mandatory</w:t>
      </w:r>
      <w:r w:rsidR="00EB4A85" w:rsidRPr="00506730">
        <w:rPr>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37802784"/>
  <w:bookmarkStart w:id="2" w:name="_Hlk137802785"/>
  <w:p w14:paraId="27E83D71" w14:textId="59A0B31D" w:rsidR="002B559C" w:rsidRPr="002B559C" w:rsidRDefault="00000000" w:rsidP="002B559C">
    <w:pPr>
      <w:pStyle w:val="Header"/>
      <w:pBdr>
        <w:bottom w:val="single" w:sz="4" w:space="1" w:color="auto"/>
      </w:pBdr>
      <w:spacing w:after="240"/>
      <w:rPr>
        <w:sz w:val="20"/>
        <w:szCs w:val="20"/>
        <w:lang w:val="fr-FR"/>
      </w:rPr>
    </w:pPr>
    <w:sdt>
      <w:sdtPr>
        <w:rPr>
          <w:sz w:val="20"/>
          <w:szCs w:val="20"/>
          <w:lang w:val="fr-FR"/>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Content>
        <w:r w:rsidR="00D70D74">
          <w:rPr>
            <w:sz w:val="20"/>
            <w:szCs w:val="20"/>
            <w:lang w:val="fr-FR"/>
          </w:rPr>
          <w:t>CBD/CP/CC/18/4</w:t>
        </w:r>
      </w:sdtContent>
    </w:sdt>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14:paraId="2C00A14C" w14:textId="7BBD16C8" w:rsidR="002B559C" w:rsidRPr="002B559C" w:rsidRDefault="00D70D74" w:rsidP="002B559C">
        <w:pPr>
          <w:pStyle w:val="Header"/>
          <w:pBdr>
            <w:bottom w:val="single" w:sz="4" w:space="1" w:color="auto"/>
          </w:pBdr>
          <w:spacing w:after="240"/>
          <w:jc w:val="right"/>
          <w:rPr>
            <w:sz w:val="20"/>
            <w:szCs w:val="20"/>
            <w:lang w:val="fr-FR"/>
          </w:rPr>
        </w:pPr>
        <w:r>
          <w:rPr>
            <w:sz w:val="20"/>
            <w:szCs w:val="20"/>
            <w:lang w:val="fr-FR"/>
          </w:rPr>
          <w:t>CBD/CP/CC/18/4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76B"/>
    <w:multiLevelType w:val="multilevel"/>
    <w:tmpl w:val="AD647176"/>
    <w:lvl w:ilvl="0">
      <w:start w:val="1"/>
      <w:numFmt w:val="decimal"/>
      <w:lvlText w:val="%1."/>
      <w:lvlJc w:val="left"/>
      <w:pPr>
        <w:tabs>
          <w:tab w:val="num" w:pos="644"/>
        </w:tabs>
        <w:ind w:left="284" w:firstLine="0"/>
      </w:pPr>
      <w:rPr>
        <w:rFonts w:ascii="Times New Roman" w:hAnsi="Times New Roman" w:cs="Times New Roman" w:hint="default"/>
        <w:b w:val="0"/>
        <w:i w:val="0"/>
        <w:sz w:val="22"/>
        <w:lang w:val="en-CA"/>
      </w:rPr>
    </w:lvl>
    <w:lvl w:ilvl="1">
      <w:start w:val="1"/>
      <w:numFmt w:val="lowerLetter"/>
      <w:lvlText w:val="(%2)"/>
      <w:lvlJc w:val="left"/>
      <w:pPr>
        <w:tabs>
          <w:tab w:val="num" w:pos="1570"/>
        </w:tabs>
        <w:ind w:left="490" w:firstLine="720"/>
      </w:pPr>
      <w:rPr>
        <w:rFonts w:hint="default"/>
        <w:b/>
        <w:bCs w:val="0"/>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02885A0B"/>
    <w:multiLevelType w:val="multilevel"/>
    <w:tmpl w:val="B2202624"/>
    <w:lvl w:ilvl="0">
      <w:start w:val="1"/>
      <w:numFmt w:val="decimal"/>
      <w:lvlText w:val="%1."/>
      <w:lvlJc w:val="left"/>
      <w:pPr>
        <w:tabs>
          <w:tab w:val="num" w:pos="644"/>
        </w:tabs>
        <w:ind w:left="284" w:firstLine="0"/>
      </w:pPr>
      <w:rPr>
        <w:rFonts w:ascii="Times New Roman" w:hAnsi="Times New Roman" w:cs="Times New Roman" w:hint="default"/>
        <w:b w:val="0"/>
        <w:i w:val="0"/>
        <w:sz w:val="22"/>
        <w:lang w:val="en-GB"/>
      </w:rPr>
    </w:lvl>
    <w:lvl w:ilvl="1">
      <w:start w:val="1"/>
      <w:numFmt w:val="lowerLetter"/>
      <w:lvlText w:val="(%2)"/>
      <w:lvlJc w:val="left"/>
      <w:pPr>
        <w:tabs>
          <w:tab w:val="num" w:pos="1570"/>
        </w:tabs>
        <w:ind w:left="490" w:firstLine="720"/>
      </w:pPr>
      <w:rPr>
        <w:rFonts w:hint="default"/>
        <w:b w:val="0"/>
        <w:bCs/>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063264DD"/>
    <w:multiLevelType w:val="hybridMultilevel"/>
    <w:tmpl w:val="8290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1306F"/>
    <w:multiLevelType w:val="multilevel"/>
    <w:tmpl w:val="AB4E58CE"/>
    <w:lvl w:ilvl="0">
      <w:start w:val="1"/>
      <w:numFmt w:val="decimal"/>
      <w:lvlText w:val="%1."/>
      <w:lvlJc w:val="left"/>
      <w:pPr>
        <w:tabs>
          <w:tab w:val="num" w:pos="644"/>
        </w:tabs>
        <w:ind w:left="284" w:firstLine="0"/>
      </w:pPr>
      <w:rPr>
        <w:rFonts w:ascii="Times New Roman" w:hAnsi="Times New Roman" w:cs="Times New Roman" w:hint="default"/>
        <w:b w:val="0"/>
        <w:i w:val="0"/>
        <w:sz w:val="22"/>
        <w:lang w:val="en-CA"/>
      </w:rPr>
    </w:lvl>
    <w:lvl w:ilvl="1">
      <w:start w:val="1"/>
      <w:numFmt w:val="bullet"/>
      <w:lvlText w:val=""/>
      <w:lvlJc w:val="left"/>
      <w:pPr>
        <w:ind w:left="1570" w:hanging="360"/>
      </w:pPr>
      <w:rPr>
        <w:rFonts w:ascii="Symbol" w:hAnsi="Symbol" w:hint="default"/>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09006624"/>
    <w:multiLevelType w:val="multilevel"/>
    <w:tmpl w:val="AB4E58CE"/>
    <w:lvl w:ilvl="0">
      <w:start w:val="1"/>
      <w:numFmt w:val="decimal"/>
      <w:lvlText w:val="%1."/>
      <w:lvlJc w:val="left"/>
      <w:pPr>
        <w:tabs>
          <w:tab w:val="num" w:pos="644"/>
        </w:tabs>
        <w:ind w:left="284" w:firstLine="0"/>
      </w:pPr>
      <w:rPr>
        <w:rFonts w:ascii="Times New Roman" w:hAnsi="Times New Roman" w:cs="Times New Roman" w:hint="default"/>
        <w:b w:val="0"/>
        <w:i w:val="0"/>
        <w:sz w:val="22"/>
        <w:lang w:val="en-CA"/>
      </w:rPr>
    </w:lvl>
    <w:lvl w:ilvl="1">
      <w:start w:val="1"/>
      <w:numFmt w:val="bullet"/>
      <w:lvlText w:val=""/>
      <w:lvlJc w:val="left"/>
      <w:pPr>
        <w:ind w:left="1570" w:hanging="360"/>
      </w:pPr>
      <w:rPr>
        <w:rFonts w:ascii="Symbol" w:hAnsi="Symbol" w:hint="default"/>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09413FE0"/>
    <w:multiLevelType w:val="multilevel"/>
    <w:tmpl w:val="FBD604C2"/>
    <w:lvl w:ilvl="0">
      <w:start w:val="30"/>
      <w:numFmt w:val="decimal"/>
      <w:lvlText w:val="%1."/>
      <w:lvlJc w:val="left"/>
      <w:pPr>
        <w:tabs>
          <w:tab w:val="num" w:pos="644"/>
        </w:tabs>
        <w:ind w:left="284" w:firstLine="0"/>
      </w:pPr>
      <w:rPr>
        <w:rFonts w:ascii="Times New Roman" w:hAnsi="Times New Roman" w:cs="Times New Roman" w:hint="default"/>
        <w:b w:val="0"/>
        <w:i w:val="0"/>
        <w:sz w:val="22"/>
      </w:rPr>
    </w:lvl>
    <w:lvl w:ilvl="1">
      <w:start w:val="2"/>
      <w:numFmt w:val="lowerLetter"/>
      <w:lvlText w:val="(%2)"/>
      <w:lvlJc w:val="left"/>
      <w:pPr>
        <w:tabs>
          <w:tab w:val="num" w:pos="1570"/>
        </w:tabs>
        <w:ind w:left="490" w:firstLine="720"/>
      </w:pPr>
      <w:rPr>
        <w:rFonts w:hint="default"/>
        <w:b/>
        <w:bCs w:val="0"/>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15:restartNumberingAfterBreak="0">
    <w:nsid w:val="0A1E43E9"/>
    <w:multiLevelType w:val="hybridMultilevel"/>
    <w:tmpl w:val="168A20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B532521"/>
    <w:multiLevelType w:val="multilevel"/>
    <w:tmpl w:val="E422A126"/>
    <w:lvl w:ilvl="0">
      <w:start w:val="46"/>
      <w:numFmt w:val="decimal"/>
      <w:lvlText w:val="%1."/>
      <w:lvlJc w:val="left"/>
      <w:pPr>
        <w:tabs>
          <w:tab w:val="num" w:pos="644"/>
        </w:tabs>
        <w:ind w:left="284" w:firstLine="0"/>
      </w:pPr>
      <w:rPr>
        <w:rFonts w:ascii="Times New Roman" w:hAnsi="Times New Roman" w:cs="Times New Roman" w:hint="default"/>
        <w:b w:val="0"/>
        <w:i w:val="0"/>
        <w:sz w:val="22"/>
      </w:rPr>
    </w:lvl>
    <w:lvl w:ilvl="1">
      <w:start w:val="2"/>
      <w:numFmt w:val="lowerLetter"/>
      <w:lvlText w:val="(%2)"/>
      <w:lvlJc w:val="left"/>
      <w:pPr>
        <w:tabs>
          <w:tab w:val="num" w:pos="1570"/>
        </w:tabs>
        <w:ind w:left="490" w:firstLine="720"/>
      </w:pPr>
      <w:rPr>
        <w:rFonts w:hint="default"/>
        <w:b/>
        <w:bCs w:val="0"/>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15:restartNumberingAfterBreak="0">
    <w:nsid w:val="0B847EAA"/>
    <w:multiLevelType w:val="hybridMultilevel"/>
    <w:tmpl w:val="C9D8E47E"/>
    <w:lvl w:ilvl="0" w:tplc="EDE63760">
      <w:start w:val="1"/>
      <w:numFmt w:val="lowerLetter"/>
      <w:lvlText w:val="(%1)"/>
      <w:lvlJc w:val="left"/>
      <w:pPr>
        <w:ind w:left="927" w:hanging="360"/>
      </w:pPr>
      <w:rPr>
        <w:rFonts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9" w15:restartNumberingAfterBreak="0">
    <w:nsid w:val="0FE4618A"/>
    <w:multiLevelType w:val="hybridMultilevel"/>
    <w:tmpl w:val="EFE01AD6"/>
    <w:lvl w:ilvl="0" w:tplc="1496059E">
      <w:start w:val="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5691F15"/>
    <w:multiLevelType w:val="hybridMultilevel"/>
    <w:tmpl w:val="52FE3B08"/>
    <w:lvl w:ilvl="0" w:tplc="0409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1" w15:restartNumberingAfterBreak="0">
    <w:nsid w:val="15FF0BF4"/>
    <w:multiLevelType w:val="multilevel"/>
    <w:tmpl w:val="C8F28D64"/>
    <w:lvl w:ilvl="0">
      <w:start w:val="48"/>
      <w:numFmt w:val="decimal"/>
      <w:lvlText w:val="%1."/>
      <w:lvlJc w:val="left"/>
      <w:pPr>
        <w:tabs>
          <w:tab w:val="num" w:pos="644"/>
        </w:tabs>
        <w:ind w:left="284" w:firstLine="0"/>
      </w:pPr>
      <w:rPr>
        <w:rFonts w:ascii="Times New Roman" w:hAnsi="Times New Roman" w:cs="Times New Roman" w:hint="default"/>
        <w:b w:val="0"/>
        <w:i w:val="0"/>
        <w:sz w:val="22"/>
      </w:rPr>
    </w:lvl>
    <w:lvl w:ilvl="1">
      <w:start w:val="2"/>
      <w:numFmt w:val="lowerLetter"/>
      <w:lvlText w:val="(%2)"/>
      <w:lvlJc w:val="left"/>
      <w:pPr>
        <w:tabs>
          <w:tab w:val="num" w:pos="1570"/>
        </w:tabs>
        <w:ind w:left="490" w:firstLine="720"/>
      </w:pPr>
      <w:rPr>
        <w:rFonts w:hint="default"/>
        <w:b/>
        <w:bCs w:val="0"/>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16DC23B0"/>
    <w:multiLevelType w:val="hybridMultilevel"/>
    <w:tmpl w:val="67720BBE"/>
    <w:lvl w:ilvl="0" w:tplc="00FE8B4C">
      <w:start w:val="23"/>
      <w:numFmt w:val="bullet"/>
      <w:lvlText w:val="-"/>
      <w:lvlJc w:val="left"/>
      <w:pPr>
        <w:ind w:left="927" w:hanging="360"/>
      </w:pPr>
      <w:rPr>
        <w:rFonts w:ascii="Times New Roman" w:eastAsia="Times New Roman" w:hAnsi="Times New Roman" w:cs="Times New Roman"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3" w15:restartNumberingAfterBreak="0">
    <w:nsid w:val="170671C7"/>
    <w:multiLevelType w:val="hybridMultilevel"/>
    <w:tmpl w:val="D2D6DD80"/>
    <w:lvl w:ilvl="0" w:tplc="EDE63760">
      <w:start w:val="1"/>
      <w:numFmt w:val="lowerLetter"/>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4" w15:restartNumberingAfterBreak="0">
    <w:nsid w:val="17303C1F"/>
    <w:multiLevelType w:val="multilevel"/>
    <w:tmpl w:val="AB4E58CE"/>
    <w:lvl w:ilvl="0">
      <w:start w:val="1"/>
      <w:numFmt w:val="decimal"/>
      <w:lvlText w:val="%1."/>
      <w:lvlJc w:val="left"/>
      <w:pPr>
        <w:tabs>
          <w:tab w:val="num" w:pos="644"/>
        </w:tabs>
        <w:ind w:left="284" w:firstLine="0"/>
      </w:pPr>
      <w:rPr>
        <w:rFonts w:ascii="Times New Roman" w:hAnsi="Times New Roman" w:cs="Times New Roman" w:hint="default"/>
        <w:b w:val="0"/>
        <w:i w:val="0"/>
        <w:sz w:val="22"/>
        <w:lang w:val="en-CA"/>
      </w:rPr>
    </w:lvl>
    <w:lvl w:ilvl="1">
      <w:start w:val="1"/>
      <w:numFmt w:val="bullet"/>
      <w:lvlText w:val=""/>
      <w:lvlJc w:val="left"/>
      <w:pPr>
        <w:ind w:left="1570" w:hanging="360"/>
      </w:pPr>
      <w:rPr>
        <w:rFonts w:ascii="Symbol" w:hAnsi="Symbol" w:hint="default"/>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15:restartNumberingAfterBreak="0">
    <w:nsid w:val="178B60EC"/>
    <w:multiLevelType w:val="multilevel"/>
    <w:tmpl w:val="AB4E58CE"/>
    <w:lvl w:ilvl="0">
      <w:start w:val="1"/>
      <w:numFmt w:val="decimal"/>
      <w:lvlText w:val="%1."/>
      <w:lvlJc w:val="left"/>
      <w:pPr>
        <w:tabs>
          <w:tab w:val="num" w:pos="644"/>
        </w:tabs>
        <w:ind w:left="284" w:firstLine="0"/>
      </w:pPr>
      <w:rPr>
        <w:rFonts w:ascii="Times New Roman" w:hAnsi="Times New Roman" w:cs="Times New Roman" w:hint="default"/>
        <w:b w:val="0"/>
        <w:i w:val="0"/>
        <w:sz w:val="22"/>
        <w:lang w:val="en-CA"/>
      </w:rPr>
    </w:lvl>
    <w:lvl w:ilvl="1">
      <w:start w:val="1"/>
      <w:numFmt w:val="bullet"/>
      <w:lvlText w:val=""/>
      <w:lvlJc w:val="left"/>
      <w:pPr>
        <w:ind w:left="1570" w:hanging="360"/>
      </w:pPr>
      <w:rPr>
        <w:rFonts w:ascii="Symbol" w:hAnsi="Symbol" w:hint="default"/>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15:restartNumberingAfterBreak="0">
    <w:nsid w:val="18B80387"/>
    <w:multiLevelType w:val="multilevel"/>
    <w:tmpl w:val="E0768BAA"/>
    <w:lvl w:ilvl="0">
      <w:start w:val="1"/>
      <w:numFmt w:val="decimal"/>
      <w:lvlText w:val="%1."/>
      <w:lvlJc w:val="left"/>
      <w:pPr>
        <w:tabs>
          <w:tab w:val="num" w:pos="644"/>
        </w:tabs>
        <w:ind w:left="284" w:firstLine="0"/>
      </w:pPr>
      <w:rPr>
        <w:rFonts w:ascii="Times New Roman" w:hAnsi="Times New Roman" w:cs="Times New Roman" w:hint="default"/>
        <w:b w:val="0"/>
        <w:i w:val="0"/>
        <w:sz w:val="22"/>
        <w:lang w:val="en-CA"/>
      </w:rPr>
    </w:lvl>
    <w:lvl w:ilvl="1">
      <w:start w:val="1"/>
      <w:numFmt w:val="lowerLetter"/>
      <w:lvlText w:val="%2)"/>
      <w:lvlJc w:val="left"/>
      <w:pPr>
        <w:ind w:left="1570" w:hanging="360"/>
      </w:p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 w15:restartNumberingAfterBreak="0">
    <w:nsid w:val="1EA426A2"/>
    <w:multiLevelType w:val="multilevel"/>
    <w:tmpl w:val="B2202624"/>
    <w:lvl w:ilvl="0">
      <w:start w:val="1"/>
      <w:numFmt w:val="decimal"/>
      <w:lvlText w:val="%1."/>
      <w:lvlJc w:val="left"/>
      <w:pPr>
        <w:tabs>
          <w:tab w:val="num" w:pos="644"/>
        </w:tabs>
        <w:ind w:left="284" w:firstLine="0"/>
      </w:pPr>
      <w:rPr>
        <w:rFonts w:ascii="Times New Roman" w:hAnsi="Times New Roman" w:cs="Times New Roman" w:hint="default"/>
        <w:b w:val="0"/>
        <w:i w:val="0"/>
        <w:sz w:val="22"/>
        <w:lang w:val="en-GB"/>
      </w:rPr>
    </w:lvl>
    <w:lvl w:ilvl="1">
      <w:start w:val="1"/>
      <w:numFmt w:val="lowerLetter"/>
      <w:lvlText w:val="(%2)"/>
      <w:lvlJc w:val="left"/>
      <w:pPr>
        <w:tabs>
          <w:tab w:val="num" w:pos="1570"/>
        </w:tabs>
        <w:ind w:left="490" w:firstLine="720"/>
      </w:pPr>
      <w:rPr>
        <w:rFonts w:hint="default"/>
        <w:b w:val="0"/>
        <w:bCs/>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 w15:restartNumberingAfterBreak="0">
    <w:nsid w:val="1F2A58CD"/>
    <w:multiLevelType w:val="multilevel"/>
    <w:tmpl w:val="CE90FB6E"/>
    <w:lvl w:ilvl="0">
      <w:start w:val="1"/>
      <w:numFmt w:val="decimal"/>
      <w:lvlText w:val="%1."/>
      <w:lvlJc w:val="left"/>
      <w:pPr>
        <w:tabs>
          <w:tab w:val="num" w:pos="644"/>
        </w:tabs>
        <w:ind w:left="284" w:firstLine="0"/>
      </w:pPr>
      <w:rPr>
        <w:rFonts w:ascii="Times New Roman" w:hAnsi="Times New Roman" w:cs="Times New Roman" w:hint="default"/>
        <w:b w:val="0"/>
        <w:i w:val="0"/>
        <w:sz w:val="22"/>
        <w:lang w:val="en-CA"/>
      </w:rPr>
    </w:lvl>
    <w:lvl w:ilvl="1">
      <w:start w:val="1"/>
      <w:numFmt w:val="lowerLetter"/>
      <w:lvlText w:val="(%2)"/>
      <w:lvlJc w:val="left"/>
      <w:pPr>
        <w:ind w:left="927" w:hanging="360"/>
      </w:pPr>
      <w:rPr>
        <w:rFonts w:hint="default"/>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9" w15:restartNumberingAfterBreak="0">
    <w:nsid w:val="24DD7965"/>
    <w:multiLevelType w:val="multilevel"/>
    <w:tmpl w:val="A3CE819E"/>
    <w:lvl w:ilvl="0">
      <w:start w:val="1"/>
      <w:numFmt w:val="decimal"/>
      <w:lvlText w:val="%1."/>
      <w:lvlJc w:val="left"/>
      <w:pPr>
        <w:tabs>
          <w:tab w:val="num" w:pos="644"/>
        </w:tabs>
        <w:ind w:left="284" w:firstLine="0"/>
      </w:pPr>
      <w:rPr>
        <w:rFonts w:ascii="Times New Roman" w:hAnsi="Times New Roman" w:cs="Times New Roman" w:hint="default"/>
        <w:b w:val="0"/>
        <w:i w:val="0"/>
        <w:sz w:val="22"/>
        <w:lang w:val="en-CA"/>
      </w:rPr>
    </w:lvl>
    <w:lvl w:ilvl="1">
      <w:start w:val="1"/>
      <w:numFmt w:val="bullet"/>
      <w:lvlText w:val=""/>
      <w:lvlJc w:val="left"/>
      <w:pPr>
        <w:ind w:left="1570" w:hanging="360"/>
      </w:pPr>
      <w:rPr>
        <w:rFonts w:ascii="Symbol" w:hAnsi="Symbol" w:hint="default"/>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15:restartNumberingAfterBreak="0">
    <w:nsid w:val="2670572D"/>
    <w:multiLevelType w:val="multilevel"/>
    <w:tmpl w:val="4D4CAE18"/>
    <w:lvl w:ilvl="0">
      <w:start w:val="38"/>
      <w:numFmt w:val="decimal"/>
      <w:lvlText w:val="%1."/>
      <w:lvlJc w:val="left"/>
      <w:pPr>
        <w:tabs>
          <w:tab w:val="num" w:pos="644"/>
        </w:tabs>
        <w:ind w:left="284" w:firstLine="0"/>
      </w:pPr>
      <w:rPr>
        <w:rFonts w:ascii="Times New Roman" w:hAnsi="Times New Roman" w:cs="Times New Roman" w:hint="default"/>
        <w:b w:val="0"/>
        <w:i w:val="0"/>
        <w:sz w:val="22"/>
      </w:rPr>
    </w:lvl>
    <w:lvl w:ilvl="1">
      <w:start w:val="2"/>
      <w:numFmt w:val="lowerLetter"/>
      <w:lvlText w:val="(%2)"/>
      <w:lvlJc w:val="left"/>
      <w:pPr>
        <w:tabs>
          <w:tab w:val="num" w:pos="1570"/>
        </w:tabs>
        <w:ind w:left="490" w:firstLine="720"/>
      </w:pPr>
      <w:rPr>
        <w:rFonts w:hint="default"/>
        <w:b/>
        <w:bCs w:val="0"/>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 w15:restartNumberingAfterBreak="0">
    <w:nsid w:val="313F6BF7"/>
    <w:multiLevelType w:val="multilevel"/>
    <w:tmpl w:val="1A3E01B6"/>
    <w:lvl w:ilvl="0">
      <w:start w:val="1"/>
      <w:numFmt w:val="decimal"/>
      <w:lvlText w:val="%1."/>
      <w:lvlJc w:val="left"/>
      <w:pPr>
        <w:tabs>
          <w:tab w:val="num" w:pos="644"/>
        </w:tabs>
        <w:ind w:left="284" w:firstLine="0"/>
      </w:pPr>
      <w:rPr>
        <w:rFonts w:ascii="Times New Roman" w:hAnsi="Times New Roman" w:cs="Times New Roman" w:hint="default"/>
        <w:b w:val="0"/>
        <w:i w:val="0"/>
        <w:sz w:val="22"/>
        <w:lang w:val="en-CA"/>
      </w:rPr>
    </w:lvl>
    <w:lvl w:ilvl="1">
      <w:start w:val="1"/>
      <w:numFmt w:val="lowerLetter"/>
      <w:lvlText w:val="(%2)"/>
      <w:lvlJc w:val="left"/>
      <w:pPr>
        <w:ind w:left="927" w:hanging="360"/>
      </w:pPr>
      <w:rPr>
        <w:rFonts w:hint="default"/>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15:restartNumberingAfterBreak="0">
    <w:nsid w:val="33087D22"/>
    <w:multiLevelType w:val="hybridMultilevel"/>
    <w:tmpl w:val="0B7CFD62"/>
    <w:lvl w:ilvl="0" w:tplc="BA2EF372">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34165C05"/>
    <w:multiLevelType w:val="hybridMultilevel"/>
    <w:tmpl w:val="D7C2A8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62E4CDE"/>
    <w:multiLevelType w:val="multilevel"/>
    <w:tmpl w:val="B2202624"/>
    <w:lvl w:ilvl="0">
      <w:start w:val="1"/>
      <w:numFmt w:val="decimal"/>
      <w:lvlText w:val="%1."/>
      <w:lvlJc w:val="left"/>
      <w:pPr>
        <w:tabs>
          <w:tab w:val="num" w:pos="644"/>
        </w:tabs>
        <w:ind w:left="284" w:firstLine="0"/>
      </w:pPr>
      <w:rPr>
        <w:rFonts w:ascii="Times New Roman" w:hAnsi="Times New Roman" w:cs="Times New Roman" w:hint="default"/>
        <w:b w:val="0"/>
        <w:i w:val="0"/>
        <w:sz w:val="22"/>
        <w:lang w:val="en-GB"/>
      </w:rPr>
    </w:lvl>
    <w:lvl w:ilvl="1">
      <w:start w:val="1"/>
      <w:numFmt w:val="lowerLetter"/>
      <w:lvlText w:val="(%2)"/>
      <w:lvlJc w:val="left"/>
      <w:pPr>
        <w:tabs>
          <w:tab w:val="num" w:pos="1570"/>
        </w:tabs>
        <w:ind w:left="490" w:firstLine="720"/>
      </w:pPr>
      <w:rPr>
        <w:rFonts w:hint="default"/>
        <w:b w:val="0"/>
        <w:bCs/>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5" w15:restartNumberingAfterBreak="0">
    <w:nsid w:val="3CCC21A0"/>
    <w:multiLevelType w:val="hybridMultilevel"/>
    <w:tmpl w:val="D3BEA3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76BEEAB0">
      <w:start w:val="1"/>
      <w:numFmt w:val="decimal"/>
      <w:lvlText w:val="%3."/>
      <w:lvlJc w:val="left"/>
      <w:pPr>
        <w:ind w:left="2160" w:hanging="180"/>
      </w:pPr>
      <w:rPr>
        <w:i w:val="0"/>
        <w:iCs/>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0331BB2"/>
    <w:multiLevelType w:val="hybridMultilevel"/>
    <w:tmpl w:val="C8DEAB40"/>
    <w:lvl w:ilvl="0" w:tplc="628E529E">
      <w:start w:val="1"/>
      <w:numFmt w:val="decimal"/>
      <w:lvlText w:val="%1."/>
      <w:lvlJc w:val="left"/>
      <w:pPr>
        <w:ind w:left="720" w:hanging="360"/>
      </w:pPr>
      <w:rPr>
        <w:rFonts w:hint="default"/>
        <w:color w:val="2424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70B2EA3"/>
    <w:multiLevelType w:val="multilevel"/>
    <w:tmpl w:val="922E9654"/>
    <w:lvl w:ilvl="0">
      <w:start w:val="1"/>
      <w:numFmt w:val="decimal"/>
      <w:lvlText w:val="%1."/>
      <w:lvlJc w:val="left"/>
      <w:pPr>
        <w:tabs>
          <w:tab w:val="num" w:pos="644"/>
        </w:tabs>
        <w:ind w:left="284" w:firstLine="0"/>
      </w:pPr>
      <w:rPr>
        <w:rFonts w:ascii="Times New Roman" w:hAnsi="Times New Roman" w:cs="Times New Roman" w:hint="default"/>
        <w:b w:val="0"/>
        <w:i w:val="0"/>
        <w:sz w:val="22"/>
        <w:lang w:val="en-CA"/>
      </w:rPr>
    </w:lvl>
    <w:lvl w:ilvl="1">
      <w:start w:val="1"/>
      <w:numFmt w:val="bullet"/>
      <w:lvlText w:val=""/>
      <w:lvlJc w:val="left"/>
      <w:pPr>
        <w:ind w:left="1570" w:hanging="360"/>
      </w:pPr>
      <w:rPr>
        <w:rFonts w:ascii="Symbol" w:hAnsi="Symbol" w:hint="default"/>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15:restartNumberingAfterBreak="0">
    <w:nsid w:val="4ADC258B"/>
    <w:multiLevelType w:val="hybridMultilevel"/>
    <w:tmpl w:val="C3CCF4F0"/>
    <w:lvl w:ilvl="0" w:tplc="A4D881B0">
      <w:start w:val="3"/>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15858EC"/>
    <w:multiLevelType w:val="hybridMultilevel"/>
    <w:tmpl w:val="00AAF5D2"/>
    <w:lvl w:ilvl="0" w:tplc="0FF8E59A">
      <w:start w:val="1"/>
      <w:numFmt w:val="decimal"/>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32" w15:restartNumberingAfterBreak="0">
    <w:nsid w:val="55DB0221"/>
    <w:multiLevelType w:val="multilevel"/>
    <w:tmpl w:val="B2202624"/>
    <w:lvl w:ilvl="0">
      <w:start w:val="1"/>
      <w:numFmt w:val="decimal"/>
      <w:lvlText w:val="%1."/>
      <w:lvlJc w:val="left"/>
      <w:pPr>
        <w:tabs>
          <w:tab w:val="num" w:pos="644"/>
        </w:tabs>
        <w:ind w:left="284" w:firstLine="0"/>
      </w:pPr>
      <w:rPr>
        <w:rFonts w:ascii="Times New Roman" w:hAnsi="Times New Roman" w:cs="Times New Roman" w:hint="default"/>
        <w:b w:val="0"/>
        <w:i w:val="0"/>
        <w:sz w:val="22"/>
        <w:lang w:val="en-GB"/>
      </w:rPr>
    </w:lvl>
    <w:lvl w:ilvl="1">
      <w:start w:val="1"/>
      <w:numFmt w:val="lowerLetter"/>
      <w:lvlText w:val="(%2)"/>
      <w:lvlJc w:val="left"/>
      <w:pPr>
        <w:tabs>
          <w:tab w:val="num" w:pos="1570"/>
        </w:tabs>
        <w:ind w:left="490" w:firstLine="720"/>
      </w:pPr>
      <w:rPr>
        <w:rFonts w:hint="default"/>
        <w:b w:val="0"/>
        <w:bCs/>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3"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DD15515"/>
    <w:multiLevelType w:val="multilevel"/>
    <w:tmpl w:val="AD647176"/>
    <w:lvl w:ilvl="0">
      <w:start w:val="1"/>
      <w:numFmt w:val="decimal"/>
      <w:lvlText w:val="%1."/>
      <w:lvlJc w:val="left"/>
      <w:pPr>
        <w:tabs>
          <w:tab w:val="num" w:pos="644"/>
        </w:tabs>
        <w:ind w:left="284" w:firstLine="0"/>
      </w:pPr>
      <w:rPr>
        <w:rFonts w:ascii="Times New Roman" w:hAnsi="Times New Roman" w:cs="Times New Roman" w:hint="default"/>
        <w:b w:val="0"/>
        <w:i w:val="0"/>
        <w:sz w:val="22"/>
        <w:lang w:val="en-CA"/>
      </w:rPr>
    </w:lvl>
    <w:lvl w:ilvl="1">
      <w:start w:val="1"/>
      <w:numFmt w:val="lowerLetter"/>
      <w:lvlText w:val="(%2)"/>
      <w:lvlJc w:val="left"/>
      <w:pPr>
        <w:tabs>
          <w:tab w:val="num" w:pos="1570"/>
        </w:tabs>
        <w:ind w:left="490" w:firstLine="720"/>
      </w:pPr>
      <w:rPr>
        <w:rFonts w:hint="default"/>
        <w:b/>
        <w:bCs w:val="0"/>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5"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36" w15:restartNumberingAfterBreak="0">
    <w:nsid w:val="601262FE"/>
    <w:multiLevelType w:val="hybridMultilevel"/>
    <w:tmpl w:val="6D909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6C48C3"/>
    <w:multiLevelType w:val="hybridMultilevel"/>
    <w:tmpl w:val="325A09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4D45CD2"/>
    <w:multiLevelType w:val="hybridMultilevel"/>
    <w:tmpl w:val="3B1E410E"/>
    <w:lvl w:ilvl="0" w:tplc="14F2D5D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8B70991"/>
    <w:multiLevelType w:val="hybridMultilevel"/>
    <w:tmpl w:val="B0B46B4E"/>
    <w:lvl w:ilvl="0" w:tplc="25A23CC4">
      <w:start w:val="1"/>
      <w:numFmt w:val="decimal"/>
      <w:pStyle w:val="Para10"/>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0" w15:restartNumberingAfterBreak="0">
    <w:nsid w:val="6D7605E5"/>
    <w:multiLevelType w:val="multilevel"/>
    <w:tmpl w:val="379A928E"/>
    <w:lvl w:ilvl="0">
      <w:start w:val="1"/>
      <w:numFmt w:val="decimal"/>
      <w:lvlText w:val="%1."/>
      <w:lvlJc w:val="left"/>
      <w:pPr>
        <w:tabs>
          <w:tab w:val="num" w:pos="644"/>
        </w:tabs>
        <w:ind w:left="284" w:firstLine="0"/>
      </w:pPr>
      <w:rPr>
        <w:rFonts w:ascii="Times New Roman" w:hAnsi="Times New Roman" w:cs="Times New Roman" w:hint="default"/>
        <w:b w:val="0"/>
        <w:i w:val="0"/>
        <w:sz w:val="22"/>
        <w:lang w:val="en-CA"/>
      </w:rPr>
    </w:lvl>
    <w:lvl w:ilvl="1">
      <w:start w:val="1"/>
      <w:numFmt w:val="lowerLetter"/>
      <w:lvlText w:val="%2)"/>
      <w:lvlJc w:val="left"/>
      <w:pPr>
        <w:ind w:left="1570" w:hanging="360"/>
      </w:p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1" w15:restartNumberingAfterBreak="0">
    <w:nsid w:val="6EE23244"/>
    <w:multiLevelType w:val="multilevel"/>
    <w:tmpl w:val="AD647176"/>
    <w:lvl w:ilvl="0">
      <w:start w:val="1"/>
      <w:numFmt w:val="decimal"/>
      <w:lvlText w:val="%1."/>
      <w:lvlJc w:val="left"/>
      <w:pPr>
        <w:tabs>
          <w:tab w:val="num" w:pos="644"/>
        </w:tabs>
        <w:ind w:left="284" w:firstLine="0"/>
      </w:pPr>
      <w:rPr>
        <w:rFonts w:ascii="Times New Roman" w:hAnsi="Times New Roman" w:cs="Times New Roman" w:hint="default"/>
        <w:b w:val="0"/>
        <w:i w:val="0"/>
        <w:sz w:val="22"/>
        <w:lang w:val="en-CA"/>
      </w:rPr>
    </w:lvl>
    <w:lvl w:ilvl="1">
      <w:start w:val="1"/>
      <w:numFmt w:val="lowerLetter"/>
      <w:lvlText w:val="(%2)"/>
      <w:lvlJc w:val="left"/>
      <w:pPr>
        <w:tabs>
          <w:tab w:val="num" w:pos="1570"/>
        </w:tabs>
        <w:ind w:left="490" w:firstLine="720"/>
      </w:pPr>
      <w:rPr>
        <w:rFonts w:hint="default"/>
        <w:b/>
        <w:bCs w:val="0"/>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2" w15:restartNumberingAfterBreak="0">
    <w:nsid w:val="75034C85"/>
    <w:multiLevelType w:val="multilevel"/>
    <w:tmpl w:val="A6CC5E38"/>
    <w:lvl w:ilvl="0">
      <w:start w:val="31"/>
      <w:numFmt w:val="decimal"/>
      <w:lvlText w:val="%1."/>
      <w:lvlJc w:val="left"/>
      <w:pPr>
        <w:tabs>
          <w:tab w:val="num" w:pos="644"/>
        </w:tabs>
        <w:ind w:left="284" w:firstLine="0"/>
      </w:pPr>
      <w:rPr>
        <w:rFonts w:ascii="Times New Roman" w:hAnsi="Times New Roman" w:cs="Times New Roman" w:hint="default"/>
        <w:b w:val="0"/>
        <w:i w:val="0"/>
        <w:sz w:val="22"/>
      </w:rPr>
    </w:lvl>
    <w:lvl w:ilvl="1">
      <w:start w:val="1"/>
      <w:numFmt w:val="lowerLetter"/>
      <w:lvlText w:val="(%2)"/>
      <w:lvlJc w:val="left"/>
      <w:pPr>
        <w:tabs>
          <w:tab w:val="num" w:pos="1570"/>
        </w:tabs>
        <w:ind w:left="490" w:firstLine="720"/>
      </w:pPr>
      <w:rPr>
        <w:rFonts w:hint="default"/>
        <w:b/>
        <w:bCs w:val="0"/>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3" w15:restartNumberingAfterBreak="0">
    <w:nsid w:val="764E5AD2"/>
    <w:multiLevelType w:val="hybridMultilevel"/>
    <w:tmpl w:val="481A613C"/>
    <w:lvl w:ilvl="0" w:tplc="5492EC56">
      <w:start w:val="1"/>
      <w:numFmt w:val="bullet"/>
      <w:lvlText w:val="-"/>
      <w:lvlJc w:val="left"/>
      <w:pPr>
        <w:ind w:left="927" w:hanging="360"/>
      </w:pPr>
      <w:rPr>
        <w:rFonts w:ascii="Calibri" w:eastAsiaTheme="minorHAnsi" w:hAnsi="Calibri" w:cs="Calibri"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44" w15:restartNumberingAfterBreak="0">
    <w:nsid w:val="76BA1A4A"/>
    <w:multiLevelType w:val="hybridMultilevel"/>
    <w:tmpl w:val="FC840F90"/>
    <w:lvl w:ilvl="0" w:tplc="F774D2E4">
      <w:start w:val="2"/>
      <w:numFmt w:val="lowerRoman"/>
      <w:lvlText w:val="(%1."/>
      <w:lvlJc w:val="left"/>
      <w:pPr>
        <w:ind w:left="2880" w:hanging="720"/>
      </w:pPr>
      <w:rPr>
        <w:rFonts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B4C5553"/>
    <w:multiLevelType w:val="hybridMultilevel"/>
    <w:tmpl w:val="C750FD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FF494A"/>
    <w:multiLevelType w:val="hybridMultilevel"/>
    <w:tmpl w:val="B8C27F8A"/>
    <w:lvl w:ilvl="0" w:tplc="48DEED9E">
      <w:start w:val="1"/>
      <w:numFmt w:val="lowerRoman"/>
      <w:pStyle w:val="Para30"/>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D98050E"/>
    <w:multiLevelType w:val="multilevel"/>
    <w:tmpl w:val="D47892D8"/>
    <w:lvl w:ilvl="0">
      <w:start w:val="39"/>
      <w:numFmt w:val="decimal"/>
      <w:lvlText w:val="%1."/>
      <w:lvlJc w:val="left"/>
      <w:pPr>
        <w:tabs>
          <w:tab w:val="num" w:pos="644"/>
        </w:tabs>
        <w:ind w:left="284" w:firstLine="0"/>
      </w:pPr>
      <w:rPr>
        <w:rFonts w:ascii="Times New Roman" w:hAnsi="Times New Roman" w:cs="Times New Roman" w:hint="default"/>
        <w:b w:val="0"/>
        <w:i w:val="0"/>
        <w:sz w:val="22"/>
      </w:rPr>
    </w:lvl>
    <w:lvl w:ilvl="1">
      <w:start w:val="1"/>
      <w:numFmt w:val="lowerLetter"/>
      <w:lvlText w:val="(%2)"/>
      <w:lvlJc w:val="left"/>
      <w:pPr>
        <w:tabs>
          <w:tab w:val="num" w:pos="1570"/>
        </w:tabs>
        <w:ind w:left="490" w:firstLine="720"/>
      </w:pPr>
      <w:rPr>
        <w:rFonts w:hint="default"/>
        <w:b/>
        <w:bCs w:val="0"/>
        <w:i w:val="0"/>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16cid:durableId="2050370327">
    <w:abstractNumId w:val="27"/>
  </w:num>
  <w:num w:numId="2" w16cid:durableId="2069499237">
    <w:abstractNumId w:val="39"/>
  </w:num>
  <w:num w:numId="3" w16cid:durableId="1334139419">
    <w:abstractNumId w:val="33"/>
  </w:num>
  <w:num w:numId="4" w16cid:durableId="199586161">
    <w:abstractNumId w:val="35"/>
  </w:num>
  <w:num w:numId="5" w16cid:durableId="1480611021">
    <w:abstractNumId w:val="46"/>
  </w:num>
  <w:num w:numId="6" w16cid:durableId="208959761">
    <w:abstractNumId w:val="41"/>
  </w:num>
  <w:num w:numId="7" w16cid:durableId="327681417">
    <w:abstractNumId w:val="30"/>
  </w:num>
  <w:num w:numId="8" w16cid:durableId="336426939">
    <w:abstractNumId w:val="24"/>
  </w:num>
  <w:num w:numId="9" w16cid:durableId="1818955242">
    <w:abstractNumId w:val="38"/>
  </w:num>
  <w:num w:numId="10" w16cid:durableId="871262574">
    <w:abstractNumId w:val="45"/>
  </w:num>
  <w:num w:numId="11" w16cid:durableId="337581546">
    <w:abstractNumId w:val="26"/>
  </w:num>
  <w:num w:numId="12" w16cid:durableId="1733498537">
    <w:abstractNumId w:val="6"/>
  </w:num>
  <w:num w:numId="13" w16cid:durableId="273706992">
    <w:abstractNumId w:val="23"/>
  </w:num>
  <w:num w:numId="14" w16cid:durableId="655107736">
    <w:abstractNumId w:val="40"/>
  </w:num>
  <w:num w:numId="15" w16cid:durableId="1593198201">
    <w:abstractNumId w:val="16"/>
  </w:num>
  <w:num w:numId="16" w16cid:durableId="592905518">
    <w:abstractNumId w:val="36"/>
  </w:num>
  <w:num w:numId="17" w16cid:durableId="1553810125">
    <w:abstractNumId w:val="25"/>
  </w:num>
  <w:num w:numId="18" w16cid:durableId="3480493">
    <w:abstractNumId w:val="2"/>
  </w:num>
  <w:num w:numId="19" w16cid:durableId="1864594418">
    <w:abstractNumId w:val="37"/>
  </w:num>
  <w:num w:numId="20" w16cid:durableId="1226181513">
    <w:abstractNumId w:val="1"/>
  </w:num>
  <w:num w:numId="21" w16cid:durableId="1064448607">
    <w:abstractNumId w:val="9"/>
  </w:num>
  <w:num w:numId="22" w16cid:durableId="282856743">
    <w:abstractNumId w:val="12"/>
  </w:num>
  <w:num w:numId="23" w16cid:durableId="1123116083">
    <w:abstractNumId w:val="32"/>
  </w:num>
  <w:num w:numId="24" w16cid:durableId="902254436">
    <w:abstractNumId w:val="22"/>
  </w:num>
  <w:num w:numId="25" w16cid:durableId="9070123">
    <w:abstractNumId w:val="44"/>
  </w:num>
  <w:num w:numId="26" w16cid:durableId="1418330596">
    <w:abstractNumId w:val="29"/>
  </w:num>
  <w:num w:numId="27" w16cid:durableId="756755673">
    <w:abstractNumId w:val="17"/>
  </w:num>
  <w:num w:numId="28" w16cid:durableId="1068193026">
    <w:abstractNumId w:val="31"/>
  </w:num>
  <w:num w:numId="29" w16cid:durableId="1657031365">
    <w:abstractNumId w:val="34"/>
  </w:num>
  <w:num w:numId="30" w16cid:durableId="840776138">
    <w:abstractNumId w:val="0"/>
  </w:num>
  <w:num w:numId="31" w16cid:durableId="901402059">
    <w:abstractNumId w:val="43"/>
  </w:num>
  <w:num w:numId="32" w16cid:durableId="393628171">
    <w:abstractNumId w:val="3"/>
  </w:num>
  <w:num w:numId="33" w16cid:durableId="1384598257">
    <w:abstractNumId w:val="4"/>
  </w:num>
  <w:num w:numId="34" w16cid:durableId="1306664152">
    <w:abstractNumId w:val="15"/>
  </w:num>
  <w:num w:numId="35" w16cid:durableId="1080327622">
    <w:abstractNumId w:val="14"/>
  </w:num>
  <w:num w:numId="36" w16cid:durableId="1996450543">
    <w:abstractNumId w:val="10"/>
  </w:num>
  <w:num w:numId="37" w16cid:durableId="2004967512">
    <w:abstractNumId w:val="19"/>
  </w:num>
  <w:num w:numId="38" w16cid:durableId="1505633543">
    <w:abstractNumId w:val="28"/>
  </w:num>
  <w:num w:numId="39" w16cid:durableId="693502325">
    <w:abstractNumId w:val="5"/>
  </w:num>
  <w:num w:numId="40" w16cid:durableId="464196617">
    <w:abstractNumId w:val="42"/>
  </w:num>
  <w:num w:numId="41" w16cid:durableId="1369989225">
    <w:abstractNumId w:val="20"/>
  </w:num>
  <w:num w:numId="42" w16cid:durableId="1920409121">
    <w:abstractNumId w:val="47"/>
  </w:num>
  <w:num w:numId="43" w16cid:durableId="45376842">
    <w:abstractNumId w:val="7"/>
  </w:num>
  <w:num w:numId="44" w16cid:durableId="377049335">
    <w:abstractNumId w:val="11"/>
  </w:num>
  <w:num w:numId="45" w16cid:durableId="632829133">
    <w:abstractNumId w:val="13"/>
  </w:num>
  <w:num w:numId="46" w16cid:durableId="1258100075">
    <w:abstractNumId w:val="30"/>
  </w:num>
  <w:num w:numId="47" w16cid:durableId="516047031">
    <w:abstractNumId w:val="8"/>
  </w:num>
  <w:num w:numId="48" w16cid:durableId="193465597">
    <w:abstractNumId w:val="18"/>
  </w:num>
  <w:num w:numId="49" w16cid:durableId="582253813">
    <w:abstractNumId w:val="21"/>
  </w:num>
  <w:num w:numId="50" w16cid:durableId="1246843889">
    <w:abstractNumId w:val="30"/>
  </w:num>
  <w:num w:numId="51" w16cid:durableId="1582448995">
    <w:abstractNumId w:val="30"/>
  </w:num>
  <w:num w:numId="52" w16cid:durableId="2075545534">
    <w:abstractNumId w:val="30"/>
  </w:num>
  <w:num w:numId="53" w16cid:durableId="279840919">
    <w:abstractNumId w:val="30"/>
  </w:num>
  <w:num w:numId="54" w16cid:durableId="1991785414">
    <w:abstractNumId w:val="30"/>
  </w:num>
  <w:num w:numId="55" w16cid:durableId="771558826">
    <w:abstractNumId w:val="30"/>
  </w:num>
  <w:num w:numId="56" w16cid:durableId="493296925">
    <w:abstractNumId w:val="30"/>
  </w:num>
  <w:num w:numId="57" w16cid:durableId="1075661213">
    <w:abstractNumId w:val="30"/>
  </w:num>
  <w:num w:numId="58" w16cid:durableId="1771507717">
    <w:abstractNumId w:val="30"/>
  </w:num>
  <w:num w:numId="59" w16cid:durableId="1568608932">
    <w:abstractNumId w:val="30"/>
  </w:num>
  <w:num w:numId="60" w16cid:durableId="1251087330">
    <w:abstractNumId w:val="30"/>
  </w:num>
  <w:num w:numId="61" w16cid:durableId="1082797100">
    <w:abstractNumId w:val="30"/>
  </w:num>
  <w:num w:numId="62" w16cid:durableId="798499015">
    <w:abstractNumId w:val="30"/>
  </w:num>
  <w:num w:numId="63" w16cid:durableId="374282334">
    <w:abstractNumId w:val="30"/>
  </w:num>
  <w:num w:numId="64" w16cid:durableId="1654407330">
    <w:abstractNumId w:val="30"/>
  </w:num>
  <w:num w:numId="65" w16cid:durableId="16319997">
    <w:abstractNumId w:val="30"/>
  </w:num>
  <w:num w:numId="66" w16cid:durableId="280573640">
    <w:abstractNumId w:val="30"/>
  </w:num>
  <w:num w:numId="67" w16cid:durableId="824275268">
    <w:abstractNumId w:val="30"/>
  </w:num>
  <w:num w:numId="68" w16cid:durableId="1875389830">
    <w:abstractNumId w:val="30"/>
  </w:num>
  <w:num w:numId="69" w16cid:durableId="621226556">
    <w:abstractNumId w:val="30"/>
  </w:num>
  <w:num w:numId="70" w16cid:durableId="1613436363">
    <w:abstractNumId w:val="30"/>
  </w:num>
  <w:num w:numId="71" w16cid:durableId="258804479">
    <w:abstractNumId w:val="30"/>
  </w:num>
  <w:num w:numId="72" w16cid:durableId="426929269">
    <w:abstractNumId w:val="30"/>
  </w:num>
  <w:num w:numId="73" w16cid:durableId="2068607550">
    <w:abstractNumId w:val="30"/>
  </w:num>
  <w:num w:numId="74" w16cid:durableId="1433168337">
    <w:abstractNumId w:val="30"/>
  </w:num>
  <w:num w:numId="75" w16cid:durableId="622854838">
    <w:abstractNumId w:val="30"/>
  </w:num>
  <w:num w:numId="76" w16cid:durableId="785078535">
    <w:abstractNumId w:val="30"/>
  </w:num>
  <w:num w:numId="77" w16cid:durableId="1146243990">
    <w:abstractNumId w:val="30"/>
  </w:num>
  <w:num w:numId="78" w16cid:durableId="144931302">
    <w:abstractNumId w:val="30"/>
  </w:num>
  <w:num w:numId="79" w16cid:durableId="742214045">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223"/>
    <w:rsid w:val="00000733"/>
    <w:rsid w:val="0000152E"/>
    <w:rsid w:val="00001C0D"/>
    <w:rsid w:val="000023E9"/>
    <w:rsid w:val="00002769"/>
    <w:rsid w:val="000039B6"/>
    <w:rsid w:val="000039CF"/>
    <w:rsid w:val="00003D6B"/>
    <w:rsid w:val="00003FFD"/>
    <w:rsid w:val="000069F0"/>
    <w:rsid w:val="00010517"/>
    <w:rsid w:val="00010CC0"/>
    <w:rsid w:val="00011467"/>
    <w:rsid w:val="000116F5"/>
    <w:rsid w:val="0001229A"/>
    <w:rsid w:val="000125D3"/>
    <w:rsid w:val="0001350D"/>
    <w:rsid w:val="000143A2"/>
    <w:rsid w:val="000144AA"/>
    <w:rsid w:val="00014572"/>
    <w:rsid w:val="00015B4D"/>
    <w:rsid w:val="00015C99"/>
    <w:rsid w:val="000170BE"/>
    <w:rsid w:val="000206D7"/>
    <w:rsid w:val="00020A04"/>
    <w:rsid w:val="00020E19"/>
    <w:rsid w:val="00021475"/>
    <w:rsid w:val="00021A6C"/>
    <w:rsid w:val="00021B54"/>
    <w:rsid w:val="00021F99"/>
    <w:rsid w:val="000227A4"/>
    <w:rsid w:val="00023E00"/>
    <w:rsid w:val="00024433"/>
    <w:rsid w:val="00024C7A"/>
    <w:rsid w:val="000251ED"/>
    <w:rsid w:val="00026335"/>
    <w:rsid w:val="00026567"/>
    <w:rsid w:val="00026D8F"/>
    <w:rsid w:val="0002750D"/>
    <w:rsid w:val="00030402"/>
    <w:rsid w:val="0003126C"/>
    <w:rsid w:val="00032BD9"/>
    <w:rsid w:val="00032CD3"/>
    <w:rsid w:val="000335BA"/>
    <w:rsid w:val="0003362C"/>
    <w:rsid w:val="00033DD8"/>
    <w:rsid w:val="00034ED1"/>
    <w:rsid w:val="00036492"/>
    <w:rsid w:val="000378E7"/>
    <w:rsid w:val="00037BC8"/>
    <w:rsid w:val="00040598"/>
    <w:rsid w:val="00040FF8"/>
    <w:rsid w:val="0004115D"/>
    <w:rsid w:val="00041B0C"/>
    <w:rsid w:val="00041EE9"/>
    <w:rsid w:val="000423AD"/>
    <w:rsid w:val="00042822"/>
    <w:rsid w:val="000435AD"/>
    <w:rsid w:val="00043742"/>
    <w:rsid w:val="00043D14"/>
    <w:rsid w:val="00043EC5"/>
    <w:rsid w:val="0004583D"/>
    <w:rsid w:val="0004767C"/>
    <w:rsid w:val="000503D4"/>
    <w:rsid w:val="000511E7"/>
    <w:rsid w:val="000515A7"/>
    <w:rsid w:val="00051A73"/>
    <w:rsid w:val="00052F29"/>
    <w:rsid w:val="000535DE"/>
    <w:rsid w:val="00053AC7"/>
    <w:rsid w:val="00053B5D"/>
    <w:rsid w:val="00054F2F"/>
    <w:rsid w:val="0005592D"/>
    <w:rsid w:val="00055A18"/>
    <w:rsid w:val="00055AE6"/>
    <w:rsid w:val="00055BE7"/>
    <w:rsid w:val="00056A13"/>
    <w:rsid w:val="0006086F"/>
    <w:rsid w:val="000622A8"/>
    <w:rsid w:val="000629FA"/>
    <w:rsid w:val="00062C65"/>
    <w:rsid w:val="000632FB"/>
    <w:rsid w:val="00063410"/>
    <w:rsid w:val="000634F6"/>
    <w:rsid w:val="00063EF4"/>
    <w:rsid w:val="00065E05"/>
    <w:rsid w:val="00066048"/>
    <w:rsid w:val="000661DD"/>
    <w:rsid w:val="0006624C"/>
    <w:rsid w:val="00066B09"/>
    <w:rsid w:val="00067701"/>
    <w:rsid w:val="00067796"/>
    <w:rsid w:val="000679BA"/>
    <w:rsid w:val="00067C31"/>
    <w:rsid w:val="00070A6D"/>
    <w:rsid w:val="00070B6D"/>
    <w:rsid w:val="00070DEA"/>
    <w:rsid w:val="00070E66"/>
    <w:rsid w:val="00072790"/>
    <w:rsid w:val="0007281A"/>
    <w:rsid w:val="00072CFC"/>
    <w:rsid w:val="0007324C"/>
    <w:rsid w:val="00073680"/>
    <w:rsid w:val="00074535"/>
    <w:rsid w:val="00074A74"/>
    <w:rsid w:val="00074BA4"/>
    <w:rsid w:val="0007570D"/>
    <w:rsid w:val="00075B31"/>
    <w:rsid w:val="0007764E"/>
    <w:rsid w:val="00077A0C"/>
    <w:rsid w:val="000808E0"/>
    <w:rsid w:val="0008179D"/>
    <w:rsid w:val="00081B29"/>
    <w:rsid w:val="00082409"/>
    <w:rsid w:val="000824A6"/>
    <w:rsid w:val="00083BCF"/>
    <w:rsid w:val="00084301"/>
    <w:rsid w:val="00084FD1"/>
    <w:rsid w:val="000861FF"/>
    <w:rsid w:val="000868D1"/>
    <w:rsid w:val="00086FC8"/>
    <w:rsid w:val="00087E45"/>
    <w:rsid w:val="0009003B"/>
    <w:rsid w:val="00090844"/>
    <w:rsid w:val="0009110C"/>
    <w:rsid w:val="00091206"/>
    <w:rsid w:val="0009237D"/>
    <w:rsid w:val="000928CE"/>
    <w:rsid w:val="00092A34"/>
    <w:rsid w:val="0009382B"/>
    <w:rsid w:val="000953BE"/>
    <w:rsid w:val="00096992"/>
    <w:rsid w:val="0009794B"/>
    <w:rsid w:val="000A0BFD"/>
    <w:rsid w:val="000A112D"/>
    <w:rsid w:val="000A120E"/>
    <w:rsid w:val="000A196A"/>
    <w:rsid w:val="000A215E"/>
    <w:rsid w:val="000A21CB"/>
    <w:rsid w:val="000A2592"/>
    <w:rsid w:val="000A285A"/>
    <w:rsid w:val="000A2E8C"/>
    <w:rsid w:val="000A3513"/>
    <w:rsid w:val="000A398D"/>
    <w:rsid w:val="000A4676"/>
    <w:rsid w:val="000A51A0"/>
    <w:rsid w:val="000B135B"/>
    <w:rsid w:val="000B1F33"/>
    <w:rsid w:val="000B29B6"/>
    <w:rsid w:val="000B2B69"/>
    <w:rsid w:val="000C017D"/>
    <w:rsid w:val="000C01C5"/>
    <w:rsid w:val="000C21A2"/>
    <w:rsid w:val="000C2C34"/>
    <w:rsid w:val="000C58A0"/>
    <w:rsid w:val="000C5F42"/>
    <w:rsid w:val="000C619E"/>
    <w:rsid w:val="000C6477"/>
    <w:rsid w:val="000C6584"/>
    <w:rsid w:val="000C729E"/>
    <w:rsid w:val="000C73D5"/>
    <w:rsid w:val="000C7AD2"/>
    <w:rsid w:val="000C7DF7"/>
    <w:rsid w:val="000D03F6"/>
    <w:rsid w:val="000D1008"/>
    <w:rsid w:val="000D17EF"/>
    <w:rsid w:val="000D4075"/>
    <w:rsid w:val="000D41D5"/>
    <w:rsid w:val="000D428B"/>
    <w:rsid w:val="000D449D"/>
    <w:rsid w:val="000D4B5E"/>
    <w:rsid w:val="000D57FC"/>
    <w:rsid w:val="000D5A1A"/>
    <w:rsid w:val="000D5E63"/>
    <w:rsid w:val="000D7040"/>
    <w:rsid w:val="000D7462"/>
    <w:rsid w:val="000D74A6"/>
    <w:rsid w:val="000E0848"/>
    <w:rsid w:val="000E29B3"/>
    <w:rsid w:val="000E372D"/>
    <w:rsid w:val="000E387C"/>
    <w:rsid w:val="000E42B8"/>
    <w:rsid w:val="000E4D9D"/>
    <w:rsid w:val="000E5109"/>
    <w:rsid w:val="000E67E5"/>
    <w:rsid w:val="000E7C96"/>
    <w:rsid w:val="000E7F5F"/>
    <w:rsid w:val="000F0F94"/>
    <w:rsid w:val="000F2D47"/>
    <w:rsid w:val="000F3115"/>
    <w:rsid w:val="000F46A6"/>
    <w:rsid w:val="000F6C8D"/>
    <w:rsid w:val="000F7A8C"/>
    <w:rsid w:val="000F7AA6"/>
    <w:rsid w:val="00100516"/>
    <w:rsid w:val="00101AD8"/>
    <w:rsid w:val="00101E4F"/>
    <w:rsid w:val="00102A16"/>
    <w:rsid w:val="00103300"/>
    <w:rsid w:val="00103CF1"/>
    <w:rsid w:val="001056A3"/>
    <w:rsid w:val="00106442"/>
    <w:rsid w:val="00106D04"/>
    <w:rsid w:val="00107875"/>
    <w:rsid w:val="00110355"/>
    <w:rsid w:val="001111CE"/>
    <w:rsid w:val="00111A3A"/>
    <w:rsid w:val="00111FBB"/>
    <w:rsid w:val="0011262D"/>
    <w:rsid w:val="00112A01"/>
    <w:rsid w:val="001131F9"/>
    <w:rsid w:val="00113C6B"/>
    <w:rsid w:val="0011524A"/>
    <w:rsid w:val="00115321"/>
    <w:rsid w:val="00115669"/>
    <w:rsid w:val="00115858"/>
    <w:rsid w:val="0011629A"/>
    <w:rsid w:val="001175B5"/>
    <w:rsid w:val="0011791C"/>
    <w:rsid w:val="00117D6B"/>
    <w:rsid w:val="00117DE2"/>
    <w:rsid w:val="00117F03"/>
    <w:rsid w:val="00117F96"/>
    <w:rsid w:val="0012105F"/>
    <w:rsid w:val="001221D7"/>
    <w:rsid w:val="00122260"/>
    <w:rsid w:val="001253DC"/>
    <w:rsid w:val="0012560C"/>
    <w:rsid w:val="00125A29"/>
    <w:rsid w:val="00126750"/>
    <w:rsid w:val="00127878"/>
    <w:rsid w:val="00127DBD"/>
    <w:rsid w:val="00132581"/>
    <w:rsid w:val="001325FE"/>
    <w:rsid w:val="00133818"/>
    <w:rsid w:val="00134BBE"/>
    <w:rsid w:val="00134E58"/>
    <w:rsid w:val="00135B1C"/>
    <w:rsid w:val="00136C66"/>
    <w:rsid w:val="00137B04"/>
    <w:rsid w:val="00137DCA"/>
    <w:rsid w:val="00141255"/>
    <w:rsid w:val="00141B6F"/>
    <w:rsid w:val="001427E4"/>
    <w:rsid w:val="0014468D"/>
    <w:rsid w:val="001446C2"/>
    <w:rsid w:val="00144AD1"/>
    <w:rsid w:val="00145133"/>
    <w:rsid w:val="00145D59"/>
    <w:rsid w:val="001462AD"/>
    <w:rsid w:val="00146638"/>
    <w:rsid w:val="00146639"/>
    <w:rsid w:val="00146FCA"/>
    <w:rsid w:val="00147619"/>
    <w:rsid w:val="0014784A"/>
    <w:rsid w:val="00150F55"/>
    <w:rsid w:val="0015206D"/>
    <w:rsid w:val="00152249"/>
    <w:rsid w:val="0015270A"/>
    <w:rsid w:val="00152C34"/>
    <w:rsid w:val="00152D94"/>
    <w:rsid w:val="00152E19"/>
    <w:rsid w:val="001537EB"/>
    <w:rsid w:val="00154AE5"/>
    <w:rsid w:val="001551B6"/>
    <w:rsid w:val="001556DD"/>
    <w:rsid w:val="001556EA"/>
    <w:rsid w:val="001560B6"/>
    <w:rsid w:val="00156A8B"/>
    <w:rsid w:val="00156DE9"/>
    <w:rsid w:val="00160CCC"/>
    <w:rsid w:val="00160F84"/>
    <w:rsid w:val="001618BB"/>
    <w:rsid w:val="001627A0"/>
    <w:rsid w:val="00162C1B"/>
    <w:rsid w:val="00163A84"/>
    <w:rsid w:val="00165A7B"/>
    <w:rsid w:val="00165B78"/>
    <w:rsid w:val="00166B38"/>
    <w:rsid w:val="001674B2"/>
    <w:rsid w:val="001700E8"/>
    <w:rsid w:val="00171366"/>
    <w:rsid w:val="001732B8"/>
    <w:rsid w:val="00173ADC"/>
    <w:rsid w:val="001746CA"/>
    <w:rsid w:val="00174B74"/>
    <w:rsid w:val="00175682"/>
    <w:rsid w:val="00175F55"/>
    <w:rsid w:val="00175F62"/>
    <w:rsid w:val="00176537"/>
    <w:rsid w:val="001767BC"/>
    <w:rsid w:val="00176FCC"/>
    <w:rsid w:val="001770F4"/>
    <w:rsid w:val="001772B1"/>
    <w:rsid w:val="0017773E"/>
    <w:rsid w:val="001804DD"/>
    <w:rsid w:val="001815CD"/>
    <w:rsid w:val="00181716"/>
    <w:rsid w:val="00182B8E"/>
    <w:rsid w:val="00184909"/>
    <w:rsid w:val="001858E8"/>
    <w:rsid w:val="00185B72"/>
    <w:rsid w:val="00186F6A"/>
    <w:rsid w:val="001870A5"/>
    <w:rsid w:val="001873AF"/>
    <w:rsid w:val="001908DB"/>
    <w:rsid w:val="00191419"/>
    <w:rsid w:val="00191722"/>
    <w:rsid w:val="00191AF1"/>
    <w:rsid w:val="00192B8A"/>
    <w:rsid w:val="00193607"/>
    <w:rsid w:val="001936C6"/>
    <w:rsid w:val="00194BEE"/>
    <w:rsid w:val="00194E77"/>
    <w:rsid w:val="001954D4"/>
    <w:rsid w:val="00195BAF"/>
    <w:rsid w:val="0019617E"/>
    <w:rsid w:val="00196CA9"/>
    <w:rsid w:val="00196D08"/>
    <w:rsid w:val="00196D11"/>
    <w:rsid w:val="001973E5"/>
    <w:rsid w:val="00197C0B"/>
    <w:rsid w:val="001A044A"/>
    <w:rsid w:val="001A07E0"/>
    <w:rsid w:val="001A0D78"/>
    <w:rsid w:val="001A10D4"/>
    <w:rsid w:val="001A12C3"/>
    <w:rsid w:val="001A1B86"/>
    <w:rsid w:val="001A1C55"/>
    <w:rsid w:val="001A26B8"/>
    <w:rsid w:val="001A27E7"/>
    <w:rsid w:val="001A40A6"/>
    <w:rsid w:val="001A4447"/>
    <w:rsid w:val="001A512E"/>
    <w:rsid w:val="001A5669"/>
    <w:rsid w:val="001A62B4"/>
    <w:rsid w:val="001A699C"/>
    <w:rsid w:val="001A6CE7"/>
    <w:rsid w:val="001A6F5E"/>
    <w:rsid w:val="001A773B"/>
    <w:rsid w:val="001A78EF"/>
    <w:rsid w:val="001A79A3"/>
    <w:rsid w:val="001B02E2"/>
    <w:rsid w:val="001B1B7B"/>
    <w:rsid w:val="001B23BC"/>
    <w:rsid w:val="001B2A36"/>
    <w:rsid w:val="001B3DC0"/>
    <w:rsid w:val="001B4CB6"/>
    <w:rsid w:val="001B524B"/>
    <w:rsid w:val="001B651E"/>
    <w:rsid w:val="001B73A4"/>
    <w:rsid w:val="001B7929"/>
    <w:rsid w:val="001C023F"/>
    <w:rsid w:val="001C055E"/>
    <w:rsid w:val="001C05C4"/>
    <w:rsid w:val="001C1132"/>
    <w:rsid w:val="001C176A"/>
    <w:rsid w:val="001C18DF"/>
    <w:rsid w:val="001C1EB5"/>
    <w:rsid w:val="001C311B"/>
    <w:rsid w:val="001C3AE5"/>
    <w:rsid w:val="001C500F"/>
    <w:rsid w:val="001C515E"/>
    <w:rsid w:val="001C661F"/>
    <w:rsid w:val="001D082D"/>
    <w:rsid w:val="001D0B45"/>
    <w:rsid w:val="001D0D0E"/>
    <w:rsid w:val="001D0FB4"/>
    <w:rsid w:val="001D12C9"/>
    <w:rsid w:val="001D177C"/>
    <w:rsid w:val="001D2788"/>
    <w:rsid w:val="001D2F7E"/>
    <w:rsid w:val="001D3369"/>
    <w:rsid w:val="001D3547"/>
    <w:rsid w:val="001D35CA"/>
    <w:rsid w:val="001D418D"/>
    <w:rsid w:val="001D518F"/>
    <w:rsid w:val="001D5566"/>
    <w:rsid w:val="001D66D1"/>
    <w:rsid w:val="001D6EE9"/>
    <w:rsid w:val="001E0FEA"/>
    <w:rsid w:val="001E11F6"/>
    <w:rsid w:val="001E1216"/>
    <w:rsid w:val="001E2785"/>
    <w:rsid w:val="001E2BD6"/>
    <w:rsid w:val="001E30AF"/>
    <w:rsid w:val="001E483F"/>
    <w:rsid w:val="001E4FE0"/>
    <w:rsid w:val="001E6166"/>
    <w:rsid w:val="001E63A8"/>
    <w:rsid w:val="001E675F"/>
    <w:rsid w:val="001E6A0D"/>
    <w:rsid w:val="001E749C"/>
    <w:rsid w:val="001E7ABA"/>
    <w:rsid w:val="001F27FB"/>
    <w:rsid w:val="001F2856"/>
    <w:rsid w:val="001F2962"/>
    <w:rsid w:val="001F32AC"/>
    <w:rsid w:val="001F4C94"/>
    <w:rsid w:val="001F539E"/>
    <w:rsid w:val="001F5694"/>
    <w:rsid w:val="001F5F76"/>
    <w:rsid w:val="001F6A78"/>
    <w:rsid w:val="001F7891"/>
    <w:rsid w:val="002000D8"/>
    <w:rsid w:val="0020167C"/>
    <w:rsid w:val="00201710"/>
    <w:rsid w:val="0020192D"/>
    <w:rsid w:val="00202307"/>
    <w:rsid w:val="00202465"/>
    <w:rsid w:val="00202918"/>
    <w:rsid w:val="002033FB"/>
    <w:rsid w:val="002101AB"/>
    <w:rsid w:val="002105E4"/>
    <w:rsid w:val="00213969"/>
    <w:rsid w:val="00213A63"/>
    <w:rsid w:val="00213A8F"/>
    <w:rsid w:val="00214016"/>
    <w:rsid w:val="00214505"/>
    <w:rsid w:val="002160AC"/>
    <w:rsid w:val="00216CE8"/>
    <w:rsid w:val="0021733E"/>
    <w:rsid w:val="002217FC"/>
    <w:rsid w:val="002224C6"/>
    <w:rsid w:val="00222786"/>
    <w:rsid w:val="0022303F"/>
    <w:rsid w:val="00224040"/>
    <w:rsid w:val="00225791"/>
    <w:rsid w:val="00226408"/>
    <w:rsid w:val="002266F4"/>
    <w:rsid w:val="00227540"/>
    <w:rsid w:val="00227D58"/>
    <w:rsid w:val="00230436"/>
    <w:rsid w:val="0023061E"/>
    <w:rsid w:val="00230918"/>
    <w:rsid w:val="002319DD"/>
    <w:rsid w:val="002326B0"/>
    <w:rsid w:val="002337CC"/>
    <w:rsid w:val="00233A1E"/>
    <w:rsid w:val="00234866"/>
    <w:rsid w:val="00234A85"/>
    <w:rsid w:val="00234EC5"/>
    <w:rsid w:val="00235CDC"/>
    <w:rsid w:val="002362B0"/>
    <w:rsid w:val="002375D8"/>
    <w:rsid w:val="00237743"/>
    <w:rsid w:val="00240027"/>
    <w:rsid w:val="00240298"/>
    <w:rsid w:val="00240970"/>
    <w:rsid w:val="00240AFF"/>
    <w:rsid w:val="00240B92"/>
    <w:rsid w:val="00241457"/>
    <w:rsid w:val="00241537"/>
    <w:rsid w:val="00241F3D"/>
    <w:rsid w:val="0024257B"/>
    <w:rsid w:val="0024272F"/>
    <w:rsid w:val="00243BFC"/>
    <w:rsid w:val="00243CA6"/>
    <w:rsid w:val="00243DC0"/>
    <w:rsid w:val="00243F3B"/>
    <w:rsid w:val="00244BE5"/>
    <w:rsid w:val="002457A4"/>
    <w:rsid w:val="00246BE0"/>
    <w:rsid w:val="002476F5"/>
    <w:rsid w:val="00247784"/>
    <w:rsid w:val="002478B8"/>
    <w:rsid w:val="0025033D"/>
    <w:rsid w:val="002528EF"/>
    <w:rsid w:val="002537A7"/>
    <w:rsid w:val="00254151"/>
    <w:rsid w:val="00254811"/>
    <w:rsid w:val="00254AE8"/>
    <w:rsid w:val="00255300"/>
    <w:rsid w:val="0025760A"/>
    <w:rsid w:val="00262486"/>
    <w:rsid w:val="00262548"/>
    <w:rsid w:val="00262731"/>
    <w:rsid w:val="00264555"/>
    <w:rsid w:val="00265A5E"/>
    <w:rsid w:val="00265FB5"/>
    <w:rsid w:val="00266458"/>
    <w:rsid w:val="002675E2"/>
    <w:rsid w:val="0026778B"/>
    <w:rsid w:val="00267A63"/>
    <w:rsid w:val="00267E46"/>
    <w:rsid w:val="00267EEE"/>
    <w:rsid w:val="002708E9"/>
    <w:rsid w:val="00271415"/>
    <w:rsid w:val="002755CE"/>
    <w:rsid w:val="00275F3A"/>
    <w:rsid w:val="00276211"/>
    <w:rsid w:val="002778E8"/>
    <w:rsid w:val="00280E8D"/>
    <w:rsid w:val="002828F9"/>
    <w:rsid w:val="00282C87"/>
    <w:rsid w:val="00282DB3"/>
    <w:rsid w:val="0028310B"/>
    <w:rsid w:val="002832DF"/>
    <w:rsid w:val="00285403"/>
    <w:rsid w:val="0028543F"/>
    <w:rsid w:val="00285A4A"/>
    <w:rsid w:val="002861D5"/>
    <w:rsid w:val="002862FE"/>
    <w:rsid w:val="00286B56"/>
    <w:rsid w:val="00286C39"/>
    <w:rsid w:val="00286FDA"/>
    <w:rsid w:val="00287A18"/>
    <w:rsid w:val="00290C7A"/>
    <w:rsid w:val="002922D0"/>
    <w:rsid w:val="00292A28"/>
    <w:rsid w:val="00292B2C"/>
    <w:rsid w:val="00293387"/>
    <w:rsid w:val="002941A0"/>
    <w:rsid w:val="002945F6"/>
    <w:rsid w:val="00294A8E"/>
    <w:rsid w:val="0029548D"/>
    <w:rsid w:val="00295AB4"/>
    <w:rsid w:val="002978B7"/>
    <w:rsid w:val="00297E41"/>
    <w:rsid w:val="002A0C6D"/>
    <w:rsid w:val="002A101F"/>
    <w:rsid w:val="002A18EE"/>
    <w:rsid w:val="002A38AE"/>
    <w:rsid w:val="002A3B19"/>
    <w:rsid w:val="002A4B61"/>
    <w:rsid w:val="002A6610"/>
    <w:rsid w:val="002A78D5"/>
    <w:rsid w:val="002A7F50"/>
    <w:rsid w:val="002B00CA"/>
    <w:rsid w:val="002B109B"/>
    <w:rsid w:val="002B139F"/>
    <w:rsid w:val="002B176B"/>
    <w:rsid w:val="002B1870"/>
    <w:rsid w:val="002B33E1"/>
    <w:rsid w:val="002B38ED"/>
    <w:rsid w:val="002B4207"/>
    <w:rsid w:val="002B449D"/>
    <w:rsid w:val="002B47AA"/>
    <w:rsid w:val="002B487B"/>
    <w:rsid w:val="002B50FE"/>
    <w:rsid w:val="002B559C"/>
    <w:rsid w:val="002B5BCB"/>
    <w:rsid w:val="002B7805"/>
    <w:rsid w:val="002B7AEB"/>
    <w:rsid w:val="002C40B3"/>
    <w:rsid w:val="002C4365"/>
    <w:rsid w:val="002C44BC"/>
    <w:rsid w:val="002C4E8E"/>
    <w:rsid w:val="002C7873"/>
    <w:rsid w:val="002D211E"/>
    <w:rsid w:val="002D383F"/>
    <w:rsid w:val="002D43AD"/>
    <w:rsid w:val="002D5C69"/>
    <w:rsid w:val="002D6177"/>
    <w:rsid w:val="002D6408"/>
    <w:rsid w:val="002D669A"/>
    <w:rsid w:val="002D7AEF"/>
    <w:rsid w:val="002E18B7"/>
    <w:rsid w:val="002E1ACD"/>
    <w:rsid w:val="002E2351"/>
    <w:rsid w:val="002E3266"/>
    <w:rsid w:val="002E34B0"/>
    <w:rsid w:val="002E3EAF"/>
    <w:rsid w:val="002E4ED9"/>
    <w:rsid w:val="002E5A13"/>
    <w:rsid w:val="002E660E"/>
    <w:rsid w:val="002E765C"/>
    <w:rsid w:val="002E766F"/>
    <w:rsid w:val="002E7826"/>
    <w:rsid w:val="002F0BE9"/>
    <w:rsid w:val="002F0E44"/>
    <w:rsid w:val="002F19C4"/>
    <w:rsid w:val="002F1DE5"/>
    <w:rsid w:val="002F2A59"/>
    <w:rsid w:val="002F35E7"/>
    <w:rsid w:val="002F38C1"/>
    <w:rsid w:val="002F3F9D"/>
    <w:rsid w:val="002F4A92"/>
    <w:rsid w:val="002F4CD8"/>
    <w:rsid w:val="002F4E17"/>
    <w:rsid w:val="002F50D2"/>
    <w:rsid w:val="002F54C6"/>
    <w:rsid w:val="002F5BA2"/>
    <w:rsid w:val="002F6196"/>
    <w:rsid w:val="002F6278"/>
    <w:rsid w:val="002F69F7"/>
    <w:rsid w:val="002F7D1E"/>
    <w:rsid w:val="0030042D"/>
    <w:rsid w:val="00300F2E"/>
    <w:rsid w:val="0030180F"/>
    <w:rsid w:val="00301C89"/>
    <w:rsid w:val="00301F79"/>
    <w:rsid w:val="003021FA"/>
    <w:rsid w:val="003035B3"/>
    <w:rsid w:val="003044D0"/>
    <w:rsid w:val="003048AB"/>
    <w:rsid w:val="003068FD"/>
    <w:rsid w:val="00307ED7"/>
    <w:rsid w:val="00307FCF"/>
    <w:rsid w:val="0031031A"/>
    <w:rsid w:val="00310481"/>
    <w:rsid w:val="00310608"/>
    <w:rsid w:val="00313C86"/>
    <w:rsid w:val="00313FB3"/>
    <w:rsid w:val="00314ECE"/>
    <w:rsid w:val="00315BEA"/>
    <w:rsid w:val="003174BD"/>
    <w:rsid w:val="00321112"/>
    <w:rsid w:val="0032164A"/>
    <w:rsid w:val="0032239E"/>
    <w:rsid w:val="00322460"/>
    <w:rsid w:val="0032356D"/>
    <w:rsid w:val="00323F22"/>
    <w:rsid w:val="00324205"/>
    <w:rsid w:val="00325570"/>
    <w:rsid w:val="00326E04"/>
    <w:rsid w:val="00327CBA"/>
    <w:rsid w:val="0033046D"/>
    <w:rsid w:val="003305C5"/>
    <w:rsid w:val="003313C7"/>
    <w:rsid w:val="0033252A"/>
    <w:rsid w:val="00332810"/>
    <w:rsid w:val="00333651"/>
    <w:rsid w:val="00334374"/>
    <w:rsid w:val="00334C9F"/>
    <w:rsid w:val="00335388"/>
    <w:rsid w:val="00335678"/>
    <w:rsid w:val="0033588C"/>
    <w:rsid w:val="00335E5F"/>
    <w:rsid w:val="00336153"/>
    <w:rsid w:val="0034052E"/>
    <w:rsid w:val="00340ACB"/>
    <w:rsid w:val="00340E5C"/>
    <w:rsid w:val="00342CC4"/>
    <w:rsid w:val="003432A9"/>
    <w:rsid w:val="00343581"/>
    <w:rsid w:val="00343928"/>
    <w:rsid w:val="00344AB8"/>
    <w:rsid w:val="00345369"/>
    <w:rsid w:val="00345856"/>
    <w:rsid w:val="00345D90"/>
    <w:rsid w:val="003464C3"/>
    <w:rsid w:val="003467B3"/>
    <w:rsid w:val="0034689C"/>
    <w:rsid w:val="003468CE"/>
    <w:rsid w:val="00347035"/>
    <w:rsid w:val="003476A9"/>
    <w:rsid w:val="00350414"/>
    <w:rsid w:val="0035075A"/>
    <w:rsid w:val="00350DC1"/>
    <w:rsid w:val="00353040"/>
    <w:rsid w:val="003533A3"/>
    <w:rsid w:val="00355FA4"/>
    <w:rsid w:val="003570F7"/>
    <w:rsid w:val="00357AB5"/>
    <w:rsid w:val="00357CF6"/>
    <w:rsid w:val="00362000"/>
    <w:rsid w:val="0036209E"/>
    <w:rsid w:val="00362A7E"/>
    <w:rsid w:val="00363D8C"/>
    <w:rsid w:val="003647E8"/>
    <w:rsid w:val="0036485C"/>
    <w:rsid w:val="0036636A"/>
    <w:rsid w:val="003664F0"/>
    <w:rsid w:val="003668FA"/>
    <w:rsid w:val="00366B54"/>
    <w:rsid w:val="003679D0"/>
    <w:rsid w:val="00370A94"/>
    <w:rsid w:val="00371C05"/>
    <w:rsid w:val="003722E2"/>
    <w:rsid w:val="003723E4"/>
    <w:rsid w:val="003726F9"/>
    <w:rsid w:val="00373084"/>
    <w:rsid w:val="003738A6"/>
    <w:rsid w:val="00373A39"/>
    <w:rsid w:val="00373EEA"/>
    <w:rsid w:val="00375558"/>
    <w:rsid w:val="00375F82"/>
    <w:rsid w:val="00375FBA"/>
    <w:rsid w:val="00376048"/>
    <w:rsid w:val="00376A0D"/>
    <w:rsid w:val="00376A11"/>
    <w:rsid w:val="00376D92"/>
    <w:rsid w:val="003773E1"/>
    <w:rsid w:val="00377DD1"/>
    <w:rsid w:val="00382793"/>
    <w:rsid w:val="003829C6"/>
    <w:rsid w:val="0038316E"/>
    <w:rsid w:val="0038340E"/>
    <w:rsid w:val="00383DE1"/>
    <w:rsid w:val="00386B54"/>
    <w:rsid w:val="0038788D"/>
    <w:rsid w:val="0038792D"/>
    <w:rsid w:val="00387CE4"/>
    <w:rsid w:val="00392959"/>
    <w:rsid w:val="00392DDC"/>
    <w:rsid w:val="0039355F"/>
    <w:rsid w:val="00393693"/>
    <w:rsid w:val="0039398A"/>
    <w:rsid w:val="00394CE0"/>
    <w:rsid w:val="003953DA"/>
    <w:rsid w:val="003959D8"/>
    <w:rsid w:val="00396332"/>
    <w:rsid w:val="00396639"/>
    <w:rsid w:val="003A0E01"/>
    <w:rsid w:val="003A10F5"/>
    <w:rsid w:val="003A1CB5"/>
    <w:rsid w:val="003A1E5A"/>
    <w:rsid w:val="003A1E73"/>
    <w:rsid w:val="003A1EB4"/>
    <w:rsid w:val="003A2AB9"/>
    <w:rsid w:val="003A349D"/>
    <w:rsid w:val="003A3E8F"/>
    <w:rsid w:val="003A7091"/>
    <w:rsid w:val="003A7F7B"/>
    <w:rsid w:val="003B28FA"/>
    <w:rsid w:val="003B2991"/>
    <w:rsid w:val="003B4AEE"/>
    <w:rsid w:val="003B4FD0"/>
    <w:rsid w:val="003B6D84"/>
    <w:rsid w:val="003B7D4F"/>
    <w:rsid w:val="003C0003"/>
    <w:rsid w:val="003C0658"/>
    <w:rsid w:val="003C1404"/>
    <w:rsid w:val="003C31D6"/>
    <w:rsid w:val="003C35F2"/>
    <w:rsid w:val="003C370A"/>
    <w:rsid w:val="003C3B90"/>
    <w:rsid w:val="003C3CCA"/>
    <w:rsid w:val="003C489A"/>
    <w:rsid w:val="003C5531"/>
    <w:rsid w:val="003C5672"/>
    <w:rsid w:val="003C5864"/>
    <w:rsid w:val="003C5EFC"/>
    <w:rsid w:val="003C5FB7"/>
    <w:rsid w:val="003C62FB"/>
    <w:rsid w:val="003C6F10"/>
    <w:rsid w:val="003C784B"/>
    <w:rsid w:val="003C7A64"/>
    <w:rsid w:val="003D0E54"/>
    <w:rsid w:val="003D1173"/>
    <w:rsid w:val="003D16F4"/>
    <w:rsid w:val="003D1911"/>
    <w:rsid w:val="003D2359"/>
    <w:rsid w:val="003D4A85"/>
    <w:rsid w:val="003D4F63"/>
    <w:rsid w:val="003D5179"/>
    <w:rsid w:val="003D5D16"/>
    <w:rsid w:val="003D7D24"/>
    <w:rsid w:val="003D7E11"/>
    <w:rsid w:val="003E0E32"/>
    <w:rsid w:val="003E1FBE"/>
    <w:rsid w:val="003E2294"/>
    <w:rsid w:val="003E2CC9"/>
    <w:rsid w:val="003E2CF9"/>
    <w:rsid w:val="003E3714"/>
    <w:rsid w:val="003E3B98"/>
    <w:rsid w:val="003E44CF"/>
    <w:rsid w:val="003E491D"/>
    <w:rsid w:val="003E49E7"/>
    <w:rsid w:val="003E5E3D"/>
    <w:rsid w:val="003E6050"/>
    <w:rsid w:val="003E614B"/>
    <w:rsid w:val="003E6CE4"/>
    <w:rsid w:val="003E77D6"/>
    <w:rsid w:val="003E7E06"/>
    <w:rsid w:val="003F0770"/>
    <w:rsid w:val="003F0D32"/>
    <w:rsid w:val="003F0E3F"/>
    <w:rsid w:val="003F140F"/>
    <w:rsid w:val="003F1B63"/>
    <w:rsid w:val="003F1BE9"/>
    <w:rsid w:val="003F3882"/>
    <w:rsid w:val="003F4F78"/>
    <w:rsid w:val="003F5280"/>
    <w:rsid w:val="003F5A28"/>
    <w:rsid w:val="003F6649"/>
    <w:rsid w:val="003F721E"/>
    <w:rsid w:val="003F7FA6"/>
    <w:rsid w:val="00400C80"/>
    <w:rsid w:val="0040189B"/>
    <w:rsid w:val="00402E2E"/>
    <w:rsid w:val="004041AE"/>
    <w:rsid w:val="00404570"/>
    <w:rsid w:val="004059B2"/>
    <w:rsid w:val="00405F53"/>
    <w:rsid w:val="00406232"/>
    <w:rsid w:val="00407B99"/>
    <w:rsid w:val="00411ACF"/>
    <w:rsid w:val="00412CF3"/>
    <w:rsid w:val="00413333"/>
    <w:rsid w:val="0041421C"/>
    <w:rsid w:val="00414329"/>
    <w:rsid w:val="00414766"/>
    <w:rsid w:val="00415297"/>
    <w:rsid w:val="004153F3"/>
    <w:rsid w:val="004157F9"/>
    <w:rsid w:val="0041615A"/>
    <w:rsid w:val="0041616F"/>
    <w:rsid w:val="004173C3"/>
    <w:rsid w:val="004176D7"/>
    <w:rsid w:val="00417FC0"/>
    <w:rsid w:val="004211E7"/>
    <w:rsid w:val="00421551"/>
    <w:rsid w:val="004220EA"/>
    <w:rsid w:val="0042381D"/>
    <w:rsid w:val="00424235"/>
    <w:rsid w:val="00424F45"/>
    <w:rsid w:val="00424F87"/>
    <w:rsid w:val="00425280"/>
    <w:rsid w:val="00427478"/>
    <w:rsid w:val="00430BEA"/>
    <w:rsid w:val="004317ED"/>
    <w:rsid w:val="00431D5A"/>
    <w:rsid w:val="004326F7"/>
    <w:rsid w:val="0043353E"/>
    <w:rsid w:val="004349DC"/>
    <w:rsid w:val="004350CE"/>
    <w:rsid w:val="00436249"/>
    <w:rsid w:val="00436A97"/>
    <w:rsid w:val="00436B08"/>
    <w:rsid w:val="00437B7E"/>
    <w:rsid w:val="004408B9"/>
    <w:rsid w:val="00440CCF"/>
    <w:rsid w:val="0044227C"/>
    <w:rsid w:val="00442722"/>
    <w:rsid w:val="00442ACD"/>
    <w:rsid w:val="00442DF0"/>
    <w:rsid w:val="00443061"/>
    <w:rsid w:val="004430F4"/>
    <w:rsid w:val="0044310B"/>
    <w:rsid w:val="0044368F"/>
    <w:rsid w:val="00444817"/>
    <w:rsid w:val="00445184"/>
    <w:rsid w:val="00446C31"/>
    <w:rsid w:val="00450897"/>
    <w:rsid w:val="0045149B"/>
    <w:rsid w:val="00453727"/>
    <w:rsid w:val="00453CF1"/>
    <w:rsid w:val="00454A68"/>
    <w:rsid w:val="00454E89"/>
    <w:rsid w:val="00455CAC"/>
    <w:rsid w:val="00457499"/>
    <w:rsid w:val="004603DD"/>
    <w:rsid w:val="0046047C"/>
    <w:rsid w:val="00461386"/>
    <w:rsid w:val="00461893"/>
    <w:rsid w:val="00462426"/>
    <w:rsid w:val="00463198"/>
    <w:rsid w:val="00463927"/>
    <w:rsid w:val="00464B32"/>
    <w:rsid w:val="00465F29"/>
    <w:rsid w:val="00466942"/>
    <w:rsid w:val="004672E6"/>
    <w:rsid w:val="004678E2"/>
    <w:rsid w:val="0046799D"/>
    <w:rsid w:val="00467B50"/>
    <w:rsid w:val="004701EE"/>
    <w:rsid w:val="004710F0"/>
    <w:rsid w:val="00471433"/>
    <w:rsid w:val="00471587"/>
    <w:rsid w:val="004718AB"/>
    <w:rsid w:val="00472067"/>
    <w:rsid w:val="00472202"/>
    <w:rsid w:val="00472D45"/>
    <w:rsid w:val="00473D3A"/>
    <w:rsid w:val="0047569B"/>
    <w:rsid w:val="00475761"/>
    <w:rsid w:val="0047600A"/>
    <w:rsid w:val="00476360"/>
    <w:rsid w:val="00476538"/>
    <w:rsid w:val="00477994"/>
    <w:rsid w:val="00477AA3"/>
    <w:rsid w:val="00480E7A"/>
    <w:rsid w:val="00481477"/>
    <w:rsid w:val="00483982"/>
    <w:rsid w:val="00483FDD"/>
    <w:rsid w:val="00484E83"/>
    <w:rsid w:val="00485166"/>
    <w:rsid w:val="00485351"/>
    <w:rsid w:val="004859CB"/>
    <w:rsid w:val="00486777"/>
    <w:rsid w:val="00486DCF"/>
    <w:rsid w:val="004921C2"/>
    <w:rsid w:val="004922F8"/>
    <w:rsid w:val="00492440"/>
    <w:rsid w:val="004925CC"/>
    <w:rsid w:val="00494266"/>
    <w:rsid w:val="00494BCF"/>
    <w:rsid w:val="0049572B"/>
    <w:rsid w:val="0049579A"/>
    <w:rsid w:val="00496791"/>
    <w:rsid w:val="0049687B"/>
    <w:rsid w:val="004970FC"/>
    <w:rsid w:val="004973A8"/>
    <w:rsid w:val="004A17B6"/>
    <w:rsid w:val="004A2A2D"/>
    <w:rsid w:val="004A3C52"/>
    <w:rsid w:val="004A4353"/>
    <w:rsid w:val="004A4922"/>
    <w:rsid w:val="004A4E93"/>
    <w:rsid w:val="004A5065"/>
    <w:rsid w:val="004A519E"/>
    <w:rsid w:val="004A521B"/>
    <w:rsid w:val="004A5B6D"/>
    <w:rsid w:val="004A7A38"/>
    <w:rsid w:val="004B02AE"/>
    <w:rsid w:val="004B13A9"/>
    <w:rsid w:val="004B2C2C"/>
    <w:rsid w:val="004B4557"/>
    <w:rsid w:val="004B4B9F"/>
    <w:rsid w:val="004B5687"/>
    <w:rsid w:val="004B7D9E"/>
    <w:rsid w:val="004B7EB9"/>
    <w:rsid w:val="004C0170"/>
    <w:rsid w:val="004C0A74"/>
    <w:rsid w:val="004C2179"/>
    <w:rsid w:val="004C26C0"/>
    <w:rsid w:val="004C4660"/>
    <w:rsid w:val="004C5C20"/>
    <w:rsid w:val="004C630B"/>
    <w:rsid w:val="004C675C"/>
    <w:rsid w:val="004C6AA9"/>
    <w:rsid w:val="004C781A"/>
    <w:rsid w:val="004D0997"/>
    <w:rsid w:val="004D0B80"/>
    <w:rsid w:val="004D0D12"/>
    <w:rsid w:val="004D1E98"/>
    <w:rsid w:val="004D245F"/>
    <w:rsid w:val="004D3022"/>
    <w:rsid w:val="004D47D4"/>
    <w:rsid w:val="004D49A9"/>
    <w:rsid w:val="004D4B10"/>
    <w:rsid w:val="004D5410"/>
    <w:rsid w:val="004D57B3"/>
    <w:rsid w:val="004D664C"/>
    <w:rsid w:val="004D67CA"/>
    <w:rsid w:val="004D6FBC"/>
    <w:rsid w:val="004E078C"/>
    <w:rsid w:val="004E17C8"/>
    <w:rsid w:val="004E2B40"/>
    <w:rsid w:val="004E3122"/>
    <w:rsid w:val="004E349D"/>
    <w:rsid w:val="004E3CE3"/>
    <w:rsid w:val="004E4B9D"/>
    <w:rsid w:val="004E5110"/>
    <w:rsid w:val="004E5BE5"/>
    <w:rsid w:val="004E626B"/>
    <w:rsid w:val="004E7C95"/>
    <w:rsid w:val="004F038A"/>
    <w:rsid w:val="004F1296"/>
    <w:rsid w:val="004F26F6"/>
    <w:rsid w:val="004F2ECA"/>
    <w:rsid w:val="004F2FF8"/>
    <w:rsid w:val="004F33BD"/>
    <w:rsid w:val="004F44F8"/>
    <w:rsid w:val="004F5D98"/>
    <w:rsid w:val="004F630A"/>
    <w:rsid w:val="004F6D9C"/>
    <w:rsid w:val="005002A7"/>
    <w:rsid w:val="00500EA9"/>
    <w:rsid w:val="005011F6"/>
    <w:rsid w:val="0050170A"/>
    <w:rsid w:val="0050176D"/>
    <w:rsid w:val="00501E4E"/>
    <w:rsid w:val="0050394D"/>
    <w:rsid w:val="00503AB7"/>
    <w:rsid w:val="005045D3"/>
    <w:rsid w:val="00504AC0"/>
    <w:rsid w:val="00505E3D"/>
    <w:rsid w:val="00506072"/>
    <w:rsid w:val="00506730"/>
    <w:rsid w:val="00506EA0"/>
    <w:rsid w:val="0051050E"/>
    <w:rsid w:val="00510ADD"/>
    <w:rsid w:val="00511047"/>
    <w:rsid w:val="0051315C"/>
    <w:rsid w:val="00513648"/>
    <w:rsid w:val="00513DE3"/>
    <w:rsid w:val="00514CB4"/>
    <w:rsid w:val="00514F34"/>
    <w:rsid w:val="00515617"/>
    <w:rsid w:val="005158F5"/>
    <w:rsid w:val="00517076"/>
    <w:rsid w:val="005172FE"/>
    <w:rsid w:val="00517A42"/>
    <w:rsid w:val="00520D43"/>
    <w:rsid w:val="00520DC6"/>
    <w:rsid w:val="005225AC"/>
    <w:rsid w:val="00522AEF"/>
    <w:rsid w:val="00524876"/>
    <w:rsid w:val="00524ADC"/>
    <w:rsid w:val="0052523A"/>
    <w:rsid w:val="00525684"/>
    <w:rsid w:val="00525935"/>
    <w:rsid w:val="005267B2"/>
    <w:rsid w:val="00526916"/>
    <w:rsid w:val="0052770D"/>
    <w:rsid w:val="005307E3"/>
    <w:rsid w:val="00530C5E"/>
    <w:rsid w:val="00530E3F"/>
    <w:rsid w:val="005322AF"/>
    <w:rsid w:val="00532346"/>
    <w:rsid w:val="00533468"/>
    <w:rsid w:val="0053358B"/>
    <w:rsid w:val="00534395"/>
    <w:rsid w:val="00534839"/>
    <w:rsid w:val="00535238"/>
    <w:rsid w:val="00535434"/>
    <w:rsid w:val="00537248"/>
    <w:rsid w:val="00537613"/>
    <w:rsid w:val="00537D30"/>
    <w:rsid w:val="00542F13"/>
    <w:rsid w:val="00543683"/>
    <w:rsid w:val="00544632"/>
    <w:rsid w:val="005449F9"/>
    <w:rsid w:val="00545D6A"/>
    <w:rsid w:val="005460EE"/>
    <w:rsid w:val="00547E46"/>
    <w:rsid w:val="00547FBB"/>
    <w:rsid w:val="00550817"/>
    <w:rsid w:val="0055100D"/>
    <w:rsid w:val="005516CF"/>
    <w:rsid w:val="00551CE4"/>
    <w:rsid w:val="0055284C"/>
    <w:rsid w:val="005529D3"/>
    <w:rsid w:val="00552E13"/>
    <w:rsid w:val="005530EB"/>
    <w:rsid w:val="00553336"/>
    <w:rsid w:val="005537E3"/>
    <w:rsid w:val="005541F3"/>
    <w:rsid w:val="00556D08"/>
    <w:rsid w:val="00557271"/>
    <w:rsid w:val="005573E6"/>
    <w:rsid w:val="005577F1"/>
    <w:rsid w:val="005603E7"/>
    <w:rsid w:val="005625D0"/>
    <w:rsid w:val="00563FE2"/>
    <w:rsid w:val="0056551F"/>
    <w:rsid w:val="00565A19"/>
    <w:rsid w:val="00566459"/>
    <w:rsid w:val="0056693F"/>
    <w:rsid w:val="00566C25"/>
    <w:rsid w:val="005670A6"/>
    <w:rsid w:val="00567AE9"/>
    <w:rsid w:val="00567F4E"/>
    <w:rsid w:val="00570025"/>
    <w:rsid w:val="00572A67"/>
    <w:rsid w:val="00572DCD"/>
    <w:rsid w:val="0057389F"/>
    <w:rsid w:val="00573F70"/>
    <w:rsid w:val="005743B8"/>
    <w:rsid w:val="0057452C"/>
    <w:rsid w:val="00574C9E"/>
    <w:rsid w:val="00575B97"/>
    <w:rsid w:val="0057608D"/>
    <w:rsid w:val="0057617F"/>
    <w:rsid w:val="00576772"/>
    <w:rsid w:val="00576D03"/>
    <w:rsid w:val="00576E78"/>
    <w:rsid w:val="00576F56"/>
    <w:rsid w:val="005771CF"/>
    <w:rsid w:val="00580609"/>
    <w:rsid w:val="005831D1"/>
    <w:rsid w:val="005837BA"/>
    <w:rsid w:val="00586778"/>
    <w:rsid w:val="00590EC4"/>
    <w:rsid w:val="00591425"/>
    <w:rsid w:val="0059144E"/>
    <w:rsid w:val="00591F01"/>
    <w:rsid w:val="005925ED"/>
    <w:rsid w:val="00592DB2"/>
    <w:rsid w:val="00592F4B"/>
    <w:rsid w:val="00593039"/>
    <w:rsid w:val="005941A1"/>
    <w:rsid w:val="00595503"/>
    <w:rsid w:val="00595675"/>
    <w:rsid w:val="00595FE5"/>
    <w:rsid w:val="0059604B"/>
    <w:rsid w:val="005960F7"/>
    <w:rsid w:val="00596481"/>
    <w:rsid w:val="0059681D"/>
    <w:rsid w:val="00597CC0"/>
    <w:rsid w:val="00597E22"/>
    <w:rsid w:val="005A00E2"/>
    <w:rsid w:val="005A0130"/>
    <w:rsid w:val="005A0260"/>
    <w:rsid w:val="005A08B6"/>
    <w:rsid w:val="005A1305"/>
    <w:rsid w:val="005A145F"/>
    <w:rsid w:val="005A1794"/>
    <w:rsid w:val="005A1A8C"/>
    <w:rsid w:val="005A1D4F"/>
    <w:rsid w:val="005A206E"/>
    <w:rsid w:val="005A2FE9"/>
    <w:rsid w:val="005A34D0"/>
    <w:rsid w:val="005A443E"/>
    <w:rsid w:val="005A4D1A"/>
    <w:rsid w:val="005A4D90"/>
    <w:rsid w:val="005A52CC"/>
    <w:rsid w:val="005A67F2"/>
    <w:rsid w:val="005A6C04"/>
    <w:rsid w:val="005A79C0"/>
    <w:rsid w:val="005B13E9"/>
    <w:rsid w:val="005B19CE"/>
    <w:rsid w:val="005B1C5A"/>
    <w:rsid w:val="005B3D64"/>
    <w:rsid w:val="005B4F81"/>
    <w:rsid w:val="005B5D7A"/>
    <w:rsid w:val="005B61EA"/>
    <w:rsid w:val="005B76CC"/>
    <w:rsid w:val="005C00AE"/>
    <w:rsid w:val="005C1138"/>
    <w:rsid w:val="005C12FB"/>
    <w:rsid w:val="005C2789"/>
    <w:rsid w:val="005C2DD4"/>
    <w:rsid w:val="005C3B37"/>
    <w:rsid w:val="005C6338"/>
    <w:rsid w:val="005C695F"/>
    <w:rsid w:val="005C6E73"/>
    <w:rsid w:val="005D004D"/>
    <w:rsid w:val="005D0D41"/>
    <w:rsid w:val="005D0FB1"/>
    <w:rsid w:val="005D0FD6"/>
    <w:rsid w:val="005D1984"/>
    <w:rsid w:val="005D20D4"/>
    <w:rsid w:val="005D3CB6"/>
    <w:rsid w:val="005D46AD"/>
    <w:rsid w:val="005D4AFF"/>
    <w:rsid w:val="005D58EA"/>
    <w:rsid w:val="005D5952"/>
    <w:rsid w:val="005D61D4"/>
    <w:rsid w:val="005D61E9"/>
    <w:rsid w:val="005D68C6"/>
    <w:rsid w:val="005D71C1"/>
    <w:rsid w:val="005D74C9"/>
    <w:rsid w:val="005D7BA7"/>
    <w:rsid w:val="005D7CF6"/>
    <w:rsid w:val="005E1828"/>
    <w:rsid w:val="005E2605"/>
    <w:rsid w:val="005E3321"/>
    <w:rsid w:val="005E35E4"/>
    <w:rsid w:val="005E386A"/>
    <w:rsid w:val="005E45AE"/>
    <w:rsid w:val="005E4907"/>
    <w:rsid w:val="005E5CB8"/>
    <w:rsid w:val="005E5D8A"/>
    <w:rsid w:val="005E6658"/>
    <w:rsid w:val="005E7427"/>
    <w:rsid w:val="005F0691"/>
    <w:rsid w:val="005F2936"/>
    <w:rsid w:val="005F3A2A"/>
    <w:rsid w:val="005F4258"/>
    <w:rsid w:val="005F584E"/>
    <w:rsid w:val="005F6070"/>
    <w:rsid w:val="005F66AA"/>
    <w:rsid w:val="005F6F52"/>
    <w:rsid w:val="00600457"/>
    <w:rsid w:val="006005F4"/>
    <w:rsid w:val="00600EBE"/>
    <w:rsid w:val="00601598"/>
    <w:rsid w:val="006034A2"/>
    <w:rsid w:val="006038F3"/>
    <w:rsid w:val="00603E9A"/>
    <w:rsid w:val="00607725"/>
    <w:rsid w:val="006078A8"/>
    <w:rsid w:val="006108EA"/>
    <w:rsid w:val="00610C4C"/>
    <w:rsid w:val="00611808"/>
    <w:rsid w:val="00611825"/>
    <w:rsid w:val="00612C60"/>
    <w:rsid w:val="006139C3"/>
    <w:rsid w:val="00614666"/>
    <w:rsid w:val="00614823"/>
    <w:rsid w:val="00615E8F"/>
    <w:rsid w:val="0061680B"/>
    <w:rsid w:val="00616AFD"/>
    <w:rsid w:val="006211E0"/>
    <w:rsid w:val="0062143D"/>
    <w:rsid w:val="00621875"/>
    <w:rsid w:val="006222B0"/>
    <w:rsid w:val="006236EB"/>
    <w:rsid w:val="00623FA1"/>
    <w:rsid w:val="00624467"/>
    <w:rsid w:val="00624F57"/>
    <w:rsid w:val="00625728"/>
    <w:rsid w:val="00625B54"/>
    <w:rsid w:val="0062631B"/>
    <w:rsid w:val="00626402"/>
    <w:rsid w:val="00626684"/>
    <w:rsid w:val="00627327"/>
    <w:rsid w:val="00627584"/>
    <w:rsid w:val="00627EC0"/>
    <w:rsid w:val="00630CC6"/>
    <w:rsid w:val="00631142"/>
    <w:rsid w:val="00631F00"/>
    <w:rsid w:val="006322B9"/>
    <w:rsid w:val="00632FDD"/>
    <w:rsid w:val="0063388E"/>
    <w:rsid w:val="006346BF"/>
    <w:rsid w:val="00634E93"/>
    <w:rsid w:val="006354C5"/>
    <w:rsid w:val="0063712E"/>
    <w:rsid w:val="00637F8D"/>
    <w:rsid w:val="00641D09"/>
    <w:rsid w:val="00642160"/>
    <w:rsid w:val="00642191"/>
    <w:rsid w:val="00642A96"/>
    <w:rsid w:val="00643864"/>
    <w:rsid w:val="00643FF6"/>
    <w:rsid w:val="00644040"/>
    <w:rsid w:val="006445E7"/>
    <w:rsid w:val="00644679"/>
    <w:rsid w:val="00644FD9"/>
    <w:rsid w:val="00645266"/>
    <w:rsid w:val="006454F2"/>
    <w:rsid w:val="00645599"/>
    <w:rsid w:val="00645799"/>
    <w:rsid w:val="006460D7"/>
    <w:rsid w:val="00646790"/>
    <w:rsid w:val="006467F9"/>
    <w:rsid w:val="00646B27"/>
    <w:rsid w:val="00646B34"/>
    <w:rsid w:val="00647DD8"/>
    <w:rsid w:val="00650557"/>
    <w:rsid w:val="00651042"/>
    <w:rsid w:val="006513B5"/>
    <w:rsid w:val="006544EA"/>
    <w:rsid w:val="006545B4"/>
    <w:rsid w:val="00655269"/>
    <w:rsid w:val="0065549C"/>
    <w:rsid w:val="0065693D"/>
    <w:rsid w:val="00656BE4"/>
    <w:rsid w:val="0065759A"/>
    <w:rsid w:val="00657ED6"/>
    <w:rsid w:val="006603D3"/>
    <w:rsid w:val="006612B7"/>
    <w:rsid w:val="006618B6"/>
    <w:rsid w:val="006623B9"/>
    <w:rsid w:val="006628A9"/>
    <w:rsid w:val="00662F78"/>
    <w:rsid w:val="00663298"/>
    <w:rsid w:val="00663F6C"/>
    <w:rsid w:val="00664C87"/>
    <w:rsid w:val="006650A2"/>
    <w:rsid w:val="006650BC"/>
    <w:rsid w:val="006654BB"/>
    <w:rsid w:val="00665995"/>
    <w:rsid w:val="00666E26"/>
    <w:rsid w:val="00667A53"/>
    <w:rsid w:val="00670EB1"/>
    <w:rsid w:val="00670EDE"/>
    <w:rsid w:val="006715C6"/>
    <w:rsid w:val="00672141"/>
    <w:rsid w:val="0067291D"/>
    <w:rsid w:val="00674445"/>
    <w:rsid w:val="00674D33"/>
    <w:rsid w:val="00675888"/>
    <w:rsid w:val="00676017"/>
    <w:rsid w:val="00676871"/>
    <w:rsid w:val="00677021"/>
    <w:rsid w:val="00677CCB"/>
    <w:rsid w:val="00680FB9"/>
    <w:rsid w:val="00681BB0"/>
    <w:rsid w:val="00681D54"/>
    <w:rsid w:val="006822B2"/>
    <w:rsid w:val="006824B6"/>
    <w:rsid w:val="00682E81"/>
    <w:rsid w:val="00683694"/>
    <w:rsid w:val="006840D5"/>
    <w:rsid w:val="0068433E"/>
    <w:rsid w:val="00685261"/>
    <w:rsid w:val="00685CDA"/>
    <w:rsid w:val="006862C2"/>
    <w:rsid w:val="00687732"/>
    <w:rsid w:val="00687996"/>
    <w:rsid w:val="00687C64"/>
    <w:rsid w:val="00690E42"/>
    <w:rsid w:val="006923E3"/>
    <w:rsid w:val="0069273B"/>
    <w:rsid w:val="00692C83"/>
    <w:rsid w:val="00692C86"/>
    <w:rsid w:val="00692CBD"/>
    <w:rsid w:val="0069361C"/>
    <w:rsid w:val="006936F9"/>
    <w:rsid w:val="00694575"/>
    <w:rsid w:val="00694DFA"/>
    <w:rsid w:val="00696991"/>
    <w:rsid w:val="00696F75"/>
    <w:rsid w:val="00697C61"/>
    <w:rsid w:val="006A0D12"/>
    <w:rsid w:val="006A1BD8"/>
    <w:rsid w:val="006A2AF7"/>
    <w:rsid w:val="006A311B"/>
    <w:rsid w:val="006A34D6"/>
    <w:rsid w:val="006A3A2E"/>
    <w:rsid w:val="006A4C4E"/>
    <w:rsid w:val="006B265C"/>
    <w:rsid w:val="006B293D"/>
    <w:rsid w:val="006B2A1C"/>
    <w:rsid w:val="006B3A1B"/>
    <w:rsid w:val="006B4723"/>
    <w:rsid w:val="006B4FB1"/>
    <w:rsid w:val="006B51E1"/>
    <w:rsid w:val="006B54F2"/>
    <w:rsid w:val="006B5C1B"/>
    <w:rsid w:val="006B5FF6"/>
    <w:rsid w:val="006B7EDA"/>
    <w:rsid w:val="006C0861"/>
    <w:rsid w:val="006C13D8"/>
    <w:rsid w:val="006C2368"/>
    <w:rsid w:val="006C4969"/>
    <w:rsid w:val="006C4F87"/>
    <w:rsid w:val="006C589B"/>
    <w:rsid w:val="006C5AA4"/>
    <w:rsid w:val="006C606A"/>
    <w:rsid w:val="006C69BC"/>
    <w:rsid w:val="006C6ACF"/>
    <w:rsid w:val="006C6FC3"/>
    <w:rsid w:val="006C7220"/>
    <w:rsid w:val="006C7CCD"/>
    <w:rsid w:val="006D0826"/>
    <w:rsid w:val="006D095A"/>
    <w:rsid w:val="006D2E54"/>
    <w:rsid w:val="006D308F"/>
    <w:rsid w:val="006D417A"/>
    <w:rsid w:val="006D5291"/>
    <w:rsid w:val="006D5DF1"/>
    <w:rsid w:val="006D7D97"/>
    <w:rsid w:val="006E15B1"/>
    <w:rsid w:val="006E26AF"/>
    <w:rsid w:val="006E2980"/>
    <w:rsid w:val="006E2CE9"/>
    <w:rsid w:val="006E3B77"/>
    <w:rsid w:val="006E44BF"/>
    <w:rsid w:val="006E4C3E"/>
    <w:rsid w:val="006E5B0A"/>
    <w:rsid w:val="006E5BC4"/>
    <w:rsid w:val="006E7C8E"/>
    <w:rsid w:val="006F155E"/>
    <w:rsid w:val="006F1577"/>
    <w:rsid w:val="006F20E6"/>
    <w:rsid w:val="006F2129"/>
    <w:rsid w:val="006F2DCC"/>
    <w:rsid w:val="006F3030"/>
    <w:rsid w:val="006F3136"/>
    <w:rsid w:val="006F464E"/>
    <w:rsid w:val="006F4DF6"/>
    <w:rsid w:val="006F5749"/>
    <w:rsid w:val="006F5AB5"/>
    <w:rsid w:val="006F5B81"/>
    <w:rsid w:val="006F69FC"/>
    <w:rsid w:val="006F6CDC"/>
    <w:rsid w:val="00700766"/>
    <w:rsid w:val="0070212D"/>
    <w:rsid w:val="00702FAA"/>
    <w:rsid w:val="00703126"/>
    <w:rsid w:val="00704417"/>
    <w:rsid w:val="00705756"/>
    <w:rsid w:val="00706472"/>
    <w:rsid w:val="00707E18"/>
    <w:rsid w:val="00714103"/>
    <w:rsid w:val="00715142"/>
    <w:rsid w:val="007162B6"/>
    <w:rsid w:val="0071636D"/>
    <w:rsid w:val="00720AFE"/>
    <w:rsid w:val="00722895"/>
    <w:rsid w:val="007231DD"/>
    <w:rsid w:val="00724085"/>
    <w:rsid w:val="0072514D"/>
    <w:rsid w:val="007258DC"/>
    <w:rsid w:val="00726429"/>
    <w:rsid w:val="007271C4"/>
    <w:rsid w:val="00727870"/>
    <w:rsid w:val="0073108A"/>
    <w:rsid w:val="007323B2"/>
    <w:rsid w:val="00732CAB"/>
    <w:rsid w:val="007354E8"/>
    <w:rsid w:val="00736EAC"/>
    <w:rsid w:val="007409BA"/>
    <w:rsid w:val="00746725"/>
    <w:rsid w:val="007467F1"/>
    <w:rsid w:val="00747C56"/>
    <w:rsid w:val="00750120"/>
    <w:rsid w:val="00750F4C"/>
    <w:rsid w:val="00751508"/>
    <w:rsid w:val="00751801"/>
    <w:rsid w:val="00752512"/>
    <w:rsid w:val="00752930"/>
    <w:rsid w:val="00752B3A"/>
    <w:rsid w:val="0075342E"/>
    <w:rsid w:val="00754806"/>
    <w:rsid w:val="0075696A"/>
    <w:rsid w:val="00756C9C"/>
    <w:rsid w:val="00757CD2"/>
    <w:rsid w:val="007605B4"/>
    <w:rsid w:val="0076089B"/>
    <w:rsid w:val="00760B09"/>
    <w:rsid w:val="00762811"/>
    <w:rsid w:val="00762AF9"/>
    <w:rsid w:val="00765F80"/>
    <w:rsid w:val="0076705F"/>
    <w:rsid w:val="00767E28"/>
    <w:rsid w:val="00770C97"/>
    <w:rsid w:val="0077194B"/>
    <w:rsid w:val="00773AED"/>
    <w:rsid w:val="00773C9A"/>
    <w:rsid w:val="00774D01"/>
    <w:rsid w:val="00775140"/>
    <w:rsid w:val="00776804"/>
    <w:rsid w:val="0077769B"/>
    <w:rsid w:val="0077773F"/>
    <w:rsid w:val="0078011A"/>
    <w:rsid w:val="00780582"/>
    <w:rsid w:val="007806BB"/>
    <w:rsid w:val="00781059"/>
    <w:rsid w:val="00782008"/>
    <w:rsid w:val="00782507"/>
    <w:rsid w:val="00783B34"/>
    <w:rsid w:val="0078559C"/>
    <w:rsid w:val="00785E61"/>
    <w:rsid w:val="007861DD"/>
    <w:rsid w:val="007872C9"/>
    <w:rsid w:val="00787A06"/>
    <w:rsid w:val="00790264"/>
    <w:rsid w:val="00790F05"/>
    <w:rsid w:val="0079142E"/>
    <w:rsid w:val="00791666"/>
    <w:rsid w:val="00792266"/>
    <w:rsid w:val="00792F9D"/>
    <w:rsid w:val="007931AE"/>
    <w:rsid w:val="0079531D"/>
    <w:rsid w:val="007968C8"/>
    <w:rsid w:val="00797485"/>
    <w:rsid w:val="007979C5"/>
    <w:rsid w:val="00797A19"/>
    <w:rsid w:val="007A0ECB"/>
    <w:rsid w:val="007A1A1E"/>
    <w:rsid w:val="007A2255"/>
    <w:rsid w:val="007A3409"/>
    <w:rsid w:val="007A37A7"/>
    <w:rsid w:val="007A4130"/>
    <w:rsid w:val="007A66E3"/>
    <w:rsid w:val="007A748B"/>
    <w:rsid w:val="007A7599"/>
    <w:rsid w:val="007A7858"/>
    <w:rsid w:val="007B034E"/>
    <w:rsid w:val="007B13A9"/>
    <w:rsid w:val="007B1D71"/>
    <w:rsid w:val="007B20CE"/>
    <w:rsid w:val="007B2D96"/>
    <w:rsid w:val="007B2E26"/>
    <w:rsid w:val="007B3EB4"/>
    <w:rsid w:val="007B5FFE"/>
    <w:rsid w:val="007C0683"/>
    <w:rsid w:val="007C07EE"/>
    <w:rsid w:val="007C0966"/>
    <w:rsid w:val="007C0A7B"/>
    <w:rsid w:val="007C147E"/>
    <w:rsid w:val="007C2BB7"/>
    <w:rsid w:val="007C39E2"/>
    <w:rsid w:val="007C4268"/>
    <w:rsid w:val="007C54B9"/>
    <w:rsid w:val="007C665E"/>
    <w:rsid w:val="007C6B83"/>
    <w:rsid w:val="007C77BC"/>
    <w:rsid w:val="007C7FD4"/>
    <w:rsid w:val="007D04D7"/>
    <w:rsid w:val="007D0A15"/>
    <w:rsid w:val="007D0D5B"/>
    <w:rsid w:val="007D0DF2"/>
    <w:rsid w:val="007D0F9F"/>
    <w:rsid w:val="007D289B"/>
    <w:rsid w:val="007D31BF"/>
    <w:rsid w:val="007D39A7"/>
    <w:rsid w:val="007D4486"/>
    <w:rsid w:val="007D481B"/>
    <w:rsid w:val="007D4BBA"/>
    <w:rsid w:val="007D4C3D"/>
    <w:rsid w:val="007D5030"/>
    <w:rsid w:val="007D5D79"/>
    <w:rsid w:val="007D5F36"/>
    <w:rsid w:val="007D61B0"/>
    <w:rsid w:val="007D6B87"/>
    <w:rsid w:val="007D7D9A"/>
    <w:rsid w:val="007E08B1"/>
    <w:rsid w:val="007E232B"/>
    <w:rsid w:val="007E2539"/>
    <w:rsid w:val="007E2E87"/>
    <w:rsid w:val="007E3958"/>
    <w:rsid w:val="007E5CA9"/>
    <w:rsid w:val="007E5D80"/>
    <w:rsid w:val="007E63CD"/>
    <w:rsid w:val="007E66DF"/>
    <w:rsid w:val="007E7287"/>
    <w:rsid w:val="007E792C"/>
    <w:rsid w:val="007E7C6F"/>
    <w:rsid w:val="007E7C72"/>
    <w:rsid w:val="007E7D8C"/>
    <w:rsid w:val="007E7DC0"/>
    <w:rsid w:val="007F0592"/>
    <w:rsid w:val="007F0978"/>
    <w:rsid w:val="007F16FF"/>
    <w:rsid w:val="007F1A53"/>
    <w:rsid w:val="007F2BD7"/>
    <w:rsid w:val="007F3059"/>
    <w:rsid w:val="007F3581"/>
    <w:rsid w:val="007F449E"/>
    <w:rsid w:val="007F48EC"/>
    <w:rsid w:val="007F4C0B"/>
    <w:rsid w:val="007F4C59"/>
    <w:rsid w:val="007F4D4F"/>
    <w:rsid w:val="007F68B0"/>
    <w:rsid w:val="007F7326"/>
    <w:rsid w:val="007F7404"/>
    <w:rsid w:val="007F7E52"/>
    <w:rsid w:val="00800482"/>
    <w:rsid w:val="00804932"/>
    <w:rsid w:val="00804ADF"/>
    <w:rsid w:val="00804E45"/>
    <w:rsid w:val="008051AB"/>
    <w:rsid w:val="00806F07"/>
    <w:rsid w:val="0080717D"/>
    <w:rsid w:val="008072CF"/>
    <w:rsid w:val="008073DB"/>
    <w:rsid w:val="0080799C"/>
    <w:rsid w:val="00810921"/>
    <w:rsid w:val="00810A0E"/>
    <w:rsid w:val="0081122F"/>
    <w:rsid w:val="00812F70"/>
    <w:rsid w:val="0081302C"/>
    <w:rsid w:val="00813A5C"/>
    <w:rsid w:val="008144C7"/>
    <w:rsid w:val="008166BF"/>
    <w:rsid w:val="00817194"/>
    <w:rsid w:val="00817D9C"/>
    <w:rsid w:val="008206F7"/>
    <w:rsid w:val="008226BE"/>
    <w:rsid w:val="00822EB6"/>
    <w:rsid w:val="00822FAC"/>
    <w:rsid w:val="008233BB"/>
    <w:rsid w:val="008238E2"/>
    <w:rsid w:val="00823C08"/>
    <w:rsid w:val="0082446E"/>
    <w:rsid w:val="00827010"/>
    <w:rsid w:val="00827278"/>
    <w:rsid w:val="008273A6"/>
    <w:rsid w:val="00827554"/>
    <w:rsid w:val="0083067B"/>
    <w:rsid w:val="0083081A"/>
    <w:rsid w:val="00830964"/>
    <w:rsid w:val="008320B1"/>
    <w:rsid w:val="0083599E"/>
    <w:rsid w:val="00835AA4"/>
    <w:rsid w:val="00835D44"/>
    <w:rsid w:val="00835F9B"/>
    <w:rsid w:val="0083632F"/>
    <w:rsid w:val="00836895"/>
    <w:rsid w:val="008406B7"/>
    <w:rsid w:val="00842858"/>
    <w:rsid w:val="008428E5"/>
    <w:rsid w:val="00844840"/>
    <w:rsid w:val="008456D5"/>
    <w:rsid w:val="00845A7C"/>
    <w:rsid w:val="0084715E"/>
    <w:rsid w:val="00847BDC"/>
    <w:rsid w:val="00847C06"/>
    <w:rsid w:val="00850B63"/>
    <w:rsid w:val="008517C5"/>
    <w:rsid w:val="008517CE"/>
    <w:rsid w:val="00852498"/>
    <w:rsid w:val="008537ED"/>
    <w:rsid w:val="008559D1"/>
    <w:rsid w:val="00855B7F"/>
    <w:rsid w:val="00855F01"/>
    <w:rsid w:val="0085608D"/>
    <w:rsid w:val="00856F08"/>
    <w:rsid w:val="00857387"/>
    <w:rsid w:val="00857F77"/>
    <w:rsid w:val="008600E6"/>
    <w:rsid w:val="008607C7"/>
    <w:rsid w:val="00860DF8"/>
    <w:rsid w:val="00861CA9"/>
    <w:rsid w:val="00862E61"/>
    <w:rsid w:val="008631E0"/>
    <w:rsid w:val="0086494A"/>
    <w:rsid w:val="00864EB8"/>
    <w:rsid w:val="00865019"/>
    <w:rsid w:val="0086529D"/>
    <w:rsid w:val="0086682C"/>
    <w:rsid w:val="00866870"/>
    <w:rsid w:val="00866EC0"/>
    <w:rsid w:val="00867C84"/>
    <w:rsid w:val="00871E31"/>
    <w:rsid w:val="00872164"/>
    <w:rsid w:val="00874541"/>
    <w:rsid w:val="00874F69"/>
    <w:rsid w:val="00876452"/>
    <w:rsid w:val="00877B9D"/>
    <w:rsid w:val="00880199"/>
    <w:rsid w:val="00881291"/>
    <w:rsid w:val="00881AF7"/>
    <w:rsid w:val="008828AC"/>
    <w:rsid w:val="00884F1D"/>
    <w:rsid w:val="00885D46"/>
    <w:rsid w:val="00890D3A"/>
    <w:rsid w:val="00890E33"/>
    <w:rsid w:val="00891158"/>
    <w:rsid w:val="0089309D"/>
    <w:rsid w:val="008930F9"/>
    <w:rsid w:val="008937D6"/>
    <w:rsid w:val="00894399"/>
    <w:rsid w:val="00894C85"/>
    <w:rsid w:val="00895D64"/>
    <w:rsid w:val="00895FFF"/>
    <w:rsid w:val="008A0A4A"/>
    <w:rsid w:val="008A217A"/>
    <w:rsid w:val="008A22F6"/>
    <w:rsid w:val="008A254D"/>
    <w:rsid w:val="008A2D03"/>
    <w:rsid w:val="008A32E0"/>
    <w:rsid w:val="008A353D"/>
    <w:rsid w:val="008A3826"/>
    <w:rsid w:val="008A48BB"/>
    <w:rsid w:val="008A5423"/>
    <w:rsid w:val="008A5CC0"/>
    <w:rsid w:val="008A64B5"/>
    <w:rsid w:val="008B0124"/>
    <w:rsid w:val="008B014F"/>
    <w:rsid w:val="008B1CCD"/>
    <w:rsid w:val="008B2E79"/>
    <w:rsid w:val="008B3A00"/>
    <w:rsid w:val="008B3A19"/>
    <w:rsid w:val="008B4465"/>
    <w:rsid w:val="008B563C"/>
    <w:rsid w:val="008B5A2E"/>
    <w:rsid w:val="008B7095"/>
    <w:rsid w:val="008B73CB"/>
    <w:rsid w:val="008C00E1"/>
    <w:rsid w:val="008C023F"/>
    <w:rsid w:val="008C043C"/>
    <w:rsid w:val="008C0839"/>
    <w:rsid w:val="008C1393"/>
    <w:rsid w:val="008C1F40"/>
    <w:rsid w:val="008C38DA"/>
    <w:rsid w:val="008C395D"/>
    <w:rsid w:val="008C3C36"/>
    <w:rsid w:val="008C42C3"/>
    <w:rsid w:val="008C53FA"/>
    <w:rsid w:val="008C6003"/>
    <w:rsid w:val="008C7548"/>
    <w:rsid w:val="008C772C"/>
    <w:rsid w:val="008C7B70"/>
    <w:rsid w:val="008D19C1"/>
    <w:rsid w:val="008D2495"/>
    <w:rsid w:val="008D3BD8"/>
    <w:rsid w:val="008D4211"/>
    <w:rsid w:val="008D4C38"/>
    <w:rsid w:val="008D58FB"/>
    <w:rsid w:val="008D5B9A"/>
    <w:rsid w:val="008D5F56"/>
    <w:rsid w:val="008D6B00"/>
    <w:rsid w:val="008E0581"/>
    <w:rsid w:val="008E0CF3"/>
    <w:rsid w:val="008E21B6"/>
    <w:rsid w:val="008E23A3"/>
    <w:rsid w:val="008E329A"/>
    <w:rsid w:val="008E3672"/>
    <w:rsid w:val="008E3B05"/>
    <w:rsid w:val="008E51B7"/>
    <w:rsid w:val="008E6F8F"/>
    <w:rsid w:val="008E7851"/>
    <w:rsid w:val="008F01AA"/>
    <w:rsid w:val="008F036D"/>
    <w:rsid w:val="008F2022"/>
    <w:rsid w:val="008F30A6"/>
    <w:rsid w:val="008F30D5"/>
    <w:rsid w:val="008F3AE1"/>
    <w:rsid w:val="008F4CD3"/>
    <w:rsid w:val="008F4F98"/>
    <w:rsid w:val="008F5158"/>
    <w:rsid w:val="008F538F"/>
    <w:rsid w:val="008F6122"/>
    <w:rsid w:val="008F6315"/>
    <w:rsid w:val="008F6417"/>
    <w:rsid w:val="008F67DB"/>
    <w:rsid w:val="008F6B90"/>
    <w:rsid w:val="008F7CEF"/>
    <w:rsid w:val="00901ABC"/>
    <w:rsid w:val="00901B3E"/>
    <w:rsid w:val="00901F5F"/>
    <w:rsid w:val="009023AB"/>
    <w:rsid w:val="00903628"/>
    <w:rsid w:val="0090380B"/>
    <w:rsid w:val="00903FEB"/>
    <w:rsid w:val="00904102"/>
    <w:rsid w:val="00904369"/>
    <w:rsid w:val="0090458A"/>
    <w:rsid w:val="0090520A"/>
    <w:rsid w:val="0090563C"/>
    <w:rsid w:val="00906460"/>
    <w:rsid w:val="009066E5"/>
    <w:rsid w:val="00906863"/>
    <w:rsid w:val="0090756F"/>
    <w:rsid w:val="00907827"/>
    <w:rsid w:val="00907C2C"/>
    <w:rsid w:val="009109D2"/>
    <w:rsid w:val="009112BF"/>
    <w:rsid w:val="00911A0F"/>
    <w:rsid w:val="009120FD"/>
    <w:rsid w:val="00912740"/>
    <w:rsid w:val="0091326F"/>
    <w:rsid w:val="0091492D"/>
    <w:rsid w:val="009157D6"/>
    <w:rsid w:val="009164C5"/>
    <w:rsid w:val="00916A32"/>
    <w:rsid w:val="0091742E"/>
    <w:rsid w:val="00922169"/>
    <w:rsid w:val="00922891"/>
    <w:rsid w:val="00922AEE"/>
    <w:rsid w:val="00923214"/>
    <w:rsid w:val="0092439E"/>
    <w:rsid w:val="0092638B"/>
    <w:rsid w:val="00927093"/>
    <w:rsid w:val="00927F90"/>
    <w:rsid w:val="0093063D"/>
    <w:rsid w:val="009306E1"/>
    <w:rsid w:val="009314B3"/>
    <w:rsid w:val="00933E09"/>
    <w:rsid w:val="00934CEB"/>
    <w:rsid w:val="00935461"/>
    <w:rsid w:val="00936ED4"/>
    <w:rsid w:val="00937BFD"/>
    <w:rsid w:val="00937F50"/>
    <w:rsid w:val="00940304"/>
    <w:rsid w:val="00940ECF"/>
    <w:rsid w:val="0094109B"/>
    <w:rsid w:val="009419F4"/>
    <w:rsid w:val="00942B35"/>
    <w:rsid w:val="00942B73"/>
    <w:rsid w:val="00943103"/>
    <w:rsid w:val="009435DD"/>
    <w:rsid w:val="0094375A"/>
    <w:rsid w:val="009438D9"/>
    <w:rsid w:val="00943FEA"/>
    <w:rsid w:val="00944619"/>
    <w:rsid w:val="00946020"/>
    <w:rsid w:val="0094625D"/>
    <w:rsid w:val="009463CD"/>
    <w:rsid w:val="0094684D"/>
    <w:rsid w:val="00946AE3"/>
    <w:rsid w:val="009476A3"/>
    <w:rsid w:val="0095089D"/>
    <w:rsid w:val="00950C4A"/>
    <w:rsid w:val="00952247"/>
    <w:rsid w:val="00952DF2"/>
    <w:rsid w:val="009531DB"/>
    <w:rsid w:val="009537D4"/>
    <w:rsid w:val="00953CF7"/>
    <w:rsid w:val="0095407B"/>
    <w:rsid w:val="00954504"/>
    <w:rsid w:val="0095478E"/>
    <w:rsid w:val="00954D9C"/>
    <w:rsid w:val="00954FFD"/>
    <w:rsid w:val="00955FEE"/>
    <w:rsid w:val="00956561"/>
    <w:rsid w:val="00956702"/>
    <w:rsid w:val="00956E4C"/>
    <w:rsid w:val="00957C2D"/>
    <w:rsid w:val="009602AE"/>
    <w:rsid w:val="00960655"/>
    <w:rsid w:val="00960C99"/>
    <w:rsid w:val="0096123A"/>
    <w:rsid w:val="00962140"/>
    <w:rsid w:val="0096262B"/>
    <w:rsid w:val="00962B73"/>
    <w:rsid w:val="0096314E"/>
    <w:rsid w:val="009644D8"/>
    <w:rsid w:val="0096520F"/>
    <w:rsid w:val="00965491"/>
    <w:rsid w:val="009701B5"/>
    <w:rsid w:val="009711A7"/>
    <w:rsid w:val="00972D8C"/>
    <w:rsid w:val="0097342F"/>
    <w:rsid w:val="009734E1"/>
    <w:rsid w:val="00973B32"/>
    <w:rsid w:val="00974F38"/>
    <w:rsid w:val="0097543B"/>
    <w:rsid w:val="0097711B"/>
    <w:rsid w:val="009777FB"/>
    <w:rsid w:val="00977EB0"/>
    <w:rsid w:val="009809F3"/>
    <w:rsid w:val="00980AC4"/>
    <w:rsid w:val="00981C83"/>
    <w:rsid w:val="0098297B"/>
    <w:rsid w:val="00986FF3"/>
    <w:rsid w:val="0099016A"/>
    <w:rsid w:val="0099337E"/>
    <w:rsid w:val="00994B25"/>
    <w:rsid w:val="00994B86"/>
    <w:rsid w:val="00995DDC"/>
    <w:rsid w:val="00996925"/>
    <w:rsid w:val="009974A1"/>
    <w:rsid w:val="009978F0"/>
    <w:rsid w:val="00997C61"/>
    <w:rsid w:val="009A168F"/>
    <w:rsid w:val="009A17A7"/>
    <w:rsid w:val="009A4326"/>
    <w:rsid w:val="009A4355"/>
    <w:rsid w:val="009A4A41"/>
    <w:rsid w:val="009A4B26"/>
    <w:rsid w:val="009A5A4D"/>
    <w:rsid w:val="009A630F"/>
    <w:rsid w:val="009A64B5"/>
    <w:rsid w:val="009A6E10"/>
    <w:rsid w:val="009A7151"/>
    <w:rsid w:val="009B036D"/>
    <w:rsid w:val="009B0835"/>
    <w:rsid w:val="009B0D18"/>
    <w:rsid w:val="009B1155"/>
    <w:rsid w:val="009B2B3A"/>
    <w:rsid w:val="009B4E47"/>
    <w:rsid w:val="009B53D1"/>
    <w:rsid w:val="009B56A4"/>
    <w:rsid w:val="009B5E7F"/>
    <w:rsid w:val="009C0D60"/>
    <w:rsid w:val="009C1114"/>
    <w:rsid w:val="009C1B44"/>
    <w:rsid w:val="009C2579"/>
    <w:rsid w:val="009C2C8F"/>
    <w:rsid w:val="009C33B1"/>
    <w:rsid w:val="009C3E74"/>
    <w:rsid w:val="009C46C3"/>
    <w:rsid w:val="009C56B5"/>
    <w:rsid w:val="009C6041"/>
    <w:rsid w:val="009C6111"/>
    <w:rsid w:val="009C6262"/>
    <w:rsid w:val="009C71BA"/>
    <w:rsid w:val="009D1CD6"/>
    <w:rsid w:val="009D1EF7"/>
    <w:rsid w:val="009D3255"/>
    <w:rsid w:val="009D3292"/>
    <w:rsid w:val="009D3414"/>
    <w:rsid w:val="009D5D93"/>
    <w:rsid w:val="009D64D3"/>
    <w:rsid w:val="009D79C8"/>
    <w:rsid w:val="009E0BE7"/>
    <w:rsid w:val="009E3C68"/>
    <w:rsid w:val="009E44F5"/>
    <w:rsid w:val="009E46D2"/>
    <w:rsid w:val="009E5150"/>
    <w:rsid w:val="009E6EBE"/>
    <w:rsid w:val="009E7C80"/>
    <w:rsid w:val="009F0502"/>
    <w:rsid w:val="009F0C21"/>
    <w:rsid w:val="009F1505"/>
    <w:rsid w:val="009F2A6C"/>
    <w:rsid w:val="009F3FCC"/>
    <w:rsid w:val="009F4336"/>
    <w:rsid w:val="009F5008"/>
    <w:rsid w:val="009F6C75"/>
    <w:rsid w:val="00A0097E"/>
    <w:rsid w:val="00A01766"/>
    <w:rsid w:val="00A03033"/>
    <w:rsid w:val="00A058A5"/>
    <w:rsid w:val="00A05A58"/>
    <w:rsid w:val="00A05EDB"/>
    <w:rsid w:val="00A0665E"/>
    <w:rsid w:val="00A07D2F"/>
    <w:rsid w:val="00A100D1"/>
    <w:rsid w:val="00A11ED6"/>
    <w:rsid w:val="00A12113"/>
    <w:rsid w:val="00A1225A"/>
    <w:rsid w:val="00A12BB0"/>
    <w:rsid w:val="00A12DAA"/>
    <w:rsid w:val="00A13311"/>
    <w:rsid w:val="00A1472B"/>
    <w:rsid w:val="00A16D2D"/>
    <w:rsid w:val="00A17016"/>
    <w:rsid w:val="00A17629"/>
    <w:rsid w:val="00A17D56"/>
    <w:rsid w:val="00A17D88"/>
    <w:rsid w:val="00A20505"/>
    <w:rsid w:val="00A20787"/>
    <w:rsid w:val="00A214AF"/>
    <w:rsid w:val="00A22878"/>
    <w:rsid w:val="00A22D18"/>
    <w:rsid w:val="00A237D4"/>
    <w:rsid w:val="00A23F73"/>
    <w:rsid w:val="00A24B64"/>
    <w:rsid w:val="00A256D0"/>
    <w:rsid w:val="00A259E3"/>
    <w:rsid w:val="00A26547"/>
    <w:rsid w:val="00A267C1"/>
    <w:rsid w:val="00A26D9E"/>
    <w:rsid w:val="00A26F96"/>
    <w:rsid w:val="00A27EBD"/>
    <w:rsid w:val="00A3166F"/>
    <w:rsid w:val="00A31910"/>
    <w:rsid w:val="00A3282C"/>
    <w:rsid w:val="00A3321D"/>
    <w:rsid w:val="00A33696"/>
    <w:rsid w:val="00A34F2B"/>
    <w:rsid w:val="00A352A2"/>
    <w:rsid w:val="00A36323"/>
    <w:rsid w:val="00A36634"/>
    <w:rsid w:val="00A36F2F"/>
    <w:rsid w:val="00A3754C"/>
    <w:rsid w:val="00A402BA"/>
    <w:rsid w:val="00A417E6"/>
    <w:rsid w:val="00A4303D"/>
    <w:rsid w:val="00A43A0A"/>
    <w:rsid w:val="00A43F55"/>
    <w:rsid w:val="00A44857"/>
    <w:rsid w:val="00A4542D"/>
    <w:rsid w:val="00A45463"/>
    <w:rsid w:val="00A456BA"/>
    <w:rsid w:val="00A4682D"/>
    <w:rsid w:val="00A474D7"/>
    <w:rsid w:val="00A502E0"/>
    <w:rsid w:val="00A5121E"/>
    <w:rsid w:val="00A52748"/>
    <w:rsid w:val="00A52B77"/>
    <w:rsid w:val="00A52D79"/>
    <w:rsid w:val="00A53BF2"/>
    <w:rsid w:val="00A53D3C"/>
    <w:rsid w:val="00A54485"/>
    <w:rsid w:val="00A54DF7"/>
    <w:rsid w:val="00A54FA0"/>
    <w:rsid w:val="00A550C1"/>
    <w:rsid w:val="00A5651A"/>
    <w:rsid w:val="00A57184"/>
    <w:rsid w:val="00A57C9A"/>
    <w:rsid w:val="00A60297"/>
    <w:rsid w:val="00A60319"/>
    <w:rsid w:val="00A6189D"/>
    <w:rsid w:val="00A62E5C"/>
    <w:rsid w:val="00A63140"/>
    <w:rsid w:val="00A65A14"/>
    <w:rsid w:val="00A66312"/>
    <w:rsid w:val="00A677BC"/>
    <w:rsid w:val="00A67F68"/>
    <w:rsid w:val="00A709F0"/>
    <w:rsid w:val="00A70D8D"/>
    <w:rsid w:val="00A735CC"/>
    <w:rsid w:val="00A75213"/>
    <w:rsid w:val="00A759C8"/>
    <w:rsid w:val="00A81584"/>
    <w:rsid w:val="00A81881"/>
    <w:rsid w:val="00A820E6"/>
    <w:rsid w:val="00A82957"/>
    <w:rsid w:val="00A842AF"/>
    <w:rsid w:val="00A85A43"/>
    <w:rsid w:val="00A867FE"/>
    <w:rsid w:val="00A86919"/>
    <w:rsid w:val="00A86B3E"/>
    <w:rsid w:val="00A86D06"/>
    <w:rsid w:val="00A873BA"/>
    <w:rsid w:val="00A879B8"/>
    <w:rsid w:val="00A905D2"/>
    <w:rsid w:val="00A90781"/>
    <w:rsid w:val="00A90803"/>
    <w:rsid w:val="00A90A49"/>
    <w:rsid w:val="00A915A4"/>
    <w:rsid w:val="00A93249"/>
    <w:rsid w:val="00A93384"/>
    <w:rsid w:val="00A940A6"/>
    <w:rsid w:val="00A946BE"/>
    <w:rsid w:val="00A9502F"/>
    <w:rsid w:val="00A9535D"/>
    <w:rsid w:val="00A968FA"/>
    <w:rsid w:val="00A96B21"/>
    <w:rsid w:val="00A9728C"/>
    <w:rsid w:val="00A977F3"/>
    <w:rsid w:val="00A9790C"/>
    <w:rsid w:val="00AA0A89"/>
    <w:rsid w:val="00AA2AA3"/>
    <w:rsid w:val="00AA35E8"/>
    <w:rsid w:val="00AA3F1E"/>
    <w:rsid w:val="00AA492A"/>
    <w:rsid w:val="00AA57AA"/>
    <w:rsid w:val="00AA5C29"/>
    <w:rsid w:val="00AA5DC2"/>
    <w:rsid w:val="00AA5E5B"/>
    <w:rsid w:val="00AA6406"/>
    <w:rsid w:val="00AA789F"/>
    <w:rsid w:val="00AA7934"/>
    <w:rsid w:val="00AB03E8"/>
    <w:rsid w:val="00AB0A50"/>
    <w:rsid w:val="00AB1000"/>
    <w:rsid w:val="00AB3069"/>
    <w:rsid w:val="00AB353D"/>
    <w:rsid w:val="00AB36C6"/>
    <w:rsid w:val="00AB3E46"/>
    <w:rsid w:val="00AB3EAA"/>
    <w:rsid w:val="00AB4900"/>
    <w:rsid w:val="00AB4B5B"/>
    <w:rsid w:val="00AB5119"/>
    <w:rsid w:val="00AB5223"/>
    <w:rsid w:val="00AB585E"/>
    <w:rsid w:val="00AB6DA7"/>
    <w:rsid w:val="00AB6F51"/>
    <w:rsid w:val="00AB7276"/>
    <w:rsid w:val="00AB7BA6"/>
    <w:rsid w:val="00AC0ABB"/>
    <w:rsid w:val="00AC2429"/>
    <w:rsid w:val="00AC2D84"/>
    <w:rsid w:val="00AC372F"/>
    <w:rsid w:val="00AC37D0"/>
    <w:rsid w:val="00AC3F09"/>
    <w:rsid w:val="00AC4ACB"/>
    <w:rsid w:val="00AC5516"/>
    <w:rsid w:val="00AC7746"/>
    <w:rsid w:val="00AC7F38"/>
    <w:rsid w:val="00AC7F97"/>
    <w:rsid w:val="00AD028E"/>
    <w:rsid w:val="00AD0355"/>
    <w:rsid w:val="00AD092B"/>
    <w:rsid w:val="00AD46F5"/>
    <w:rsid w:val="00AD60EA"/>
    <w:rsid w:val="00AD65FB"/>
    <w:rsid w:val="00AD6FFF"/>
    <w:rsid w:val="00AD7340"/>
    <w:rsid w:val="00AD7C65"/>
    <w:rsid w:val="00AE071B"/>
    <w:rsid w:val="00AE1647"/>
    <w:rsid w:val="00AE1A95"/>
    <w:rsid w:val="00AE1EF2"/>
    <w:rsid w:val="00AE2C17"/>
    <w:rsid w:val="00AE3893"/>
    <w:rsid w:val="00AE3FC6"/>
    <w:rsid w:val="00AE445F"/>
    <w:rsid w:val="00AE5428"/>
    <w:rsid w:val="00AE58C6"/>
    <w:rsid w:val="00AE7867"/>
    <w:rsid w:val="00AE7D7F"/>
    <w:rsid w:val="00AF199C"/>
    <w:rsid w:val="00AF1B66"/>
    <w:rsid w:val="00AF217C"/>
    <w:rsid w:val="00AF33AE"/>
    <w:rsid w:val="00AF54F2"/>
    <w:rsid w:val="00AF611D"/>
    <w:rsid w:val="00AF698C"/>
    <w:rsid w:val="00AF787B"/>
    <w:rsid w:val="00B00CE9"/>
    <w:rsid w:val="00B0161B"/>
    <w:rsid w:val="00B019AD"/>
    <w:rsid w:val="00B04174"/>
    <w:rsid w:val="00B048A2"/>
    <w:rsid w:val="00B04B61"/>
    <w:rsid w:val="00B04D84"/>
    <w:rsid w:val="00B05799"/>
    <w:rsid w:val="00B06E9E"/>
    <w:rsid w:val="00B07EB0"/>
    <w:rsid w:val="00B10A5A"/>
    <w:rsid w:val="00B11409"/>
    <w:rsid w:val="00B1248A"/>
    <w:rsid w:val="00B124D7"/>
    <w:rsid w:val="00B12576"/>
    <w:rsid w:val="00B126D0"/>
    <w:rsid w:val="00B128F8"/>
    <w:rsid w:val="00B13314"/>
    <w:rsid w:val="00B13474"/>
    <w:rsid w:val="00B13D59"/>
    <w:rsid w:val="00B14516"/>
    <w:rsid w:val="00B150EF"/>
    <w:rsid w:val="00B15596"/>
    <w:rsid w:val="00B169C3"/>
    <w:rsid w:val="00B17ECB"/>
    <w:rsid w:val="00B200B9"/>
    <w:rsid w:val="00B20445"/>
    <w:rsid w:val="00B20CE3"/>
    <w:rsid w:val="00B21566"/>
    <w:rsid w:val="00B229A1"/>
    <w:rsid w:val="00B2331D"/>
    <w:rsid w:val="00B23AC9"/>
    <w:rsid w:val="00B2580B"/>
    <w:rsid w:val="00B267DD"/>
    <w:rsid w:val="00B26F34"/>
    <w:rsid w:val="00B27C5D"/>
    <w:rsid w:val="00B321D2"/>
    <w:rsid w:val="00B32D5A"/>
    <w:rsid w:val="00B341F7"/>
    <w:rsid w:val="00B349F4"/>
    <w:rsid w:val="00B34C17"/>
    <w:rsid w:val="00B34F68"/>
    <w:rsid w:val="00B353C4"/>
    <w:rsid w:val="00B35568"/>
    <w:rsid w:val="00B367E1"/>
    <w:rsid w:val="00B36EA9"/>
    <w:rsid w:val="00B371DE"/>
    <w:rsid w:val="00B372D3"/>
    <w:rsid w:val="00B41724"/>
    <w:rsid w:val="00B41CD0"/>
    <w:rsid w:val="00B41FDA"/>
    <w:rsid w:val="00B42B21"/>
    <w:rsid w:val="00B42B89"/>
    <w:rsid w:val="00B438DF"/>
    <w:rsid w:val="00B439B6"/>
    <w:rsid w:val="00B44898"/>
    <w:rsid w:val="00B455E3"/>
    <w:rsid w:val="00B45BC9"/>
    <w:rsid w:val="00B45DAC"/>
    <w:rsid w:val="00B463E2"/>
    <w:rsid w:val="00B46B93"/>
    <w:rsid w:val="00B47FB2"/>
    <w:rsid w:val="00B50067"/>
    <w:rsid w:val="00B50293"/>
    <w:rsid w:val="00B50773"/>
    <w:rsid w:val="00B50C7C"/>
    <w:rsid w:val="00B5133A"/>
    <w:rsid w:val="00B51825"/>
    <w:rsid w:val="00B51F57"/>
    <w:rsid w:val="00B526D6"/>
    <w:rsid w:val="00B53826"/>
    <w:rsid w:val="00B53F2C"/>
    <w:rsid w:val="00B546AE"/>
    <w:rsid w:val="00B56BAC"/>
    <w:rsid w:val="00B608F6"/>
    <w:rsid w:val="00B60B17"/>
    <w:rsid w:val="00B60D7B"/>
    <w:rsid w:val="00B60E2D"/>
    <w:rsid w:val="00B612E8"/>
    <w:rsid w:val="00B620FC"/>
    <w:rsid w:val="00B6308A"/>
    <w:rsid w:val="00B63677"/>
    <w:rsid w:val="00B643E2"/>
    <w:rsid w:val="00B64B4C"/>
    <w:rsid w:val="00B65764"/>
    <w:rsid w:val="00B65AB8"/>
    <w:rsid w:val="00B660D3"/>
    <w:rsid w:val="00B66A18"/>
    <w:rsid w:val="00B66D88"/>
    <w:rsid w:val="00B66DFE"/>
    <w:rsid w:val="00B6765C"/>
    <w:rsid w:val="00B67E1E"/>
    <w:rsid w:val="00B70578"/>
    <w:rsid w:val="00B72215"/>
    <w:rsid w:val="00B739A8"/>
    <w:rsid w:val="00B74D74"/>
    <w:rsid w:val="00B753A6"/>
    <w:rsid w:val="00B75A24"/>
    <w:rsid w:val="00B76E41"/>
    <w:rsid w:val="00B779E8"/>
    <w:rsid w:val="00B8008B"/>
    <w:rsid w:val="00B803B4"/>
    <w:rsid w:val="00B804B8"/>
    <w:rsid w:val="00B8337C"/>
    <w:rsid w:val="00B83FC6"/>
    <w:rsid w:val="00B849FD"/>
    <w:rsid w:val="00B84C6B"/>
    <w:rsid w:val="00B858B5"/>
    <w:rsid w:val="00B869B6"/>
    <w:rsid w:val="00B86A47"/>
    <w:rsid w:val="00B87C37"/>
    <w:rsid w:val="00B90502"/>
    <w:rsid w:val="00B906A6"/>
    <w:rsid w:val="00B90A8F"/>
    <w:rsid w:val="00B92819"/>
    <w:rsid w:val="00B92C16"/>
    <w:rsid w:val="00B94C35"/>
    <w:rsid w:val="00B9548F"/>
    <w:rsid w:val="00B957FF"/>
    <w:rsid w:val="00B95DE0"/>
    <w:rsid w:val="00BA0E31"/>
    <w:rsid w:val="00BA3C68"/>
    <w:rsid w:val="00BA4BB6"/>
    <w:rsid w:val="00BA4C2F"/>
    <w:rsid w:val="00BA5913"/>
    <w:rsid w:val="00BB0E55"/>
    <w:rsid w:val="00BB1B54"/>
    <w:rsid w:val="00BB2D8C"/>
    <w:rsid w:val="00BB3D0D"/>
    <w:rsid w:val="00BB462E"/>
    <w:rsid w:val="00BB4981"/>
    <w:rsid w:val="00BB5DA7"/>
    <w:rsid w:val="00BB5EF4"/>
    <w:rsid w:val="00BB64F4"/>
    <w:rsid w:val="00BB7300"/>
    <w:rsid w:val="00BB73F8"/>
    <w:rsid w:val="00BB7A4E"/>
    <w:rsid w:val="00BB7FA7"/>
    <w:rsid w:val="00BC084A"/>
    <w:rsid w:val="00BC0D8B"/>
    <w:rsid w:val="00BC2380"/>
    <w:rsid w:val="00BC3193"/>
    <w:rsid w:val="00BC4158"/>
    <w:rsid w:val="00BC43D1"/>
    <w:rsid w:val="00BC5C50"/>
    <w:rsid w:val="00BC7003"/>
    <w:rsid w:val="00BC7F2E"/>
    <w:rsid w:val="00BD092B"/>
    <w:rsid w:val="00BD0D57"/>
    <w:rsid w:val="00BD144C"/>
    <w:rsid w:val="00BD2511"/>
    <w:rsid w:val="00BD31D7"/>
    <w:rsid w:val="00BD43B8"/>
    <w:rsid w:val="00BD4BC3"/>
    <w:rsid w:val="00BD5A13"/>
    <w:rsid w:val="00BD5F51"/>
    <w:rsid w:val="00BD6537"/>
    <w:rsid w:val="00BD6FBF"/>
    <w:rsid w:val="00BD73EF"/>
    <w:rsid w:val="00BD75D9"/>
    <w:rsid w:val="00BE21B4"/>
    <w:rsid w:val="00BE3548"/>
    <w:rsid w:val="00BE3DFA"/>
    <w:rsid w:val="00BE46B7"/>
    <w:rsid w:val="00BE49CC"/>
    <w:rsid w:val="00BE52C3"/>
    <w:rsid w:val="00BE5F55"/>
    <w:rsid w:val="00BE6AC8"/>
    <w:rsid w:val="00BE793C"/>
    <w:rsid w:val="00BF02A7"/>
    <w:rsid w:val="00BF0DE6"/>
    <w:rsid w:val="00BF0E06"/>
    <w:rsid w:val="00BF17E6"/>
    <w:rsid w:val="00BF41EC"/>
    <w:rsid w:val="00BF4373"/>
    <w:rsid w:val="00BF4925"/>
    <w:rsid w:val="00BF5350"/>
    <w:rsid w:val="00BF59BA"/>
    <w:rsid w:val="00BF62E5"/>
    <w:rsid w:val="00BF63EE"/>
    <w:rsid w:val="00BF6A77"/>
    <w:rsid w:val="00BF7418"/>
    <w:rsid w:val="00BF7990"/>
    <w:rsid w:val="00C013A5"/>
    <w:rsid w:val="00C0208F"/>
    <w:rsid w:val="00C031C2"/>
    <w:rsid w:val="00C0659A"/>
    <w:rsid w:val="00C07AA0"/>
    <w:rsid w:val="00C118AA"/>
    <w:rsid w:val="00C11BFC"/>
    <w:rsid w:val="00C13C4E"/>
    <w:rsid w:val="00C1492B"/>
    <w:rsid w:val="00C14E09"/>
    <w:rsid w:val="00C15C2A"/>
    <w:rsid w:val="00C15E48"/>
    <w:rsid w:val="00C20A40"/>
    <w:rsid w:val="00C20EA5"/>
    <w:rsid w:val="00C210D4"/>
    <w:rsid w:val="00C213D8"/>
    <w:rsid w:val="00C2140A"/>
    <w:rsid w:val="00C21AA7"/>
    <w:rsid w:val="00C231C4"/>
    <w:rsid w:val="00C233C5"/>
    <w:rsid w:val="00C23447"/>
    <w:rsid w:val="00C2354A"/>
    <w:rsid w:val="00C23A34"/>
    <w:rsid w:val="00C249C1"/>
    <w:rsid w:val="00C25137"/>
    <w:rsid w:val="00C25818"/>
    <w:rsid w:val="00C262B2"/>
    <w:rsid w:val="00C27D86"/>
    <w:rsid w:val="00C302B4"/>
    <w:rsid w:val="00C303BC"/>
    <w:rsid w:val="00C30BFB"/>
    <w:rsid w:val="00C30FF9"/>
    <w:rsid w:val="00C315B1"/>
    <w:rsid w:val="00C31799"/>
    <w:rsid w:val="00C31BBB"/>
    <w:rsid w:val="00C335FA"/>
    <w:rsid w:val="00C33861"/>
    <w:rsid w:val="00C33DB8"/>
    <w:rsid w:val="00C34A9E"/>
    <w:rsid w:val="00C356F4"/>
    <w:rsid w:val="00C35F2A"/>
    <w:rsid w:val="00C36E93"/>
    <w:rsid w:val="00C37683"/>
    <w:rsid w:val="00C407C6"/>
    <w:rsid w:val="00C41681"/>
    <w:rsid w:val="00C42A60"/>
    <w:rsid w:val="00C43C42"/>
    <w:rsid w:val="00C43D7E"/>
    <w:rsid w:val="00C4419C"/>
    <w:rsid w:val="00C447B2"/>
    <w:rsid w:val="00C44F1A"/>
    <w:rsid w:val="00C451A9"/>
    <w:rsid w:val="00C45D5A"/>
    <w:rsid w:val="00C47206"/>
    <w:rsid w:val="00C4774A"/>
    <w:rsid w:val="00C5003F"/>
    <w:rsid w:val="00C508B9"/>
    <w:rsid w:val="00C50A1D"/>
    <w:rsid w:val="00C5198F"/>
    <w:rsid w:val="00C52EB1"/>
    <w:rsid w:val="00C538EF"/>
    <w:rsid w:val="00C539F9"/>
    <w:rsid w:val="00C53AC9"/>
    <w:rsid w:val="00C55B11"/>
    <w:rsid w:val="00C563AF"/>
    <w:rsid w:val="00C56552"/>
    <w:rsid w:val="00C569B4"/>
    <w:rsid w:val="00C56E00"/>
    <w:rsid w:val="00C61C72"/>
    <w:rsid w:val="00C62AE4"/>
    <w:rsid w:val="00C62FCE"/>
    <w:rsid w:val="00C63562"/>
    <w:rsid w:val="00C642E8"/>
    <w:rsid w:val="00C66349"/>
    <w:rsid w:val="00C66B5A"/>
    <w:rsid w:val="00C6789E"/>
    <w:rsid w:val="00C67976"/>
    <w:rsid w:val="00C71227"/>
    <w:rsid w:val="00C72C8A"/>
    <w:rsid w:val="00C73F70"/>
    <w:rsid w:val="00C74D09"/>
    <w:rsid w:val="00C75399"/>
    <w:rsid w:val="00C762DC"/>
    <w:rsid w:val="00C77179"/>
    <w:rsid w:val="00C7729D"/>
    <w:rsid w:val="00C7748A"/>
    <w:rsid w:val="00C77C56"/>
    <w:rsid w:val="00C77D82"/>
    <w:rsid w:val="00C80B74"/>
    <w:rsid w:val="00C817F1"/>
    <w:rsid w:val="00C82B09"/>
    <w:rsid w:val="00C83196"/>
    <w:rsid w:val="00C84213"/>
    <w:rsid w:val="00C85382"/>
    <w:rsid w:val="00C8562C"/>
    <w:rsid w:val="00C8570D"/>
    <w:rsid w:val="00C85B60"/>
    <w:rsid w:val="00C8636D"/>
    <w:rsid w:val="00C86560"/>
    <w:rsid w:val="00C86EAD"/>
    <w:rsid w:val="00C90C34"/>
    <w:rsid w:val="00C91BD5"/>
    <w:rsid w:val="00C922A7"/>
    <w:rsid w:val="00C9380D"/>
    <w:rsid w:val="00C93D24"/>
    <w:rsid w:val="00C94396"/>
    <w:rsid w:val="00C94BB8"/>
    <w:rsid w:val="00C94E84"/>
    <w:rsid w:val="00C9510F"/>
    <w:rsid w:val="00C95356"/>
    <w:rsid w:val="00C95E69"/>
    <w:rsid w:val="00C96023"/>
    <w:rsid w:val="00C964F0"/>
    <w:rsid w:val="00C965E5"/>
    <w:rsid w:val="00C968A8"/>
    <w:rsid w:val="00CA15EB"/>
    <w:rsid w:val="00CA2AD4"/>
    <w:rsid w:val="00CA6AD4"/>
    <w:rsid w:val="00CA737D"/>
    <w:rsid w:val="00CB0395"/>
    <w:rsid w:val="00CB132F"/>
    <w:rsid w:val="00CB18A4"/>
    <w:rsid w:val="00CB1EEF"/>
    <w:rsid w:val="00CB20E2"/>
    <w:rsid w:val="00CB447C"/>
    <w:rsid w:val="00CB5FF7"/>
    <w:rsid w:val="00CB6616"/>
    <w:rsid w:val="00CB6963"/>
    <w:rsid w:val="00CB69DC"/>
    <w:rsid w:val="00CB6EBD"/>
    <w:rsid w:val="00CC1CA6"/>
    <w:rsid w:val="00CC2B1E"/>
    <w:rsid w:val="00CC2C79"/>
    <w:rsid w:val="00CC3183"/>
    <w:rsid w:val="00CC47DF"/>
    <w:rsid w:val="00CC4FB9"/>
    <w:rsid w:val="00CC535F"/>
    <w:rsid w:val="00CC6E66"/>
    <w:rsid w:val="00CC776E"/>
    <w:rsid w:val="00CC7BCD"/>
    <w:rsid w:val="00CD1025"/>
    <w:rsid w:val="00CD15A4"/>
    <w:rsid w:val="00CD315D"/>
    <w:rsid w:val="00CD3237"/>
    <w:rsid w:val="00CD3FF8"/>
    <w:rsid w:val="00CD439E"/>
    <w:rsid w:val="00CD5250"/>
    <w:rsid w:val="00CD53A0"/>
    <w:rsid w:val="00CD6408"/>
    <w:rsid w:val="00CD75C7"/>
    <w:rsid w:val="00CE01CA"/>
    <w:rsid w:val="00CE0613"/>
    <w:rsid w:val="00CE0710"/>
    <w:rsid w:val="00CE0B85"/>
    <w:rsid w:val="00CE0CAD"/>
    <w:rsid w:val="00CE0ED9"/>
    <w:rsid w:val="00CE1C2F"/>
    <w:rsid w:val="00CE2B9F"/>
    <w:rsid w:val="00CE30E4"/>
    <w:rsid w:val="00CE366F"/>
    <w:rsid w:val="00CE370F"/>
    <w:rsid w:val="00CE3B6B"/>
    <w:rsid w:val="00CE6008"/>
    <w:rsid w:val="00CE618C"/>
    <w:rsid w:val="00CE705A"/>
    <w:rsid w:val="00CE7616"/>
    <w:rsid w:val="00CF02F4"/>
    <w:rsid w:val="00CF0903"/>
    <w:rsid w:val="00CF1304"/>
    <w:rsid w:val="00CF1D8E"/>
    <w:rsid w:val="00CF203F"/>
    <w:rsid w:val="00CF25FF"/>
    <w:rsid w:val="00CF3FFA"/>
    <w:rsid w:val="00CF501F"/>
    <w:rsid w:val="00CF552D"/>
    <w:rsid w:val="00CF55C8"/>
    <w:rsid w:val="00CF56BA"/>
    <w:rsid w:val="00CF6E79"/>
    <w:rsid w:val="00CF6F2B"/>
    <w:rsid w:val="00CF70AB"/>
    <w:rsid w:val="00CF79EA"/>
    <w:rsid w:val="00D00C71"/>
    <w:rsid w:val="00D03626"/>
    <w:rsid w:val="00D0364F"/>
    <w:rsid w:val="00D039AD"/>
    <w:rsid w:val="00D03B9F"/>
    <w:rsid w:val="00D03DF6"/>
    <w:rsid w:val="00D04184"/>
    <w:rsid w:val="00D04358"/>
    <w:rsid w:val="00D047E1"/>
    <w:rsid w:val="00D07235"/>
    <w:rsid w:val="00D079C2"/>
    <w:rsid w:val="00D111A6"/>
    <w:rsid w:val="00D1360E"/>
    <w:rsid w:val="00D146FA"/>
    <w:rsid w:val="00D14F22"/>
    <w:rsid w:val="00D15823"/>
    <w:rsid w:val="00D15DD8"/>
    <w:rsid w:val="00D21469"/>
    <w:rsid w:val="00D214FA"/>
    <w:rsid w:val="00D22BBD"/>
    <w:rsid w:val="00D22BCC"/>
    <w:rsid w:val="00D22BEF"/>
    <w:rsid w:val="00D22EAB"/>
    <w:rsid w:val="00D2632B"/>
    <w:rsid w:val="00D27139"/>
    <w:rsid w:val="00D276A0"/>
    <w:rsid w:val="00D3059B"/>
    <w:rsid w:val="00D316E8"/>
    <w:rsid w:val="00D31749"/>
    <w:rsid w:val="00D31DC4"/>
    <w:rsid w:val="00D3245D"/>
    <w:rsid w:val="00D338D7"/>
    <w:rsid w:val="00D34EA6"/>
    <w:rsid w:val="00D357C6"/>
    <w:rsid w:val="00D3586A"/>
    <w:rsid w:val="00D35B45"/>
    <w:rsid w:val="00D35B4F"/>
    <w:rsid w:val="00D35B5A"/>
    <w:rsid w:val="00D36858"/>
    <w:rsid w:val="00D36E3F"/>
    <w:rsid w:val="00D37291"/>
    <w:rsid w:val="00D373A8"/>
    <w:rsid w:val="00D37C32"/>
    <w:rsid w:val="00D37D9F"/>
    <w:rsid w:val="00D4189E"/>
    <w:rsid w:val="00D41C19"/>
    <w:rsid w:val="00D4292C"/>
    <w:rsid w:val="00D439B8"/>
    <w:rsid w:val="00D4409D"/>
    <w:rsid w:val="00D446C1"/>
    <w:rsid w:val="00D4498E"/>
    <w:rsid w:val="00D45F32"/>
    <w:rsid w:val="00D469B5"/>
    <w:rsid w:val="00D47883"/>
    <w:rsid w:val="00D50929"/>
    <w:rsid w:val="00D51D5D"/>
    <w:rsid w:val="00D52AC0"/>
    <w:rsid w:val="00D550B5"/>
    <w:rsid w:val="00D55373"/>
    <w:rsid w:val="00D5661A"/>
    <w:rsid w:val="00D57B0F"/>
    <w:rsid w:val="00D57D48"/>
    <w:rsid w:val="00D60046"/>
    <w:rsid w:val="00D60CDB"/>
    <w:rsid w:val="00D620C2"/>
    <w:rsid w:val="00D626B5"/>
    <w:rsid w:val="00D62941"/>
    <w:rsid w:val="00D6320D"/>
    <w:rsid w:val="00D63563"/>
    <w:rsid w:val="00D63C07"/>
    <w:rsid w:val="00D646C2"/>
    <w:rsid w:val="00D6499B"/>
    <w:rsid w:val="00D6534D"/>
    <w:rsid w:val="00D65663"/>
    <w:rsid w:val="00D65CF5"/>
    <w:rsid w:val="00D667D2"/>
    <w:rsid w:val="00D66FEF"/>
    <w:rsid w:val="00D679FE"/>
    <w:rsid w:val="00D70D74"/>
    <w:rsid w:val="00D71A7B"/>
    <w:rsid w:val="00D71E4E"/>
    <w:rsid w:val="00D71FFB"/>
    <w:rsid w:val="00D736C5"/>
    <w:rsid w:val="00D7393C"/>
    <w:rsid w:val="00D73C11"/>
    <w:rsid w:val="00D74499"/>
    <w:rsid w:val="00D74D99"/>
    <w:rsid w:val="00D75232"/>
    <w:rsid w:val="00D76CB4"/>
    <w:rsid w:val="00D77223"/>
    <w:rsid w:val="00D82BAE"/>
    <w:rsid w:val="00D83622"/>
    <w:rsid w:val="00D83656"/>
    <w:rsid w:val="00D8443A"/>
    <w:rsid w:val="00D8633E"/>
    <w:rsid w:val="00D86758"/>
    <w:rsid w:val="00D867C8"/>
    <w:rsid w:val="00D901D0"/>
    <w:rsid w:val="00D91627"/>
    <w:rsid w:val="00D91B3F"/>
    <w:rsid w:val="00D91FB5"/>
    <w:rsid w:val="00D9251E"/>
    <w:rsid w:val="00D925D5"/>
    <w:rsid w:val="00D92701"/>
    <w:rsid w:val="00D927D1"/>
    <w:rsid w:val="00D929E3"/>
    <w:rsid w:val="00D94554"/>
    <w:rsid w:val="00D9579E"/>
    <w:rsid w:val="00D9694B"/>
    <w:rsid w:val="00D974D5"/>
    <w:rsid w:val="00DA0668"/>
    <w:rsid w:val="00DA24B2"/>
    <w:rsid w:val="00DA313D"/>
    <w:rsid w:val="00DA3934"/>
    <w:rsid w:val="00DA48CF"/>
    <w:rsid w:val="00DA49D7"/>
    <w:rsid w:val="00DA4B0E"/>
    <w:rsid w:val="00DA4D33"/>
    <w:rsid w:val="00DA4E3D"/>
    <w:rsid w:val="00DA580F"/>
    <w:rsid w:val="00DA6886"/>
    <w:rsid w:val="00DA6B5A"/>
    <w:rsid w:val="00DA70C7"/>
    <w:rsid w:val="00DA72A1"/>
    <w:rsid w:val="00DA72E6"/>
    <w:rsid w:val="00DA7B1F"/>
    <w:rsid w:val="00DB08B5"/>
    <w:rsid w:val="00DB0950"/>
    <w:rsid w:val="00DB15D8"/>
    <w:rsid w:val="00DB208F"/>
    <w:rsid w:val="00DB2D79"/>
    <w:rsid w:val="00DB32A7"/>
    <w:rsid w:val="00DB3F8A"/>
    <w:rsid w:val="00DB426C"/>
    <w:rsid w:val="00DB59B9"/>
    <w:rsid w:val="00DB59F3"/>
    <w:rsid w:val="00DB65CF"/>
    <w:rsid w:val="00DB67F1"/>
    <w:rsid w:val="00DB6A0D"/>
    <w:rsid w:val="00DB7064"/>
    <w:rsid w:val="00DB7C19"/>
    <w:rsid w:val="00DC03A8"/>
    <w:rsid w:val="00DC05E0"/>
    <w:rsid w:val="00DC0759"/>
    <w:rsid w:val="00DC2B6E"/>
    <w:rsid w:val="00DC2EDE"/>
    <w:rsid w:val="00DC3E0E"/>
    <w:rsid w:val="00DC41CB"/>
    <w:rsid w:val="00DC5B07"/>
    <w:rsid w:val="00DC6D9C"/>
    <w:rsid w:val="00DC73CC"/>
    <w:rsid w:val="00DD0495"/>
    <w:rsid w:val="00DD05DD"/>
    <w:rsid w:val="00DD0D79"/>
    <w:rsid w:val="00DD0EA7"/>
    <w:rsid w:val="00DD3252"/>
    <w:rsid w:val="00DD3AF8"/>
    <w:rsid w:val="00DD6539"/>
    <w:rsid w:val="00DD6A8F"/>
    <w:rsid w:val="00DD75C8"/>
    <w:rsid w:val="00DE014E"/>
    <w:rsid w:val="00DE0474"/>
    <w:rsid w:val="00DE1888"/>
    <w:rsid w:val="00DE221A"/>
    <w:rsid w:val="00DE23F6"/>
    <w:rsid w:val="00DE318B"/>
    <w:rsid w:val="00DE39D6"/>
    <w:rsid w:val="00DE4A14"/>
    <w:rsid w:val="00DE4E6E"/>
    <w:rsid w:val="00DE569A"/>
    <w:rsid w:val="00DE6C50"/>
    <w:rsid w:val="00DE751A"/>
    <w:rsid w:val="00DF03D5"/>
    <w:rsid w:val="00DF1B57"/>
    <w:rsid w:val="00DF2E4A"/>
    <w:rsid w:val="00DF3484"/>
    <w:rsid w:val="00DF34D5"/>
    <w:rsid w:val="00DF35C8"/>
    <w:rsid w:val="00DF3D2D"/>
    <w:rsid w:val="00DF403D"/>
    <w:rsid w:val="00DF4866"/>
    <w:rsid w:val="00DF540E"/>
    <w:rsid w:val="00DF55F4"/>
    <w:rsid w:val="00DF5DF7"/>
    <w:rsid w:val="00DF73D2"/>
    <w:rsid w:val="00E01B10"/>
    <w:rsid w:val="00E022E6"/>
    <w:rsid w:val="00E02334"/>
    <w:rsid w:val="00E02B99"/>
    <w:rsid w:val="00E02C3F"/>
    <w:rsid w:val="00E057B6"/>
    <w:rsid w:val="00E05877"/>
    <w:rsid w:val="00E06B28"/>
    <w:rsid w:val="00E0768B"/>
    <w:rsid w:val="00E07DBF"/>
    <w:rsid w:val="00E12222"/>
    <w:rsid w:val="00E127CF"/>
    <w:rsid w:val="00E13D06"/>
    <w:rsid w:val="00E13F51"/>
    <w:rsid w:val="00E14E39"/>
    <w:rsid w:val="00E154C0"/>
    <w:rsid w:val="00E1597C"/>
    <w:rsid w:val="00E15BA3"/>
    <w:rsid w:val="00E16020"/>
    <w:rsid w:val="00E167A2"/>
    <w:rsid w:val="00E16969"/>
    <w:rsid w:val="00E16DB3"/>
    <w:rsid w:val="00E2021A"/>
    <w:rsid w:val="00E218DA"/>
    <w:rsid w:val="00E21976"/>
    <w:rsid w:val="00E22278"/>
    <w:rsid w:val="00E23065"/>
    <w:rsid w:val="00E231AA"/>
    <w:rsid w:val="00E23E4B"/>
    <w:rsid w:val="00E246A2"/>
    <w:rsid w:val="00E24AB4"/>
    <w:rsid w:val="00E24C9A"/>
    <w:rsid w:val="00E24EA4"/>
    <w:rsid w:val="00E2550C"/>
    <w:rsid w:val="00E267E4"/>
    <w:rsid w:val="00E276C4"/>
    <w:rsid w:val="00E27C90"/>
    <w:rsid w:val="00E3037F"/>
    <w:rsid w:val="00E30B23"/>
    <w:rsid w:val="00E33680"/>
    <w:rsid w:val="00E34A67"/>
    <w:rsid w:val="00E3585E"/>
    <w:rsid w:val="00E36A7D"/>
    <w:rsid w:val="00E37681"/>
    <w:rsid w:val="00E37EF2"/>
    <w:rsid w:val="00E37F08"/>
    <w:rsid w:val="00E41B8E"/>
    <w:rsid w:val="00E42065"/>
    <w:rsid w:val="00E443E1"/>
    <w:rsid w:val="00E44474"/>
    <w:rsid w:val="00E444A4"/>
    <w:rsid w:val="00E44AB2"/>
    <w:rsid w:val="00E469CA"/>
    <w:rsid w:val="00E51DBC"/>
    <w:rsid w:val="00E521D4"/>
    <w:rsid w:val="00E524BD"/>
    <w:rsid w:val="00E5537A"/>
    <w:rsid w:val="00E5745B"/>
    <w:rsid w:val="00E60020"/>
    <w:rsid w:val="00E60807"/>
    <w:rsid w:val="00E62170"/>
    <w:rsid w:val="00E62F8A"/>
    <w:rsid w:val="00E64BF5"/>
    <w:rsid w:val="00E6550B"/>
    <w:rsid w:val="00E65C24"/>
    <w:rsid w:val="00E6658B"/>
    <w:rsid w:val="00E66E45"/>
    <w:rsid w:val="00E70D28"/>
    <w:rsid w:val="00E7101E"/>
    <w:rsid w:val="00E711D6"/>
    <w:rsid w:val="00E716AE"/>
    <w:rsid w:val="00E72087"/>
    <w:rsid w:val="00E73E6B"/>
    <w:rsid w:val="00E742F8"/>
    <w:rsid w:val="00E758E0"/>
    <w:rsid w:val="00E77287"/>
    <w:rsid w:val="00E8016F"/>
    <w:rsid w:val="00E8033F"/>
    <w:rsid w:val="00E80BDE"/>
    <w:rsid w:val="00E80CF2"/>
    <w:rsid w:val="00E813F6"/>
    <w:rsid w:val="00E816A5"/>
    <w:rsid w:val="00E81736"/>
    <w:rsid w:val="00E819FF"/>
    <w:rsid w:val="00E82193"/>
    <w:rsid w:val="00E822CF"/>
    <w:rsid w:val="00E83280"/>
    <w:rsid w:val="00E83291"/>
    <w:rsid w:val="00E838A1"/>
    <w:rsid w:val="00E840F8"/>
    <w:rsid w:val="00E8419D"/>
    <w:rsid w:val="00E84335"/>
    <w:rsid w:val="00E84D98"/>
    <w:rsid w:val="00E86338"/>
    <w:rsid w:val="00E87A5A"/>
    <w:rsid w:val="00E909D4"/>
    <w:rsid w:val="00E91607"/>
    <w:rsid w:val="00E91C43"/>
    <w:rsid w:val="00E93C54"/>
    <w:rsid w:val="00E93D0F"/>
    <w:rsid w:val="00E948E3"/>
    <w:rsid w:val="00E950C4"/>
    <w:rsid w:val="00E9631F"/>
    <w:rsid w:val="00E96DB0"/>
    <w:rsid w:val="00E9766A"/>
    <w:rsid w:val="00EA03D1"/>
    <w:rsid w:val="00EA0552"/>
    <w:rsid w:val="00EA2F7A"/>
    <w:rsid w:val="00EA2FF6"/>
    <w:rsid w:val="00EA3266"/>
    <w:rsid w:val="00EA4157"/>
    <w:rsid w:val="00EA7061"/>
    <w:rsid w:val="00EA7A30"/>
    <w:rsid w:val="00EB01FC"/>
    <w:rsid w:val="00EB0250"/>
    <w:rsid w:val="00EB0597"/>
    <w:rsid w:val="00EB0FDF"/>
    <w:rsid w:val="00EB19EF"/>
    <w:rsid w:val="00EB226D"/>
    <w:rsid w:val="00EB40ED"/>
    <w:rsid w:val="00EB426D"/>
    <w:rsid w:val="00EB471D"/>
    <w:rsid w:val="00EB49CB"/>
    <w:rsid w:val="00EB4A85"/>
    <w:rsid w:val="00EB537C"/>
    <w:rsid w:val="00EB5AD3"/>
    <w:rsid w:val="00EB5C62"/>
    <w:rsid w:val="00EB62DE"/>
    <w:rsid w:val="00EB6603"/>
    <w:rsid w:val="00EB6C2A"/>
    <w:rsid w:val="00EB7E3F"/>
    <w:rsid w:val="00EC0D1A"/>
    <w:rsid w:val="00EC1014"/>
    <w:rsid w:val="00EC104B"/>
    <w:rsid w:val="00EC2843"/>
    <w:rsid w:val="00EC2F21"/>
    <w:rsid w:val="00EC3082"/>
    <w:rsid w:val="00EC327D"/>
    <w:rsid w:val="00EC3475"/>
    <w:rsid w:val="00EC3B45"/>
    <w:rsid w:val="00EC40E9"/>
    <w:rsid w:val="00EC52F6"/>
    <w:rsid w:val="00EC56D9"/>
    <w:rsid w:val="00EC5949"/>
    <w:rsid w:val="00ED0905"/>
    <w:rsid w:val="00ED0A6D"/>
    <w:rsid w:val="00ED32E8"/>
    <w:rsid w:val="00ED3849"/>
    <w:rsid w:val="00ED4438"/>
    <w:rsid w:val="00ED5E55"/>
    <w:rsid w:val="00ED6129"/>
    <w:rsid w:val="00ED64DD"/>
    <w:rsid w:val="00EE23FB"/>
    <w:rsid w:val="00EE42F7"/>
    <w:rsid w:val="00EE6BFD"/>
    <w:rsid w:val="00EE7161"/>
    <w:rsid w:val="00EF08EB"/>
    <w:rsid w:val="00EF0FC7"/>
    <w:rsid w:val="00EF3FCD"/>
    <w:rsid w:val="00EF40B6"/>
    <w:rsid w:val="00EF455E"/>
    <w:rsid w:val="00EF694C"/>
    <w:rsid w:val="00EF6E85"/>
    <w:rsid w:val="00EF7744"/>
    <w:rsid w:val="00F01000"/>
    <w:rsid w:val="00F01BE1"/>
    <w:rsid w:val="00F0210A"/>
    <w:rsid w:val="00F02E1E"/>
    <w:rsid w:val="00F03B99"/>
    <w:rsid w:val="00F040C1"/>
    <w:rsid w:val="00F04680"/>
    <w:rsid w:val="00F04A15"/>
    <w:rsid w:val="00F04B32"/>
    <w:rsid w:val="00F0529E"/>
    <w:rsid w:val="00F05313"/>
    <w:rsid w:val="00F07C72"/>
    <w:rsid w:val="00F113F1"/>
    <w:rsid w:val="00F126B6"/>
    <w:rsid w:val="00F128D4"/>
    <w:rsid w:val="00F13137"/>
    <w:rsid w:val="00F1388C"/>
    <w:rsid w:val="00F13B13"/>
    <w:rsid w:val="00F13BF4"/>
    <w:rsid w:val="00F13D0E"/>
    <w:rsid w:val="00F13EAA"/>
    <w:rsid w:val="00F14D71"/>
    <w:rsid w:val="00F154EE"/>
    <w:rsid w:val="00F17A1D"/>
    <w:rsid w:val="00F17C95"/>
    <w:rsid w:val="00F17DC9"/>
    <w:rsid w:val="00F21AA1"/>
    <w:rsid w:val="00F22FFB"/>
    <w:rsid w:val="00F23940"/>
    <w:rsid w:val="00F23F5B"/>
    <w:rsid w:val="00F24203"/>
    <w:rsid w:val="00F24A69"/>
    <w:rsid w:val="00F2584B"/>
    <w:rsid w:val="00F258FB"/>
    <w:rsid w:val="00F25CE2"/>
    <w:rsid w:val="00F26B77"/>
    <w:rsid w:val="00F26C8D"/>
    <w:rsid w:val="00F31356"/>
    <w:rsid w:val="00F31B5B"/>
    <w:rsid w:val="00F320D2"/>
    <w:rsid w:val="00F322E6"/>
    <w:rsid w:val="00F32865"/>
    <w:rsid w:val="00F33F41"/>
    <w:rsid w:val="00F34434"/>
    <w:rsid w:val="00F35441"/>
    <w:rsid w:val="00F36872"/>
    <w:rsid w:val="00F377F1"/>
    <w:rsid w:val="00F40789"/>
    <w:rsid w:val="00F40D91"/>
    <w:rsid w:val="00F41A48"/>
    <w:rsid w:val="00F41D5E"/>
    <w:rsid w:val="00F420C2"/>
    <w:rsid w:val="00F434A5"/>
    <w:rsid w:val="00F43AD8"/>
    <w:rsid w:val="00F44951"/>
    <w:rsid w:val="00F44EC6"/>
    <w:rsid w:val="00F462A5"/>
    <w:rsid w:val="00F46D9E"/>
    <w:rsid w:val="00F46E2B"/>
    <w:rsid w:val="00F47873"/>
    <w:rsid w:val="00F5015C"/>
    <w:rsid w:val="00F5017F"/>
    <w:rsid w:val="00F516CC"/>
    <w:rsid w:val="00F51798"/>
    <w:rsid w:val="00F51BAC"/>
    <w:rsid w:val="00F5225E"/>
    <w:rsid w:val="00F52FEF"/>
    <w:rsid w:val="00F532E9"/>
    <w:rsid w:val="00F5440F"/>
    <w:rsid w:val="00F54D04"/>
    <w:rsid w:val="00F554E4"/>
    <w:rsid w:val="00F558A5"/>
    <w:rsid w:val="00F56474"/>
    <w:rsid w:val="00F56630"/>
    <w:rsid w:val="00F569A2"/>
    <w:rsid w:val="00F569D3"/>
    <w:rsid w:val="00F57EA1"/>
    <w:rsid w:val="00F60389"/>
    <w:rsid w:val="00F6093D"/>
    <w:rsid w:val="00F60EF6"/>
    <w:rsid w:val="00F612B9"/>
    <w:rsid w:val="00F614C6"/>
    <w:rsid w:val="00F61612"/>
    <w:rsid w:val="00F6209A"/>
    <w:rsid w:val="00F6319F"/>
    <w:rsid w:val="00F6426E"/>
    <w:rsid w:val="00F65AB0"/>
    <w:rsid w:val="00F65E70"/>
    <w:rsid w:val="00F6693C"/>
    <w:rsid w:val="00F6706C"/>
    <w:rsid w:val="00F7058B"/>
    <w:rsid w:val="00F71366"/>
    <w:rsid w:val="00F719B3"/>
    <w:rsid w:val="00F7287C"/>
    <w:rsid w:val="00F7311F"/>
    <w:rsid w:val="00F74359"/>
    <w:rsid w:val="00F74AA3"/>
    <w:rsid w:val="00F74E22"/>
    <w:rsid w:val="00F76D93"/>
    <w:rsid w:val="00F779C2"/>
    <w:rsid w:val="00F77CAA"/>
    <w:rsid w:val="00F77F13"/>
    <w:rsid w:val="00F80CE9"/>
    <w:rsid w:val="00F81CD8"/>
    <w:rsid w:val="00F820A9"/>
    <w:rsid w:val="00F822CD"/>
    <w:rsid w:val="00F823A8"/>
    <w:rsid w:val="00F824AC"/>
    <w:rsid w:val="00F82768"/>
    <w:rsid w:val="00F83012"/>
    <w:rsid w:val="00F83766"/>
    <w:rsid w:val="00F84A23"/>
    <w:rsid w:val="00F85120"/>
    <w:rsid w:val="00F86B59"/>
    <w:rsid w:val="00F86D68"/>
    <w:rsid w:val="00F8770C"/>
    <w:rsid w:val="00F87C20"/>
    <w:rsid w:val="00F905C9"/>
    <w:rsid w:val="00F90DA7"/>
    <w:rsid w:val="00F90F5F"/>
    <w:rsid w:val="00F91DDC"/>
    <w:rsid w:val="00F92D68"/>
    <w:rsid w:val="00F94534"/>
    <w:rsid w:val="00F96572"/>
    <w:rsid w:val="00F967A9"/>
    <w:rsid w:val="00F96B0E"/>
    <w:rsid w:val="00F973B4"/>
    <w:rsid w:val="00FA1445"/>
    <w:rsid w:val="00FA18C9"/>
    <w:rsid w:val="00FA1B00"/>
    <w:rsid w:val="00FA1BD5"/>
    <w:rsid w:val="00FA1EBD"/>
    <w:rsid w:val="00FA2689"/>
    <w:rsid w:val="00FA40BB"/>
    <w:rsid w:val="00FA4A26"/>
    <w:rsid w:val="00FA5384"/>
    <w:rsid w:val="00FA594A"/>
    <w:rsid w:val="00FA5C7F"/>
    <w:rsid w:val="00FA6032"/>
    <w:rsid w:val="00FA726F"/>
    <w:rsid w:val="00FA7CF9"/>
    <w:rsid w:val="00FB02AE"/>
    <w:rsid w:val="00FB0823"/>
    <w:rsid w:val="00FB0B44"/>
    <w:rsid w:val="00FB1F60"/>
    <w:rsid w:val="00FB2F4A"/>
    <w:rsid w:val="00FB2FC5"/>
    <w:rsid w:val="00FB31FB"/>
    <w:rsid w:val="00FB3E0F"/>
    <w:rsid w:val="00FB567F"/>
    <w:rsid w:val="00FB597F"/>
    <w:rsid w:val="00FB6C8B"/>
    <w:rsid w:val="00FB6DEE"/>
    <w:rsid w:val="00FB7A79"/>
    <w:rsid w:val="00FC09A3"/>
    <w:rsid w:val="00FC0BBF"/>
    <w:rsid w:val="00FC1118"/>
    <w:rsid w:val="00FC12B1"/>
    <w:rsid w:val="00FC22B1"/>
    <w:rsid w:val="00FC2962"/>
    <w:rsid w:val="00FC2D88"/>
    <w:rsid w:val="00FC4FE8"/>
    <w:rsid w:val="00FC50A9"/>
    <w:rsid w:val="00FD0696"/>
    <w:rsid w:val="00FD0BAF"/>
    <w:rsid w:val="00FD110E"/>
    <w:rsid w:val="00FD2674"/>
    <w:rsid w:val="00FD28C6"/>
    <w:rsid w:val="00FD2B19"/>
    <w:rsid w:val="00FD38A3"/>
    <w:rsid w:val="00FD3972"/>
    <w:rsid w:val="00FD3D6C"/>
    <w:rsid w:val="00FD4EAC"/>
    <w:rsid w:val="00FD5C9B"/>
    <w:rsid w:val="00FD65E9"/>
    <w:rsid w:val="00FD6781"/>
    <w:rsid w:val="00FD67B0"/>
    <w:rsid w:val="00FD6A36"/>
    <w:rsid w:val="00FD6A78"/>
    <w:rsid w:val="00FD7ABF"/>
    <w:rsid w:val="00FE0A2A"/>
    <w:rsid w:val="00FE0C2F"/>
    <w:rsid w:val="00FE0D76"/>
    <w:rsid w:val="00FE227C"/>
    <w:rsid w:val="00FE48B3"/>
    <w:rsid w:val="00FE4CEE"/>
    <w:rsid w:val="00FE529B"/>
    <w:rsid w:val="00FE5F5A"/>
    <w:rsid w:val="00FE5FED"/>
    <w:rsid w:val="00FE6284"/>
    <w:rsid w:val="00FE6547"/>
    <w:rsid w:val="00FE73F9"/>
    <w:rsid w:val="00FE740B"/>
    <w:rsid w:val="00FE7756"/>
    <w:rsid w:val="00FE7BA1"/>
    <w:rsid w:val="00FE7F67"/>
    <w:rsid w:val="00FF01F8"/>
    <w:rsid w:val="00FF0EA2"/>
    <w:rsid w:val="00FF317F"/>
    <w:rsid w:val="00FF3374"/>
    <w:rsid w:val="00FF35F2"/>
    <w:rsid w:val="00FF3AB1"/>
    <w:rsid w:val="00FF3CBE"/>
    <w:rsid w:val="00FF3E6E"/>
    <w:rsid w:val="00FF43A6"/>
    <w:rsid w:val="00FF4E7A"/>
    <w:rsid w:val="00FF4EAA"/>
    <w:rsid w:val="00FF55D2"/>
    <w:rsid w:val="00FF5F80"/>
    <w:rsid w:val="00FF663F"/>
    <w:rsid w:val="19F9E50F"/>
    <w:rsid w:val="1F162F2B"/>
    <w:rsid w:val="439D2DD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E7FE1A"/>
  <w15:chartTrackingRefBased/>
  <w15:docId w15:val="{B42B0738-8C9D-475A-B3D5-ECD8625C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ind w:left="567" w:hanging="567"/>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3"/>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iPriority w:val="9"/>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A96B21"/>
    <w:pPr>
      <w:ind w:left="170" w:right="3119" w:hanging="170"/>
      <w:jc w:val="left"/>
    </w:pPr>
    <w:rPr>
      <w:b/>
      <w:sz w:val="24"/>
    </w:rPr>
  </w:style>
  <w:style w:type="table" w:customStyle="1" w:styleId="TableGrid1">
    <w:name w:val="Table Grid1"/>
    <w:basedOn w:val="TableNormal"/>
    <w:next w:val="TableGrid"/>
    <w:uiPriority w:val="5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unhideWhenUsed/>
    <w:qFormat/>
    <w:rsid w:val="00A96B21"/>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
    <w:basedOn w:val="DefaultParagraphFont"/>
    <w:link w:val="BVIfnrChar"/>
    <w:uiPriority w:val="99"/>
    <w:unhideWhenUsed/>
    <w:qFormat/>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0">
    <w:name w:val="Para 1"/>
    <w:basedOn w:val="Normal"/>
    <w:qFormat/>
    <w:rsid w:val="00C2354A"/>
    <w:pPr>
      <w:numPr>
        <w:numId w:val="2"/>
      </w:numPr>
      <w:tabs>
        <w:tab w:val="left" w:pos="1134"/>
      </w:tabs>
      <w:spacing w:before="120" w:after="120"/>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nhideWhenUsed/>
    <w:rsid w:val="00D71FFB"/>
    <w:pPr>
      <w:tabs>
        <w:tab w:val="center" w:pos="4680"/>
        <w:tab w:val="right" w:pos="9360"/>
      </w:tabs>
    </w:pPr>
    <w:rPr>
      <w:caps/>
    </w:rPr>
  </w:style>
  <w:style w:type="character" w:customStyle="1" w:styleId="HeaderChar">
    <w:name w:val="Header Char"/>
    <w:basedOn w:val="DefaultParagraphFont"/>
    <w:link w:val="Header"/>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numPr>
        <w:numId w:val="4"/>
      </w:num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0">
    <w:name w:val="Para 3"/>
    <w:basedOn w:val="Normal"/>
    <w:qFormat/>
    <w:rsid w:val="002B00CA"/>
    <w:pPr>
      <w:numPr>
        <w:numId w:val="5"/>
      </w:numPr>
      <w:tabs>
        <w:tab w:val="left" w:pos="1701"/>
      </w:tabs>
      <w:spacing w:before="120" w:after="120"/>
      <w:ind w:left="1134" w:firstLine="0"/>
    </w:pPr>
  </w:style>
  <w:style w:type="character" w:customStyle="1" w:styleId="Heading4Char">
    <w:name w:val="Heading 4 Char"/>
    <w:basedOn w:val="DefaultParagraphFont"/>
    <w:link w:val="Heading4"/>
    <w:uiPriority w:val="9"/>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character" w:styleId="Hyperlink">
    <w:name w:val="Hyperlink"/>
    <w:rsid w:val="0031031A"/>
    <w:rPr>
      <w:color w:val="0000FF"/>
      <w:u w:val="single"/>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31031A"/>
    <w:pPr>
      <w:spacing w:after="160" w:line="240" w:lineRule="exact"/>
      <w:jc w:val="left"/>
    </w:pPr>
    <w:rPr>
      <w:rFonts w:asciiTheme="minorHAnsi" w:eastAsiaTheme="minorHAnsi" w:hAnsiTheme="minorHAnsi" w:cstheme="minorBidi"/>
      <w:kern w:val="2"/>
      <w:szCs w:val="22"/>
      <w:vertAlign w:val="superscript"/>
      <w:lang w:val="en-CA"/>
      <w14:ligatures w14:val="standardContextual"/>
    </w:rPr>
  </w:style>
  <w:style w:type="paragraph" w:customStyle="1" w:styleId="Para1">
    <w:name w:val="Para1"/>
    <w:basedOn w:val="Normal"/>
    <w:link w:val="Para1Char"/>
    <w:rsid w:val="008406B7"/>
    <w:pPr>
      <w:numPr>
        <w:numId w:val="7"/>
      </w:numPr>
      <w:spacing w:before="120" w:after="120"/>
      <w:jc w:val="left"/>
    </w:pPr>
    <w:rPr>
      <w:snapToGrid w:val="0"/>
      <w:sz w:val="24"/>
      <w:szCs w:val="18"/>
      <w:lang w:val="en-CA" w:eastAsia="ja-JP"/>
    </w:rPr>
  </w:style>
  <w:style w:type="paragraph" w:customStyle="1" w:styleId="Para3">
    <w:name w:val="Para3"/>
    <w:basedOn w:val="Normal"/>
    <w:rsid w:val="008406B7"/>
    <w:pPr>
      <w:numPr>
        <w:ilvl w:val="2"/>
        <w:numId w:val="7"/>
      </w:numPr>
      <w:tabs>
        <w:tab w:val="clear" w:pos="1440"/>
        <w:tab w:val="num" w:pos="360"/>
        <w:tab w:val="left" w:pos="1980"/>
      </w:tabs>
      <w:spacing w:before="80" w:after="80"/>
      <w:ind w:left="0" w:firstLine="0"/>
      <w:jc w:val="left"/>
    </w:pPr>
    <w:rPr>
      <w:sz w:val="24"/>
      <w:szCs w:val="20"/>
      <w:lang w:val="en-CA" w:eastAsia="ja-JP"/>
    </w:rPr>
  </w:style>
  <w:style w:type="character" w:customStyle="1" w:styleId="Para1Char">
    <w:name w:val="Para1 Char"/>
    <w:link w:val="Para1"/>
    <w:rsid w:val="008406B7"/>
    <w:rPr>
      <w:rFonts w:ascii="Times New Roman" w:eastAsia="Times New Roman" w:hAnsi="Times New Roman" w:cs="Times New Roman"/>
      <w:snapToGrid w:val="0"/>
      <w:kern w:val="0"/>
      <w:sz w:val="24"/>
      <w:szCs w:val="18"/>
      <w:lang w:eastAsia="ja-JP"/>
      <w14:ligatures w14:val="none"/>
    </w:rPr>
  </w:style>
  <w:style w:type="paragraph" w:styleId="ListParagraph">
    <w:name w:val="List Paragraph"/>
    <w:basedOn w:val="Normal"/>
    <w:uiPriority w:val="34"/>
    <w:qFormat/>
    <w:rsid w:val="002B50FE"/>
    <w:pPr>
      <w:ind w:left="720"/>
      <w:contextualSpacing/>
      <w:jc w:val="left"/>
    </w:pPr>
    <w:rPr>
      <w:sz w:val="24"/>
      <w:lang w:val="en-CA" w:eastAsia="ja-JP"/>
    </w:rPr>
  </w:style>
  <w:style w:type="paragraph" w:styleId="Revision">
    <w:name w:val="Revision"/>
    <w:hidden/>
    <w:uiPriority w:val="99"/>
    <w:semiHidden/>
    <w:rsid w:val="0006086F"/>
    <w:pPr>
      <w:spacing w:after="0" w:line="240" w:lineRule="auto"/>
    </w:pPr>
    <w:rPr>
      <w:rFonts w:ascii="Times New Roman" w:eastAsia="Times New Roman" w:hAnsi="Times New Roman" w:cs="Times New Roman"/>
      <w:kern w:val="0"/>
      <w:szCs w:val="24"/>
      <w:lang w:val="en-GB"/>
      <w14:ligatures w14:val="none"/>
    </w:rPr>
  </w:style>
  <w:style w:type="character" w:customStyle="1" w:styleId="cf01">
    <w:name w:val="cf01"/>
    <w:basedOn w:val="DefaultParagraphFont"/>
    <w:rsid w:val="00A60319"/>
    <w:rPr>
      <w:rFonts w:ascii="Segoe UI" w:hAnsi="Segoe UI" w:cs="Segoe UI" w:hint="default"/>
      <w:sz w:val="18"/>
      <w:szCs w:val="18"/>
      <w:u w:val="single"/>
    </w:rPr>
  </w:style>
  <w:style w:type="paragraph" w:customStyle="1" w:styleId="Default">
    <w:name w:val="Default"/>
    <w:rsid w:val="00592F4B"/>
    <w:pPr>
      <w:autoSpaceDE w:val="0"/>
      <w:autoSpaceDN w:val="0"/>
      <w:adjustRightInd w:val="0"/>
      <w:spacing w:after="0" w:line="240" w:lineRule="auto"/>
    </w:pPr>
    <w:rPr>
      <w:rFonts w:ascii="Segoe UI" w:eastAsiaTheme="minorEastAsia" w:hAnsi="Segoe UI" w:cs="Segoe UI"/>
      <w:color w:val="000000"/>
      <w:kern w:val="0"/>
      <w:sz w:val="24"/>
      <w:szCs w:val="24"/>
      <w:lang w:val="en-US" w:eastAsia="zh-CN"/>
      <w14:ligatures w14:val="none"/>
    </w:rPr>
  </w:style>
  <w:style w:type="character" w:styleId="Mention">
    <w:name w:val="Mention"/>
    <w:basedOn w:val="DefaultParagraphFont"/>
    <w:uiPriority w:val="99"/>
    <w:unhideWhenUsed/>
    <w:rsid w:val="001C176A"/>
    <w:rPr>
      <w:color w:val="2B579A"/>
      <w:shd w:val="clear" w:color="auto" w:fill="E1DFDD"/>
    </w:rPr>
  </w:style>
  <w:style w:type="character" w:styleId="UnresolvedMention">
    <w:name w:val="Unresolved Mention"/>
    <w:basedOn w:val="DefaultParagraphFont"/>
    <w:uiPriority w:val="99"/>
    <w:semiHidden/>
    <w:unhideWhenUsed/>
    <w:rsid w:val="005E4907"/>
    <w:rPr>
      <w:color w:val="605E5C"/>
      <w:shd w:val="clear" w:color="auto" w:fill="E1DFDD"/>
    </w:rPr>
  </w:style>
  <w:style w:type="character" w:styleId="FollowedHyperlink">
    <w:name w:val="FollowedHyperlink"/>
    <w:basedOn w:val="DefaultParagraphFont"/>
    <w:uiPriority w:val="99"/>
    <w:semiHidden/>
    <w:unhideWhenUsed/>
    <w:rsid w:val="00327C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053140">
      <w:bodyDiv w:val="1"/>
      <w:marLeft w:val="0"/>
      <w:marRight w:val="0"/>
      <w:marTop w:val="0"/>
      <w:marBottom w:val="0"/>
      <w:divBdr>
        <w:top w:val="none" w:sz="0" w:space="0" w:color="auto"/>
        <w:left w:val="none" w:sz="0" w:space="0" w:color="auto"/>
        <w:bottom w:val="none" w:sz="0" w:space="0" w:color="auto"/>
        <w:right w:val="none" w:sz="0" w:space="0" w:color="auto"/>
      </w:divBdr>
    </w:div>
    <w:div w:id="152123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leap.unep.org/content/basic-page/about-unep-leap" TargetMode="External"/><Relationship Id="rId2" Type="http://schemas.openxmlformats.org/officeDocument/2006/relationships/hyperlink" Target="http://www.unep.org/explore-topics/environmental-rights-and-governance/what-we-do/promoting-environmental-rule-law-1" TargetMode="External"/><Relationship Id="rId1" Type="http://schemas.openxmlformats.org/officeDocument/2006/relationships/hyperlink" Target="https://www.cbd.int/doc/meetings/bs/cpcc-14/official/cpcc-14-05-en.pdf" TargetMode="External"/><Relationship Id="rId5" Type="http://schemas.openxmlformats.org/officeDocument/2006/relationships/hyperlink" Target="https://bch.cbd.int/en/countries/CI" TargetMode="External"/><Relationship Id="rId4" Type="http://schemas.openxmlformats.org/officeDocument/2006/relationships/hyperlink" Target="https://bch.cbd.int/en/countries/A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d\Downloads\template-general%20(2).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CCC1EF6EA74C1FA69465BB67D46B85"/>
        <w:category>
          <w:name w:val="General"/>
          <w:gallery w:val="placeholder"/>
        </w:category>
        <w:types>
          <w:type w:val="bbPlcHdr"/>
        </w:types>
        <w:behaviors>
          <w:behavior w:val="content"/>
        </w:behaviors>
        <w:guid w:val="{EC330558-AAC6-437E-BB84-B79DA46E542C}"/>
      </w:docPartPr>
      <w:docPartBody>
        <w:p w:rsidR="00893BCE" w:rsidRDefault="00074BA4" w:rsidP="00074BA4">
          <w:pPr>
            <w:pStyle w:val="79CCC1EF6EA74C1FA69465BB67D46B85"/>
          </w:pPr>
          <w:r w:rsidRPr="009B5A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auto"/>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BA4"/>
    <w:rsid w:val="00074BA4"/>
    <w:rsid w:val="0017063C"/>
    <w:rsid w:val="00676DD9"/>
    <w:rsid w:val="007149CC"/>
    <w:rsid w:val="0083354C"/>
    <w:rsid w:val="00893BCE"/>
    <w:rsid w:val="008C7D4F"/>
    <w:rsid w:val="00C52DA2"/>
    <w:rsid w:val="00C850B1"/>
    <w:rsid w:val="00E923BD"/>
    <w:rsid w:val="00F36B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4BA4"/>
    <w:rPr>
      <w:color w:val="808080"/>
    </w:rPr>
  </w:style>
  <w:style w:type="paragraph" w:customStyle="1" w:styleId="79CCC1EF6EA74C1FA69465BB67D46B85">
    <w:name w:val="79CCC1EF6EA74C1FA69465BB67D46B85"/>
    <w:rsid w:val="00074B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62236A-1617-426D-8080-E3F79E3F9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B887EC-ACD4-4F1D-8FA9-040A4F171191}">
  <ds:schemaRefs>
    <ds:schemaRef ds:uri="http://schemas.openxmlformats.org/officeDocument/2006/bibliography"/>
  </ds:schemaRefs>
</ds:datastoreItem>
</file>

<file path=customXml/itemProps3.xml><?xml version="1.0" encoding="utf-8"?>
<ds:datastoreItem xmlns:ds="http://schemas.openxmlformats.org/officeDocument/2006/customXml" ds:itemID="{3C9185FB-4D4E-4FC2-8814-761E17E385A0}">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E56DACA2-8C2E-46A4-AF4A-CE8311E2C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template-general (2).dotm</Template>
  <TotalTime>34</TotalTime>
  <Pages>15</Pages>
  <Words>5482</Words>
  <Characters>33772</Characters>
  <Application>Microsoft Office Word</Application>
  <DocSecurity>0</DocSecurity>
  <Lines>536</Lines>
  <Paragraphs>280</Paragraphs>
  <ScaleCrop>false</ScaleCrop>
  <HeadingPairs>
    <vt:vector size="2" baseType="variant">
      <vt:variant>
        <vt:lpstr>Title</vt:lpstr>
      </vt:variant>
      <vt:variant>
        <vt:i4>1</vt:i4>
      </vt:variant>
    </vt:vector>
  </HeadingPairs>
  <TitlesOfParts>
    <vt:vector size="1" baseType="lpstr">
      <vt:lpstr>Title of the document</vt:lpstr>
    </vt:vector>
  </TitlesOfParts>
  <Company/>
  <LinksUpToDate>false</LinksUpToDate>
  <CharactersWithSpaces>38974</CharactersWithSpaces>
  <SharedDoc>false</SharedDoc>
  <HLinks>
    <vt:vector size="6" baseType="variant">
      <vt:variant>
        <vt:i4>4128815</vt:i4>
      </vt:variant>
      <vt:variant>
        <vt:i4>0</vt:i4>
      </vt:variant>
      <vt:variant>
        <vt:i4>0</vt:i4>
      </vt:variant>
      <vt:variant>
        <vt:i4>5</vt:i4>
      </vt:variant>
      <vt:variant>
        <vt:lpwstr>https://www.cbd.int/doc/meetings/bs/cpcc-14/official/cpcc-14-05-en.pdf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cases of non-compliance</dc:title>
  <dc:subject>CBD/CP/CC/18/4</dc:subject>
  <dc:creator>scbd</dc:creator>
  <cp:keywords/>
  <dc:description/>
  <cp:lastModifiedBy>Veronique Lefebvre</cp:lastModifiedBy>
  <cp:revision>18</cp:revision>
  <cp:lastPrinted>2023-09-05T21:22:00Z</cp:lastPrinted>
  <dcterms:created xsi:type="dcterms:W3CDTF">2023-10-02T19:23:00Z</dcterms:created>
  <dcterms:modified xsi:type="dcterms:W3CDTF">2023-10-10T16:24:00Z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