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E7DD7" w:rsidRPr="00176BAB" w14:paraId="707E26C5" w14:textId="77777777" w:rsidTr="00284FCB">
        <w:trPr>
          <w:trHeight w:val="851"/>
        </w:trPr>
        <w:tc>
          <w:tcPr>
            <w:tcW w:w="465" w:type="pct"/>
            <w:tcBorders>
              <w:bottom w:val="single" w:sz="8" w:space="0" w:color="auto"/>
            </w:tcBorders>
            <w:vAlign w:val="bottom"/>
          </w:tcPr>
          <w:p w14:paraId="0E3AA49B" w14:textId="77777777" w:rsidR="00FE7DD7" w:rsidRPr="00176BAB" w:rsidRDefault="00FE7DD7" w:rsidP="00284FCB">
            <w:pPr>
              <w:spacing w:after="120"/>
              <w:jc w:val="left"/>
            </w:pPr>
            <w:bookmarkStart w:id="0" w:name="_Hlk2766324"/>
            <w:r w:rsidRPr="00176BAB">
              <w:rPr>
                <w:lang w:bidi="fr-FR"/>
              </w:rPr>
              <w:drawing>
                <wp:inline distT="0" distB="0" distL="0" distR="0" wp14:anchorId="4FFA9DBF" wp14:editId="5C828D6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AC97412" w14:textId="5409268B" w:rsidR="00FE7DD7" w:rsidRPr="00176BAB" w:rsidRDefault="007E6A1C" w:rsidP="00284FCB">
            <w:pPr>
              <w:spacing w:after="120"/>
              <w:jc w:val="left"/>
            </w:pPr>
            <w:r w:rsidRPr="00176BAB">
              <w:rPr>
                <w14:ligatures w14:val="standardContextual"/>
              </w:rPr>
              <w:drawing>
                <wp:inline distT="0" distB="0" distL="0" distR="0" wp14:anchorId="7E187357" wp14:editId="0B0DD070">
                  <wp:extent cx="590550" cy="3429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42900"/>
                          </a:xfrm>
                          <a:prstGeom prst="rect">
                            <a:avLst/>
                          </a:prstGeom>
                          <a:noFill/>
                          <a:ln>
                            <a:noFill/>
                          </a:ln>
                        </pic:spPr>
                      </pic:pic>
                    </a:graphicData>
                  </a:graphic>
                </wp:inline>
              </w:drawing>
            </w:r>
          </w:p>
        </w:tc>
        <w:tc>
          <w:tcPr>
            <w:tcW w:w="2703" w:type="pct"/>
            <w:tcBorders>
              <w:bottom w:val="single" w:sz="8" w:space="0" w:color="auto"/>
            </w:tcBorders>
            <w:vAlign w:val="bottom"/>
          </w:tcPr>
          <w:p w14:paraId="1D76C55C" w14:textId="01941774" w:rsidR="00FE7DD7" w:rsidRPr="00176BAB" w:rsidRDefault="00FE7DD7" w:rsidP="00284FCB">
            <w:pPr>
              <w:spacing w:after="120"/>
              <w:ind w:left="2021"/>
              <w:jc w:val="right"/>
              <w:rPr>
                <w:szCs w:val="22"/>
              </w:rPr>
            </w:pPr>
            <w:r w:rsidRPr="00176BAB">
              <w:rPr>
                <w:sz w:val="40"/>
                <w:szCs w:val="40"/>
                <w:lang w:bidi="fr-FR"/>
              </w:rPr>
              <w:t>CBD</w:t>
            </w:r>
            <w:r w:rsidRPr="00176BAB">
              <w:rPr>
                <w:szCs w:val="22"/>
                <w:lang w:bidi="fr-FR"/>
              </w:rPr>
              <w:t>/SBI/4/16</w:t>
            </w:r>
          </w:p>
        </w:tc>
      </w:tr>
      <w:tr w:rsidR="00FE7DD7" w:rsidRPr="00176BAB" w14:paraId="2CB2138F" w14:textId="77777777" w:rsidTr="00284FCB">
        <w:tc>
          <w:tcPr>
            <w:tcW w:w="2297" w:type="pct"/>
            <w:gridSpan w:val="2"/>
            <w:tcBorders>
              <w:top w:val="single" w:sz="8" w:space="0" w:color="auto"/>
              <w:bottom w:val="single" w:sz="12" w:space="0" w:color="auto"/>
            </w:tcBorders>
          </w:tcPr>
          <w:p w14:paraId="32A2574B" w14:textId="2869824A" w:rsidR="00FE7DD7" w:rsidRPr="00176BAB" w:rsidRDefault="00503F9A" w:rsidP="00284FCB">
            <w:pPr>
              <w:pStyle w:val="Cornernotation"/>
              <w:suppressLineNumbers/>
              <w:suppressAutoHyphens/>
              <w:spacing w:before="120" w:after="120"/>
              <w:ind w:left="0" w:right="0" w:firstLine="0"/>
            </w:pPr>
            <w:r w:rsidRPr="00176BAB">
              <w:rPr>
                <w14:ligatures w14:val="standardContextual"/>
              </w:rPr>
              <w:drawing>
                <wp:inline distT="0" distB="0" distL="0" distR="0" wp14:anchorId="72B8173D" wp14:editId="1B606E82">
                  <wp:extent cx="2857500" cy="1076325"/>
                  <wp:effectExtent l="0" t="0" r="0" b="9525"/>
                  <wp:docPr id="4"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8FB9850" w14:textId="77777777" w:rsidR="00FE7DD7" w:rsidRPr="00176BAB" w:rsidRDefault="00FE7DD7" w:rsidP="00284FCB">
            <w:pPr>
              <w:ind w:left="2584"/>
              <w:rPr>
                <w:szCs w:val="22"/>
              </w:rPr>
            </w:pPr>
            <w:r w:rsidRPr="00176BAB">
              <w:rPr>
                <w:szCs w:val="22"/>
                <w:lang w:bidi="fr-FR"/>
              </w:rPr>
              <w:t>Distr. : Générale</w:t>
            </w:r>
          </w:p>
          <w:p w14:paraId="070EF428" w14:textId="77777777" w:rsidR="00FE7DD7" w:rsidRPr="00176BAB" w:rsidRDefault="00FE7DD7" w:rsidP="00284FCB">
            <w:pPr>
              <w:ind w:left="2584"/>
              <w:rPr>
                <w:szCs w:val="22"/>
              </w:rPr>
            </w:pPr>
            <w:r w:rsidRPr="00176BAB">
              <w:rPr>
                <w:szCs w:val="22"/>
                <w:lang w:bidi="fr-FR"/>
              </w:rPr>
              <w:t>24 avril 2024</w:t>
            </w:r>
          </w:p>
          <w:p w14:paraId="63B953C2" w14:textId="1FE76CD7" w:rsidR="00FE7DD7" w:rsidRPr="00176BAB" w:rsidRDefault="00A757F7" w:rsidP="00A757F7">
            <w:pPr>
              <w:ind w:left="2584" w:hanging="19"/>
              <w:rPr>
                <w:szCs w:val="22"/>
              </w:rPr>
            </w:pPr>
            <w:r w:rsidRPr="00176BAB">
              <w:rPr>
                <w:szCs w:val="22"/>
              </w:rPr>
              <w:t>Français</w:t>
            </w:r>
          </w:p>
          <w:p w14:paraId="57CF2047" w14:textId="2252FEF5" w:rsidR="00FE7DD7" w:rsidRPr="00176BAB" w:rsidRDefault="00FE7DD7" w:rsidP="00284FCB">
            <w:pPr>
              <w:ind w:left="2584"/>
              <w:rPr>
                <w:szCs w:val="22"/>
              </w:rPr>
            </w:pPr>
            <w:r w:rsidRPr="00176BAB">
              <w:rPr>
                <w:szCs w:val="22"/>
                <w:lang w:bidi="fr-FR"/>
              </w:rPr>
              <w:t xml:space="preserve">Original : </w:t>
            </w:r>
            <w:r w:rsidR="00A757F7" w:rsidRPr="00176BAB">
              <w:rPr>
                <w:szCs w:val="22"/>
                <w:lang w:bidi="fr-FR"/>
              </w:rPr>
              <w:t>a</w:t>
            </w:r>
            <w:r w:rsidRPr="00176BAB">
              <w:rPr>
                <w:szCs w:val="22"/>
                <w:lang w:bidi="fr-FR"/>
              </w:rPr>
              <w:t>nglais</w:t>
            </w:r>
          </w:p>
          <w:p w14:paraId="401625B9" w14:textId="77777777" w:rsidR="00FE7DD7" w:rsidRPr="00176BAB" w:rsidRDefault="00FE7DD7" w:rsidP="00284FCB"/>
        </w:tc>
      </w:tr>
    </w:tbl>
    <w:p w14:paraId="46A51743" w14:textId="77777777" w:rsidR="00FE7DD7" w:rsidRPr="00176BAB" w:rsidRDefault="00FE7DD7" w:rsidP="00FE7DD7">
      <w:pPr>
        <w:pStyle w:val="Cornernotation"/>
        <w:rPr>
          <w:bCs/>
        </w:rPr>
      </w:pPr>
      <w:r w:rsidRPr="00176BAB">
        <w:rPr>
          <w:lang w:bidi="fr-FR"/>
        </w:rPr>
        <w:t>Organe subsidiaire pour la mise en application</w:t>
      </w:r>
    </w:p>
    <w:p w14:paraId="467A35AA" w14:textId="77777777" w:rsidR="00FE7DD7" w:rsidRPr="00176BAB" w:rsidRDefault="00FE7DD7" w:rsidP="00FE7DD7">
      <w:pPr>
        <w:pStyle w:val="Cornernotation"/>
        <w:rPr>
          <w:bCs/>
          <w:sz w:val="22"/>
          <w:szCs w:val="22"/>
        </w:rPr>
      </w:pPr>
      <w:r w:rsidRPr="00176BAB">
        <w:rPr>
          <w:sz w:val="22"/>
          <w:szCs w:val="22"/>
          <w:lang w:bidi="fr-FR"/>
        </w:rPr>
        <w:t xml:space="preserve">Quatrième réunion </w:t>
      </w:r>
    </w:p>
    <w:p w14:paraId="596989CE" w14:textId="77777777" w:rsidR="00FE7DD7" w:rsidRPr="00176BAB" w:rsidRDefault="00FE7DD7" w:rsidP="00FE7DD7">
      <w:pPr>
        <w:pStyle w:val="Venuedate"/>
      </w:pPr>
      <w:r w:rsidRPr="00176BAB">
        <w:rPr>
          <w:lang w:bidi="fr-FR"/>
        </w:rPr>
        <w:t>Nairobi, 21-29 juin 2024</w:t>
      </w:r>
    </w:p>
    <w:p w14:paraId="0297A41A" w14:textId="4FC3D17C" w:rsidR="00490865" w:rsidRPr="00176BAB" w:rsidRDefault="00490865" w:rsidP="00BF6BF7">
      <w:pPr>
        <w:suppressLineNumbers/>
        <w:suppressAutoHyphens/>
        <w:kinsoku w:val="0"/>
        <w:overflowPunct w:val="0"/>
        <w:autoSpaceDE w:val="0"/>
        <w:autoSpaceDN w:val="0"/>
        <w:adjustRightInd w:val="0"/>
        <w:snapToGrid w:val="0"/>
        <w:ind w:left="227" w:right="3831" w:hanging="227"/>
        <w:rPr>
          <w:snapToGrid w:val="0"/>
          <w:kern w:val="22"/>
          <w:szCs w:val="22"/>
          <w:vertAlign w:val="superscript"/>
          <w:lang w:eastAsia="ko-KR"/>
        </w:rPr>
      </w:pPr>
      <w:r w:rsidRPr="00176BAB">
        <w:rPr>
          <w:snapToGrid w:val="0"/>
          <w:kern w:val="22"/>
          <w:szCs w:val="22"/>
          <w:lang w:bidi="fr-FR"/>
        </w:rPr>
        <w:t>Point 13 de l’ordre du jour provisoire</w:t>
      </w:r>
      <w:r w:rsidRPr="00176BAB">
        <w:rPr>
          <w:snapToGrid w:val="0"/>
          <w:kern w:val="22"/>
          <w:szCs w:val="22"/>
          <w:vertAlign w:val="superscript"/>
          <w:lang w:bidi="fr-FR"/>
        </w:rPr>
        <w:footnoteReference w:customMarkFollows="1" w:id="2"/>
        <w:t>*</w:t>
      </w:r>
    </w:p>
    <w:p w14:paraId="06EC8382" w14:textId="5DD09898" w:rsidR="00ED7580" w:rsidRPr="00176BAB" w:rsidRDefault="00ED7580" w:rsidP="00BF6BF7">
      <w:pPr>
        <w:suppressLineNumbers/>
        <w:suppressAutoHyphens/>
        <w:kinsoku w:val="0"/>
        <w:overflowPunct w:val="0"/>
        <w:autoSpaceDE w:val="0"/>
        <w:autoSpaceDN w:val="0"/>
        <w:adjustRightInd w:val="0"/>
        <w:snapToGrid w:val="0"/>
        <w:ind w:left="227" w:right="3831" w:hanging="227"/>
        <w:rPr>
          <w:b/>
          <w:bCs/>
          <w:snapToGrid w:val="0"/>
          <w:kern w:val="22"/>
          <w:szCs w:val="22"/>
          <w:lang w:eastAsia="ko-KR"/>
        </w:rPr>
      </w:pPr>
      <w:r w:rsidRPr="00176BAB">
        <w:rPr>
          <w:b/>
          <w:snapToGrid w:val="0"/>
          <w:kern w:val="22"/>
          <w:szCs w:val="22"/>
          <w:lang w:bidi="fr-FR"/>
        </w:rPr>
        <w:t>Questions administratives et budgétaires</w:t>
      </w:r>
    </w:p>
    <w:bookmarkEnd w:id="0"/>
    <w:p w14:paraId="284D464C" w14:textId="6B22133D" w:rsidR="000D4DA8" w:rsidRPr="00176BAB" w:rsidRDefault="00062155" w:rsidP="00FE7DD7">
      <w:pPr>
        <w:pStyle w:val="Titre1"/>
        <w:numPr>
          <w:ilvl w:val="0"/>
          <w:numId w:val="0"/>
        </w:numPr>
        <w:suppressLineNumbers/>
        <w:suppressAutoHyphens/>
        <w:kinsoku w:val="0"/>
        <w:overflowPunct w:val="0"/>
        <w:autoSpaceDE w:val="0"/>
        <w:autoSpaceDN w:val="0"/>
        <w:adjustRightInd w:val="0"/>
        <w:snapToGrid w:val="0"/>
        <w:spacing w:after="240"/>
        <w:ind w:left="567"/>
        <w:rPr>
          <w:rStyle w:val="TitreCar"/>
          <w:lang w:val="fr-FR"/>
        </w:rPr>
      </w:pPr>
      <w:sdt>
        <w:sdtPr>
          <w:rPr>
            <w:rStyle w:val="TitreCar"/>
            <w:lang w:val="fr-FR"/>
          </w:rPr>
          <w:alias w:val="Title"/>
          <w:tag w:val=""/>
          <w:id w:val="-1926644933"/>
          <w:placeholder>
            <w:docPart w:val="24D16D66B82E4B04A826D3351ADD844D"/>
          </w:placeholder>
          <w:dataBinding w:prefixMappings="xmlns:ns0='http://purl.org/dc/elements/1.1/' xmlns:ns1='http://schemas.openxmlformats.org/package/2006/metadata/core-properties' " w:xpath="/ns1:coreProperties[1]/ns0:title[1]" w:storeItemID="{6C3C8BC8-F283-45AE-878A-BAB7291924A1}"/>
          <w:text/>
        </w:sdtPr>
        <w:sdtEndPr>
          <w:rPr>
            <w:rStyle w:val="TitreCar"/>
          </w:rPr>
        </w:sdtEndPr>
        <w:sdtContent>
          <w:r w:rsidR="00C203F5" w:rsidRPr="00176BAB">
            <w:rPr>
              <w:rStyle w:val="TitreCar"/>
              <w:lang w:val="fr-FR"/>
            </w:rPr>
            <w:t>Questions administratives et budgétaires</w:t>
          </w:r>
        </w:sdtContent>
      </w:sdt>
    </w:p>
    <w:p w14:paraId="2BBA5D1D" w14:textId="7301371B" w:rsidR="00A53285" w:rsidRPr="00176BAB" w:rsidRDefault="00FE7DD7" w:rsidP="00FE7DD7">
      <w:pPr>
        <w:pStyle w:val="Titre2"/>
        <w:suppressLineNumbers/>
        <w:suppressAutoHyphens/>
        <w:kinsoku w:val="0"/>
        <w:overflowPunct w:val="0"/>
        <w:autoSpaceDE w:val="0"/>
        <w:autoSpaceDN w:val="0"/>
        <w:adjustRightInd w:val="0"/>
        <w:snapToGrid w:val="0"/>
        <w:ind w:firstLine="0"/>
        <w:rPr>
          <w:bCs/>
          <w:iCs/>
          <w:snapToGrid w:val="0"/>
          <w:kern w:val="22"/>
        </w:rPr>
      </w:pPr>
      <w:r w:rsidRPr="00176BAB">
        <w:rPr>
          <w:snapToGrid w:val="0"/>
          <w:kern w:val="22"/>
          <w:lang w:bidi="fr-FR"/>
        </w:rPr>
        <w:t>Note du Secrétariat</w:t>
      </w:r>
    </w:p>
    <w:p w14:paraId="378E91D3" w14:textId="7C3E6D54" w:rsidR="000D4DA8" w:rsidRPr="00176BAB" w:rsidRDefault="000D4DA8" w:rsidP="00FE7DD7">
      <w:pPr>
        <w:pStyle w:val="Titre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lang w:val="fr-FR"/>
        </w:rPr>
      </w:pPr>
      <w:r w:rsidRPr="00176BAB">
        <w:rPr>
          <w:rFonts w:eastAsia="Times New Roman Bold"/>
          <w:snapToGrid w:val="0"/>
          <w:kern w:val="22"/>
          <w:szCs w:val="22"/>
          <w:lang w:val="fr-FR" w:bidi="fr-FR"/>
        </w:rPr>
        <w:t>Introduction</w:t>
      </w:r>
    </w:p>
    <w:p w14:paraId="6C839288" w14:textId="7BC26730" w:rsidR="005A1267" w:rsidRPr="00176BAB" w:rsidRDefault="006B7E7E" w:rsidP="00FE7DD7">
      <w:pPr>
        <w:pStyle w:val="Para10"/>
        <w:rPr>
          <w:lang w:val="fr-FR"/>
        </w:rPr>
      </w:pPr>
      <w:r w:rsidRPr="00176BAB">
        <w:rPr>
          <w:lang w:val="fr-FR" w:bidi="fr-FR"/>
        </w:rPr>
        <w:t xml:space="preserve">Par sa décision </w:t>
      </w:r>
      <w:hyperlink r:id="rId14" w:history="1">
        <w:r w:rsidR="00324F4B" w:rsidRPr="00176BAB">
          <w:rPr>
            <w:rStyle w:val="Lienhypertexte"/>
            <w:sz w:val="22"/>
            <w:lang w:val="fr-FR" w:bidi="fr-FR"/>
          </w:rPr>
          <w:t>15/34</w:t>
        </w:r>
      </w:hyperlink>
      <w:r w:rsidRPr="00176BAB">
        <w:rPr>
          <w:lang w:val="fr-FR" w:bidi="fr-FR"/>
        </w:rPr>
        <w:t>, la Conférence des Parties à la Convention sur la diversité biologique a adopté un programme de travail et un budget intégrés pour la Convention, le Protocole de Cartagena sur la prévention des risques biotechnologiques et le Protocole de Nagoya sur l’accès aux ressources génétiques et le partage juste et équitable des avantages découlant de leur utilisation. La Conférence des Parties à la Convention et la Conférence des Parties siégeant en tant que réunions des Parties aux deux Protocoles ont approuvé un budget de base intégré de 41 646 100 </w:t>
      </w:r>
      <w:r w:rsidR="00176BAB">
        <w:rPr>
          <w:lang w:val="fr-FR" w:bidi="fr-FR"/>
        </w:rPr>
        <w:t>dollars US</w:t>
      </w:r>
      <w:r w:rsidRPr="00176BAB">
        <w:rPr>
          <w:lang w:val="fr-FR" w:bidi="fr-FR"/>
        </w:rPr>
        <w:t xml:space="preserve"> pour l’exercice biennal 2023-2024, réparti en 19 931 600 </w:t>
      </w:r>
      <w:r w:rsidR="00176BAB">
        <w:rPr>
          <w:lang w:val="fr-FR" w:bidi="fr-FR"/>
        </w:rPr>
        <w:t>dollars US</w:t>
      </w:r>
      <w:r w:rsidRPr="00176BAB">
        <w:rPr>
          <w:lang w:val="fr-FR" w:bidi="fr-FR"/>
        </w:rPr>
        <w:t xml:space="preserve"> pour l’année 2023 et 21 714 500 </w:t>
      </w:r>
      <w:r w:rsidR="00176BAB">
        <w:rPr>
          <w:lang w:val="fr-FR" w:bidi="fr-FR"/>
        </w:rPr>
        <w:t>dollars US</w:t>
      </w:r>
      <w:r w:rsidRPr="00176BAB">
        <w:rPr>
          <w:lang w:val="fr-FR" w:bidi="fr-FR"/>
        </w:rPr>
        <w:t xml:space="preserve"> pour l’année 2024.</w:t>
      </w:r>
    </w:p>
    <w:p w14:paraId="71FA64B0" w14:textId="4245AA7B" w:rsidR="000D4DA8" w:rsidRPr="00176BAB" w:rsidRDefault="00502BE1" w:rsidP="00FE7DD7">
      <w:pPr>
        <w:pStyle w:val="Titre1"/>
        <w:numPr>
          <w:ilvl w:val="0"/>
          <w:numId w:val="6"/>
        </w:numPr>
        <w:suppressLineNumbers/>
        <w:tabs>
          <w:tab w:val="left" w:pos="567"/>
        </w:tabs>
        <w:suppressAutoHyphens/>
        <w:kinsoku w:val="0"/>
        <w:overflowPunct w:val="0"/>
        <w:autoSpaceDE w:val="0"/>
        <w:autoSpaceDN w:val="0"/>
        <w:adjustRightInd w:val="0"/>
        <w:snapToGrid w:val="0"/>
        <w:spacing w:before="0"/>
        <w:ind w:left="567" w:hanging="567"/>
        <w:rPr>
          <w:caps/>
          <w:snapToGrid w:val="0"/>
          <w:kern w:val="22"/>
          <w:szCs w:val="22"/>
          <w:lang w:val="fr-FR"/>
        </w:rPr>
      </w:pPr>
      <w:r w:rsidRPr="00176BAB">
        <w:rPr>
          <w:snapToGrid w:val="0"/>
          <w:kern w:val="22"/>
          <w:szCs w:val="22"/>
          <w:lang w:val="fr-FR" w:bidi="fr-FR"/>
        </w:rPr>
        <w:t>Statut des fonds d’affectation spéciale au titre de la Convention et de ses Protocoles</w:t>
      </w:r>
    </w:p>
    <w:p w14:paraId="005C084B" w14:textId="05AA06A1" w:rsidR="000D4DA8" w:rsidRPr="00176BAB" w:rsidRDefault="000D4DA8" w:rsidP="00FE7DD7">
      <w:pPr>
        <w:pStyle w:val="Titre2"/>
        <w:numPr>
          <w:ilvl w:val="0"/>
          <w:numId w:val="11"/>
        </w:numPr>
        <w:suppressLineNumbers/>
        <w:suppressAutoHyphens/>
        <w:kinsoku w:val="0"/>
        <w:overflowPunct w:val="0"/>
        <w:autoSpaceDE w:val="0"/>
        <w:autoSpaceDN w:val="0"/>
        <w:adjustRightInd w:val="0"/>
        <w:snapToGrid w:val="0"/>
        <w:spacing w:before="0"/>
        <w:ind w:left="567" w:hanging="567"/>
        <w:rPr>
          <w:rFonts w:eastAsia="Malgun Gothic"/>
          <w:b w:val="0"/>
          <w:iCs/>
          <w:snapToGrid w:val="0"/>
          <w:kern w:val="22"/>
          <w:szCs w:val="22"/>
          <w:lang w:eastAsia="ko-KR"/>
        </w:rPr>
      </w:pPr>
      <w:r w:rsidRPr="00176BAB">
        <w:rPr>
          <w:rFonts w:eastAsia="Malgun Gothic"/>
          <w:snapToGrid w:val="0"/>
          <w:kern w:val="22"/>
          <w:szCs w:val="22"/>
          <w:lang w:bidi="fr-FR"/>
        </w:rPr>
        <w:t>Budget de base de la Convention et des Protocoles</w:t>
      </w:r>
    </w:p>
    <w:p w14:paraId="3459EF39" w14:textId="66CD0F13" w:rsidR="000D4DA8" w:rsidRPr="00176BAB" w:rsidRDefault="000D4DA8" w:rsidP="00FE7DD7">
      <w:pPr>
        <w:pStyle w:val="Titre3"/>
        <w:numPr>
          <w:ilvl w:val="0"/>
          <w:numId w:val="12"/>
        </w:numPr>
        <w:suppressLineNumbers/>
        <w:tabs>
          <w:tab w:val="left" w:pos="567"/>
        </w:tabs>
        <w:suppressAutoHyphens/>
        <w:kinsoku w:val="0"/>
        <w:overflowPunct w:val="0"/>
        <w:autoSpaceDE w:val="0"/>
        <w:autoSpaceDN w:val="0"/>
        <w:adjustRightInd w:val="0"/>
        <w:snapToGrid w:val="0"/>
        <w:spacing w:before="0"/>
        <w:ind w:left="0" w:firstLine="0"/>
        <w:rPr>
          <w:rFonts w:eastAsia="Malgun Gothic"/>
          <w:snapToGrid w:val="0"/>
          <w:kern w:val="22"/>
          <w:lang w:eastAsia="ko-KR"/>
        </w:rPr>
      </w:pPr>
      <w:r w:rsidRPr="00176BAB">
        <w:rPr>
          <w:rFonts w:eastAsia="Malgun Gothic"/>
          <w:snapToGrid w:val="0"/>
          <w:kern w:val="22"/>
          <w:lang w:bidi="fr-FR"/>
        </w:rPr>
        <w:t>Revenus</w:t>
      </w:r>
    </w:p>
    <w:p w14:paraId="793B38E4" w14:textId="58B66C39" w:rsidR="000D4DA8" w:rsidRPr="00176BAB" w:rsidRDefault="000D4DA8" w:rsidP="00FE7DD7">
      <w:pPr>
        <w:pStyle w:val="Para10"/>
        <w:rPr>
          <w:b/>
          <w:bCs/>
          <w:i/>
          <w:iCs/>
          <w:lang w:val="fr-FR"/>
        </w:rPr>
      </w:pPr>
      <w:r w:rsidRPr="00176BAB">
        <w:rPr>
          <w:lang w:val="fr-FR" w:bidi="fr-FR"/>
        </w:rPr>
        <w:t>Après déduction des économies réalisées au cours des périodes précédentes et de la contribution du pays hôte, le Canada, le montant total des contributions mises en recouvrement pour 2023 et 2024 s’élève à 37 938 000 </w:t>
      </w:r>
      <w:r w:rsidR="00176BAB">
        <w:rPr>
          <w:lang w:val="fr-FR" w:bidi="fr-FR"/>
        </w:rPr>
        <w:t>dollars US</w:t>
      </w:r>
      <w:r w:rsidRPr="00176BAB">
        <w:rPr>
          <w:lang w:val="fr-FR" w:bidi="fr-FR"/>
        </w:rPr>
        <w:t>. Au moment de l’établissement du rapport, aucun nouveau pays n’avait adhéré au Protocole de Cartagena pendant l’exercice biennal en cours, tandis que les contributions des trois pays qui étaient devenus parties au Protocole de Nagoya pendant la même période s’élevaient à 10 400 </w:t>
      </w:r>
      <w:r w:rsidR="00176BAB">
        <w:rPr>
          <w:lang w:val="fr-FR" w:bidi="fr-FR"/>
        </w:rPr>
        <w:t>dollars US</w:t>
      </w:r>
      <w:r w:rsidRPr="00176BAB">
        <w:rPr>
          <w:lang w:val="fr-FR" w:bidi="fr-FR"/>
        </w:rPr>
        <w:t>, ce qui portait le montant total des contributions à 37 948 400 </w:t>
      </w:r>
      <w:r w:rsidR="00176BAB">
        <w:rPr>
          <w:lang w:val="fr-FR" w:bidi="fr-FR"/>
        </w:rPr>
        <w:t>dollars US</w:t>
      </w:r>
      <w:r w:rsidRPr="00176BAB">
        <w:rPr>
          <w:lang w:val="fr-FR" w:bidi="fr-FR"/>
        </w:rPr>
        <w:t>, dont 18 103 400 </w:t>
      </w:r>
      <w:r w:rsidR="00176BAB">
        <w:rPr>
          <w:lang w:val="fr-FR" w:bidi="fr-FR"/>
        </w:rPr>
        <w:t>dollars US</w:t>
      </w:r>
      <w:r w:rsidRPr="00176BAB">
        <w:rPr>
          <w:lang w:val="fr-FR" w:bidi="fr-FR"/>
        </w:rPr>
        <w:t xml:space="preserve"> pour 2023 et 19 845 000 </w:t>
      </w:r>
      <w:r w:rsidR="00176BAB">
        <w:rPr>
          <w:lang w:val="fr-FR" w:bidi="fr-FR"/>
        </w:rPr>
        <w:t>dollars US</w:t>
      </w:r>
      <w:r w:rsidRPr="00176BAB">
        <w:rPr>
          <w:lang w:val="fr-FR" w:bidi="fr-FR"/>
        </w:rPr>
        <w:t xml:space="preserve"> pour 2024. Au 29 février 2024, le Secrétariat de la Convention avait reçu un total de 20 454 300 </w:t>
      </w:r>
      <w:r w:rsidR="00176BAB">
        <w:rPr>
          <w:lang w:val="fr-FR" w:bidi="fr-FR"/>
        </w:rPr>
        <w:t>dollars US</w:t>
      </w:r>
      <w:r w:rsidRPr="00176BAB">
        <w:rPr>
          <w:lang w:val="fr-FR" w:bidi="fr-FR"/>
        </w:rPr>
        <w:t xml:space="preserve"> de contributions pour l’exercice biennal 2023-2024.</w:t>
      </w:r>
    </w:p>
    <w:p w14:paraId="575C1D77" w14:textId="3240B00F" w:rsidR="00101B5D" w:rsidRPr="00176BAB" w:rsidRDefault="00101B5D" w:rsidP="00FE7DD7">
      <w:pPr>
        <w:pStyle w:val="Para10"/>
        <w:rPr>
          <w:b/>
          <w:bCs/>
          <w:i/>
          <w:iCs/>
          <w:lang w:val="fr-FR"/>
        </w:rPr>
      </w:pPr>
      <w:r w:rsidRPr="00176BAB">
        <w:rPr>
          <w:lang w:val="fr-FR" w:bidi="fr-FR"/>
        </w:rPr>
        <w:t>À la même date, le taux de recouvrement s’élevait à 90,60 % pour 2023 et à 20,42 % pour 2024, soit un taux de recouvrement global de 53,90 % pour l’exercice biennal.</w:t>
      </w:r>
    </w:p>
    <w:p w14:paraId="2300CEFB" w14:textId="76AF0337" w:rsidR="00D41D5A" w:rsidRPr="00176BAB" w:rsidRDefault="00101B5D" w:rsidP="00B33B1E">
      <w:pPr>
        <w:pStyle w:val="Paragraphedeliste"/>
        <w:keepNext/>
        <w:keepLines/>
        <w:spacing w:before="120" w:after="120"/>
        <w:ind w:left="567"/>
        <w:rPr>
          <w:color w:val="000000" w:themeColor="text1"/>
          <w:szCs w:val="22"/>
        </w:rPr>
      </w:pPr>
      <w:r w:rsidRPr="00176BAB">
        <w:rPr>
          <w:color w:val="000000" w:themeColor="text1"/>
          <w:szCs w:val="22"/>
          <w:lang w:bidi="fr-FR"/>
        </w:rPr>
        <w:lastRenderedPageBreak/>
        <w:t>Tableau 1</w:t>
      </w:r>
    </w:p>
    <w:p w14:paraId="419CBD2C" w14:textId="331B5808" w:rsidR="00101B5D" w:rsidRPr="00176BAB" w:rsidRDefault="00101B5D" w:rsidP="00B33B1E">
      <w:pPr>
        <w:pStyle w:val="Paragraphedeliste"/>
        <w:keepNext/>
        <w:keepLines/>
        <w:spacing w:before="120" w:after="120"/>
        <w:ind w:left="567"/>
        <w:rPr>
          <w:b/>
          <w:bCs/>
          <w:szCs w:val="22"/>
        </w:rPr>
      </w:pPr>
      <w:r w:rsidRPr="00176BAB">
        <w:rPr>
          <w:b/>
          <w:color w:val="000000" w:themeColor="text1"/>
          <w:szCs w:val="22"/>
          <w:lang w:bidi="fr-FR"/>
        </w:rPr>
        <w:t>État général des contributions mises en recouvrement pour l’exercice biennal 2023</w:t>
      </w:r>
      <w:r w:rsidR="00D41D5A" w:rsidRPr="00176BAB">
        <w:rPr>
          <w:lang w:bidi="fr-FR"/>
        </w:rPr>
        <w:t>-</w:t>
      </w:r>
      <w:r w:rsidRPr="00176BAB">
        <w:rPr>
          <w:b/>
          <w:szCs w:val="22"/>
          <w:lang w:bidi="fr-FR"/>
        </w:rPr>
        <w:t>2024</w:t>
      </w:r>
    </w:p>
    <w:p w14:paraId="13CC949E" w14:textId="3B0CF8E8" w:rsidR="00101B5D" w:rsidRPr="00176BAB" w:rsidRDefault="00101B5D" w:rsidP="00B33B1E">
      <w:pPr>
        <w:pStyle w:val="Paragraphedeliste"/>
        <w:keepNext/>
        <w:keepLines/>
        <w:spacing w:after="120"/>
        <w:ind w:left="562"/>
        <w:rPr>
          <w:b/>
          <w:bCs/>
          <w:szCs w:val="22"/>
        </w:rPr>
      </w:pPr>
      <w:r w:rsidRPr="00176BAB">
        <w:rPr>
          <w:i/>
          <w:color w:val="000000"/>
          <w:sz w:val="18"/>
          <w:szCs w:val="18"/>
          <w:lang w:bidi="fr-FR"/>
        </w:rPr>
        <w:t>(En milliers de dollars US)</w:t>
      </w:r>
    </w:p>
    <w:tbl>
      <w:tblPr>
        <w:tblW w:w="0" w:type="auto"/>
        <w:tblInd w:w="601" w:type="dxa"/>
        <w:tblLook w:val="04A0" w:firstRow="1" w:lastRow="0" w:firstColumn="1" w:lastColumn="0" w:noHBand="0" w:noVBand="1"/>
      </w:tblPr>
      <w:tblGrid>
        <w:gridCol w:w="3690"/>
        <w:gridCol w:w="2021"/>
      </w:tblGrid>
      <w:tr w:rsidR="00D6508F" w:rsidRPr="00176BAB" w14:paraId="07604714" w14:textId="77777777" w:rsidTr="005F7E0B">
        <w:trPr>
          <w:trHeight w:val="491"/>
        </w:trPr>
        <w:tc>
          <w:tcPr>
            <w:tcW w:w="0" w:type="auto"/>
            <w:vMerge w:val="restart"/>
            <w:tcBorders>
              <w:top w:val="single" w:sz="12" w:space="0" w:color="auto"/>
              <w:bottom w:val="single" w:sz="12" w:space="0" w:color="auto"/>
            </w:tcBorders>
            <w:shd w:val="clear" w:color="auto" w:fill="auto"/>
            <w:vAlign w:val="center"/>
            <w:hideMark/>
          </w:tcPr>
          <w:p w14:paraId="2A6E3BF4" w14:textId="77777777" w:rsidR="00CF5A93" w:rsidRPr="00176BAB" w:rsidRDefault="00CF5A93" w:rsidP="006D2ABA">
            <w:pPr>
              <w:keepNext/>
              <w:keepLines/>
              <w:rPr>
                <w:i/>
                <w:iCs/>
                <w:color w:val="000000"/>
                <w:sz w:val="18"/>
                <w:szCs w:val="18"/>
                <w:lang w:eastAsia="zh-CN"/>
              </w:rPr>
            </w:pPr>
            <w:r w:rsidRPr="00176BAB">
              <w:rPr>
                <w:i/>
                <w:color w:val="000000"/>
                <w:sz w:val="18"/>
                <w:szCs w:val="18"/>
                <w:lang w:bidi="fr-FR"/>
              </w:rPr>
              <w:t>Source de financement</w:t>
            </w:r>
          </w:p>
        </w:tc>
        <w:tc>
          <w:tcPr>
            <w:tcW w:w="0" w:type="auto"/>
            <w:vMerge w:val="restart"/>
            <w:tcBorders>
              <w:top w:val="single" w:sz="12" w:space="0" w:color="auto"/>
              <w:bottom w:val="single" w:sz="12" w:space="0" w:color="auto"/>
            </w:tcBorders>
            <w:shd w:val="clear" w:color="auto" w:fill="auto"/>
            <w:vAlign w:val="center"/>
            <w:hideMark/>
          </w:tcPr>
          <w:p w14:paraId="61FECF36" w14:textId="3BB22670" w:rsidR="00CF5A93" w:rsidRPr="00176BAB" w:rsidRDefault="00CF5A93" w:rsidP="00E6035E">
            <w:pPr>
              <w:keepNext/>
              <w:keepLines/>
              <w:jc w:val="center"/>
              <w:rPr>
                <w:i/>
                <w:iCs/>
                <w:color w:val="000000"/>
                <w:sz w:val="18"/>
                <w:szCs w:val="18"/>
                <w:lang w:eastAsia="zh-CN"/>
              </w:rPr>
            </w:pPr>
            <w:r w:rsidRPr="00176BAB">
              <w:rPr>
                <w:i/>
                <w:color w:val="000000"/>
                <w:sz w:val="18"/>
                <w:szCs w:val="18"/>
                <w:lang w:bidi="fr-FR"/>
              </w:rPr>
              <w:t>Ressources (2023</w:t>
            </w:r>
            <w:r w:rsidRPr="00176BAB">
              <w:rPr>
                <w:lang w:bidi="fr-FR"/>
              </w:rPr>
              <w:t>–</w:t>
            </w:r>
            <w:r w:rsidRPr="00176BAB">
              <w:rPr>
                <w:i/>
                <w:color w:val="000000"/>
                <w:sz w:val="18"/>
                <w:szCs w:val="18"/>
                <w:lang w:bidi="fr-FR"/>
              </w:rPr>
              <w:t>2024)</w:t>
            </w:r>
          </w:p>
        </w:tc>
      </w:tr>
      <w:tr w:rsidR="00CF5A93" w:rsidRPr="00176BAB" w14:paraId="0BE1D1B2" w14:textId="77777777" w:rsidTr="00B33B1E">
        <w:trPr>
          <w:trHeight w:val="253"/>
        </w:trPr>
        <w:tc>
          <w:tcPr>
            <w:tcW w:w="0" w:type="auto"/>
            <w:vMerge/>
            <w:tcBorders>
              <w:bottom w:val="single" w:sz="12" w:space="0" w:color="auto"/>
            </w:tcBorders>
            <w:vAlign w:val="center"/>
            <w:hideMark/>
          </w:tcPr>
          <w:p w14:paraId="1393726E" w14:textId="77777777" w:rsidR="00CF5A93" w:rsidRPr="00176BAB" w:rsidRDefault="00CF5A93" w:rsidP="006D2ABA">
            <w:pPr>
              <w:keepNext/>
              <w:keepLines/>
              <w:jc w:val="left"/>
              <w:rPr>
                <w:b/>
                <w:bCs/>
                <w:i/>
                <w:iCs/>
                <w:color w:val="000000"/>
                <w:sz w:val="18"/>
                <w:szCs w:val="18"/>
                <w:lang w:eastAsia="zh-CN"/>
              </w:rPr>
            </w:pPr>
          </w:p>
        </w:tc>
        <w:tc>
          <w:tcPr>
            <w:tcW w:w="0" w:type="auto"/>
            <w:vMerge/>
            <w:tcBorders>
              <w:bottom w:val="single" w:sz="12" w:space="0" w:color="auto"/>
            </w:tcBorders>
            <w:vAlign w:val="center"/>
            <w:hideMark/>
          </w:tcPr>
          <w:p w14:paraId="1A99A73A" w14:textId="77777777" w:rsidR="00CF5A93" w:rsidRPr="00176BAB" w:rsidRDefault="00CF5A93" w:rsidP="006D2ABA">
            <w:pPr>
              <w:keepNext/>
              <w:keepLines/>
              <w:jc w:val="left"/>
              <w:rPr>
                <w:b/>
                <w:bCs/>
                <w:i/>
                <w:iCs/>
                <w:color w:val="000000"/>
                <w:sz w:val="18"/>
                <w:szCs w:val="18"/>
                <w:lang w:eastAsia="zh-CN"/>
              </w:rPr>
            </w:pPr>
          </w:p>
        </w:tc>
      </w:tr>
      <w:tr w:rsidR="00CF5A93" w:rsidRPr="00176BAB" w14:paraId="7F9B0078" w14:textId="77777777" w:rsidTr="00B33B1E">
        <w:trPr>
          <w:trHeight w:val="300"/>
        </w:trPr>
        <w:tc>
          <w:tcPr>
            <w:tcW w:w="0" w:type="auto"/>
            <w:tcBorders>
              <w:top w:val="single" w:sz="12" w:space="0" w:color="auto"/>
            </w:tcBorders>
            <w:shd w:val="clear" w:color="auto" w:fill="auto"/>
            <w:vAlign w:val="center"/>
            <w:hideMark/>
          </w:tcPr>
          <w:p w14:paraId="71366018" w14:textId="77777777" w:rsidR="00CF5A93" w:rsidRPr="00176BAB" w:rsidRDefault="00CF5A93" w:rsidP="006D2ABA">
            <w:pPr>
              <w:keepNext/>
              <w:keepLines/>
              <w:jc w:val="left"/>
              <w:rPr>
                <w:color w:val="000000"/>
                <w:sz w:val="18"/>
                <w:szCs w:val="18"/>
                <w:lang w:eastAsia="zh-CN"/>
              </w:rPr>
            </w:pPr>
            <w:r w:rsidRPr="00176BAB">
              <w:rPr>
                <w:color w:val="000000"/>
                <w:sz w:val="18"/>
                <w:szCs w:val="18"/>
                <w:lang w:bidi="fr-FR"/>
              </w:rPr>
              <w:t>Budget approuvé</w:t>
            </w:r>
          </w:p>
        </w:tc>
        <w:tc>
          <w:tcPr>
            <w:tcW w:w="0" w:type="auto"/>
            <w:tcBorders>
              <w:top w:val="single" w:sz="12" w:space="0" w:color="auto"/>
            </w:tcBorders>
            <w:shd w:val="clear" w:color="auto" w:fill="auto"/>
            <w:vAlign w:val="center"/>
            <w:hideMark/>
          </w:tcPr>
          <w:p w14:paraId="4E116F08" w14:textId="3C797360" w:rsidR="00CF5A93" w:rsidRPr="00176BAB" w:rsidRDefault="00CF5A93" w:rsidP="00B33B1E">
            <w:pPr>
              <w:keepNext/>
              <w:keepLines/>
              <w:jc w:val="right"/>
              <w:rPr>
                <w:color w:val="000000"/>
                <w:sz w:val="18"/>
                <w:szCs w:val="18"/>
                <w:lang w:eastAsia="zh-CN"/>
              </w:rPr>
            </w:pPr>
            <w:r w:rsidRPr="00176BAB">
              <w:rPr>
                <w:color w:val="000000"/>
                <w:sz w:val="18"/>
                <w:szCs w:val="18"/>
                <w:lang w:bidi="fr-FR"/>
              </w:rPr>
              <w:t>41 646,1</w:t>
            </w:r>
          </w:p>
        </w:tc>
      </w:tr>
      <w:tr w:rsidR="00CF5A93" w:rsidRPr="00176BAB" w14:paraId="20600F93" w14:textId="77777777" w:rsidTr="00B33B1E">
        <w:trPr>
          <w:trHeight w:val="300"/>
        </w:trPr>
        <w:tc>
          <w:tcPr>
            <w:tcW w:w="0" w:type="auto"/>
            <w:shd w:val="clear" w:color="auto" w:fill="auto"/>
            <w:vAlign w:val="center"/>
            <w:hideMark/>
          </w:tcPr>
          <w:p w14:paraId="786E0755" w14:textId="77777777" w:rsidR="00CF5A93" w:rsidRPr="00176BAB" w:rsidRDefault="00CF5A93" w:rsidP="006D2ABA">
            <w:pPr>
              <w:keepNext/>
              <w:keepLines/>
              <w:jc w:val="left"/>
              <w:rPr>
                <w:color w:val="000000"/>
                <w:sz w:val="18"/>
                <w:szCs w:val="18"/>
                <w:lang w:eastAsia="zh-CN"/>
              </w:rPr>
            </w:pPr>
            <w:r w:rsidRPr="00176BAB">
              <w:rPr>
                <w:color w:val="000000"/>
                <w:sz w:val="18"/>
                <w:szCs w:val="18"/>
                <w:lang w:bidi="fr-FR"/>
              </w:rPr>
              <w:t>Pays hôte</w:t>
            </w:r>
          </w:p>
        </w:tc>
        <w:tc>
          <w:tcPr>
            <w:tcW w:w="0" w:type="auto"/>
            <w:shd w:val="clear" w:color="auto" w:fill="auto"/>
            <w:vAlign w:val="center"/>
            <w:hideMark/>
          </w:tcPr>
          <w:p w14:paraId="301C3EF1" w14:textId="6F6E49B6" w:rsidR="00CF5A93" w:rsidRPr="00176BAB" w:rsidRDefault="00CF5A93" w:rsidP="00B33B1E">
            <w:pPr>
              <w:keepNext/>
              <w:keepLines/>
              <w:jc w:val="right"/>
              <w:rPr>
                <w:color w:val="000000"/>
                <w:sz w:val="18"/>
                <w:szCs w:val="18"/>
                <w:lang w:eastAsia="zh-CN"/>
              </w:rPr>
            </w:pPr>
            <w:r w:rsidRPr="00176BAB">
              <w:rPr>
                <w:color w:val="000000"/>
                <w:sz w:val="18"/>
                <w:szCs w:val="18"/>
                <w:lang w:bidi="fr-FR"/>
              </w:rPr>
              <w:t>(3 298,1)</w:t>
            </w:r>
          </w:p>
        </w:tc>
      </w:tr>
      <w:tr w:rsidR="00CF5A93" w:rsidRPr="00176BAB" w14:paraId="2892D25C" w14:textId="77777777" w:rsidTr="00B33B1E">
        <w:trPr>
          <w:trHeight w:val="300"/>
        </w:trPr>
        <w:tc>
          <w:tcPr>
            <w:tcW w:w="0" w:type="auto"/>
            <w:shd w:val="clear" w:color="auto" w:fill="auto"/>
            <w:vAlign w:val="center"/>
            <w:hideMark/>
          </w:tcPr>
          <w:p w14:paraId="20423D2A" w14:textId="7DF38E88" w:rsidR="00CF5A93" w:rsidRPr="00176BAB" w:rsidRDefault="00CF5A93" w:rsidP="006D2ABA">
            <w:pPr>
              <w:keepNext/>
              <w:keepLines/>
              <w:jc w:val="left"/>
              <w:rPr>
                <w:color w:val="000000"/>
                <w:sz w:val="18"/>
                <w:szCs w:val="18"/>
                <w:lang w:eastAsia="zh-CN"/>
              </w:rPr>
            </w:pPr>
            <w:r w:rsidRPr="00176BAB">
              <w:rPr>
                <w:color w:val="000000"/>
                <w:sz w:val="18"/>
                <w:szCs w:val="18"/>
                <w:lang w:bidi="fr-FR"/>
              </w:rPr>
              <w:t>Économies des années précédentes</w:t>
            </w:r>
          </w:p>
        </w:tc>
        <w:tc>
          <w:tcPr>
            <w:tcW w:w="0" w:type="auto"/>
            <w:shd w:val="clear" w:color="auto" w:fill="auto"/>
            <w:vAlign w:val="center"/>
            <w:hideMark/>
          </w:tcPr>
          <w:p w14:paraId="28314808" w14:textId="750ECDF0" w:rsidR="00CF5A93" w:rsidRPr="00176BAB" w:rsidRDefault="00CF5A93" w:rsidP="00B33B1E">
            <w:pPr>
              <w:keepNext/>
              <w:keepLines/>
              <w:jc w:val="right"/>
              <w:rPr>
                <w:color w:val="000000"/>
                <w:sz w:val="18"/>
                <w:szCs w:val="18"/>
                <w:lang w:eastAsia="zh-CN"/>
              </w:rPr>
            </w:pPr>
            <w:r w:rsidRPr="00176BAB">
              <w:rPr>
                <w:color w:val="000000"/>
                <w:sz w:val="18"/>
                <w:szCs w:val="18"/>
                <w:lang w:bidi="fr-FR"/>
              </w:rPr>
              <w:t>(410,0)</w:t>
            </w:r>
          </w:p>
        </w:tc>
      </w:tr>
      <w:tr w:rsidR="00CF5A93" w:rsidRPr="00176BAB" w14:paraId="35842C2D" w14:textId="77777777" w:rsidTr="00B33B1E">
        <w:trPr>
          <w:trHeight w:val="300"/>
        </w:trPr>
        <w:tc>
          <w:tcPr>
            <w:tcW w:w="0" w:type="auto"/>
            <w:tcBorders>
              <w:bottom w:val="single" w:sz="12" w:space="0" w:color="auto"/>
            </w:tcBorders>
            <w:shd w:val="clear" w:color="auto" w:fill="auto"/>
            <w:vAlign w:val="center"/>
            <w:hideMark/>
          </w:tcPr>
          <w:p w14:paraId="239CE9AB" w14:textId="53FF7615" w:rsidR="00CF5A93" w:rsidRPr="00176BAB" w:rsidRDefault="00CF5A93" w:rsidP="006D2ABA">
            <w:pPr>
              <w:keepNext/>
              <w:keepLines/>
              <w:jc w:val="left"/>
              <w:rPr>
                <w:color w:val="000000"/>
                <w:sz w:val="18"/>
                <w:szCs w:val="18"/>
                <w:lang w:eastAsia="zh-CN"/>
              </w:rPr>
            </w:pPr>
            <w:r w:rsidRPr="00176BAB">
              <w:rPr>
                <w:color w:val="000000"/>
                <w:sz w:val="18"/>
                <w:szCs w:val="18"/>
                <w:lang w:bidi="fr-FR"/>
              </w:rPr>
              <w:t>Parties supplémentaires au Protocole de Nagoya</w:t>
            </w:r>
          </w:p>
        </w:tc>
        <w:tc>
          <w:tcPr>
            <w:tcW w:w="0" w:type="auto"/>
            <w:tcBorders>
              <w:bottom w:val="single" w:sz="12" w:space="0" w:color="auto"/>
            </w:tcBorders>
            <w:shd w:val="clear" w:color="auto" w:fill="auto"/>
            <w:vAlign w:val="center"/>
            <w:hideMark/>
          </w:tcPr>
          <w:p w14:paraId="55BCFB38" w14:textId="77777777" w:rsidR="00CF5A93" w:rsidRPr="00176BAB" w:rsidRDefault="00CF5A93" w:rsidP="00B33B1E">
            <w:pPr>
              <w:keepNext/>
              <w:keepLines/>
              <w:jc w:val="right"/>
              <w:rPr>
                <w:color w:val="000000"/>
                <w:sz w:val="18"/>
                <w:szCs w:val="18"/>
                <w:lang w:eastAsia="zh-CN"/>
              </w:rPr>
            </w:pPr>
            <w:r w:rsidRPr="00176BAB">
              <w:rPr>
                <w:color w:val="000000"/>
                <w:sz w:val="18"/>
                <w:szCs w:val="18"/>
                <w:lang w:bidi="fr-FR"/>
              </w:rPr>
              <w:t>10,4</w:t>
            </w:r>
          </w:p>
        </w:tc>
      </w:tr>
      <w:tr w:rsidR="00CF5A93" w:rsidRPr="00176BAB" w14:paraId="7C96E497" w14:textId="77777777" w:rsidTr="00B33B1E">
        <w:trPr>
          <w:trHeight w:val="300"/>
        </w:trPr>
        <w:tc>
          <w:tcPr>
            <w:tcW w:w="0" w:type="auto"/>
            <w:tcBorders>
              <w:top w:val="single" w:sz="12" w:space="0" w:color="auto"/>
              <w:bottom w:val="single" w:sz="12" w:space="0" w:color="auto"/>
            </w:tcBorders>
            <w:shd w:val="clear" w:color="auto" w:fill="auto"/>
            <w:vAlign w:val="center"/>
            <w:hideMark/>
          </w:tcPr>
          <w:p w14:paraId="2A9F95B0" w14:textId="1C59C973" w:rsidR="00CF5A93" w:rsidRPr="00176BAB" w:rsidRDefault="00CF5A93" w:rsidP="006D2ABA">
            <w:pPr>
              <w:keepNext/>
              <w:keepLines/>
              <w:rPr>
                <w:b/>
                <w:bCs/>
                <w:color w:val="000000"/>
                <w:sz w:val="18"/>
                <w:szCs w:val="18"/>
                <w:lang w:eastAsia="zh-CN"/>
              </w:rPr>
            </w:pPr>
            <w:r w:rsidRPr="00176BAB">
              <w:rPr>
                <w:b/>
                <w:color w:val="000000"/>
                <w:sz w:val="18"/>
                <w:szCs w:val="18"/>
                <w:lang w:bidi="fr-FR"/>
              </w:rPr>
              <w:tab/>
              <w:t>Contribution totale</w:t>
            </w:r>
          </w:p>
        </w:tc>
        <w:tc>
          <w:tcPr>
            <w:tcW w:w="0" w:type="auto"/>
            <w:tcBorders>
              <w:top w:val="single" w:sz="12" w:space="0" w:color="auto"/>
              <w:bottom w:val="single" w:sz="12" w:space="0" w:color="auto"/>
            </w:tcBorders>
            <w:shd w:val="clear" w:color="auto" w:fill="auto"/>
            <w:vAlign w:val="center"/>
            <w:hideMark/>
          </w:tcPr>
          <w:p w14:paraId="473E4486" w14:textId="0A61F440" w:rsidR="00CF5A93" w:rsidRPr="00176BAB" w:rsidRDefault="00CF5A93" w:rsidP="00B33B1E">
            <w:pPr>
              <w:keepNext/>
              <w:keepLines/>
              <w:jc w:val="right"/>
              <w:rPr>
                <w:b/>
                <w:bCs/>
                <w:color w:val="000000"/>
                <w:sz w:val="18"/>
                <w:szCs w:val="18"/>
                <w:lang w:eastAsia="zh-CN"/>
              </w:rPr>
            </w:pPr>
            <w:r w:rsidRPr="00176BAB">
              <w:rPr>
                <w:b/>
                <w:color w:val="000000"/>
                <w:sz w:val="18"/>
                <w:szCs w:val="18"/>
                <w:lang w:bidi="fr-FR"/>
              </w:rPr>
              <w:t>37 948,4</w:t>
            </w:r>
          </w:p>
        </w:tc>
      </w:tr>
    </w:tbl>
    <w:p w14:paraId="3EDA0DDC" w14:textId="7C85F92C" w:rsidR="000D4DA8" w:rsidRPr="00176BAB" w:rsidRDefault="00B91880" w:rsidP="00FE7DD7">
      <w:pPr>
        <w:pStyle w:val="Para10"/>
        <w:rPr>
          <w:kern w:val="22"/>
          <w:szCs w:val="22"/>
          <w:lang w:val="fr-FR"/>
        </w:rPr>
      </w:pPr>
      <w:r w:rsidRPr="00176BAB">
        <w:rPr>
          <w:lang w:val="fr-FR" w:bidi="fr-FR"/>
        </w:rPr>
        <w:t>Au 29 février 2024, les arriérés de contributions pour 2022 et les années antérieures s’élevaient à 4 119 709 </w:t>
      </w:r>
      <w:r w:rsidR="00176BAB">
        <w:rPr>
          <w:lang w:val="fr-FR" w:bidi="fr-FR"/>
        </w:rPr>
        <w:t>dollars US</w:t>
      </w:r>
      <w:r w:rsidRPr="00176BAB">
        <w:rPr>
          <w:lang w:val="fr-FR" w:bidi="fr-FR"/>
        </w:rPr>
        <w:t xml:space="preserve">, ce qui représentait 19,06 % du total des contributions impayées. À la même date, sept Parties à la Convention, 11 Parties au Protocole de Cartagena et 40 Parties au Protocole de Nagoya n’avaient jamais </w:t>
      </w:r>
      <w:r w:rsidR="006C77A6">
        <w:rPr>
          <w:lang w:val="fr-FR" w:bidi="fr-FR"/>
        </w:rPr>
        <w:t>régl</w:t>
      </w:r>
      <w:r w:rsidRPr="00176BAB">
        <w:rPr>
          <w:lang w:val="fr-FR" w:bidi="fr-FR"/>
        </w:rPr>
        <w:t xml:space="preserve">é leurs contributions depuis qu’elles étaient devenues </w:t>
      </w:r>
      <w:r w:rsidR="006C77A6">
        <w:rPr>
          <w:lang w:val="fr-FR" w:bidi="fr-FR"/>
        </w:rPr>
        <w:t>P</w:t>
      </w:r>
      <w:r w:rsidRPr="00176BAB">
        <w:rPr>
          <w:lang w:val="fr-FR" w:bidi="fr-FR"/>
        </w:rPr>
        <w:t>arties à la Convention ou aux Protocoles.</w:t>
      </w:r>
    </w:p>
    <w:p w14:paraId="400CFF02" w14:textId="3CE7AA46" w:rsidR="00123008" w:rsidRPr="00176BAB" w:rsidRDefault="00473D0B" w:rsidP="00B33B1E">
      <w:pPr>
        <w:pStyle w:val="Paragraphedeliste"/>
        <w:spacing w:before="120" w:line="259" w:lineRule="auto"/>
        <w:ind w:left="567"/>
        <w:rPr>
          <w:color w:val="000000" w:themeColor="text1"/>
          <w:szCs w:val="22"/>
        </w:rPr>
      </w:pPr>
      <w:r w:rsidRPr="00176BAB">
        <w:rPr>
          <w:color w:val="000000" w:themeColor="text1"/>
          <w:szCs w:val="22"/>
          <w:lang w:bidi="fr-FR"/>
        </w:rPr>
        <w:t>Tableau 2</w:t>
      </w:r>
    </w:p>
    <w:p w14:paraId="4315B3C8" w14:textId="0369838F" w:rsidR="00473D0B" w:rsidRPr="00176BAB" w:rsidRDefault="00473D0B" w:rsidP="00637321">
      <w:pPr>
        <w:pStyle w:val="Paragraphedeliste"/>
        <w:spacing w:line="259" w:lineRule="auto"/>
        <w:ind w:left="567"/>
        <w:rPr>
          <w:b/>
          <w:bCs/>
          <w:szCs w:val="22"/>
        </w:rPr>
      </w:pPr>
      <w:r w:rsidRPr="00176BAB">
        <w:rPr>
          <w:b/>
          <w:szCs w:val="22"/>
          <w:lang w:bidi="fr-FR"/>
        </w:rPr>
        <w:t>État des contributions impayées au 29 février 2024</w:t>
      </w:r>
    </w:p>
    <w:p w14:paraId="10EB6741" w14:textId="0F3E3A59" w:rsidR="00473D0B" w:rsidRPr="00176BAB" w:rsidRDefault="00473D0B" w:rsidP="00B33B1E">
      <w:pPr>
        <w:pStyle w:val="Paragraphedeliste"/>
        <w:spacing w:before="60" w:after="60"/>
        <w:ind w:left="567"/>
        <w:rPr>
          <w:b/>
          <w:bCs/>
          <w:szCs w:val="22"/>
        </w:rPr>
      </w:pPr>
      <w:r w:rsidRPr="00176BAB">
        <w:rPr>
          <w:color w:val="000000"/>
          <w:sz w:val="18"/>
          <w:szCs w:val="18"/>
          <w:lang w:bidi="fr-FR"/>
        </w:rPr>
        <w:t>(</w:t>
      </w:r>
      <w:r w:rsidRPr="00176BAB">
        <w:rPr>
          <w:i/>
          <w:color w:val="000000"/>
          <w:sz w:val="18"/>
          <w:szCs w:val="18"/>
          <w:lang w:bidi="fr-FR"/>
        </w:rPr>
        <w:t>en dollars US</w:t>
      </w:r>
      <w:r w:rsidRPr="00176BAB">
        <w:rPr>
          <w:color w:val="000000"/>
          <w:sz w:val="18"/>
          <w:szCs w:val="18"/>
          <w:lang w:bidi="fr-FR"/>
        </w:rPr>
        <w:t>)</w:t>
      </w:r>
    </w:p>
    <w:tbl>
      <w:tblPr>
        <w:tblStyle w:val="Grilledutableau"/>
        <w:tblW w:w="89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74"/>
        <w:gridCol w:w="1260"/>
        <w:gridCol w:w="1980"/>
        <w:gridCol w:w="1800"/>
        <w:gridCol w:w="1710"/>
      </w:tblGrid>
      <w:tr w:rsidR="00603D2F" w:rsidRPr="00176BAB" w14:paraId="02B69876" w14:textId="1A8D2490" w:rsidTr="00B33B1E">
        <w:trPr>
          <w:trHeight w:val="300"/>
        </w:trPr>
        <w:tc>
          <w:tcPr>
            <w:tcW w:w="2174" w:type="dxa"/>
            <w:tcBorders>
              <w:top w:val="single" w:sz="12" w:space="0" w:color="auto"/>
              <w:bottom w:val="single" w:sz="12" w:space="0" w:color="auto"/>
            </w:tcBorders>
            <w:noWrap/>
            <w:hideMark/>
          </w:tcPr>
          <w:p w14:paraId="31E4E741" w14:textId="01E8C265" w:rsidR="007860F9" w:rsidRPr="00176BAB" w:rsidRDefault="007860F9" w:rsidP="00B33B1E">
            <w:pPr>
              <w:spacing w:line="259" w:lineRule="auto"/>
              <w:jc w:val="left"/>
              <w:rPr>
                <w:i/>
                <w:iCs/>
              </w:rPr>
            </w:pPr>
            <w:r w:rsidRPr="00176BAB">
              <w:rPr>
                <w:i/>
                <w:lang w:bidi="fr-FR"/>
              </w:rPr>
              <w:t>Contributions impayées</w:t>
            </w:r>
          </w:p>
        </w:tc>
        <w:tc>
          <w:tcPr>
            <w:tcW w:w="1260" w:type="dxa"/>
            <w:tcBorders>
              <w:top w:val="single" w:sz="12" w:space="0" w:color="auto"/>
              <w:left w:val="nil"/>
              <w:bottom w:val="single" w:sz="12" w:space="0" w:color="auto"/>
            </w:tcBorders>
            <w:noWrap/>
            <w:hideMark/>
          </w:tcPr>
          <w:p w14:paraId="35887CC2" w14:textId="59764E11" w:rsidR="007860F9" w:rsidRPr="00176BAB" w:rsidRDefault="007860F9" w:rsidP="00B33B1E">
            <w:pPr>
              <w:spacing w:line="259" w:lineRule="auto"/>
              <w:jc w:val="right"/>
              <w:rPr>
                <w:i/>
                <w:iCs/>
              </w:rPr>
            </w:pPr>
            <w:r w:rsidRPr="00176BAB">
              <w:rPr>
                <w:i/>
                <w:lang w:bidi="fr-FR"/>
              </w:rPr>
              <w:t>Convention</w:t>
            </w:r>
          </w:p>
        </w:tc>
        <w:tc>
          <w:tcPr>
            <w:tcW w:w="1980" w:type="dxa"/>
            <w:tcBorders>
              <w:top w:val="single" w:sz="12" w:space="0" w:color="auto"/>
              <w:left w:val="nil"/>
              <w:bottom w:val="single" w:sz="12" w:space="0" w:color="auto"/>
            </w:tcBorders>
            <w:noWrap/>
            <w:hideMark/>
          </w:tcPr>
          <w:p w14:paraId="5026F7A4" w14:textId="77777777" w:rsidR="007860F9" w:rsidRPr="00176BAB" w:rsidRDefault="007860F9" w:rsidP="00B33B1E">
            <w:pPr>
              <w:spacing w:line="259" w:lineRule="auto"/>
              <w:jc w:val="right"/>
              <w:rPr>
                <w:i/>
                <w:iCs/>
              </w:rPr>
            </w:pPr>
            <w:r w:rsidRPr="00176BAB">
              <w:rPr>
                <w:i/>
                <w:lang w:bidi="fr-FR"/>
              </w:rPr>
              <w:t>Protocole de Cartagena</w:t>
            </w:r>
          </w:p>
        </w:tc>
        <w:tc>
          <w:tcPr>
            <w:tcW w:w="1800" w:type="dxa"/>
            <w:tcBorders>
              <w:top w:val="single" w:sz="12" w:space="0" w:color="auto"/>
              <w:left w:val="nil"/>
              <w:bottom w:val="single" w:sz="12" w:space="0" w:color="auto"/>
            </w:tcBorders>
            <w:noWrap/>
            <w:hideMark/>
          </w:tcPr>
          <w:p w14:paraId="01F72E44" w14:textId="77777777" w:rsidR="007860F9" w:rsidRPr="00176BAB" w:rsidRDefault="007860F9" w:rsidP="00B33B1E">
            <w:pPr>
              <w:spacing w:line="259" w:lineRule="auto"/>
              <w:jc w:val="right"/>
              <w:rPr>
                <w:i/>
                <w:iCs/>
              </w:rPr>
            </w:pPr>
            <w:r w:rsidRPr="00176BAB">
              <w:rPr>
                <w:i/>
                <w:lang w:bidi="fr-FR"/>
              </w:rPr>
              <w:t>Protocole de Nagoya</w:t>
            </w:r>
          </w:p>
        </w:tc>
        <w:tc>
          <w:tcPr>
            <w:tcW w:w="1710" w:type="dxa"/>
            <w:tcBorders>
              <w:top w:val="single" w:sz="12" w:space="0" w:color="auto"/>
              <w:left w:val="nil"/>
              <w:bottom w:val="single" w:sz="12" w:space="0" w:color="auto"/>
            </w:tcBorders>
          </w:tcPr>
          <w:p w14:paraId="33C067ED" w14:textId="6FEF8A32" w:rsidR="007860F9" w:rsidRPr="00176BAB" w:rsidRDefault="007860F9">
            <w:pPr>
              <w:spacing w:line="259" w:lineRule="auto"/>
              <w:jc w:val="right"/>
              <w:rPr>
                <w:i/>
                <w:iCs/>
              </w:rPr>
            </w:pPr>
            <w:r w:rsidRPr="00176BAB">
              <w:rPr>
                <w:i/>
                <w:lang w:bidi="fr-FR"/>
              </w:rPr>
              <w:t>Total</w:t>
            </w:r>
          </w:p>
        </w:tc>
      </w:tr>
      <w:tr w:rsidR="00603D2F" w:rsidRPr="00176BAB" w14:paraId="6958AC33" w14:textId="566D9778" w:rsidTr="00B33B1E">
        <w:trPr>
          <w:trHeight w:val="300"/>
        </w:trPr>
        <w:tc>
          <w:tcPr>
            <w:tcW w:w="2174" w:type="dxa"/>
            <w:tcBorders>
              <w:top w:val="single" w:sz="12" w:space="0" w:color="auto"/>
            </w:tcBorders>
            <w:noWrap/>
            <w:hideMark/>
          </w:tcPr>
          <w:p w14:paraId="32038B5C" w14:textId="42A9170F" w:rsidR="007860F9" w:rsidRPr="00176BAB" w:rsidRDefault="007860F9" w:rsidP="00284FCB">
            <w:pPr>
              <w:spacing w:line="259" w:lineRule="auto"/>
            </w:pPr>
            <w:r w:rsidRPr="00176BAB">
              <w:rPr>
                <w:lang w:bidi="fr-FR"/>
              </w:rPr>
              <w:t xml:space="preserve">2023-2024 </w:t>
            </w:r>
          </w:p>
        </w:tc>
        <w:tc>
          <w:tcPr>
            <w:tcW w:w="1260" w:type="dxa"/>
            <w:tcBorders>
              <w:top w:val="single" w:sz="12" w:space="0" w:color="auto"/>
              <w:left w:val="nil"/>
            </w:tcBorders>
            <w:noWrap/>
            <w:hideMark/>
          </w:tcPr>
          <w:p w14:paraId="4D062481" w14:textId="70780E79" w:rsidR="007860F9" w:rsidRPr="00176BAB" w:rsidRDefault="007860F9" w:rsidP="00B33B1E">
            <w:pPr>
              <w:spacing w:line="259" w:lineRule="auto"/>
              <w:jc w:val="right"/>
            </w:pPr>
            <w:r w:rsidRPr="00176BAB">
              <w:rPr>
                <w:lang w:bidi="fr-FR"/>
              </w:rPr>
              <w:t>12 436 763</w:t>
            </w:r>
          </w:p>
        </w:tc>
        <w:tc>
          <w:tcPr>
            <w:tcW w:w="1980" w:type="dxa"/>
            <w:tcBorders>
              <w:top w:val="single" w:sz="12" w:space="0" w:color="auto"/>
              <w:left w:val="nil"/>
            </w:tcBorders>
            <w:noWrap/>
            <w:hideMark/>
          </w:tcPr>
          <w:p w14:paraId="7FB3441F" w14:textId="2735ACC1" w:rsidR="007860F9" w:rsidRPr="00176BAB" w:rsidRDefault="007860F9" w:rsidP="00B33B1E">
            <w:pPr>
              <w:spacing w:line="259" w:lineRule="auto"/>
              <w:jc w:val="right"/>
            </w:pPr>
            <w:r w:rsidRPr="00176BAB">
              <w:rPr>
                <w:lang w:bidi="fr-FR"/>
              </w:rPr>
              <w:t>2 598 271</w:t>
            </w:r>
          </w:p>
        </w:tc>
        <w:tc>
          <w:tcPr>
            <w:tcW w:w="1800" w:type="dxa"/>
            <w:tcBorders>
              <w:top w:val="single" w:sz="12" w:space="0" w:color="auto"/>
              <w:left w:val="nil"/>
            </w:tcBorders>
            <w:noWrap/>
            <w:hideMark/>
          </w:tcPr>
          <w:p w14:paraId="1B49629C" w14:textId="50C434CF" w:rsidR="007860F9" w:rsidRPr="00176BAB" w:rsidRDefault="007860F9" w:rsidP="00B33B1E">
            <w:pPr>
              <w:spacing w:line="259" w:lineRule="auto"/>
              <w:jc w:val="right"/>
            </w:pPr>
            <w:r w:rsidRPr="00176BAB">
              <w:rPr>
                <w:lang w:bidi="fr-FR"/>
              </w:rPr>
              <w:t>2 459 099</w:t>
            </w:r>
          </w:p>
        </w:tc>
        <w:tc>
          <w:tcPr>
            <w:tcW w:w="1710" w:type="dxa"/>
            <w:tcBorders>
              <w:top w:val="single" w:sz="12" w:space="0" w:color="auto"/>
              <w:left w:val="nil"/>
            </w:tcBorders>
          </w:tcPr>
          <w:p w14:paraId="4558AE43" w14:textId="2E1D896D" w:rsidR="007860F9" w:rsidRPr="00176BAB" w:rsidDel="00964036" w:rsidRDefault="005D2BE4">
            <w:pPr>
              <w:spacing w:line="259" w:lineRule="auto"/>
              <w:jc w:val="right"/>
            </w:pPr>
            <w:r w:rsidRPr="00176BAB">
              <w:rPr>
                <w:lang w:bidi="fr-FR"/>
              </w:rPr>
              <w:t>17 494 133</w:t>
            </w:r>
          </w:p>
        </w:tc>
      </w:tr>
      <w:tr w:rsidR="00603D2F" w:rsidRPr="00176BAB" w14:paraId="2DD00A5C" w14:textId="3A974FE3" w:rsidTr="00B33B1E">
        <w:trPr>
          <w:trHeight w:val="300"/>
        </w:trPr>
        <w:tc>
          <w:tcPr>
            <w:tcW w:w="2174" w:type="dxa"/>
            <w:tcBorders>
              <w:bottom w:val="single" w:sz="12" w:space="0" w:color="auto"/>
            </w:tcBorders>
            <w:noWrap/>
            <w:hideMark/>
          </w:tcPr>
          <w:p w14:paraId="09D2FCD8" w14:textId="20AA657B" w:rsidR="007860F9" w:rsidRPr="00176BAB" w:rsidRDefault="007860F9" w:rsidP="00284FCB">
            <w:pPr>
              <w:spacing w:line="259" w:lineRule="auto"/>
            </w:pPr>
            <w:r w:rsidRPr="00176BAB">
              <w:rPr>
                <w:lang w:bidi="fr-FR"/>
              </w:rPr>
              <w:t>Années précédentes</w:t>
            </w:r>
          </w:p>
        </w:tc>
        <w:tc>
          <w:tcPr>
            <w:tcW w:w="1260" w:type="dxa"/>
            <w:tcBorders>
              <w:left w:val="nil"/>
              <w:bottom w:val="single" w:sz="12" w:space="0" w:color="auto"/>
            </w:tcBorders>
            <w:noWrap/>
            <w:hideMark/>
          </w:tcPr>
          <w:p w14:paraId="7E3A958D" w14:textId="5DB722C8" w:rsidR="007860F9" w:rsidRPr="00176BAB" w:rsidRDefault="007860F9" w:rsidP="00B33B1E">
            <w:pPr>
              <w:spacing w:line="259" w:lineRule="auto"/>
              <w:jc w:val="right"/>
            </w:pPr>
            <w:r w:rsidRPr="00176BAB">
              <w:rPr>
                <w:lang w:bidi="fr-FR"/>
              </w:rPr>
              <w:t>3 023 509</w:t>
            </w:r>
          </w:p>
        </w:tc>
        <w:tc>
          <w:tcPr>
            <w:tcW w:w="1980" w:type="dxa"/>
            <w:tcBorders>
              <w:left w:val="nil"/>
              <w:bottom w:val="single" w:sz="12" w:space="0" w:color="auto"/>
            </w:tcBorders>
            <w:noWrap/>
            <w:hideMark/>
          </w:tcPr>
          <w:p w14:paraId="28882D12" w14:textId="7F7DEA9C" w:rsidR="007860F9" w:rsidRPr="00176BAB" w:rsidRDefault="007860F9" w:rsidP="00B33B1E">
            <w:pPr>
              <w:spacing w:line="259" w:lineRule="auto"/>
              <w:jc w:val="right"/>
            </w:pPr>
            <w:r w:rsidRPr="00176BAB">
              <w:rPr>
                <w:lang w:bidi="fr-FR"/>
              </w:rPr>
              <w:t>685 907</w:t>
            </w:r>
          </w:p>
        </w:tc>
        <w:tc>
          <w:tcPr>
            <w:tcW w:w="1800" w:type="dxa"/>
            <w:tcBorders>
              <w:left w:val="nil"/>
              <w:bottom w:val="single" w:sz="12" w:space="0" w:color="auto"/>
            </w:tcBorders>
            <w:noWrap/>
            <w:hideMark/>
          </w:tcPr>
          <w:p w14:paraId="0B35E648" w14:textId="01B99880" w:rsidR="007860F9" w:rsidRPr="00176BAB" w:rsidRDefault="007860F9" w:rsidP="00B33B1E">
            <w:pPr>
              <w:spacing w:line="259" w:lineRule="auto"/>
              <w:jc w:val="right"/>
            </w:pPr>
            <w:r w:rsidRPr="00176BAB">
              <w:rPr>
                <w:lang w:bidi="fr-FR"/>
              </w:rPr>
              <w:t>410 293</w:t>
            </w:r>
          </w:p>
        </w:tc>
        <w:tc>
          <w:tcPr>
            <w:tcW w:w="1710" w:type="dxa"/>
            <w:tcBorders>
              <w:left w:val="nil"/>
              <w:bottom w:val="single" w:sz="12" w:space="0" w:color="auto"/>
            </w:tcBorders>
          </w:tcPr>
          <w:p w14:paraId="59E09C9E" w14:textId="0353314B" w:rsidR="007860F9" w:rsidRPr="00176BAB" w:rsidDel="00964036" w:rsidRDefault="005D2BE4">
            <w:pPr>
              <w:spacing w:line="259" w:lineRule="auto"/>
              <w:jc w:val="right"/>
            </w:pPr>
            <w:r w:rsidRPr="00176BAB">
              <w:rPr>
                <w:lang w:bidi="fr-FR"/>
              </w:rPr>
              <w:t>4 119 709</w:t>
            </w:r>
          </w:p>
        </w:tc>
      </w:tr>
      <w:tr w:rsidR="00603D2F" w:rsidRPr="00176BAB" w14:paraId="4AD62071" w14:textId="666250BD" w:rsidTr="00B33B1E">
        <w:trPr>
          <w:trHeight w:val="300"/>
        </w:trPr>
        <w:tc>
          <w:tcPr>
            <w:tcW w:w="2174" w:type="dxa"/>
            <w:tcBorders>
              <w:top w:val="single" w:sz="12" w:space="0" w:color="auto"/>
              <w:bottom w:val="single" w:sz="12" w:space="0" w:color="auto"/>
            </w:tcBorders>
            <w:noWrap/>
            <w:hideMark/>
          </w:tcPr>
          <w:p w14:paraId="212A39B9" w14:textId="0078C088" w:rsidR="007860F9" w:rsidRPr="00176BAB" w:rsidRDefault="007860F9" w:rsidP="00284FCB">
            <w:pPr>
              <w:spacing w:line="259" w:lineRule="auto"/>
              <w:rPr>
                <w:b/>
                <w:bCs/>
              </w:rPr>
            </w:pPr>
            <w:r w:rsidRPr="00176BAB">
              <w:rPr>
                <w:b/>
                <w:lang w:bidi="fr-FR"/>
              </w:rPr>
              <w:tab/>
              <w:t>Total</w:t>
            </w:r>
          </w:p>
        </w:tc>
        <w:tc>
          <w:tcPr>
            <w:tcW w:w="1260" w:type="dxa"/>
            <w:tcBorders>
              <w:top w:val="single" w:sz="12" w:space="0" w:color="auto"/>
              <w:left w:val="nil"/>
              <w:bottom w:val="single" w:sz="12" w:space="0" w:color="auto"/>
            </w:tcBorders>
            <w:noWrap/>
            <w:hideMark/>
          </w:tcPr>
          <w:p w14:paraId="6BF540ED" w14:textId="1DD98F84" w:rsidR="007860F9" w:rsidRPr="00176BAB" w:rsidRDefault="007860F9" w:rsidP="00B33B1E">
            <w:pPr>
              <w:spacing w:line="259" w:lineRule="auto"/>
              <w:jc w:val="right"/>
              <w:rPr>
                <w:b/>
                <w:bCs/>
              </w:rPr>
            </w:pPr>
            <w:r w:rsidRPr="00176BAB">
              <w:rPr>
                <w:b/>
                <w:lang w:bidi="fr-FR"/>
              </w:rPr>
              <w:t>15 460 272</w:t>
            </w:r>
          </w:p>
        </w:tc>
        <w:tc>
          <w:tcPr>
            <w:tcW w:w="1980" w:type="dxa"/>
            <w:tcBorders>
              <w:top w:val="single" w:sz="12" w:space="0" w:color="auto"/>
              <w:left w:val="nil"/>
              <w:bottom w:val="single" w:sz="12" w:space="0" w:color="auto"/>
            </w:tcBorders>
            <w:noWrap/>
            <w:hideMark/>
          </w:tcPr>
          <w:p w14:paraId="3AC8B251" w14:textId="5D6FA88C" w:rsidR="007860F9" w:rsidRPr="00176BAB" w:rsidRDefault="007860F9" w:rsidP="00B33B1E">
            <w:pPr>
              <w:spacing w:line="259" w:lineRule="auto"/>
              <w:jc w:val="right"/>
              <w:rPr>
                <w:b/>
                <w:bCs/>
              </w:rPr>
            </w:pPr>
            <w:r w:rsidRPr="00176BAB">
              <w:rPr>
                <w:b/>
                <w:lang w:bidi="fr-FR"/>
              </w:rPr>
              <w:t>3 284 178</w:t>
            </w:r>
          </w:p>
        </w:tc>
        <w:tc>
          <w:tcPr>
            <w:tcW w:w="1800" w:type="dxa"/>
            <w:tcBorders>
              <w:top w:val="single" w:sz="12" w:space="0" w:color="auto"/>
              <w:left w:val="nil"/>
              <w:bottom w:val="single" w:sz="12" w:space="0" w:color="auto"/>
            </w:tcBorders>
            <w:noWrap/>
            <w:hideMark/>
          </w:tcPr>
          <w:p w14:paraId="406DAEC2" w14:textId="2CE8CDDC" w:rsidR="007860F9" w:rsidRPr="00176BAB" w:rsidRDefault="007860F9" w:rsidP="00B33B1E">
            <w:pPr>
              <w:spacing w:line="259" w:lineRule="auto"/>
              <w:jc w:val="right"/>
              <w:rPr>
                <w:b/>
                <w:bCs/>
              </w:rPr>
            </w:pPr>
            <w:r w:rsidRPr="00176BAB">
              <w:rPr>
                <w:b/>
                <w:lang w:bidi="fr-FR"/>
              </w:rPr>
              <w:t>2 869 392</w:t>
            </w:r>
          </w:p>
        </w:tc>
        <w:tc>
          <w:tcPr>
            <w:tcW w:w="1710" w:type="dxa"/>
            <w:tcBorders>
              <w:top w:val="single" w:sz="12" w:space="0" w:color="auto"/>
              <w:left w:val="nil"/>
              <w:bottom w:val="single" w:sz="12" w:space="0" w:color="auto"/>
            </w:tcBorders>
          </w:tcPr>
          <w:p w14:paraId="64C05A18" w14:textId="01221C21" w:rsidR="007860F9" w:rsidRPr="00176BAB" w:rsidDel="00964036" w:rsidRDefault="005D2BE4" w:rsidP="005D2BE4">
            <w:pPr>
              <w:spacing w:line="259" w:lineRule="auto"/>
              <w:jc w:val="right"/>
              <w:rPr>
                <w:b/>
                <w:bCs/>
              </w:rPr>
            </w:pPr>
            <w:r w:rsidRPr="00176BAB">
              <w:rPr>
                <w:b/>
                <w:lang w:bidi="fr-FR"/>
              </w:rPr>
              <w:t>21 613 842</w:t>
            </w:r>
          </w:p>
        </w:tc>
      </w:tr>
    </w:tbl>
    <w:p w14:paraId="1A8BCAD3" w14:textId="7A2E2F42" w:rsidR="0043104B" w:rsidRPr="00176BAB" w:rsidRDefault="0043104B" w:rsidP="00FE7DD7">
      <w:pPr>
        <w:pStyle w:val="Para10"/>
        <w:rPr>
          <w:lang w:val="fr-FR"/>
        </w:rPr>
      </w:pPr>
      <w:r w:rsidRPr="00176BAB">
        <w:rPr>
          <w:lang w:val="fr-FR" w:bidi="fr-FR"/>
        </w:rPr>
        <w:t xml:space="preserve">Dans sa décision 15/34, la Conférence des Parties a exhorté les Parties qui n’avaient pas encore versé leurs contributions aux budgets de base pour 2022 et les années précédentes à le faire sans délai ni condition. La Secrétaire exécutive a également été priée de prendre des mesures de suivi, en collaboration avec le Programme des Nations Unies pour l’environnement (PNUE) et le Président de la Conférence des Parties, conformément aux paragraphes 18 à 24 de la décision. </w:t>
      </w:r>
    </w:p>
    <w:p w14:paraId="7FF0B39A" w14:textId="70EA692E" w:rsidR="0043104B" w:rsidRPr="00176BAB" w:rsidRDefault="0043104B" w:rsidP="00FE7DD7">
      <w:pPr>
        <w:pStyle w:val="Para10"/>
        <w:rPr>
          <w:lang w:val="fr-FR"/>
        </w:rPr>
      </w:pPr>
      <w:r w:rsidRPr="00176BAB">
        <w:rPr>
          <w:lang w:val="fr-FR" w:bidi="fr-FR"/>
        </w:rPr>
        <w:t>Les tableaux des contributions aux budgets de base de la Convention et des Protocoles sont disponibles sur le site web du Secrétariat</w:t>
      </w:r>
      <w:r w:rsidRPr="00176BAB">
        <w:rPr>
          <w:color w:val="000000" w:themeColor="text1"/>
          <w:kern w:val="20"/>
          <w:lang w:val="fr-FR" w:bidi="fr-FR"/>
        </w:rPr>
        <w:t>.</w:t>
      </w:r>
      <w:r w:rsidR="007E3A14" w:rsidRPr="00176BAB">
        <w:rPr>
          <w:rStyle w:val="Appelnotedebasdep"/>
          <w:color w:val="000000" w:themeColor="text1"/>
          <w:kern w:val="20"/>
          <w:lang w:val="fr-FR" w:bidi="fr-FR"/>
        </w:rPr>
        <w:footnoteReference w:id="3"/>
      </w:r>
    </w:p>
    <w:p w14:paraId="19AD80E2" w14:textId="5CE1233F" w:rsidR="000D4DA8" w:rsidRPr="00176BAB" w:rsidRDefault="000D4DA8" w:rsidP="00FE7DD7">
      <w:pPr>
        <w:pStyle w:val="Titre3"/>
        <w:numPr>
          <w:ilvl w:val="0"/>
          <w:numId w:val="12"/>
        </w:numPr>
        <w:suppressLineNumbers/>
        <w:tabs>
          <w:tab w:val="left" w:pos="426"/>
        </w:tabs>
        <w:suppressAutoHyphens/>
        <w:kinsoku w:val="0"/>
        <w:overflowPunct w:val="0"/>
        <w:autoSpaceDE w:val="0"/>
        <w:autoSpaceDN w:val="0"/>
        <w:adjustRightInd w:val="0"/>
        <w:snapToGrid w:val="0"/>
        <w:ind w:left="567" w:hanging="567"/>
        <w:rPr>
          <w:rFonts w:eastAsia="Malgun Gothic"/>
          <w:i/>
          <w:snapToGrid w:val="0"/>
          <w:kern w:val="22"/>
          <w:lang w:eastAsia="ko-KR"/>
        </w:rPr>
      </w:pPr>
      <w:r w:rsidRPr="00176BAB">
        <w:rPr>
          <w:rFonts w:eastAsia="Malgun Gothic"/>
          <w:snapToGrid w:val="0"/>
          <w:kern w:val="22"/>
          <w:lang w:bidi="fr-FR"/>
        </w:rPr>
        <w:t>Dépenses</w:t>
      </w:r>
    </w:p>
    <w:p w14:paraId="61A30E6D" w14:textId="3AE904CE" w:rsidR="00864092" w:rsidRPr="00176BAB" w:rsidRDefault="005E7D27" w:rsidP="00FE7DD7">
      <w:pPr>
        <w:pStyle w:val="Para10"/>
        <w:rPr>
          <w:color w:val="000000"/>
          <w:lang w:val="fr-FR"/>
        </w:rPr>
      </w:pPr>
      <w:r w:rsidRPr="00176BAB">
        <w:rPr>
          <w:lang w:val="fr-FR" w:bidi="fr-FR"/>
        </w:rPr>
        <w:t xml:space="preserve">Au 29 février 2024, les dépenses pour l’exercice biennal s’élevaient à près de 22 millions de </w:t>
      </w:r>
      <w:r w:rsidR="00176BAB">
        <w:rPr>
          <w:lang w:val="fr-FR" w:bidi="fr-FR"/>
        </w:rPr>
        <w:t>dollars US</w:t>
      </w:r>
      <w:r w:rsidRPr="00176BAB">
        <w:rPr>
          <w:lang w:val="fr-FR" w:bidi="fr-FR"/>
        </w:rPr>
        <w:t xml:space="preserve"> (voir tableau 3).</w:t>
      </w:r>
    </w:p>
    <w:p w14:paraId="708FD7B5" w14:textId="15632236" w:rsidR="00864092" w:rsidRPr="00176BAB" w:rsidRDefault="009B6746" w:rsidP="00B33B1E">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176BAB">
        <w:rPr>
          <w:rFonts w:eastAsia="Malgun Gothic"/>
          <w:snapToGrid w:val="0"/>
          <w:kern w:val="22"/>
          <w:lang w:bidi="fr-FR"/>
        </w:rPr>
        <w:t>a)</w:t>
      </w:r>
      <w:r w:rsidRPr="00176BAB">
        <w:rPr>
          <w:rFonts w:eastAsia="Malgun Gothic"/>
          <w:snapToGrid w:val="0"/>
          <w:kern w:val="22"/>
          <w:lang w:bidi="fr-FR"/>
        </w:rPr>
        <w:tab/>
        <w:t>Frais de personnel</w:t>
      </w:r>
    </w:p>
    <w:p w14:paraId="701D5626" w14:textId="58B1CD81" w:rsidR="00C341B7" w:rsidRPr="00176BAB" w:rsidRDefault="005A521E" w:rsidP="00FE7DD7">
      <w:pPr>
        <w:pStyle w:val="Para10"/>
        <w:rPr>
          <w:lang w:val="fr-FR"/>
        </w:rPr>
      </w:pPr>
      <w:r w:rsidRPr="00176BAB">
        <w:rPr>
          <w:lang w:val="fr-FR" w:bidi="fr-FR"/>
        </w:rPr>
        <w:t xml:space="preserve">Lors de sa quinzième réunion, la Conférence a approuvé un budget de 24,1 millions de </w:t>
      </w:r>
      <w:r w:rsidR="00176BAB">
        <w:rPr>
          <w:lang w:val="fr-FR" w:bidi="fr-FR"/>
        </w:rPr>
        <w:t>dollars US</w:t>
      </w:r>
      <w:r w:rsidRPr="00176BAB">
        <w:rPr>
          <w:lang w:val="fr-FR" w:bidi="fr-FR"/>
        </w:rPr>
        <w:t xml:space="preserve"> pour un tableau d’effectifs de 82 postes (53 postes de la catégorie des administrateurs et fonctionnaires de rang supérieur et 29 postes de la catégorie des services généraux). Au 29 février 2024, les dépenses s’élevaient à 13,8 millions de </w:t>
      </w:r>
      <w:r w:rsidR="00176BAB">
        <w:rPr>
          <w:lang w:val="fr-FR" w:bidi="fr-FR"/>
        </w:rPr>
        <w:t>dollars US</w:t>
      </w:r>
      <w:r w:rsidRPr="00176BAB">
        <w:rPr>
          <w:lang w:val="fr-FR" w:bidi="fr-FR"/>
        </w:rPr>
        <w:t>.</w:t>
      </w:r>
    </w:p>
    <w:p w14:paraId="3C574C26" w14:textId="09F903E3" w:rsidR="00990912" w:rsidRPr="00176BAB" w:rsidRDefault="00D54D12" w:rsidP="00B33B1E">
      <w:pPr>
        <w:pStyle w:val="Titre3"/>
        <w:numPr>
          <w:ilvl w:val="0"/>
          <w:numId w:val="0"/>
        </w:numPr>
        <w:suppressLineNumbers/>
        <w:tabs>
          <w:tab w:val="left" w:pos="426"/>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176BAB">
        <w:rPr>
          <w:rFonts w:eastAsia="Malgun Gothic"/>
          <w:snapToGrid w:val="0"/>
          <w:kern w:val="22"/>
          <w:lang w:bidi="fr-FR"/>
        </w:rPr>
        <w:t>b)</w:t>
      </w:r>
      <w:r w:rsidRPr="00176BAB">
        <w:rPr>
          <w:rFonts w:eastAsia="Malgun Gothic"/>
          <w:snapToGrid w:val="0"/>
          <w:kern w:val="22"/>
          <w:lang w:bidi="fr-FR"/>
        </w:rPr>
        <w:tab/>
        <w:t>Réunions des organes intergouvernementaux</w:t>
      </w:r>
    </w:p>
    <w:p w14:paraId="27E424C6" w14:textId="3AB4FDE7" w:rsidR="00A25735" w:rsidRPr="00176BAB" w:rsidRDefault="007143EF" w:rsidP="00FE7DD7">
      <w:pPr>
        <w:pStyle w:val="Para10"/>
        <w:rPr>
          <w:color w:val="000000"/>
          <w:lang w:val="fr-FR"/>
        </w:rPr>
      </w:pPr>
      <w:r w:rsidRPr="00176BAB">
        <w:rPr>
          <w:lang w:val="fr-FR" w:bidi="fr-FR"/>
        </w:rPr>
        <w:t>La Conférence des Parties a approuvé un budget de 5 584 600 </w:t>
      </w:r>
      <w:r w:rsidR="00176BAB">
        <w:rPr>
          <w:lang w:val="fr-FR" w:bidi="fr-FR"/>
        </w:rPr>
        <w:t>dollars US</w:t>
      </w:r>
      <w:r w:rsidRPr="00176BAB">
        <w:rPr>
          <w:lang w:val="fr-FR" w:bidi="fr-FR"/>
        </w:rPr>
        <w:t xml:space="preserve"> pour l’exercice biennal afin de couvrir les frais de conférence des réunions des organes subsidiaires, de la </w:t>
      </w:r>
      <w:r w:rsidR="005E5445" w:rsidRPr="00176BAB">
        <w:rPr>
          <w:rFonts w:asciiTheme="majorBidi" w:hAnsiTheme="majorBidi" w:cstheme="majorBidi"/>
          <w:color w:val="000000"/>
          <w:lang w:val="fr-FR" w:bidi="fr-FR"/>
        </w:rPr>
        <w:t xml:space="preserve">seizième réunion de la Conférence des Parties à la Convention, de la onzième réunion de la Conférence des </w:t>
      </w:r>
      <w:r w:rsidR="005E5445" w:rsidRPr="00176BAB">
        <w:rPr>
          <w:rFonts w:asciiTheme="majorBidi" w:hAnsiTheme="majorBidi" w:cstheme="majorBidi"/>
          <w:color w:val="000000"/>
          <w:lang w:val="fr-FR" w:bidi="fr-FR"/>
        </w:rPr>
        <w:lastRenderedPageBreak/>
        <w:t xml:space="preserve">Parties siégeant en tant que réunion des Parties au Protocole de Cartagena et de la cinquième réunion de la Conférence des Parties siégeant en tant que réunion des Parties au Protocole de Nagoya. </w:t>
      </w:r>
      <w:r w:rsidRPr="00176BAB">
        <w:rPr>
          <w:lang w:val="fr-FR" w:bidi="fr-FR"/>
        </w:rPr>
        <w:t xml:space="preserve">Un total de 1,3 million de </w:t>
      </w:r>
      <w:r w:rsidR="00176BAB">
        <w:rPr>
          <w:lang w:val="fr-FR" w:bidi="fr-FR"/>
        </w:rPr>
        <w:t>dollars US</w:t>
      </w:r>
      <w:r w:rsidRPr="00176BAB">
        <w:rPr>
          <w:lang w:val="fr-FR" w:bidi="fr-FR"/>
        </w:rPr>
        <w:t xml:space="preserve"> ont été dépensés pour couvrir les coûts de la vingt-cinquième réunion de l’Organe subsidiaire chargé de fournir des avis scientifiques, techniques et technologiques, de la reprise des deuxièmes parties de la quinzième réunion de la Conférence des Parties à la Convention, de la dixième réunion de la Conférence des Parties siégeant en tant que réunion des Parties au Protocole de Cartagena et de la quatrième réunion de la Conférence des Parties siégeant en tant que réunion des Parties au Protocole de Nagoya, qui se sont toutes tenues en octobre 2023, et de la douzième réunion du Groupe de travail spécial intersessions à composition non limitée sur l’article 8(j) et les dispositions connexes de la Convention, qui s’est tenue le mois suivant. Les coûts de la première réunion du Groupe de travail spécial à composition non limitée sur le partage des avantages découlant de l’utilisation de l’information de séquençage numérique sur les ressources génétiques, qui s’est également tenue en novembre 2023, ont été couverts par une contribution volontaire du gouvernement norvégien.</w:t>
      </w:r>
    </w:p>
    <w:p w14:paraId="06579A20" w14:textId="16B9E7B8" w:rsidR="007D0C53" w:rsidRPr="00176BAB" w:rsidRDefault="00D54D12" w:rsidP="00B33B1E">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176BAB">
        <w:rPr>
          <w:rFonts w:eastAsia="Malgun Gothic"/>
          <w:snapToGrid w:val="0"/>
          <w:kern w:val="22"/>
          <w:lang w:bidi="fr-FR"/>
        </w:rPr>
        <w:t>c)</w:t>
      </w:r>
      <w:r w:rsidRPr="00176BAB">
        <w:rPr>
          <w:rFonts w:eastAsia="Malgun Gothic"/>
          <w:snapToGrid w:val="0"/>
          <w:kern w:val="22"/>
          <w:lang w:bidi="fr-FR"/>
        </w:rPr>
        <w:tab/>
        <w:t>Réunions du Bureau</w:t>
      </w:r>
    </w:p>
    <w:p w14:paraId="24130166" w14:textId="16E38F39" w:rsidR="007D0C53" w:rsidRPr="00176BAB" w:rsidRDefault="00C770AD" w:rsidP="00FE7DD7">
      <w:pPr>
        <w:pStyle w:val="Para10"/>
        <w:rPr>
          <w:lang w:val="fr-FR"/>
        </w:rPr>
      </w:pPr>
      <w:r w:rsidRPr="00176BAB">
        <w:rPr>
          <w:lang w:val="fr-FR" w:bidi="fr-FR"/>
        </w:rPr>
        <w:t>Au cours de la période allant de janvier 2023 à février 2024, deux réunions du Bureau de la Conférence des Parties, une réunion du Bureau de l’Organe subsidiaire chargé de fournir des avis scientifiques, techniques et technologiques et une réunion conjointe des deux Bureaux se sont tenues en personne. Un montant total de 123 000 </w:t>
      </w:r>
      <w:r w:rsidR="00176BAB">
        <w:rPr>
          <w:lang w:val="fr-FR" w:bidi="fr-FR"/>
        </w:rPr>
        <w:t>dollars US</w:t>
      </w:r>
      <w:r w:rsidRPr="00176BAB">
        <w:rPr>
          <w:lang w:val="fr-FR" w:bidi="fr-FR"/>
        </w:rPr>
        <w:t xml:space="preserve"> a été dépensé pour faciliter le voyage des membres du Bureau des états Parties en développement. </w:t>
      </w:r>
    </w:p>
    <w:p w14:paraId="7E5AF807" w14:textId="7CE3C70E" w:rsidR="00480E23" w:rsidRPr="00176BAB" w:rsidRDefault="00D54D12" w:rsidP="00B33B1E">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176BAB">
        <w:rPr>
          <w:rFonts w:eastAsia="Malgun Gothic"/>
          <w:snapToGrid w:val="0"/>
          <w:kern w:val="22"/>
          <w:lang w:bidi="fr-FR"/>
        </w:rPr>
        <w:t>d)</w:t>
      </w:r>
      <w:r w:rsidRPr="00176BAB">
        <w:rPr>
          <w:rFonts w:eastAsia="Malgun Gothic"/>
          <w:snapToGrid w:val="0"/>
          <w:kern w:val="22"/>
          <w:lang w:bidi="fr-FR"/>
        </w:rPr>
        <w:tab/>
        <w:t>Réunions d’experts</w:t>
      </w:r>
    </w:p>
    <w:p w14:paraId="6DB4C7CF" w14:textId="239C6B24" w:rsidR="000344A8" w:rsidRPr="00176BAB" w:rsidRDefault="00A73716" w:rsidP="00FE7DD7">
      <w:pPr>
        <w:pStyle w:val="Para10"/>
        <w:rPr>
          <w:bCs/>
          <w:i/>
          <w:iCs/>
          <w:kern w:val="22"/>
          <w:lang w:val="fr-FR"/>
        </w:rPr>
      </w:pPr>
      <w:r w:rsidRPr="00176BAB">
        <w:rPr>
          <w:lang w:val="fr-FR" w:bidi="fr-FR"/>
        </w:rPr>
        <w:t>À sa quinzième réunion, la Conférence des Parties a approuvé un budget de 480 000 </w:t>
      </w:r>
      <w:r w:rsidR="00176BAB">
        <w:rPr>
          <w:lang w:val="fr-FR" w:bidi="fr-FR"/>
        </w:rPr>
        <w:t>dollars US</w:t>
      </w:r>
      <w:r w:rsidRPr="00176BAB">
        <w:rPr>
          <w:lang w:val="fr-FR" w:bidi="fr-FR"/>
        </w:rPr>
        <w:t xml:space="preserve"> pour l’organisation de plusieurs réunions d’experts en 2023-2024. </w:t>
      </w:r>
      <w:r w:rsidR="00DE501A" w:rsidRPr="00176BAB">
        <w:rPr>
          <w:kern w:val="22"/>
          <w:lang w:val="fr-FR" w:bidi="fr-FR"/>
        </w:rPr>
        <w:t xml:space="preserve">Au cours de la période allant de janvier 2023 à février 2024, le Secrétariat a organisé les </w:t>
      </w:r>
      <w:bookmarkStart w:id="1" w:name="_Hlk165274162"/>
      <w:r w:rsidR="00AD28AC" w:rsidRPr="00176BAB">
        <w:rPr>
          <w:kern w:val="22"/>
          <w:lang w:val="fr-FR" w:bidi="fr-FR"/>
        </w:rPr>
        <w:t>réunions d’experts</w:t>
      </w:r>
      <w:bookmarkEnd w:id="1"/>
      <w:r w:rsidR="00320D9B" w:rsidRPr="00176BAB">
        <w:rPr>
          <w:kern w:val="22"/>
          <w:lang w:val="fr-FR" w:bidi="fr-FR"/>
        </w:rPr>
        <w:t xml:space="preserve"> suivantes, pour un coût total de 278 000 </w:t>
      </w:r>
      <w:r w:rsidR="00176BAB">
        <w:rPr>
          <w:kern w:val="22"/>
          <w:lang w:val="fr-FR" w:bidi="fr-FR"/>
        </w:rPr>
        <w:t>dollars US</w:t>
      </w:r>
      <w:r w:rsidR="00320D9B" w:rsidRPr="00176BAB">
        <w:rPr>
          <w:kern w:val="22"/>
          <w:lang w:val="fr-FR" w:bidi="fr-FR"/>
        </w:rPr>
        <w:t> :</w:t>
      </w:r>
    </w:p>
    <w:p w14:paraId="68AFBBA3" w14:textId="77777777" w:rsidR="00395C65" w:rsidRPr="00176BAB" w:rsidRDefault="00395C65" w:rsidP="00B33B1E">
      <w:pPr>
        <w:pStyle w:val="Paragraphedeliste"/>
        <w:numPr>
          <w:ilvl w:val="0"/>
          <w:numId w:val="14"/>
        </w:numPr>
        <w:spacing w:before="120" w:after="120"/>
        <w:ind w:left="990" w:hanging="450"/>
        <w:contextualSpacing w:val="0"/>
        <w:rPr>
          <w:rFonts w:asciiTheme="majorBidi" w:hAnsiTheme="majorBidi" w:cstheme="majorBidi"/>
          <w:szCs w:val="22"/>
        </w:rPr>
      </w:pPr>
      <w:r w:rsidRPr="00176BAB">
        <w:rPr>
          <w:rFonts w:asciiTheme="majorBidi" w:hAnsiTheme="majorBidi" w:cstheme="majorBidi"/>
          <w:spacing w:val="6"/>
          <w:szCs w:val="22"/>
          <w:lang w:bidi="fr-FR"/>
        </w:rPr>
        <w:t>Douzième réunion du Comité consultatif informel du Centre d’échange pour la prévention des risques biotechnologiques (</w:t>
      </w:r>
      <w:r w:rsidRPr="00176BAB">
        <w:rPr>
          <w:lang w:bidi="fr-FR"/>
        </w:rPr>
        <w:t>15 et 16 mai 2023</w:t>
      </w:r>
      <w:r w:rsidRPr="00176BAB">
        <w:rPr>
          <w:rFonts w:asciiTheme="majorBidi" w:hAnsiTheme="majorBidi" w:cstheme="majorBidi"/>
          <w:spacing w:val="6"/>
          <w:szCs w:val="22"/>
          <w:lang w:bidi="fr-FR"/>
        </w:rPr>
        <w:t>).</w:t>
      </w:r>
    </w:p>
    <w:p w14:paraId="3724C8F7" w14:textId="5D6FDC63" w:rsidR="00270DF5" w:rsidRPr="00176BAB" w:rsidRDefault="009E6095" w:rsidP="00B33B1E">
      <w:pPr>
        <w:pStyle w:val="Paragraphedeliste"/>
        <w:numPr>
          <w:ilvl w:val="0"/>
          <w:numId w:val="14"/>
        </w:numPr>
        <w:spacing w:before="120" w:after="120"/>
        <w:ind w:left="990" w:hanging="450"/>
        <w:contextualSpacing w:val="0"/>
        <w:rPr>
          <w:rFonts w:asciiTheme="majorBidi" w:hAnsiTheme="majorBidi" w:cstheme="majorBidi"/>
          <w:spacing w:val="6"/>
          <w:szCs w:val="22"/>
        </w:rPr>
      </w:pPr>
      <w:r w:rsidRPr="00176BAB">
        <w:rPr>
          <w:rFonts w:asciiTheme="majorBidi" w:hAnsiTheme="majorBidi" w:cstheme="majorBidi"/>
          <w:spacing w:val="6"/>
          <w:szCs w:val="22"/>
          <w:lang w:bidi="fr-FR"/>
        </w:rPr>
        <w:t>Première réunion du Groupe consultatif informel sur la coopération technique et scientifique (</w:t>
      </w:r>
      <w:r w:rsidR="0035662A" w:rsidRPr="00176BAB">
        <w:rPr>
          <w:lang w:bidi="fr-FR"/>
        </w:rPr>
        <w:t>14-16 juin 2023)</w:t>
      </w:r>
    </w:p>
    <w:p w14:paraId="27DDE460" w14:textId="77777777" w:rsidR="00395C65" w:rsidRPr="00176BAB" w:rsidRDefault="00395C65" w:rsidP="00B33B1E">
      <w:pPr>
        <w:pStyle w:val="Paragraphedeliste"/>
        <w:numPr>
          <w:ilvl w:val="0"/>
          <w:numId w:val="14"/>
        </w:numPr>
        <w:spacing w:before="120" w:after="120"/>
        <w:ind w:left="990" w:hanging="450"/>
        <w:contextualSpacing w:val="0"/>
        <w:rPr>
          <w:rFonts w:asciiTheme="majorBidi" w:hAnsiTheme="majorBidi" w:cstheme="majorBidi"/>
          <w:spacing w:val="6"/>
          <w:szCs w:val="22"/>
        </w:rPr>
      </w:pPr>
      <w:r w:rsidRPr="00176BAB">
        <w:rPr>
          <w:rFonts w:asciiTheme="majorBidi" w:hAnsiTheme="majorBidi" w:cstheme="majorBidi"/>
          <w:spacing w:val="6"/>
          <w:szCs w:val="22"/>
          <w:lang w:bidi="fr-FR"/>
        </w:rPr>
        <w:t>Cinquième réunion du Comité consultatif informel sur le renforcement des capacités pour la mise en œuvre du Protocole de Nagoya (</w:t>
      </w:r>
      <w:r w:rsidRPr="00176BAB">
        <w:rPr>
          <w:lang w:bidi="fr-FR"/>
        </w:rPr>
        <w:t>20-22 juin 2023</w:t>
      </w:r>
      <w:r w:rsidRPr="00176BAB">
        <w:rPr>
          <w:rFonts w:asciiTheme="majorBidi" w:hAnsiTheme="majorBidi" w:cstheme="majorBidi"/>
          <w:spacing w:val="6"/>
          <w:szCs w:val="22"/>
          <w:lang w:bidi="fr-FR"/>
        </w:rPr>
        <w:t>)</w:t>
      </w:r>
    </w:p>
    <w:p w14:paraId="08AB3342" w14:textId="77777777" w:rsidR="00A23F35" w:rsidRPr="00176BAB" w:rsidRDefault="00A23F35" w:rsidP="00B33B1E">
      <w:pPr>
        <w:pStyle w:val="Paragraphedeliste"/>
        <w:numPr>
          <w:ilvl w:val="0"/>
          <w:numId w:val="14"/>
        </w:numPr>
        <w:spacing w:before="120" w:after="120"/>
        <w:ind w:left="990" w:hanging="450"/>
        <w:contextualSpacing w:val="0"/>
        <w:rPr>
          <w:rFonts w:asciiTheme="majorBidi" w:hAnsiTheme="majorBidi" w:cstheme="majorBidi"/>
          <w:spacing w:val="6"/>
          <w:szCs w:val="22"/>
        </w:rPr>
      </w:pPr>
      <w:r w:rsidRPr="00176BAB">
        <w:rPr>
          <w:rFonts w:asciiTheme="majorBidi" w:hAnsiTheme="majorBidi" w:cstheme="majorBidi"/>
          <w:spacing w:val="6"/>
          <w:szCs w:val="22"/>
          <w:lang w:bidi="fr-FR"/>
        </w:rPr>
        <w:t>Première réunion du Comité consultatif sur la mobilisation des ressources (</w:t>
      </w:r>
      <w:r w:rsidRPr="00176BAB">
        <w:rPr>
          <w:lang w:bidi="fr-FR"/>
        </w:rPr>
        <w:t>25-29 septembre 2023</w:t>
      </w:r>
      <w:r w:rsidRPr="00176BAB">
        <w:rPr>
          <w:rFonts w:asciiTheme="majorBidi" w:hAnsiTheme="majorBidi" w:cstheme="majorBidi"/>
          <w:spacing w:val="6"/>
          <w:szCs w:val="22"/>
          <w:lang w:bidi="fr-FR"/>
        </w:rPr>
        <w:t>)</w:t>
      </w:r>
    </w:p>
    <w:p w14:paraId="64135D36" w14:textId="20E45FA5" w:rsidR="008713B3" w:rsidRPr="00176BAB" w:rsidRDefault="00270DF5" w:rsidP="00B33B1E">
      <w:pPr>
        <w:pStyle w:val="Paragraphedeliste"/>
        <w:numPr>
          <w:ilvl w:val="0"/>
          <w:numId w:val="14"/>
        </w:numPr>
        <w:spacing w:before="120" w:after="120"/>
        <w:ind w:left="990" w:hanging="450"/>
        <w:contextualSpacing w:val="0"/>
        <w:rPr>
          <w:rFonts w:asciiTheme="majorBidi" w:hAnsiTheme="majorBidi" w:cstheme="majorBidi"/>
          <w:spacing w:val="6"/>
          <w:szCs w:val="22"/>
        </w:rPr>
      </w:pPr>
      <w:r w:rsidRPr="00176BAB">
        <w:rPr>
          <w:rFonts w:asciiTheme="majorBidi" w:hAnsiTheme="majorBidi" w:cstheme="majorBidi"/>
          <w:spacing w:val="6"/>
          <w:szCs w:val="22"/>
          <w:lang w:bidi="fr-FR"/>
        </w:rPr>
        <w:t>Dix-huitième réunion du Comité chargé du respect des dispositions du Protocole de Cartagena (</w:t>
      </w:r>
      <w:r w:rsidR="00D5370A" w:rsidRPr="00176BAB">
        <w:rPr>
          <w:lang w:bidi="fr-FR"/>
        </w:rPr>
        <w:t>24</w:t>
      </w:r>
      <w:r w:rsidR="001A67DF" w:rsidRPr="00176BAB">
        <w:rPr>
          <w:lang w:bidi="fr-FR"/>
        </w:rPr>
        <w:noBreakHyphen/>
      </w:r>
      <w:r w:rsidR="00D5370A" w:rsidRPr="00176BAB">
        <w:rPr>
          <w:lang w:bidi="fr-FR"/>
        </w:rPr>
        <w:t>-26 octobre 2023)</w:t>
      </w:r>
    </w:p>
    <w:p w14:paraId="2CC0B3CB" w14:textId="1FCA591D" w:rsidR="00977BC4" w:rsidRPr="00176BAB" w:rsidRDefault="00977BC4" w:rsidP="00B33B1E">
      <w:pPr>
        <w:pStyle w:val="Paragraphedeliste"/>
        <w:numPr>
          <w:ilvl w:val="0"/>
          <w:numId w:val="14"/>
        </w:numPr>
        <w:spacing w:before="120" w:after="120"/>
        <w:ind w:left="990" w:hanging="450"/>
        <w:contextualSpacing w:val="0"/>
        <w:rPr>
          <w:rFonts w:asciiTheme="majorBidi" w:hAnsiTheme="majorBidi" w:cstheme="majorBidi"/>
          <w:spacing w:val="6"/>
          <w:szCs w:val="22"/>
        </w:rPr>
      </w:pPr>
      <w:bookmarkStart w:id="2" w:name="_Hlk165274121"/>
      <w:r w:rsidRPr="00176BAB">
        <w:rPr>
          <w:rFonts w:asciiTheme="majorBidi" w:hAnsiTheme="majorBidi" w:cstheme="majorBidi"/>
          <w:spacing w:val="6"/>
          <w:szCs w:val="22"/>
          <w:lang w:bidi="fr-FR"/>
        </w:rPr>
        <w:t>Cinquième réunion du Comité consultatif informel du Centre d’échange sur l’accès et le partage des avantages (13-15 février 2024)</w:t>
      </w:r>
    </w:p>
    <w:bookmarkEnd w:id="2"/>
    <w:p w14:paraId="247122FB" w14:textId="426E88CC" w:rsidR="00A504BA" w:rsidRPr="00176BAB" w:rsidRDefault="00E1050B" w:rsidP="00FE7DD7">
      <w:pPr>
        <w:pStyle w:val="Para10"/>
        <w:rPr>
          <w:rStyle w:val="ui-provider"/>
          <w:rFonts w:asciiTheme="majorBidi" w:hAnsiTheme="majorBidi" w:cstheme="majorBidi"/>
          <w:spacing w:val="6"/>
          <w:szCs w:val="22"/>
          <w:lang w:val="fr-FR"/>
        </w:rPr>
      </w:pPr>
      <w:r w:rsidRPr="00176BAB">
        <w:rPr>
          <w:lang w:val="fr-FR" w:bidi="fr-FR"/>
        </w:rPr>
        <w:t>Des réunions supplémentaires des comités et des réunions d’autres groupes d’experts ont été organisées grâce à un financement provenant de contributions volontaires. Certains comités et groupes d’experts ont également tenu des réunions en ligne.</w:t>
      </w:r>
    </w:p>
    <w:p w14:paraId="309DFA47" w14:textId="505B1F08" w:rsidR="00D00909" w:rsidRPr="00176BAB" w:rsidRDefault="00D54D12" w:rsidP="00B33B1E">
      <w:pPr>
        <w:pStyle w:val="Titre3"/>
        <w:numPr>
          <w:ilvl w:val="0"/>
          <w:numId w:val="0"/>
        </w:numPr>
        <w:suppressLineNumbers/>
        <w:tabs>
          <w:tab w:val="left" w:pos="1080"/>
        </w:tabs>
        <w:suppressAutoHyphens/>
        <w:kinsoku w:val="0"/>
        <w:overflowPunct w:val="0"/>
        <w:autoSpaceDE w:val="0"/>
        <w:autoSpaceDN w:val="0"/>
        <w:adjustRightInd w:val="0"/>
        <w:snapToGrid w:val="0"/>
        <w:ind w:left="567"/>
        <w:rPr>
          <w:rFonts w:eastAsia="Malgun Gothic"/>
          <w:b w:val="0"/>
          <w:bCs w:val="0"/>
          <w:snapToGrid w:val="0"/>
          <w:kern w:val="22"/>
          <w:lang w:eastAsia="ko-KR"/>
        </w:rPr>
      </w:pPr>
      <w:r w:rsidRPr="00176BAB">
        <w:rPr>
          <w:rFonts w:eastAsia="Malgun Gothic"/>
          <w:snapToGrid w:val="0"/>
          <w:kern w:val="22"/>
          <w:lang w:bidi="fr-FR"/>
        </w:rPr>
        <w:t>e)</w:t>
      </w:r>
      <w:r w:rsidRPr="00176BAB">
        <w:rPr>
          <w:rFonts w:eastAsia="Malgun Gothic"/>
          <w:snapToGrid w:val="0"/>
          <w:kern w:val="22"/>
          <w:lang w:bidi="fr-FR"/>
        </w:rPr>
        <w:tab/>
        <w:t>Voyage officiels</w:t>
      </w:r>
    </w:p>
    <w:p w14:paraId="4D70EA06" w14:textId="23E60E52" w:rsidR="0082113E" w:rsidRPr="00176BAB" w:rsidRDefault="0082113E" w:rsidP="00FE7DD7">
      <w:pPr>
        <w:pStyle w:val="Para10"/>
        <w:rPr>
          <w:sz w:val="24"/>
          <w:lang w:val="fr-FR" w:eastAsia="zh-CN"/>
        </w:rPr>
      </w:pPr>
      <w:r w:rsidRPr="00176BAB">
        <w:rPr>
          <w:lang w:val="fr-FR" w:bidi="fr-FR"/>
        </w:rPr>
        <w:t>La participation aux réunions et événements d’autres organisations est l’un des principaux moyens de créer des synergies avec les travaux de la Convention et de ses Protocoles et les programmes de travail intégrés. Par conséquent, les membres du personnel du Secrétariat se sont rendus à plusieurs réunions et événements pour représenter la Convention et ses Protocoles. Un montant total de 520 000 </w:t>
      </w:r>
      <w:r w:rsidR="00176BAB">
        <w:rPr>
          <w:lang w:val="fr-FR" w:bidi="fr-FR"/>
        </w:rPr>
        <w:t>dollars US</w:t>
      </w:r>
      <w:r w:rsidRPr="00176BAB">
        <w:rPr>
          <w:lang w:val="fr-FR" w:bidi="fr-FR"/>
        </w:rPr>
        <w:t xml:space="preserve"> a été dépensé à cette fin au cours de la période allant de janvier </w:t>
      </w:r>
      <w:r w:rsidRPr="00176BAB">
        <w:rPr>
          <w:lang w:val="fr-FR" w:bidi="fr-FR"/>
        </w:rPr>
        <w:lastRenderedPageBreak/>
        <w:t>2023 à février 2024. Étant donné que le Secrétariat est de plus en plus sollicité pour participer à des réunions et à des événements, on s’attend à ce que le budget approuvé de 640 000 </w:t>
      </w:r>
      <w:r w:rsidR="00176BAB">
        <w:rPr>
          <w:lang w:val="fr-FR" w:bidi="fr-FR"/>
        </w:rPr>
        <w:t>dollars US</w:t>
      </w:r>
      <w:r w:rsidRPr="00176BAB">
        <w:rPr>
          <w:lang w:val="fr-FR" w:bidi="fr-FR"/>
        </w:rPr>
        <w:t xml:space="preserve"> pour l’exercice biennal soit dépassé. Il convient de noter que le budget des voyages pour l’exercice biennal en cours est nettement inférieur à ceux des exercices biennaux précédents, qui variaient entre 800 000 et 900 000 </w:t>
      </w:r>
      <w:r w:rsidR="00176BAB">
        <w:rPr>
          <w:lang w:val="fr-FR" w:bidi="fr-FR"/>
        </w:rPr>
        <w:t>dollars US</w:t>
      </w:r>
      <w:r w:rsidRPr="00176BAB">
        <w:rPr>
          <w:lang w:val="fr-FR" w:bidi="fr-FR"/>
        </w:rPr>
        <w:t>.</w:t>
      </w:r>
    </w:p>
    <w:p w14:paraId="2EB34C96" w14:textId="138FBA18" w:rsidR="000D4DA8" w:rsidRPr="00176BAB" w:rsidRDefault="000D4DA8" w:rsidP="00B33B1E">
      <w:pPr>
        <w:pStyle w:val="Paragraphedeliste"/>
        <w:keepNext/>
        <w:keepLines/>
        <w:suppressLineNumbers/>
        <w:suppressAutoHyphens/>
        <w:kinsoku w:val="0"/>
        <w:overflowPunct w:val="0"/>
        <w:autoSpaceDE w:val="0"/>
        <w:autoSpaceDN w:val="0"/>
        <w:adjustRightInd w:val="0"/>
        <w:snapToGrid w:val="0"/>
        <w:spacing w:before="240" w:after="120"/>
        <w:ind w:left="0"/>
        <w:contextualSpacing w:val="0"/>
        <w:jc w:val="left"/>
        <w:rPr>
          <w:bCs/>
          <w:snapToGrid w:val="0"/>
          <w:kern w:val="22"/>
          <w:sz w:val="18"/>
          <w:szCs w:val="18"/>
        </w:rPr>
      </w:pPr>
      <w:r w:rsidRPr="00176BAB">
        <w:rPr>
          <w:snapToGrid w:val="0"/>
          <w:kern w:val="22"/>
          <w:szCs w:val="22"/>
          <w:lang w:bidi="fr-FR"/>
        </w:rPr>
        <w:t>Tableau 3</w:t>
      </w:r>
      <w:r w:rsidRPr="00176BAB">
        <w:rPr>
          <w:snapToGrid w:val="0"/>
          <w:kern w:val="22"/>
          <w:szCs w:val="22"/>
          <w:lang w:bidi="fr-FR"/>
        </w:rPr>
        <w:br/>
      </w:r>
      <w:r w:rsidRPr="00176BAB">
        <w:rPr>
          <w:b/>
          <w:snapToGrid w:val="0"/>
          <w:kern w:val="22"/>
          <w:szCs w:val="22"/>
          <w:lang w:bidi="fr-FR"/>
        </w:rPr>
        <w:t>Dépenses prévues par poste de dépense par rapport au budget intégré approuvé pour 2023</w:t>
      </w:r>
      <w:r w:rsidR="00DD72BB" w:rsidRPr="00176BAB">
        <w:rPr>
          <w:lang w:bidi="fr-FR"/>
        </w:rPr>
        <w:t>-</w:t>
      </w:r>
      <w:r w:rsidR="00793574" w:rsidRPr="00176BAB">
        <w:rPr>
          <w:b/>
          <w:snapToGrid w:val="0"/>
          <w:kern w:val="22"/>
          <w:szCs w:val="22"/>
          <w:lang w:bidi="fr-FR"/>
        </w:rPr>
        <w:t>2024</w:t>
      </w:r>
      <w:r w:rsidR="00793574" w:rsidRPr="00176BAB">
        <w:rPr>
          <w:b/>
          <w:snapToGrid w:val="0"/>
          <w:kern w:val="22"/>
          <w:szCs w:val="22"/>
          <w:lang w:bidi="fr-FR"/>
        </w:rPr>
        <w:br/>
      </w:r>
      <w:r w:rsidRPr="00176BAB">
        <w:rPr>
          <w:snapToGrid w:val="0"/>
          <w:color w:val="000000"/>
          <w:kern w:val="22"/>
          <w:sz w:val="18"/>
          <w:szCs w:val="18"/>
          <w:lang w:bidi="fr-FR"/>
        </w:rPr>
        <w:t>(En milliers de dollars US)</w:t>
      </w:r>
    </w:p>
    <w:tbl>
      <w:tblPr>
        <w:tblW w:w="0" w:type="auto"/>
        <w:jc w:val="center"/>
        <w:tblLook w:val="04A0" w:firstRow="1" w:lastRow="0" w:firstColumn="1" w:lastColumn="0" w:noHBand="0" w:noVBand="1"/>
      </w:tblPr>
      <w:tblGrid>
        <w:gridCol w:w="416"/>
        <w:gridCol w:w="3818"/>
        <w:gridCol w:w="1378"/>
        <w:gridCol w:w="2694"/>
        <w:gridCol w:w="1054"/>
      </w:tblGrid>
      <w:tr w:rsidR="00AF183C" w:rsidRPr="00176BAB" w14:paraId="6DD444B6" w14:textId="77777777" w:rsidTr="00B33B1E">
        <w:trPr>
          <w:cantSplit/>
          <w:jc w:val="center"/>
        </w:trPr>
        <w:tc>
          <w:tcPr>
            <w:tcW w:w="0" w:type="auto"/>
            <w:tcBorders>
              <w:top w:val="single" w:sz="12" w:space="0" w:color="auto"/>
              <w:bottom w:val="single" w:sz="12" w:space="0" w:color="auto"/>
            </w:tcBorders>
          </w:tcPr>
          <w:p w14:paraId="3FC4C30B" w14:textId="77777777" w:rsidR="00AF183C" w:rsidRPr="00176BAB" w:rsidRDefault="00AF183C">
            <w:pPr>
              <w:suppressLineNumbers/>
              <w:suppressAutoHyphens/>
              <w:kinsoku w:val="0"/>
              <w:overflowPunct w:val="0"/>
              <w:autoSpaceDE w:val="0"/>
              <w:autoSpaceDN w:val="0"/>
              <w:adjustRightInd w:val="0"/>
              <w:snapToGrid w:val="0"/>
              <w:jc w:val="left"/>
              <w:rPr>
                <w:i/>
                <w:i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vAlign w:val="bottom"/>
            <w:hideMark/>
          </w:tcPr>
          <w:p w14:paraId="3A5BDE2E" w14:textId="4FE92F34" w:rsidR="00AF183C" w:rsidRPr="00176BAB" w:rsidRDefault="00AF183C" w:rsidP="00B33B1E">
            <w:pPr>
              <w:suppressLineNumbers/>
              <w:suppressAutoHyphens/>
              <w:kinsoku w:val="0"/>
              <w:overflowPunct w:val="0"/>
              <w:autoSpaceDE w:val="0"/>
              <w:autoSpaceDN w:val="0"/>
              <w:adjustRightInd w:val="0"/>
              <w:snapToGrid w:val="0"/>
              <w:jc w:val="left"/>
              <w:rPr>
                <w:i/>
                <w:iCs/>
                <w:snapToGrid w:val="0"/>
                <w:color w:val="000000"/>
                <w:kern w:val="22"/>
                <w:sz w:val="20"/>
                <w:szCs w:val="20"/>
                <w:lang w:eastAsia="en-CA"/>
              </w:rPr>
            </w:pPr>
            <w:r w:rsidRPr="00176BAB">
              <w:rPr>
                <w:i/>
                <w:snapToGrid w:val="0"/>
                <w:color w:val="000000"/>
                <w:kern w:val="22"/>
                <w:sz w:val="20"/>
                <w:szCs w:val="20"/>
                <w:lang w:bidi="fr-FR"/>
              </w:rPr>
              <w:t>Poste de dépense</w:t>
            </w:r>
          </w:p>
        </w:tc>
        <w:tc>
          <w:tcPr>
            <w:tcW w:w="0" w:type="auto"/>
            <w:tcBorders>
              <w:top w:val="single" w:sz="12" w:space="0" w:color="auto"/>
              <w:bottom w:val="single" w:sz="12" w:space="0" w:color="auto"/>
            </w:tcBorders>
            <w:shd w:val="clear" w:color="auto" w:fill="auto"/>
            <w:vAlign w:val="bottom"/>
            <w:hideMark/>
          </w:tcPr>
          <w:p w14:paraId="716756AF" w14:textId="77777777" w:rsidR="00AF183C" w:rsidRPr="00176BAB"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176BAB">
              <w:rPr>
                <w:i/>
                <w:snapToGrid w:val="0"/>
                <w:color w:val="000000"/>
                <w:kern w:val="22"/>
                <w:sz w:val="20"/>
                <w:szCs w:val="20"/>
                <w:lang w:bidi="fr-FR"/>
              </w:rPr>
              <w:t>Budget total approuvé</w:t>
            </w:r>
          </w:p>
        </w:tc>
        <w:tc>
          <w:tcPr>
            <w:tcW w:w="0" w:type="auto"/>
            <w:tcBorders>
              <w:top w:val="single" w:sz="12" w:space="0" w:color="auto"/>
              <w:bottom w:val="single" w:sz="12" w:space="0" w:color="auto"/>
            </w:tcBorders>
            <w:shd w:val="clear" w:color="auto" w:fill="auto"/>
            <w:vAlign w:val="bottom"/>
          </w:tcPr>
          <w:p w14:paraId="24757ED2" w14:textId="68670811" w:rsidR="00AF183C" w:rsidRPr="00176BAB"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176BAB">
              <w:rPr>
                <w:i/>
                <w:snapToGrid w:val="0"/>
                <w:color w:val="000000"/>
                <w:kern w:val="22"/>
                <w:sz w:val="20"/>
                <w:szCs w:val="20"/>
                <w:lang w:bidi="fr-FR"/>
              </w:rPr>
              <w:t>Total des engagements de dépenses (1er janvier 2023</w:t>
            </w:r>
            <w:r w:rsidRPr="00176BAB">
              <w:rPr>
                <w:sz w:val="20"/>
                <w:szCs w:val="20"/>
                <w:lang w:bidi="fr-FR"/>
              </w:rPr>
              <w:t>-</w:t>
            </w:r>
            <w:r w:rsidRPr="00176BAB">
              <w:rPr>
                <w:i/>
                <w:snapToGrid w:val="0"/>
                <w:color w:val="000000"/>
                <w:kern w:val="22"/>
                <w:sz w:val="20"/>
                <w:szCs w:val="20"/>
                <w:lang w:bidi="fr-FR"/>
              </w:rPr>
              <w:t>29 février 2024)</w:t>
            </w:r>
          </w:p>
        </w:tc>
        <w:tc>
          <w:tcPr>
            <w:tcW w:w="0" w:type="auto"/>
            <w:tcBorders>
              <w:top w:val="single" w:sz="12" w:space="0" w:color="auto"/>
              <w:bottom w:val="single" w:sz="12" w:space="0" w:color="auto"/>
            </w:tcBorders>
            <w:shd w:val="clear" w:color="auto" w:fill="auto"/>
            <w:vAlign w:val="bottom"/>
          </w:tcPr>
          <w:p w14:paraId="4A8F12E2" w14:textId="77777777" w:rsidR="00AF183C" w:rsidRPr="00176BAB" w:rsidRDefault="00AF183C" w:rsidP="00B33B1E">
            <w:pPr>
              <w:suppressLineNumbers/>
              <w:suppressAutoHyphens/>
              <w:kinsoku w:val="0"/>
              <w:overflowPunct w:val="0"/>
              <w:autoSpaceDE w:val="0"/>
              <w:autoSpaceDN w:val="0"/>
              <w:adjustRightInd w:val="0"/>
              <w:snapToGrid w:val="0"/>
              <w:jc w:val="right"/>
              <w:rPr>
                <w:i/>
                <w:iCs/>
                <w:snapToGrid w:val="0"/>
                <w:color w:val="000000"/>
                <w:kern w:val="22"/>
                <w:sz w:val="20"/>
                <w:szCs w:val="20"/>
                <w:lang w:eastAsia="en-CA"/>
              </w:rPr>
            </w:pPr>
            <w:r w:rsidRPr="00176BAB">
              <w:rPr>
                <w:i/>
                <w:snapToGrid w:val="0"/>
                <w:color w:val="000000"/>
                <w:kern w:val="22"/>
                <w:sz w:val="20"/>
                <w:szCs w:val="20"/>
                <w:lang w:bidi="fr-FR"/>
              </w:rPr>
              <w:t>Écart</w:t>
            </w:r>
          </w:p>
        </w:tc>
      </w:tr>
      <w:tr w:rsidR="00AF183C" w:rsidRPr="00176BAB" w14:paraId="682BF8EF" w14:textId="77777777" w:rsidTr="00B33B1E">
        <w:trPr>
          <w:cantSplit/>
          <w:jc w:val="center"/>
        </w:trPr>
        <w:tc>
          <w:tcPr>
            <w:tcW w:w="0" w:type="auto"/>
            <w:tcBorders>
              <w:top w:val="single" w:sz="12" w:space="0" w:color="auto"/>
            </w:tcBorders>
          </w:tcPr>
          <w:p w14:paraId="1B999416" w14:textId="3823773A"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I</w:t>
            </w:r>
          </w:p>
        </w:tc>
        <w:tc>
          <w:tcPr>
            <w:tcW w:w="0" w:type="auto"/>
            <w:tcBorders>
              <w:top w:val="single" w:sz="12" w:space="0" w:color="auto"/>
            </w:tcBorders>
            <w:shd w:val="clear" w:color="auto" w:fill="auto"/>
            <w:hideMark/>
          </w:tcPr>
          <w:p w14:paraId="035CE771" w14:textId="69B338DE"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A.</w:t>
            </w:r>
            <w:r w:rsidRPr="00176BAB">
              <w:rPr>
                <w:snapToGrid w:val="0"/>
                <w:color w:val="000000"/>
                <w:kern w:val="22"/>
                <w:sz w:val="20"/>
                <w:szCs w:val="20"/>
                <w:lang w:bidi="fr-FR"/>
              </w:rPr>
              <w:tab/>
              <w:t>Frais de personnel</w:t>
            </w:r>
          </w:p>
        </w:tc>
        <w:tc>
          <w:tcPr>
            <w:tcW w:w="0" w:type="auto"/>
            <w:tcBorders>
              <w:top w:val="single" w:sz="12" w:space="0" w:color="auto"/>
            </w:tcBorders>
            <w:shd w:val="clear" w:color="auto" w:fill="auto"/>
            <w:hideMark/>
          </w:tcPr>
          <w:p w14:paraId="1E278E21" w14:textId="153CD50C"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24 157,30</w:t>
            </w:r>
          </w:p>
        </w:tc>
        <w:tc>
          <w:tcPr>
            <w:tcW w:w="0" w:type="auto"/>
            <w:tcBorders>
              <w:top w:val="single" w:sz="12" w:space="0" w:color="auto"/>
            </w:tcBorders>
            <w:shd w:val="clear" w:color="auto" w:fill="auto"/>
          </w:tcPr>
          <w:p w14:paraId="6E8444AD" w14:textId="53AD5B47"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13 789,70</w:t>
            </w:r>
          </w:p>
        </w:tc>
        <w:tc>
          <w:tcPr>
            <w:tcW w:w="0" w:type="auto"/>
            <w:tcBorders>
              <w:top w:val="single" w:sz="12" w:space="0" w:color="auto"/>
            </w:tcBorders>
            <w:shd w:val="clear" w:color="auto" w:fill="auto"/>
          </w:tcPr>
          <w:p w14:paraId="634BA5FE" w14:textId="3C938A3C"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10 367,60</w:t>
            </w:r>
          </w:p>
        </w:tc>
      </w:tr>
      <w:tr w:rsidR="00AF183C" w:rsidRPr="00176BAB" w14:paraId="4ADA6960" w14:textId="77777777" w:rsidTr="00B33B1E">
        <w:trPr>
          <w:cantSplit/>
          <w:jc w:val="center"/>
        </w:trPr>
        <w:tc>
          <w:tcPr>
            <w:tcW w:w="0" w:type="auto"/>
          </w:tcPr>
          <w:p w14:paraId="6796A480"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79F9C5BB" w14:textId="6084F422"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B.</w:t>
            </w:r>
            <w:r w:rsidRPr="00176BAB">
              <w:rPr>
                <w:snapToGrid w:val="0"/>
                <w:color w:val="000000"/>
                <w:kern w:val="22"/>
                <w:sz w:val="20"/>
                <w:szCs w:val="20"/>
                <w:lang w:bidi="fr-FR"/>
              </w:rPr>
              <w:tab/>
              <w:t>Assistance temporaire / heures supplémentaires</w:t>
            </w:r>
          </w:p>
        </w:tc>
        <w:tc>
          <w:tcPr>
            <w:tcW w:w="0" w:type="auto"/>
            <w:shd w:val="clear" w:color="auto" w:fill="auto"/>
            <w:hideMark/>
          </w:tcPr>
          <w:p w14:paraId="7E23A020" w14:textId="6AB7F814"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200,00</w:t>
            </w:r>
          </w:p>
        </w:tc>
        <w:tc>
          <w:tcPr>
            <w:tcW w:w="0" w:type="auto"/>
            <w:shd w:val="clear" w:color="auto" w:fill="auto"/>
          </w:tcPr>
          <w:p w14:paraId="37C2DBF1" w14:textId="032AF8AA"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119,00</w:t>
            </w:r>
          </w:p>
        </w:tc>
        <w:tc>
          <w:tcPr>
            <w:tcW w:w="0" w:type="auto"/>
            <w:shd w:val="clear" w:color="auto" w:fill="auto"/>
          </w:tcPr>
          <w:p w14:paraId="497C912E" w14:textId="647B8CAE"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81,00</w:t>
            </w:r>
          </w:p>
        </w:tc>
      </w:tr>
      <w:tr w:rsidR="00AF183C" w:rsidRPr="00176BAB" w14:paraId="43CD7E41" w14:textId="77777777" w:rsidTr="00B33B1E">
        <w:trPr>
          <w:cantSplit/>
          <w:jc w:val="center"/>
        </w:trPr>
        <w:tc>
          <w:tcPr>
            <w:tcW w:w="0" w:type="auto"/>
          </w:tcPr>
          <w:p w14:paraId="3153532E"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0975A5" w14:textId="0DC7494A"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C.</w:t>
            </w:r>
            <w:r w:rsidRPr="00176BAB">
              <w:rPr>
                <w:snapToGrid w:val="0"/>
                <w:color w:val="000000"/>
                <w:kern w:val="22"/>
                <w:sz w:val="20"/>
                <w:szCs w:val="20"/>
                <w:lang w:bidi="fr-FR"/>
              </w:rPr>
              <w:tab/>
              <w:t>Consultants / sous-traitance</w:t>
            </w:r>
          </w:p>
        </w:tc>
        <w:tc>
          <w:tcPr>
            <w:tcW w:w="0" w:type="auto"/>
            <w:shd w:val="clear" w:color="auto" w:fill="auto"/>
            <w:hideMark/>
          </w:tcPr>
          <w:p w14:paraId="5DF318C0" w14:textId="6A5C15D8"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100,00</w:t>
            </w:r>
          </w:p>
        </w:tc>
        <w:tc>
          <w:tcPr>
            <w:tcW w:w="0" w:type="auto"/>
            <w:shd w:val="clear" w:color="auto" w:fill="auto"/>
          </w:tcPr>
          <w:p w14:paraId="52096779" w14:textId="62E98447"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2,80</w:t>
            </w:r>
          </w:p>
        </w:tc>
        <w:tc>
          <w:tcPr>
            <w:tcW w:w="0" w:type="auto"/>
            <w:shd w:val="clear" w:color="auto" w:fill="auto"/>
          </w:tcPr>
          <w:p w14:paraId="4DD3721C" w14:textId="21182315"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97,20</w:t>
            </w:r>
          </w:p>
        </w:tc>
      </w:tr>
      <w:tr w:rsidR="00AF183C" w:rsidRPr="00176BAB" w14:paraId="1A37297F" w14:textId="77777777" w:rsidTr="00B33B1E">
        <w:trPr>
          <w:cantSplit/>
          <w:jc w:val="center"/>
        </w:trPr>
        <w:tc>
          <w:tcPr>
            <w:tcW w:w="0" w:type="auto"/>
          </w:tcPr>
          <w:p w14:paraId="75D1049F"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D715489" w14:textId="43D5A2BD"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D.</w:t>
            </w:r>
            <w:r w:rsidRPr="00176BAB">
              <w:rPr>
                <w:snapToGrid w:val="0"/>
                <w:color w:val="000000"/>
                <w:kern w:val="22"/>
                <w:sz w:val="20"/>
                <w:szCs w:val="20"/>
                <w:lang w:bidi="fr-FR"/>
              </w:rPr>
              <w:tab/>
              <w:t>Formation</w:t>
            </w:r>
          </w:p>
        </w:tc>
        <w:tc>
          <w:tcPr>
            <w:tcW w:w="0" w:type="auto"/>
            <w:shd w:val="clear" w:color="auto" w:fill="auto"/>
            <w:hideMark/>
          </w:tcPr>
          <w:p w14:paraId="3FC4EC34" w14:textId="69068160"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10,00</w:t>
            </w:r>
          </w:p>
        </w:tc>
        <w:tc>
          <w:tcPr>
            <w:tcW w:w="0" w:type="auto"/>
            <w:shd w:val="clear" w:color="auto" w:fill="auto"/>
          </w:tcPr>
          <w:p w14:paraId="00A657F8" w14:textId="7C023A45"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7,30</w:t>
            </w:r>
          </w:p>
        </w:tc>
        <w:tc>
          <w:tcPr>
            <w:tcW w:w="0" w:type="auto"/>
            <w:shd w:val="clear" w:color="auto" w:fill="auto"/>
          </w:tcPr>
          <w:p w14:paraId="088966BE" w14:textId="35FBE74A"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2,70</w:t>
            </w:r>
          </w:p>
        </w:tc>
      </w:tr>
      <w:tr w:rsidR="00AF183C" w:rsidRPr="00176BAB" w14:paraId="0413B7F1" w14:textId="77777777" w:rsidTr="00B33B1E">
        <w:trPr>
          <w:cantSplit/>
          <w:jc w:val="center"/>
        </w:trPr>
        <w:tc>
          <w:tcPr>
            <w:tcW w:w="0" w:type="auto"/>
          </w:tcPr>
          <w:p w14:paraId="422C5EBC"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513F9B08" w14:textId="796566F9"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E.</w:t>
            </w:r>
            <w:r w:rsidRPr="00176BAB">
              <w:rPr>
                <w:snapToGrid w:val="0"/>
                <w:color w:val="000000"/>
                <w:kern w:val="22"/>
                <w:sz w:val="20"/>
                <w:szCs w:val="20"/>
                <w:lang w:bidi="fr-FR"/>
              </w:rPr>
              <w:tab/>
              <w:t>Révision structurelle</w:t>
            </w:r>
          </w:p>
        </w:tc>
        <w:tc>
          <w:tcPr>
            <w:tcW w:w="0" w:type="auto"/>
            <w:shd w:val="clear" w:color="auto" w:fill="auto"/>
            <w:hideMark/>
          </w:tcPr>
          <w:p w14:paraId="102B5258" w14:textId="1E0363E2"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250,00</w:t>
            </w:r>
          </w:p>
        </w:tc>
        <w:tc>
          <w:tcPr>
            <w:tcW w:w="0" w:type="auto"/>
            <w:shd w:val="clear" w:color="auto" w:fill="auto"/>
          </w:tcPr>
          <w:p w14:paraId="6902C040" w14:textId="7C825B8E"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w:t>
            </w:r>
          </w:p>
        </w:tc>
        <w:tc>
          <w:tcPr>
            <w:tcW w:w="0" w:type="auto"/>
            <w:shd w:val="clear" w:color="auto" w:fill="auto"/>
          </w:tcPr>
          <w:p w14:paraId="29963FA0" w14:textId="06761612"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250,00</w:t>
            </w:r>
          </w:p>
        </w:tc>
      </w:tr>
      <w:tr w:rsidR="00AF183C" w:rsidRPr="00176BAB" w14:paraId="5E0D2174" w14:textId="77777777" w:rsidTr="00B33B1E">
        <w:trPr>
          <w:cantSplit/>
          <w:jc w:val="center"/>
        </w:trPr>
        <w:tc>
          <w:tcPr>
            <w:tcW w:w="0" w:type="auto"/>
          </w:tcPr>
          <w:p w14:paraId="08E46D0B"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038451BA" w14:textId="3F966D1B"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F.</w:t>
            </w:r>
            <w:r w:rsidRPr="00176BAB">
              <w:rPr>
                <w:snapToGrid w:val="0"/>
                <w:color w:val="000000"/>
                <w:kern w:val="22"/>
                <w:sz w:val="20"/>
                <w:szCs w:val="20"/>
                <w:lang w:bidi="fr-FR"/>
              </w:rPr>
              <w:tab/>
              <w:t>Réunion du Bureau</w:t>
            </w:r>
          </w:p>
        </w:tc>
        <w:tc>
          <w:tcPr>
            <w:tcW w:w="0" w:type="auto"/>
            <w:shd w:val="clear" w:color="auto" w:fill="auto"/>
            <w:hideMark/>
          </w:tcPr>
          <w:p w14:paraId="063FF064" w14:textId="256F001D"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2 789,00</w:t>
            </w:r>
          </w:p>
        </w:tc>
        <w:tc>
          <w:tcPr>
            <w:tcW w:w="0" w:type="auto"/>
            <w:shd w:val="clear" w:color="auto" w:fill="auto"/>
          </w:tcPr>
          <w:p w14:paraId="5DF5D90F" w14:textId="6F167321"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123,00</w:t>
            </w:r>
          </w:p>
        </w:tc>
        <w:tc>
          <w:tcPr>
            <w:tcW w:w="0" w:type="auto"/>
            <w:shd w:val="clear" w:color="auto" w:fill="auto"/>
          </w:tcPr>
          <w:p w14:paraId="3B94FF26" w14:textId="3CCF04D4"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155,90</w:t>
            </w:r>
          </w:p>
        </w:tc>
      </w:tr>
      <w:tr w:rsidR="00AF183C" w:rsidRPr="00176BAB" w14:paraId="70A95039" w14:textId="77777777" w:rsidTr="00B33B1E">
        <w:trPr>
          <w:cantSplit/>
          <w:jc w:val="center"/>
        </w:trPr>
        <w:tc>
          <w:tcPr>
            <w:tcW w:w="0" w:type="auto"/>
          </w:tcPr>
          <w:p w14:paraId="73EECA81"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38C95860" w14:textId="2959C532"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G.</w:t>
            </w:r>
            <w:r w:rsidRPr="00176BAB">
              <w:rPr>
                <w:snapToGrid w:val="0"/>
                <w:color w:val="000000"/>
                <w:kern w:val="22"/>
                <w:sz w:val="20"/>
                <w:szCs w:val="20"/>
                <w:lang w:bidi="fr-FR"/>
              </w:rPr>
              <w:tab/>
              <w:t>Réunions d’experts</w:t>
            </w:r>
          </w:p>
        </w:tc>
        <w:tc>
          <w:tcPr>
            <w:tcW w:w="0" w:type="auto"/>
            <w:shd w:val="clear" w:color="auto" w:fill="auto"/>
            <w:hideMark/>
          </w:tcPr>
          <w:p w14:paraId="1F5030AC" w14:textId="5F768290"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480,00</w:t>
            </w:r>
          </w:p>
        </w:tc>
        <w:tc>
          <w:tcPr>
            <w:tcW w:w="0" w:type="auto"/>
            <w:shd w:val="clear" w:color="auto" w:fill="auto"/>
          </w:tcPr>
          <w:p w14:paraId="6267E922" w14:textId="225C7F87"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278,00</w:t>
            </w:r>
          </w:p>
        </w:tc>
        <w:tc>
          <w:tcPr>
            <w:tcW w:w="0" w:type="auto"/>
            <w:shd w:val="clear" w:color="auto" w:fill="auto"/>
          </w:tcPr>
          <w:p w14:paraId="4767B576" w14:textId="4BA1B6F3"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202,00</w:t>
            </w:r>
          </w:p>
        </w:tc>
      </w:tr>
      <w:tr w:rsidR="00AF183C" w:rsidRPr="00176BAB" w14:paraId="28492AA3" w14:textId="77777777" w:rsidTr="00B33B1E">
        <w:trPr>
          <w:cantSplit/>
          <w:jc w:val="center"/>
        </w:trPr>
        <w:tc>
          <w:tcPr>
            <w:tcW w:w="0" w:type="auto"/>
          </w:tcPr>
          <w:p w14:paraId="034FF23A"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2A778B2D" w14:textId="1962EDF8"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H.</w:t>
            </w:r>
            <w:r w:rsidRPr="00176BAB">
              <w:rPr>
                <w:snapToGrid w:val="0"/>
                <w:color w:val="000000"/>
                <w:kern w:val="22"/>
                <w:sz w:val="20"/>
                <w:szCs w:val="20"/>
                <w:lang w:bidi="fr-FR"/>
              </w:rPr>
              <w:tab/>
              <w:t xml:space="preserve">Réunions des organes intergouvernementaux </w:t>
            </w:r>
          </w:p>
        </w:tc>
        <w:tc>
          <w:tcPr>
            <w:tcW w:w="0" w:type="auto"/>
            <w:shd w:val="clear" w:color="auto" w:fill="auto"/>
            <w:hideMark/>
          </w:tcPr>
          <w:p w14:paraId="4723098D" w14:textId="456C1EDD"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5 584,60</w:t>
            </w:r>
          </w:p>
        </w:tc>
        <w:tc>
          <w:tcPr>
            <w:tcW w:w="0" w:type="auto"/>
            <w:shd w:val="clear" w:color="auto" w:fill="auto"/>
          </w:tcPr>
          <w:p w14:paraId="263235A6" w14:textId="4B4BBCB6"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1 273,30</w:t>
            </w:r>
          </w:p>
        </w:tc>
        <w:tc>
          <w:tcPr>
            <w:tcW w:w="0" w:type="auto"/>
            <w:shd w:val="clear" w:color="auto" w:fill="auto"/>
          </w:tcPr>
          <w:p w14:paraId="6F40E975" w14:textId="3393788C"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4 311,30</w:t>
            </w:r>
          </w:p>
        </w:tc>
      </w:tr>
      <w:tr w:rsidR="00AF183C" w:rsidRPr="00176BAB" w14:paraId="61960904" w14:textId="77777777" w:rsidTr="00B33B1E">
        <w:trPr>
          <w:cantSplit/>
          <w:jc w:val="center"/>
        </w:trPr>
        <w:tc>
          <w:tcPr>
            <w:tcW w:w="0" w:type="auto"/>
          </w:tcPr>
          <w:p w14:paraId="4F1306CA"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F56FE1" w14:textId="326B07B2"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I.</w:t>
            </w:r>
            <w:r w:rsidRPr="00176BAB">
              <w:rPr>
                <w:snapToGrid w:val="0"/>
                <w:color w:val="000000"/>
                <w:kern w:val="22"/>
                <w:sz w:val="20"/>
                <w:szCs w:val="20"/>
                <w:lang w:bidi="fr-FR"/>
              </w:rPr>
              <w:tab/>
              <w:t>Matériels pour la sensibilisation du public</w:t>
            </w:r>
          </w:p>
        </w:tc>
        <w:tc>
          <w:tcPr>
            <w:tcW w:w="0" w:type="auto"/>
            <w:shd w:val="clear" w:color="auto" w:fill="auto"/>
            <w:hideMark/>
          </w:tcPr>
          <w:p w14:paraId="77D1DB35" w14:textId="361DCF8E"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100,00</w:t>
            </w:r>
          </w:p>
        </w:tc>
        <w:tc>
          <w:tcPr>
            <w:tcW w:w="0" w:type="auto"/>
            <w:shd w:val="clear" w:color="auto" w:fill="auto"/>
          </w:tcPr>
          <w:p w14:paraId="48D3839A" w14:textId="451F62C0"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17,10</w:t>
            </w:r>
          </w:p>
        </w:tc>
        <w:tc>
          <w:tcPr>
            <w:tcW w:w="0" w:type="auto"/>
            <w:shd w:val="clear" w:color="auto" w:fill="auto"/>
          </w:tcPr>
          <w:p w14:paraId="756C94D1" w14:textId="37F0D417"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82,90</w:t>
            </w:r>
          </w:p>
        </w:tc>
      </w:tr>
      <w:tr w:rsidR="00AF183C" w:rsidRPr="00176BAB" w14:paraId="5B14F0ED" w14:textId="77777777" w:rsidTr="00B33B1E">
        <w:trPr>
          <w:cantSplit/>
          <w:jc w:val="center"/>
        </w:trPr>
        <w:tc>
          <w:tcPr>
            <w:tcW w:w="0" w:type="auto"/>
          </w:tcPr>
          <w:p w14:paraId="2FB83253" w14:textId="77777777" w:rsidR="00AF183C" w:rsidRPr="00176BAB" w:rsidRDefault="00AF183C">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lang w:eastAsia="en-CA"/>
              </w:rPr>
            </w:pPr>
          </w:p>
        </w:tc>
        <w:tc>
          <w:tcPr>
            <w:tcW w:w="0" w:type="auto"/>
            <w:shd w:val="clear" w:color="auto" w:fill="auto"/>
            <w:hideMark/>
          </w:tcPr>
          <w:p w14:paraId="53E4B84B" w14:textId="5E48AEDE" w:rsidR="00AF183C" w:rsidRPr="00176BAB" w:rsidRDefault="00AF183C" w:rsidP="00B33B1E">
            <w:pPr>
              <w:suppressLineNumbers/>
              <w:tabs>
                <w:tab w:val="left" w:pos="425"/>
              </w:tabs>
              <w:suppressAutoHyphens/>
              <w:kinsoku w:val="0"/>
              <w:overflowPunct w:val="0"/>
              <w:autoSpaceDE w:val="0"/>
              <w:autoSpaceDN w:val="0"/>
              <w:adjustRightInd w:val="0"/>
              <w:snapToGrid w:val="0"/>
              <w:ind w:left="452" w:hanging="452"/>
              <w:jc w:val="left"/>
              <w:rPr>
                <w:snapToGrid w:val="0"/>
                <w:color w:val="000000"/>
                <w:kern w:val="22"/>
                <w:sz w:val="20"/>
                <w:szCs w:val="20"/>
                <w:lang w:eastAsia="en-CA"/>
              </w:rPr>
            </w:pPr>
            <w:r w:rsidRPr="00176BAB">
              <w:rPr>
                <w:snapToGrid w:val="0"/>
                <w:color w:val="000000"/>
                <w:kern w:val="22"/>
                <w:sz w:val="20"/>
                <w:szCs w:val="20"/>
                <w:lang w:bidi="fr-FR"/>
              </w:rPr>
              <w:t>J.</w:t>
            </w:r>
            <w:r w:rsidRPr="00176BAB">
              <w:rPr>
                <w:snapToGrid w:val="0"/>
                <w:color w:val="000000"/>
                <w:kern w:val="22"/>
                <w:sz w:val="20"/>
                <w:szCs w:val="20"/>
                <w:lang w:bidi="fr-FR"/>
              </w:rPr>
              <w:tab/>
              <w:t>Traduction de projets de sites web de centres d’échange d’informations ou/et de sites web</w:t>
            </w:r>
          </w:p>
        </w:tc>
        <w:tc>
          <w:tcPr>
            <w:tcW w:w="0" w:type="auto"/>
            <w:shd w:val="clear" w:color="auto" w:fill="auto"/>
            <w:hideMark/>
          </w:tcPr>
          <w:p w14:paraId="087EE6EC" w14:textId="6C63CF1C"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130,00</w:t>
            </w:r>
          </w:p>
        </w:tc>
        <w:tc>
          <w:tcPr>
            <w:tcW w:w="0" w:type="auto"/>
            <w:shd w:val="clear" w:color="auto" w:fill="auto"/>
          </w:tcPr>
          <w:p w14:paraId="076D9EC4" w14:textId="247CD7AC"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18,50</w:t>
            </w:r>
          </w:p>
        </w:tc>
        <w:tc>
          <w:tcPr>
            <w:tcW w:w="0" w:type="auto"/>
            <w:shd w:val="clear" w:color="auto" w:fill="auto"/>
          </w:tcPr>
          <w:p w14:paraId="13706D11" w14:textId="25461F55"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111,50</w:t>
            </w:r>
          </w:p>
        </w:tc>
      </w:tr>
      <w:tr w:rsidR="00AF183C" w:rsidRPr="00176BAB" w14:paraId="48B1D95F" w14:textId="77777777" w:rsidTr="00B33B1E">
        <w:trPr>
          <w:cantSplit/>
          <w:jc w:val="center"/>
        </w:trPr>
        <w:tc>
          <w:tcPr>
            <w:tcW w:w="0" w:type="auto"/>
          </w:tcPr>
          <w:p w14:paraId="5F6318FB"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4D6BA670" w14:textId="37F22430"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K.</w:t>
            </w:r>
            <w:r w:rsidRPr="00176BAB">
              <w:rPr>
                <w:snapToGrid w:val="0"/>
                <w:color w:val="000000"/>
                <w:kern w:val="22"/>
                <w:sz w:val="20"/>
                <w:szCs w:val="20"/>
                <w:lang w:bidi="fr-FR"/>
              </w:rPr>
              <w:tab/>
              <w:t>Voyage officiels</w:t>
            </w:r>
          </w:p>
        </w:tc>
        <w:tc>
          <w:tcPr>
            <w:tcW w:w="0" w:type="auto"/>
            <w:shd w:val="clear" w:color="auto" w:fill="auto"/>
            <w:hideMark/>
          </w:tcPr>
          <w:p w14:paraId="35DCF792" w14:textId="389C5682"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640,00</w:t>
            </w:r>
          </w:p>
        </w:tc>
        <w:tc>
          <w:tcPr>
            <w:tcW w:w="0" w:type="auto"/>
            <w:shd w:val="clear" w:color="auto" w:fill="auto"/>
          </w:tcPr>
          <w:p w14:paraId="7912708E" w14:textId="23B1350A"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520,00</w:t>
            </w:r>
          </w:p>
        </w:tc>
        <w:tc>
          <w:tcPr>
            <w:tcW w:w="0" w:type="auto"/>
            <w:shd w:val="clear" w:color="auto" w:fill="auto"/>
          </w:tcPr>
          <w:p w14:paraId="5374F397" w14:textId="51888888"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120,00</w:t>
            </w:r>
          </w:p>
        </w:tc>
      </w:tr>
      <w:tr w:rsidR="00AF183C" w:rsidRPr="00176BAB" w14:paraId="6B61953A" w14:textId="77777777" w:rsidTr="00B33B1E">
        <w:trPr>
          <w:cantSplit/>
          <w:jc w:val="center"/>
        </w:trPr>
        <w:tc>
          <w:tcPr>
            <w:tcW w:w="0" w:type="auto"/>
          </w:tcPr>
          <w:p w14:paraId="69729D9C"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69ECF277" w14:textId="2A06FF08"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L.</w:t>
            </w:r>
            <w:r w:rsidRPr="00176BAB">
              <w:rPr>
                <w:snapToGrid w:val="0"/>
                <w:color w:val="000000"/>
                <w:kern w:val="22"/>
                <w:sz w:val="20"/>
                <w:szCs w:val="20"/>
                <w:lang w:bidi="fr-FR"/>
              </w:rPr>
              <w:tab/>
              <w:t>Locations et frais associés</w:t>
            </w:r>
          </w:p>
        </w:tc>
        <w:tc>
          <w:tcPr>
            <w:tcW w:w="0" w:type="auto"/>
            <w:shd w:val="clear" w:color="auto" w:fill="auto"/>
            <w:hideMark/>
          </w:tcPr>
          <w:p w14:paraId="421EC115" w14:textId="096855ED"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2 918,70</w:t>
            </w:r>
          </w:p>
        </w:tc>
        <w:tc>
          <w:tcPr>
            <w:tcW w:w="0" w:type="auto"/>
            <w:shd w:val="clear" w:color="auto" w:fill="auto"/>
          </w:tcPr>
          <w:p w14:paraId="30E21427" w14:textId="25696174"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1 799,70</w:t>
            </w:r>
          </w:p>
        </w:tc>
        <w:tc>
          <w:tcPr>
            <w:tcW w:w="0" w:type="auto"/>
            <w:shd w:val="clear" w:color="auto" w:fill="auto"/>
          </w:tcPr>
          <w:p w14:paraId="6C2BE79E" w14:textId="56CC5AB5"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1 119,00</w:t>
            </w:r>
          </w:p>
        </w:tc>
      </w:tr>
      <w:tr w:rsidR="00AF183C" w:rsidRPr="00176BAB" w14:paraId="1C078FCE" w14:textId="77777777" w:rsidTr="00B33B1E">
        <w:trPr>
          <w:cantSplit/>
          <w:jc w:val="center"/>
        </w:trPr>
        <w:tc>
          <w:tcPr>
            <w:tcW w:w="0" w:type="auto"/>
          </w:tcPr>
          <w:p w14:paraId="5702EB34"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shd w:val="clear" w:color="auto" w:fill="auto"/>
            <w:hideMark/>
          </w:tcPr>
          <w:p w14:paraId="19A6C397" w14:textId="2F011156"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M.</w:t>
            </w:r>
            <w:r w:rsidRPr="00176BAB">
              <w:rPr>
                <w:snapToGrid w:val="0"/>
                <w:color w:val="000000"/>
                <w:kern w:val="22"/>
                <w:sz w:val="20"/>
                <w:szCs w:val="20"/>
                <w:lang w:bidi="fr-FR"/>
              </w:rPr>
              <w:tab/>
              <w:t>Technologie informatique</w:t>
            </w:r>
          </w:p>
        </w:tc>
        <w:tc>
          <w:tcPr>
            <w:tcW w:w="0" w:type="auto"/>
            <w:shd w:val="clear" w:color="auto" w:fill="auto"/>
            <w:hideMark/>
          </w:tcPr>
          <w:p w14:paraId="2DAA3287" w14:textId="48124E40"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130,00</w:t>
            </w:r>
          </w:p>
        </w:tc>
        <w:tc>
          <w:tcPr>
            <w:tcW w:w="0" w:type="auto"/>
            <w:shd w:val="clear" w:color="auto" w:fill="auto"/>
          </w:tcPr>
          <w:p w14:paraId="75612122" w14:textId="49B04170"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32,00</w:t>
            </w:r>
          </w:p>
        </w:tc>
        <w:tc>
          <w:tcPr>
            <w:tcW w:w="0" w:type="auto"/>
            <w:shd w:val="clear" w:color="auto" w:fill="auto"/>
          </w:tcPr>
          <w:p w14:paraId="2A41091E" w14:textId="5FAB44EB"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98,00</w:t>
            </w:r>
          </w:p>
        </w:tc>
      </w:tr>
      <w:tr w:rsidR="00AF183C" w:rsidRPr="00176BAB" w14:paraId="68FB9C8E" w14:textId="77777777" w:rsidTr="00B33B1E">
        <w:trPr>
          <w:cantSplit/>
          <w:jc w:val="center"/>
        </w:trPr>
        <w:tc>
          <w:tcPr>
            <w:tcW w:w="0" w:type="auto"/>
            <w:tcBorders>
              <w:bottom w:val="single" w:sz="12" w:space="0" w:color="auto"/>
            </w:tcBorders>
          </w:tcPr>
          <w:p w14:paraId="7E707B60"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p>
        </w:tc>
        <w:tc>
          <w:tcPr>
            <w:tcW w:w="0" w:type="auto"/>
            <w:tcBorders>
              <w:bottom w:val="single" w:sz="12" w:space="0" w:color="auto"/>
            </w:tcBorders>
            <w:shd w:val="clear" w:color="auto" w:fill="auto"/>
          </w:tcPr>
          <w:p w14:paraId="4524337F" w14:textId="14D6BD20"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N.</w:t>
            </w:r>
            <w:r w:rsidRPr="00176BAB">
              <w:rPr>
                <w:snapToGrid w:val="0"/>
                <w:color w:val="000000"/>
                <w:kern w:val="22"/>
                <w:sz w:val="20"/>
                <w:szCs w:val="20"/>
                <w:lang w:bidi="fr-FR"/>
              </w:rPr>
              <w:tab/>
              <w:t>Frais généraux</w:t>
            </w:r>
          </w:p>
        </w:tc>
        <w:tc>
          <w:tcPr>
            <w:tcW w:w="0" w:type="auto"/>
            <w:tcBorders>
              <w:bottom w:val="single" w:sz="12" w:space="0" w:color="auto"/>
            </w:tcBorders>
            <w:shd w:val="clear" w:color="auto" w:fill="auto"/>
          </w:tcPr>
          <w:p w14:paraId="18D87065" w14:textId="264C1165"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1 453,20</w:t>
            </w:r>
          </w:p>
        </w:tc>
        <w:tc>
          <w:tcPr>
            <w:tcW w:w="0" w:type="auto"/>
            <w:tcBorders>
              <w:bottom w:val="single" w:sz="12" w:space="0" w:color="auto"/>
            </w:tcBorders>
            <w:shd w:val="clear" w:color="auto" w:fill="auto"/>
          </w:tcPr>
          <w:p w14:paraId="425CA3B0" w14:textId="0D221EAA" w:rsidR="00AF183C" w:rsidRPr="00176BAB" w:rsidDel="007439DE"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1 061,70</w:t>
            </w:r>
          </w:p>
        </w:tc>
        <w:tc>
          <w:tcPr>
            <w:tcW w:w="0" w:type="auto"/>
            <w:tcBorders>
              <w:bottom w:val="single" w:sz="12" w:space="0" w:color="auto"/>
            </w:tcBorders>
            <w:shd w:val="clear" w:color="auto" w:fill="auto"/>
          </w:tcPr>
          <w:p w14:paraId="77007E56" w14:textId="521203D4" w:rsidR="00AF183C" w:rsidRPr="00176BAB" w:rsidDel="007439DE"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391,50</w:t>
            </w:r>
          </w:p>
        </w:tc>
      </w:tr>
      <w:tr w:rsidR="00AF183C" w:rsidRPr="00176BAB" w14:paraId="01692C62" w14:textId="77777777" w:rsidTr="00B33B1E">
        <w:trPr>
          <w:cantSplit/>
          <w:jc w:val="center"/>
        </w:trPr>
        <w:tc>
          <w:tcPr>
            <w:tcW w:w="0" w:type="auto"/>
            <w:tcBorders>
              <w:top w:val="single" w:sz="12" w:space="0" w:color="auto"/>
              <w:bottom w:val="single" w:sz="12" w:space="0" w:color="auto"/>
            </w:tcBorders>
          </w:tcPr>
          <w:p w14:paraId="6AFF34E5"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69248562" w14:textId="70FF0F69"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sidRPr="00176BAB">
              <w:rPr>
                <w:b/>
                <w:snapToGrid w:val="0"/>
                <w:color w:val="000000"/>
                <w:kern w:val="22"/>
                <w:sz w:val="20"/>
                <w:szCs w:val="20"/>
                <w:lang w:bidi="fr-FR"/>
              </w:rPr>
              <w:tab/>
              <w:t>Sous-total (I)</w:t>
            </w:r>
          </w:p>
        </w:tc>
        <w:tc>
          <w:tcPr>
            <w:tcW w:w="0" w:type="auto"/>
            <w:tcBorders>
              <w:top w:val="single" w:sz="12" w:space="0" w:color="auto"/>
              <w:bottom w:val="single" w:sz="12" w:space="0" w:color="auto"/>
            </w:tcBorders>
            <w:shd w:val="clear" w:color="auto" w:fill="auto"/>
            <w:hideMark/>
          </w:tcPr>
          <w:p w14:paraId="391DFF9B" w14:textId="6B2EDBB2" w:rsidR="00AF183C" w:rsidRPr="00176BAB"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176BAB">
              <w:rPr>
                <w:b/>
                <w:snapToGrid w:val="0"/>
                <w:color w:val="000000"/>
                <w:kern w:val="22"/>
                <w:sz w:val="20"/>
                <w:szCs w:val="20"/>
                <w:lang w:bidi="fr-FR"/>
              </w:rPr>
              <w:t>36 432,70</w:t>
            </w:r>
          </w:p>
        </w:tc>
        <w:tc>
          <w:tcPr>
            <w:tcW w:w="0" w:type="auto"/>
            <w:tcBorders>
              <w:top w:val="single" w:sz="12" w:space="0" w:color="auto"/>
              <w:bottom w:val="single" w:sz="12" w:space="0" w:color="auto"/>
            </w:tcBorders>
            <w:shd w:val="clear" w:color="auto" w:fill="auto"/>
          </w:tcPr>
          <w:p w14:paraId="4EE3B294" w14:textId="03FF1D11" w:rsidR="00AF183C" w:rsidRPr="00176BAB"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176BAB">
              <w:rPr>
                <w:b/>
                <w:snapToGrid w:val="0"/>
                <w:color w:val="000000"/>
                <w:kern w:val="22"/>
                <w:sz w:val="20"/>
                <w:szCs w:val="20"/>
                <w:lang w:bidi="fr-FR"/>
              </w:rPr>
              <w:t>19 042,10</w:t>
            </w:r>
          </w:p>
        </w:tc>
        <w:tc>
          <w:tcPr>
            <w:tcW w:w="0" w:type="auto"/>
            <w:tcBorders>
              <w:top w:val="single" w:sz="12" w:space="0" w:color="auto"/>
              <w:bottom w:val="single" w:sz="12" w:space="0" w:color="auto"/>
            </w:tcBorders>
            <w:shd w:val="clear" w:color="auto" w:fill="auto"/>
          </w:tcPr>
          <w:p w14:paraId="1046A65E" w14:textId="6D0ADAA2" w:rsidR="00AF183C" w:rsidRPr="00176BAB"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176BAB">
              <w:rPr>
                <w:b/>
                <w:snapToGrid w:val="0"/>
                <w:color w:val="000000"/>
                <w:kern w:val="22"/>
                <w:sz w:val="20"/>
                <w:szCs w:val="20"/>
                <w:lang w:bidi="fr-FR"/>
              </w:rPr>
              <w:t>17 390,60</w:t>
            </w:r>
          </w:p>
        </w:tc>
      </w:tr>
      <w:tr w:rsidR="00AF183C" w:rsidRPr="00176BAB" w14:paraId="467C027D" w14:textId="77777777" w:rsidTr="00B33B1E">
        <w:trPr>
          <w:cantSplit/>
          <w:jc w:val="center"/>
        </w:trPr>
        <w:tc>
          <w:tcPr>
            <w:tcW w:w="0" w:type="auto"/>
            <w:tcBorders>
              <w:top w:val="single" w:sz="12" w:space="0" w:color="auto"/>
              <w:bottom w:val="single" w:sz="12" w:space="0" w:color="auto"/>
            </w:tcBorders>
          </w:tcPr>
          <w:p w14:paraId="46616181" w14:textId="7924D54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II</w:t>
            </w:r>
          </w:p>
        </w:tc>
        <w:tc>
          <w:tcPr>
            <w:tcW w:w="0" w:type="auto"/>
            <w:tcBorders>
              <w:top w:val="single" w:sz="12" w:space="0" w:color="auto"/>
              <w:bottom w:val="single" w:sz="12" w:space="0" w:color="auto"/>
            </w:tcBorders>
            <w:shd w:val="clear" w:color="auto" w:fill="auto"/>
            <w:hideMark/>
          </w:tcPr>
          <w:p w14:paraId="3AD862F9" w14:textId="430BA8E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Dépenses d’appui au programme (13 %)</w:t>
            </w:r>
          </w:p>
        </w:tc>
        <w:tc>
          <w:tcPr>
            <w:tcW w:w="0" w:type="auto"/>
            <w:tcBorders>
              <w:top w:val="single" w:sz="12" w:space="0" w:color="auto"/>
              <w:bottom w:val="single" w:sz="12" w:space="0" w:color="auto"/>
            </w:tcBorders>
            <w:shd w:val="clear" w:color="auto" w:fill="auto"/>
            <w:hideMark/>
          </w:tcPr>
          <w:p w14:paraId="1A59CD37" w14:textId="02B17220"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4 736,20</w:t>
            </w:r>
          </w:p>
        </w:tc>
        <w:tc>
          <w:tcPr>
            <w:tcW w:w="0" w:type="auto"/>
            <w:tcBorders>
              <w:top w:val="single" w:sz="12" w:space="0" w:color="auto"/>
              <w:bottom w:val="single" w:sz="12" w:space="0" w:color="auto"/>
            </w:tcBorders>
            <w:shd w:val="clear" w:color="auto" w:fill="auto"/>
          </w:tcPr>
          <w:p w14:paraId="0222855C" w14:textId="315B8F45"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2 475,50</w:t>
            </w:r>
          </w:p>
        </w:tc>
        <w:tc>
          <w:tcPr>
            <w:tcW w:w="0" w:type="auto"/>
            <w:tcBorders>
              <w:top w:val="single" w:sz="12" w:space="0" w:color="auto"/>
              <w:bottom w:val="single" w:sz="12" w:space="0" w:color="auto"/>
            </w:tcBorders>
            <w:shd w:val="clear" w:color="auto" w:fill="auto"/>
          </w:tcPr>
          <w:p w14:paraId="0162CDC0" w14:textId="20940C61"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2 260,70</w:t>
            </w:r>
          </w:p>
        </w:tc>
      </w:tr>
      <w:tr w:rsidR="00AF183C" w:rsidRPr="00176BAB" w14:paraId="71567E28" w14:textId="77777777" w:rsidTr="00B33B1E">
        <w:trPr>
          <w:cantSplit/>
          <w:jc w:val="center"/>
        </w:trPr>
        <w:tc>
          <w:tcPr>
            <w:tcW w:w="0" w:type="auto"/>
            <w:tcBorders>
              <w:top w:val="single" w:sz="12" w:space="0" w:color="auto"/>
              <w:bottom w:val="single" w:sz="12" w:space="0" w:color="auto"/>
            </w:tcBorders>
          </w:tcPr>
          <w:p w14:paraId="2F00FE31"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1E7847AE" w14:textId="6AABB58F"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sidRPr="00176BAB">
              <w:rPr>
                <w:b/>
                <w:snapToGrid w:val="0"/>
                <w:color w:val="000000"/>
                <w:kern w:val="22"/>
                <w:sz w:val="20"/>
                <w:szCs w:val="20"/>
                <w:lang w:bidi="fr-FR"/>
              </w:rPr>
              <w:tab/>
              <w:t>Sous-total (I + II)</w:t>
            </w:r>
          </w:p>
        </w:tc>
        <w:tc>
          <w:tcPr>
            <w:tcW w:w="0" w:type="auto"/>
            <w:tcBorders>
              <w:top w:val="single" w:sz="12" w:space="0" w:color="auto"/>
              <w:bottom w:val="single" w:sz="12" w:space="0" w:color="auto"/>
            </w:tcBorders>
            <w:shd w:val="clear" w:color="auto" w:fill="auto"/>
            <w:hideMark/>
          </w:tcPr>
          <w:p w14:paraId="07628F84" w14:textId="3FE18270" w:rsidR="00AF183C" w:rsidRPr="00176BAB"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176BAB">
              <w:rPr>
                <w:b/>
                <w:snapToGrid w:val="0"/>
                <w:color w:val="000000"/>
                <w:kern w:val="22"/>
                <w:sz w:val="20"/>
                <w:szCs w:val="20"/>
                <w:lang w:bidi="fr-FR"/>
              </w:rPr>
              <w:t>41 168,90</w:t>
            </w:r>
          </w:p>
        </w:tc>
        <w:tc>
          <w:tcPr>
            <w:tcW w:w="0" w:type="auto"/>
            <w:tcBorders>
              <w:top w:val="single" w:sz="12" w:space="0" w:color="auto"/>
              <w:bottom w:val="single" w:sz="12" w:space="0" w:color="auto"/>
            </w:tcBorders>
            <w:shd w:val="clear" w:color="auto" w:fill="auto"/>
          </w:tcPr>
          <w:p w14:paraId="6B28825C" w14:textId="5861245C" w:rsidR="00AF183C" w:rsidRPr="00176BAB"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176BAB">
              <w:rPr>
                <w:b/>
                <w:snapToGrid w:val="0"/>
                <w:color w:val="000000"/>
                <w:kern w:val="22"/>
                <w:sz w:val="20"/>
                <w:szCs w:val="20"/>
                <w:lang w:bidi="fr-FR"/>
              </w:rPr>
              <w:t>21 517,60</w:t>
            </w:r>
          </w:p>
        </w:tc>
        <w:tc>
          <w:tcPr>
            <w:tcW w:w="0" w:type="auto"/>
            <w:tcBorders>
              <w:top w:val="single" w:sz="12" w:space="0" w:color="auto"/>
              <w:bottom w:val="single" w:sz="12" w:space="0" w:color="auto"/>
            </w:tcBorders>
            <w:shd w:val="clear" w:color="auto" w:fill="auto"/>
          </w:tcPr>
          <w:p w14:paraId="0C1DE13C" w14:textId="636FCD3D" w:rsidR="00AF183C" w:rsidRPr="00176BAB"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176BAB">
              <w:rPr>
                <w:b/>
                <w:snapToGrid w:val="0"/>
                <w:color w:val="000000"/>
                <w:kern w:val="22"/>
                <w:sz w:val="20"/>
                <w:szCs w:val="20"/>
                <w:lang w:bidi="fr-FR"/>
              </w:rPr>
              <w:t>19 651,30</w:t>
            </w:r>
          </w:p>
        </w:tc>
      </w:tr>
      <w:tr w:rsidR="00AF183C" w:rsidRPr="00176BAB" w14:paraId="78377C74" w14:textId="77777777" w:rsidTr="00B33B1E">
        <w:trPr>
          <w:cantSplit/>
          <w:jc w:val="center"/>
        </w:trPr>
        <w:tc>
          <w:tcPr>
            <w:tcW w:w="0" w:type="auto"/>
            <w:tcBorders>
              <w:top w:val="single" w:sz="12" w:space="0" w:color="auto"/>
              <w:bottom w:val="single" w:sz="12" w:space="0" w:color="auto"/>
            </w:tcBorders>
          </w:tcPr>
          <w:p w14:paraId="3CD9DA3F" w14:textId="20828ECE"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III</w:t>
            </w:r>
          </w:p>
        </w:tc>
        <w:tc>
          <w:tcPr>
            <w:tcW w:w="0" w:type="auto"/>
            <w:tcBorders>
              <w:top w:val="single" w:sz="12" w:space="0" w:color="auto"/>
              <w:bottom w:val="single" w:sz="12" w:space="0" w:color="auto"/>
            </w:tcBorders>
            <w:shd w:val="clear" w:color="auto" w:fill="auto"/>
            <w:hideMark/>
          </w:tcPr>
          <w:p w14:paraId="1E32A9B0" w14:textId="5321822A"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snapToGrid w:val="0"/>
                <w:color w:val="000000"/>
                <w:kern w:val="22"/>
                <w:sz w:val="20"/>
                <w:szCs w:val="20"/>
                <w:lang w:eastAsia="en-CA"/>
              </w:rPr>
            </w:pPr>
            <w:r w:rsidRPr="00176BAB">
              <w:rPr>
                <w:snapToGrid w:val="0"/>
                <w:color w:val="000000"/>
                <w:kern w:val="22"/>
                <w:sz w:val="20"/>
                <w:szCs w:val="20"/>
                <w:lang w:bidi="fr-FR"/>
              </w:rPr>
              <w:t>Réserve de trésorerie</w:t>
            </w:r>
          </w:p>
        </w:tc>
        <w:tc>
          <w:tcPr>
            <w:tcW w:w="0" w:type="auto"/>
            <w:tcBorders>
              <w:top w:val="single" w:sz="12" w:space="0" w:color="auto"/>
              <w:bottom w:val="single" w:sz="12" w:space="0" w:color="auto"/>
            </w:tcBorders>
            <w:shd w:val="clear" w:color="auto" w:fill="auto"/>
            <w:hideMark/>
          </w:tcPr>
          <w:p w14:paraId="18A480CF" w14:textId="02EDFD5D" w:rsidR="00AF183C" w:rsidRPr="00176BAB" w:rsidRDefault="00AF183C" w:rsidP="00B33B1E">
            <w:pPr>
              <w:suppressLineNumbers/>
              <w:suppressAutoHyphens/>
              <w:kinsoku w:val="0"/>
              <w:overflowPunct w:val="0"/>
              <w:autoSpaceDE w:val="0"/>
              <w:autoSpaceDN w:val="0"/>
              <w:adjustRightInd w:val="0"/>
              <w:snapToGrid w:val="0"/>
              <w:ind w:right="79"/>
              <w:jc w:val="right"/>
              <w:rPr>
                <w:snapToGrid w:val="0"/>
                <w:color w:val="000000"/>
                <w:kern w:val="22"/>
                <w:sz w:val="20"/>
                <w:szCs w:val="20"/>
                <w:lang w:eastAsia="en-CA"/>
              </w:rPr>
            </w:pPr>
            <w:r w:rsidRPr="00176BAB">
              <w:rPr>
                <w:snapToGrid w:val="0"/>
                <w:color w:val="000000"/>
                <w:kern w:val="22"/>
                <w:sz w:val="20"/>
                <w:szCs w:val="20"/>
                <w:lang w:bidi="fr-FR"/>
              </w:rPr>
              <w:t>477,20</w:t>
            </w:r>
          </w:p>
        </w:tc>
        <w:tc>
          <w:tcPr>
            <w:tcW w:w="0" w:type="auto"/>
            <w:tcBorders>
              <w:top w:val="single" w:sz="12" w:space="0" w:color="auto"/>
              <w:bottom w:val="single" w:sz="12" w:space="0" w:color="auto"/>
            </w:tcBorders>
            <w:shd w:val="clear" w:color="auto" w:fill="auto"/>
          </w:tcPr>
          <w:p w14:paraId="79EE3DB1" w14:textId="58017626" w:rsidR="00AF183C" w:rsidRPr="00176BAB" w:rsidRDefault="00AF183C" w:rsidP="00B33B1E">
            <w:pPr>
              <w:suppressLineNumbers/>
              <w:suppressAutoHyphens/>
              <w:kinsoku w:val="0"/>
              <w:overflowPunct w:val="0"/>
              <w:autoSpaceDE w:val="0"/>
              <w:autoSpaceDN w:val="0"/>
              <w:adjustRightInd w:val="0"/>
              <w:snapToGrid w:val="0"/>
              <w:jc w:val="right"/>
              <w:rPr>
                <w:snapToGrid w:val="0"/>
                <w:color w:val="000000"/>
                <w:kern w:val="22"/>
                <w:sz w:val="20"/>
                <w:szCs w:val="20"/>
                <w:lang w:eastAsia="en-CA"/>
              </w:rPr>
            </w:pPr>
            <w:r w:rsidRPr="00176BAB">
              <w:rPr>
                <w:snapToGrid w:val="0"/>
                <w:color w:val="000000"/>
                <w:kern w:val="22"/>
                <w:sz w:val="20"/>
                <w:szCs w:val="20"/>
                <w:lang w:bidi="fr-FR"/>
              </w:rPr>
              <w:t>477,20</w:t>
            </w:r>
          </w:p>
        </w:tc>
        <w:tc>
          <w:tcPr>
            <w:tcW w:w="0" w:type="auto"/>
            <w:tcBorders>
              <w:top w:val="single" w:sz="12" w:space="0" w:color="auto"/>
              <w:bottom w:val="single" w:sz="12" w:space="0" w:color="auto"/>
            </w:tcBorders>
            <w:shd w:val="clear" w:color="auto" w:fill="auto"/>
          </w:tcPr>
          <w:p w14:paraId="43C1ADDB" w14:textId="478B5967" w:rsidR="00AF183C" w:rsidRPr="00176BAB" w:rsidRDefault="00AF183C" w:rsidP="00B33B1E">
            <w:pPr>
              <w:suppressLineNumbers/>
              <w:suppressAutoHyphens/>
              <w:kinsoku w:val="0"/>
              <w:overflowPunct w:val="0"/>
              <w:autoSpaceDE w:val="0"/>
              <w:autoSpaceDN w:val="0"/>
              <w:adjustRightInd w:val="0"/>
              <w:snapToGrid w:val="0"/>
              <w:ind w:right="38"/>
              <w:jc w:val="right"/>
              <w:rPr>
                <w:snapToGrid w:val="0"/>
                <w:color w:val="000000"/>
                <w:kern w:val="22"/>
                <w:sz w:val="20"/>
                <w:szCs w:val="20"/>
                <w:lang w:eastAsia="en-CA"/>
              </w:rPr>
            </w:pPr>
            <w:r w:rsidRPr="00176BAB">
              <w:rPr>
                <w:snapToGrid w:val="0"/>
                <w:color w:val="000000"/>
                <w:kern w:val="22"/>
                <w:sz w:val="20"/>
                <w:szCs w:val="20"/>
                <w:lang w:bidi="fr-FR"/>
              </w:rPr>
              <w:t>–</w:t>
            </w:r>
          </w:p>
        </w:tc>
      </w:tr>
      <w:tr w:rsidR="00AF183C" w:rsidRPr="00176BAB" w14:paraId="56F8BB5A" w14:textId="77777777" w:rsidTr="00B33B1E">
        <w:trPr>
          <w:cantSplit/>
          <w:jc w:val="center"/>
        </w:trPr>
        <w:tc>
          <w:tcPr>
            <w:tcW w:w="0" w:type="auto"/>
            <w:tcBorders>
              <w:top w:val="single" w:sz="12" w:space="0" w:color="auto"/>
              <w:bottom w:val="single" w:sz="12" w:space="0" w:color="auto"/>
            </w:tcBorders>
          </w:tcPr>
          <w:p w14:paraId="411284EE" w14:textId="77777777"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p>
        </w:tc>
        <w:tc>
          <w:tcPr>
            <w:tcW w:w="0" w:type="auto"/>
            <w:tcBorders>
              <w:top w:val="single" w:sz="12" w:space="0" w:color="auto"/>
              <w:bottom w:val="single" w:sz="12" w:space="0" w:color="auto"/>
            </w:tcBorders>
            <w:shd w:val="clear" w:color="auto" w:fill="auto"/>
            <w:hideMark/>
          </w:tcPr>
          <w:p w14:paraId="03AE5C70" w14:textId="47F19D95" w:rsidR="00AF183C" w:rsidRPr="00176BAB" w:rsidRDefault="00AF183C" w:rsidP="00BF6BF7">
            <w:pPr>
              <w:suppressLineNumbers/>
              <w:tabs>
                <w:tab w:val="left" w:pos="425"/>
              </w:tabs>
              <w:suppressAutoHyphens/>
              <w:kinsoku w:val="0"/>
              <w:overflowPunct w:val="0"/>
              <w:autoSpaceDE w:val="0"/>
              <w:autoSpaceDN w:val="0"/>
              <w:adjustRightInd w:val="0"/>
              <w:snapToGrid w:val="0"/>
              <w:jc w:val="left"/>
              <w:rPr>
                <w:b/>
                <w:bCs/>
                <w:snapToGrid w:val="0"/>
                <w:color w:val="000000"/>
                <w:kern w:val="22"/>
                <w:sz w:val="20"/>
                <w:szCs w:val="20"/>
                <w:lang w:eastAsia="en-CA"/>
              </w:rPr>
            </w:pPr>
            <w:r w:rsidRPr="00176BAB">
              <w:rPr>
                <w:b/>
                <w:snapToGrid w:val="0"/>
                <w:color w:val="000000"/>
                <w:kern w:val="22"/>
                <w:sz w:val="20"/>
                <w:szCs w:val="20"/>
                <w:lang w:bidi="fr-FR"/>
              </w:rPr>
              <w:tab/>
              <w:t>Total (I + II + III)</w:t>
            </w:r>
          </w:p>
        </w:tc>
        <w:tc>
          <w:tcPr>
            <w:tcW w:w="0" w:type="auto"/>
            <w:tcBorders>
              <w:top w:val="single" w:sz="12" w:space="0" w:color="auto"/>
              <w:bottom w:val="single" w:sz="12" w:space="0" w:color="auto"/>
            </w:tcBorders>
            <w:shd w:val="clear" w:color="auto" w:fill="auto"/>
            <w:hideMark/>
          </w:tcPr>
          <w:p w14:paraId="531CF68C" w14:textId="56C71F83" w:rsidR="00AF183C" w:rsidRPr="00176BAB" w:rsidRDefault="00AF183C" w:rsidP="00B33B1E">
            <w:pPr>
              <w:suppressLineNumbers/>
              <w:suppressAutoHyphens/>
              <w:kinsoku w:val="0"/>
              <w:overflowPunct w:val="0"/>
              <w:autoSpaceDE w:val="0"/>
              <w:autoSpaceDN w:val="0"/>
              <w:adjustRightInd w:val="0"/>
              <w:snapToGrid w:val="0"/>
              <w:ind w:right="79"/>
              <w:jc w:val="right"/>
              <w:rPr>
                <w:b/>
                <w:bCs/>
                <w:snapToGrid w:val="0"/>
                <w:color w:val="000000"/>
                <w:kern w:val="22"/>
                <w:sz w:val="20"/>
                <w:szCs w:val="20"/>
                <w:lang w:eastAsia="en-CA"/>
              </w:rPr>
            </w:pPr>
            <w:r w:rsidRPr="00176BAB">
              <w:rPr>
                <w:b/>
                <w:snapToGrid w:val="0"/>
                <w:color w:val="000000"/>
                <w:kern w:val="22"/>
                <w:sz w:val="20"/>
                <w:szCs w:val="20"/>
                <w:lang w:bidi="fr-FR"/>
              </w:rPr>
              <w:t>41 616,10</w:t>
            </w:r>
          </w:p>
        </w:tc>
        <w:tc>
          <w:tcPr>
            <w:tcW w:w="0" w:type="auto"/>
            <w:tcBorders>
              <w:top w:val="single" w:sz="12" w:space="0" w:color="auto"/>
              <w:bottom w:val="single" w:sz="12" w:space="0" w:color="auto"/>
            </w:tcBorders>
            <w:shd w:val="clear" w:color="auto" w:fill="auto"/>
          </w:tcPr>
          <w:p w14:paraId="192B4C1A" w14:textId="1B373CD1" w:rsidR="00AF183C" w:rsidRPr="00176BAB" w:rsidRDefault="00AF183C" w:rsidP="00B33B1E">
            <w:pPr>
              <w:suppressLineNumbers/>
              <w:suppressAutoHyphens/>
              <w:kinsoku w:val="0"/>
              <w:overflowPunct w:val="0"/>
              <w:autoSpaceDE w:val="0"/>
              <w:autoSpaceDN w:val="0"/>
              <w:adjustRightInd w:val="0"/>
              <w:snapToGrid w:val="0"/>
              <w:jc w:val="right"/>
              <w:rPr>
                <w:b/>
                <w:bCs/>
                <w:snapToGrid w:val="0"/>
                <w:color w:val="000000"/>
                <w:kern w:val="22"/>
                <w:sz w:val="20"/>
                <w:szCs w:val="20"/>
                <w:lang w:eastAsia="en-CA"/>
              </w:rPr>
            </w:pPr>
            <w:r w:rsidRPr="00176BAB">
              <w:rPr>
                <w:b/>
                <w:snapToGrid w:val="0"/>
                <w:color w:val="000000"/>
                <w:kern w:val="22"/>
                <w:sz w:val="20"/>
                <w:szCs w:val="20"/>
                <w:lang w:bidi="fr-FR"/>
              </w:rPr>
              <w:t>21 994,80</w:t>
            </w:r>
          </w:p>
        </w:tc>
        <w:tc>
          <w:tcPr>
            <w:tcW w:w="0" w:type="auto"/>
            <w:tcBorders>
              <w:top w:val="single" w:sz="12" w:space="0" w:color="auto"/>
              <w:bottom w:val="single" w:sz="12" w:space="0" w:color="auto"/>
            </w:tcBorders>
            <w:shd w:val="clear" w:color="auto" w:fill="auto"/>
          </w:tcPr>
          <w:p w14:paraId="2D1342DC" w14:textId="3124CFAE" w:rsidR="00AF183C" w:rsidRPr="00176BAB" w:rsidRDefault="00AF183C" w:rsidP="00B33B1E">
            <w:pPr>
              <w:suppressLineNumbers/>
              <w:suppressAutoHyphens/>
              <w:kinsoku w:val="0"/>
              <w:overflowPunct w:val="0"/>
              <w:autoSpaceDE w:val="0"/>
              <w:autoSpaceDN w:val="0"/>
              <w:adjustRightInd w:val="0"/>
              <w:snapToGrid w:val="0"/>
              <w:ind w:right="38"/>
              <w:jc w:val="right"/>
              <w:rPr>
                <w:b/>
                <w:bCs/>
                <w:snapToGrid w:val="0"/>
                <w:color w:val="000000"/>
                <w:kern w:val="22"/>
                <w:sz w:val="20"/>
                <w:szCs w:val="20"/>
                <w:lang w:eastAsia="en-CA"/>
              </w:rPr>
            </w:pPr>
            <w:r w:rsidRPr="00176BAB">
              <w:rPr>
                <w:b/>
                <w:snapToGrid w:val="0"/>
                <w:color w:val="000000"/>
                <w:kern w:val="22"/>
                <w:sz w:val="20"/>
                <w:szCs w:val="20"/>
                <w:lang w:bidi="fr-FR"/>
              </w:rPr>
              <w:t>19 651,30</w:t>
            </w:r>
          </w:p>
        </w:tc>
      </w:tr>
    </w:tbl>
    <w:p w14:paraId="5C7426A1" w14:textId="77777777" w:rsidR="000D4DA8" w:rsidRPr="00176BAB" w:rsidRDefault="000D4DA8" w:rsidP="00BF6BF7">
      <w:pPr>
        <w:pStyle w:val="Paragraphedeliste"/>
        <w:suppressLineNumbers/>
        <w:suppressAutoHyphens/>
        <w:kinsoku w:val="0"/>
        <w:overflowPunct w:val="0"/>
        <w:autoSpaceDE w:val="0"/>
        <w:autoSpaceDN w:val="0"/>
        <w:adjustRightInd w:val="0"/>
        <w:snapToGrid w:val="0"/>
        <w:ind w:left="0"/>
        <w:contextualSpacing w:val="0"/>
        <w:rPr>
          <w:rFonts w:eastAsia="Malgun Gothic"/>
          <w:iCs/>
          <w:snapToGrid w:val="0"/>
          <w:color w:val="000000"/>
          <w:kern w:val="22"/>
          <w:szCs w:val="22"/>
          <w:lang w:eastAsia="ko-KR"/>
        </w:rPr>
      </w:pPr>
    </w:p>
    <w:p w14:paraId="6EFAD344" w14:textId="0682BCAF" w:rsidR="000D4DA8" w:rsidRPr="00176BAB" w:rsidRDefault="000D4DA8" w:rsidP="00FE7DD7">
      <w:pPr>
        <w:pStyle w:val="Titre2"/>
        <w:numPr>
          <w:ilvl w:val="0"/>
          <w:numId w:val="11"/>
        </w:numPr>
        <w:suppressLineNumbers/>
        <w:suppressAutoHyphens/>
        <w:kinsoku w:val="0"/>
        <w:overflowPunct w:val="0"/>
        <w:autoSpaceDE w:val="0"/>
        <w:autoSpaceDN w:val="0"/>
        <w:adjustRightInd w:val="0"/>
        <w:snapToGrid w:val="0"/>
        <w:ind w:left="567" w:hanging="567"/>
        <w:rPr>
          <w:rFonts w:eastAsia="Malgun Gothic"/>
          <w:iCs/>
          <w:snapToGrid w:val="0"/>
          <w:kern w:val="22"/>
          <w:szCs w:val="22"/>
          <w:lang w:eastAsia="ko-KR"/>
        </w:rPr>
      </w:pPr>
      <w:r w:rsidRPr="00176BAB">
        <w:rPr>
          <w:rFonts w:eastAsia="Malgun Gothic"/>
          <w:snapToGrid w:val="0"/>
          <w:kern w:val="22"/>
          <w:szCs w:val="22"/>
          <w:lang w:bidi="fr-FR"/>
        </w:rPr>
        <w:t>Fonds d’affectation spéciale volontaire à l’appui d’activités approuvées pour la période 2019</w:t>
      </w:r>
      <w:r w:rsidR="00197592" w:rsidRPr="00176BAB">
        <w:rPr>
          <w:lang w:bidi="fr-FR"/>
        </w:rPr>
        <w:t>-</w:t>
      </w:r>
      <w:r w:rsidRPr="00176BAB">
        <w:rPr>
          <w:rFonts w:eastAsia="Malgun Gothic"/>
          <w:snapToGrid w:val="0"/>
          <w:kern w:val="22"/>
          <w:szCs w:val="22"/>
          <w:lang w:bidi="fr-FR"/>
        </w:rPr>
        <w:t>2020</w:t>
      </w:r>
    </w:p>
    <w:p w14:paraId="2787BD4F" w14:textId="2672DE0D" w:rsidR="000D4DA8" w:rsidRPr="00176BAB" w:rsidRDefault="000D4DA8" w:rsidP="00FE7DD7">
      <w:pPr>
        <w:pStyle w:val="Para10"/>
        <w:rPr>
          <w:lang w:val="fr-FR"/>
        </w:rPr>
      </w:pPr>
      <w:r w:rsidRPr="00176BAB">
        <w:rPr>
          <w:lang w:val="fr-FR" w:bidi="fr-FR"/>
        </w:rPr>
        <w:t>La Conférence des Parties et la Conférence des Parties siégeant en tant que réunions des Parties aux Protocoles ont pris acte des estimations de financement de 22 207 099 </w:t>
      </w:r>
      <w:r w:rsidR="00176BAB">
        <w:rPr>
          <w:lang w:val="fr-FR" w:bidi="fr-FR"/>
        </w:rPr>
        <w:t>dollars US</w:t>
      </w:r>
      <w:r w:rsidRPr="00176BAB">
        <w:rPr>
          <w:lang w:val="fr-FR" w:bidi="fr-FR"/>
        </w:rPr>
        <w:t xml:space="preserve"> pour le fonds d’affectation spéciale en contributions volontaires additionnelles à l’appui d’activités approuvées au titre de la Convention et de ses Protocoles (fonds d’affectation spéciale BE) pour la période 2023-2024.</w:t>
      </w:r>
    </w:p>
    <w:p w14:paraId="1CA850BB" w14:textId="265D489E" w:rsidR="00D903C6" w:rsidRPr="00176BAB" w:rsidRDefault="000D4DA8" w:rsidP="00FE7DD7">
      <w:pPr>
        <w:pStyle w:val="Para10"/>
        <w:rPr>
          <w:lang w:val="fr-FR"/>
        </w:rPr>
      </w:pPr>
      <w:r w:rsidRPr="00176BAB">
        <w:rPr>
          <w:lang w:val="fr-FR" w:bidi="fr-FR"/>
        </w:rPr>
        <w:t xml:space="preserve">Au 29 février 2024, des contributions d’un montant de 13 millions de </w:t>
      </w:r>
      <w:r w:rsidR="00176BAB">
        <w:rPr>
          <w:lang w:val="fr-FR" w:bidi="fr-FR"/>
        </w:rPr>
        <w:t>dollars US</w:t>
      </w:r>
      <w:r w:rsidRPr="00176BAB">
        <w:rPr>
          <w:lang w:val="fr-FR" w:bidi="fr-FR"/>
        </w:rPr>
        <w:t xml:space="preserve"> avaient été reçues pour le fonds d’affectation spéciale BE. Ce montant comprenait 8,9 millions de </w:t>
      </w:r>
      <w:r w:rsidR="00176BAB">
        <w:rPr>
          <w:lang w:val="fr-FR" w:bidi="fr-FR"/>
        </w:rPr>
        <w:t>dollars US</w:t>
      </w:r>
      <w:r w:rsidRPr="00176BAB">
        <w:rPr>
          <w:lang w:val="fr-FR" w:bidi="fr-FR"/>
        </w:rPr>
        <w:t xml:space="preserve"> provenant des engagements pluriannuels des gouvernements du Canada, du Danemark, du Japon (par l’intermédiaire du Fonds japonais pour la biodiversité) et de la Norvège, ainsi que de l’Union européenne. Les domaines d’activité pour lesquels les contributions volontaires sont les plus importantes sont énumérés dans le tableau 4.</w:t>
      </w:r>
    </w:p>
    <w:p w14:paraId="0D66D401" w14:textId="77777777" w:rsidR="00CA4CC8" w:rsidRPr="00176BAB" w:rsidRDefault="00CA4CC8" w:rsidP="00B33B1E">
      <w:pPr>
        <w:suppressLineNumbers/>
        <w:suppressAutoHyphens/>
        <w:kinsoku w:val="0"/>
        <w:overflowPunct w:val="0"/>
        <w:autoSpaceDE w:val="0"/>
        <w:autoSpaceDN w:val="0"/>
        <w:adjustRightInd w:val="0"/>
        <w:snapToGrid w:val="0"/>
        <w:ind w:left="567"/>
        <w:rPr>
          <w:snapToGrid w:val="0"/>
          <w:kern w:val="22"/>
          <w:szCs w:val="22"/>
          <w:lang w:bidi="fr-FR"/>
        </w:rPr>
      </w:pPr>
    </w:p>
    <w:p w14:paraId="7695AD03" w14:textId="77777777" w:rsidR="00CA4CC8" w:rsidRPr="00176BAB" w:rsidRDefault="00CA4CC8" w:rsidP="00B33B1E">
      <w:pPr>
        <w:suppressLineNumbers/>
        <w:suppressAutoHyphens/>
        <w:kinsoku w:val="0"/>
        <w:overflowPunct w:val="0"/>
        <w:autoSpaceDE w:val="0"/>
        <w:autoSpaceDN w:val="0"/>
        <w:adjustRightInd w:val="0"/>
        <w:snapToGrid w:val="0"/>
        <w:ind w:left="567"/>
        <w:rPr>
          <w:snapToGrid w:val="0"/>
          <w:kern w:val="22"/>
          <w:szCs w:val="22"/>
          <w:lang w:bidi="fr-FR"/>
        </w:rPr>
      </w:pPr>
    </w:p>
    <w:p w14:paraId="0DF009FD" w14:textId="3CDFF3B8" w:rsidR="00DE6900" w:rsidRPr="00176BAB" w:rsidRDefault="00DE6900" w:rsidP="00B33B1E">
      <w:pPr>
        <w:suppressLineNumbers/>
        <w:suppressAutoHyphens/>
        <w:kinsoku w:val="0"/>
        <w:overflowPunct w:val="0"/>
        <w:autoSpaceDE w:val="0"/>
        <w:autoSpaceDN w:val="0"/>
        <w:adjustRightInd w:val="0"/>
        <w:snapToGrid w:val="0"/>
        <w:ind w:left="567"/>
        <w:rPr>
          <w:snapToGrid w:val="0"/>
          <w:kern w:val="22"/>
          <w:szCs w:val="22"/>
        </w:rPr>
      </w:pPr>
      <w:r w:rsidRPr="00176BAB">
        <w:rPr>
          <w:snapToGrid w:val="0"/>
          <w:kern w:val="22"/>
          <w:szCs w:val="22"/>
          <w:lang w:bidi="fr-FR"/>
        </w:rPr>
        <w:lastRenderedPageBreak/>
        <w:t>Tableau 4</w:t>
      </w:r>
    </w:p>
    <w:p w14:paraId="4BC79BE7" w14:textId="0F331E9C" w:rsidR="00DE6900" w:rsidRPr="00176BAB" w:rsidRDefault="00977BC4" w:rsidP="00B33B1E">
      <w:pPr>
        <w:ind w:left="562"/>
        <w:rPr>
          <w:b/>
          <w:bCs/>
        </w:rPr>
      </w:pPr>
      <w:r w:rsidRPr="00176BAB">
        <w:rPr>
          <w:b/>
          <w:lang w:bidi="fr-FR"/>
        </w:rPr>
        <w:t>Domaines d’activité pour lesquels les contributions volontaires sont les plus importantes</w:t>
      </w:r>
    </w:p>
    <w:p w14:paraId="1AB24FE4" w14:textId="32E94C0D" w:rsidR="00AD7FBF" w:rsidRPr="00176BAB" w:rsidRDefault="00AD7FBF" w:rsidP="00B33B1E">
      <w:pPr>
        <w:spacing w:after="120"/>
        <w:ind w:left="567"/>
        <w:rPr>
          <w:sz w:val="18"/>
          <w:szCs w:val="18"/>
        </w:rPr>
      </w:pPr>
      <w:r w:rsidRPr="00176BAB">
        <w:rPr>
          <w:sz w:val="18"/>
          <w:szCs w:val="18"/>
          <w:lang w:bidi="fr-FR"/>
        </w:rPr>
        <w:t>(En milliers de dollars US)</w:t>
      </w:r>
    </w:p>
    <w:tbl>
      <w:tblPr>
        <w:tblStyle w:val="Grilledutableau"/>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2"/>
        <w:gridCol w:w="2054"/>
      </w:tblGrid>
      <w:tr w:rsidR="005F7E0B" w:rsidRPr="00176BAB" w14:paraId="2F760FB9" w14:textId="77777777" w:rsidTr="005F7E0B">
        <w:trPr>
          <w:tblHeader/>
        </w:trPr>
        <w:tc>
          <w:tcPr>
            <w:tcW w:w="0" w:type="auto"/>
            <w:tcBorders>
              <w:top w:val="single" w:sz="12" w:space="0" w:color="auto"/>
              <w:bottom w:val="single" w:sz="12" w:space="0" w:color="auto"/>
            </w:tcBorders>
          </w:tcPr>
          <w:p w14:paraId="2880F919" w14:textId="255DC8A6" w:rsidR="00103F5F" w:rsidRPr="00176BAB" w:rsidRDefault="00103F5F" w:rsidP="00B33B1E">
            <w:pPr>
              <w:jc w:val="left"/>
              <w:rPr>
                <w:rFonts w:cs="Times New Roman"/>
                <w:i/>
                <w:iCs/>
                <w:sz w:val="20"/>
                <w:szCs w:val="20"/>
              </w:rPr>
            </w:pPr>
            <w:r w:rsidRPr="00176BAB">
              <w:rPr>
                <w:i/>
                <w:color w:val="000000"/>
                <w:sz w:val="20"/>
                <w:szCs w:val="20"/>
                <w:lang w:bidi="fr-FR"/>
              </w:rPr>
              <w:t>Domaine thématique</w:t>
            </w:r>
          </w:p>
        </w:tc>
        <w:tc>
          <w:tcPr>
            <w:tcW w:w="0" w:type="auto"/>
            <w:tcBorders>
              <w:top w:val="single" w:sz="12" w:space="0" w:color="auto"/>
              <w:bottom w:val="single" w:sz="12" w:space="0" w:color="auto"/>
            </w:tcBorders>
            <w:vAlign w:val="bottom"/>
          </w:tcPr>
          <w:p w14:paraId="76E0F724" w14:textId="3D0AC761" w:rsidR="00103F5F" w:rsidRPr="00176BAB" w:rsidRDefault="00103F5F" w:rsidP="00B33B1E">
            <w:pPr>
              <w:jc w:val="right"/>
              <w:rPr>
                <w:rFonts w:cs="Times New Roman"/>
                <w:i/>
                <w:iCs/>
                <w:sz w:val="20"/>
                <w:szCs w:val="20"/>
              </w:rPr>
            </w:pPr>
            <w:r w:rsidRPr="00176BAB">
              <w:rPr>
                <w:i/>
                <w:color w:val="000000"/>
                <w:sz w:val="20"/>
                <w:szCs w:val="20"/>
                <w:lang w:bidi="fr-FR"/>
              </w:rPr>
              <w:t>Total des contributions</w:t>
            </w:r>
          </w:p>
        </w:tc>
      </w:tr>
      <w:tr w:rsidR="005F7E0B" w:rsidRPr="00176BAB" w14:paraId="0BB7B3FB" w14:textId="77777777" w:rsidTr="005F7E0B">
        <w:tc>
          <w:tcPr>
            <w:tcW w:w="0" w:type="auto"/>
            <w:tcBorders>
              <w:top w:val="single" w:sz="12" w:space="0" w:color="auto"/>
            </w:tcBorders>
            <w:vAlign w:val="bottom"/>
          </w:tcPr>
          <w:p w14:paraId="5F45F88F" w14:textId="58503AAF" w:rsidR="006D2ABA" w:rsidRPr="00176BAB" w:rsidRDefault="006D2ABA" w:rsidP="006D2ABA">
            <w:pPr>
              <w:rPr>
                <w:rFonts w:cs="Times New Roman"/>
                <w:sz w:val="20"/>
                <w:szCs w:val="20"/>
              </w:rPr>
            </w:pPr>
            <w:r w:rsidRPr="00176BAB">
              <w:rPr>
                <w:color w:val="000000"/>
                <w:sz w:val="20"/>
                <w:szCs w:val="20"/>
                <w:lang w:bidi="fr-FR"/>
              </w:rPr>
              <w:t>Aires protégées</w:t>
            </w:r>
          </w:p>
        </w:tc>
        <w:tc>
          <w:tcPr>
            <w:tcW w:w="0" w:type="auto"/>
            <w:tcBorders>
              <w:top w:val="single" w:sz="12" w:space="0" w:color="auto"/>
            </w:tcBorders>
            <w:vAlign w:val="bottom"/>
          </w:tcPr>
          <w:p w14:paraId="1A5D6350" w14:textId="2E6280E5" w:rsidR="006D2ABA" w:rsidRPr="00176BAB" w:rsidRDefault="006D2ABA" w:rsidP="00B33B1E">
            <w:pPr>
              <w:jc w:val="right"/>
              <w:rPr>
                <w:rFonts w:cs="Times New Roman"/>
                <w:sz w:val="20"/>
                <w:szCs w:val="20"/>
              </w:rPr>
            </w:pPr>
            <w:r w:rsidRPr="00176BAB">
              <w:rPr>
                <w:color w:val="000000"/>
                <w:sz w:val="20"/>
                <w:szCs w:val="20"/>
                <w:lang w:bidi="fr-FR"/>
              </w:rPr>
              <w:t>409,50</w:t>
            </w:r>
          </w:p>
        </w:tc>
      </w:tr>
      <w:tr w:rsidR="005F7E0B" w:rsidRPr="00176BAB" w14:paraId="3DE152F5" w14:textId="77777777" w:rsidTr="005F7E0B">
        <w:tc>
          <w:tcPr>
            <w:tcW w:w="0" w:type="auto"/>
            <w:vAlign w:val="bottom"/>
          </w:tcPr>
          <w:p w14:paraId="21805557" w14:textId="18E83C7E" w:rsidR="006D2ABA" w:rsidRPr="00176BAB" w:rsidRDefault="006D2ABA" w:rsidP="006D2ABA">
            <w:pPr>
              <w:rPr>
                <w:rFonts w:cs="Times New Roman"/>
                <w:sz w:val="20"/>
                <w:szCs w:val="20"/>
              </w:rPr>
            </w:pPr>
            <w:r w:rsidRPr="00176BAB">
              <w:rPr>
                <w:color w:val="000000"/>
                <w:sz w:val="20"/>
                <w:szCs w:val="20"/>
                <w:lang w:bidi="fr-FR"/>
              </w:rPr>
              <w:t>Espèces exotiques envahissantes</w:t>
            </w:r>
          </w:p>
        </w:tc>
        <w:tc>
          <w:tcPr>
            <w:tcW w:w="0" w:type="auto"/>
            <w:vAlign w:val="bottom"/>
          </w:tcPr>
          <w:p w14:paraId="5356A413" w14:textId="4D9464A8" w:rsidR="006D2ABA" w:rsidRPr="00176BAB" w:rsidRDefault="006D2ABA" w:rsidP="00B33B1E">
            <w:pPr>
              <w:jc w:val="right"/>
              <w:rPr>
                <w:rFonts w:cs="Times New Roman"/>
                <w:sz w:val="20"/>
                <w:szCs w:val="20"/>
              </w:rPr>
            </w:pPr>
            <w:r w:rsidRPr="00176BAB">
              <w:rPr>
                <w:color w:val="000000"/>
                <w:sz w:val="20"/>
                <w:szCs w:val="20"/>
                <w:lang w:bidi="fr-FR"/>
              </w:rPr>
              <w:t>430,70</w:t>
            </w:r>
          </w:p>
        </w:tc>
      </w:tr>
      <w:tr w:rsidR="005F7E0B" w:rsidRPr="00176BAB" w14:paraId="5B091E5C" w14:textId="77777777" w:rsidTr="005F7E0B">
        <w:tc>
          <w:tcPr>
            <w:tcW w:w="0" w:type="auto"/>
            <w:vAlign w:val="bottom"/>
          </w:tcPr>
          <w:p w14:paraId="0838439E" w14:textId="20657D59" w:rsidR="006D2ABA" w:rsidRPr="00176BAB" w:rsidRDefault="006D2ABA" w:rsidP="006D2ABA">
            <w:pPr>
              <w:rPr>
                <w:rFonts w:cs="Times New Roman"/>
                <w:sz w:val="20"/>
                <w:szCs w:val="20"/>
              </w:rPr>
            </w:pPr>
            <w:r w:rsidRPr="00176BAB">
              <w:rPr>
                <w:color w:val="000000"/>
                <w:sz w:val="20"/>
                <w:szCs w:val="20"/>
                <w:lang w:bidi="fr-FR"/>
              </w:rPr>
              <w:t>Protocole de Nagoya</w:t>
            </w:r>
          </w:p>
        </w:tc>
        <w:tc>
          <w:tcPr>
            <w:tcW w:w="0" w:type="auto"/>
            <w:vAlign w:val="bottom"/>
          </w:tcPr>
          <w:p w14:paraId="7186CA3B" w14:textId="681ACC7D" w:rsidR="006D2ABA" w:rsidRPr="00176BAB" w:rsidRDefault="006D2ABA" w:rsidP="00B33B1E">
            <w:pPr>
              <w:jc w:val="right"/>
              <w:rPr>
                <w:rFonts w:cs="Times New Roman"/>
                <w:sz w:val="20"/>
                <w:szCs w:val="20"/>
              </w:rPr>
            </w:pPr>
            <w:r w:rsidRPr="00176BAB">
              <w:rPr>
                <w:color w:val="000000"/>
                <w:sz w:val="20"/>
                <w:szCs w:val="20"/>
                <w:lang w:bidi="fr-FR"/>
              </w:rPr>
              <w:t>415,80</w:t>
            </w:r>
          </w:p>
        </w:tc>
      </w:tr>
      <w:tr w:rsidR="005F7E0B" w:rsidRPr="00176BAB" w14:paraId="358013DE" w14:textId="77777777" w:rsidTr="005F7E0B">
        <w:tc>
          <w:tcPr>
            <w:tcW w:w="0" w:type="auto"/>
            <w:vAlign w:val="bottom"/>
          </w:tcPr>
          <w:p w14:paraId="07DEA30A" w14:textId="7086956C" w:rsidR="006D2ABA" w:rsidRPr="00176BAB" w:rsidRDefault="006D2ABA" w:rsidP="006D2ABA">
            <w:pPr>
              <w:rPr>
                <w:rFonts w:cs="Times New Roman"/>
                <w:sz w:val="20"/>
                <w:szCs w:val="20"/>
              </w:rPr>
            </w:pPr>
            <w:r w:rsidRPr="00176BAB">
              <w:rPr>
                <w:color w:val="000000"/>
                <w:sz w:val="20"/>
                <w:szCs w:val="20"/>
                <w:lang w:bidi="fr-FR"/>
              </w:rPr>
              <w:t>Planification, suivi, établissement de rapports et révision</w:t>
            </w:r>
          </w:p>
        </w:tc>
        <w:tc>
          <w:tcPr>
            <w:tcW w:w="0" w:type="auto"/>
            <w:vAlign w:val="bottom"/>
          </w:tcPr>
          <w:p w14:paraId="03217487" w14:textId="2732BCBE" w:rsidR="006D2ABA" w:rsidRPr="00176BAB" w:rsidRDefault="006D2ABA" w:rsidP="00B33B1E">
            <w:pPr>
              <w:jc w:val="right"/>
              <w:rPr>
                <w:rFonts w:cs="Times New Roman"/>
                <w:sz w:val="20"/>
                <w:szCs w:val="20"/>
              </w:rPr>
            </w:pPr>
            <w:r w:rsidRPr="00176BAB">
              <w:rPr>
                <w:color w:val="000000"/>
                <w:sz w:val="20"/>
                <w:szCs w:val="20"/>
                <w:lang w:bidi="fr-FR"/>
              </w:rPr>
              <w:t>758,30</w:t>
            </w:r>
          </w:p>
        </w:tc>
      </w:tr>
      <w:tr w:rsidR="005F7E0B" w:rsidRPr="00176BAB" w14:paraId="2E949C25" w14:textId="77777777" w:rsidTr="005F7E0B">
        <w:tc>
          <w:tcPr>
            <w:tcW w:w="0" w:type="auto"/>
            <w:vAlign w:val="bottom"/>
          </w:tcPr>
          <w:p w14:paraId="0D8707AB" w14:textId="761F451F" w:rsidR="006D2ABA" w:rsidRPr="00176BAB" w:rsidRDefault="006D2ABA" w:rsidP="006D2ABA">
            <w:pPr>
              <w:rPr>
                <w:rFonts w:cs="Times New Roman"/>
                <w:sz w:val="20"/>
                <w:szCs w:val="20"/>
              </w:rPr>
            </w:pPr>
            <w:r w:rsidRPr="00176BAB">
              <w:rPr>
                <w:color w:val="000000"/>
                <w:sz w:val="20"/>
                <w:szCs w:val="20"/>
                <w:lang w:bidi="fr-FR"/>
              </w:rPr>
              <w:t>Biodiversité des eaux agricoles et intérieures</w:t>
            </w:r>
          </w:p>
        </w:tc>
        <w:tc>
          <w:tcPr>
            <w:tcW w:w="0" w:type="auto"/>
            <w:vAlign w:val="bottom"/>
          </w:tcPr>
          <w:p w14:paraId="103DD156" w14:textId="40959B61" w:rsidR="006D2ABA" w:rsidRPr="00176BAB" w:rsidRDefault="006D2ABA" w:rsidP="00B33B1E">
            <w:pPr>
              <w:jc w:val="right"/>
              <w:rPr>
                <w:rFonts w:cs="Times New Roman"/>
                <w:sz w:val="20"/>
                <w:szCs w:val="20"/>
              </w:rPr>
            </w:pPr>
            <w:r w:rsidRPr="00176BAB">
              <w:rPr>
                <w:color w:val="000000"/>
                <w:sz w:val="20"/>
                <w:szCs w:val="20"/>
                <w:lang w:bidi="fr-FR"/>
              </w:rPr>
              <w:t xml:space="preserve">135,60 </w:t>
            </w:r>
          </w:p>
        </w:tc>
      </w:tr>
      <w:tr w:rsidR="005F7E0B" w:rsidRPr="00176BAB" w14:paraId="29D1B04C" w14:textId="77777777" w:rsidTr="005F7E0B">
        <w:tc>
          <w:tcPr>
            <w:tcW w:w="0" w:type="auto"/>
            <w:vAlign w:val="bottom"/>
          </w:tcPr>
          <w:p w14:paraId="1637115C" w14:textId="28AB9DE4" w:rsidR="006D2ABA" w:rsidRPr="00176BAB" w:rsidRDefault="006D2ABA" w:rsidP="006D2ABA">
            <w:pPr>
              <w:rPr>
                <w:rFonts w:cs="Times New Roman"/>
                <w:sz w:val="20"/>
                <w:szCs w:val="20"/>
              </w:rPr>
            </w:pPr>
            <w:r w:rsidRPr="00176BAB">
              <w:rPr>
                <w:color w:val="000000"/>
                <w:sz w:val="20"/>
                <w:szCs w:val="20"/>
                <w:lang w:bidi="fr-FR"/>
              </w:rPr>
              <w:t>Prévention des risques biotechnologiques</w:t>
            </w:r>
          </w:p>
        </w:tc>
        <w:tc>
          <w:tcPr>
            <w:tcW w:w="0" w:type="auto"/>
            <w:vAlign w:val="bottom"/>
          </w:tcPr>
          <w:p w14:paraId="59A1A8B3" w14:textId="69FDF787" w:rsidR="006D2ABA" w:rsidRPr="00176BAB" w:rsidRDefault="006D2ABA" w:rsidP="00B33B1E">
            <w:pPr>
              <w:jc w:val="right"/>
              <w:rPr>
                <w:rFonts w:cs="Times New Roman"/>
                <w:sz w:val="20"/>
                <w:szCs w:val="20"/>
              </w:rPr>
            </w:pPr>
            <w:r w:rsidRPr="00176BAB">
              <w:rPr>
                <w:color w:val="000000"/>
                <w:sz w:val="20"/>
                <w:szCs w:val="20"/>
                <w:lang w:bidi="fr-FR"/>
              </w:rPr>
              <w:t xml:space="preserve">623,30 </w:t>
            </w:r>
          </w:p>
        </w:tc>
      </w:tr>
      <w:tr w:rsidR="005F7E0B" w:rsidRPr="00176BAB" w14:paraId="2E5E1792" w14:textId="77777777" w:rsidTr="005F7E0B">
        <w:tc>
          <w:tcPr>
            <w:tcW w:w="0" w:type="auto"/>
            <w:vAlign w:val="bottom"/>
          </w:tcPr>
          <w:p w14:paraId="6C652235" w14:textId="4F0DE084" w:rsidR="006D2ABA" w:rsidRPr="00176BAB" w:rsidRDefault="006D2ABA" w:rsidP="006D2ABA">
            <w:pPr>
              <w:rPr>
                <w:rFonts w:cs="Times New Roman"/>
                <w:sz w:val="20"/>
                <w:szCs w:val="20"/>
              </w:rPr>
            </w:pPr>
            <w:r w:rsidRPr="00176BAB">
              <w:rPr>
                <w:color w:val="000000"/>
                <w:sz w:val="20"/>
                <w:szCs w:val="20"/>
                <w:lang w:bidi="fr-FR"/>
              </w:rPr>
              <w:t>Création et renforcement des capacités</w:t>
            </w:r>
          </w:p>
        </w:tc>
        <w:tc>
          <w:tcPr>
            <w:tcW w:w="0" w:type="auto"/>
            <w:vAlign w:val="bottom"/>
          </w:tcPr>
          <w:p w14:paraId="7EDE39D8" w14:textId="774E6806" w:rsidR="006D2ABA" w:rsidRPr="00176BAB" w:rsidRDefault="006D2ABA" w:rsidP="00B33B1E">
            <w:pPr>
              <w:jc w:val="right"/>
              <w:rPr>
                <w:rFonts w:cs="Times New Roman"/>
                <w:sz w:val="20"/>
                <w:szCs w:val="20"/>
              </w:rPr>
            </w:pPr>
            <w:r w:rsidRPr="00176BAB">
              <w:rPr>
                <w:color w:val="000000"/>
                <w:sz w:val="20"/>
                <w:szCs w:val="20"/>
                <w:lang w:bidi="fr-FR"/>
              </w:rPr>
              <w:t xml:space="preserve">248,60 </w:t>
            </w:r>
          </w:p>
        </w:tc>
      </w:tr>
      <w:tr w:rsidR="005F7E0B" w:rsidRPr="00176BAB" w14:paraId="5B31BEDA" w14:textId="77777777" w:rsidTr="005F7E0B">
        <w:tc>
          <w:tcPr>
            <w:tcW w:w="0" w:type="auto"/>
            <w:vAlign w:val="bottom"/>
          </w:tcPr>
          <w:p w14:paraId="6F82D2BA" w14:textId="35F0DF0B" w:rsidR="006D2ABA" w:rsidRPr="00176BAB" w:rsidRDefault="006D2ABA" w:rsidP="006D2ABA">
            <w:pPr>
              <w:rPr>
                <w:rFonts w:cs="Times New Roman"/>
                <w:sz w:val="20"/>
                <w:szCs w:val="20"/>
              </w:rPr>
            </w:pPr>
            <w:r w:rsidRPr="00176BAB">
              <w:rPr>
                <w:color w:val="000000"/>
                <w:sz w:val="20"/>
                <w:szCs w:val="20"/>
                <w:lang w:bidi="fr-FR"/>
              </w:rPr>
              <w:t>Gestion des connaissances</w:t>
            </w:r>
          </w:p>
        </w:tc>
        <w:tc>
          <w:tcPr>
            <w:tcW w:w="0" w:type="auto"/>
            <w:vAlign w:val="bottom"/>
          </w:tcPr>
          <w:p w14:paraId="08DB2BF3" w14:textId="717F7779" w:rsidR="006D2ABA" w:rsidRPr="00176BAB" w:rsidRDefault="006D2ABA" w:rsidP="00B33B1E">
            <w:pPr>
              <w:jc w:val="right"/>
              <w:rPr>
                <w:rFonts w:cs="Times New Roman"/>
                <w:sz w:val="20"/>
                <w:szCs w:val="20"/>
              </w:rPr>
            </w:pPr>
            <w:r w:rsidRPr="00176BAB">
              <w:rPr>
                <w:color w:val="000000"/>
                <w:sz w:val="20"/>
                <w:szCs w:val="20"/>
                <w:lang w:bidi="fr-FR"/>
              </w:rPr>
              <w:t xml:space="preserve">349,90 </w:t>
            </w:r>
          </w:p>
        </w:tc>
      </w:tr>
      <w:tr w:rsidR="005F7E0B" w:rsidRPr="00176BAB" w14:paraId="7508790B" w14:textId="77777777" w:rsidTr="005F7E0B">
        <w:tc>
          <w:tcPr>
            <w:tcW w:w="0" w:type="auto"/>
            <w:vAlign w:val="bottom"/>
          </w:tcPr>
          <w:p w14:paraId="1E73862B" w14:textId="19E74214" w:rsidR="006D2ABA" w:rsidRPr="00176BAB" w:rsidRDefault="006D2ABA" w:rsidP="006D2ABA">
            <w:pPr>
              <w:rPr>
                <w:rFonts w:cs="Times New Roman"/>
                <w:sz w:val="20"/>
                <w:szCs w:val="20"/>
              </w:rPr>
            </w:pPr>
            <w:r w:rsidRPr="00176BAB">
              <w:rPr>
                <w:color w:val="000000"/>
                <w:sz w:val="20"/>
                <w:szCs w:val="20"/>
                <w:lang w:bidi="fr-FR"/>
              </w:rPr>
              <w:t>Participation des parties prenantes</w:t>
            </w:r>
          </w:p>
        </w:tc>
        <w:tc>
          <w:tcPr>
            <w:tcW w:w="0" w:type="auto"/>
            <w:vAlign w:val="bottom"/>
          </w:tcPr>
          <w:p w14:paraId="50EED259" w14:textId="44C00ECF" w:rsidR="006D2ABA" w:rsidRPr="00176BAB" w:rsidRDefault="006D2ABA" w:rsidP="00B33B1E">
            <w:pPr>
              <w:jc w:val="right"/>
              <w:rPr>
                <w:rFonts w:cs="Times New Roman"/>
                <w:sz w:val="20"/>
                <w:szCs w:val="20"/>
              </w:rPr>
            </w:pPr>
            <w:r w:rsidRPr="00176BAB">
              <w:rPr>
                <w:color w:val="000000"/>
                <w:sz w:val="20"/>
                <w:szCs w:val="20"/>
                <w:lang w:bidi="fr-FR"/>
              </w:rPr>
              <w:t xml:space="preserve">470,00 </w:t>
            </w:r>
          </w:p>
        </w:tc>
      </w:tr>
      <w:tr w:rsidR="005F7E0B" w:rsidRPr="00176BAB" w14:paraId="387826C4" w14:textId="77777777" w:rsidTr="005F7E0B">
        <w:tc>
          <w:tcPr>
            <w:tcW w:w="0" w:type="auto"/>
            <w:vAlign w:val="bottom"/>
          </w:tcPr>
          <w:p w14:paraId="1759FA74" w14:textId="22868606" w:rsidR="006D2ABA" w:rsidRPr="00176BAB" w:rsidRDefault="006D2ABA" w:rsidP="006D2ABA">
            <w:pPr>
              <w:rPr>
                <w:rFonts w:cs="Times New Roman"/>
                <w:sz w:val="20"/>
                <w:szCs w:val="20"/>
              </w:rPr>
            </w:pPr>
            <w:r w:rsidRPr="00176BAB">
              <w:rPr>
                <w:color w:val="000000"/>
                <w:sz w:val="20"/>
                <w:szCs w:val="20"/>
                <w:lang w:bidi="fr-FR"/>
              </w:rPr>
              <w:t>Changement climatique</w:t>
            </w:r>
          </w:p>
        </w:tc>
        <w:tc>
          <w:tcPr>
            <w:tcW w:w="0" w:type="auto"/>
            <w:vAlign w:val="bottom"/>
          </w:tcPr>
          <w:p w14:paraId="71E9FC12" w14:textId="1A235612" w:rsidR="006D2ABA" w:rsidRPr="00176BAB" w:rsidRDefault="006D2ABA" w:rsidP="00B33B1E">
            <w:pPr>
              <w:jc w:val="right"/>
              <w:rPr>
                <w:rFonts w:cs="Times New Roman"/>
                <w:sz w:val="20"/>
                <w:szCs w:val="20"/>
              </w:rPr>
            </w:pPr>
            <w:r w:rsidRPr="00176BAB">
              <w:rPr>
                <w:color w:val="000000"/>
                <w:sz w:val="20"/>
                <w:szCs w:val="20"/>
                <w:lang w:bidi="fr-FR"/>
              </w:rPr>
              <w:t xml:space="preserve">200,00 </w:t>
            </w:r>
          </w:p>
        </w:tc>
      </w:tr>
      <w:tr w:rsidR="005F7E0B" w:rsidRPr="00176BAB" w14:paraId="29DD2F78" w14:textId="77777777" w:rsidTr="005F7E0B">
        <w:tc>
          <w:tcPr>
            <w:tcW w:w="0" w:type="auto"/>
            <w:vAlign w:val="bottom"/>
          </w:tcPr>
          <w:p w14:paraId="3FB096CA" w14:textId="1DD0633B" w:rsidR="006D2ABA" w:rsidRPr="00176BAB" w:rsidRDefault="006D2ABA" w:rsidP="00B33B1E">
            <w:pPr>
              <w:jc w:val="left"/>
              <w:rPr>
                <w:rFonts w:cs="Times New Roman"/>
                <w:sz w:val="20"/>
                <w:szCs w:val="20"/>
              </w:rPr>
            </w:pPr>
            <w:r w:rsidRPr="00176BAB">
              <w:rPr>
                <w:color w:val="000000"/>
                <w:sz w:val="20"/>
                <w:szCs w:val="20"/>
                <w:lang w:bidi="fr-FR"/>
              </w:rPr>
              <w:t>Information de séquençage numérique sur les ressources génétiques</w:t>
            </w:r>
          </w:p>
        </w:tc>
        <w:tc>
          <w:tcPr>
            <w:tcW w:w="0" w:type="auto"/>
            <w:vAlign w:val="bottom"/>
          </w:tcPr>
          <w:p w14:paraId="74959760" w14:textId="55E58D43" w:rsidR="006D2ABA" w:rsidRPr="00176BAB" w:rsidRDefault="006D2ABA" w:rsidP="00B33B1E">
            <w:pPr>
              <w:jc w:val="right"/>
              <w:rPr>
                <w:rFonts w:cs="Times New Roman"/>
                <w:sz w:val="20"/>
                <w:szCs w:val="20"/>
              </w:rPr>
            </w:pPr>
            <w:r w:rsidRPr="00176BAB">
              <w:rPr>
                <w:color w:val="000000"/>
                <w:sz w:val="20"/>
                <w:szCs w:val="20"/>
                <w:lang w:bidi="fr-FR"/>
              </w:rPr>
              <w:t xml:space="preserve">1 569,40 </w:t>
            </w:r>
          </w:p>
        </w:tc>
      </w:tr>
      <w:tr w:rsidR="005F7E0B" w:rsidRPr="00176BAB" w14:paraId="7058F5C8" w14:textId="77777777" w:rsidTr="005F7E0B">
        <w:tc>
          <w:tcPr>
            <w:tcW w:w="0" w:type="auto"/>
            <w:vAlign w:val="bottom"/>
          </w:tcPr>
          <w:p w14:paraId="66AF099D" w14:textId="5E7B9A1C" w:rsidR="006D2ABA" w:rsidRPr="00176BAB" w:rsidRDefault="006D2ABA" w:rsidP="006D2ABA">
            <w:pPr>
              <w:rPr>
                <w:rFonts w:cs="Times New Roman"/>
                <w:sz w:val="20"/>
                <w:szCs w:val="20"/>
              </w:rPr>
            </w:pPr>
            <w:r w:rsidRPr="00176BAB">
              <w:rPr>
                <w:color w:val="000000"/>
                <w:sz w:val="20"/>
                <w:szCs w:val="20"/>
                <w:lang w:bidi="fr-FR"/>
              </w:rPr>
              <w:t>Mobilisation des ressources</w:t>
            </w:r>
          </w:p>
        </w:tc>
        <w:tc>
          <w:tcPr>
            <w:tcW w:w="0" w:type="auto"/>
            <w:vAlign w:val="bottom"/>
          </w:tcPr>
          <w:p w14:paraId="6410B768" w14:textId="47E16333" w:rsidR="006D2ABA" w:rsidRPr="00176BAB" w:rsidRDefault="006D2ABA" w:rsidP="00B33B1E">
            <w:pPr>
              <w:jc w:val="right"/>
              <w:rPr>
                <w:rFonts w:cs="Times New Roman"/>
                <w:sz w:val="20"/>
                <w:szCs w:val="20"/>
              </w:rPr>
            </w:pPr>
            <w:r w:rsidRPr="00176BAB">
              <w:rPr>
                <w:color w:val="000000"/>
                <w:sz w:val="20"/>
                <w:szCs w:val="20"/>
                <w:lang w:bidi="fr-FR"/>
              </w:rPr>
              <w:t xml:space="preserve">706,20 </w:t>
            </w:r>
          </w:p>
        </w:tc>
      </w:tr>
      <w:tr w:rsidR="005F7E0B" w:rsidRPr="00176BAB" w14:paraId="12F9799D" w14:textId="77777777" w:rsidTr="005F7E0B">
        <w:tc>
          <w:tcPr>
            <w:tcW w:w="0" w:type="auto"/>
            <w:tcBorders>
              <w:bottom w:val="single" w:sz="12" w:space="0" w:color="auto"/>
            </w:tcBorders>
            <w:vAlign w:val="bottom"/>
          </w:tcPr>
          <w:p w14:paraId="4AACADCA" w14:textId="46D40F8B" w:rsidR="006D2ABA" w:rsidRPr="00176BAB" w:rsidRDefault="006D2ABA" w:rsidP="006D2ABA">
            <w:pPr>
              <w:rPr>
                <w:rFonts w:cs="Times New Roman"/>
                <w:sz w:val="20"/>
                <w:szCs w:val="20"/>
              </w:rPr>
            </w:pPr>
            <w:r w:rsidRPr="00176BAB">
              <w:rPr>
                <w:color w:val="000000"/>
                <w:sz w:val="20"/>
                <w:szCs w:val="20"/>
                <w:lang w:bidi="fr-FR"/>
              </w:rPr>
              <w:t>Biodiversité marine et côtière</w:t>
            </w:r>
          </w:p>
        </w:tc>
        <w:tc>
          <w:tcPr>
            <w:tcW w:w="0" w:type="auto"/>
            <w:tcBorders>
              <w:bottom w:val="single" w:sz="12" w:space="0" w:color="auto"/>
            </w:tcBorders>
            <w:vAlign w:val="bottom"/>
          </w:tcPr>
          <w:p w14:paraId="5D9407BB" w14:textId="6C6F6FD3" w:rsidR="006D2ABA" w:rsidRPr="00176BAB" w:rsidRDefault="006D2ABA" w:rsidP="00B33B1E">
            <w:pPr>
              <w:jc w:val="right"/>
              <w:rPr>
                <w:rFonts w:cs="Times New Roman"/>
                <w:sz w:val="20"/>
                <w:szCs w:val="20"/>
              </w:rPr>
            </w:pPr>
            <w:r w:rsidRPr="00176BAB">
              <w:rPr>
                <w:color w:val="000000"/>
                <w:sz w:val="20"/>
                <w:szCs w:val="20"/>
                <w:lang w:bidi="fr-FR"/>
              </w:rPr>
              <w:t xml:space="preserve">956,00 </w:t>
            </w:r>
          </w:p>
        </w:tc>
      </w:tr>
      <w:tr w:rsidR="005F7E0B" w:rsidRPr="00176BAB" w14:paraId="6A17EDC3" w14:textId="77777777" w:rsidTr="005F7E0B">
        <w:tc>
          <w:tcPr>
            <w:tcW w:w="0" w:type="auto"/>
            <w:tcBorders>
              <w:top w:val="single" w:sz="12" w:space="0" w:color="auto"/>
              <w:bottom w:val="single" w:sz="12" w:space="0" w:color="auto"/>
            </w:tcBorders>
            <w:vAlign w:val="bottom"/>
          </w:tcPr>
          <w:p w14:paraId="2CEF0E80" w14:textId="6F1FBA6F" w:rsidR="006D2ABA" w:rsidRPr="00176BAB" w:rsidRDefault="006D2ABA" w:rsidP="006D2ABA">
            <w:pPr>
              <w:rPr>
                <w:rFonts w:cs="Times New Roman"/>
                <w:sz w:val="20"/>
                <w:szCs w:val="20"/>
              </w:rPr>
            </w:pPr>
            <w:r w:rsidRPr="00176BAB">
              <w:rPr>
                <w:b/>
                <w:color w:val="000000"/>
                <w:sz w:val="20"/>
                <w:szCs w:val="20"/>
                <w:lang w:bidi="fr-FR"/>
              </w:rPr>
              <w:tab/>
              <w:t>Total</w:t>
            </w:r>
          </w:p>
        </w:tc>
        <w:tc>
          <w:tcPr>
            <w:tcW w:w="0" w:type="auto"/>
            <w:tcBorders>
              <w:top w:val="single" w:sz="12" w:space="0" w:color="auto"/>
              <w:bottom w:val="single" w:sz="12" w:space="0" w:color="auto"/>
            </w:tcBorders>
            <w:vAlign w:val="bottom"/>
          </w:tcPr>
          <w:p w14:paraId="6A0C0490" w14:textId="602F024C" w:rsidR="006D2ABA" w:rsidRPr="00176BAB" w:rsidRDefault="006D2ABA" w:rsidP="00B33B1E">
            <w:pPr>
              <w:jc w:val="right"/>
              <w:rPr>
                <w:rFonts w:cs="Times New Roman"/>
                <w:sz w:val="20"/>
                <w:szCs w:val="20"/>
              </w:rPr>
            </w:pPr>
            <w:r w:rsidRPr="00176BAB">
              <w:rPr>
                <w:b/>
                <w:color w:val="000000"/>
                <w:sz w:val="20"/>
                <w:szCs w:val="20"/>
                <w:lang w:bidi="fr-FR"/>
              </w:rPr>
              <w:t>7 273,30</w:t>
            </w:r>
          </w:p>
        </w:tc>
      </w:tr>
    </w:tbl>
    <w:p w14:paraId="78244C59" w14:textId="0CE9BE85" w:rsidR="000D4DA8" w:rsidRPr="00176BAB" w:rsidRDefault="000D4DA8" w:rsidP="00B33B1E">
      <w:pPr>
        <w:pStyle w:val="Titre2"/>
        <w:numPr>
          <w:ilvl w:val="0"/>
          <w:numId w:val="11"/>
        </w:numPr>
        <w:suppressLineNumbers/>
        <w:suppressAutoHyphens/>
        <w:kinsoku w:val="0"/>
        <w:overflowPunct w:val="0"/>
        <w:autoSpaceDE w:val="0"/>
        <w:autoSpaceDN w:val="0"/>
        <w:adjustRightInd w:val="0"/>
        <w:snapToGrid w:val="0"/>
        <w:spacing w:before="240"/>
        <w:ind w:left="567" w:hanging="567"/>
        <w:jc w:val="left"/>
        <w:rPr>
          <w:rFonts w:eastAsia="Malgun Gothic"/>
          <w:iCs/>
          <w:snapToGrid w:val="0"/>
          <w:kern w:val="22"/>
          <w:szCs w:val="22"/>
          <w:lang w:eastAsia="ko-KR"/>
        </w:rPr>
      </w:pPr>
      <w:r w:rsidRPr="00176BAB">
        <w:rPr>
          <w:rFonts w:eastAsia="Malgun Gothic"/>
          <w:snapToGrid w:val="0"/>
          <w:kern w:val="22"/>
          <w:szCs w:val="22"/>
          <w:lang w:bidi="fr-FR"/>
        </w:rPr>
        <w:t>Fonds général d’affectation spéciale pour les contributions volontaires visant à faciliter la participation des peuples autochtones et des communautés locales (VB) pour la période 2023</w:t>
      </w:r>
      <w:r w:rsidR="00DF161A" w:rsidRPr="00176BAB">
        <w:rPr>
          <w:lang w:bidi="fr-FR"/>
        </w:rPr>
        <w:t>-</w:t>
      </w:r>
      <w:r w:rsidR="00485648" w:rsidRPr="00176BAB">
        <w:rPr>
          <w:rFonts w:eastAsia="Malgun Gothic"/>
          <w:snapToGrid w:val="0"/>
          <w:kern w:val="22"/>
          <w:szCs w:val="22"/>
          <w:lang w:bidi="fr-FR"/>
        </w:rPr>
        <w:t>2024</w:t>
      </w:r>
    </w:p>
    <w:p w14:paraId="2EDEEB40" w14:textId="1627073A" w:rsidR="000D4DA8" w:rsidRPr="00176BAB" w:rsidRDefault="000D4DA8" w:rsidP="00FE7DD7">
      <w:pPr>
        <w:pStyle w:val="Para10"/>
        <w:rPr>
          <w:lang w:val="fr-FR"/>
        </w:rPr>
      </w:pPr>
      <w:r w:rsidRPr="00176BAB">
        <w:rPr>
          <w:lang w:val="fr-FR" w:bidi="fr-FR"/>
        </w:rPr>
        <w:t xml:space="preserve">La Conférence des Parties et la Conférence des Parties siégeant en tant que réunions des Parties aux Protocoles ont pris acte des estimations de financement de 895 400 </w:t>
      </w:r>
      <w:r w:rsidR="00176BAB">
        <w:rPr>
          <w:lang w:val="fr-FR" w:bidi="fr-FR"/>
        </w:rPr>
        <w:t>dollars US</w:t>
      </w:r>
      <w:r w:rsidRPr="00176BAB">
        <w:rPr>
          <w:lang w:val="fr-FR" w:bidi="fr-FR"/>
        </w:rPr>
        <w:t xml:space="preserve"> pour le fonds général d’affectation spéciale (fonds d’affectation spéciale VB) pour les contributions volontaires visant à faciliter la participation des peuples autochtones et des communautés locales pour la période 2023-2024.</w:t>
      </w:r>
    </w:p>
    <w:p w14:paraId="38F3D3E9" w14:textId="0DE4B025" w:rsidR="000D4DA8" w:rsidRPr="00176BAB" w:rsidRDefault="009F43A8" w:rsidP="00FE7DD7">
      <w:pPr>
        <w:pStyle w:val="Para10"/>
        <w:rPr>
          <w:lang w:val="fr-FR"/>
        </w:rPr>
      </w:pPr>
      <w:r w:rsidRPr="00176BAB">
        <w:rPr>
          <w:lang w:val="fr-FR" w:bidi="fr-FR"/>
        </w:rPr>
        <w:t>À la date de la rédaction du rapport, le Secrétariat avait reçu des contributions d’un montant total de 344 000 </w:t>
      </w:r>
      <w:r w:rsidR="00176BAB">
        <w:rPr>
          <w:lang w:val="fr-FR" w:bidi="fr-FR"/>
        </w:rPr>
        <w:t>dollars US</w:t>
      </w:r>
      <w:r w:rsidRPr="00176BAB">
        <w:rPr>
          <w:lang w:val="fr-FR" w:bidi="fr-FR"/>
        </w:rPr>
        <w:t xml:space="preserve"> pour l’exercice biennal en cours. Ces contributions ont contribué à financer : le voyage de 48 participants issus de peuples autochtones et de communautés locales pour assister à la vingt-cinquième réunion de l’Organe subsidiaire chargé de fournir des avis scientifiques, techniques et technologiques ; la reprise de la deuxième partie de la quinzième réunion de la Conférence des Parties à la Convention ; la dixième réunion de la Conférence des Parties siégeant en tant que réunion des Parties au Protocole de Cartagena et la quatrième réunion de la Conférence des Parties siégeant en tant que réunion des Parties au Protocole de Nagoya ; la douzième réunion du Groupe de travail sur l’article 8(j) et les dispositions connexes ; la première réunion du Groupe de travail spécial à composition non limitée sur le partage des avantages découlant de l’utilisation de l’information de séquençage numérique sur les ressources génétiques ; la vingt-sixième réunion de l’Organe subsidiaire chargé de fournir des avis scientifiques, techniques et technologiques et la quatrième réunion de l’Organe subsidiaire pour la mise en application. </w:t>
      </w:r>
    </w:p>
    <w:p w14:paraId="3A14025B" w14:textId="669A04C6" w:rsidR="000D4DA8" w:rsidRPr="00176BAB" w:rsidRDefault="000D4DA8" w:rsidP="00FE7DD7">
      <w:pPr>
        <w:pStyle w:val="Titre2"/>
        <w:numPr>
          <w:ilvl w:val="0"/>
          <w:numId w:val="11"/>
        </w:numPr>
        <w:suppressLineNumbers/>
        <w:suppressAutoHyphens/>
        <w:kinsoku w:val="0"/>
        <w:overflowPunct w:val="0"/>
        <w:autoSpaceDE w:val="0"/>
        <w:autoSpaceDN w:val="0"/>
        <w:adjustRightInd w:val="0"/>
        <w:snapToGrid w:val="0"/>
        <w:ind w:left="567" w:hanging="567"/>
        <w:jc w:val="left"/>
        <w:rPr>
          <w:rFonts w:eastAsia="Malgun Gothic"/>
          <w:iCs/>
          <w:snapToGrid w:val="0"/>
          <w:kern w:val="22"/>
          <w:szCs w:val="22"/>
        </w:rPr>
      </w:pPr>
      <w:r w:rsidRPr="00176BAB">
        <w:rPr>
          <w:rFonts w:eastAsia="Malgun Gothic"/>
          <w:snapToGrid w:val="0"/>
          <w:kern w:val="22"/>
          <w:szCs w:val="22"/>
          <w:lang w:bidi="fr-FR"/>
        </w:rPr>
        <w:t>Fonds d’affectation spéciale volontaire destiné à faciliter la participation des Parties au processus de la Convention pour la période 2023</w:t>
      </w:r>
      <w:r w:rsidR="00DF161A" w:rsidRPr="00176BAB">
        <w:rPr>
          <w:lang w:bidi="fr-FR"/>
        </w:rPr>
        <w:t>-</w:t>
      </w:r>
      <w:r w:rsidR="00155693" w:rsidRPr="00176BAB">
        <w:rPr>
          <w:rFonts w:eastAsia="Malgun Gothic"/>
          <w:snapToGrid w:val="0"/>
          <w:kern w:val="22"/>
          <w:szCs w:val="22"/>
          <w:lang w:bidi="fr-FR"/>
        </w:rPr>
        <w:t>2024</w:t>
      </w:r>
    </w:p>
    <w:p w14:paraId="1BB3595B" w14:textId="431FD16F" w:rsidR="00446A0E" w:rsidRPr="00176BAB" w:rsidRDefault="000D4DA8" w:rsidP="00FE7DD7">
      <w:pPr>
        <w:pStyle w:val="Para10"/>
        <w:rPr>
          <w:lang w:val="fr-FR"/>
        </w:rPr>
      </w:pPr>
      <w:r w:rsidRPr="00176BAB">
        <w:rPr>
          <w:lang w:val="fr-FR" w:bidi="fr-FR"/>
        </w:rPr>
        <w:t xml:space="preserve">La Conférence des Parties à la Convention et la Conférence des Parties siégeant en tant que réunions des Parties aux Protocoles ont pris acte des estimations de financement de 8 604 400 </w:t>
      </w:r>
      <w:r w:rsidR="00176BAB">
        <w:rPr>
          <w:lang w:val="fr-FR" w:bidi="fr-FR"/>
        </w:rPr>
        <w:t>dollars US</w:t>
      </w:r>
      <w:r w:rsidRPr="00176BAB">
        <w:rPr>
          <w:lang w:val="fr-FR" w:bidi="fr-FR"/>
        </w:rPr>
        <w:t xml:space="preserve"> pour le fonds général d’affectation spéciale volontaire (fonds d’affectation spéciale VB) destiné à faciliter la participation des Parties au processus de la Convention pour la période 2023-2024. À la date de la rédaction du rapport, le Secrétariat avait reçu des contributions d’un montant total de 1,6 millions de </w:t>
      </w:r>
      <w:r w:rsidR="00176BAB">
        <w:rPr>
          <w:lang w:val="fr-FR" w:bidi="fr-FR"/>
        </w:rPr>
        <w:t>dollars US</w:t>
      </w:r>
      <w:r w:rsidRPr="00176BAB">
        <w:rPr>
          <w:lang w:val="fr-FR" w:bidi="fr-FR"/>
        </w:rPr>
        <w:t xml:space="preserve"> pour l’exercice biennal en cours. Un montant de 2,1 million</w:t>
      </w:r>
      <w:r w:rsidR="00043613">
        <w:rPr>
          <w:lang w:val="fr-FR" w:bidi="fr-FR"/>
        </w:rPr>
        <w:t>s</w:t>
      </w:r>
      <w:r w:rsidRPr="00176BAB">
        <w:rPr>
          <w:lang w:val="fr-FR" w:bidi="fr-FR"/>
        </w:rPr>
        <w:t xml:space="preserve"> de </w:t>
      </w:r>
      <w:r w:rsidR="00176BAB">
        <w:rPr>
          <w:lang w:val="fr-FR" w:bidi="fr-FR"/>
        </w:rPr>
        <w:t>dollars US</w:t>
      </w:r>
      <w:r w:rsidRPr="00176BAB">
        <w:rPr>
          <w:lang w:val="fr-FR" w:bidi="fr-FR"/>
        </w:rPr>
        <w:t xml:space="preserve"> avait été dépensé pour financer la participation de 430 délégués (sur 520 demandes de financement soumises au Secrétariat) de pays en développement à la vingt-cinquième réunion de l’Organe subsidiaire chargé de fournir des avis scientifiques, techniques et technologiques, à la </w:t>
      </w:r>
      <w:r w:rsidRPr="00176BAB">
        <w:rPr>
          <w:lang w:val="fr-FR" w:bidi="fr-FR"/>
        </w:rPr>
        <w:lastRenderedPageBreak/>
        <w:t xml:space="preserve">reprise des deuxièmes parties de la quinzième réunion de la Conférence des Parties à la Convention, à la dixième réunion de la Conférence des Parties siégeant en tant que réunion des Parties au Protocole de Cartagena et à la quatrième réunion de la Conférence des Parties Conférence des Parties siégeant en tant que réunion des Parties au Protocole de Nagoya, à la douzième réunion du Groupe de travail sur l’article 8 (j) et les dispositions connexes, à la première réunion du Groupe de travail spécial à composition non limitée sur le partage des avantages découlant de l’utilisation de l’information de séquençage numérique sur les ressources génétiques, à la vingt-sixième réunion de l’Organe subsidiaire chargé de fournir des avis scientifiques, techniques et technologiques et à la quatrième réunion de l’Organe subsidiaire pour la mise en application. Conformément à la procédure d’allocation de financement du fonds d’affectation spéciale BZ adoptée par la Conférence des Parties lors de sa neuvième réunion (décision </w:t>
      </w:r>
      <w:hyperlink r:id="rId15" w:history="1">
        <w:r w:rsidRPr="00176BAB">
          <w:rPr>
            <w:rStyle w:val="Lienhypertexte"/>
            <w:sz w:val="22"/>
            <w:lang w:val="fr-FR" w:bidi="fr-FR"/>
          </w:rPr>
          <w:t>IX/34</w:t>
        </w:r>
      </w:hyperlink>
      <w:r w:rsidRPr="00176BAB">
        <w:rPr>
          <w:lang w:val="fr-FR" w:bidi="fr-FR"/>
        </w:rPr>
        <w:t>, paragraphe 31), la priorité a été donnée au financement des délégués des pays les moins avancés et des petits États insulaires en développement.</w:t>
      </w:r>
    </w:p>
    <w:p w14:paraId="14C9C4DE" w14:textId="59BD50BB" w:rsidR="00C15351" w:rsidRPr="00176BAB" w:rsidRDefault="005E7C3D" w:rsidP="00FE7DD7">
      <w:pPr>
        <w:pStyle w:val="Para10"/>
        <w:rPr>
          <w:kern w:val="22"/>
          <w:lang w:val="fr-FR"/>
        </w:rPr>
      </w:pPr>
      <w:r w:rsidRPr="00176BAB">
        <w:rPr>
          <w:kern w:val="22"/>
          <w:lang w:val="fr-FR" w:bidi="fr-FR"/>
        </w:rPr>
        <w:t>Des ressources supplémentaires sont nécessaires pour faciliter la</w:t>
      </w:r>
      <w:r w:rsidR="00A55A53" w:rsidRPr="00176BAB">
        <w:rPr>
          <w:lang w:val="fr-FR" w:bidi="fr-FR"/>
        </w:rPr>
        <w:t xml:space="preserve"> participation des États parties en développement </w:t>
      </w:r>
      <w:r w:rsidR="00C15351" w:rsidRPr="00176BAB">
        <w:rPr>
          <w:kern w:val="22"/>
          <w:lang w:val="fr-FR" w:bidi="fr-FR"/>
        </w:rPr>
        <w:t xml:space="preserve">à la </w:t>
      </w:r>
      <w:r w:rsidR="00A55A53" w:rsidRPr="00176BAB">
        <w:rPr>
          <w:lang w:val="fr-FR" w:bidi="fr-FR"/>
        </w:rPr>
        <w:t>deuxième réunion du Groupe de travail spécial à composition non limitée sur le partage des avantages découlant de l’utilisation de l’information de séquençage numérique sur les ressources génétiques, à la seizième réunion de la Conférence des Parties à la Convention, à la onzième réunion de la Conférence des Parties siégeant en tant que réunion des Parties au Protocole de Cartagena et à la cinquième réunion de la Conférence des Parties siégeant en tant que réunion des Parties au Protocole de Nagoya.</w:t>
      </w:r>
    </w:p>
    <w:p w14:paraId="430C3A75" w14:textId="61332924" w:rsidR="00573190" w:rsidRPr="00176BAB" w:rsidRDefault="00765C17" w:rsidP="00FE7DD7">
      <w:pPr>
        <w:pStyle w:val="Para10"/>
        <w:rPr>
          <w:lang w:val="fr-FR"/>
        </w:rPr>
      </w:pPr>
      <w:r w:rsidRPr="00176BAB">
        <w:rPr>
          <w:lang w:val="fr-FR" w:bidi="fr-FR"/>
        </w:rPr>
        <w:t xml:space="preserve">Le 24 avril 2024, le Secrétariat a adressé une lettre à toutes les Parties pour solliciter des contributions supplémentaires afin de reconstituer le fonds d’affectation spéciale BZ et permettre la participation pleine et effective des États Parties en développement, en particulier des pays les moins avancés et des petits États insulaires en développement, ainsi que des pays à économie en transition, à ces réunions. </w:t>
      </w:r>
    </w:p>
    <w:p w14:paraId="21964E72" w14:textId="4E499863" w:rsidR="00355F2A" w:rsidRPr="00176BAB" w:rsidRDefault="00355F2A" w:rsidP="00355F2A">
      <w:pPr>
        <w:pStyle w:val="Titre1"/>
        <w:numPr>
          <w:ilvl w:val="0"/>
          <w:numId w:val="6"/>
        </w:numPr>
        <w:suppressLineNumbers/>
        <w:tabs>
          <w:tab w:val="left" w:pos="567"/>
        </w:tabs>
        <w:suppressAutoHyphens/>
        <w:kinsoku w:val="0"/>
        <w:overflowPunct w:val="0"/>
        <w:autoSpaceDE w:val="0"/>
        <w:autoSpaceDN w:val="0"/>
        <w:adjustRightInd w:val="0"/>
        <w:snapToGrid w:val="0"/>
        <w:ind w:left="0" w:firstLine="0"/>
        <w:rPr>
          <w:rFonts w:eastAsia="Times New Roman Bold"/>
          <w:b w:val="0"/>
          <w:caps/>
          <w:snapToGrid w:val="0"/>
          <w:kern w:val="22"/>
          <w:szCs w:val="22"/>
          <w:lang w:val="fr-FR"/>
        </w:rPr>
      </w:pPr>
      <w:r w:rsidRPr="00176BAB">
        <w:rPr>
          <w:rFonts w:eastAsia="Times New Roman Bold"/>
          <w:snapToGrid w:val="0"/>
          <w:kern w:val="22"/>
          <w:szCs w:val="22"/>
          <w:lang w:val="fr-FR" w:bidi="fr-FR"/>
        </w:rPr>
        <w:t>Autres sujets.</w:t>
      </w:r>
    </w:p>
    <w:p w14:paraId="749CA678" w14:textId="2D240D6E" w:rsidR="000D4DA8" w:rsidRPr="00176BAB" w:rsidRDefault="00217EFF" w:rsidP="00FE7DD7">
      <w:pPr>
        <w:pStyle w:val="Titre2"/>
        <w:rPr>
          <w:snapToGrid w:val="0"/>
        </w:rPr>
      </w:pPr>
      <w:r w:rsidRPr="00176BAB">
        <w:rPr>
          <w:snapToGrid w:val="0"/>
          <w:lang w:bidi="fr-FR"/>
        </w:rPr>
        <w:t>A.</w:t>
      </w:r>
      <w:r w:rsidRPr="00176BAB">
        <w:rPr>
          <w:snapToGrid w:val="0"/>
          <w:lang w:bidi="fr-FR"/>
        </w:rPr>
        <w:tab/>
        <w:t xml:space="preserve">Budgétisation axée sur les résultats </w:t>
      </w:r>
    </w:p>
    <w:p w14:paraId="34493B37" w14:textId="1A2FD937" w:rsidR="00B627F8" w:rsidRPr="00176BAB" w:rsidRDefault="00B627F8" w:rsidP="00FE7DD7">
      <w:pPr>
        <w:pStyle w:val="Para10"/>
        <w:rPr>
          <w:lang w:val="fr-FR"/>
        </w:rPr>
      </w:pPr>
      <w:r w:rsidRPr="00176BAB">
        <w:rPr>
          <w:lang w:val="fr-FR" w:bidi="fr-FR"/>
        </w:rPr>
        <w:t xml:space="preserve">En réponse à une demande de la Conférence des Parties dans sa décision </w:t>
      </w:r>
      <w:hyperlink r:id="rId16" w:history="1">
        <w:r w:rsidRPr="00176BAB">
          <w:rPr>
            <w:rStyle w:val="Lienhypertexte"/>
            <w:sz w:val="22"/>
            <w:lang w:val="fr-FR" w:bidi="fr-FR"/>
          </w:rPr>
          <w:t>14/37</w:t>
        </w:r>
      </w:hyperlink>
      <w:r w:rsidRPr="00176BAB">
        <w:rPr>
          <w:lang w:val="fr-FR" w:bidi="fr-FR"/>
        </w:rPr>
        <w:t xml:space="preserve"> et aux recommandations d’audit, le Secrétariat a développé un cadre axé sur les résultats pour la programmation et la budgétisation de son travail. Ce cadre a été progressivement mis en place depuis le début de l’année 2023 dans le but de devenir pleinement opérationnel au cours de l’exercice biennal 2025-2026. Il sera mis à jour régulièrement, en particulier après les grandes réunions, afin de garantir que la planification est alignée et ajustée sur la base des décisions de la Conférence des Parties à la Convention et de la Conférence des Parties siégeant en tant que réunions des Parties aux Protocoles. Le cadre devrait aider le Secrétariat à déterminer ses besoins en ressources et à optimiser à l’avenir l’utilisation des fonds de contributions volontaires pour obtenir des résultats.</w:t>
      </w:r>
    </w:p>
    <w:p w14:paraId="267AA3C7" w14:textId="090FF391" w:rsidR="000922C7" w:rsidRPr="00176BAB" w:rsidRDefault="00B627F8" w:rsidP="00FE7DD7">
      <w:pPr>
        <w:pStyle w:val="Para10"/>
        <w:rPr>
          <w:lang w:val="fr-FR"/>
        </w:rPr>
      </w:pPr>
      <w:r w:rsidRPr="00176BAB">
        <w:rPr>
          <w:lang w:val="fr-FR" w:bidi="fr-FR"/>
        </w:rPr>
        <w:t xml:space="preserve">Le Secrétariat a commencé à utiliser le cadre axé sur les résultats pour assurer une mise en œuvre optimisée de ses activités et des fonds de contributions volontaires. Le cadre permettra également au Secrétariat de suivre la mise en œuvre de ses activités et de rendre compte des résultats de manière efficace. </w:t>
      </w:r>
    </w:p>
    <w:p w14:paraId="71C75630" w14:textId="666686D3" w:rsidR="00B21730" w:rsidRPr="00176BAB" w:rsidRDefault="00A77A1F" w:rsidP="00FE7DD7">
      <w:pPr>
        <w:pStyle w:val="Titre2"/>
      </w:pPr>
      <w:r w:rsidRPr="00176BAB">
        <w:rPr>
          <w:lang w:bidi="fr-FR"/>
        </w:rPr>
        <w:t>B.</w:t>
      </w:r>
      <w:r w:rsidRPr="00176BAB">
        <w:rPr>
          <w:lang w:bidi="fr-FR"/>
        </w:rPr>
        <w:tab/>
        <w:t>Introduction d’un nouvel outil de suivi des programmes</w:t>
      </w:r>
    </w:p>
    <w:p w14:paraId="03ECB7B6" w14:textId="0BEF5B55" w:rsidR="007C1562" w:rsidRPr="00176BAB" w:rsidRDefault="007C1562" w:rsidP="00FE7DD7">
      <w:pPr>
        <w:pStyle w:val="Para10"/>
        <w:rPr>
          <w:color w:val="505A7E"/>
          <w:lang w:val="fr-FR" w:eastAsia="zh-CN"/>
        </w:rPr>
      </w:pPr>
      <w:r w:rsidRPr="00176BAB">
        <w:rPr>
          <w:lang w:val="fr-FR" w:bidi="fr-FR"/>
        </w:rPr>
        <w:t xml:space="preserve">Le Secrétariat des Nations Unies a introduit la solution intégrée de planification, de gestion et d’établissement de rapports, conformément à la vision du Secrétaire général des Nations Unies d’un Secrétariat des Nations Unies plus souple et plus décentralisé. Dans sa résolution 74/271 sur les progrès accomplis dans la mise en place d’un système de responsabilisation au Secrétariat des Nations Unies, l’Assemblée générale a prié le Secrétaire général de poursuivre ses efforts en vue de renforcer la mise en œuvre de la gestion axée sur les résultats. La solution est conçue pour faciliter la mise en œuvre de projets axés sur les résultats suivant l’approche du cadre logique, conformément </w:t>
      </w:r>
      <w:r w:rsidRPr="00176BAB">
        <w:rPr>
          <w:lang w:val="fr-FR" w:bidi="fr-FR"/>
        </w:rPr>
        <w:lastRenderedPageBreak/>
        <w:t>aux principes de la gestion axée sur les résultats, et soutiendra ainsi l’engagement et les efforts du Secrétaire général pour mettre en œuvre une culture de gestion axée sur les résultats.</w:t>
      </w:r>
    </w:p>
    <w:p w14:paraId="37B09BB0" w14:textId="130B3A16" w:rsidR="00DD7270" w:rsidRPr="00176BAB" w:rsidRDefault="007C1562" w:rsidP="00FE7DD7">
      <w:pPr>
        <w:pStyle w:val="Para10"/>
        <w:rPr>
          <w:lang w:val="fr-FR"/>
        </w:rPr>
      </w:pPr>
      <w:r w:rsidRPr="00176BAB">
        <w:rPr>
          <w:lang w:val="fr-FR" w:bidi="fr-FR"/>
        </w:rPr>
        <w:t xml:space="preserve">En mars 2024, le PNUE a organisé une session de formation, accueillie par le Secrétariat de la Convention, sur la solution intégrée de planification, de gestion et d’établissement de rapports pour les secrétariats des accords multilatéraux sur l’environnement administrés par le PNUE, à l’appui de leur transition vers la solution. Le Secrétariat de la Convention a commencé à déployer le nouveau système et l’utilisera pour la gestion de son programme de travail. La solution soutiendra et renforcera la mise en œuvre du cadre axé sur les résultats du Secrétariat. </w:t>
      </w:r>
    </w:p>
    <w:p w14:paraId="5190A93D" w14:textId="5867963E" w:rsidR="000D4DA8" w:rsidRPr="00176BAB" w:rsidRDefault="00D34255" w:rsidP="00FE7DD7">
      <w:pPr>
        <w:pStyle w:val="Titre2"/>
        <w:rPr>
          <w:snapToGrid w:val="0"/>
          <w:highlight w:val="yellow"/>
          <w:u w:val="single"/>
        </w:rPr>
      </w:pPr>
      <w:r w:rsidRPr="00176BAB">
        <w:rPr>
          <w:snapToGrid w:val="0"/>
          <w:lang w:bidi="fr-FR"/>
        </w:rPr>
        <w:t>C.</w:t>
      </w:r>
      <w:r w:rsidRPr="00176BAB">
        <w:rPr>
          <w:snapToGrid w:val="0"/>
          <w:lang w:bidi="fr-FR"/>
        </w:rPr>
        <w:tab/>
        <w:t>Dotation en effectifs</w:t>
      </w:r>
    </w:p>
    <w:p w14:paraId="1234089F" w14:textId="04794FAD" w:rsidR="009146DF" w:rsidRPr="00176BAB" w:rsidRDefault="009146DF" w:rsidP="00FE7DD7">
      <w:pPr>
        <w:pStyle w:val="Para10"/>
        <w:rPr>
          <w:sz w:val="24"/>
          <w:lang w:val="fr-FR" w:eastAsia="zh-CN"/>
        </w:rPr>
      </w:pPr>
      <w:r w:rsidRPr="00176BAB">
        <w:rPr>
          <w:lang w:val="fr-FR" w:bidi="fr-FR"/>
        </w:rPr>
        <w:t>Lors de sa quinzième réunion, au paragraphe 8 de sa décision 15/34, la Conférence des Parties a adopté un tableau d’effectifs de 53 postes dans les catégories des administrateurs et des fonctionnaires de rang supérieur et de 29 postes dans la catégorie des services généraux au titre du budget de base intégré pour la Convention et ses Protocoles. Au moment de l’établissement du rapport, il y avait huit postes vacants dans les catégories des administrateurs et des fonctionnaires de rang supérieur et deux postes vacants dans la catégorie des services généraux, pour lesquels le recrutement était en cours et à différents stades. Tous les postes vacants devraient être pourvus d’ici la fin de l’année 2024.</w:t>
      </w:r>
    </w:p>
    <w:p w14:paraId="782301C1" w14:textId="7D1709CB" w:rsidR="004C5AE3" w:rsidRPr="00176BAB" w:rsidRDefault="009146DF" w:rsidP="00FE7DD7">
      <w:pPr>
        <w:pStyle w:val="Para10"/>
        <w:rPr>
          <w:lang w:val="fr-FR"/>
        </w:rPr>
      </w:pPr>
      <w:r w:rsidRPr="00176BAB">
        <w:rPr>
          <w:lang w:val="fr-FR" w:bidi="fr-FR"/>
        </w:rPr>
        <w:t>Outre les postes financés par le budget de base intégré, la Division de l’administration, des finances et des services de conférence compte 17 postes (4 dans la catégorie des administrateurs et 13 dans celle des agents des services généraux) financés par le fonds d’affectation spéciale pour les frais généraux du PNUE, 5 postes financés par le Fonds japonais pour la biodiversité (3 dans la catégorie des administrateurs et 2 dans celle des agents des services généraux), 2 postes dans la catégorie des administrateurs financés par des contributions volontaires fournies par l’Union européenne et 2 postes financés par la République de Corée dans le cadre du projet de l’Initiative Bio-Bridge (1 dans la catégorie des administrateurs et 1 dans celle des agents des services généraux). La République de Corée finance également directement un administrateur expert en mission.</w:t>
      </w:r>
    </w:p>
    <w:p w14:paraId="11F8F3E2" w14:textId="26230491" w:rsidR="009146DF" w:rsidRPr="00176BAB" w:rsidRDefault="00C72465" w:rsidP="00FE7DD7">
      <w:pPr>
        <w:pStyle w:val="Para10"/>
        <w:rPr>
          <w:lang w:val="fr-FR"/>
        </w:rPr>
      </w:pPr>
      <w:r w:rsidRPr="00176BAB">
        <w:rPr>
          <w:lang w:val="fr-FR" w:bidi="fr-FR"/>
        </w:rPr>
        <w:t>Par ailleurs, trois administrateurs auxiliaires parrainés par le gouvernement japonais (deux) et le gouvernement italien (un) soutiennent actuellement le Secrétariat dans la mise en œuvre du programme de travail.</w:t>
      </w:r>
    </w:p>
    <w:p w14:paraId="7B3DF6CA" w14:textId="03AF172D" w:rsidR="00D44AAB" w:rsidRPr="00176BAB" w:rsidRDefault="00E71B75" w:rsidP="00FE7DD7">
      <w:pPr>
        <w:pStyle w:val="Para10"/>
        <w:rPr>
          <w:szCs w:val="22"/>
          <w:lang w:val="fr-FR"/>
        </w:rPr>
      </w:pPr>
      <w:r w:rsidRPr="00176BAB">
        <w:rPr>
          <w:lang w:val="fr-FR" w:bidi="fr-FR"/>
        </w:rPr>
        <w:t>Au 29 février 2024, le Secrétariat avait eu recours aux services de 43 consultants et vacataires au cours de l’exercice biennal, principalement financés par des contributions volontaires, en tant que ressources supplémentaires pour mettre en œuvre le programme de travail et gérer les besoins en personnel à court terme.</w:t>
      </w:r>
    </w:p>
    <w:p w14:paraId="219C01F8" w14:textId="4FCD4632" w:rsidR="00447848" w:rsidRPr="00176BAB" w:rsidRDefault="00BE19E9" w:rsidP="00FE7DD7">
      <w:pPr>
        <w:pStyle w:val="Para10"/>
        <w:rPr>
          <w:lang w:val="fr-FR"/>
        </w:rPr>
      </w:pPr>
      <w:r w:rsidRPr="00176BAB">
        <w:rPr>
          <w:lang w:val="fr-FR" w:bidi="fr-FR"/>
        </w:rPr>
        <w:t>Le processus de recrutement du Secrétaire exécutif a été entrepris par le PNUE, et le Secrétaire général a nommé Astrid Schomaker au poste de Secrétaire exécutive le 2 avril 2024. La nouvelle Secrétaire exécutive devrait prendre ses fonctions dans les semaines à venir.</w:t>
      </w:r>
    </w:p>
    <w:p w14:paraId="5B739F14" w14:textId="6B2BCCCA" w:rsidR="005C48E8" w:rsidRPr="00176BAB" w:rsidRDefault="00447848" w:rsidP="00B33B1E">
      <w:pPr>
        <w:pStyle w:val="Para10"/>
        <w:rPr>
          <w:color w:val="201F1E"/>
          <w:kern w:val="22"/>
          <w:szCs w:val="22"/>
          <w:lang w:val="fr-FR"/>
        </w:rPr>
      </w:pPr>
      <w:r w:rsidRPr="00176BAB">
        <w:rPr>
          <w:lang w:val="fr-FR" w:bidi="fr-FR"/>
        </w:rPr>
        <w:t xml:space="preserve">Dans sa décision 15/34, la Conférence des Parties a demandé à la Secrétaire exécutive </w:t>
      </w:r>
      <w:r w:rsidR="007A6A68">
        <w:rPr>
          <w:lang w:val="fr-FR" w:bidi="fr-FR"/>
        </w:rPr>
        <w:t>de réaliser</w:t>
      </w:r>
      <w:r w:rsidRPr="00176BAB">
        <w:rPr>
          <w:lang w:val="fr-FR" w:bidi="fr-FR"/>
        </w:rPr>
        <w:t xml:space="preserve"> un examen fonctionnel externe approfondi de la structure du Secrétariat, en vue d’actualiser sa structure et ses postes à la lumière du Cadre mondial pour la diversité biologique de Kunming-Montréal, pour examen par la Conférence des Parties lors de sa seizième réunion. En raison de la lourde charge de travail, des contraintes de capacité, de la prolongation du processus de recrutement du Secrétaire exécutif et de l’incertitude quant à la date de ce recrutement, l’examen fonctionnel n’a</w:t>
      </w:r>
      <w:r w:rsidR="00E61CDD">
        <w:rPr>
          <w:lang w:val="fr-FR" w:bidi="fr-FR"/>
        </w:rPr>
        <w:t>,</w:t>
      </w:r>
      <w:r w:rsidRPr="00176BAB">
        <w:rPr>
          <w:lang w:val="fr-FR" w:bidi="fr-FR"/>
        </w:rPr>
        <w:t xml:space="preserve"> </w:t>
      </w:r>
      <w:r w:rsidR="00A81953">
        <w:rPr>
          <w:lang w:val="fr-FR" w:bidi="fr-FR"/>
        </w:rPr>
        <w:t>à ce jour</w:t>
      </w:r>
      <w:r w:rsidR="00E61CDD">
        <w:rPr>
          <w:lang w:val="fr-FR" w:bidi="fr-FR"/>
        </w:rPr>
        <w:t>,</w:t>
      </w:r>
      <w:r w:rsidR="00A81953">
        <w:rPr>
          <w:lang w:val="fr-FR" w:bidi="fr-FR"/>
        </w:rPr>
        <w:t xml:space="preserve"> </w:t>
      </w:r>
      <w:r w:rsidRPr="00176BAB">
        <w:rPr>
          <w:lang w:val="fr-FR" w:bidi="fr-FR"/>
        </w:rPr>
        <w:t xml:space="preserve">pas été </w:t>
      </w:r>
      <w:r w:rsidR="00A81953">
        <w:rPr>
          <w:lang w:val="fr-FR" w:bidi="fr-FR"/>
        </w:rPr>
        <w:t>effectué</w:t>
      </w:r>
      <w:r w:rsidRPr="00176BAB">
        <w:rPr>
          <w:lang w:val="fr-FR" w:bidi="fr-FR"/>
        </w:rPr>
        <w:t>.</w:t>
      </w:r>
    </w:p>
    <w:p w14:paraId="751E67A1" w14:textId="5A1E5FB5" w:rsidR="00165403" w:rsidRPr="00BF6BF7" w:rsidRDefault="00B43012" w:rsidP="00BF6BF7">
      <w:pPr>
        <w:pStyle w:val="Paragraphedeliste"/>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rPr>
      </w:pPr>
      <w:r w:rsidRPr="00176BAB">
        <w:rPr>
          <w:snapToGrid w:val="0"/>
          <w:kern w:val="22"/>
          <w:szCs w:val="22"/>
          <w:lang w:bidi="fr-FR"/>
        </w:rPr>
        <w:t>__________</w:t>
      </w:r>
    </w:p>
    <w:sectPr w:rsidR="00165403" w:rsidRPr="00BF6BF7" w:rsidSect="000F7ADD">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45C6B" w14:textId="77777777" w:rsidR="000F7ADD" w:rsidRPr="00176BAB" w:rsidRDefault="000F7ADD">
      <w:r w:rsidRPr="00176BAB">
        <w:separator/>
      </w:r>
    </w:p>
  </w:endnote>
  <w:endnote w:type="continuationSeparator" w:id="0">
    <w:p w14:paraId="2B3AB442" w14:textId="77777777" w:rsidR="000F7ADD" w:rsidRPr="00176BAB" w:rsidRDefault="000F7ADD">
      <w:r w:rsidRPr="00176BAB">
        <w:continuationSeparator/>
      </w:r>
    </w:p>
  </w:endnote>
  <w:endnote w:type="continuationNotice" w:id="1">
    <w:p w14:paraId="62C94B04" w14:textId="77777777" w:rsidR="000F7ADD" w:rsidRPr="00176BAB" w:rsidRDefault="000F7A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082ACB" w14:textId="77777777" w:rsidR="000F7ADD" w:rsidRPr="00176BAB" w:rsidRDefault="000F7ADD">
      <w:r w:rsidRPr="00176BAB">
        <w:separator/>
      </w:r>
    </w:p>
  </w:footnote>
  <w:footnote w:type="continuationSeparator" w:id="0">
    <w:p w14:paraId="66363820" w14:textId="77777777" w:rsidR="000F7ADD" w:rsidRPr="00176BAB" w:rsidRDefault="000F7ADD">
      <w:r w:rsidRPr="00176BAB">
        <w:continuationSeparator/>
      </w:r>
    </w:p>
  </w:footnote>
  <w:footnote w:type="continuationNotice" w:id="1">
    <w:p w14:paraId="20204232" w14:textId="77777777" w:rsidR="000F7ADD" w:rsidRPr="00176BAB" w:rsidRDefault="000F7ADD"/>
  </w:footnote>
  <w:footnote w:id="2">
    <w:p w14:paraId="77ADD0F3" w14:textId="407F1774" w:rsidR="00490046" w:rsidRPr="00176BAB" w:rsidRDefault="00490046" w:rsidP="001F7A23">
      <w:pPr>
        <w:pStyle w:val="Notedebasdepage"/>
        <w:suppressLineNumbers/>
        <w:suppressAutoHyphens/>
        <w:kinsoku w:val="0"/>
        <w:overflowPunct w:val="0"/>
        <w:autoSpaceDE w:val="0"/>
        <w:autoSpaceDN w:val="0"/>
        <w:adjustRightInd w:val="0"/>
        <w:snapToGrid w:val="0"/>
        <w:jc w:val="left"/>
        <w:rPr>
          <w:snapToGrid w:val="0"/>
          <w:kern w:val="18"/>
          <w:szCs w:val="18"/>
        </w:rPr>
      </w:pPr>
      <w:r w:rsidRPr="00176BAB">
        <w:rPr>
          <w:rStyle w:val="Appelnotedebasdep"/>
          <w:snapToGrid w:val="0"/>
          <w:kern w:val="18"/>
          <w:sz w:val="18"/>
          <w:szCs w:val="18"/>
          <w:lang w:bidi="fr-FR"/>
        </w:rPr>
        <w:t>*</w:t>
      </w:r>
      <w:r w:rsidRPr="00176BAB">
        <w:rPr>
          <w:snapToGrid w:val="0"/>
          <w:kern w:val="18"/>
          <w:szCs w:val="18"/>
          <w:lang w:bidi="fr-FR"/>
        </w:rPr>
        <w:t xml:space="preserve"> </w:t>
      </w:r>
      <w:r w:rsidRPr="00176BAB">
        <w:rPr>
          <w:snapToGrid w:val="0"/>
          <w:kern w:val="18"/>
          <w:sz w:val="18"/>
          <w:szCs w:val="18"/>
          <w:lang w:bidi="fr-FR"/>
        </w:rPr>
        <w:t>CBD/SBI/4/1.</w:t>
      </w:r>
    </w:p>
  </w:footnote>
  <w:footnote w:id="3">
    <w:p w14:paraId="46D0ABCF" w14:textId="002D22B6" w:rsidR="00490046" w:rsidRPr="00B33B1E" w:rsidRDefault="00490046">
      <w:pPr>
        <w:pStyle w:val="Notedebasdepage"/>
        <w:rPr>
          <w:lang w:val="en-US"/>
        </w:rPr>
      </w:pPr>
      <w:r w:rsidRPr="00176BAB">
        <w:rPr>
          <w:rStyle w:val="Appelnotedebasdep"/>
          <w:lang w:bidi="fr-FR"/>
        </w:rPr>
        <w:footnoteRef/>
      </w:r>
      <w:r w:rsidRPr="00176BAB">
        <w:rPr>
          <w:lang w:bidi="fr-FR"/>
        </w:rPr>
        <w:t xml:space="preserve"> Voir </w:t>
      </w:r>
      <w:hyperlink r:id="rId1" w:history="1">
        <w:r w:rsidRPr="00176BAB">
          <w:rPr>
            <w:rStyle w:val="Lienhypertexte"/>
            <w:rFonts w:asciiTheme="majorBidi" w:hAnsiTheme="majorBidi" w:cstheme="majorBidi"/>
            <w:szCs w:val="18"/>
            <w:lang w:bidi="fr-FR"/>
          </w:rPr>
          <w:t>www.cbd.int/information/adm-fin/</w:t>
        </w:r>
      </w:hyperlink>
      <w:r w:rsidRPr="00176BAB">
        <w:rPr>
          <w:color w:val="000000" w:themeColor="text1"/>
          <w:kern w:val="20"/>
          <w:sz w:val="18"/>
          <w:szCs w:val="18"/>
          <w:lang w:bidi="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0000"/>
        <w:kern w:val="22"/>
        <w:sz w:val="20"/>
        <w:szCs w:val="20"/>
      </w:rPr>
      <w:alias w:val="Subject"/>
      <w:tag w:val=""/>
      <w:id w:val="-1681427792"/>
      <w:placeholder>
        <w:docPart w:val="9919A4354EBC4BE1BA94F6627C7FA73F"/>
      </w:placeholder>
      <w:dataBinding w:prefixMappings="xmlns:ns0='http://purl.org/dc/elements/1.1/' xmlns:ns1='http://schemas.openxmlformats.org/package/2006/metadata/core-properties' " w:xpath="/ns1:coreProperties[1]/ns0:subject[1]" w:storeItemID="{6C3C8BC8-F283-45AE-878A-BAB7291924A1}"/>
      <w:text/>
    </w:sdtPr>
    <w:sdtEndPr/>
    <w:sdtContent>
      <w:p w14:paraId="7B0E8751" w14:textId="1B8F7FC5" w:rsidR="00490046" w:rsidRPr="00176BAB" w:rsidRDefault="00490046" w:rsidP="00FE7DD7">
        <w:pPr>
          <w:suppressLineNumbers/>
          <w:pBdr>
            <w:bottom w:val="single" w:sz="4" w:space="1" w:color="auto"/>
          </w:pBdr>
          <w:suppressAutoHyphens/>
          <w:spacing w:after="240"/>
          <w:ind w:right="4"/>
          <w:rPr>
            <w:color w:val="000000"/>
            <w:kern w:val="22"/>
            <w:sz w:val="20"/>
            <w:szCs w:val="20"/>
          </w:rPr>
        </w:pPr>
        <w:r w:rsidRPr="00176BAB">
          <w:rPr>
            <w:color w:val="000000"/>
            <w:kern w:val="22"/>
            <w:sz w:val="20"/>
            <w:szCs w:val="20"/>
            <w:lang w:bidi="fr-FR"/>
          </w:rPr>
          <w:t>CBD/SBI/4/16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0000"/>
        <w:kern w:val="20"/>
        <w:sz w:val="20"/>
        <w:szCs w:val="20"/>
      </w:rPr>
      <w:alias w:val="Subject"/>
      <w:tag w:val=""/>
      <w:id w:val="-593560817"/>
      <w:placeholder>
        <w:docPart w:val="A845CFAF5A0D4443A20DDFE7D502BA94"/>
      </w:placeholder>
      <w:dataBinding w:prefixMappings="xmlns:ns0='http://purl.org/dc/elements/1.1/' xmlns:ns1='http://schemas.openxmlformats.org/package/2006/metadata/core-properties' " w:xpath="/ns1:coreProperties[1]/ns0:subject[1]" w:storeItemID="{6C3C8BC8-F283-45AE-878A-BAB7291924A1}"/>
      <w:text/>
    </w:sdtPr>
    <w:sdtEndPr/>
    <w:sdtContent>
      <w:p w14:paraId="750FF8AC" w14:textId="7A5586AC" w:rsidR="00490046" w:rsidRPr="00176BAB" w:rsidRDefault="00490046" w:rsidP="00FE7DD7">
        <w:pPr>
          <w:suppressLineNumbers/>
          <w:pBdr>
            <w:bottom w:val="single" w:sz="4" w:space="1" w:color="auto"/>
          </w:pBdr>
          <w:suppressAutoHyphens/>
          <w:spacing w:after="240"/>
          <w:ind w:right="4"/>
          <w:jc w:val="right"/>
          <w:rPr>
            <w:color w:val="000000"/>
            <w:kern w:val="20"/>
            <w:sz w:val="20"/>
            <w:szCs w:val="20"/>
          </w:rPr>
        </w:pPr>
        <w:r w:rsidRPr="00176BAB">
          <w:rPr>
            <w:color w:val="000000"/>
            <w:kern w:val="20"/>
            <w:sz w:val="20"/>
            <w:szCs w:val="20"/>
            <w:lang w:bidi="fr-FR"/>
          </w:rPr>
          <w:t>CBD/SBI/4/16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3396"/>
    <w:multiLevelType w:val="hybridMultilevel"/>
    <w:tmpl w:val="72D843A8"/>
    <w:lvl w:ilvl="0" w:tplc="E9BA1F98">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7E3E3A"/>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6B132F"/>
    <w:multiLevelType w:val="hybridMultilevel"/>
    <w:tmpl w:val="30BAA3BE"/>
    <w:lvl w:ilvl="0" w:tplc="CE0E80CE">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7B00225"/>
    <w:multiLevelType w:val="hybridMultilevel"/>
    <w:tmpl w:val="EE5E2732"/>
    <w:lvl w:ilvl="0" w:tplc="0854CD12">
      <w:start w:val="1"/>
      <w:numFmt w:val="bullet"/>
      <w:lvlText w:val=""/>
      <w:lvlJc w:val="left"/>
      <w:pPr>
        <w:ind w:left="720" w:hanging="360"/>
      </w:pPr>
      <w:rPr>
        <w:rFonts w:ascii="Symbol" w:hAnsi="Symbol"/>
      </w:rPr>
    </w:lvl>
    <w:lvl w:ilvl="1" w:tplc="ACEC571A">
      <w:start w:val="1"/>
      <w:numFmt w:val="bullet"/>
      <w:lvlText w:val=""/>
      <w:lvlJc w:val="left"/>
      <w:pPr>
        <w:ind w:left="720" w:hanging="360"/>
      </w:pPr>
      <w:rPr>
        <w:rFonts w:ascii="Symbol" w:hAnsi="Symbol"/>
      </w:rPr>
    </w:lvl>
    <w:lvl w:ilvl="2" w:tplc="F55A3D8E">
      <w:start w:val="1"/>
      <w:numFmt w:val="bullet"/>
      <w:lvlText w:val=""/>
      <w:lvlJc w:val="left"/>
      <w:pPr>
        <w:ind w:left="720" w:hanging="360"/>
      </w:pPr>
      <w:rPr>
        <w:rFonts w:ascii="Symbol" w:hAnsi="Symbol"/>
      </w:rPr>
    </w:lvl>
    <w:lvl w:ilvl="3" w:tplc="CC16F7EE">
      <w:start w:val="1"/>
      <w:numFmt w:val="bullet"/>
      <w:lvlText w:val=""/>
      <w:lvlJc w:val="left"/>
      <w:pPr>
        <w:ind w:left="720" w:hanging="360"/>
      </w:pPr>
      <w:rPr>
        <w:rFonts w:ascii="Symbol" w:hAnsi="Symbol"/>
      </w:rPr>
    </w:lvl>
    <w:lvl w:ilvl="4" w:tplc="FBA0EDA8">
      <w:start w:val="1"/>
      <w:numFmt w:val="bullet"/>
      <w:lvlText w:val=""/>
      <w:lvlJc w:val="left"/>
      <w:pPr>
        <w:ind w:left="720" w:hanging="360"/>
      </w:pPr>
      <w:rPr>
        <w:rFonts w:ascii="Symbol" w:hAnsi="Symbol"/>
      </w:rPr>
    </w:lvl>
    <w:lvl w:ilvl="5" w:tplc="E172526C">
      <w:start w:val="1"/>
      <w:numFmt w:val="bullet"/>
      <w:lvlText w:val=""/>
      <w:lvlJc w:val="left"/>
      <w:pPr>
        <w:ind w:left="720" w:hanging="360"/>
      </w:pPr>
      <w:rPr>
        <w:rFonts w:ascii="Symbol" w:hAnsi="Symbol"/>
      </w:rPr>
    </w:lvl>
    <w:lvl w:ilvl="6" w:tplc="7B88A51E">
      <w:start w:val="1"/>
      <w:numFmt w:val="bullet"/>
      <w:lvlText w:val=""/>
      <w:lvlJc w:val="left"/>
      <w:pPr>
        <w:ind w:left="720" w:hanging="360"/>
      </w:pPr>
      <w:rPr>
        <w:rFonts w:ascii="Symbol" w:hAnsi="Symbol"/>
      </w:rPr>
    </w:lvl>
    <w:lvl w:ilvl="7" w:tplc="20EA074C">
      <w:start w:val="1"/>
      <w:numFmt w:val="bullet"/>
      <w:lvlText w:val=""/>
      <w:lvlJc w:val="left"/>
      <w:pPr>
        <w:ind w:left="720" w:hanging="360"/>
      </w:pPr>
      <w:rPr>
        <w:rFonts w:ascii="Symbol" w:hAnsi="Symbol"/>
      </w:rPr>
    </w:lvl>
    <w:lvl w:ilvl="8" w:tplc="3C10BD34">
      <w:start w:val="1"/>
      <w:numFmt w:val="bullet"/>
      <w:lvlText w:val=""/>
      <w:lvlJc w:val="left"/>
      <w:pPr>
        <w:ind w:left="720" w:hanging="360"/>
      </w:pPr>
      <w:rPr>
        <w:rFonts w:ascii="Symbol" w:hAnsi="Symbol"/>
      </w:rPr>
    </w:lvl>
  </w:abstractNum>
  <w:abstractNum w:abstractNumId="5" w15:restartNumberingAfterBreak="0">
    <w:nsid w:val="180652D3"/>
    <w:multiLevelType w:val="hybridMultilevel"/>
    <w:tmpl w:val="3E62812A"/>
    <w:lvl w:ilvl="0" w:tplc="AEFC7200">
      <w:start w:val="1"/>
      <w:numFmt w:val="bullet"/>
      <w:lvlText w:val=""/>
      <w:lvlJc w:val="left"/>
      <w:pPr>
        <w:ind w:left="720" w:hanging="360"/>
      </w:pPr>
      <w:rPr>
        <w:rFonts w:ascii="Symbol" w:hAnsi="Symbol"/>
      </w:rPr>
    </w:lvl>
    <w:lvl w:ilvl="1" w:tplc="078E3188">
      <w:start w:val="1"/>
      <w:numFmt w:val="bullet"/>
      <w:lvlText w:val=""/>
      <w:lvlJc w:val="left"/>
      <w:pPr>
        <w:ind w:left="720" w:hanging="360"/>
      </w:pPr>
      <w:rPr>
        <w:rFonts w:ascii="Symbol" w:hAnsi="Symbol"/>
      </w:rPr>
    </w:lvl>
    <w:lvl w:ilvl="2" w:tplc="7C9877FA">
      <w:start w:val="1"/>
      <w:numFmt w:val="bullet"/>
      <w:lvlText w:val=""/>
      <w:lvlJc w:val="left"/>
      <w:pPr>
        <w:ind w:left="720" w:hanging="360"/>
      </w:pPr>
      <w:rPr>
        <w:rFonts w:ascii="Symbol" w:hAnsi="Symbol"/>
      </w:rPr>
    </w:lvl>
    <w:lvl w:ilvl="3" w:tplc="2B6E886A">
      <w:start w:val="1"/>
      <w:numFmt w:val="bullet"/>
      <w:lvlText w:val=""/>
      <w:lvlJc w:val="left"/>
      <w:pPr>
        <w:ind w:left="720" w:hanging="360"/>
      </w:pPr>
      <w:rPr>
        <w:rFonts w:ascii="Symbol" w:hAnsi="Symbol"/>
      </w:rPr>
    </w:lvl>
    <w:lvl w:ilvl="4" w:tplc="BD608A66">
      <w:start w:val="1"/>
      <w:numFmt w:val="bullet"/>
      <w:lvlText w:val=""/>
      <w:lvlJc w:val="left"/>
      <w:pPr>
        <w:ind w:left="720" w:hanging="360"/>
      </w:pPr>
      <w:rPr>
        <w:rFonts w:ascii="Symbol" w:hAnsi="Symbol"/>
      </w:rPr>
    </w:lvl>
    <w:lvl w:ilvl="5" w:tplc="D63EB6D6">
      <w:start w:val="1"/>
      <w:numFmt w:val="bullet"/>
      <w:lvlText w:val=""/>
      <w:lvlJc w:val="left"/>
      <w:pPr>
        <w:ind w:left="720" w:hanging="360"/>
      </w:pPr>
      <w:rPr>
        <w:rFonts w:ascii="Symbol" w:hAnsi="Symbol"/>
      </w:rPr>
    </w:lvl>
    <w:lvl w:ilvl="6" w:tplc="B420A5EE">
      <w:start w:val="1"/>
      <w:numFmt w:val="bullet"/>
      <w:lvlText w:val=""/>
      <w:lvlJc w:val="left"/>
      <w:pPr>
        <w:ind w:left="720" w:hanging="360"/>
      </w:pPr>
      <w:rPr>
        <w:rFonts w:ascii="Symbol" w:hAnsi="Symbol"/>
      </w:rPr>
    </w:lvl>
    <w:lvl w:ilvl="7" w:tplc="06EAB31A">
      <w:start w:val="1"/>
      <w:numFmt w:val="bullet"/>
      <w:lvlText w:val=""/>
      <w:lvlJc w:val="left"/>
      <w:pPr>
        <w:ind w:left="720" w:hanging="360"/>
      </w:pPr>
      <w:rPr>
        <w:rFonts w:ascii="Symbol" w:hAnsi="Symbol"/>
      </w:rPr>
    </w:lvl>
    <w:lvl w:ilvl="8" w:tplc="7A7A2F50">
      <w:start w:val="1"/>
      <w:numFmt w:val="bullet"/>
      <w:lvlText w:val=""/>
      <w:lvlJc w:val="left"/>
      <w:pPr>
        <w:ind w:left="720" w:hanging="360"/>
      </w:pPr>
      <w:rPr>
        <w:rFonts w:ascii="Symbol" w:hAnsi="Symbol"/>
      </w:rPr>
    </w:lvl>
  </w:abstractNum>
  <w:abstractNum w:abstractNumId="6" w15:restartNumberingAfterBreak="0">
    <w:nsid w:val="1F6F2BCB"/>
    <w:multiLevelType w:val="hybridMultilevel"/>
    <w:tmpl w:val="AF6C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4617158B"/>
    <w:multiLevelType w:val="hybridMultilevel"/>
    <w:tmpl w:val="2DAEBC5C"/>
    <w:lvl w:ilvl="0" w:tplc="945E66FE">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6463234"/>
    <w:multiLevelType w:val="hybridMultilevel"/>
    <w:tmpl w:val="E80CC72C"/>
    <w:lvl w:ilvl="0" w:tplc="366E62FE">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400F3"/>
    <w:multiLevelType w:val="hybridMultilevel"/>
    <w:tmpl w:val="55CE2C4C"/>
    <w:lvl w:ilvl="0" w:tplc="DBFAB6CA">
      <w:start w:val="1"/>
      <w:numFmt w:val="bullet"/>
      <w:lvlText w:val=""/>
      <w:lvlJc w:val="left"/>
      <w:pPr>
        <w:ind w:left="720" w:hanging="360"/>
      </w:pPr>
      <w:rPr>
        <w:rFonts w:ascii="Symbol" w:hAnsi="Symbol"/>
      </w:rPr>
    </w:lvl>
    <w:lvl w:ilvl="1" w:tplc="F45888EA">
      <w:start w:val="1"/>
      <w:numFmt w:val="bullet"/>
      <w:lvlText w:val=""/>
      <w:lvlJc w:val="left"/>
      <w:pPr>
        <w:ind w:left="720" w:hanging="360"/>
      </w:pPr>
      <w:rPr>
        <w:rFonts w:ascii="Symbol" w:hAnsi="Symbol"/>
      </w:rPr>
    </w:lvl>
    <w:lvl w:ilvl="2" w:tplc="F6BE9C5A">
      <w:start w:val="1"/>
      <w:numFmt w:val="bullet"/>
      <w:lvlText w:val=""/>
      <w:lvlJc w:val="left"/>
      <w:pPr>
        <w:ind w:left="720" w:hanging="360"/>
      </w:pPr>
      <w:rPr>
        <w:rFonts w:ascii="Symbol" w:hAnsi="Symbol"/>
      </w:rPr>
    </w:lvl>
    <w:lvl w:ilvl="3" w:tplc="978C6EE4">
      <w:start w:val="1"/>
      <w:numFmt w:val="bullet"/>
      <w:lvlText w:val=""/>
      <w:lvlJc w:val="left"/>
      <w:pPr>
        <w:ind w:left="720" w:hanging="360"/>
      </w:pPr>
      <w:rPr>
        <w:rFonts w:ascii="Symbol" w:hAnsi="Symbol"/>
      </w:rPr>
    </w:lvl>
    <w:lvl w:ilvl="4" w:tplc="B762C39C">
      <w:start w:val="1"/>
      <w:numFmt w:val="bullet"/>
      <w:lvlText w:val=""/>
      <w:lvlJc w:val="left"/>
      <w:pPr>
        <w:ind w:left="720" w:hanging="360"/>
      </w:pPr>
      <w:rPr>
        <w:rFonts w:ascii="Symbol" w:hAnsi="Symbol"/>
      </w:rPr>
    </w:lvl>
    <w:lvl w:ilvl="5" w:tplc="E0D04BB0">
      <w:start w:val="1"/>
      <w:numFmt w:val="bullet"/>
      <w:lvlText w:val=""/>
      <w:lvlJc w:val="left"/>
      <w:pPr>
        <w:ind w:left="720" w:hanging="360"/>
      </w:pPr>
      <w:rPr>
        <w:rFonts w:ascii="Symbol" w:hAnsi="Symbol"/>
      </w:rPr>
    </w:lvl>
    <w:lvl w:ilvl="6" w:tplc="3328056E">
      <w:start w:val="1"/>
      <w:numFmt w:val="bullet"/>
      <w:lvlText w:val=""/>
      <w:lvlJc w:val="left"/>
      <w:pPr>
        <w:ind w:left="720" w:hanging="360"/>
      </w:pPr>
      <w:rPr>
        <w:rFonts w:ascii="Symbol" w:hAnsi="Symbol"/>
      </w:rPr>
    </w:lvl>
    <w:lvl w:ilvl="7" w:tplc="A0C2CDB0">
      <w:start w:val="1"/>
      <w:numFmt w:val="bullet"/>
      <w:lvlText w:val=""/>
      <w:lvlJc w:val="left"/>
      <w:pPr>
        <w:ind w:left="720" w:hanging="360"/>
      </w:pPr>
      <w:rPr>
        <w:rFonts w:ascii="Symbol" w:hAnsi="Symbol"/>
      </w:rPr>
    </w:lvl>
    <w:lvl w:ilvl="8" w:tplc="61E62E58">
      <w:start w:val="1"/>
      <w:numFmt w:val="bullet"/>
      <w:lvlText w:val=""/>
      <w:lvlJc w:val="left"/>
      <w:pPr>
        <w:ind w:left="720" w:hanging="360"/>
      </w:pPr>
      <w:rPr>
        <w:rFonts w:ascii="Symbol" w:hAnsi="Symbol"/>
      </w:r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863B53"/>
    <w:multiLevelType w:val="hybridMultilevel"/>
    <w:tmpl w:val="4E9C1730"/>
    <w:lvl w:ilvl="0" w:tplc="14601414">
      <w:start w:val="1"/>
      <w:numFmt w:val="bullet"/>
      <w:lvlText w:val=""/>
      <w:lvlJc w:val="left"/>
      <w:pPr>
        <w:ind w:left="720" w:hanging="360"/>
      </w:pPr>
      <w:rPr>
        <w:rFonts w:ascii="Symbol" w:hAnsi="Symbol"/>
      </w:rPr>
    </w:lvl>
    <w:lvl w:ilvl="1" w:tplc="CBA05DE2">
      <w:start w:val="1"/>
      <w:numFmt w:val="bullet"/>
      <w:lvlText w:val=""/>
      <w:lvlJc w:val="left"/>
      <w:pPr>
        <w:ind w:left="720" w:hanging="360"/>
      </w:pPr>
      <w:rPr>
        <w:rFonts w:ascii="Symbol" w:hAnsi="Symbol"/>
      </w:rPr>
    </w:lvl>
    <w:lvl w:ilvl="2" w:tplc="F97E1B16">
      <w:start w:val="1"/>
      <w:numFmt w:val="bullet"/>
      <w:lvlText w:val=""/>
      <w:lvlJc w:val="left"/>
      <w:pPr>
        <w:ind w:left="720" w:hanging="360"/>
      </w:pPr>
      <w:rPr>
        <w:rFonts w:ascii="Symbol" w:hAnsi="Symbol"/>
      </w:rPr>
    </w:lvl>
    <w:lvl w:ilvl="3" w:tplc="7DF22AE0">
      <w:start w:val="1"/>
      <w:numFmt w:val="bullet"/>
      <w:lvlText w:val=""/>
      <w:lvlJc w:val="left"/>
      <w:pPr>
        <w:ind w:left="720" w:hanging="360"/>
      </w:pPr>
      <w:rPr>
        <w:rFonts w:ascii="Symbol" w:hAnsi="Symbol"/>
      </w:rPr>
    </w:lvl>
    <w:lvl w:ilvl="4" w:tplc="3438D0A2">
      <w:start w:val="1"/>
      <w:numFmt w:val="bullet"/>
      <w:lvlText w:val=""/>
      <w:lvlJc w:val="left"/>
      <w:pPr>
        <w:ind w:left="720" w:hanging="360"/>
      </w:pPr>
      <w:rPr>
        <w:rFonts w:ascii="Symbol" w:hAnsi="Symbol"/>
      </w:rPr>
    </w:lvl>
    <w:lvl w:ilvl="5" w:tplc="60D8CB40">
      <w:start w:val="1"/>
      <w:numFmt w:val="bullet"/>
      <w:lvlText w:val=""/>
      <w:lvlJc w:val="left"/>
      <w:pPr>
        <w:ind w:left="720" w:hanging="360"/>
      </w:pPr>
      <w:rPr>
        <w:rFonts w:ascii="Symbol" w:hAnsi="Symbol"/>
      </w:rPr>
    </w:lvl>
    <w:lvl w:ilvl="6" w:tplc="D352AB16">
      <w:start w:val="1"/>
      <w:numFmt w:val="bullet"/>
      <w:lvlText w:val=""/>
      <w:lvlJc w:val="left"/>
      <w:pPr>
        <w:ind w:left="720" w:hanging="360"/>
      </w:pPr>
      <w:rPr>
        <w:rFonts w:ascii="Symbol" w:hAnsi="Symbol"/>
      </w:rPr>
    </w:lvl>
    <w:lvl w:ilvl="7" w:tplc="1024B1FC">
      <w:start w:val="1"/>
      <w:numFmt w:val="bullet"/>
      <w:lvlText w:val=""/>
      <w:lvlJc w:val="left"/>
      <w:pPr>
        <w:ind w:left="720" w:hanging="360"/>
      </w:pPr>
      <w:rPr>
        <w:rFonts w:ascii="Symbol" w:hAnsi="Symbol"/>
      </w:rPr>
    </w:lvl>
    <w:lvl w:ilvl="8" w:tplc="A470DA50">
      <w:start w:val="1"/>
      <w:numFmt w:val="bullet"/>
      <w:lvlText w:val=""/>
      <w:lvlJc w:val="left"/>
      <w:pPr>
        <w:ind w:left="720" w:hanging="360"/>
      </w:pPr>
      <w:rPr>
        <w:rFonts w:ascii="Symbol" w:hAnsi="Symbol"/>
      </w:rPr>
    </w:lvl>
  </w:abstractNum>
  <w:abstractNum w:abstractNumId="15" w15:restartNumberingAfterBreak="0">
    <w:nsid w:val="504D6AE4"/>
    <w:multiLevelType w:val="hybridMultilevel"/>
    <w:tmpl w:val="D8889D02"/>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9F854D6"/>
    <w:multiLevelType w:val="hybridMultilevel"/>
    <w:tmpl w:val="B8ECC764"/>
    <w:lvl w:ilvl="0" w:tplc="E8F23F10">
      <w:start w:val="1"/>
      <w:numFmt w:val="bullet"/>
      <w:lvlText w:val=""/>
      <w:lvlJc w:val="left"/>
      <w:pPr>
        <w:ind w:left="720" w:hanging="360"/>
      </w:pPr>
      <w:rPr>
        <w:rFonts w:ascii="Symbol" w:hAnsi="Symbol"/>
      </w:rPr>
    </w:lvl>
    <w:lvl w:ilvl="1" w:tplc="D74E7220">
      <w:start w:val="1"/>
      <w:numFmt w:val="bullet"/>
      <w:lvlText w:val=""/>
      <w:lvlJc w:val="left"/>
      <w:pPr>
        <w:ind w:left="720" w:hanging="360"/>
      </w:pPr>
      <w:rPr>
        <w:rFonts w:ascii="Symbol" w:hAnsi="Symbol"/>
      </w:rPr>
    </w:lvl>
    <w:lvl w:ilvl="2" w:tplc="C53C358C">
      <w:start w:val="1"/>
      <w:numFmt w:val="bullet"/>
      <w:lvlText w:val=""/>
      <w:lvlJc w:val="left"/>
      <w:pPr>
        <w:ind w:left="720" w:hanging="360"/>
      </w:pPr>
      <w:rPr>
        <w:rFonts w:ascii="Symbol" w:hAnsi="Symbol"/>
      </w:rPr>
    </w:lvl>
    <w:lvl w:ilvl="3" w:tplc="B3321304">
      <w:start w:val="1"/>
      <w:numFmt w:val="bullet"/>
      <w:lvlText w:val=""/>
      <w:lvlJc w:val="left"/>
      <w:pPr>
        <w:ind w:left="720" w:hanging="360"/>
      </w:pPr>
      <w:rPr>
        <w:rFonts w:ascii="Symbol" w:hAnsi="Symbol"/>
      </w:rPr>
    </w:lvl>
    <w:lvl w:ilvl="4" w:tplc="F6107AC6">
      <w:start w:val="1"/>
      <w:numFmt w:val="bullet"/>
      <w:lvlText w:val=""/>
      <w:lvlJc w:val="left"/>
      <w:pPr>
        <w:ind w:left="720" w:hanging="360"/>
      </w:pPr>
      <w:rPr>
        <w:rFonts w:ascii="Symbol" w:hAnsi="Symbol"/>
      </w:rPr>
    </w:lvl>
    <w:lvl w:ilvl="5" w:tplc="8846571C">
      <w:start w:val="1"/>
      <w:numFmt w:val="bullet"/>
      <w:lvlText w:val=""/>
      <w:lvlJc w:val="left"/>
      <w:pPr>
        <w:ind w:left="720" w:hanging="360"/>
      </w:pPr>
      <w:rPr>
        <w:rFonts w:ascii="Symbol" w:hAnsi="Symbol"/>
      </w:rPr>
    </w:lvl>
    <w:lvl w:ilvl="6" w:tplc="1F487676">
      <w:start w:val="1"/>
      <w:numFmt w:val="bullet"/>
      <w:lvlText w:val=""/>
      <w:lvlJc w:val="left"/>
      <w:pPr>
        <w:ind w:left="720" w:hanging="360"/>
      </w:pPr>
      <w:rPr>
        <w:rFonts w:ascii="Symbol" w:hAnsi="Symbol"/>
      </w:rPr>
    </w:lvl>
    <w:lvl w:ilvl="7" w:tplc="110C5A46">
      <w:start w:val="1"/>
      <w:numFmt w:val="bullet"/>
      <w:lvlText w:val=""/>
      <w:lvlJc w:val="left"/>
      <w:pPr>
        <w:ind w:left="720" w:hanging="360"/>
      </w:pPr>
      <w:rPr>
        <w:rFonts w:ascii="Symbol" w:hAnsi="Symbol"/>
      </w:rPr>
    </w:lvl>
    <w:lvl w:ilvl="8" w:tplc="B6461BBA">
      <w:start w:val="1"/>
      <w:numFmt w:val="bullet"/>
      <w:lvlText w:val=""/>
      <w:lvlJc w:val="left"/>
      <w:pPr>
        <w:ind w:left="720" w:hanging="360"/>
      </w:pPr>
      <w:rPr>
        <w:rFonts w:ascii="Symbol" w:hAnsi="Symbol"/>
      </w:rPr>
    </w:lvl>
  </w:abstractNum>
  <w:abstractNum w:abstractNumId="18" w15:restartNumberingAfterBreak="0">
    <w:nsid w:val="5A9E2288"/>
    <w:multiLevelType w:val="hybridMultilevel"/>
    <w:tmpl w:val="F4BC57A8"/>
    <w:lvl w:ilvl="0" w:tplc="3E300800">
      <w:start w:val="1"/>
      <w:numFmt w:val="bullet"/>
      <w:lvlText w:val=""/>
      <w:lvlJc w:val="left"/>
      <w:pPr>
        <w:ind w:left="720" w:hanging="360"/>
      </w:pPr>
      <w:rPr>
        <w:rFonts w:ascii="Symbol" w:hAnsi="Symbol"/>
      </w:rPr>
    </w:lvl>
    <w:lvl w:ilvl="1" w:tplc="3792361A">
      <w:start w:val="1"/>
      <w:numFmt w:val="bullet"/>
      <w:lvlText w:val=""/>
      <w:lvlJc w:val="left"/>
      <w:pPr>
        <w:ind w:left="720" w:hanging="360"/>
      </w:pPr>
      <w:rPr>
        <w:rFonts w:ascii="Symbol" w:hAnsi="Symbol"/>
      </w:rPr>
    </w:lvl>
    <w:lvl w:ilvl="2" w:tplc="E47020C6">
      <w:start w:val="1"/>
      <w:numFmt w:val="bullet"/>
      <w:lvlText w:val=""/>
      <w:lvlJc w:val="left"/>
      <w:pPr>
        <w:ind w:left="720" w:hanging="360"/>
      </w:pPr>
      <w:rPr>
        <w:rFonts w:ascii="Symbol" w:hAnsi="Symbol"/>
      </w:rPr>
    </w:lvl>
    <w:lvl w:ilvl="3" w:tplc="A0461A48">
      <w:start w:val="1"/>
      <w:numFmt w:val="bullet"/>
      <w:lvlText w:val=""/>
      <w:lvlJc w:val="left"/>
      <w:pPr>
        <w:ind w:left="720" w:hanging="360"/>
      </w:pPr>
      <w:rPr>
        <w:rFonts w:ascii="Symbol" w:hAnsi="Symbol"/>
      </w:rPr>
    </w:lvl>
    <w:lvl w:ilvl="4" w:tplc="A772640A">
      <w:start w:val="1"/>
      <w:numFmt w:val="bullet"/>
      <w:lvlText w:val=""/>
      <w:lvlJc w:val="left"/>
      <w:pPr>
        <w:ind w:left="720" w:hanging="360"/>
      </w:pPr>
      <w:rPr>
        <w:rFonts w:ascii="Symbol" w:hAnsi="Symbol"/>
      </w:rPr>
    </w:lvl>
    <w:lvl w:ilvl="5" w:tplc="6F38385C">
      <w:start w:val="1"/>
      <w:numFmt w:val="bullet"/>
      <w:lvlText w:val=""/>
      <w:lvlJc w:val="left"/>
      <w:pPr>
        <w:ind w:left="720" w:hanging="360"/>
      </w:pPr>
      <w:rPr>
        <w:rFonts w:ascii="Symbol" w:hAnsi="Symbol"/>
      </w:rPr>
    </w:lvl>
    <w:lvl w:ilvl="6" w:tplc="90F0C094">
      <w:start w:val="1"/>
      <w:numFmt w:val="bullet"/>
      <w:lvlText w:val=""/>
      <w:lvlJc w:val="left"/>
      <w:pPr>
        <w:ind w:left="720" w:hanging="360"/>
      </w:pPr>
      <w:rPr>
        <w:rFonts w:ascii="Symbol" w:hAnsi="Symbol"/>
      </w:rPr>
    </w:lvl>
    <w:lvl w:ilvl="7" w:tplc="7150798C">
      <w:start w:val="1"/>
      <w:numFmt w:val="bullet"/>
      <w:lvlText w:val=""/>
      <w:lvlJc w:val="left"/>
      <w:pPr>
        <w:ind w:left="720" w:hanging="360"/>
      </w:pPr>
      <w:rPr>
        <w:rFonts w:ascii="Symbol" w:hAnsi="Symbol"/>
      </w:rPr>
    </w:lvl>
    <w:lvl w:ilvl="8" w:tplc="4EA6B072">
      <w:start w:val="1"/>
      <w:numFmt w:val="bullet"/>
      <w:lvlText w:val=""/>
      <w:lvlJc w:val="left"/>
      <w:pPr>
        <w:ind w:left="720" w:hanging="360"/>
      </w:pPr>
      <w:rPr>
        <w:rFonts w:ascii="Symbol" w:hAnsi="Symbol"/>
      </w:rPr>
    </w:lvl>
  </w:abstractNum>
  <w:abstractNum w:abstractNumId="19" w15:restartNumberingAfterBreak="0">
    <w:nsid w:val="5D635B69"/>
    <w:multiLevelType w:val="hybridMultilevel"/>
    <w:tmpl w:val="F97A519E"/>
    <w:lvl w:ilvl="0" w:tplc="A386BEBC">
      <w:start w:val="1"/>
      <w:numFmt w:val="decimal"/>
      <w:lvlText w:val="%1."/>
      <w:lvlJc w:val="left"/>
      <w:pPr>
        <w:ind w:left="720" w:hanging="360"/>
      </w:pPr>
      <w:rPr>
        <w:rFonts w:hint="default"/>
        <w:i w:val="0"/>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6546C68"/>
    <w:multiLevelType w:val="hybridMultilevel"/>
    <w:tmpl w:val="4C76AE36"/>
    <w:lvl w:ilvl="0" w:tplc="ECF65FCE">
      <w:start w:val="1"/>
      <w:numFmt w:val="upperLetter"/>
      <w:lvlText w:val="%1."/>
      <w:lvlJc w:val="left"/>
      <w:pPr>
        <w:ind w:left="25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8B70991"/>
    <w:multiLevelType w:val="hybridMultilevel"/>
    <w:tmpl w:val="0E08B490"/>
    <w:lvl w:ilvl="0" w:tplc="93E64524">
      <w:start w:val="1"/>
      <w:numFmt w:val="decimal"/>
      <w:pStyle w:val="Para10"/>
      <w:lvlText w:val="%1."/>
      <w:lvlJc w:val="left"/>
      <w:pPr>
        <w:ind w:left="927" w:hanging="360"/>
      </w:pPr>
      <w:rPr>
        <w:rFonts w:hint="default"/>
        <w:b w:val="0"/>
        <w:bCs w:val="0"/>
        <w:i w:val="0"/>
        <w:iCs w:val="0"/>
        <w:color w:val="auto"/>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D669BA"/>
    <w:multiLevelType w:val="hybridMultilevel"/>
    <w:tmpl w:val="C4D0E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B16658"/>
    <w:multiLevelType w:val="hybridMultilevel"/>
    <w:tmpl w:val="F6CC9B22"/>
    <w:lvl w:ilvl="0" w:tplc="105CEECA">
      <w:start w:val="1"/>
      <w:numFmt w:val="bullet"/>
      <w:lvlText w:val=""/>
      <w:lvlJc w:val="left"/>
      <w:pPr>
        <w:ind w:left="720" w:hanging="360"/>
      </w:pPr>
      <w:rPr>
        <w:rFonts w:ascii="Symbol" w:hAnsi="Symbol"/>
      </w:rPr>
    </w:lvl>
    <w:lvl w:ilvl="1" w:tplc="6248D51A">
      <w:start w:val="1"/>
      <w:numFmt w:val="bullet"/>
      <w:lvlText w:val=""/>
      <w:lvlJc w:val="left"/>
      <w:pPr>
        <w:ind w:left="720" w:hanging="360"/>
      </w:pPr>
      <w:rPr>
        <w:rFonts w:ascii="Symbol" w:hAnsi="Symbol"/>
      </w:rPr>
    </w:lvl>
    <w:lvl w:ilvl="2" w:tplc="F8BE3066">
      <w:start w:val="1"/>
      <w:numFmt w:val="bullet"/>
      <w:lvlText w:val=""/>
      <w:lvlJc w:val="left"/>
      <w:pPr>
        <w:ind w:left="720" w:hanging="360"/>
      </w:pPr>
      <w:rPr>
        <w:rFonts w:ascii="Symbol" w:hAnsi="Symbol"/>
      </w:rPr>
    </w:lvl>
    <w:lvl w:ilvl="3" w:tplc="1360A736">
      <w:start w:val="1"/>
      <w:numFmt w:val="bullet"/>
      <w:lvlText w:val=""/>
      <w:lvlJc w:val="left"/>
      <w:pPr>
        <w:ind w:left="720" w:hanging="360"/>
      </w:pPr>
      <w:rPr>
        <w:rFonts w:ascii="Symbol" w:hAnsi="Symbol"/>
      </w:rPr>
    </w:lvl>
    <w:lvl w:ilvl="4" w:tplc="46A8FA40">
      <w:start w:val="1"/>
      <w:numFmt w:val="bullet"/>
      <w:lvlText w:val=""/>
      <w:lvlJc w:val="left"/>
      <w:pPr>
        <w:ind w:left="720" w:hanging="360"/>
      </w:pPr>
      <w:rPr>
        <w:rFonts w:ascii="Symbol" w:hAnsi="Symbol"/>
      </w:rPr>
    </w:lvl>
    <w:lvl w:ilvl="5" w:tplc="31C49E34">
      <w:start w:val="1"/>
      <w:numFmt w:val="bullet"/>
      <w:lvlText w:val=""/>
      <w:lvlJc w:val="left"/>
      <w:pPr>
        <w:ind w:left="720" w:hanging="360"/>
      </w:pPr>
      <w:rPr>
        <w:rFonts w:ascii="Symbol" w:hAnsi="Symbol"/>
      </w:rPr>
    </w:lvl>
    <w:lvl w:ilvl="6" w:tplc="AB124ACA">
      <w:start w:val="1"/>
      <w:numFmt w:val="bullet"/>
      <w:lvlText w:val=""/>
      <w:lvlJc w:val="left"/>
      <w:pPr>
        <w:ind w:left="720" w:hanging="360"/>
      </w:pPr>
      <w:rPr>
        <w:rFonts w:ascii="Symbol" w:hAnsi="Symbol"/>
      </w:rPr>
    </w:lvl>
    <w:lvl w:ilvl="7" w:tplc="7C7C0F96">
      <w:start w:val="1"/>
      <w:numFmt w:val="bullet"/>
      <w:lvlText w:val=""/>
      <w:lvlJc w:val="left"/>
      <w:pPr>
        <w:ind w:left="720" w:hanging="360"/>
      </w:pPr>
      <w:rPr>
        <w:rFonts w:ascii="Symbol" w:hAnsi="Symbol"/>
      </w:rPr>
    </w:lvl>
    <w:lvl w:ilvl="8" w:tplc="6DEA2160">
      <w:start w:val="1"/>
      <w:numFmt w:val="bullet"/>
      <w:lvlText w:val=""/>
      <w:lvlJc w:val="left"/>
      <w:pPr>
        <w:ind w:left="720" w:hanging="360"/>
      </w:pPr>
      <w:rPr>
        <w:rFonts w:ascii="Symbol" w:hAnsi="Symbol"/>
      </w:rPr>
    </w:lvl>
  </w:abstractNum>
  <w:abstractNum w:abstractNumId="25" w15:restartNumberingAfterBreak="0">
    <w:nsid w:val="7A100938"/>
    <w:multiLevelType w:val="hybridMultilevel"/>
    <w:tmpl w:val="A358ECEA"/>
    <w:lvl w:ilvl="0" w:tplc="9586BA2E">
      <w:start w:val="1"/>
      <w:numFmt w:val="bullet"/>
      <w:lvlText w:val=""/>
      <w:lvlJc w:val="left"/>
      <w:pPr>
        <w:ind w:left="720" w:hanging="360"/>
      </w:pPr>
      <w:rPr>
        <w:rFonts w:ascii="Symbol" w:hAnsi="Symbol"/>
      </w:rPr>
    </w:lvl>
    <w:lvl w:ilvl="1" w:tplc="1DAE08D8">
      <w:start w:val="1"/>
      <w:numFmt w:val="bullet"/>
      <w:lvlText w:val=""/>
      <w:lvlJc w:val="left"/>
      <w:pPr>
        <w:ind w:left="720" w:hanging="360"/>
      </w:pPr>
      <w:rPr>
        <w:rFonts w:ascii="Symbol" w:hAnsi="Symbol"/>
      </w:rPr>
    </w:lvl>
    <w:lvl w:ilvl="2" w:tplc="A748F47E">
      <w:start w:val="1"/>
      <w:numFmt w:val="bullet"/>
      <w:lvlText w:val=""/>
      <w:lvlJc w:val="left"/>
      <w:pPr>
        <w:ind w:left="720" w:hanging="360"/>
      </w:pPr>
      <w:rPr>
        <w:rFonts w:ascii="Symbol" w:hAnsi="Symbol"/>
      </w:rPr>
    </w:lvl>
    <w:lvl w:ilvl="3" w:tplc="21726334">
      <w:start w:val="1"/>
      <w:numFmt w:val="bullet"/>
      <w:lvlText w:val=""/>
      <w:lvlJc w:val="left"/>
      <w:pPr>
        <w:ind w:left="720" w:hanging="360"/>
      </w:pPr>
      <w:rPr>
        <w:rFonts w:ascii="Symbol" w:hAnsi="Symbol"/>
      </w:rPr>
    </w:lvl>
    <w:lvl w:ilvl="4" w:tplc="1C461CA6">
      <w:start w:val="1"/>
      <w:numFmt w:val="bullet"/>
      <w:lvlText w:val=""/>
      <w:lvlJc w:val="left"/>
      <w:pPr>
        <w:ind w:left="720" w:hanging="360"/>
      </w:pPr>
      <w:rPr>
        <w:rFonts w:ascii="Symbol" w:hAnsi="Symbol"/>
      </w:rPr>
    </w:lvl>
    <w:lvl w:ilvl="5" w:tplc="5C8AB500">
      <w:start w:val="1"/>
      <w:numFmt w:val="bullet"/>
      <w:lvlText w:val=""/>
      <w:lvlJc w:val="left"/>
      <w:pPr>
        <w:ind w:left="720" w:hanging="360"/>
      </w:pPr>
      <w:rPr>
        <w:rFonts w:ascii="Symbol" w:hAnsi="Symbol"/>
      </w:rPr>
    </w:lvl>
    <w:lvl w:ilvl="6" w:tplc="5846FB42">
      <w:start w:val="1"/>
      <w:numFmt w:val="bullet"/>
      <w:lvlText w:val=""/>
      <w:lvlJc w:val="left"/>
      <w:pPr>
        <w:ind w:left="720" w:hanging="360"/>
      </w:pPr>
      <w:rPr>
        <w:rFonts w:ascii="Symbol" w:hAnsi="Symbol"/>
      </w:rPr>
    </w:lvl>
    <w:lvl w:ilvl="7" w:tplc="96E8DE64">
      <w:start w:val="1"/>
      <w:numFmt w:val="bullet"/>
      <w:lvlText w:val=""/>
      <w:lvlJc w:val="left"/>
      <w:pPr>
        <w:ind w:left="720" w:hanging="360"/>
      </w:pPr>
      <w:rPr>
        <w:rFonts w:ascii="Symbol" w:hAnsi="Symbol"/>
      </w:rPr>
    </w:lvl>
    <w:lvl w:ilvl="8" w:tplc="64A474F8">
      <w:start w:val="1"/>
      <w:numFmt w:val="bullet"/>
      <w:lvlText w:val=""/>
      <w:lvlJc w:val="left"/>
      <w:pPr>
        <w:ind w:left="720" w:hanging="360"/>
      </w:pPr>
      <w:rPr>
        <w:rFonts w:ascii="Symbol" w:hAnsi="Symbol"/>
      </w:rPr>
    </w:lvl>
  </w:abstractNum>
  <w:num w:numId="1" w16cid:durableId="1986742108">
    <w:abstractNumId w:val="2"/>
  </w:num>
  <w:num w:numId="2" w16cid:durableId="1393965318">
    <w:abstractNumId w:val="1"/>
  </w:num>
  <w:num w:numId="3" w16cid:durableId="1429960065">
    <w:abstractNumId w:val="8"/>
  </w:num>
  <w:num w:numId="4" w16cid:durableId="1970820612">
    <w:abstractNumId w:val="9"/>
  </w:num>
  <w:num w:numId="5" w16cid:durableId="2109080623">
    <w:abstractNumId w:val="3"/>
  </w:num>
  <w:num w:numId="6" w16cid:durableId="1252350988">
    <w:abstractNumId w:val="0"/>
  </w:num>
  <w:num w:numId="7" w16cid:durableId="929699893">
    <w:abstractNumId w:val="23"/>
  </w:num>
  <w:num w:numId="8" w16cid:durableId="998313226">
    <w:abstractNumId w:val="7"/>
  </w:num>
  <w:num w:numId="9" w16cid:durableId="799104651">
    <w:abstractNumId w:val="13"/>
  </w:num>
  <w:num w:numId="10" w16cid:durableId="1615166118">
    <w:abstractNumId w:val="11"/>
  </w:num>
  <w:num w:numId="11" w16cid:durableId="161088396">
    <w:abstractNumId w:val="20"/>
  </w:num>
  <w:num w:numId="12" w16cid:durableId="2023706190">
    <w:abstractNumId w:val="19"/>
  </w:num>
  <w:num w:numId="13" w16cid:durableId="404839355">
    <w:abstractNumId w:val="22"/>
  </w:num>
  <w:num w:numId="14" w16cid:durableId="1561591880">
    <w:abstractNumId w:val="6"/>
  </w:num>
  <w:num w:numId="15" w16cid:durableId="2138638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7912537">
    <w:abstractNumId w:val="15"/>
  </w:num>
  <w:num w:numId="17" w16cid:durableId="1672681583">
    <w:abstractNumId w:val="10"/>
  </w:num>
  <w:num w:numId="18" w16cid:durableId="1759641829">
    <w:abstractNumId w:val="16"/>
  </w:num>
  <w:num w:numId="19" w16cid:durableId="1261254454">
    <w:abstractNumId w:val="21"/>
  </w:num>
  <w:num w:numId="20" w16cid:durableId="1297684817">
    <w:abstractNumId w:val="21"/>
  </w:num>
  <w:num w:numId="21" w16cid:durableId="1787117643">
    <w:abstractNumId w:val="12"/>
  </w:num>
  <w:num w:numId="22" w16cid:durableId="1927374714">
    <w:abstractNumId w:val="4"/>
  </w:num>
  <w:num w:numId="23" w16cid:durableId="290746531">
    <w:abstractNumId w:val="5"/>
  </w:num>
  <w:num w:numId="24" w16cid:durableId="1790471728">
    <w:abstractNumId w:val="14"/>
  </w:num>
  <w:num w:numId="25" w16cid:durableId="1718814699">
    <w:abstractNumId w:val="25"/>
  </w:num>
  <w:num w:numId="26" w16cid:durableId="1570114976">
    <w:abstractNumId w:val="17"/>
  </w:num>
  <w:num w:numId="27" w16cid:durableId="739209400">
    <w:abstractNumId w:val="18"/>
  </w:num>
  <w:num w:numId="28" w16cid:durableId="499927722">
    <w:abstractNumId w:val="24"/>
  </w:num>
  <w:num w:numId="29" w16cid:durableId="1868523476">
    <w:abstractNumId w:val="16"/>
  </w:num>
  <w:num w:numId="30" w16cid:durableId="1535577072">
    <w:abstractNumId w:val="16"/>
  </w:num>
  <w:num w:numId="31" w16cid:durableId="2117480235">
    <w:abstractNumId w:val="16"/>
  </w:num>
  <w:num w:numId="32" w16cid:durableId="666598526">
    <w:abstractNumId w:val="16"/>
  </w:num>
  <w:num w:numId="33" w16cid:durableId="1548095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DA8"/>
    <w:rsid w:val="00002EB3"/>
    <w:rsid w:val="00003B4B"/>
    <w:rsid w:val="00005224"/>
    <w:rsid w:val="00006C3B"/>
    <w:rsid w:val="00010F9E"/>
    <w:rsid w:val="00011054"/>
    <w:rsid w:val="000128FC"/>
    <w:rsid w:val="00012CB4"/>
    <w:rsid w:val="00015160"/>
    <w:rsid w:val="0001652C"/>
    <w:rsid w:val="00027006"/>
    <w:rsid w:val="00031213"/>
    <w:rsid w:val="00034441"/>
    <w:rsid w:val="000344A8"/>
    <w:rsid w:val="00034BF0"/>
    <w:rsid w:val="00035CB7"/>
    <w:rsid w:val="000368B4"/>
    <w:rsid w:val="00037A93"/>
    <w:rsid w:val="00037C06"/>
    <w:rsid w:val="00043613"/>
    <w:rsid w:val="00044332"/>
    <w:rsid w:val="0005595E"/>
    <w:rsid w:val="00067859"/>
    <w:rsid w:val="00070C55"/>
    <w:rsid w:val="00070F2B"/>
    <w:rsid w:val="00072E17"/>
    <w:rsid w:val="00074C3E"/>
    <w:rsid w:val="000759DC"/>
    <w:rsid w:val="00077FE9"/>
    <w:rsid w:val="0008060A"/>
    <w:rsid w:val="00080E27"/>
    <w:rsid w:val="0008131C"/>
    <w:rsid w:val="00081DF5"/>
    <w:rsid w:val="00086814"/>
    <w:rsid w:val="00087304"/>
    <w:rsid w:val="00087322"/>
    <w:rsid w:val="00087F29"/>
    <w:rsid w:val="000922C7"/>
    <w:rsid w:val="00096414"/>
    <w:rsid w:val="000A08CC"/>
    <w:rsid w:val="000A0ED6"/>
    <w:rsid w:val="000A51B9"/>
    <w:rsid w:val="000B5F9A"/>
    <w:rsid w:val="000B65BA"/>
    <w:rsid w:val="000B68F0"/>
    <w:rsid w:val="000B75E8"/>
    <w:rsid w:val="000C3E6E"/>
    <w:rsid w:val="000C4C2D"/>
    <w:rsid w:val="000C6616"/>
    <w:rsid w:val="000C669D"/>
    <w:rsid w:val="000C6A28"/>
    <w:rsid w:val="000D135A"/>
    <w:rsid w:val="000D26EA"/>
    <w:rsid w:val="000D2893"/>
    <w:rsid w:val="000D34B4"/>
    <w:rsid w:val="000D3DF0"/>
    <w:rsid w:val="000D3E7E"/>
    <w:rsid w:val="000D4266"/>
    <w:rsid w:val="000D4DA8"/>
    <w:rsid w:val="000E0248"/>
    <w:rsid w:val="000E2076"/>
    <w:rsid w:val="000E32CF"/>
    <w:rsid w:val="000E3493"/>
    <w:rsid w:val="000E4BA8"/>
    <w:rsid w:val="000E5816"/>
    <w:rsid w:val="000E7DE6"/>
    <w:rsid w:val="000F0608"/>
    <w:rsid w:val="000F4E7D"/>
    <w:rsid w:val="000F7ADD"/>
    <w:rsid w:val="000F7DEB"/>
    <w:rsid w:val="00101B5D"/>
    <w:rsid w:val="00101E27"/>
    <w:rsid w:val="0010353F"/>
    <w:rsid w:val="00103B7E"/>
    <w:rsid w:val="00103F5F"/>
    <w:rsid w:val="00104EEA"/>
    <w:rsid w:val="001061B2"/>
    <w:rsid w:val="0010733C"/>
    <w:rsid w:val="0011002A"/>
    <w:rsid w:val="001102E3"/>
    <w:rsid w:val="001105A9"/>
    <w:rsid w:val="00113472"/>
    <w:rsid w:val="0011409C"/>
    <w:rsid w:val="00114128"/>
    <w:rsid w:val="001147EC"/>
    <w:rsid w:val="00114FC6"/>
    <w:rsid w:val="00123008"/>
    <w:rsid w:val="00124EF4"/>
    <w:rsid w:val="00125FDF"/>
    <w:rsid w:val="00131101"/>
    <w:rsid w:val="00131F40"/>
    <w:rsid w:val="001332DA"/>
    <w:rsid w:val="00135C86"/>
    <w:rsid w:val="00141334"/>
    <w:rsid w:val="00144932"/>
    <w:rsid w:val="00144F09"/>
    <w:rsid w:val="00145351"/>
    <w:rsid w:val="00146CC0"/>
    <w:rsid w:val="00150659"/>
    <w:rsid w:val="00152B2F"/>
    <w:rsid w:val="001535CC"/>
    <w:rsid w:val="00154161"/>
    <w:rsid w:val="001543C7"/>
    <w:rsid w:val="00154BE4"/>
    <w:rsid w:val="00154EA2"/>
    <w:rsid w:val="00155693"/>
    <w:rsid w:val="00156390"/>
    <w:rsid w:val="0015757C"/>
    <w:rsid w:val="00160906"/>
    <w:rsid w:val="0016254B"/>
    <w:rsid w:val="00164210"/>
    <w:rsid w:val="00165403"/>
    <w:rsid w:val="001673C8"/>
    <w:rsid w:val="001677E5"/>
    <w:rsid w:val="00170E34"/>
    <w:rsid w:val="00172F3B"/>
    <w:rsid w:val="00174D8B"/>
    <w:rsid w:val="00176BAB"/>
    <w:rsid w:val="00181F71"/>
    <w:rsid w:val="001822AB"/>
    <w:rsid w:val="001842B5"/>
    <w:rsid w:val="001879D5"/>
    <w:rsid w:val="00191EA9"/>
    <w:rsid w:val="0019688E"/>
    <w:rsid w:val="00197032"/>
    <w:rsid w:val="001972DC"/>
    <w:rsid w:val="00197592"/>
    <w:rsid w:val="001A39FB"/>
    <w:rsid w:val="001A4064"/>
    <w:rsid w:val="001A4358"/>
    <w:rsid w:val="001A67DF"/>
    <w:rsid w:val="001A77D1"/>
    <w:rsid w:val="001A7AF0"/>
    <w:rsid w:val="001B3853"/>
    <w:rsid w:val="001B78B9"/>
    <w:rsid w:val="001C5D4D"/>
    <w:rsid w:val="001C5F9B"/>
    <w:rsid w:val="001D04B0"/>
    <w:rsid w:val="001D0974"/>
    <w:rsid w:val="001D1E09"/>
    <w:rsid w:val="001D50BA"/>
    <w:rsid w:val="001D5CE7"/>
    <w:rsid w:val="001D5E6D"/>
    <w:rsid w:val="001D68CF"/>
    <w:rsid w:val="001D6C5E"/>
    <w:rsid w:val="001D7430"/>
    <w:rsid w:val="001E1D7C"/>
    <w:rsid w:val="001E2FAF"/>
    <w:rsid w:val="001E5406"/>
    <w:rsid w:val="001E5E86"/>
    <w:rsid w:val="001E6517"/>
    <w:rsid w:val="001F172D"/>
    <w:rsid w:val="001F40CE"/>
    <w:rsid w:val="001F5005"/>
    <w:rsid w:val="001F5F7D"/>
    <w:rsid w:val="001F6DCB"/>
    <w:rsid w:val="001F7A23"/>
    <w:rsid w:val="00202B01"/>
    <w:rsid w:val="002114DF"/>
    <w:rsid w:val="002124F3"/>
    <w:rsid w:val="00217EFF"/>
    <w:rsid w:val="00220D6F"/>
    <w:rsid w:val="00221B87"/>
    <w:rsid w:val="0022378E"/>
    <w:rsid w:val="00226147"/>
    <w:rsid w:val="00226422"/>
    <w:rsid w:val="00230402"/>
    <w:rsid w:val="00230497"/>
    <w:rsid w:val="00230D91"/>
    <w:rsid w:val="0023182C"/>
    <w:rsid w:val="00231C6F"/>
    <w:rsid w:val="00233D49"/>
    <w:rsid w:val="00234AF3"/>
    <w:rsid w:val="00234F59"/>
    <w:rsid w:val="002365C7"/>
    <w:rsid w:val="00237DB9"/>
    <w:rsid w:val="00242755"/>
    <w:rsid w:val="0024379F"/>
    <w:rsid w:val="002441CE"/>
    <w:rsid w:val="002465B1"/>
    <w:rsid w:val="002468B3"/>
    <w:rsid w:val="002474DB"/>
    <w:rsid w:val="00247B29"/>
    <w:rsid w:val="00250E02"/>
    <w:rsid w:val="00251A55"/>
    <w:rsid w:val="00252526"/>
    <w:rsid w:val="00253836"/>
    <w:rsid w:val="002544C5"/>
    <w:rsid w:val="00255FD3"/>
    <w:rsid w:val="002578D4"/>
    <w:rsid w:val="00260CB7"/>
    <w:rsid w:val="00261099"/>
    <w:rsid w:val="00261BCA"/>
    <w:rsid w:val="002622C3"/>
    <w:rsid w:val="0026396C"/>
    <w:rsid w:val="00270726"/>
    <w:rsid w:val="00270DF5"/>
    <w:rsid w:val="00270F94"/>
    <w:rsid w:val="00271555"/>
    <w:rsid w:val="00272694"/>
    <w:rsid w:val="00275A02"/>
    <w:rsid w:val="00277083"/>
    <w:rsid w:val="0028207C"/>
    <w:rsid w:val="00284FCB"/>
    <w:rsid w:val="002850E5"/>
    <w:rsid w:val="0028753A"/>
    <w:rsid w:val="00290ACB"/>
    <w:rsid w:val="00292D4E"/>
    <w:rsid w:val="00293D1C"/>
    <w:rsid w:val="00295090"/>
    <w:rsid w:val="00296978"/>
    <w:rsid w:val="002A2E0E"/>
    <w:rsid w:val="002A3375"/>
    <w:rsid w:val="002A5D05"/>
    <w:rsid w:val="002A5EEC"/>
    <w:rsid w:val="002B0ABB"/>
    <w:rsid w:val="002B4B78"/>
    <w:rsid w:val="002B51BF"/>
    <w:rsid w:val="002B55D2"/>
    <w:rsid w:val="002B7A29"/>
    <w:rsid w:val="002B7FF0"/>
    <w:rsid w:val="002C1298"/>
    <w:rsid w:val="002C2382"/>
    <w:rsid w:val="002C55B0"/>
    <w:rsid w:val="002C58CE"/>
    <w:rsid w:val="002C5B3E"/>
    <w:rsid w:val="002C646B"/>
    <w:rsid w:val="002C68B5"/>
    <w:rsid w:val="002C6982"/>
    <w:rsid w:val="002C70BB"/>
    <w:rsid w:val="002C7CDB"/>
    <w:rsid w:val="002D0330"/>
    <w:rsid w:val="002D40F5"/>
    <w:rsid w:val="002D4729"/>
    <w:rsid w:val="002D4BC6"/>
    <w:rsid w:val="002D6494"/>
    <w:rsid w:val="002E2C2F"/>
    <w:rsid w:val="002E3270"/>
    <w:rsid w:val="002E4E13"/>
    <w:rsid w:val="002E67F3"/>
    <w:rsid w:val="002F0053"/>
    <w:rsid w:val="002F1C8B"/>
    <w:rsid w:val="002F3EAA"/>
    <w:rsid w:val="002F5140"/>
    <w:rsid w:val="002F7E27"/>
    <w:rsid w:val="0030153C"/>
    <w:rsid w:val="00302A43"/>
    <w:rsid w:val="003121EC"/>
    <w:rsid w:val="00312F75"/>
    <w:rsid w:val="00313824"/>
    <w:rsid w:val="003156E1"/>
    <w:rsid w:val="00320D9B"/>
    <w:rsid w:val="00321005"/>
    <w:rsid w:val="00324F4B"/>
    <w:rsid w:val="00330E72"/>
    <w:rsid w:val="0033457A"/>
    <w:rsid w:val="00334A43"/>
    <w:rsid w:val="003357AA"/>
    <w:rsid w:val="00336909"/>
    <w:rsid w:val="003373A2"/>
    <w:rsid w:val="00342453"/>
    <w:rsid w:val="00343DDC"/>
    <w:rsid w:val="00344466"/>
    <w:rsid w:val="00344ACB"/>
    <w:rsid w:val="0035022A"/>
    <w:rsid w:val="003513AD"/>
    <w:rsid w:val="00354238"/>
    <w:rsid w:val="00355F2A"/>
    <w:rsid w:val="0035662A"/>
    <w:rsid w:val="00360321"/>
    <w:rsid w:val="003627BD"/>
    <w:rsid w:val="003662F7"/>
    <w:rsid w:val="00370F65"/>
    <w:rsid w:val="0037140B"/>
    <w:rsid w:val="0037189B"/>
    <w:rsid w:val="00372AF8"/>
    <w:rsid w:val="00373117"/>
    <w:rsid w:val="00373358"/>
    <w:rsid w:val="0037381B"/>
    <w:rsid w:val="00374241"/>
    <w:rsid w:val="00374D95"/>
    <w:rsid w:val="003750A9"/>
    <w:rsid w:val="0037566B"/>
    <w:rsid w:val="003762F1"/>
    <w:rsid w:val="003771FA"/>
    <w:rsid w:val="00380C57"/>
    <w:rsid w:val="00382109"/>
    <w:rsid w:val="00382352"/>
    <w:rsid w:val="003833A0"/>
    <w:rsid w:val="003839D4"/>
    <w:rsid w:val="0038598F"/>
    <w:rsid w:val="003863C8"/>
    <w:rsid w:val="00387F2D"/>
    <w:rsid w:val="0039361B"/>
    <w:rsid w:val="0039449B"/>
    <w:rsid w:val="00395C65"/>
    <w:rsid w:val="00395F3E"/>
    <w:rsid w:val="003A39B9"/>
    <w:rsid w:val="003A3C32"/>
    <w:rsid w:val="003A50CC"/>
    <w:rsid w:val="003A518E"/>
    <w:rsid w:val="003A6B8C"/>
    <w:rsid w:val="003B0886"/>
    <w:rsid w:val="003B0AAD"/>
    <w:rsid w:val="003B26C7"/>
    <w:rsid w:val="003B2D65"/>
    <w:rsid w:val="003B4321"/>
    <w:rsid w:val="003B50ED"/>
    <w:rsid w:val="003B6ECA"/>
    <w:rsid w:val="003B795C"/>
    <w:rsid w:val="003B7F2E"/>
    <w:rsid w:val="003C0C4C"/>
    <w:rsid w:val="003C2E4A"/>
    <w:rsid w:val="003C6829"/>
    <w:rsid w:val="003C6D75"/>
    <w:rsid w:val="003E1364"/>
    <w:rsid w:val="003E2D9C"/>
    <w:rsid w:val="003E2E9A"/>
    <w:rsid w:val="003E361F"/>
    <w:rsid w:val="003E3889"/>
    <w:rsid w:val="003E4735"/>
    <w:rsid w:val="003E560C"/>
    <w:rsid w:val="003E5B9D"/>
    <w:rsid w:val="003E7F6A"/>
    <w:rsid w:val="003F2CEE"/>
    <w:rsid w:val="003F3421"/>
    <w:rsid w:val="003F3E25"/>
    <w:rsid w:val="003F5E1F"/>
    <w:rsid w:val="003F6E77"/>
    <w:rsid w:val="0040055C"/>
    <w:rsid w:val="00401674"/>
    <w:rsid w:val="00401E63"/>
    <w:rsid w:val="00402378"/>
    <w:rsid w:val="004025AC"/>
    <w:rsid w:val="0040546C"/>
    <w:rsid w:val="00406F1E"/>
    <w:rsid w:val="004075D1"/>
    <w:rsid w:val="00410043"/>
    <w:rsid w:val="004111A0"/>
    <w:rsid w:val="00411226"/>
    <w:rsid w:val="00412BC9"/>
    <w:rsid w:val="00415407"/>
    <w:rsid w:val="00415B69"/>
    <w:rsid w:val="0042025B"/>
    <w:rsid w:val="004212F3"/>
    <w:rsid w:val="00422F8C"/>
    <w:rsid w:val="00427BC6"/>
    <w:rsid w:val="0043104B"/>
    <w:rsid w:val="0043220E"/>
    <w:rsid w:val="004337D7"/>
    <w:rsid w:val="00433E00"/>
    <w:rsid w:val="0043443E"/>
    <w:rsid w:val="00434FEE"/>
    <w:rsid w:val="00435152"/>
    <w:rsid w:val="00435318"/>
    <w:rsid w:val="00440128"/>
    <w:rsid w:val="00442446"/>
    <w:rsid w:val="00443EF5"/>
    <w:rsid w:val="0044432A"/>
    <w:rsid w:val="0044473A"/>
    <w:rsid w:val="00446A0E"/>
    <w:rsid w:val="00447848"/>
    <w:rsid w:val="00452369"/>
    <w:rsid w:val="00452AA7"/>
    <w:rsid w:val="00454509"/>
    <w:rsid w:val="00456CD4"/>
    <w:rsid w:val="00460ACB"/>
    <w:rsid w:val="004705B0"/>
    <w:rsid w:val="004725EA"/>
    <w:rsid w:val="004727B2"/>
    <w:rsid w:val="00473197"/>
    <w:rsid w:val="00473D0B"/>
    <w:rsid w:val="00474316"/>
    <w:rsid w:val="00474542"/>
    <w:rsid w:val="00475A8A"/>
    <w:rsid w:val="00480E23"/>
    <w:rsid w:val="00482C38"/>
    <w:rsid w:val="00482C96"/>
    <w:rsid w:val="00482EB9"/>
    <w:rsid w:val="0048360F"/>
    <w:rsid w:val="00485648"/>
    <w:rsid w:val="00485EC8"/>
    <w:rsid w:val="00486890"/>
    <w:rsid w:val="00490046"/>
    <w:rsid w:val="00490865"/>
    <w:rsid w:val="0049455B"/>
    <w:rsid w:val="00494DB4"/>
    <w:rsid w:val="00495EE6"/>
    <w:rsid w:val="00497128"/>
    <w:rsid w:val="0049747E"/>
    <w:rsid w:val="00497E0D"/>
    <w:rsid w:val="00497EA1"/>
    <w:rsid w:val="004A1221"/>
    <w:rsid w:val="004A481E"/>
    <w:rsid w:val="004A7334"/>
    <w:rsid w:val="004B0D0A"/>
    <w:rsid w:val="004B123F"/>
    <w:rsid w:val="004B25E2"/>
    <w:rsid w:val="004B6A85"/>
    <w:rsid w:val="004B6D0E"/>
    <w:rsid w:val="004B7007"/>
    <w:rsid w:val="004C0B75"/>
    <w:rsid w:val="004C1CCA"/>
    <w:rsid w:val="004C59AA"/>
    <w:rsid w:val="004C5AE3"/>
    <w:rsid w:val="004D2527"/>
    <w:rsid w:val="004D4FEB"/>
    <w:rsid w:val="004D79BD"/>
    <w:rsid w:val="004D7A10"/>
    <w:rsid w:val="004E04FE"/>
    <w:rsid w:val="004E0530"/>
    <w:rsid w:val="004E0643"/>
    <w:rsid w:val="004E3EFD"/>
    <w:rsid w:val="004E49B9"/>
    <w:rsid w:val="004E4BC7"/>
    <w:rsid w:val="004E4EB2"/>
    <w:rsid w:val="004E5089"/>
    <w:rsid w:val="004E70A1"/>
    <w:rsid w:val="004F164A"/>
    <w:rsid w:val="004F475A"/>
    <w:rsid w:val="00500220"/>
    <w:rsid w:val="005029CF"/>
    <w:rsid w:val="00502BE1"/>
    <w:rsid w:val="00502D2E"/>
    <w:rsid w:val="00503F9A"/>
    <w:rsid w:val="00504975"/>
    <w:rsid w:val="00507067"/>
    <w:rsid w:val="0051145B"/>
    <w:rsid w:val="005122C0"/>
    <w:rsid w:val="00513C7D"/>
    <w:rsid w:val="0051530B"/>
    <w:rsid w:val="00520807"/>
    <w:rsid w:val="0052119F"/>
    <w:rsid w:val="0052169E"/>
    <w:rsid w:val="00524902"/>
    <w:rsid w:val="00525B71"/>
    <w:rsid w:val="005265BF"/>
    <w:rsid w:val="00526F61"/>
    <w:rsid w:val="0052717E"/>
    <w:rsid w:val="00530DBD"/>
    <w:rsid w:val="00530F49"/>
    <w:rsid w:val="0053589B"/>
    <w:rsid w:val="00535C47"/>
    <w:rsid w:val="005360DE"/>
    <w:rsid w:val="00540DC0"/>
    <w:rsid w:val="00542157"/>
    <w:rsid w:val="00545382"/>
    <w:rsid w:val="00546A3B"/>
    <w:rsid w:val="00550E28"/>
    <w:rsid w:val="00553860"/>
    <w:rsid w:val="00561533"/>
    <w:rsid w:val="00562EA4"/>
    <w:rsid w:val="00563EAE"/>
    <w:rsid w:val="00564084"/>
    <w:rsid w:val="00566E00"/>
    <w:rsid w:val="00570721"/>
    <w:rsid w:val="00573190"/>
    <w:rsid w:val="00574C3C"/>
    <w:rsid w:val="00575357"/>
    <w:rsid w:val="00575E53"/>
    <w:rsid w:val="00576177"/>
    <w:rsid w:val="005769FD"/>
    <w:rsid w:val="0058248A"/>
    <w:rsid w:val="0058399B"/>
    <w:rsid w:val="005850E6"/>
    <w:rsid w:val="00586A0A"/>
    <w:rsid w:val="0058728C"/>
    <w:rsid w:val="00587329"/>
    <w:rsid w:val="00587C02"/>
    <w:rsid w:val="00590127"/>
    <w:rsid w:val="00591423"/>
    <w:rsid w:val="0059246D"/>
    <w:rsid w:val="00594C90"/>
    <w:rsid w:val="0059503E"/>
    <w:rsid w:val="005963DE"/>
    <w:rsid w:val="0059691E"/>
    <w:rsid w:val="005977DF"/>
    <w:rsid w:val="00597BDE"/>
    <w:rsid w:val="005A0615"/>
    <w:rsid w:val="005A1267"/>
    <w:rsid w:val="005A521E"/>
    <w:rsid w:val="005A57E5"/>
    <w:rsid w:val="005A74AD"/>
    <w:rsid w:val="005B0190"/>
    <w:rsid w:val="005B17D9"/>
    <w:rsid w:val="005B2B1F"/>
    <w:rsid w:val="005B2E7A"/>
    <w:rsid w:val="005B3C7B"/>
    <w:rsid w:val="005B3E0F"/>
    <w:rsid w:val="005B56A5"/>
    <w:rsid w:val="005B610D"/>
    <w:rsid w:val="005B6492"/>
    <w:rsid w:val="005B66D5"/>
    <w:rsid w:val="005C177D"/>
    <w:rsid w:val="005C2E46"/>
    <w:rsid w:val="005C323B"/>
    <w:rsid w:val="005C48E8"/>
    <w:rsid w:val="005C4CC1"/>
    <w:rsid w:val="005C59EC"/>
    <w:rsid w:val="005C74C3"/>
    <w:rsid w:val="005D0544"/>
    <w:rsid w:val="005D1091"/>
    <w:rsid w:val="005D2ABC"/>
    <w:rsid w:val="005D2BE4"/>
    <w:rsid w:val="005D5152"/>
    <w:rsid w:val="005E0B2B"/>
    <w:rsid w:val="005E288B"/>
    <w:rsid w:val="005E33ED"/>
    <w:rsid w:val="005E460F"/>
    <w:rsid w:val="005E5314"/>
    <w:rsid w:val="005E5445"/>
    <w:rsid w:val="005E5DE4"/>
    <w:rsid w:val="005E7430"/>
    <w:rsid w:val="005E75DD"/>
    <w:rsid w:val="005E7C3D"/>
    <w:rsid w:val="005E7D27"/>
    <w:rsid w:val="005F2389"/>
    <w:rsid w:val="005F2461"/>
    <w:rsid w:val="005F3D62"/>
    <w:rsid w:val="005F4849"/>
    <w:rsid w:val="005F6437"/>
    <w:rsid w:val="005F7E0B"/>
    <w:rsid w:val="006015BD"/>
    <w:rsid w:val="00603D2F"/>
    <w:rsid w:val="00610B2E"/>
    <w:rsid w:val="00613AAD"/>
    <w:rsid w:val="00614243"/>
    <w:rsid w:val="006175CD"/>
    <w:rsid w:val="0061765D"/>
    <w:rsid w:val="00622086"/>
    <w:rsid w:val="006229B9"/>
    <w:rsid w:val="00623D53"/>
    <w:rsid w:val="00623F86"/>
    <w:rsid w:val="006251CA"/>
    <w:rsid w:val="006253AD"/>
    <w:rsid w:val="00626FC7"/>
    <w:rsid w:val="006278E8"/>
    <w:rsid w:val="006307DE"/>
    <w:rsid w:val="00632876"/>
    <w:rsid w:val="00632CA2"/>
    <w:rsid w:val="0063383E"/>
    <w:rsid w:val="006340A7"/>
    <w:rsid w:val="006368BF"/>
    <w:rsid w:val="00637321"/>
    <w:rsid w:val="006408E4"/>
    <w:rsid w:val="00640D54"/>
    <w:rsid w:val="00642044"/>
    <w:rsid w:val="006427F5"/>
    <w:rsid w:val="006428B9"/>
    <w:rsid w:val="0064478A"/>
    <w:rsid w:val="006456F8"/>
    <w:rsid w:val="00647AAB"/>
    <w:rsid w:val="00650DF1"/>
    <w:rsid w:val="00657A2D"/>
    <w:rsid w:val="006604AE"/>
    <w:rsid w:val="00660BB4"/>
    <w:rsid w:val="00662F02"/>
    <w:rsid w:val="006630FC"/>
    <w:rsid w:val="00665A4F"/>
    <w:rsid w:val="006718EE"/>
    <w:rsid w:val="00672672"/>
    <w:rsid w:val="00675A33"/>
    <w:rsid w:val="00675B15"/>
    <w:rsid w:val="00676763"/>
    <w:rsid w:val="00681347"/>
    <w:rsid w:val="0068168A"/>
    <w:rsid w:val="0068238B"/>
    <w:rsid w:val="006824C3"/>
    <w:rsid w:val="006830F9"/>
    <w:rsid w:val="00684129"/>
    <w:rsid w:val="00685FD6"/>
    <w:rsid w:val="00686AA7"/>
    <w:rsid w:val="00686EE6"/>
    <w:rsid w:val="00686F70"/>
    <w:rsid w:val="0069030D"/>
    <w:rsid w:val="00690E02"/>
    <w:rsid w:val="00693AB2"/>
    <w:rsid w:val="00694BD0"/>
    <w:rsid w:val="00694E18"/>
    <w:rsid w:val="0069696C"/>
    <w:rsid w:val="006A0693"/>
    <w:rsid w:val="006A3544"/>
    <w:rsid w:val="006A405B"/>
    <w:rsid w:val="006A4A9B"/>
    <w:rsid w:val="006A4B24"/>
    <w:rsid w:val="006A730E"/>
    <w:rsid w:val="006B1D1D"/>
    <w:rsid w:val="006B3451"/>
    <w:rsid w:val="006B60C6"/>
    <w:rsid w:val="006B7E7E"/>
    <w:rsid w:val="006C3ABF"/>
    <w:rsid w:val="006C454E"/>
    <w:rsid w:val="006C4B1F"/>
    <w:rsid w:val="006C5455"/>
    <w:rsid w:val="006C6BA4"/>
    <w:rsid w:val="006C77A6"/>
    <w:rsid w:val="006D2ABA"/>
    <w:rsid w:val="006D2C80"/>
    <w:rsid w:val="006D6493"/>
    <w:rsid w:val="006E2071"/>
    <w:rsid w:val="006E280D"/>
    <w:rsid w:val="006E3A48"/>
    <w:rsid w:val="006E4777"/>
    <w:rsid w:val="006E65D5"/>
    <w:rsid w:val="006E7B2F"/>
    <w:rsid w:val="006F2842"/>
    <w:rsid w:val="006F2925"/>
    <w:rsid w:val="006F326C"/>
    <w:rsid w:val="007048E0"/>
    <w:rsid w:val="00705D56"/>
    <w:rsid w:val="00706223"/>
    <w:rsid w:val="00707DFC"/>
    <w:rsid w:val="007102F6"/>
    <w:rsid w:val="00710485"/>
    <w:rsid w:val="007143EF"/>
    <w:rsid w:val="00720243"/>
    <w:rsid w:val="00720815"/>
    <w:rsid w:val="00721123"/>
    <w:rsid w:val="00724A24"/>
    <w:rsid w:val="00724C01"/>
    <w:rsid w:val="0072502F"/>
    <w:rsid w:val="00726626"/>
    <w:rsid w:val="00731C23"/>
    <w:rsid w:val="007337CE"/>
    <w:rsid w:val="00733DE3"/>
    <w:rsid w:val="007439DE"/>
    <w:rsid w:val="00745F49"/>
    <w:rsid w:val="00745FC6"/>
    <w:rsid w:val="0074608E"/>
    <w:rsid w:val="00746873"/>
    <w:rsid w:val="00760101"/>
    <w:rsid w:val="00760217"/>
    <w:rsid w:val="0076060F"/>
    <w:rsid w:val="00762F61"/>
    <w:rsid w:val="007648EB"/>
    <w:rsid w:val="00765C17"/>
    <w:rsid w:val="007724D5"/>
    <w:rsid w:val="00774F27"/>
    <w:rsid w:val="00776E11"/>
    <w:rsid w:val="00777BD0"/>
    <w:rsid w:val="00781119"/>
    <w:rsid w:val="007837E0"/>
    <w:rsid w:val="007860F9"/>
    <w:rsid w:val="00786EC4"/>
    <w:rsid w:val="007907BC"/>
    <w:rsid w:val="00792F89"/>
    <w:rsid w:val="00793574"/>
    <w:rsid w:val="007A4CB2"/>
    <w:rsid w:val="007A565B"/>
    <w:rsid w:val="007A6A68"/>
    <w:rsid w:val="007B2696"/>
    <w:rsid w:val="007B2732"/>
    <w:rsid w:val="007B55A6"/>
    <w:rsid w:val="007C1562"/>
    <w:rsid w:val="007C3C88"/>
    <w:rsid w:val="007D0C53"/>
    <w:rsid w:val="007D15BC"/>
    <w:rsid w:val="007D348B"/>
    <w:rsid w:val="007D76BA"/>
    <w:rsid w:val="007D7889"/>
    <w:rsid w:val="007E14E4"/>
    <w:rsid w:val="007E2027"/>
    <w:rsid w:val="007E3A14"/>
    <w:rsid w:val="007E3C7A"/>
    <w:rsid w:val="007E586E"/>
    <w:rsid w:val="007E5CBF"/>
    <w:rsid w:val="007E6072"/>
    <w:rsid w:val="007E6425"/>
    <w:rsid w:val="007E64C6"/>
    <w:rsid w:val="007E6A1C"/>
    <w:rsid w:val="007E7F73"/>
    <w:rsid w:val="007F1F77"/>
    <w:rsid w:val="007F35AD"/>
    <w:rsid w:val="007F395B"/>
    <w:rsid w:val="007F4C26"/>
    <w:rsid w:val="007F7EED"/>
    <w:rsid w:val="008012A3"/>
    <w:rsid w:val="0080551C"/>
    <w:rsid w:val="00806A63"/>
    <w:rsid w:val="008071F0"/>
    <w:rsid w:val="00807435"/>
    <w:rsid w:val="00807594"/>
    <w:rsid w:val="00813626"/>
    <w:rsid w:val="008158E1"/>
    <w:rsid w:val="008159E3"/>
    <w:rsid w:val="00815DB7"/>
    <w:rsid w:val="0081779E"/>
    <w:rsid w:val="008177F5"/>
    <w:rsid w:val="0082113E"/>
    <w:rsid w:val="008211D0"/>
    <w:rsid w:val="00821310"/>
    <w:rsid w:val="00822ACC"/>
    <w:rsid w:val="008232F7"/>
    <w:rsid w:val="00823B83"/>
    <w:rsid w:val="00830AD6"/>
    <w:rsid w:val="0083283B"/>
    <w:rsid w:val="00832854"/>
    <w:rsid w:val="0083355A"/>
    <w:rsid w:val="00834266"/>
    <w:rsid w:val="008366CC"/>
    <w:rsid w:val="00837DC1"/>
    <w:rsid w:val="00840B55"/>
    <w:rsid w:val="0084183E"/>
    <w:rsid w:val="00842951"/>
    <w:rsid w:val="00843E1A"/>
    <w:rsid w:val="00844377"/>
    <w:rsid w:val="00846701"/>
    <w:rsid w:val="0084750D"/>
    <w:rsid w:val="00852422"/>
    <w:rsid w:val="00856B0D"/>
    <w:rsid w:val="00860795"/>
    <w:rsid w:val="00863C30"/>
    <w:rsid w:val="00864092"/>
    <w:rsid w:val="008640DF"/>
    <w:rsid w:val="00864F92"/>
    <w:rsid w:val="008660F3"/>
    <w:rsid w:val="00866E72"/>
    <w:rsid w:val="00866ECE"/>
    <w:rsid w:val="008713B3"/>
    <w:rsid w:val="008730B3"/>
    <w:rsid w:val="00874EEC"/>
    <w:rsid w:val="00875989"/>
    <w:rsid w:val="00881349"/>
    <w:rsid w:val="00882AC7"/>
    <w:rsid w:val="00883335"/>
    <w:rsid w:val="008845CC"/>
    <w:rsid w:val="008859D9"/>
    <w:rsid w:val="00891C27"/>
    <w:rsid w:val="00891EE6"/>
    <w:rsid w:val="008923FA"/>
    <w:rsid w:val="00892C99"/>
    <w:rsid w:val="00894294"/>
    <w:rsid w:val="008A3542"/>
    <w:rsid w:val="008A6393"/>
    <w:rsid w:val="008A6451"/>
    <w:rsid w:val="008A73E9"/>
    <w:rsid w:val="008A7881"/>
    <w:rsid w:val="008B188E"/>
    <w:rsid w:val="008B1DBC"/>
    <w:rsid w:val="008B351A"/>
    <w:rsid w:val="008B72EF"/>
    <w:rsid w:val="008C088A"/>
    <w:rsid w:val="008C275E"/>
    <w:rsid w:val="008D306D"/>
    <w:rsid w:val="008D5F9C"/>
    <w:rsid w:val="008D6CF4"/>
    <w:rsid w:val="008E0299"/>
    <w:rsid w:val="008E04B4"/>
    <w:rsid w:val="008E1BB7"/>
    <w:rsid w:val="008E3745"/>
    <w:rsid w:val="008F41D2"/>
    <w:rsid w:val="008F6BF2"/>
    <w:rsid w:val="009005CB"/>
    <w:rsid w:val="00904760"/>
    <w:rsid w:val="009075FF"/>
    <w:rsid w:val="00907915"/>
    <w:rsid w:val="00910074"/>
    <w:rsid w:val="00911097"/>
    <w:rsid w:val="0091155F"/>
    <w:rsid w:val="009136BE"/>
    <w:rsid w:val="009146DF"/>
    <w:rsid w:val="0092058A"/>
    <w:rsid w:val="00920BF0"/>
    <w:rsid w:val="00922CC8"/>
    <w:rsid w:val="0092580A"/>
    <w:rsid w:val="009266DC"/>
    <w:rsid w:val="0093052E"/>
    <w:rsid w:val="00937358"/>
    <w:rsid w:val="009376EC"/>
    <w:rsid w:val="009414FB"/>
    <w:rsid w:val="009419B4"/>
    <w:rsid w:val="00944410"/>
    <w:rsid w:val="00946815"/>
    <w:rsid w:val="00946B6F"/>
    <w:rsid w:val="00946BBE"/>
    <w:rsid w:val="00950FCA"/>
    <w:rsid w:val="009510FF"/>
    <w:rsid w:val="009512DD"/>
    <w:rsid w:val="00951F41"/>
    <w:rsid w:val="009524ED"/>
    <w:rsid w:val="00952C87"/>
    <w:rsid w:val="00953337"/>
    <w:rsid w:val="009542D1"/>
    <w:rsid w:val="009558BF"/>
    <w:rsid w:val="00961201"/>
    <w:rsid w:val="00961246"/>
    <w:rsid w:val="00962265"/>
    <w:rsid w:val="00964036"/>
    <w:rsid w:val="00964E40"/>
    <w:rsid w:val="00965FCE"/>
    <w:rsid w:val="00967245"/>
    <w:rsid w:val="00970872"/>
    <w:rsid w:val="00970CFF"/>
    <w:rsid w:val="00970DAB"/>
    <w:rsid w:val="009730B6"/>
    <w:rsid w:val="00975CE5"/>
    <w:rsid w:val="0097624C"/>
    <w:rsid w:val="009767E0"/>
    <w:rsid w:val="00977495"/>
    <w:rsid w:val="00977B5C"/>
    <w:rsid w:val="00977BC4"/>
    <w:rsid w:val="00980EA2"/>
    <w:rsid w:val="0098146D"/>
    <w:rsid w:val="009815DC"/>
    <w:rsid w:val="00981AE4"/>
    <w:rsid w:val="00982073"/>
    <w:rsid w:val="0098305A"/>
    <w:rsid w:val="00985EF2"/>
    <w:rsid w:val="00990912"/>
    <w:rsid w:val="00991111"/>
    <w:rsid w:val="00991227"/>
    <w:rsid w:val="009924CA"/>
    <w:rsid w:val="00992901"/>
    <w:rsid w:val="00992F02"/>
    <w:rsid w:val="0099526B"/>
    <w:rsid w:val="00995BCE"/>
    <w:rsid w:val="009A35DA"/>
    <w:rsid w:val="009A385F"/>
    <w:rsid w:val="009B104E"/>
    <w:rsid w:val="009B3807"/>
    <w:rsid w:val="009B43D9"/>
    <w:rsid w:val="009B6746"/>
    <w:rsid w:val="009B6AA7"/>
    <w:rsid w:val="009B6F39"/>
    <w:rsid w:val="009C1CF1"/>
    <w:rsid w:val="009C2133"/>
    <w:rsid w:val="009D000A"/>
    <w:rsid w:val="009D008C"/>
    <w:rsid w:val="009D04BB"/>
    <w:rsid w:val="009D14BB"/>
    <w:rsid w:val="009D23C9"/>
    <w:rsid w:val="009D3361"/>
    <w:rsid w:val="009D5455"/>
    <w:rsid w:val="009E08E6"/>
    <w:rsid w:val="009E104B"/>
    <w:rsid w:val="009E1D82"/>
    <w:rsid w:val="009E32A1"/>
    <w:rsid w:val="009E42DC"/>
    <w:rsid w:val="009E6095"/>
    <w:rsid w:val="009E6279"/>
    <w:rsid w:val="009E6FF3"/>
    <w:rsid w:val="009E7DEC"/>
    <w:rsid w:val="009F07B4"/>
    <w:rsid w:val="009F3B71"/>
    <w:rsid w:val="009F43A8"/>
    <w:rsid w:val="009F637C"/>
    <w:rsid w:val="009F7A6A"/>
    <w:rsid w:val="00A0241B"/>
    <w:rsid w:val="00A048F6"/>
    <w:rsid w:val="00A04EF0"/>
    <w:rsid w:val="00A10828"/>
    <w:rsid w:val="00A108A8"/>
    <w:rsid w:val="00A1205B"/>
    <w:rsid w:val="00A1255A"/>
    <w:rsid w:val="00A12C0E"/>
    <w:rsid w:val="00A13467"/>
    <w:rsid w:val="00A13E6E"/>
    <w:rsid w:val="00A15D6D"/>
    <w:rsid w:val="00A16148"/>
    <w:rsid w:val="00A2104C"/>
    <w:rsid w:val="00A21143"/>
    <w:rsid w:val="00A21862"/>
    <w:rsid w:val="00A23F35"/>
    <w:rsid w:val="00A250E8"/>
    <w:rsid w:val="00A25735"/>
    <w:rsid w:val="00A268EA"/>
    <w:rsid w:val="00A27F2F"/>
    <w:rsid w:val="00A27F84"/>
    <w:rsid w:val="00A30937"/>
    <w:rsid w:val="00A3151D"/>
    <w:rsid w:val="00A326B7"/>
    <w:rsid w:val="00A33840"/>
    <w:rsid w:val="00A34FA1"/>
    <w:rsid w:val="00A35523"/>
    <w:rsid w:val="00A359B1"/>
    <w:rsid w:val="00A40935"/>
    <w:rsid w:val="00A42698"/>
    <w:rsid w:val="00A42D19"/>
    <w:rsid w:val="00A4334E"/>
    <w:rsid w:val="00A450F1"/>
    <w:rsid w:val="00A504BA"/>
    <w:rsid w:val="00A52A3D"/>
    <w:rsid w:val="00A531D5"/>
    <w:rsid w:val="00A53285"/>
    <w:rsid w:val="00A53D60"/>
    <w:rsid w:val="00A540CF"/>
    <w:rsid w:val="00A55A53"/>
    <w:rsid w:val="00A56C6E"/>
    <w:rsid w:val="00A57680"/>
    <w:rsid w:val="00A63AC8"/>
    <w:rsid w:val="00A6585E"/>
    <w:rsid w:val="00A67454"/>
    <w:rsid w:val="00A7034E"/>
    <w:rsid w:val="00A714DC"/>
    <w:rsid w:val="00A72AF6"/>
    <w:rsid w:val="00A73716"/>
    <w:rsid w:val="00A73D53"/>
    <w:rsid w:val="00A73EBB"/>
    <w:rsid w:val="00A7444B"/>
    <w:rsid w:val="00A756D3"/>
    <w:rsid w:val="00A757F7"/>
    <w:rsid w:val="00A767A2"/>
    <w:rsid w:val="00A77A1F"/>
    <w:rsid w:val="00A80B9A"/>
    <w:rsid w:val="00A816A1"/>
    <w:rsid w:val="00A81953"/>
    <w:rsid w:val="00A85C60"/>
    <w:rsid w:val="00A85DE9"/>
    <w:rsid w:val="00A85E42"/>
    <w:rsid w:val="00A862B5"/>
    <w:rsid w:val="00A869B7"/>
    <w:rsid w:val="00A8772B"/>
    <w:rsid w:val="00A91DA3"/>
    <w:rsid w:val="00A91DBB"/>
    <w:rsid w:val="00A9234C"/>
    <w:rsid w:val="00A92F65"/>
    <w:rsid w:val="00A9392C"/>
    <w:rsid w:val="00A9643C"/>
    <w:rsid w:val="00A97EE0"/>
    <w:rsid w:val="00AA2FC8"/>
    <w:rsid w:val="00AA32AD"/>
    <w:rsid w:val="00AA32C5"/>
    <w:rsid w:val="00AA3400"/>
    <w:rsid w:val="00AA6CFE"/>
    <w:rsid w:val="00AB1A05"/>
    <w:rsid w:val="00AB1A92"/>
    <w:rsid w:val="00AB4A2F"/>
    <w:rsid w:val="00AB5E52"/>
    <w:rsid w:val="00AC420B"/>
    <w:rsid w:val="00AC720A"/>
    <w:rsid w:val="00AC7EC0"/>
    <w:rsid w:val="00AD0210"/>
    <w:rsid w:val="00AD28AC"/>
    <w:rsid w:val="00AD2A02"/>
    <w:rsid w:val="00AD4999"/>
    <w:rsid w:val="00AD7FBF"/>
    <w:rsid w:val="00AE0529"/>
    <w:rsid w:val="00AE0C19"/>
    <w:rsid w:val="00AE0D53"/>
    <w:rsid w:val="00AE1D99"/>
    <w:rsid w:val="00AE3D4A"/>
    <w:rsid w:val="00AE54BA"/>
    <w:rsid w:val="00AE5930"/>
    <w:rsid w:val="00AE5FF4"/>
    <w:rsid w:val="00AE6217"/>
    <w:rsid w:val="00AE62F4"/>
    <w:rsid w:val="00AF183C"/>
    <w:rsid w:val="00AF211E"/>
    <w:rsid w:val="00AF3C7B"/>
    <w:rsid w:val="00AF43BC"/>
    <w:rsid w:val="00B01719"/>
    <w:rsid w:val="00B01782"/>
    <w:rsid w:val="00B01FC7"/>
    <w:rsid w:val="00B03DFC"/>
    <w:rsid w:val="00B040E6"/>
    <w:rsid w:val="00B05506"/>
    <w:rsid w:val="00B065AC"/>
    <w:rsid w:val="00B07594"/>
    <w:rsid w:val="00B12759"/>
    <w:rsid w:val="00B131F7"/>
    <w:rsid w:val="00B14FE8"/>
    <w:rsid w:val="00B157F7"/>
    <w:rsid w:val="00B15BEE"/>
    <w:rsid w:val="00B17B5E"/>
    <w:rsid w:val="00B208AA"/>
    <w:rsid w:val="00B21730"/>
    <w:rsid w:val="00B22746"/>
    <w:rsid w:val="00B233B9"/>
    <w:rsid w:val="00B25F67"/>
    <w:rsid w:val="00B33B1E"/>
    <w:rsid w:val="00B43012"/>
    <w:rsid w:val="00B44592"/>
    <w:rsid w:val="00B4538C"/>
    <w:rsid w:val="00B478A3"/>
    <w:rsid w:val="00B51BA9"/>
    <w:rsid w:val="00B555B2"/>
    <w:rsid w:val="00B61DB7"/>
    <w:rsid w:val="00B627F8"/>
    <w:rsid w:val="00B639FE"/>
    <w:rsid w:val="00B673FD"/>
    <w:rsid w:val="00B710CC"/>
    <w:rsid w:val="00B73688"/>
    <w:rsid w:val="00B75958"/>
    <w:rsid w:val="00B766C6"/>
    <w:rsid w:val="00B77186"/>
    <w:rsid w:val="00B771D4"/>
    <w:rsid w:val="00B7778B"/>
    <w:rsid w:val="00B84DBD"/>
    <w:rsid w:val="00B85AE7"/>
    <w:rsid w:val="00B90C84"/>
    <w:rsid w:val="00B91880"/>
    <w:rsid w:val="00B92E47"/>
    <w:rsid w:val="00B940CF"/>
    <w:rsid w:val="00B957F8"/>
    <w:rsid w:val="00B95D1F"/>
    <w:rsid w:val="00B969C5"/>
    <w:rsid w:val="00B9729E"/>
    <w:rsid w:val="00BA02CA"/>
    <w:rsid w:val="00BA0985"/>
    <w:rsid w:val="00BA1B3D"/>
    <w:rsid w:val="00BA200A"/>
    <w:rsid w:val="00BA2A0D"/>
    <w:rsid w:val="00BA3F5E"/>
    <w:rsid w:val="00BA5823"/>
    <w:rsid w:val="00BA61BB"/>
    <w:rsid w:val="00BB0307"/>
    <w:rsid w:val="00BB2382"/>
    <w:rsid w:val="00BB277C"/>
    <w:rsid w:val="00BB3A3E"/>
    <w:rsid w:val="00BB55DC"/>
    <w:rsid w:val="00BC4B59"/>
    <w:rsid w:val="00BC6746"/>
    <w:rsid w:val="00BC6EA6"/>
    <w:rsid w:val="00BC70B5"/>
    <w:rsid w:val="00BC7783"/>
    <w:rsid w:val="00BD06C6"/>
    <w:rsid w:val="00BD0D01"/>
    <w:rsid w:val="00BD4CF6"/>
    <w:rsid w:val="00BD7098"/>
    <w:rsid w:val="00BD730B"/>
    <w:rsid w:val="00BE0966"/>
    <w:rsid w:val="00BE1624"/>
    <w:rsid w:val="00BE19E9"/>
    <w:rsid w:val="00BE57EF"/>
    <w:rsid w:val="00BE5AF4"/>
    <w:rsid w:val="00BF1321"/>
    <w:rsid w:val="00BF1D20"/>
    <w:rsid w:val="00BF22AD"/>
    <w:rsid w:val="00BF49A5"/>
    <w:rsid w:val="00BF6100"/>
    <w:rsid w:val="00BF6BF7"/>
    <w:rsid w:val="00BF6CE0"/>
    <w:rsid w:val="00BF750F"/>
    <w:rsid w:val="00BF7AF5"/>
    <w:rsid w:val="00C00218"/>
    <w:rsid w:val="00C00317"/>
    <w:rsid w:val="00C0178E"/>
    <w:rsid w:val="00C04965"/>
    <w:rsid w:val="00C04A92"/>
    <w:rsid w:val="00C1003E"/>
    <w:rsid w:val="00C1150E"/>
    <w:rsid w:val="00C11849"/>
    <w:rsid w:val="00C12BFA"/>
    <w:rsid w:val="00C1351C"/>
    <w:rsid w:val="00C13808"/>
    <w:rsid w:val="00C15351"/>
    <w:rsid w:val="00C15914"/>
    <w:rsid w:val="00C163C4"/>
    <w:rsid w:val="00C17144"/>
    <w:rsid w:val="00C20098"/>
    <w:rsid w:val="00C203F5"/>
    <w:rsid w:val="00C20735"/>
    <w:rsid w:val="00C2268B"/>
    <w:rsid w:val="00C2490D"/>
    <w:rsid w:val="00C25C70"/>
    <w:rsid w:val="00C25FC6"/>
    <w:rsid w:val="00C2659A"/>
    <w:rsid w:val="00C27CD9"/>
    <w:rsid w:val="00C27E04"/>
    <w:rsid w:val="00C306FD"/>
    <w:rsid w:val="00C341B7"/>
    <w:rsid w:val="00C34343"/>
    <w:rsid w:val="00C35AAB"/>
    <w:rsid w:val="00C3653D"/>
    <w:rsid w:val="00C37264"/>
    <w:rsid w:val="00C40044"/>
    <w:rsid w:val="00C4034E"/>
    <w:rsid w:val="00C41597"/>
    <w:rsid w:val="00C4209C"/>
    <w:rsid w:val="00C4472E"/>
    <w:rsid w:val="00C46074"/>
    <w:rsid w:val="00C47561"/>
    <w:rsid w:val="00C509EF"/>
    <w:rsid w:val="00C5494B"/>
    <w:rsid w:val="00C57EED"/>
    <w:rsid w:val="00C6168C"/>
    <w:rsid w:val="00C633DB"/>
    <w:rsid w:val="00C645CF"/>
    <w:rsid w:val="00C6467B"/>
    <w:rsid w:val="00C70C6D"/>
    <w:rsid w:val="00C71B28"/>
    <w:rsid w:val="00C720F8"/>
    <w:rsid w:val="00C72465"/>
    <w:rsid w:val="00C726C1"/>
    <w:rsid w:val="00C75092"/>
    <w:rsid w:val="00C7644C"/>
    <w:rsid w:val="00C770AD"/>
    <w:rsid w:val="00C77ABF"/>
    <w:rsid w:val="00C83733"/>
    <w:rsid w:val="00C8471E"/>
    <w:rsid w:val="00C86470"/>
    <w:rsid w:val="00C8655B"/>
    <w:rsid w:val="00C90C26"/>
    <w:rsid w:val="00C91253"/>
    <w:rsid w:val="00C917D9"/>
    <w:rsid w:val="00C933E2"/>
    <w:rsid w:val="00C9508B"/>
    <w:rsid w:val="00C9548A"/>
    <w:rsid w:val="00C973F4"/>
    <w:rsid w:val="00CA38D0"/>
    <w:rsid w:val="00CA487E"/>
    <w:rsid w:val="00CA4CC8"/>
    <w:rsid w:val="00CA59B3"/>
    <w:rsid w:val="00CA766A"/>
    <w:rsid w:val="00CA789D"/>
    <w:rsid w:val="00CB2604"/>
    <w:rsid w:val="00CB6AE0"/>
    <w:rsid w:val="00CB6E20"/>
    <w:rsid w:val="00CC30BD"/>
    <w:rsid w:val="00CC32D4"/>
    <w:rsid w:val="00CC34AB"/>
    <w:rsid w:val="00CC4C68"/>
    <w:rsid w:val="00CC61D1"/>
    <w:rsid w:val="00CC662C"/>
    <w:rsid w:val="00CC66A6"/>
    <w:rsid w:val="00CD05F7"/>
    <w:rsid w:val="00CD3251"/>
    <w:rsid w:val="00CD3637"/>
    <w:rsid w:val="00CD49C1"/>
    <w:rsid w:val="00CD693F"/>
    <w:rsid w:val="00CE1187"/>
    <w:rsid w:val="00CE1755"/>
    <w:rsid w:val="00CE384A"/>
    <w:rsid w:val="00CE3D18"/>
    <w:rsid w:val="00CE444F"/>
    <w:rsid w:val="00CE68D4"/>
    <w:rsid w:val="00CF1FFC"/>
    <w:rsid w:val="00CF210A"/>
    <w:rsid w:val="00CF2355"/>
    <w:rsid w:val="00CF3295"/>
    <w:rsid w:val="00CF5A93"/>
    <w:rsid w:val="00CF7F5D"/>
    <w:rsid w:val="00D00909"/>
    <w:rsid w:val="00D01149"/>
    <w:rsid w:val="00D01263"/>
    <w:rsid w:val="00D01559"/>
    <w:rsid w:val="00D0343A"/>
    <w:rsid w:val="00D03E15"/>
    <w:rsid w:val="00D04340"/>
    <w:rsid w:val="00D04D2F"/>
    <w:rsid w:val="00D05299"/>
    <w:rsid w:val="00D07435"/>
    <w:rsid w:val="00D07D90"/>
    <w:rsid w:val="00D07F1E"/>
    <w:rsid w:val="00D1057A"/>
    <w:rsid w:val="00D12CA0"/>
    <w:rsid w:val="00D12F8F"/>
    <w:rsid w:val="00D14CFF"/>
    <w:rsid w:val="00D237A9"/>
    <w:rsid w:val="00D245C1"/>
    <w:rsid w:val="00D24ED5"/>
    <w:rsid w:val="00D2645B"/>
    <w:rsid w:val="00D311F2"/>
    <w:rsid w:val="00D324A8"/>
    <w:rsid w:val="00D33196"/>
    <w:rsid w:val="00D34255"/>
    <w:rsid w:val="00D35D32"/>
    <w:rsid w:val="00D361E6"/>
    <w:rsid w:val="00D36B21"/>
    <w:rsid w:val="00D36E57"/>
    <w:rsid w:val="00D37ACA"/>
    <w:rsid w:val="00D40149"/>
    <w:rsid w:val="00D41D5A"/>
    <w:rsid w:val="00D43068"/>
    <w:rsid w:val="00D43103"/>
    <w:rsid w:val="00D44AAB"/>
    <w:rsid w:val="00D50DBD"/>
    <w:rsid w:val="00D51CEA"/>
    <w:rsid w:val="00D5370A"/>
    <w:rsid w:val="00D54D12"/>
    <w:rsid w:val="00D55D06"/>
    <w:rsid w:val="00D56A21"/>
    <w:rsid w:val="00D57BFF"/>
    <w:rsid w:val="00D61634"/>
    <w:rsid w:val="00D625C5"/>
    <w:rsid w:val="00D63B5A"/>
    <w:rsid w:val="00D63FEE"/>
    <w:rsid w:val="00D6508F"/>
    <w:rsid w:val="00D650D7"/>
    <w:rsid w:val="00D65CF7"/>
    <w:rsid w:val="00D67079"/>
    <w:rsid w:val="00D73FAF"/>
    <w:rsid w:val="00D74B26"/>
    <w:rsid w:val="00D75714"/>
    <w:rsid w:val="00D76083"/>
    <w:rsid w:val="00D80C35"/>
    <w:rsid w:val="00D81469"/>
    <w:rsid w:val="00D8234B"/>
    <w:rsid w:val="00D8296B"/>
    <w:rsid w:val="00D84714"/>
    <w:rsid w:val="00D8677F"/>
    <w:rsid w:val="00D86AC6"/>
    <w:rsid w:val="00D86AD6"/>
    <w:rsid w:val="00D903C6"/>
    <w:rsid w:val="00D90B99"/>
    <w:rsid w:val="00D91130"/>
    <w:rsid w:val="00D9496B"/>
    <w:rsid w:val="00D94DE2"/>
    <w:rsid w:val="00DA0D3E"/>
    <w:rsid w:val="00DA7989"/>
    <w:rsid w:val="00DB083A"/>
    <w:rsid w:val="00DB5AC2"/>
    <w:rsid w:val="00DC1B0E"/>
    <w:rsid w:val="00DC5F7B"/>
    <w:rsid w:val="00DC60E5"/>
    <w:rsid w:val="00DD0516"/>
    <w:rsid w:val="00DD252A"/>
    <w:rsid w:val="00DD2D1B"/>
    <w:rsid w:val="00DD3312"/>
    <w:rsid w:val="00DD435A"/>
    <w:rsid w:val="00DD52EC"/>
    <w:rsid w:val="00DD5715"/>
    <w:rsid w:val="00DD5C1B"/>
    <w:rsid w:val="00DD7270"/>
    <w:rsid w:val="00DD72BB"/>
    <w:rsid w:val="00DD7C7C"/>
    <w:rsid w:val="00DD7D05"/>
    <w:rsid w:val="00DE3667"/>
    <w:rsid w:val="00DE3972"/>
    <w:rsid w:val="00DE4B43"/>
    <w:rsid w:val="00DE501A"/>
    <w:rsid w:val="00DE6900"/>
    <w:rsid w:val="00DE7971"/>
    <w:rsid w:val="00DF161A"/>
    <w:rsid w:val="00DF1909"/>
    <w:rsid w:val="00DF6DA9"/>
    <w:rsid w:val="00DF7E67"/>
    <w:rsid w:val="00E02CC5"/>
    <w:rsid w:val="00E03B15"/>
    <w:rsid w:val="00E05652"/>
    <w:rsid w:val="00E1050B"/>
    <w:rsid w:val="00E23CB8"/>
    <w:rsid w:val="00E30272"/>
    <w:rsid w:val="00E30857"/>
    <w:rsid w:val="00E313AF"/>
    <w:rsid w:val="00E3399D"/>
    <w:rsid w:val="00E3457F"/>
    <w:rsid w:val="00E379F1"/>
    <w:rsid w:val="00E41EB4"/>
    <w:rsid w:val="00E43D9E"/>
    <w:rsid w:val="00E4458B"/>
    <w:rsid w:val="00E52FED"/>
    <w:rsid w:val="00E53C50"/>
    <w:rsid w:val="00E551E5"/>
    <w:rsid w:val="00E6035E"/>
    <w:rsid w:val="00E6196A"/>
    <w:rsid w:val="00E61CDD"/>
    <w:rsid w:val="00E63926"/>
    <w:rsid w:val="00E6525F"/>
    <w:rsid w:val="00E67628"/>
    <w:rsid w:val="00E709C2"/>
    <w:rsid w:val="00E71B75"/>
    <w:rsid w:val="00E77A10"/>
    <w:rsid w:val="00E808A5"/>
    <w:rsid w:val="00E80904"/>
    <w:rsid w:val="00E8374B"/>
    <w:rsid w:val="00E9050B"/>
    <w:rsid w:val="00E908F8"/>
    <w:rsid w:val="00E90CCF"/>
    <w:rsid w:val="00E91086"/>
    <w:rsid w:val="00E929D6"/>
    <w:rsid w:val="00E967E1"/>
    <w:rsid w:val="00EA3823"/>
    <w:rsid w:val="00EA38DA"/>
    <w:rsid w:val="00EA4C3D"/>
    <w:rsid w:val="00EA5E88"/>
    <w:rsid w:val="00EB2273"/>
    <w:rsid w:val="00EB2F4F"/>
    <w:rsid w:val="00EB4B32"/>
    <w:rsid w:val="00EC1290"/>
    <w:rsid w:val="00EC1A90"/>
    <w:rsid w:val="00EC2CFF"/>
    <w:rsid w:val="00EC2F29"/>
    <w:rsid w:val="00EC370F"/>
    <w:rsid w:val="00EC3D07"/>
    <w:rsid w:val="00EC3D31"/>
    <w:rsid w:val="00EC3E73"/>
    <w:rsid w:val="00EC43A5"/>
    <w:rsid w:val="00EC5A4D"/>
    <w:rsid w:val="00EC6265"/>
    <w:rsid w:val="00EC6517"/>
    <w:rsid w:val="00EC7D1E"/>
    <w:rsid w:val="00ED31A1"/>
    <w:rsid w:val="00ED356A"/>
    <w:rsid w:val="00ED6723"/>
    <w:rsid w:val="00ED7580"/>
    <w:rsid w:val="00ED76D4"/>
    <w:rsid w:val="00EE1CBC"/>
    <w:rsid w:val="00EE728F"/>
    <w:rsid w:val="00F00104"/>
    <w:rsid w:val="00F01964"/>
    <w:rsid w:val="00F01BF8"/>
    <w:rsid w:val="00F02B27"/>
    <w:rsid w:val="00F03C29"/>
    <w:rsid w:val="00F05621"/>
    <w:rsid w:val="00F05BE0"/>
    <w:rsid w:val="00F123FD"/>
    <w:rsid w:val="00F13A72"/>
    <w:rsid w:val="00F13A9D"/>
    <w:rsid w:val="00F201AC"/>
    <w:rsid w:val="00F2381F"/>
    <w:rsid w:val="00F26AD1"/>
    <w:rsid w:val="00F303E0"/>
    <w:rsid w:val="00F32FFE"/>
    <w:rsid w:val="00F358E3"/>
    <w:rsid w:val="00F37896"/>
    <w:rsid w:val="00F4316E"/>
    <w:rsid w:val="00F5039C"/>
    <w:rsid w:val="00F607FC"/>
    <w:rsid w:val="00F60FF3"/>
    <w:rsid w:val="00F63FF1"/>
    <w:rsid w:val="00F64F01"/>
    <w:rsid w:val="00F65695"/>
    <w:rsid w:val="00F65CB0"/>
    <w:rsid w:val="00F702DF"/>
    <w:rsid w:val="00F704F1"/>
    <w:rsid w:val="00F73E7B"/>
    <w:rsid w:val="00F80BF5"/>
    <w:rsid w:val="00F813A7"/>
    <w:rsid w:val="00F843AD"/>
    <w:rsid w:val="00F84F66"/>
    <w:rsid w:val="00F859CF"/>
    <w:rsid w:val="00F90873"/>
    <w:rsid w:val="00F92322"/>
    <w:rsid w:val="00F940FD"/>
    <w:rsid w:val="00F942FA"/>
    <w:rsid w:val="00F9540E"/>
    <w:rsid w:val="00FA0EE8"/>
    <w:rsid w:val="00FA1109"/>
    <w:rsid w:val="00FA2F87"/>
    <w:rsid w:val="00FA5F3F"/>
    <w:rsid w:val="00FA677C"/>
    <w:rsid w:val="00FA6D98"/>
    <w:rsid w:val="00FA7A06"/>
    <w:rsid w:val="00FB0C9B"/>
    <w:rsid w:val="00FB22D7"/>
    <w:rsid w:val="00FB2B80"/>
    <w:rsid w:val="00FB36D1"/>
    <w:rsid w:val="00FB5219"/>
    <w:rsid w:val="00FB594D"/>
    <w:rsid w:val="00FC28F2"/>
    <w:rsid w:val="00FC2BE3"/>
    <w:rsid w:val="00FC4F3A"/>
    <w:rsid w:val="00FC5192"/>
    <w:rsid w:val="00FC6A97"/>
    <w:rsid w:val="00FC6DCF"/>
    <w:rsid w:val="00FC71AF"/>
    <w:rsid w:val="00FC7A4F"/>
    <w:rsid w:val="00FD2362"/>
    <w:rsid w:val="00FD2556"/>
    <w:rsid w:val="00FD3298"/>
    <w:rsid w:val="00FD354E"/>
    <w:rsid w:val="00FD47BE"/>
    <w:rsid w:val="00FD6124"/>
    <w:rsid w:val="00FD6681"/>
    <w:rsid w:val="00FD7307"/>
    <w:rsid w:val="00FE242E"/>
    <w:rsid w:val="00FE310F"/>
    <w:rsid w:val="00FE4205"/>
    <w:rsid w:val="00FE4BA0"/>
    <w:rsid w:val="00FE657D"/>
    <w:rsid w:val="00FE7DD7"/>
    <w:rsid w:val="00FE7FF1"/>
    <w:rsid w:val="00FF3068"/>
    <w:rsid w:val="00FF4748"/>
    <w:rsid w:val="00FF63A7"/>
    <w:rsid w:val="00FF6520"/>
    <w:rsid w:val="00FF7D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6B168E"/>
  <w15:chartTrackingRefBased/>
  <w15:docId w15:val="{B937ABD0-BD62-4D2D-8BDC-3A100B90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fr-FR"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DD7"/>
    <w:pPr>
      <w:jc w:val="both"/>
    </w:pPr>
    <w:rPr>
      <w:rFonts w:ascii="Times New Roman" w:eastAsia="Times New Roman" w:hAnsi="Times New Roman"/>
      <w:sz w:val="22"/>
      <w:szCs w:val="24"/>
      <w:lang w:eastAsia="en-US"/>
    </w:rPr>
  </w:style>
  <w:style w:type="paragraph" w:styleId="Titre1">
    <w:name w:val="heading 1"/>
    <w:basedOn w:val="Normal"/>
    <w:next w:val="Normal"/>
    <w:link w:val="Titre1Car"/>
    <w:uiPriority w:val="9"/>
    <w:qFormat/>
    <w:rsid w:val="00FE7DD7"/>
    <w:pPr>
      <w:keepNext/>
      <w:keepLines/>
      <w:numPr>
        <w:numId w:val="17"/>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FE7DD7"/>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FE7DD7"/>
    <w:pPr>
      <w:keepNext/>
      <w:keepLines/>
      <w:numPr>
        <w:numId w:val="18"/>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FE7DD7"/>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FE7DD7"/>
    <w:pPr>
      <w:keepNext/>
      <w:spacing w:before="120" w:after="120"/>
      <w:ind w:left="567" w:hanging="567"/>
      <w:outlineLvl w:val="4"/>
    </w:pPr>
    <w:rPr>
      <w:rFonts w:eastAsiaTheme="majorEastAsia"/>
      <w:i/>
      <w:iCs/>
    </w:rPr>
  </w:style>
  <w:style w:type="paragraph" w:styleId="Titre6">
    <w:name w:val="heading 6"/>
    <w:basedOn w:val="Normal"/>
    <w:next w:val="Normal"/>
    <w:link w:val="Titre6Car"/>
    <w:qFormat/>
    <w:rsid w:val="00672672"/>
    <w:pPr>
      <w:keepNext/>
      <w:spacing w:after="240" w:line="240" w:lineRule="exact"/>
      <w:ind w:left="720"/>
      <w:outlineLvl w:val="5"/>
    </w:pPr>
    <w:rPr>
      <w:u w:val="single"/>
    </w:rPr>
  </w:style>
  <w:style w:type="paragraph" w:styleId="Titre7">
    <w:name w:val="heading 7"/>
    <w:basedOn w:val="Normal"/>
    <w:next w:val="Normal"/>
    <w:link w:val="Titre7Car"/>
    <w:rsid w:val="00672672"/>
    <w:pPr>
      <w:keepNext/>
      <w:jc w:val="right"/>
      <w:outlineLvl w:val="6"/>
    </w:pPr>
    <w:rPr>
      <w:rFonts w:ascii="Univers" w:hAnsi="Univers"/>
      <w:b/>
      <w:sz w:val="28"/>
    </w:rPr>
  </w:style>
  <w:style w:type="paragraph" w:styleId="Titre8">
    <w:name w:val="heading 8"/>
    <w:basedOn w:val="Normal"/>
    <w:next w:val="Normal"/>
    <w:link w:val="Titre8Car"/>
    <w:qFormat/>
    <w:rsid w:val="00672672"/>
    <w:pPr>
      <w:keepNext/>
      <w:jc w:val="right"/>
      <w:outlineLvl w:val="7"/>
    </w:pPr>
    <w:rPr>
      <w:rFonts w:ascii="Univers" w:hAnsi="Univers"/>
      <w:b/>
      <w:sz w:val="32"/>
    </w:rPr>
  </w:style>
  <w:style w:type="paragraph" w:styleId="Titre9">
    <w:name w:val="heading 9"/>
    <w:basedOn w:val="Normal"/>
    <w:next w:val="Normal"/>
    <w:link w:val="Titre9Car"/>
    <w:rsid w:val="00672672"/>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7DD7"/>
    <w:rPr>
      <w:rFonts w:ascii="Times New Roman" w:eastAsiaTheme="majorEastAsia" w:hAnsi="Times New Roman" w:cstheme="majorBidi"/>
      <w:b/>
      <w:bCs/>
      <w:kern w:val="2"/>
      <w:sz w:val="28"/>
      <w:szCs w:val="32"/>
      <w:lang w:eastAsia="en-US"/>
      <w14:ligatures w14:val="standardContextual"/>
    </w:rPr>
  </w:style>
  <w:style w:type="paragraph" w:styleId="Paragraphedeliste">
    <w:name w:val="List Paragraph"/>
    <w:basedOn w:val="Normal"/>
    <w:uiPriority w:val="34"/>
    <w:qFormat/>
    <w:rsid w:val="00672672"/>
    <w:pPr>
      <w:ind w:left="720"/>
      <w:contextualSpacing/>
    </w:pPr>
  </w:style>
  <w:style w:type="character" w:styleId="Marquedecommentaire">
    <w:name w:val="annotation reference"/>
    <w:basedOn w:val="Policepardfaut"/>
    <w:uiPriority w:val="99"/>
    <w:semiHidden/>
    <w:unhideWhenUsed/>
    <w:rsid w:val="00FE7DD7"/>
    <w:rPr>
      <w:sz w:val="16"/>
      <w:szCs w:val="16"/>
    </w:rPr>
  </w:style>
  <w:style w:type="paragraph" w:styleId="Commentaire">
    <w:name w:val="annotation text"/>
    <w:basedOn w:val="Normal"/>
    <w:link w:val="CommentaireCar"/>
    <w:uiPriority w:val="99"/>
    <w:unhideWhenUsed/>
    <w:rsid w:val="00FE7DD7"/>
    <w:rPr>
      <w:sz w:val="20"/>
      <w:szCs w:val="20"/>
    </w:rPr>
  </w:style>
  <w:style w:type="character" w:customStyle="1" w:styleId="CommentaireCar">
    <w:name w:val="Commentaire Car"/>
    <w:basedOn w:val="Policepardfaut"/>
    <w:link w:val="Commentaire"/>
    <w:uiPriority w:val="99"/>
    <w:rsid w:val="00FE7DD7"/>
    <w:rPr>
      <w:rFonts w:ascii="Times New Roman" w:eastAsia="Times New Roman" w:hAnsi="Times New Roman"/>
      <w:lang w:val="en-GB" w:eastAsia="en-US"/>
    </w:rPr>
  </w:style>
  <w:style w:type="table" w:styleId="Grilledutableau">
    <w:name w:val="Table Grid"/>
    <w:basedOn w:val="TableauNormal"/>
    <w:uiPriority w:val="39"/>
    <w:rsid w:val="00FE7DD7"/>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nhideWhenUsed/>
    <w:rsid w:val="00FE7DD7"/>
    <w:pPr>
      <w:tabs>
        <w:tab w:val="center" w:pos="4680"/>
        <w:tab w:val="right" w:pos="9360"/>
      </w:tabs>
    </w:pPr>
    <w:rPr>
      <w:caps/>
    </w:rPr>
  </w:style>
  <w:style w:type="character" w:customStyle="1" w:styleId="En-tteCar">
    <w:name w:val="En-tête Car"/>
    <w:basedOn w:val="Policepardfaut"/>
    <w:link w:val="En-tte"/>
    <w:rsid w:val="00FE7DD7"/>
    <w:rPr>
      <w:rFonts w:ascii="Times New Roman" w:eastAsia="Times New Roman" w:hAnsi="Times New Roman"/>
      <w:caps/>
      <w:sz w:val="22"/>
      <w:szCs w:val="24"/>
      <w:lang w:val="en-GB" w:eastAsia="en-US"/>
    </w:rPr>
  </w:style>
  <w:style w:type="character" w:styleId="Lienhypertexte">
    <w:name w:val="Hyperlink"/>
    <w:rsid w:val="00672672"/>
    <w:rPr>
      <w:color w:val="0000FF"/>
      <w:sz w:val="18"/>
      <w:u w:val="single"/>
    </w:rPr>
  </w:style>
  <w:style w:type="paragraph" w:customStyle="1" w:styleId="Style1">
    <w:name w:val="Style1"/>
    <w:basedOn w:val="Titre2"/>
    <w:qFormat/>
    <w:rsid w:val="00672672"/>
    <w:rPr>
      <w:i/>
    </w:rPr>
  </w:style>
  <w:style w:type="table" w:customStyle="1" w:styleId="TableGrid1">
    <w:name w:val="Table Grid1"/>
    <w:basedOn w:val="TableauNormal"/>
    <w:next w:val="Grilledutableau"/>
    <w:uiPriority w:val="59"/>
    <w:rsid w:val="00FE7DD7"/>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6Couleur">
    <w:name w:val="List Table 6 Colorful"/>
    <w:basedOn w:val="TableauNormal"/>
    <w:uiPriority w:val="51"/>
    <w:rsid w:val="000D4DA8"/>
    <w:rPr>
      <w:rFonts w:eastAsia="Yu Mincho"/>
      <w:color w:val="000000"/>
      <w:sz w:val="24"/>
      <w:szCs w:val="24"/>
      <w:lang w:val="fr-CA"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aragraph">
    <w:name w:val="paragraph"/>
    <w:basedOn w:val="Normal"/>
    <w:rsid w:val="000D4DA8"/>
    <w:pPr>
      <w:spacing w:before="100" w:beforeAutospacing="1" w:after="100" w:afterAutospacing="1"/>
    </w:pPr>
    <w:rPr>
      <w:sz w:val="24"/>
      <w:lang w:eastAsia="fr-FR"/>
    </w:rPr>
  </w:style>
  <w:style w:type="character" w:customStyle="1" w:styleId="normaltextrun">
    <w:name w:val="normaltextrun"/>
    <w:rsid w:val="000D4DA8"/>
  </w:style>
  <w:style w:type="character" w:customStyle="1" w:styleId="Titre2Car">
    <w:name w:val="Titre 2 Car"/>
    <w:basedOn w:val="Policepardfaut"/>
    <w:link w:val="Titre2"/>
    <w:uiPriority w:val="9"/>
    <w:rsid w:val="00FE7DD7"/>
    <w:rPr>
      <w:rFonts w:ascii="Times New Roman" w:eastAsiaTheme="majorEastAsia" w:hAnsi="Times New Roman" w:cstheme="majorBidi"/>
      <w:b/>
      <w:sz w:val="24"/>
      <w:szCs w:val="26"/>
      <w:lang w:val="en-GB" w:eastAsia="en-US"/>
    </w:rPr>
  </w:style>
  <w:style w:type="paragraph" w:styleId="Textedebulles">
    <w:name w:val="Balloon Text"/>
    <w:basedOn w:val="Normal"/>
    <w:link w:val="TextedebullesCar"/>
    <w:uiPriority w:val="99"/>
    <w:semiHidden/>
    <w:unhideWhenUsed/>
    <w:rsid w:val="0067267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72672"/>
    <w:rPr>
      <w:rFonts w:ascii="Lucida Grande" w:eastAsia="Times New Roman" w:hAnsi="Lucida Grande" w:cs="Lucida Grande"/>
      <w:sz w:val="18"/>
      <w:szCs w:val="18"/>
      <w:lang w:val="en-GB" w:eastAsia="en-US"/>
    </w:rPr>
  </w:style>
  <w:style w:type="paragraph" w:styleId="Notedebasdepage">
    <w:name w:val="footnote text"/>
    <w:basedOn w:val="Normal"/>
    <w:link w:val="NotedebasdepageCar"/>
    <w:uiPriority w:val="99"/>
    <w:unhideWhenUsed/>
    <w:rsid w:val="00FE7DD7"/>
    <w:rPr>
      <w:sz w:val="20"/>
      <w:szCs w:val="20"/>
    </w:rPr>
  </w:style>
  <w:style w:type="character" w:customStyle="1" w:styleId="NotedebasdepageCar">
    <w:name w:val="Note de bas de page Car"/>
    <w:basedOn w:val="Policepardfaut"/>
    <w:link w:val="Notedebasdepage"/>
    <w:uiPriority w:val="99"/>
    <w:rsid w:val="00FE7DD7"/>
    <w:rPr>
      <w:rFonts w:ascii="Times New Roman" w:eastAsia="Times New Roman" w:hAnsi="Times New Roman"/>
      <w:lang w:val="en-GB" w:eastAsia="en-US"/>
    </w:rPr>
  </w:style>
  <w:style w:type="character" w:styleId="Appelnotedebasdep">
    <w:name w:val="footnote reference"/>
    <w:basedOn w:val="Policepardfaut"/>
    <w:link w:val="BVIfnrChar"/>
    <w:uiPriority w:val="99"/>
    <w:unhideWhenUsed/>
    <w:rsid w:val="00FE7DD7"/>
    <w:rPr>
      <w:vertAlign w:val="superscript"/>
    </w:rPr>
  </w:style>
  <w:style w:type="table" w:customStyle="1" w:styleId="TableGrid2">
    <w:name w:val="Table Grid2"/>
    <w:basedOn w:val="TableauNormal"/>
    <w:next w:val="Grilledutableau"/>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59"/>
    <w:rsid w:val="00490865"/>
    <w:rPr>
      <w:rFonts w:eastAsia="DengXian"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490865"/>
    <w:pPr>
      <w:spacing w:after="160" w:line="240" w:lineRule="exact"/>
    </w:pPr>
    <w:rPr>
      <w:rFonts w:ascii="Calibri" w:eastAsia="Calibri" w:hAnsi="Calibri"/>
      <w:sz w:val="20"/>
      <w:szCs w:val="20"/>
      <w:vertAlign w:val="superscript"/>
      <w:lang w:val="en-CA" w:eastAsia="en-CA"/>
    </w:rPr>
  </w:style>
  <w:style w:type="character" w:styleId="Textedelespacerserv">
    <w:name w:val="Placeholder Text"/>
    <w:basedOn w:val="Policepardfaut"/>
    <w:uiPriority w:val="99"/>
    <w:semiHidden/>
    <w:rsid w:val="00FE7DD7"/>
    <w:rPr>
      <w:color w:val="808080"/>
    </w:rPr>
  </w:style>
  <w:style w:type="paragraph" w:styleId="Pieddepage">
    <w:name w:val="footer"/>
    <w:basedOn w:val="Normal"/>
    <w:link w:val="PieddepageCar"/>
    <w:uiPriority w:val="99"/>
    <w:unhideWhenUsed/>
    <w:rsid w:val="00FE7DD7"/>
    <w:pPr>
      <w:tabs>
        <w:tab w:val="center" w:pos="4680"/>
        <w:tab w:val="right" w:pos="9360"/>
      </w:tabs>
    </w:pPr>
  </w:style>
  <w:style w:type="character" w:customStyle="1" w:styleId="PieddepageCar">
    <w:name w:val="Pied de page Car"/>
    <w:basedOn w:val="Policepardfaut"/>
    <w:link w:val="Pieddepage"/>
    <w:uiPriority w:val="99"/>
    <w:rsid w:val="00FE7DD7"/>
    <w:rPr>
      <w:rFonts w:ascii="Times New Roman" w:eastAsia="Times New Roman" w:hAnsi="Times New Roman"/>
      <w:sz w:val="22"/>
      <w:szCs w:val="24"/>
      <w:lang w:val="en-GB" w:eastAsia="en-US"/>
    </w:rPr>
  </w:style>
  <w:style w:type="character" w:styleId="Mentionnonrsolue">
    <w:name w:val="Unresolved Mention"/>
    <w:basedOn w:val="Policepardfaut"/>
    <w:uiPriority w:val="99"/>
    <w:semiHidden/>
    <w:unhideWhenUsed/>
    <w:rsid w:val="00AB1A92"/>
    <w:rPr>
      <w:color w:val="605E5C"/>
      <w:shd w:val="clear" w:color="auto" w:fill="E1DFDD"/>
    </w:rPr>
  </w:style>
  <w:style w:type="paragraph" w:styleId="Corpsdetexte">
    <w:name w:val="Body Text"/>
    <w:basedOn w:val="Normal"/>
    <w:link w:val="CorpsdetexteCar"/>
    <w:uiPriority w:val="99"/>
    <w:unhideWhenUsed/>
    <w:rsid w:val="00FE7DD7"/>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rsid w:val="00FE7DD7"/>
    <w:rPr>
      <w:rFonts w:asciiTheme="minorHAnsi" w:eastAsiaTheme="minorHAnsi" w:hAnsiTheme="minorHAnsi" w:cstheme="minorBidi"/>
      <w:kern w:val="2"/>
      <w:sz w:val="22"/>
      <w:szCs w:val="22"/>
      <w:lang w:eastAsia="en-US"/>
      <w14:ligatures w14:val="standardContextual"/>
    </w:rPr>
  </w:style>
  <w:style w:type="paragraph" w:styleId="Retraitcorpsdetexte">
    <w:name w:val="Body Text Indent"/>
    <w:basedOn w:val="Normal"/>
    <w:link w:val="RetraitcorpsdetexteCar"/>
    <w:rsid w:val="00672672"/>
    <w:pPr>
      <w:spacing w:before="120" w:after="120"/>
      <w:ind w:left="1440" w:hanging="720"/>
      <w:jc w:val="left"/>
    </w:pPr>
  </w:style>
  <w:style w:type="character" w:customStyle="1" w:styleId="RetraitcorpsdetexteCar">
    <w:name w:val="Retrait corps de texte Car"/>
    <w:basedOn w:val="Policepardfaut"/>
    <w:link w:val="Retraitcorpsdetexte"/>
    <w:rsid w:val="00672672"/>
    <w:rPr>
      <w:rFonts w:ascii="Times New Roman" w:eastAsia="Times New Roman" w:hAnsi="Times New Roman"/>
      <w:sz w:val="22"/>
      <w:szCs w:val="24"/>
      <w:lang w:val="en-GB" w:eastAsia="en-US"/>
    </w:rPr>
  </w:style>
  <w:style w:type="paragraph" w:styleId="Lgende">
    <w:name w:val="caption"/>
    <w:basedOn w:val="Normal"/>
    <w:next w:val="Normal"/>
    <w:uiPriority w:val="35"/>
    <w:unhideWhenUsed/>
    <w:qFormat/>
    <w:rsid w:val="00672672"/>
    <w:pPr>
      <w:keepNext/>
      <w:keepLines/>
      <w:spacing w:after="200"/>
    </w:pPr>
    <w:rPr>
      <w:b/>
      <w:iCs/>
      <w:szCs w:val="18"/>
    </w:rPr>
  </w:style>
  <w:style w:type="paragraph" w:customStyle="1" w:styleId="CBD-Doc">
    <w:name w:val="CBD-Doc"/>
    <w:basedOn w:val="Normal"/>
    <w:rsid w:val="00672672"/>
    <w:pPr>
      <w:keepLines/>
      <w:numPr>
        <w:numId w:val="7"/>
      </w:numPr>
      <w:spacing w:after="120"/>
    </w:pPr>
    <w:rPr>
      <w:rFonts w:cs="Angsana New"/>
    </w:rPr>
  </w:style>
  <w:style w:type="paragraph" w:customStyle="1" w:styleId="CBD-Doc-Type">
    <w:name w:val="CBD-Doc-Type"/>
    <w:basedOn w:val="Normal"/>
    <w:rsid w:val="00672672"/>
    <w:pPr>
      <w:keepLines/>
      <w:spacing w:before="240" w:after="120"/>
    </w:pPr>
    <w:rPr>
      <w:rFonts w:cs="Angsana New"/>
      <w:b/>
      <w:i/>
      <w:sz w:val="24"/>
    </w:rPr>
  </w:style>
  <w:style w:type="paragraph" w:customStyle="1" w:styleId="Cornernotation">
    <w:name w:val="Corner notation"/>
    <w:basedOn w:val="Normal"/>
    <w:rsid w:val="00FE7DD7"/>
    <w:pPr>
      <w:ind w:left="170" w:right="3119" w:hanging="170"/>
      <w:jc w:val="left"/>
    </w:pPr>
    <w:rPr>
      <w:b/>
      <w:sz w:val="24"/>
    </w:rPr>
  </w:style>
  <w:style w:type="character" w:styleId="Appeldenotedefin">
    <w:name w:val="endnote reference"/>
    <w:semiHidden/>
    <w:rsid w:val="00672672"/>
    <w:rPr>
      <w:vertAlign w:val="superscript"/>
    </w:rPr>
  </w:style>
  <w:style w:type="paragraph" w:styleId="Notedefin">
    <w:name w:val="endnote text"/>
    <w:basedOn w:val="Normal"/>
    <w:link w:val="NotedefinCar"/>
    <w:semiHidden/>
    <w:rsid w:val="00672672"/>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672672"/>
    <w:rPr>
      <w:rFonts w:ascii="Courier New" w:eastAsia="Times New Roman" w:hAnsi="Courier New"/>
      <w:sz w:val="22"/>
      <w:szCs w:val="24"/>
      <w:lang w:val="en-GB" w:eastAsia="en-US"/>
    </w:rPr>
  </w:style>
  <w:style w:type="character" w:styleId="Lienhypertextesuivivisit">
    <w:name w:val="FollowedHyperlink"/>
    <w:rsid w:val="00672672"/>
    <w:rPr>
      <w:color w:val="800080"/>
      <w:u w:val="single"/>
    </w:rPr>
  </w:style>
  <w:style w:type="paragraph" w:customStyle="1" w:styleId="HEADING">
    <w:name w:val="HEADING"/>
    <w:basedOn w:val="Normal"/>
    <w:rsid w:val="00672672"/>
    <w:pPr>
      <w:keepNext/>
      <w:spacing w:before="240" w:after="120"/>
      <w:jc w:val="center"/>
    </w:pPr>
    <w:rPr>
      <w:b/>
      <w:bCs/>
      <w:caps/>
    </w:rPr>
  </w:style>
  <w:style w:type="paragraph" w:customStyle="1" w:styleId="HEADINGNOTFORTOC">
    <w:name w:val="HEADING (NOT FOR TOC)"/>
    <w:basedOn w:val="Titre1"/>
    <w:next w:val="Titre2"/>
    <w:rsid w:val="00672672"/>
  </w:style>
  <w:style w:type="paragraph" w:customStyle="1" w:styleId="Heading1longmultiline">
    <w:name w:val="Heading 1 (long multiline)"/>
    <w:basedOn w:val="Titre1"/>
    <w:rsid w:val="00672672"/>
    <w:pPr>
      <w:ind w:left="1843" w:hanging="1134"/>
    </w:pPr>
  </w:style>
  <w:style w:type="paragraph" w:customStyle="1" w:styleId="Heading1multiline">
    <w:name w:val="Heading 1 (multiline)"/>
    <w:basedOn w:val="Titre1"/>
    <w:rsid w:val="00672672"/>
    <w:pPr>
      <w:ind w:left="1843" w:right="996" w:hanging="567"/>
    </w:pPr>
  </w:style>
  <w:style w:type="paragraph" w:customStyle="1" w:styleId="Heading2multiline">
    <w:name w:val="Heading 2 (multiline)"/>
    <w:basedOn w:val="Titre1"/>
    <w:next w:val="Normal"/>
    <w:rsid w:val="00672672"/>
    <w:pPr>
      <w:spacing w:before="120"/>
      <w:ind w:left="1843" w:right="998" w:hanging="567"/>
    </w:pPr>
    <w:rPr>
      <w:i/>
      <w:iCs/>
      <w:caps/>
    </w:rPr>
  </w:style>
  <w:style w:type="paragraph" w:customStyle="1" w:styleId="Heading2longmultiline">
    <w:name w:val="Heading 2 (long multiline)"/>
    <w:basedOn w:val="Heading2multiline"/>
    <w:rsid w:val="00672672"/>
    <w:pPr>
      <w:ind w:left="2127" w:hanging="1276"/>
    </w:pPr>
  </w:style>
  <w:style w:type="character" w:customStyle="1" w:styleId="Titre3Car">
    <w:name w:val="Titre 3 Car"/>
    <w:basedOn w:val="Policepardfaut"/>
    <w:link w:val="Titre3"/>
    <w:uiPriority w:val="9"/>
    <w:rsid w:val="00FE7DD7"/>
    <w:rPr>
      <w:rFonts w:ascii="Times New Roman" w:eastAsiaTheme="majorEastAsia" w:hAnsi="Times New Roman"/>
      <w:b/>
      <w:bCs/>
      <w:sz w:val="22"/>
      <w:szCs w:val="22"/>
      <w:lang w:val="en-GB" w:eastAsia="en-US"/>
    </w:rPr>
  </w:style>
  <w:style w:type="paragraph" w:customStyle="1" w:styleId="heading2notforTOC">
    <w:name w:val="heading 2 not for TOC"/>
    <w:basedOn w:val="Titre3"/>
    <w:rsid w:val="00672672"/>
  </w:style>
  <w:style w:type="paragraph" w:customStyle="1" w:styleId="Heading3multiline">
    <w:name w:val="Heading 3 (multiline)"/>
    <w:basedOn w:val="Titre3"/>
    <w:next w:val="Normal"/>
    <w:rsid w:val="00672672"/>
    <w:pPr>
      <w:ind w:left="1418" w:hanging="425"/>
      <w:jc w:val="left"/>
    </w:pPr>
  </w:style>
  <w:style w:type="character" w:customStyle="1" w:styleId="Titre4Car">
    <w:name w:val="Titre 4 Car"/>
    <w:basedOn w:val="Policepardfaut"/>
    <w:link w:val="Titre4"/>
    <w:uiPriority w:val="9"/>
    <w:rsid w:val="00FE7DD7"/>
    <w:rPr>
      <w:rFonts w:ascii="Times New Roman" w:eastAsiaTheme="majorEastAsia" w:hAnsi="Times New Roman"/>
      <w:b/>
      <w:bCs/>
      <w:sz w:val="22"/>
      <w:szCs w:val="24"/>
      <w:lang w:val="en-GB" w:eastAsia="en-US"/>
    </w:rPr>
  </w:style>
  <w:style w:type="paragraph" w:customStyle="1" w:styleId="Heading4indent">
    <w:name w:val="Heading 4 indent"/>
    <w:basedOn w:val="Titre4"/>
    <w:rsid w:val="00672672"/>
    <w:pPr>
      <w:ind w:left="720"/>
      <w:outlineLvl w:val="9"/>
    </w:pPr>
  </w:style>
  <w:style w:type="character" w:customStyle="1" w:styleId="Titre5Car">
    <w:name w:val="Titre 5 Car"/>
    <w:basedOn w:val="Policepardfaut"/>
    <w:link w:val="Titre5"/>
    <w:uiPriority w:val="9"/>
    <w:rsid w:val="00FE7DD7"/>
    <w:rPr>
      <w:rFonts w:ascii="Times New Roman" w:eastAsiaTheme="majorEastAsia" w:hAnsi="Times New Roman"/>
      <w:i/>
      <w:iCs/>
      <w:sz w:val="22"/>
      <w:szCs w:val="24"/>
      <w:lang w:val="en-GB" w:eastAsia="en-US"/>
    </w:rPr>
  </w:style>
  <w:style w:type="character" w:customStyle="1" w:styleId="Titre6Car">
    <w:name w:val="Titre 6 Car"/>
    <w:basedOn w:val="Policepardfaut"/>
    <w:link w:val="Titre6"/>
    <w:rsid w:val="00672672"/>
    <w:rPr>
      <w:rFonts w:ascii="Times New Roman" w:eastAsia="Times New Roman" w:hAnsi="Times New Roman"/>
      <w:sz w:val="22"/>
      <w:szCs w:val="24"/>
      <w:u w:val="single"/>
      <w:lang w:val="en-GB" w:eastAsia="en-US"/>
    </w:rPr>
  </w:style>
  <w:style w:type="character" w:customStyle="1" w:styleId="Titre7Car">
    <w:name w:val="Titre 7 Car"/>
    <w:basedOn w:val="Policepardfaut"/>
    <w:link w:val="Titre7"/>
    <w:rsid w:val="00672672"/>
    <w:rPr>
      <w:rFonts w:ascii="Univers" w:eastAsia="Times New Roman" w:hAnsi="Univers"/>
      <w:b/>
      <w:sz w:val="28"/>
      <w:szCs w:val="24"/>
      <w:lang w:val="en-GB" w:eastAsia="en-US"/>
    </w:rPr>
  </w:style>
  <w:style w:type="character" w:customStyle="1" w:styleId="Titre8Car">
    <w:name w:val="Titre 8 Car"/>
    <w:basedOn w:val="Policepardfaut"/>
    <w:link w:val="Titre8"/>
    <w:rsid w:val="00672672"/>
    <w:rPr>
      <w:rFonts w:ascii="Univers" w:eastAsia="Times New Roman" w:hAnsi="Univers"/>
      <w:b/>
      <w:sz w:val="32"/>
      <w:szCs w:val="24"/>
      <w:lang w:val="en-GB" w:eastAsia="en-US"/>
    </w:rPr>
  </w:style>
  <w:style w:type="character" w:customStyle="1" w:styleId="Titre9Car">
    <w:name w:val="Titre 9 Car"/>
    <w:basedOn w:val="Policepardfaut"/>
    <w:link w:val="Titre9"/>
    <w:rsid w:val="00672672"/>
    <w:rPr>
      <w:rFonts w:ascii="Times New Roman" w:eastAsia="Times New Roman" w:hAnsi="Times New Roman"/>
      <w:i/>
      <w:iCs/>
      <w:sz w:val="22"/>
      <w:szCs w:val="24"/>
      <w:lang w:val="en-GB" w:eastAsia="en-US"/>
    </w:rPr>
  </w:style>
  <w:style w:type="paragraph" w:customStyle="1" w:styleId="meetingname">
    <w:name w:val="meeting name"/>
    <w:basedOn w:val="Normal"/>
    <w:qFormat/>
    <w:rsid w:val="00672672"/>
    <w:pPr>
      <w:ind w:left="142" w:right="4218" w:hanging="142"/>
    </w:pPr>
    <w:rPr>
      <w:caps/>
      <w:szCs w:val="22"/>
    </w:rPr>
  </w:style>
  <w:style w:type="character" w:styleId="Numrodepage">
    <w:name w:val="page number"/>
    <w:rsid w:val="00672672"/>
    <w:rPr>
      <w:rFonts w:ascii="Times New Roman" w:hAnsi="Times New Roman"/>
      <w:sz w:val="22"/>
    </w:rPr>
  </w:style>
  <w:style w:type="paragraph" w:customStyle="1" w:styleId="Para1">
    <w:name w:val="Para1"/>
    <w:basedOn w:val="Normal"/>
    <w:link w:val="Para1Char"/>
    <w:rsid w:val="00672672"/>
    <w:pPr>
      <w:numPr>
        <w:numId w:val="9"/>
      </w:numPr>
      <w:tabs>
        <w:tab w:val="clear" w:pos="360"/>
      </w:tabs>
      <w:spacing w:before="120" w:after="120"/>
    </w:pPr>
    <w:rPr>
      <w:snapToGrid w:val="0"/>
      <w:szCs w:val="18"/>
    </w:rPr>
  </w:style>
  <w:style w:type="character" w:customStyle="1" w:styleId="Para1Char">
    <w:name w:val="Para1 Char"/>
    <w:link w:val="Para1"/>
    <w:locked/>
    <w:rsid w:val="00672672"/>
    <w:rPr>
      <w:rFonts w:ascii="Times New Roman" w:eastAsia="Times New Roman" w:hAnsi="Times New Roman"/>
      <w:snapToGrid w:val="0"/>
      <w:sz w:val="22"/>
      <w:szCs w:val="18"/>
      <w:lang w:val="en-GB" w:eastAsia="en-US"/>
    </w:rPr>
  </w:style>
  <w:style w:type="paragraph" w:customStyle="1" w:styleId="Para2">
    <w:name w:val="Para2"/>
    <w:basedOn w:val="Para1"/>
    <w:rsid w:val="00672672"/>
    <w:pPr>
      <w:numPr>
        <w:numId w:val="0"/>
      </w:numPr>
      <w:autoSpaceDE w:val="0"/>
      <w:autoSpaceDN w:val="0"/>
    </w:pPr>
  </w:style>
  <w:style w:type="paragraph" w:customStyle="1" w:styleId="Para3">
    <w:name w:val="Para3"/>
    <w:basedOn w:val="Normal"/>
    <w:rsid w:val="00672672"/>
    <w:pPr>
      <w:numPr>
        <w:ilvl w:val="3"/>
        <w:numId w:val="10"/>
      </w:numPr>
      <w:tabs>
        <w:tab w:val="left" w:pos="1980"/>
      </w:tabs>
      <w:spacing w:before="80" w:after="80"/>
    </w:pPr>
    <w:rPr>
      <w:szCs w:val="20"/>
    </w:rPr>
  </w:style>
  <w:style w:type="paragraph" w:customStyle="1" w:styleId="para4">
    <w:name w:val="para4"/>
    <w:basedOn w:val="Normal"/>
    <w:rsid w:val="0067267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67267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672672"/>
    <w:pPr>
      <w:spacing w:before="120" w:after="120"/>
      <w:ind w:left="720" w:right="720"/>
    </w:pPr>
    <w:rPr>
      <w:bCs/>
    </w:rPr>
  </w:style>
  <w:style w:type="paragraph" w:customStyle="1" w:styleId="recommendationheader">
    <w:name w:val="recommendation header"/>
    <w:basedOn w:val="Titre2"/>
    <w:qFormat/>
    <w:rsid w:val="00672672"/>
  </w:style>
  <w:style w:type="paragraph" w:customStyle="1" w:styleId="recommendationheaderlong">
    <w:name w:val="recommendation header long"/>
    <w:basedOn w:val="Heading2longmultiline"/>
    <w:qFormat/>
    <w:rsid w:val="00672672"/>
  </w:style>
  <w:style w:type="paragraph" w:customStyle="1" w:styleId="reference">
    <w:name w:val="reference"/>
    <w:basedOn w:val="Titre9"/>
    <w:qFormat/>
    <w:rsid w:val="00672672"/>
    <w:rPr>
      <w:i w:val="0"/>
      <w:sz w:val="18"/>
    </w:rPr>
  </w:style>
  <w:style w:type="character" w:customStyle="1" w:styleId="StyleFootnoteReferenceNounderline">
    <w:name w:val="Style Footnote Reference + No underline"/>
    <w:rsid w:val="00672672"/>
    <w:rPr>
      <w:sz w:val="18"/>
      <w:u w:val="none"/>
      <w:vertAlign w:val="baseline"/>
    </w:rPr>
  </w:style>
  <w:style w:type="paragraph" w:styleId="Sous-titre">
    <w:name w:val="Subtitle"/>
    <w:basedOn w:val="Normal"/>
    <w:next w:val="Normal"/>
    <w:link w:val="Sous-titreCar"/>
    <w:uiPriority w:val="11"/>
    <w:qFormat/>
    <w:rsid w:val="00FE7DD7"/>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FE7DD7"/>
    <w:rPr>
      <w:rFonts w:ascii="Times New Roman Bold" w:eastAsiaTheme="minorEastAsia" w:hAnsi="Times New Roman Bold" w:cstheme="minorBidi"/>
      <w:b/>
      <w:color w:val="5A5A5A" w:themeColor="text1" w:themeTint="A5"/>
      <w:sz w:val="22"/>
      <w:szCs w:val="22"/>
      <w:lang w:val="en-GB" w:eastAsia="en-US"/>
    </w:rPr>
  </w:style>
  <w:style w:type="paragraph" w:customStyle="1" w:styleId="tabletitle">
    <w:name w:val="table title"/>
    <w:basedOn w:val="Titre2"/>
    <w:qFormat/>
    <w:rsid w:val="00672672"/>
    <w:pPr>
      <w:jc w:val="left"/>
      <w:outlineLvl w:val="9"/>
    </w:pPr>
    <w:rPr>
      <w:i/>
    </w:rPr>
  </w:style>
  <w:style w:type="paragraph" w:styleId="Titre">
    <w:name w:val="Title"/>
    <w:basedOn w:val="Normal"/>
    <w:next w:val="Normal"/>
    <w:link w:val="TitreCar"/>
    <w:uiPriority w:val="10"/>
    <w:qFormat/>
    <w:rsid w:val="00FE7DD7"/>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FE7DD7"/>
    <w:rPr>
      <w:rFonts w:ascii="Times New Roman Bold" w:eastAsiaTheme="majorEastAsia" w:hAnsi="Times New Roman Bold"/>
      <w:b/>
      <w:bCs/>
      <w:spacing w:val="5"/>
      <w:kern w:val="28"/>
      <w:sz w:val="28"/>
      <w:szCs w:val="28"/>
      <w:lang w:val="en-GB" w:eastAsia="en-US"/>
      <w14:ligatures w14:val="standardContextual"/>
    </w:rPr>
  </w:style>
  <w:style w:type="paragraph" w:styleId="TitreTR">
    <w:name w:val="toa heading"/>
    <w:basedOn w:val="Normal"/>
    <w:next w:val="Normal"/>
    <w:semiHidden/>
    <w:rsid w:val="00672672"/>
    <w:pPr>
      <w:spacing w:before="120"/>
    </w:pPr>
    <w:rPr>
      <w:rFonts w:cs="Arial"/>
      <w:b/>
      <w:bCs/>
      <w:sz w:val="24"/>
    </w:rPr>
  </w:style>
  <w:style w:type="paragraph" w:styleId="TM1">
    <w:name w:val="toc 1"/>
    <w:basedOn w:val="Normal"/>
    <w:next w:val="Normal"/>
    <w:autoRedefine/>
    <w:semiHidden/>
    <w:rsid w:val="00672672"/>
    <w:pPr>
      <w:ind w:left="720" w:hanging="720"/>
    </w:pPr>
    <w:rPr>
      <w:caps/>
    </w:rPr>
  </w:style>
  <w:style w:type="paragraph" w:styleId="TM2">
    <w:name w:val="toc 2"/>
    <w:basedOn w:val="Normal"/>
    <w:next w:val="Normal"/>
    <w:autoRedefine/>
    <w:semiHidden/>
    <w:rsid w:val="00672672"/>
    <w:pPr>
      <w:tabs>
        <w:tab w:val="right" w:leader="dot" w:pos="9356"/>
      </w:tabs>
      <w:ind w:left="1440" w:hanging="720"/>
    </w:pPr>
    <w:rPr>
      <w:noProof/>
      <w:szCs w:val="22"/>
    </w:rPr>
  </w:style>
  <w:style w:type="paragraph" w:styleId="TM3">
    <w:name w:val="toc 3"/>
    <w:basedOn w:val="Normal"/>
    <w:next w:val="Normal"/>
    <w:autoRedefine/>
    <w:semiHidden/>
    <w:rsid w:val="00672672"/>
    <w:pPr>
      <w:ind w:left="2160" w:hanging="720"/>
    </w:pPr>
  </w:style>
  <w:style w:type="paragraph" w:styleId="TM4">
    <w:name w:val="toc 4"/>
    <w:basedOn w:val="Normal"/>
    <w:next w:val="Normal"/>
    <w:autoRedefine/>
    <w:semiHidden/>
    <w:rsid w:val="00672672"/>
    <w:pPr>
      <w:spacing w:before="120" w:after="120"/>
      <w:ind w:left="660"/>
      <w:jc w:val="left"/>
    </w:pPr>
  </w:style>
  <w:style w:type="paragraph" w:styleId="TM5">
    <w:name w:val="toc 5"/>
    <w:basedOn w:val="Normal"/>
    <w:next w:val="Normal"/>
    <w:autoRedefine/>
    <w:semiHidden/>
    <w:rsid w:val="00672672"/>
    <w:pPr>
      <w:spacing w:before="120" w:after="120"/>
      <w:ind w:left="880"/>
      <w:jc w:val="left"/>
    </w:pPr>
  </w:style>
  <w:style w:type="paragraph" w:styleId="TM6">
    <w:name w:val="toc 6"/>
    <w:basedOn w:val="Normal"/>
    <w:next w:val="Normal"/>
    <w:autoRedefine/>
    <w:semiHidden/>
    <w:rsid w:val="00672672"/>
    <w:pPr>
      <w:spacing w:before="120" w:after="120"/>
      <w:ind w:left="1100"/>
      <w:jc w:val="left"/>
    </w:pPr>
  </w:style>
  <w:style w:type="paragraph" w:styleId="TM7">
    <w:name w:val="toc 7"/>
    <w:basedOn w:val="Normal"/>
    <w:next w:val="Normal"/>
    <w:autoRedefine/>
    <w:semiHidden/>
    <w:rsid w:val="00672672"/>
    <w:pPr>
      <w:spacing w:before="120" w:after="120"/>
      <w:ind w:left="1320"/>
      <w:jc w:val="left"/>
    </w:pPr>
  </w:style>
  <w:style w:type="paragraph" w:styleId="TM8">
    <w:name w:val="toc 8"/>
    <w:basedOn w:val="Normal"/>
    <w:next w:val="Normal"/>
    <w:autoRedefine/>
    <w:semiHidden/>
    <w:rsid w:val="00672672"/>
    <w:pPr>
      <w:spacing w:before="120" w:after="120"/>
      <w:ind w:left="1540"/>
      <w:jc w:val="left"/>
    </w:pPr>
  </w:style>
  <w:style w:type="paragraph" w:styleId="TM9">
    <w:name w:val="toc 9"/>
    <w:basedOn w:val="Normal"/>
    <w:next w:val="Normal"/>
    <w:autoRedefine/>
    <w:semiHidden/>
    <w:rsid w:val="00672672"/>
    <w:pPr>
      <w:spacing w:before="120" w:after="120"/>
      <w:ind w:left="1760"/>
      <w:jc w:val="left"/>
    </w:pPr>
  </w:style>
  <w:style w:type="paragraph" w:styleId="Objetducommentaire">
    <w:name w:val="annotation subject"/>
    <w:basedOn w:val="Commentaire"/>
    <w:next w:val="Commentaire"/>
    <w:link w:val="ObjetducommentaireCar"/>
    <w:uiPriority w:val="99"/>
    <w:semiHidden/>
    <w:unhideWhenUsed/>
    <w:rsid w:val="00FE7DD7"/>
    <w:rPr>
      <w:b/>
      <w:bCs/>
    </w:rPr>
  </w:style>
  <w:style w:type="character" w:customStyle="1" w:styleId="ObjetducommentaireCar">
    <w:name w:val="Objet du commentaire Car"/>
    <w:basedOn w:val="CommentaireCar"/>
    <w:link w:val="Objetducommentaire"/>
    <w:uiPriority w:val="99"/>
    <w:semiHidden/>
    <w:rsid w:val="00FE7DD7"/>
    <w:rPr>
      <w:rFonts w:ascii="Times New Roman" w:eastAsia="Times New Roman" w:hAnsi="Times New Roman"/>
      <w:b/>
      <w:bCs/>
      <w:lang w:val="en-GB" w:eastAsia="en-US"/>
    </w:rPr>
  </w:style>
  <w:style w:type="paragraph" w:styleId="Rvision">
    <w:name w:val="Revision"/>
    <w:hidden/>
    <w:uiPriority w:val="99"/>
    <w:semiHidden/>
    <w:rsid w:val="00FA5F3F"/>
    <w:rPr>
      <w:rFonts w:ascii="Times New Roman" w:eastAsia="Times New Roman" w:hAnsi="Times New Roman"/>
      <w:sz w:val="22"/>
      <w:szCs w:val="24"/>
      <w:lang w:val="en-GB" w:eastAsia="en-US"/>
    </w:rPr>
  </w:style>
  <w:style w:type="character" w:customStyle="1" w:styleId="ui-provider">
    <w:name w:val="ui-provider"/>
    <w:basedOn w:val="Policepardfaut"/>
    <w:rsid w:val="00762F61"/>
  </w:style>
  <w:style w:type="paragraph" w:customStyle="1" w:styleId="Default">
    <w:name w:val="Default"/>
    <w:rsid w:val="001147EC"/>
    <w:pPr>
      <w:autoSpaceDE w:val="0"/>
      <w:autoSpaceDN w:val="0"/>
      <w:adjustRightInd w:val="0"/>
    </w:pPr>
    <w:rPr>
      <w:rFonts w:ascii="Segoe UI" w:hAnsi="Segoe UI" w:cs="Segoe UI"/>
      <w:color w:val="000000"/>
      <w:sz w:val="24"/>
      <w:szCs w:val="24"/>
      <w:lang w:val="en-US"/>
    </w:rPr>
  </w:style>
  <w:style w:type="paragraph" w:customStyle="1" w:styleId="Venuedate">
    <w:name w:val="Venue&amp;date"/>
    <w:basedOn w:val="Cornernotation"/>
    <w:qFormat/>
    <w:rsid w:val="00FE7DD7"/>
    <w:rPr>
      <w:b w:val="0"/>
      <w:bCs/>
      <w:sz w:val="22"/>
      <w:szCs w:val="22"/>
    </w:rPr>
  </w:style>
  <w:style w:type="paragraph" w:customStyle="1" w:styleId="Footnote">
    <w:name w:val="Footnote"/>
    <w:basedOn w:val="Notedebasdepage"/>
    <w:qFormat/>
    <w:rsid w:val="00FE7DD7"/>
    <w:rPr>
      <w:sz w:val="18"/>
      <w:szCs w:val="18"/>
      <w:lang w:val="en-CA"/>
    </w:rPr>
  </w:style>
  <w:style w:type="paragraph" w:customStyle="1" w:styleId="Cornernotation-Item">
    <w:name w:val="Corner notation - Item"/>
    <w:basedOn w:val="Venuedate"/>
    <w:qFormat/>
    <w:rsid w:val="00FE7DD7"/>
    <w:rPr>
      <w:b/>
    </w:rPr>
  </w:style>
  <w:style w:type="paragraph" w:customStyle="1" w:styleId="Annex">
    <w:name w:val="Annex"/>
    <w:basedOn w:val="Normal"/>
    <w:qFormat/>
    <w:rsid w:val="00FE7DD7"/>
    <w:rPr>
      <w:b/>
      <w:sz w:val="28"/>
    </w:rPr>
  </w:style>
  <w:style w:type="paragraph" w:customStyle="1" w:styleId="Item">
    <w:name w:val="Item"/>
    <w:basedOn w:val="Corpsdetexte"/>
    <w:qFormat/>
    <w:rsid w:val="00FE7DD7"/>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0">
    <w:name w:val="Para 1"/>
    <w:basedOn w:val="Normal"/>
    <w:qFormat/>
    <w:rsid w:val="00FE7DD7"/>
    <w:pPr>
      <w:numPr>
        <w:numId w:val="19"/>
      </w:numPr>
      <w:tabs>
        <w:tab w:val="left" w:pos="1134"/>
      </w:tabs>
      <w:spacing w:before="120" w:after="120"/>
      <w:ind w:left="567" w:firstLine="0"/>
    </w:pPr>
    <w:rPr>
      <w:rFonts w:eastAsia="Malgun Gothic"/>
      <w:snapToGrid w:val="0"/>
      <w:lang w:val="en-CA" w:eastAsia="ko-KR"/>
    </w:rPr>
  </w:style>
  <w:style w:type="paragraph" w:customStyle="1" w:styleId="Para20">
    <w:name w:val="Para 2"/>
    <w:qFormat/>
    <w:rsid w:val="00FE7DD7"/>
    <w:pPr>
      <w:tabs>
        <w:tab w:val="left" w:pos="1701"/>
      </w:tabs>
      <w:spacing w:before="120" w:after="120"/>
      <w:ind w:left="1134"/>
      <w:jc w:val="both"/>
    </w:pPr>
    <w:rPr>
      <w:rFonts w:ascii="Times New Roman" w:eastAsia="Times New Roman" w:hAnsi="Times New Roman"/>
      <w:sz w:val="22"/>
      <w:szCs w:val="24"/>
      <w:lang w:eastAsia="en-US"/>
    </w:rPr>
  </w:style>
  <w:style w:type="paragraph" w:customStyle="1" w:styleId="Para30">
    <w:name w:val="Para 3"/>
    <w:basedOn w:val="Normal"/>
    <w:qFormat/>
    <w:rsid w:val="00FE7DD7"/>
    <w:pPr>
      <w:tabs>
        <w:tab w:val="left" w:pos="1701"/>
      </w:tabs>
      <w:spacing w:before="120" w:after="120"/>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228403">
      <w:bodyDiv w:val="1"/>
      <w:marLeft w:val="0"/>
      <w:marRight w:val="0"/>
      <w:marTop w:val="0"/>
      <w:marBottom w:val="0"/>
      <w:divBdr>
        <w:top w:val="none" w:sz="0" w:space="0" w:color="auto"/>
        <w:left w:val="none" w:sz="0" w:space="0" w:color="auto"/>
        <w:bottom w:val="none" w:sz="0" w:space="0" w:color="auto"/>
        <w:right w:val="none" w:sz="0" w:space="0" w:color="auto"/>
      </w:divBdr>
    </w:div>
    <w:div w:id="839079529">
      <w:bodyDiv w:val="1"/>
      <w:marLeft w:val="0"/>
      <w:marRight w:val="0"/>
      <w:marTop w:val="0"/>
      <w:marBottom w:val="0"/>
      <w:divBdr>
        <w:top w:val="none" w:sz="0" w:space="0" w:color="auto"/>
        <w:left w:val="none" w:sz="0" w:space="0" w:color="auto"/>
        <w:bottom w:val="none" w:sz="0" w:space="0" w:color="auto"/>
        <w:right w:val="none" w:sz="0" w:space="0" w:color="auto"/>
      </w:divBdr>
    </w:div>
    <w:div w:id="1123421092">
      <w:bodyDiv w:val="1"/>
      <w:marLeft w:val="0"/>
      <w:marRight w:val="0"/>
      <w:marTop w:val="0"/>
      <w:marBottom w:val="0"/>
      <w:divBdr>
        <w:top w:val="none" w:sz="0" w:space="0" w:color="auto"/>
        <w:left w:val="none" w:sz="0" w:space="0" w:color="auto"/>
        <w:bottom w:val="none" w:sz="0" w:space="0" w:color="auto"/>
        <w:right w:val="none" w:sz="0" w:space="0" w:color="auto"/>
      </w:divBdr>
    </w:div>
    <w:div w:id="1285964132">
      <w:bodyDiv w:val="1"/>
      <w:marLeft w:val="0"/>
      <w:marRight w:val="0"/>
      <w:marTop w:val="0"/>
      <w:marBottom w:val="0"/>
      <w:divBdr>
        <w:top w:val="none" w:sz="0" w:space="0" w:color="auto"/>
        <w:left w:val="none" w:sz="0" w:space="0" w:color="auto"/>
        <w:bottom w:val="none" w:sz="0" w:space="0" w:color="auto"/>
        <w:right w:val="none" w:sz="0" w:space="0" w:color="auto"/>
      </w:divBdr>
    </w:div>
    <w:div w:id="1455978648">
      <w:bodyDiv w:val="1"/>
      <w:marLeft w:val="0"/>
      <w:marRight w:val="0"/>
      <w:marTop w:val="0"/>
      <w:marBottom w:val="0"/>
      <w:divBdr>
        <w:top w:val="none" w:sz="0" w:space="0" w:color="auto"/>
        <w:left w:val="none" w:sz="0" w:space="0" w:color="auto"/>
        <w:bottom w:val="none" w:sz="0" w:space="0" w:color="auto"/>
        <w:right w:val="none" w:sz="0" w:space="0" w:color="auto"/>
      </w:divBdr>
    </w:div>
    <w:div w:id="1535851402">
      <w:bodyDiv w:val="1"/>
      <w:marLeft w:val="0"/>
      <w:marRight w:val="0"/>
      <w:marTop w:val="0"/>
      <w:marBottom w:val="0"/>
      <w:divBdr>
        <w:top w:val="none" w:sz="0" w:space="0" w:color="auto"/>
        <w:left w:val="none" w:sz="0" w:space="0" w:color="auto"/>
        <w:bottom w:val="none" w:sz="0" w:space="0" w:color="auto"/>
        <w:right w:val="none" w:sz="0" w:space="0" w:color="auto"/>
      </w:divBdr>
    </w:div>
    <w:div w:id="1831946418">
      <w:bodyDiv w:val="1"/>
      <w:marLeft w:val="0"/>
      <w:marRight w:val="0"/>
      <w:marTop w:val="0"/>
      <w:marBottom w:val="0"/>
      <w:divBdr>
        <w:top w:val="none" w:sz="0" w:space="0" w:color="auto"/>
        <w:left w:val="none" w:sz="0" w:space="0" w:color="auto"/>
        <w:bottom w:val="none" w:sz="0" w:space="0" w:color="auto"/>
        <w:right w:val="none" w:sz="0" w:space="0" w:color="auto"/>
      </w:divBdr>
    </w:div>
    <w:div w:id="1885873625">
      <w:bodyDiv w:val="1"/>
      <w:marLeft w:val="0"/>
      <w:marRight w:val="0"/>
      <w:marTop w:val="0"/>
      <w:marBottom w:val="0"/>
      <w:divBdr>
        <w:top w:val="none" w:sz="0" w:space="0" w:color="auto"/>
        <w:left w:val="none" w:sz="0" w:space="0" w:color="auto"/>
        <w:bottom w:val="none" w:sz="0" w:space="0" w:color="auto"/>
        <w:right w:val="none" w:sz="0" w:space="0" w:color="auto"/>
      </w:divBdr>
    </w:div>
    <w:div w:id="206216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4/cop-14-dec-37-fr.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9/cop-09-dec-34-fr.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information/adm-f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4D16D66B82E4B04A826D3351ADD844D"/>
        <w:category>
          <w:name w:val="General"/>
          <w:gallery w:val="placeholder"/>
        </w:category>
        <w:types>
          <w:type w:val="bbPlcHdr"/>
        </w:types>
        <w:behaviors>
          <w:behavior w:val="content"/>
        </w:behaviors>
        <w:guid w:val="{5748E654-CF58-4261-B106-C65AF89042EB}"/>
      </w:docPartPr>
      <w:docPartBody>
        <w:p w:rsidR="000261FB" w:rsidRDefault="002E0DC1">
          <w:r w:rsidRPr="007A6668">
            <w:rPr>
              <w:rStyle w:val="Textedelespacerserv"/>
              <w:lang w:bidi="fr-FR"/>
            </w:rPr>
            <w:t>[Titre]</w:t>
          </w:r>
        </w:p>
      </w:docPartBody>
    </w:docPart>
    <w:docPart>
      <w:docPartPr>
        <w:name w:val="9919A4354EBC4BE1BA94F6627C7FA73F"/>
        <w:category>
          <w:name w:val="General"/>
          <w:gallery w:val="placeholder"/>
        </w:category>
        <w:types>
          <w:type w:val="bbPlcHdr"/>
        </w:types>
        <w:behaviors>
          <w:behavior w:val="content"/>
        </w:behaviors>
        <w:guid w:val="{A0783E29-1B94-4B8E-BB30-A276122FD4CE}"/>
      </w:docPartPr>
      <w:docPartBody>
        <w:p w:rsidR="000261FB" w:rsidRDefault="002E0DC1">
          <w:r w:rsidRPr="007A6668">
            <w:rPr>
              <w:rStyle w:val="Textedelespacerserv"/>
              <w:lang w:bidi="fr-FR"/>
            </w:rPr>
            <w:t>[Sujet]</w:t>
          </w:r>
        </w:p>
      </w:docPartBody>
    </w:docPart>
    <w:docPart>
      <w:docPartPr>
        <w:name w:val="A845CFAF5A0D4443A20DDFE7D502BA94"/>
        <w:category>
          <w:name w:val="General"/>
          <w:gallery w:val="placeholder"/>
        </w:category>
        <w:types>
          <w:type w:val="bbPlcHdr"/>
        </w:types>
        <w:behaviors>
          <w:behavior w:val="content"/>
        </w:behaviors>
        <w:guid w:val="{23892CC6-9AB8-46A3-891B-4C937B753940}"/>
      </w:docPartPr>
      <w:docPartBody>
        <w:p w:rsidR="000261FB" w:rsidRDefault="002E0DC1" w:rsidP="002E0DC1">
          <w:pPr>
            <w:pStyle w:val="A845CFAF5A0D4443A20DDFE7D502BA94"/>
          </w:pPr>
          <w:r w:rsidRPr="007A6668">
            <w:rPr>
              <w:rStyle w:val="Textedelespacerserv"/>
              <w:lang w:bidi="fr-FR"/>
            </w:rPr>
            <w:t>[Sujet]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Lucida Grande">
    <w:altName w:val="Segoe UI"/>
    <w:charset w:val="00"/>
    <w:family w:val="auto"/>
    <w:pitch w:val="default"/>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C1"/>
    <w:rsid w:val="000261FB"/>
    <w:rsid w:val="00245E7F"/>
    <w:rsid w:val="002E0DC1"/>
    <w:rsid w:val="00304F4C"/>
    <w:rsid w:val="003B4C1B"/>
    <w:rsid w:val="004639AC"/>
    <w:rsid w:val="004C607D"/>
    <w:rsid w:val="00583011"/>
    <w:rsid w:val="005865D2"/>
    <w:rsid w:val="005868A9"/>
    <w:rsid w:val="00596D28"/>
    <w:rsid w:val="00650E89"/>
    <w:rsid w:val="0071455D"/>
    <w:rsid w:val="0085618A"/>
    <w:rsid w:val="0089077E"/>
    <w:rsid w:val="008D2BD0"/>
    <w:rsid w:val="00912251"/>
    <w:rsid w:val="009C7A78"/>
    <w:rsid w:val="00A0684B"/>
    <w:rsid w:val="00A625FA"/>
    <w:rsid w:val="00AA1699"/>
    <w:rsid w:val="00B41384"/>
    <w:rsid w:val="00BE5743"/>
    <w:rsid w:val="00D12865"/>
    <w:rsid w:val="00D2088B"/>
    <w:rsid w:val="00E04DBB"/>
    <w:rsid w:val="00E6799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E0DC1"/>
    <w:rPr>
      <w:color w:val="808080"/>
    </w:rPr>
  </w:style>
  <w:style w:type="paragraph" w:customStyle="1" w:styleId="A845CFAF5A0D4443A20DDFE7D502BA94">
    <w:name w:val="A845CFAF5A0D4443A20DDFE7D502BA94"/>
    <w:rsid w:val="002E0D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5F3E53-7FBA-47F9-8F12-2AA920E7609F}">
  <ds:schemaRefs>
    <ds:schemaRef ds:uri="http://schemas.openxmlformats.org/officeDocument/2006/bibliography"/>
  </ds:schemaRefs>
</ds:datastoreItem>
</file>

<file path=customXml/itemProps2.xml><?xml version="1.0" encoding="utf-8"?>
<ds:datastoreItem xmlns:ds="http://schemas.openxmlformats.org/officeDocument/2006/customXml" ds:itemID="{E4B331F0-CD4D-4BB0-809C-07D61AAE8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E1ECD-62F8-48DA-B6CA-7B8986A9F65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033285F-D55B-49CE-A503-A351070CB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3531</Words>
  <Characters>19423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Administrative and budgetary matters</vt:lpstr>
    </vt:vector>
  </TitlesOfParts>
  <Company/>
  <LinksUpToDate>false</LinksUpToDate>
  <CharactersWithSpaces>22909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administratives et budgétaires</dc:title>
  <dc:subject>CBD/SBI/4/16</dc:subject>
  <dc:creator>Secretariat of the Convention on Biological Diversity</dc:creator>
  <cp:keywords>Subsidiary Body on Implementation, third meeting, Convention on Biological Diversity</cp:keywords>
  <dc:description/>
  <cp:lastModifiedBy>Charles Borgmann</cp:lastModifiedBy>
  <cp:revision>2</cp:revision>
  <cp:lastPrinted>2024-04-27T00:42:00Z</cp:lastPrinted>
  <dcterms:created xsi:type="dcterms:W3CDTF">2024-05-03T07:05:00Z</dcterms:created>
  <dcterms:modified xsi:type="dcterms:W3CDTF">2024-05-03T07:05:00Z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